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FE3" w:rsidRDefault="00A042D8">
      <w:pPr>
        <w:spacing w:line="360" w:lineRule="auto"/>
        <w:jc w:val="both"/>
        <w:rPr>
          <w:rFonts w:ascii="Palatino Linotype" w:eastAsia="Palatino Linotype" w:hAnsi="Palatino Linotype" w:cs="Palatino Linotype"/>
          <w:sz w:val="24"/>
          <w:szCs w:val="24"/>
        </w:rPr>
      </w:pPr>
      <w:bookmarkStart w:id="0" w:name="_heading=h.844dqlzi6fic" w:colFirst="0" w:colLast="0"/>
      <w:bookmarkStart w:id="1" w:name="_GoBack"/>
      <w:bookmarkEnd w:id="0"/>
      <w:bookmarkEnd w:id="1"/>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w:t>
      </w:r>
      <w:r w:rsidR="001B5CCC">
        <w:rPr>
          <w:rFonts w:ascii="Palatino Linotype" w:eastAsia="Palatino Linotype" w:hAnsi="Palatino Linotype" w:cs="Palatino Linotype"/>
          <w:sz w:val="24"/>
          <w:szCs w:val="24"/>
        </w:rPr>
        <w:t xml:space="preserve"> fecha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bCs/>
          <w:sz w:val="24"/>
          <w:szCs w:val="24"/>
        </w:rPr>
        <w:t>veintiuno</w:t>
      </w:r>
      <w:r w:rsidR="001B5CCC">
        <w:rPr>
          <w:rFonts w:ascii="Palatino Linotype" w:eastAsia="Palatino Linotype" w:hAnsi="Palatino Linotype" w:cs="Palatino Linotype"/>
          <w:b/>
          <w:bCs/>
          <w:sz w:val="24"/>
          <w:szCs w:val="24"/>
        </w:rPr>
        <w:t xml:space="preserve"> (21)</w:t>
      </w:r>
      <w:r>
        <w:rPr>
          <w:rFonts w:ascii="Palatino Linotype" w:eastAsia="Palatino Linotype" w:hAnsi="Palatino Linotype" w:cs="Palatino Linotype"/>
          <w:b/>
          <w:bCs/>
          <w:sz w:val="24"/>
          <w:szCs w:val="24"/>
        </w:rPr>
        <w:t xml:space="preserve"> de enero de dos mil veintiséis.</w:t>
      </w:r>
    </w:p>
    <w:p w:rsidR="003C2FE3" w:rsidRDefault="003C2FE3">
      <w:pPr>
        <w:spacing w:line="360" w:lineRule="auto"/>
        <w:jc w:val="both"/>
        <w:rPr>
          <w:rFonts w:ascii="Palatino Linotype" w:eastAsia="Palatino Linotype" w:hAnsi="Palatino Linotype" w:cs="Palatino Linotype"/>
          <w:sz w:val="24"/>
          <w:szCs w:val="24"/>
        </w:rPr>
      </w:pPr>
    </w:p>
    <w:p w:rsidR="003C2FE3" w:rsidRDefault="00A042D8">
      <w:pPr>
        <w:spacing w:line="360" w:lineRule="auto"/>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VISTO</w:t>
      </w:r>
      <w:r>
        <w:rPr>
          <w:rFonts w:ascii="Palatino Linotype" w:eastAsia="Palatino Linotype" w:hAnsi="Palatino Linotype" w:cs="Palatino Linotype"/>
          <w:sz w:val="24"/>
          <w:szCs w:val="24"/>
        </w:rPr>
        <w:t xml:space="preserve"> el expediente electrónico formado con motivo del recurso de revisión</w:t>
      </w:r>
      <w:r>
        <w:rPr>
          <w:rFonts w:ascii="Palatino Linotype" w:eastAsia="Palatino Linotype" w:hAnsi="Palatino Linotype" w:cs="Palatino Linotype"/>
          <w:b/>
          <w:bCs/>
          <w:sz w:val="24"/>
          <w:szCs w:val="24"/>
        </w:rPr>
        <w:t xml:space="preserve"> 07883/INFOEM/IP/RR/2025, </w:t>
      </w:r>
      <w:r>
        <w:rPr>
          <w:rFonts w:ascii="Palatino Linotype" w:eastAsia="Palatino Linotype" w:hAnsi="Palatino Linotype" w:cs="Palatino Linotype"/>
          <w:sz w:val="24"/>
          <w:szCs w:val="24"/>
        </w:rPr>
        <w:t>promovido por</w:t>
      </w:r>
      <w:r>
        <w:rPr>
          <w:rFonts w:ascii="Palatino Linotype" w:eastAsia="Palatino Linotype" w:hAnsi="Palatino Linotype" w:cs="Palatino Linotype"/>
          <w:b/>
          <w:bCs/>
          <w:color w:val="FF0000"/>
          <w:sz w:val="24"/>
          <w:szCs w:val="24"/>
        </w:rPr>
        <w:t xml:space="preserve"> </w:t>
      </w:r>
      <w:r>
        <w:rPr>
          <w:rFonts w:ascii="Palatino Linotype" w:eastAsia="Palatino Linotype" w:hAnsi="Palatino Linotype" w:cs="Palatino Linotype"/>
          <w:b/>
          <w:bCs/>
          <w:sz w:val="24"/>
          <w:szCs w:val="24"/>
        </w:rPr>
        <w:t>una persona que no prop</w:t>
      </w:r>
      <w:r w:rsidR="001B5CCC">
        <w:rPr>
          <w:rFonts w:ascii="Palatino Linotype" w:eastAsia="Palatino Linotype" w:hAnsi="Palatino Linotype" w:cs="Palatino Linotype"/>
          <w:b/>
          <w:bCs/>
          <w:sz w:val="24"/>
          <w:szCs w:val="24"/>
        </w:rPr>
        <w:t xml:space="preserve">orcionó datos de identificación, </w:t>
      </w:r>
      <w:r>
        <w:rPr>
          <w:rFonts w:ascii="Palatino Linotype" w:eastAsia="Palatino Linotype" w:hAnsi="Palatino Linotype" w:cs="Palatino Linotype"/>
          <w:sz w:val="24"/>
          <w:szCs w:val="24"/>
        </w:rPr>
        <w:t xml:space="preserve">a quien en lo sucesivo se identificará como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en contra de la respuesta del </w:t>
      </w:r>
      <w:r>
        <w:rPr>
          <w:rFonts w:ascii="Palatino Linotype" w:eastAsia="Palatino Linotype" w:hAnsi="Palatino Linotype" w:cs="Palatino Linotype"/>
          <w:b/>
          <w:bCs/>
          <w:sz w:val="24"/>
          <w:szCs w:val="24"/>
        </w:rPr>
        <w:t xml:space="preserve">Ayuntamiento de Toluca, </w:t>
      </w:r>
      <w:r>
        <w:rPr>
          <w:rFonts w:ascii="Palatino Linotype" w:eastAsia="Palatino Linotype" w:hAnsi="Palatino Linotype" w:cs="Palatino Linotype"/>
          <w:sz w:val="24"/>
          <w:szCs w:val="24"/>
        </w:rPr>
        <w:t xml:space="preserve">en </w:t>
      </w:r>
      <w:r w:rsidR="001B5CCC">
        <w:rPr>
          <w:rFonts w:ascii="Palatino Linotype" w:eastAsia="Palatino Linotype" w:hAnsi="Palatino Linotype" w:cs="Palatino Linotype"/>
          <w:sz w:val="24"/>
          <w:szCs w:val="24"/>
        </w:rPr>
        <w:t>adelante</w:t>
      </w:r>
      <w:r>
        <w:rPr>
          <w:rFonts w:ascii="Palatino Linotype" w:eastAsia="Palatino Linotype" w:hAnsi="Palatino Linotype" w:cs="Palatino Linotype"/>
          <w:sz w:val="24"/>
          <w:szCs w:val="24"/>
        </w:rPr>
        <w:t xml:space="preserve"> el</w:t>
      </w:r>
      <w:r>
        <w:rPr>
          <w:rFonts w:ascii="Palatino Linotype" w:eastAsia="Palatino Linotype" w:hAnsi="Palatino Linotype" w:cs="Palatino Linotype"/>
          <w:b/>
          <w:bCs/>
          <w:sz w:val="24"/>
          <w:szCs w:val="24"/>
        </w:rPr>
        <w:t xml:space="preserve"> SUJETO OBLIGADO</w:t>
      </w:r>
      <w:r>
        <w:rPr>
          <w:rFonts w:ascii="Palatino Linotype" w:eastAsia="Palatino Linotype" w:hAnsi="Palatino Linotype" w:cs="Palatino Linotype"/>
          <w:sz w:val="24"/>
          <w:szCs w:val="24"/>
        </w:rPr>
        <w:t>, por lo que se procede a dictar la presente resolución, con base en los siguientes:</w:t>
      </w:r>
    </w:p>
    <w:p w:rsidR="003C2FE3" w:rsidRDefault="003C2FE3">
      <w:pPr>
        <w:spacing w:line="360" w:lineRule="auto"/>
        <w:jc w:val="both"/>
        <w:rPr>
          <w:rFonts w:ascii="Palatino Linotype" w:eastAsia="Palatino Linotype" w:hAnsi="Palatino Linotype" w:cs="Palatino Linotype"/>
          <w:b/>
          <w:bCs/>
          <w:sz w:val="24"/>
          <w:szCs w:val="24"/>
        </w:rPr>
      </w:pPr>
    </w:p>
    <w:p w:rsidR="003C2FE3" w:rsidRDefault="00A042D8">
      <w:pPr>
        <w:keepNext/>
        <w:keepLines/>
        <w:spacing w:line="360" w:lineRule="auto"/>
        <w:jc w:val="center"/>
        <w:rPr>
          <w:rFonts w:ascii="Palatino Linotype" w:eastAsia="Palatino Linotype" w:hAnsi="Palatino Linotype" w:cs="Palatino Linotype"/>
          <w:b/>
          <w:bCs/>
          <w:sz w:val="24"/>
          <w:szCs w:val="24"/>
        </w:rPr>
      </w:pPr>
      <w:bookmarkStart w:id="2" w:name="_heading=h.gjdgxs" w:colFirst="0" w:colLast="0"/>
      <w:bookmarkEnd w:id="2"/>
      <w:r>
        <w:rPr>
          <w:rFonts w:ascii="Palatino Linotype" w:eastAsia="Palatino Linotype" w:hAnsi="Palatino Linotype" w:cs="Palatino Linotype"/>
          <w:b/>
          <w:bCs/>
          <w:sz w:val="24"/>
          <w:szCs w:val="24"/>
        </w:rPr>
        <w:t>A</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T</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C</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D</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T</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S</w:t>
      </w:r>
    </w:p>
    <w:p w:rsidR="001B5CCC" w:rsidRDefault="001B5CCC">
      <w:pPr>
        <w:keepNext/>
        <w:keepLines/>
        <w:spacing w:line="360" w:lineRule="auto"/>
        <w:jc w:val="center"/>
        <w:rPr>
          <w:rFonts w:ascii="Palatino Linotype" w:eastAsia="Palatino Linotype" w:hAnsi="Palatino Linotype" w:cs="Palatino Linotype"/>
          <w:b/>
          <w:bCs/>
          <w:sz w:val="24"/>
          <w:szCs w:val="24"/>
        </w:rPr>
      </w:pPr>
    </w:p>
    <w:p w:rsidR="003C2FE3" w:rsidRDefault="00A042D8">
      <w:pPr>
        <w:numPr>
          <w:ilvl w:val="0"/>
          <w:numId w:val="1"/>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seis de junio de dos mil veinticinco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ante 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vía Sistema de Acceso a la Información Mexiquense (</w:t>
      </w:r>
      <w:r>
        <w:rPr>
          <w:rFonts w:ascii="Palatino Linotype" w:eastAsia="Palatino Linotype" w:hAnsi="Palatino Linotype" w:cs="Palatino Linotype"/>
          <w:b/>
          <w:bCs/>
          <w:sz w:val="24"/>
          <w:szCs w:val="24"/>
        </w:rPr>
        <w:t>SAIMEX)</w:t>
      </w:r>
      <w:r>
        <w:rPr>
          <w:rFonts w:ascii="Palatino Linotype" w:eastAsia="Palatino Linotype" w:hAnsi="Palatino Linotype" w:cs="Palatino Linotype"/>
          <w:sz w:val="24"/>
          <w:szCs w:val="24"/>
        </w:rPr>
        <w:t>,presentó la solicitud de información registrada con el número</w:t>
      </w:r>
      <w:r w:rsidR="00A62EC0">
        <w:rPr>
          <w:rFonts w:ascii="Palatino Linotype" w:eastAsia="Palatino Linotype" w:hAnsi="Palatino Linotype" w:cs="Palatino Linotype"/>
          <w:b/>
          <w:bCs/>
          <w:sz w:val="24"/>
          <w:szCs w:val="24"/>
        </w:rPr>
        <w:t xml:space="preserve">  03322/TOLUCA/IP</w:t>
      </w:r>
      <w:r>
        <w:rPr>
          <w:rFonts w:ascii="Palatino Linotype" w:eastAsia="Palatino Linotype" w:hAnsi="Palatino Linotype" w:cs="Palatino Linotype"/>
          <w:b/>
          <w:bCs/>
          <w:sz w:val="24"/>
          <w:szCs w:val="24"/>
        </w:rPr>
        <w:t xml:space="preserve">/2025, </w:t>
      </w:r>
      <w:r w:rsidR="001B5CCC">
        <w:rPr>
          <w:rFonts w:ascii="Palatino Linotype" w:eastAsia="Palatino Linotype" w:hAnsi="Palatino Linotype" w:cs="Palatino Linotype"/>
          <w:sz w:val="24"/>
          <w:szCs w:val="24"/>
        </w:rPr>
        <w:t>en la que se</w:t>
      </w:r>
      <w:r>
        <w:rPr>
          <w:rFonts w:ascii="Palatino Linotype" w:eastAsia="Palatino Linotype" w:hAnsi="Palatino Linotype" w:cs="Palatino Linotype"/>
          <w:sz w:val="24"/>
          <w:szCs w:val="24"/>
        </w:rPr>
        <w:t xml:space="preserve"> solicitó lo siguiente:</w:t>
      </w:r>
    </w:p>
    <w:p w:rsidR="003C2FE3" w:rsidRDefault="003C2FE3">
      <w:pPr>
        <w:pBdr>
          <w:top w:val="nil"/>
          <w:left w:val="nil"/>
          <w:bottom w:val="nil"/>
          <w:right w:val="nil"/>
          <w:between w:val="nil"/>
        </w:pBdr>
        <w:spacing w:line="360" w:lineRule="auto"/>
        <w:ind w:left="1069" w:right="567"/>
        <w:jc w:val="both"/>
        <w:rPr>
          <w:rFonts w:ascii="Palatino Linotype" w:eastAsia="Palatino Linotype" w:hAnsi="Palatino Linotype" w:cs="Palatino Linotype"/>
          <w:i/>
          <w:iCs/>
          <w:color w:val="000000"/>
          <w:sz w:val="24"/>
          <w:szCs w:val="24"/>
        </w:rPr>
      </w:pPr>
    </w:p>
    <w:p w:rsidR="003C2FE3" w:rsidRDefault="00A042D8">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“En términos de los artículos 1º, 8, 14, 16, 17, 115 de la Constitución Política de los Estados Unidos Mexicanos, 5, 112, 113, 114 de la Constitución Política del Estado Libre y Soberano de México, 1.1 fracciones VI, VII, 1.2, 1.3, 1.4, 1.5, 1.6, 1.7, 1.9, 1.10 del Código Administrativo del Estado de México, 1, 2, 3, 111 y 135 del Código de Procedimientos Administrativos del Estado de México solicito me sea señalado: 1. ¿Cuáles son los transportes de carga, con descripción del tipo de camión, número de placas y placas de procedencia, a los que los DELEGADOS DE SANTIAGO TLACOTEPE han expedido unos supuestos “VISTO BUENO” para transitar en la carretera al Refugio número 248, de esta Delegación de Santiago Tlacotepec, del </w:t>
      </w:r>
      <w:r>
        <w:rPr>
          <w:rFonts w:ascii="Palatino Linotype" w:eastAsia="Palatino Linotype" w:hAnsi="Palatino Linotype" w:cs="Palatino Linotype"/>
          <w:i/>
          <w:iCs/>
          <w:color w:val="000000"/>
          <w:sz w:val="24"/>
          <w:szCs w:val="24"/>
        </w:rPr>
        <w:lastRenderedPageBreak/>
        <w:t xml:space="preserve">municipio de Toluca, Estado de México? 2. ¿Soliciten a los DELEGADOS DE SANTIAGO TLACOTEPEC indiquen el fundamento legal que les otorga competencia en materia de vialidad municipal (que compete a la materia de seguridad pública municipal), para otorgar algún “VISTO BUENO” para transitar en la carretera al Refugio número 248, de esta Delegación de Santiago Tlacotepec, del municipio de Toluca, Estado de México? 3. ¿Soliciten a los DELEGADOS DE SANTIAGO TLACOTEPEC indiquen si conocen la restricción legal que prevé los artículos 9 y 176 del Código Penal del Estado de México? (Sic) </w:t>
      </w:r>
    </w:p>
    <w:p w:rsidR="003C2FE3" w:rsidRDefault="003C2FE3">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p>
    <w:p w:rsidR="003C2FE3" w:rsidRDefault="00A042D8" w:rsidP="001B5CCC">
      <w:pPr>
        <w:numPr>
          <w:ilvl w:val="0"/>
          <w:numId w:val="2"/>
        </w:numPr>
        <w:spacing w:line="360" w:lineRule="auto"/>
        <w:ind w:left="0" w:right="567"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w:t>
      </w:r>
      <w:r>
        <w:rPr>
          <w:rFonts w:ascii="Palatino Linotype" w:eastAsia="Palatino Linotype" w:hAnsi="Palatino Linotype" w:cs="Palatino Linotype"/>
          <w:b/>
          <w:bCs/>
          <w:sz w:val="24"/>
          <w:szCs w:val="24"/>
        </w:rPr>
        <w:t>Vía SAIMEX.</w:t>
      </w:r>
    </w:p>
    <w:p w:rsidR="003C2FE3" w:rsidRDefault="003C2FE3">
      <w:pPr>
        <w:spacing w:line="360" w:lineRule="auto"/>
        <w:ind w:left="1146" w:right="567"/>
        <w:jc w:val="both"/>
        <w:rPr>
          <w:rFonts w:ascii="Palatino Linotype" w:eastAsia="Palatino Linotype" w:hAnsi="Palatino Linotype" w:cs="Palatino Linotype"/>
          <w:sz w:val="24"/>
          <w:szCs w:val="24"/>
        </w:rPr>
      </w:pPr>
    </w:p>
    <w:p w:rsidR="003C2FE3" w:rsidRDefault="00A042D8">
      <w:pPr>
        <w:numPr>
          <w:ilvl w:val="0"/>
          <w:numId w:val="1"/>
        </w:numPr>
        <w:spacing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 xml:space="preserve">veintisiete de junio de dos mil veinticinco,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SUJETO O</w:t>
      </w:r>
      <w:r>
        <w:rPr>
          <w:rFonts w:ascii="Palatino Linotype" w:eastAsia="Palatino Linotype" w:hAnsi="Palatino Linotype" w:cs="Palatino Linotype"/>
          <w:sz w:val="24"/>
          <w:szCs w:val="24"/>
        </w:rPr>
        <w:t>B</w:t>
      </w:r>
      <w:r>
        <w:rPr>
          <w:rFonts w:ascii="Palatino Linotype" w:eastAsia="Palatino Linotype" w:hAnsi="Palatino Linotype" w:cs="Palatino Linotype"/>
          <w:b/>
          <w:bCs/>
          <w:sz w:val="24"/>
          <w:szCs w:val="24"/>
        </w:rPr>
        <w:t xml:space="preserve">LIGADO </w:t>
      </w:r>
      <w:r>
        <w:rPr>
          <w:rFonts w:ascii="Palatino Linotype" w:eastAsia="Palatino Linotype" w:hAnsi="Palatino Linotype" w:cs="Palatino Linotype"/>
          <w:sz w:val="24"/>
          <w:szCs w:val="24"/>
        </w:rPr>
        <w:t xml:space="preserve">dio </w:t>
      </w:r>
      <w:r>
        <w:rPr>
          <w:rFonts w:ascii="Palatino Linotype" w:eastAsia="Palatino Linotype" w:hAnsi="Palatino Linotype" w:cs="Palatino Linotype"/>
          <w:b/>
          <w:bCs/>
          <w:sz w:val="24"/>
          <w:szCs w:val="24"/>
        </w:rPr>
        <w:t>RESPUESTA</w:t>
      </w:r>
      <w:r>
        <w:rPr>
          <w:rFonts w:ascii="Palatino Linotype" w:eastAsia="Palatino Linotype" w:hAnsi="Palatino Linotype" w:cs="Palatino Linotype"/>
          <w:sz w:val="24"/>
          <w:szCs w:val="24"/>
        </w:rPr>
        <w:t xml:space="preserve"> a través delos archivos siguientes:</w:t>
      </w:r>
    </w:p>
    <w:p w:rsidR="003C2FE3" w:rsidRDefault="00A042D8">
      <w:pPr>
        <w:numPr>
          <w:ilvl w:val="0"/>
          <w:numId w:val="4"/>
        </w:numPr>
        <w:pBdr>
          <w:top w:val="nil"/>
          <w:left w:val="nil"/>
          <w:bottom w:val="nil"/>
          <w:right w:val="nil"/>
          <w:between w:val="nil"/>
        </w:pBdr>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i/>
          <w:iCs/>
          <w:color w:val="000000"/>
          <w:sz w:val="24"/>
          <w:szCs w:val="24"/>
        </w:rPr>
        <w:t>Resp_Oficio_2040_Solic_03322.pdf:</w:t>
      </w:r>
      <w:r>
        <w:rPr>
          <w:rFonts w:ascii="Palatino Linotype" w:eastAsia="Palatino Linotype" w:hAnsi="Palatino Linotype" w:cs="Palatino Linotype"/>
          <w:i/>
          <w:iCs/>
          <w:color w:val="000000"/>
          <w:sz w:val="24"/>
          <w:szCs w:val="24"/>
        </w:rPr>
        <w:t xml:space="preserve"> </w:t>
      </w:r>
      <w:r>
        <w:rPr>
          <w:rFonts w:ascii="Palatino Linotype" w:eastAsia="Palatino Linotype" w:hAnsi="Palatino Linotype" w:cs="Palatino Linotype"/>
          <w:color w:val="000000"/>
          <w:sz w:val="24"/>
          <w:szCs w:val="24"/>
        </w:rPr>
        <w:t xml:space="preserve">Oficio firmado por el Secretario Particular, por el que </w:t>
      </w:r>
      <w:r>
        <w:rPr>
          <w:rFonts w:ascii="Palatino Linotype" w:eastAsia="Palatino Linotype" w:hAnsi="Palatino Linotype" w:cs="Palatino Linotype"/>
          <w:sz w:val="24"/>
          <w:szCs w:val="24"/>
        </w:rPr>
        <w:t>informó</w:t>
      </w:r>
      <w:r>
        <w:rPr>
          <w:rFonts w:ascii="Palatino Linotype" w:eastAsia="Palatino Linotype" w:hAnsi="Palatino Linotype" w:cs="Palatino Linotype"/>
          <w:color w:val="000000"/>
          <w:sz w:val="24"/>
          <w:szCs w:val="24"/>
        </w:rPr>
        <w:t xml:space="preserve"> que, </w:t>
      </w:r>
      <w:r>
        <w:rPr>
          <w:rFonts w:ascii="Palatino Linotype" w:eastAsia="Palatino Linotype" w:hAnsi="Palatino Linotype" w:cs="Palatino Linotype"/>
          <w:i/>
          <w:iCs/>
          <w:color w:val="000000"/>
          <w:sz w:val="24"/>
          <w:szCs w:val="24"/>
        </w:rPr>
        <w:t>“se informa que dichas interrogantes no constituyen un requerimiento que pueda ser satisfactorio vía acceso a la información pública, ya que se trata de manifestaciones subjetivas vertidas, así como interrogantes por lo que la entrega que no colman con la entrega de documentos, de un razonamiento por parte de este Sujeto Obligado, no es algo que la Ley establezca como atribución, derecho o facultad, pues ello contemplaría un juicio de valor referente a un cuestionamiento realizado, los cuales al constituir interrogantes, inquietudes y manifestaciones se satisfacen vía derecho de petición.”</w:t>
      </w:r>
    </w:p>
    <w:p w:rsidR="003C2FE3" w:rsidRDefault="003C2FE3">
      <w:pPr>
        <w:pBdr>
          <w:top w:val="nil"/>
          <w:left w:val="nil"/>
          <w:bottom w:val="nil"/>
          <w:right w:val="nil"/>
          <w:between w:val="nil"/>
        </w:pBdr>
        <w:ind w:left="720"/>
        <w:jc w:val="both"/>
        <w:rPr>
          <w:rFonts w:ascii="Palatino Linotype" w:eastAsia="Palatino Linotype" w:hAnsi="Palatino Linotype" w:cs="Palatino Linotype"/>
          <w:b/>
          <w:bCs/>
          <w:i/>
          <w:iCs/>
          <w:color w:val="000000"/>
          <w:sz w:val="24"/>
          <w:szCs w:val="24"/>
        </w:rPr>
      </w:pPr>
    </w:p>
    <w:p w:rsidR="003C2FE3" w:rsidRDefault="00A042D8">
      <w:pPr>
        <w:pBdr>
          <w:top w:val="nil"/>
          <w:left w:val="nil"/>
          <w:bottom w:val="nil"/>
          <w:right w:val="nil"/>
          <w:between w:val="nil"/>
        </w:pBdr>
        <w:ind w:left="720"/>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i/>
          <w:iCs/>
          <w:color w:val="000000"/>
          <w:sz w:val="24"/>
          <w:szCs w:val="24"/>
        </w:rPr>
        <w:t>No obstante, de lo Tránsito anterior, se adjunta para conocimiento dei peticionario el debidamente del Estado de México vigente, el cual se encuentra publicado en la página oficial de este H. Ayuntamiento, siguiente enlace: en ei https://www2.toluca.gob.mx/, para pronta referencia</w:t>
      </w:r>
      <w:r>
        <w:rPr>
          <w:rFonts w:ascii="Palatino Linotype" w:eastAsia="Palatino Linotype" w:hAnsi="Palatino Linotype" w:cs="Palatino Linotype"/>
          <w:b/>
          <w:bCs/>
          <w:i/>
          <w:iCs/>
          <w:color w:val="000000"/>
          <w:sz w:val="24"/>
          <w:szCs w:val="24"/>
        </w:rPr>
        <w:t>.</w:t>
      </w:r>
    </w:p>
    <w:p w:rsidR="003C2FE3" w:rsidRDefault="003C2FE3">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sz w:val="24"/>
          <w:szCs w:val="24"/>
        </w:rPr>
      </w:pPr>
    </w:p>
    <w:p w:rsidR="003C2FE3" w:rsidRDefault="00A042D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i/>
          <w:iCs/>
          <w:color w:val="000000"/>
          <w:sz w:val="24"/>
          <w:szCs w:val="24"/>
        </w:rPr>
        <w:t xml:space="preserve">Anexo 03322.pdf: </w:t>
      </w:r>
      <w:r>
        <w:rPr>
          <w:rFonts w:ascii="Palatino Linotype" w:eastAsia="Palatino Linotype" w:hAnsi="Palatino Linotype" w:cs="Palatino Linotype"/>
          <w:color w:val="000000"/>
          <w:sz w:val="24"/>
          <w:szCs w:val="24"/>
        </w:rPr>
        <w:t xml:space="preserve">Reglamento de Tránsito del Estado de México. </w:t>
      </w:r>
    </w:p>
    <w:p w:rsidR="003C2FE3" w:rsidRDefault="003C2FE3">
      <w:pPr>
        <w:spacing w:line="360" w:lineRule="auto"/>
        <w:jc w:val="both"/>
        <w:rPr>
          <w:rFonts w:ascii="Palatino Linotype" w:eastAsia="Palatino Linotype" w:hAnsi="Palatino Linotype" w:cs="Palatino Linotype"/>
          <w:b/>
          <w:bCs/>
          <w:i/>
          <w:iCs/>
          <w:sz w:val="32"/>
          <w:szCs w:val="32"/>
        </w:rPr>
      </w:pPr>
    </w:p>
    <w:p w:rsidR="003C2FE3" w:rsidRDefault="003C2FE3">
      <w:pPr>
        <w:spacing w:line="360" w:lineRule="auto"/>
        <w:jc w:val="both"/>
        <w:rPr>
          <w:rFonts w:ascii="Palatino Linotype" w:eastAsia="Palatino Linotype" w:hAnsi="Palatino Linotype" w:cs="Palatino Linotype"/>
          <w:sz w:val="24"/>
          <w:szCs w:val="24"/>
        </w:rPr>
      </w:pPr>
    </w:p>
    <w:p w:rsidR="003C2FE3" w:rsidRDefault="00A042D8">
      <w:pPr>
        <w:numPr>
          <w:ilvl w:val="0"/>
          <w:numId w:val="1"/>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Inconforme con lo anterior, el </w:t>
      </w:r>
      <w:r>
        <w:rPr>
          <w:rFonts w:ascii="Palatino Linotype" w:eastAsia="Palatino Linotype" w:hAnsi="Palatino Linotype" w:cs="Palatino Linotype"/>
          <w:b/>
          <w:bCs/>
          <w:sz w:val="24"/>
          <w:szCs w:val="24"/>
        </w:rPr>
        <w:t>veintisiete de junio de dos mil veinticinco</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interpuso recurso de revisión, arguyendo como </w:t>
      </w:r>
    </w:p>
    <w:p w:rsidR="003C2FE3" w:rsidRDefault="003C2FE3">
      <w:pPr>
        <w:spacing w:line="360" w:lineRule="auto"/>
        <w:jc w:val="both"/>
        <w:rPr>
          <w:rFonts w:ascii="Palatino Linotype" w:eastAsia="Palatino Linotype" w:hAnsi="Palatino Linotype" w:cs="Palatino Linotype"/>
          <w:sz w:val="24"/>
          <w:szCs w:val="24"/>
        </w:rPr>
      </w:pPr>
    </w:p>
    <w:p w:rsidR="003C2FE3" w:rsidRPr="001B5CCC" w:rsidRDefault="001B5CCC" w:rsidP="001B5CCC">
      <w:pPr>
        <w:pStyle w:val="Prrafodelista"/>
        <w:numPr>
          <w:ilvl w:val="0"/>
          <w:numId w:val="5"/>
        </w:numPr>
        <w:pBdr>
          <w:top w:val="nil"/>
          <w:left w:val="nil"/>
          <w:bottom w:val="nil"/>
          <w:right w:val="nil"/>
          <w:between w:val="nil"/>
        </w:pBdr>
        <w:ind w:right="539"/>
        <w:jc w:val="both"/>
        <w:rPr>
          <w:rFonts w:ascii="Palatino Linotype" w:eastAsia="Palatino Linotype" w:hAnsi="Palatino Linotype" w:cs="Palatino Linotype"/>
          <w:i/>
          <w:iCs/>
          <w:color w:val="000000"/>
          <w:sz w:val="24"/>
        </w:rPr>
      </w:pPr>
      <w:r w:rsidRPr="001B5CCC">
        <w:rPr>
          <w:rFonts w:ascii="Palatino Linotype" w:eastAsia="Palatino Linotype" w:hAnsi="Palatino Linotype" w:cs="Palatino Linotype"/>
          <w:b/>
          <w:bCs/>
          <w:color w:val="000000"/>
          <w:sz w:val="24"/>
        </w:rPr>
        <w:t>ACTO IMPUGNADO</w:t>
      </w:r>
      <w:r w:rsidR="00A042D8" w:rsidRPr="001B5CCC">
        <w:rPr>
          <w:rFonts w:ascii="Palatino Linotype" w:eastAsia="Palatino Linotype" w:hAnsi="Palatino Linotype" w:cs="Palatino Linotype"/>
          <w:b/>
          <w:bCs/>
          <w:i/>
          <w:iCs/>
          <w:color w:val="000000"/>
          <w:sz w:val="24"/>
        </w:rPr>
        <w:t>:</w:t>
      </w:r>
      <w:r w:rsidR="00A042D8" w:rsidRPr="001B5CCC">
        <w:rPr>
          <w:rFonts w:ascii="Palatino Linotype" w:eastAsia="Palatino Linotype" w:hAnsi="Palatino Linotype" w:cs="Palatino Linotype"/>
          <w:color w:val="000000"/>
          <w:sz w:val="24"/>
        </w:rPr>
        <w:t xml:space="preserve"> </w:t>
      </w:r>
      <w:r w:rsidR="00A042D8" w:rsidRPr="001B5CCC">
        <w:rPr>
          <w:rFonts w:ascii="Palatino Linotype" w:eastAsia="Palatino Linotype" w:hAnsi="Palatino Linotype" w:cs="Palatino Linotype"/>
          <w:i/>
          <w:iCs/>
          <w:color w:val="000000"/>
          <w:sz w:val="24"/>
        </w:rPr>
        <w:t>“La respuesta esta incompleta” (sic)</w:t>
      </w:r>
    </w:p>
    <w:p w:rsidR="003C2FE3" w:rsidRDefault="003C2FE3">
      <w:pPr>
        <w:pBdr>
          <w:top w:val="nil"/>
          <w:left w:val="nil"/>
          <w:bottom w:val="nil"/>
          <w:right w:val="nil"/>
          <w:between w:val="nil"/>
        </w:pBdr>
        <w:spacing w:line="360" w:lineRule="auto"/>
        <w:ind w:left="720" w:right="539"/>
        <w:jc w:val="both"/>
        <w:rPr>
          <w:rFonts w:ascii="Palatino Linotype" w:eastAsia="Palatino Linotype" w:hAnsi="Palatino Linotype" w:cs="Palatino Linotype"/>
          <w:color w:val="000000"/>
          <w:sz w:val="24"/>
          <w:szCs w:val="24"/>
        </w:rPr>
      </w:pPr>
    </w:p>
    <w:p w:rsidR="003C2FE3" w:rsidRPr="001B5CCC" w:rsidRDefault="001B5CCC" w:rsidP="001B5CCC">
      <w:pPr>
        <w:pStyle w:val="Prrafodelista"/>
        <w:numPr>
          <w:ilvl w:val="0"/>
          <w:numId w:val="5"/>
        </w:numPr>
        <w:pBdr>
          <w:top w:val="nil"/>
          <w:left w:val="nil"/>
          <w:bottom w:val="nil"/>
          <w:right w:val="nil"/>
          <w:between w:val="nil"/>
        </w:pBdr>
        <w:ind w:right="539"/>
        <w:jc w:val="both"/>
        <w:rPr>
          <w:rFonts w:ascii="Palatino Linotype" w:eastAsia="Palatino Linotype" w:hAnsi="Palatino Linotype" w:cs="Palatino Linotype"/>
          <w:color w:val="000000"/>
          <w:sz w:val="24"/>
        </w:rPr>
      </w:pPr>
      <w:r w:rsidRPr="001B5CCC">
        <w:rPr>
          <w:rFonts w:ascii="Palatino Linotype" w:eastAsia="Palatino Linotype" w:hAnsi="Palatino Linotype" w:cs="Palatino Linotype"/>
          <w:b/>
          <w:bCs/>
          <w:color w:val="000000"/>
          <w:sz w:val="24"/>
        </w:rPr>
        <w:t>RAZONES O MOTIVOS DE INCONFORMIDAD</w:t>
      </w:r>
      <w:r w:rsidR="00A042D8" w:rsidRPr="001B5CCC">
        <w:rPr>
          <w:rFonts w:ascii="Palatino Linotype" w:eastAsia="Palatino Linotype" w:hAnsi="Palatino Linotype" w:cs="Palatino Linotype"/>
          <w:b/>
          <w:bCs/>
          <w:color w:val="000000"/>
          <w:sz w:val="24"/>
        </w:rPr>
        <w:t>: “</w:t>
      </w:r>
      <w:r w:rsidR="00A042D8" w:rsidRPr="001B5CCC">
        <w:rPr>
          <w:rFonts w:ascii="Palatino Linotype" w:eastAsia="Palatino Linotype" w:hAnsi="Palatino Linotype" w:cs="Palatino Linotype"/>
          <w:i/>
          <w:iCs/>
          <w:color w:val="000000"/>
          <w:sz w:val="24"/>
        </w:rPr>
        <w:t>La entrega de la información incompleta “(Sic)</w:t>
      </w:r>
    </w:p>
    <w:p w:rsidR="003C2FE3" w:rsidRDefault="003C2FE3">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3C2FE3" w:rsidRDefault="003C2FE3">
      <w:pPr>
        <w:pBdr>
          <w:top w:val="nil"/>
          <w:left w:val="nil"/>
          <w:bottom w:val="nil"/>
          <w:right w:val="nil"/>
          <w:between w:val="nil"/>
        </w:pBdr>
        <w:ind w:left="720" w:right="539" w:hanging="360"/>
        <w:jc w:val="both"/>
        <w:rPr>
          <w:rFonts w:ascii="Palatino Linotype" w:eastAsia="Palatino Linotype" w:hAnsi="Palatino Linotype" w:cs="Palatino Linotype"/>
          <w:color w:val="000000"/>
          <w:sz w:val="24"/>
          <w:szCs w:val="24"/>
        </w:rPr>
      </w:pPr>
    </w:p>
    <w:p w:rsidR="003C2FE3" w:rsidRDefault="00A042D8">
      <w:pPr>
        <w:numPr>
          <w:ilvl w:val="0"/>
          <w:numId w:val="1"/>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bCs/>
          <w:sz w:val="24"/>
          <w:szCs w:val="24"/>
        </w:rPr>
        <w:t xml:space="preserve">Ley de Transparencia y Acceso a la Información Pública del Estado de México y Municipios </w:t>
      </w:r>
      <w:r>
        <w:rPr>
          <w:rFonts w:ascii="Palatino Linotype" w:eastAsia="Palatino Linotype" w:hAnsi="Palatino Linotype" w:cs="Palatino Linotype"/>
          <w:sz w:val="24"/>
          <w:szCs w:val="24"/>
        </w:rPr>
        <w:t xml:space="preserve">se turnó a la </w:t>
      </w:r>
      <w:r>
        <w:rPr>
          <w:rFonts w:ascii="Palatino Linotype" w:eastAsia="Palatino Linotype" w:hAnsi="Palatino Linotype" w:cs="Palatino Linotype"/>
          <w:b/>
          <w:bCs/>
          <w:sz w:val="24"/>
          <w:szCs w:val="24"/>
        </w:rPr>
        <w:t xml:space="preserve">Comisionada María del Rosario Mejía Ayala, </w:t>
      </w:r>
      <w:r w:rsidR="001B5CCC">
        <w:rPr>
          <w:rFonts w:ascii="Palatino Linotype" w:eastAsia="Palatino Linotype" w:hAnsi="Palatino Linotype" w:cs="Palatino Linotype"/>
          <w:sz w:val="24"/>
          <w:szCs w:val="24"/>
        </w:rPr>
        <w:t>para</w:t>
      </w:r>
      <w:r>
        <w:rPr>
          <w:rFonts w:ascii="Palatino Linotype" w:eastAsia="Palatino Linotype" w:hAnsi="Palatino Linotype" w:cs="Palatino Linotype"/>
          <w:sz w:val="24"/>
          <w:szCs w:val="24"/>
        </w:rPr>
        <w:t xml:space="preserve"> su análisis. </w:t>
      </w:r>
    </w:p>
    <w:p w:rsidR="003C2FE3" w:rsidRDefault="003C2FE3">
      <w:pPr>
        <w:spacing w:line="360" w:lineRule="auto"/>
        <w:jc w:val="both"/>
        <w:rPr>
          <w:rFonts w:ascii="Palatino Linotype" w:eastAsia="Palatino Linotype" w:hAnsi="Palatino Linotype" w:cs="Palatino Linotype"/>
          <w:sz w:val="24"/>
          <w:szCs w:val="24"/>
        </w:rPr>
      </w:pPr>
    </w:p>
    <w:p w:rsidR="003C2FE3" w:rsidRDefault="001B5CCC">
      <w:pPr>
        <w:numPr>
          <w:ilvl w:val="0"/>
          <w:numId w:val="1"/>
        </w:numPr>
        <w:spacing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La Comisionada p</w:t>
      </w:r>
      <w:r w:rsidR="00A042D8">
        <w:rPr>
          <w:rFonts w:ascii="Palatino Linotype" w:eastAsia="Palatino Linotype" w:hAnsi="Palatino Linotype" w:cs="Palatino Linotype"/>
          <w:sz w:val="24"/>
          <w:szCs w:val="24"/>
        </w:rPr>
        <w:t xml:space="preserve">onente con fundamento en lo dispuesto por el artículo 18 fracción II de la ley de la materia, a través del acuerdo de admisión notificado el </w:t>
      </w:r>
      <w:r w:rsidR="00A042D8">
        <w:rPr>
          <w:rFonts w:ascii="Palatino Linotype" w:eastAsia="Palatino Linotype" w:hAnsi="Palatino Linotype" w:cs="Palatino Linotype"/>
          <w:b/>
          <w:bCs/>
          <w:sz w:val="24"/>
          <w:szCs w:val="24"/>
        </w:rPr>
        <w:t>primero de julio de dos mil veinticinco,</w:t>
      </w:r>
      <w:r w:rsidR="00A042D8">
        <w:rPr>
          <w:rFonts w:ascii="Palatino Linotype" w:eastAsia="Palatino Linotype" w:hAnsi="Palatino Linotype" w:cs="Palatino Linotype"/>
          <w:sz w:val="24"/>
          <w:szCs w:val="24"/>
        </w:rPr>
        <w:t xml:space="preserve"> se puso a disposición de las partes el expediente electrónico vía </w:t>
      </w:r>
      <w:r w:rsidR="00A042D8">
        <w:rPr>
          <w:rFonts w:ascii="Palatino Linotype" w:eastAsia="Palatino Linotype" w:hAnsi="Palatino Linotype" w:cs="Palatino Linotype"/>
          <w:b/>
          <w:bCs/>
          <w:sz w:val="24"/>
          <w:szCs w:val="24"/>
        </w:rPr>
        <w:t xml:space="preserve">SAIMEX </w:t>
      </w:r>
      <w:r w:rsidR="00A042D8">
        <w:rPr>
          <w:rFonts w:ascii="Palatino Linotype" w:eastAsia="Palatino Linotype" w:hAnsi="Palatino Linotype" w:cs="Palatino Linotype"/>
          <w:sz w:val="24"/>
          <w:szCs w:val="24"/>
        </w:rPr>
        <w:t xml:space="preserve">a efecto de que en un plazo máximo de siete días manifestaran lo que a derecho convinieran, ofrecieran pruebas y alegatos según corresponda al caso concreto, de esta forma para que el </w:t>
      </w:r>
      <w:r w:rsidR="00A042D8">
        <w:rPr>
          <w:rFonts w:ascii="Palatino Linotype" w:eastAsia="Palatino Linotype" w:hAnsi="Palatino Linotype" w:cs="Palatino Linotype"/>
          <w:b/>
          <w:bCs/>
          <w:sz w:val="24"/>
          <w:szCs w:val="24"/>
        </w:rPr>
        <w:t>SUJETO OBLIGADO</w:t>
      </w:r>
      <w:r w:rsidR="00A042D8">
        <w:rPr>
          <w:rFonts w:ascii="Palatino Linotype" w:eastAsia="Palatino Linotype" w:hAnsi="Palatino Linotype" w:cs="Palatino Linotype"/>
          <w:sz w:val="24"/>
          <w:szCs w:val="24"/>
        </w:rPr>
        <w:t xml:space="preserve"> presentara el informe justificado procedente. </w:t>
      </w:r>
    </w:p>
    <w:p w:rsidR="003C2FE3" w:rsidRDefault="003C2FE3">
      <w:pPr>
        <w:pBdr>
          <w:top w:val="nil"/>
          <w:left w:val="nil"/>
          <w:bottom w:val="nil"/>
          <w:right w:val="nil"/>
          <w:between w:val="nil"/>
        </w:pBdr>
        <w:ind w:left="720"/>
        <w:rPr>
          <w:rFonts w:ascii="Palatino Linotype" w:eastAsia="Palatino Linotype" w:hAnsi="Palatino Linotype" w:cs="Palatino Linotype"/>
          <w:i/>
          <w:iCs/>
          <w:color w:val="000000"/>
          <w:sz w:val="24"/>
          <w:szCs w:val="24"/>
        </w:rPr>
      </w:pPr>
    </w:p>
    <w:p w:rsidR="003C2FE3" w:rsidRDefault="00A042D8">
      <w:pPr>
        <w:numPr>
          <w:ilvl w:val="0"/>
          <w:numId w:val="1"/>
        </w:numPr>
        <w:spacing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De las constancias que obran en el expediente electrónico SAIMEX, se advierte que el </w:t>
      </w:r>
      <w:r>
        <w:rPr>
          <w:rFonts w:ascii="Palatino Linotype" w:eastAsia="Palatino Linotype" w:hAnsi="Palatino Linotype" w:cs="Palatino Linotype"/>
          <w:b/>
          <w:bCs/>
          <w:sz w:val="24"/>
          <w:szCs w:val="24"/>
        </w:rPr>
        <w:t>PARTICULAR,</w:t>
      </w:r>
      <w:r>
        <w:rPr>
          <w:rFonts w:ascii="Palatino Linotype" w:eastAsia="Palatino Linotype" w:hAnsi="Palatino Linotype" w:cs="Palatino Linotype"/>
          <w:sz w:val="24"/>
          <w:szCs w:val="24"/>
        </w:rPr>
        <w:t xml:space="preserve"> no realizó manifestación alguna.</w:t>
      </w:r>
    </w:p>
    <w:p w:rsidR="003C2FE3" w:rsidRDefault="003C2FE3">
      <w:pPr>
        <w:spacing w:line="360" w:lineRule="auto"/>
        <w:jc w:val="both"/>
        <w:rPr>
          <w:rFonts w:ascii="Palatino Linotype" w:eastAsia="Palatino Linotype" w:hAnsi="Palatino Linotype" w:cs="Palatino Linotype"/>
          <w:i/>
          <w:iCs/>
          <w:sz w:val="24"/>
          <w:szCs w:val="24"/>
        </w:rPr>
      </w:pPr>
    </w:p>
    <w:p w:rsidR="003C2FE3" w:rsidRDefault="00A042D8">
      <w:pPr>
        <w:numPr>
          <w:ilvl w:val="0"/>
          <w:numId w:val="1"/>
        </w:numPr>
        <w:spacing w:line="360" w:lineRule="auto"/>
        <w:ind w:left="0" w:firstLine="0"/>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lastRenderedPageBreak/>
        <w:t xml:space="preserve">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el diez de julio de dos mil veinticinco, rindió el Informe Justificado a través de los archivos siguientes:</w:t>
      </w:r>
    </w:p>
    <w:p w:rsidR="003C2FE3" w:rsidRDefault="00A042D8">
      <w:pPr>
        <w:numPr>
          <w:ilvl w:val="0"/>
          <w:numId w:val="4"/>
        </w:numPr>
        <w:pBdr>
          <w:top w:val="nil"/>
          <w:left w:val="nil"/>
          <w:bottom w:val="nil"/>
          <w:right w:val="nil"/>
          <w:between w:val="nil"/>
        </w:pBdr>
        <w:ind w:right="53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Ratificación 07883.pdf:</w:t>
      </w:r>
      <w:r>
        <w:rPr>
          <w:rFonts w:ascii="Palatino Linotype" w:eastAsia="Palatino Linotype" w:hAnsi="Palatino Linotype" w:cs="Palatino Linotype"/>
          <w:color w:val="000000"/>
          <w:sz w:val="24"/>
          <w:szCs w:val="24"/>
        </w:rPr>
        <w:t xml:space="preserve"> Oficio firmado por el Titular de la Unidad de Transparencia, por el que </w:t>
      </w:r>
      <w:r>
        <w:rPr>
          <w:rFonts w:ascii="Palatino Linotype" w:eastAsia="Palatino Linotype" w:hAnsi="Palatino Linotype" w:cs="Palatino Linotype"/>
          <w:sz w:val="24"/>
          <w:szCs w:val="24"/>
        </w:rPr>
        <w:t>informó</w:t>
      </w:r>
      <w:r>
        <w:rPr>
          <w:rFonts w:ascii="Palatino Linotype" w:eastAsia="Palatino Linotype" w:hAnsi="Palatino Linotype" w:cs="Palatino Linotype"/>
          <w:color w:val="000000"/>
          <w:sz w:val="24"/>
          <w:szCs w:val="24"/>
        </w:rPr>
        <w:t xml:space="preserve"> que la Secretaría Particular de la Presidencia y Servidor Público Habilitado, confirma su respuesta primigenia.</w:t>
      </w:r>
    </w:p>
    <w:p w:rsidR="003C2FE3" w:rsidRDefault="003C2FE3">
      <w:pPr>
        <w:jc w:val="both"/>
        <w:rPr>
          <w:rFonts w:ascii="Century Gothic" w:eastAsia="Century Gothic" w:hAnsi="Century Gothic" w:cs="Century Gothic"/>
          <w:sz w:val="22"/>
          <w:szCs w:val="22"/>
        </w:rPr>
      </w:pPr>
    </w:p>
    <w:p w:rsidR="003C2FE3" w:rsidRDefault="003C2FE3">
      <w:pPr>
        <w:jc w:val="both"/>
        <w:rPr>
          <w:rFonts w:ascii="Century Gothic" w:eastAsia="Century Gothic" w:hAnsi="Century Gothic" w:cs="Century Gothic"/>
          <w:sz w:val="22"/>
          <w:szCs w:val="22"/>
        </w:rPr>
      </w:pPr>
    </w:p>
    <w:p w:rsidR="003C2FE3" w:rsidRDefault="00A042D8">
      <w:pPr>
        <w:numPr>
          <w:ilvl w:val="0"/>
          <w:numId w:val="1"/>
        </w:numPr>
        <w:tabs>
          <w:tab w:val="left" w:pos="426"/>
        </w:tabs>
        <w:spacing w:line="360" w:lineRule="auto"/>
        <w:ind w:left="0" w:firstLine="0"/>
        <w:jc w:val="both"/>
        <w:rPr>
          <w:rFonts w:ascii="Palatino Linotype" w:eastAsia="Palatino Linotype" w:hAnsi="Palatino Linotype" w:cs="Palatino Linotype"/>
          <w:b/>
          <w:bCs/>
          <w:sz w:val="24"/>
          <w:szCs w:val="24"/>
          <w:u w:val="single"/>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 xml:space="preserve">doce de enero de dos mil veintiséis, </w:t>
      </w:r>
      <w:r>
        <w:rPr>
          <w:rFonts w:ascii="Palatino Linotype" w:eastAsia="Palatino Linotype" w:hAnsi="Palatino Linotype" w:cs="Palatino Linotype"/>
          <w:sz w:val="24"/>
          <w:szCs w:val="24"/>
        </w:rPr>
        <w:t>se notificó el acuerdo por el que se amplió el plazo para resolver el recurso de revisión que nos ocupa.</w:t>
      </w:r>
    </w:p>
    <w:p w:rsidR="003C2FE3" w:rsidRDefault="003C2FE3">
      <w:pPr>
        <w:tabs>
          <w:tab w:val="left" w:pos="426"/>
        </w:tabs>
        <w:spacing w:line="360" w:lineRule="auto"/>
        <w:jc w:val="both"/>
        <w:rPr>
          <w:rFonts w:ascii="Palatino Linotype" w:eastAsia="Palatino Linotype" w:hAnsi="Palatino Linotype" w:cs="Palatino Linotype"/>
          <w:b/>
          <w:bCs/>
          <w:sz w:val="24"/>
          <w:szCs w:val="24"/>
          <w:u w:val="single"/>
        </w:rPr>
      </w:pPr>
    </w:p>
    <w:p w:rsidR="003C2FE3" w:rsidRDefault="00A042D8">
      <w:pPr>
        <w:numPr>
          <w:ilvl w:val="0"/>
          <w:numId w:val="1"/>
        </w:numPr>
        <w:tabs>
          <w:tab w:val="left" w:pos="426"/>
        </w:tabs>
        <w:spacing w:line="360" w:lineRule="auto"/>
        <w:ind w:left="0" w:firstLine="0"/>
        <w:jc w:val="both"/>
        <w:rPr>
          <w:rFonts w:ascii="Palatino Linotype" w:eastAsia="Palatino Linotype" w:hAnsi="Palatino Linotype" w:cs="Palatino Linotype"/>
          <w:b/>
          <w:bCs/>
          <w:sz w:val="24"/>
          <w:szCs w:val="24"/>
          <w:u w:val="single"/>
        </w:rPr>
      </w:pPr>
      <w:r>
        <w:rPr>
          <w:rFonts w:ascii="Palatino Linotype" w:eastAsia="Palatino Linotype" w:hAnsi="Palatino Linotype" w:cs="Palatino Linotype"/>
          <w:sz w:val="24"/>
          <w:szCs w:val="24"/>
        </w:rPr>
        <w:t>El</w:t>
      </w:r>
      <w:r>
        <w:rPr>
          <w:rFonts w:ascii="Palatino Linotype" w:eastAsia="Palatino Linotype" w:hAnsi="Palatino Linotype" w:cs="Palatino Linotype"/>
          <w:b/>
          <w:bCs/>
          <w:sz w:val="24"/>
          <w:szCs w:val="24"/>
        </w:rPr>
        <w:t xml:space="preserve"> dieciséis de enero de dos mil veintiséis</w:t>
      </w:r>
      <w:r>
        <w:rPr>
          <w:rFonts w:ascii="Palatino Linotype" w:eastAsia="Palatino Linotype" w:hAnsi="Palatino Linotype" w:cs="Palatino Linotype"/>
          <w:sz w:val="24"/>
          <w:szCs w:val="24"/>
        </w:rPr>
        <w:t xml:space="preserve">, la Comisionada Ponente decretó el cierre de instrucción y al no existir diligencias por realizar y se turnó el expediente a resolución correspondiente, por lo que no habiendo más que hacer constar, y </w:t>
      </w:r>
    </w:p>
    <w:p w:rsidR="003C2FE3" w:rsidRDefault="003C2FE3">
      <w:pPr>
        <w:tabs>
          <w:tab w:val="left" w:pos="426"/>
        </w:tabs>
        <w:spacing w:line="360" w:lineRule="auto"/>
        <w:jc w:val="both"/>
        <w:rPr>
          <w:rFonts w:ascii="Palatino Linotype" w:eastAsia="Palatino Linotype" w:hAnsi="Palatino Linotype" w:cs="Palatino Linotype"/>
          <w:b/>
          <w:bCs/>
          <w:sz w:val="24"/>
          <w:szCs w:val="24"/>
          <w:u w:val="single"/>
        </w:rPr>
      </w:pPr>
    </w:p>
    <w:p w:rsidR="003C2FE3" w:rsidRDefault="00A042D8">
      <w:pPr>
        <w:keepNext/>
        <w:keepLines/>
        <w:spacing w:line="360" w:lineRule="auto"/>
        <w:jc w:val="center"/>
        <w:rPr>
          <w:rFonts w:ascii="Palatino Linotype" w:eastAsia="Palatino Linotype" w:hAnsi="Palatino Linotype" w:cs="Palatino Linotype"/>
          <w:b/>
          <w:bCs/>
          <w:sz w:val="24"/>
          <w:szCs w:val="24"/>
        </w:rPr>
      </w:pPr>
      <w:bookmarkStart w:id="3" w:name="_heading=h.30j0zll" w:colFirst="0" w:colLast="0"/>
      <w:bookmarkEnd w:id="3"/>
      <w:r>
        <w:rPr>
          <w:rFonts w:ascii="Palatino Linotype" w:eastAsia="Palatino Linotype" w:hAnsi="Palatino Linotype" w:cs="Palatino Linotype"/>
          <w:b/>
          <w:bCs/>
          <w:sz w:val="24"/>
          <w:szCs w:val="24"/>
        </w:rPr>
        <w:t>C</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O</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S</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I</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D</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R</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A</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D</w:t>
      </w:r>
      <w:r w:rsidR="001B5CCC">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 xml:space="preserve">O </w:t>
      </w:r>
    </w:p>
    <w:p w:rsidR="003C2FE3" w:rsidRDefault="003C2FE3">
      <w:pPr>
        <w:keepNext/>
        <w:keepLines/>
        <w:spacing w:line="360" w:lineRule="auto"/>
        <w:jc w:val="center"/>
        <w:rPr>
          <w:rFonts w:ascii="Palatino Linotype" w:eastAsia="Palatino Linotype" w:hAnsi="Palatino Linotype" w:cs="Palatino Linotype"/>
          <w:sz w:val="24"/>
          <w:szCs w:val="24"/>
        </w:rPr>
      </w:pPr>
    </w:p>
    <w:p w:rsidR="003C2FE3" w:rsidRDefault="00A042D8">
      <w:pPr>
        <w:keepNext/>
        <w:keepLines/>
        <w:spacing w:line="360" w:lineRule="auto"/>
        <w:rPr>
          <w:rFonts w:ascii="Palatino Linotype" w:eastAsia="Palatino Linotype" w:hAnsi="Palatino Linotype" w:cs="Palatino Linotype"/>
          <w:b/>
          <w:bCs/>
          <w:sz w:val="24"/>
          <w:szCs w:val="24"/>
        </w:rPr>
      </w:pPr>
      <w:bookmarkStart w:id="4" w:name="_heading=h.1fob9te" w:colFirst="0" w:colLast="0"/>
      <w:bookmarkEnd w:id="4"/>
      <w:r>
        <w:rPr>
          <w:rFonts w:ascii="Palatino Linotype" w:eastAsia="Palatino Linotype" w:hAnsi="Palatino Linotype" w:cs="Palatino Linotype"/>
          <w:b/>
          <w:bCs/>
          <w:sz w:val="24"/>
          <w:szCs w:val="24"/>
        </w:rPr>
        <w:t>PRIMERO. De la competencia</w:t>
      </w:r>
    </w:p>
    <w:p w:rsidR="003C2FE3" w:rsidRDefault="00A042D8">
      <w:pPr>
        <w:numPr>
          <w:ilvl w:val="0"/>
          <w:numId w:val="1"/>
        </w:numPr>
        <w:tabs>
          <w:tab w:val="left" w:pos="426"/>
        </w:tabs>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w:t>
      </w:r>
      <w:r>
        <w:rPr>
          <w:rFonts w:ascii="Palatino Linotype" w:eastAsia="Palatino Linotype" w:hAnsi="Palatino Linotype" w:cs="Palatino Linotype"/>
          <w:color w:val="000000"/>
          <w:sz w:val="24"/>
          <w:szCs w:val="24"/>
        </w:rPr>
        <w:lastRenderedPageBreak/>
        <w:t>y 11 del Reglamento Interior del Instituto de Transparencia, Acceso a la Información Pública y Protección de Datos Personales del Estado de México y Municipios.</w:t>
      </w:r>
    </w:p>
    <w:p w:rsidR="003C2FE3" w:rsidRDefault="003C2FE3">
      <w:pPr>
        <w:tabs>
          <w:tab w:val="left" w:pos="426"/>
        </w:tabs>
        <w:spacing w:line="360" w:lineRule="auto"/>
        <w:jc w:val="both"/>
        <w:rPr>
          <w:rFonts w:ascii="Palatino Linotype" w:eastAsia="Palatino Linotype" w:hAnsi="Palatino Linotype" w:cs="Palatino Linotype"/>
          <w:color w:val="000000"/>
          <w:sz w:val="24"/>
          <w:szCs w:val="24"/>
        </w:rPr>
      </w:pPr>
    </w:p>
    <w:p w:rsidR="003C2FE3" w:rsidRDefault="00A042D8">
      <w:pPr>
        <w:keepNext/>
        <w:keepLines/>
        <w:spacing w:line="360" w:lineRule="auto"/>
        <w:rPr>
          <w:rFonts w:ascii="Palatino Linotype" w:eastAsia="Palatino Linotype" w:hAnsi="Palatino Linotype" w:cs="Palatino Linotype"/>
          <w:b/>
          <w:bCs/>
          <w:sz w:val="24"/>
          <w:szCs w:val="24"/>
        </w:rPr>
      </w:pPr>
      <w:bookmarkStart w:id="5" w:name="_heading=h.3znysh7" w:colFirst="0" w:colLast="0"/>
      <w:bookmarkEnd w:id="5"/>
      <w:r>
        <w:rPr>
          <w:rFonts w:ascii="Palatino Linotype" w:eastAsia="Palatino Linotype" w:hAnsi="Palatino Linotype" w:cs="Palatino Linotype"/>
          <w:b/>
          <w:bCs/>
          <w:sz w:val="24"/>
          <w:szCs w:val="24"/>
        </w:rPr>
        <w:t>SEGUNDO. De la oportunidad y procedencia.</w:t>
      </w:r>
    </w:p>
    <w:p w:rsidR="003C2FE3" w:rsidRDefault="00A042D8">
      <w:pPr>
        <w:numPr>
          <w:ilvl w:val="0"/>
          <w:numId w:val="1"/>
        </w:numPr>
        <w:spacing w:line="360" w:lineRule="auto"/>
        <w:ind w:left="0" w:right="48"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medio de impugnación fue presentado a través del </w:t>
      </w:r>
      <w:r>
        <w:rPr>
          <w:rFonts w:ascii="Palatino Linotype" w:eastAsia="Palatino Linotype" w:hAnsi="Palatino Linotype" w:cs="Palatino Linotype"/>
          <w:b/>
          <w:bCs/>
          <w:sz w:val="24"/>
          <w:szCs w:val="24"/>
        </w:rPr>
        <w:t>SAIMEX,</w:t>
      </w:r>
      <w:r>
        <w:rPr>
          <w:rFonts w:ascii="Palatino Linotype" w:eastAsia="Palatino Linotype" w:hAnsi="Palatino Linotype" w:cs="Palatino Linotype"/>
          <w:sz w:val="24"/>
          <w:szCs w:val="24"/>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entregó respuesta el </w:t>
      </w:r>
      <w:r>
        <w:rPr>
          <w:rFonts w:ascii="Palatino Linotype" w:eastAsia="Palatino Linotype" w:hAnsi="Palatino Linotype" w:cs="Palatino Linotype"/>
          <w:b/>
          <w:bCs/>
          <w:sz w:val="24"/>
          <w:szCs w:val="24"/>
        </w:rPr>
        <w:t>veintisiete de junio de dos mil veinticinco</w:t>
      </w:r>
      <w:r>
        <w:rPr>
          <w:rFonts w:ascii="Palatino Linotype" w:eastAsia="Palatino Linotype" w:hAnsi="Palatino Linotype" w:cs="Palatino Linotype"/>
          <w:sz w:val="24"/>
          <w:szCs w:val="24"/>
        </w:rPr>
        <w:t xml:space="preserve">, de tal forma que el plazo para interponer el recurso transcurrió del </w:t>
      </w:r>
      <w:r>
        <w:rPr>
          <w:rFonts w:ascii="Palatino Linotype" w:eastAsia="Palatino Linotype" w:hAnsi="Palatino Linotype" w:cs="Palatino Linotype"/>
          <w:b/>
          <w:bCs/>
          <w:sz w:val="24"/>
          <w:szCs w:val="24"/>
        </w:rPr>
        <w:t xml:space="preserve">treinta de junio al dieciocho de julio de dos mil veinticinco, </w:t>
      </w:r>
      <w:r>
        <w:rPr>
          <w:rFonts w:ascii="Palatino Linotype" w:eastAsia="Palatino Linotype" w:hAnsi="Palatino Linotype" w:cs="Palatino Linotype"/>
          <w:sz w:val="24"/>
          <w:szCs w:val="24"/>
        </w:rPr>
        <w:t xml:space="preserve">en consecuencia, si el </w:t>
      </w:r>
      <w:r>
        <w:rPr>
          <w:rFonts w:ascii="Palatino Linotype" w:eastAsia="Palatino Linotype" w:hAnsi="Palatino Linotype" w:cs="Palatino Linotype"/>
          <w:b/>
          <w:bCs/>
          <w:sz w:val="24"/>
          <w:szCs w:val="24"/>
        </w:rPr>
        <w:t>PARTICULAR</w:t>
      </w:r>
      <w:r>
        <w:rPr>
          <w:rFonts w:ascii="Palatino Linotype" w:eastAsia="Palatino Linotype" w:hAnsi="Palatino Linotype" w:cs="Palatino Linotype"/>
          <w:sz w:val="24"/>
          <w:szCs w:val="24"/>
        </w:rPr>
        <w:t xml:space="preserve"> presentó su inconformidad el </w:t>
      </w:r>
      <w:r>
        <w:rPr>
          <w:rFonts w:ascii="Palatino Linotype" w:eastAsia="Palatino Linotype" w:hAnsi="Palatino Linotype" w:cs="Palatino Linotype"/>
          <w:b/>
          <w:bCs/>
          <w:sz w:val="24"/>
          <w:szCs w:val="24"/>
        </w:rPr>
        <w:t>veintisiete de junio de dos mil veinticinco</w:t>
      </w:r>
      <w:r>
        <w:rPr>
          <w:rFonts w:ascii="Palatino Linotype" w:eastAsia="Palatino Linotype" w:hAnsi="Palatino Linotype" w:cs="Palatino Linotype"/>
          <w:sz w:val="24"/>
          <w:szCs w:val="24"/>
        </w:rPr>
        <w:t xml:space="preserve">, este  se encuentra dentro de los márgenes temporales previstos en el artículo 178 de la </w:t>
      </w:r>
      <w:r>
        <w:rPr>
          <w:rFonts w:ascii="Palatino Linotype" w:eastAsia="Palatino Linotype" w:hAnsi="Palatino Linotype" w:cs="Palatino Linotype"/>
          <w:b/>
          <w:bCs/>
          <w:sz w:val="24"/>
          <w:szCs w:val="24"/>
        </w:rPr>
        <w:t xml:space="preserve">Ley de Transparencia y Acceso a la Información Pública del Estado de México y Municipios </w:t>
      </w:r>
      <w:r>
        <w:rPr>
          <w:rFonts w:ascii="Palatino Linotype" w:eastAsia="Palatino Linotype" w:hAnsi="Palatino Linotype" w:cs="Palatino Linotype"/>
          <w:sz w:val="24"/>
          <w:szCs w:val="24"/>
        </w:rPr>
        <w:t xml:space="preserve">vigente. </w:t>
      </w:r>
    </w:p>
    <w:p w:rsidR="003C2FE3" w:rsidRDefault="003C2FE3">
      <w:pPr>
        <w:spacing w:line="360" w:lineRule="auto"/>
        <w:ind w:right="49"/>
        <w:jc w:val="both"/>
        <w:rPr>
          <w:rFonts w:ascii="Palatino Linotype" w:eastAsia="Palatino Linotype" w:hAnsi="Palatino Linotype" w:cs="Palatino Linotype"/>
          <w:sz w:val="24"/>
          <w:szCs w:val="24"/>
        </w:rPr>
      </w:pPr>
      <w:bookmarkStart w:id="6" w:name="_heading=h.2et92p0" w:colFirst="0" w:colLast="0"/>
      <w:bookmarkEnd w:id="6"/>
    </w:p>
    <w:p w:rsidR="003C2FE3" w:rsidRDefault="00A042D8">
      <w:pPr>
        <w:pStyle w:val="Ttulo2"/>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 solicitó la información que a continuación se desagrega:</w:t>
      </w:r>
    </w:p>
    <w:p w:rsidR="003C2FE3" w:rsidRDefault="00A042D8">
      <w:pPr>
        <w:pBdr>
          <w:top w:val="nil"/>
          <w:left w:val="nil"/>
          <w:bottom w:val="nil"/>
          <w:right w:val="nil"/>
          <w:between w:val="nil"/>
        </w:pBdr>
        <w:spacing w:line="276" w:lineRule="auto"/>
        <w:ind w:left="720"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1. ¿Cuáles son los transportes de carga, con descripción del tipo de camión, número de placas y placas de procedencia, a los que los DELEGADOS DE SANTIAGO </w:t>
      </w:r>
      <w:r>
        <w:rPr>
          <w:rFonts w:ascii="Palatino Linotype" w:eastAsia="Palatino Linotype" w:hAnsi="Palatino Linotype" w:cs="Palatino Linotype"/>
          <w:sz w:val="24"/>
          <w:szCs w:val="24"/>
        </w:rPr>
        <w:t>TLACOTEPEC</w:t>
      </w:r>
      <w:r>
        <w:rPr>
          <w:rFonts w:ascii="Palatino Linotype" w:eastAsia="Palatino Linotype" w:hAnsi="Palatino Linotype" w:cs="Palatino Linotype"/>
          <w:color w:val="000000"/>
          <w:sz w:val="24"/>
          <w:szCs w:val="24"/>
        </w:rPr>
        <w:t xml:space="preserve"> han expedido unos supuestos “VISTO BUENO” para transitar en la carretera al Refugio número 248, de esta Delegación de Santiago Tlacotepec, del municipio de Toluca, Estado de México?</w:t>
      </w:r>
    </w:p>
    <w:p w:rsidR="003C2FE3" w:rsidRDefault="003C2FE3">
      <w:pPr>
        <w:pBdr>
          <w:top w:val="nil"/>
          <w:left w:val="nil"/>
          <w:bottom w:val="nil"/>
          <w:right w:val="nil"/>
          <w:between w:val="nil"/>
        </w:pBdr>
        <w:spacing w:line="276" w:lineRule="auto"/>
        <w:ind w:left="720" w:right="680"/>
        <w:jc w:val="both"/>
        <w:rPr>
          <w:rFonts w:ascii="Palatino Linotype" w:eastAsia="Palatino Linotype" w:hAnsi="Palatino Linotype" w:cs="Palatino Linotype"/>
          <w:color w:val="000000"/>
          <w:sz w:val="24"/>
          <w:szCs w:val="24"/>
        </w:rPr>
      </w:pPr>
    </w:p>
    <w:p w:rsidR="003C2FE3" w:rsidRDefault="00A042D8">
      <w:pPr>
        <w:pBdr>
          <w:top w:val="nil"/>
          <w:left w:val="nil"/>
          <w:bottom w:val="nil"/>
          <w:right w:val="nil"/>
          <w:between w:val="nil"/>
        </w:pBdr>
        <w:spacing w:line="276" w:lineRule="auto"/>
        <w:ind w:left="720"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2. ¿Soliciten a los DELEGADOS DE SANTIAGO TLACOTEPEC indiquen el fundamento legal que les otorga competencia en materia de vialidad municipal (que compete a la materia de seguridad pública municipal), para otorgar algún “VISTO BUENO” para transitar en la carretera al Refugio </w:t>
      </w:r>
      <w:r>
        <w:rPr>
          <w:rFonts w:ascii="Palatino Linotype" w:eastAsia="Palatino Linotype" w:hAnsi="Palatino Linotype" w:cs="Palatino Linotype"/>
          <w:color w:val="000000"/>
          <w:sz w:val="24"/>
          <w:szCs w:val="24"/>
        </w:rPr>
        <w:lastRenderedPageBreak/>
        <w:t xml:space="preserve">número 248, de esta Delegación de Santiago Tlacotepec, del municipio de Toluca, Estado de México? </w:t>
      </w:r>
    </w:p>
    <w:p w:rsidR="003C2FE3" w:rsidRDefault="00A042D8">
      <w:pPr>
        <w:pBdr>
          <w:top w:val="nil"/>
          <w:left w:val="nil"/>
          <w:bottom w:val="nil"/>
          <w:right w:val="nil"/>
          <w:between w:val="nil"/>
        </w:pBdr>
        <w:spacing w:line="276" w:lineRule="auto"/>
        <w:ind w:left="720"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3. ¿Soliciten a los DELEGADOS DE SANTIAGO TLACOTEPEC indiquen si conocen la restricción legal que prevé los artículos 9 y 176 del Código Penal del Estado de México?.</w:t>
      </w:r>
    </w:p>
    <w:p w:rsidR="003C2FE3" w:rsidRDefault="003C2FE3">
      <w:pPr>
        <w:pBdr>
          <w:top w:val="nil"/>
          <w:left w:val="nil"/>
          <w:bottom w:val="nil"/>
          <w:right w:val="nil"/>
          <w:between w:val="nil"/>
        </w:pBdr>
        <w:spacing w:line="276" w:lineRule="auto"/>
        <w:ind w:left="720" w:right="680"/>
        <w:jc w:val="both"/>
        <w:rPr>
          <w:rFonts w:ascii="Palatino Linotype" w:eastAsia="Palatino Linotype" w:hAnsi="Palatino Linotype" w:cs="Palatino Linotype"/>
          <w:color w:val="000000"/>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dio respuesta como quedó referido en el numeral 2 de la presente resolución. </w:t>
      </w:r>
    </w:p>
    <w:p w:rsidR="003C2FE3" w:rsidRDefault="003C2FE3">
      <w:pPr>
        <w:spacing w:line="360" w:lineRule="auto"/>
        <w:ind w:right="49"/>
        <w:jc w:val="both"/>
        <w:rPr>
          <w:rFonts w:ascii="Palatino Linotype" w:eastAsia="Palatino Linotype" w:hAnsi="Palatino Linotype" w:cs="Palatino Linotype"/>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Inconforme con lo anterior, el ahora </w:t>
      </w:r>
      <w:r>
        <w:rPr>
          <w:rFonts w:ascii="Palatino Linotype" w:eastAsia="Palatino Linotype" w:hAnsi="Palatino Linotype" w:cs="Palatino Linotype"/>
          <w:b/>
          <w:bCs/>
          <w:sz w:val="24"/>
          <w:szCs w:val="24"/>
        </w:rPr>
        <w:t xml:space="preserve">RECURRENTE </w:t>
      </w:r>
      <w:r>
        <w:rPr>
          <w:rFonts w:ascii="Palatino Linotype" w:eastAsia="Palatino Linotype" w:hAnsi="Palatino Linotype" w:cs="Palatino Linotype"/>
          <w:sz w:val="24"/>
          <w:szCs w:val="24"/>
        </w:rPr>
        <w:t>interpuso Recurso de Revisión arguyendo medularmente la entrega de la información de manera incompleta.</w:t>
      </w:r>
    </w:p>
    <w:p w:rsidR="003C2FE3" w:rsidRDefault="003C2FE3">
      <w:pPr>
        <w:spacing w:line="360" w:lineRule="auto"/>
        <w:ind w:right="49"/>
        <w:jc w:val="both"/>
        <w:rPr>
          <w:rFonts w:ascii="Palatino Linotype" w:eastAsia="Palatino Linotype" w:hAnsi="Palatino Linotype" w:cs="Palatino Linotype"/>
          <w:i/>
          <w:iCs/>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dichas condiciones, la </w:t>
      </w:r>
      <w:r>
        <w:rPr>
          <w:rFonts w:ascii="Palatino Linotype" w:eastAsia="Palatino Linotype" w:hAnsi="Palatino Linotype" w:cs="Palatino Linotype"/>
          <w:i/>
          <w:iCs/>
          <w:sz w:val="24"/>
          <w:szCs w:val="24"/>
        </w:rPr>
        <w:t>Litis</w:t>
      </w:r>
      <w:r>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fracción</w:t>
      </w:r>
      <w:r>
        <w:rPr>
          <w:rFonts w:ascii="Palatino Linotype" w:eastAsia="Palatino Linotype" w:hAnsi="Palatino Linotype" w:cs="Palatino Linotype"/>
          <w:b/>
          <w:bCs/>
          <w:sz w:val="24"/>
          <w:szCs w:val="24"/>
        </w:rPr>
        <w:t xml:space="preserve"> V </w:t>
      </w:r>
      <w:r>
        <w:rPr>
          <w:rFonts w:ascii="Palatino Linotype" w:eastAsia="Palatino Linotype" w:hAnsi="Palatino Linotype" w:cs="Palatino Linotype"/>
          <w:sz w:val="24"/>
          <w:szCs w:val="24"/>
        </w:rPr>
        <w:t xml:space="preserve">de la </w:t>
      </w:r>
      <w:r>
        <w:rPr>
          <w:rFonts w:ascii="Palatino Linotype" w:eastAsia="Palatino Linotype" w:hAnsi="Palatino Linotype" w:cs="Palatino Linotype"/>
          <w:b/>
          <w:bCs/>
          <w:sz w:val="24"/>
          <w:szCs w:val="24"/>
        </w:rPr>
        <w:t>Ley de Transparencia y Acceso a la Información Pública del Estado de México y Municipios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fracción que determina las hipótesis jurídica relativa a La entrega de información incompleta; </w:t>
      </w:r>
      <w:r>
        <w:rPr>
          <w:rFonts w:ascii="Palatino Linotype" w:eastAsia="Palatino Linotype" w:hAnsi="Palatino Linotype" w:cs="Palatino Linotype"/>
          <w:sz w:val="24"/>
          <w:szCs w:val="24"/>
        </w:rPr>
        <w:t xml:space="preserve">contexto del cual se dolió </w:t>
      </w:r>
      <w:r>
        <w:rPr>
          <w:rFonts w:ascii="Palatino Linotype" w:eastAsia="Palatino Linotype" w:hAnsi="Palatino Linotype" w:cs="Palatino Linotype"/>
          <w:b/>
          <w:bCs/>
          <w:sz w:val="24"/>
          <w:szCs w:val="24"/>
        </w:rPr>
        <w:t xml:space="preserve">EL RECURRENTE </w:t>
      </w:r>
      <w:r>
        <w:rPr>
          <w:rFonts w:ascii="Palatino Linotype" w:eastAsia="Palatino Linotype" w:hAnsi="Palatino Linotype" w:cs="Palatino Linotype"/>
          <w:sz w:val="24"/>
          <w:szCs w:val="24"/>
        </w:rPr>
        <w:t>al momento de interponer su inconformidad.</w:t>
      </w:r>
      <w:r>
        <w:rPr>
          <w:rFonts w:ascii="Palatino Linotype" w:eastAsia="Palatino Linotype" w:hAnsi="Palatino Linotype" w:cs="Palatino Linotype"/>
          <w:color w:val="000000"/>
          <w:sz w:val="24"/>
          <w:szCs w:val="24"/>
        </w:rPr>
        <w:t xml:space="preserve"> De modo tal que, el presente recurso de revisión se abocara en determinar si el </w:t>
      </w:r>
      <w:r>
        <w:rPr>
          <w:rFonts w:ascii="Palatino Linotype" w:eastAsia="Palatino Linotype" w:hAnsi="Palatino Linotype" w:cs="Palatino Linotype"/>
          <w:b/>
          <w:bCs/>
          <w:color w:val="000000"/>
          <w:sz w:val="24"/>
          <w:szCs w:val="24"/>
        </w:rPr>
        <w:t>SUJETO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bCs/>
          <w:color w:val="000000"/>
          <w:sz w:val="24"/>
          <w:szCs w:val="24"/>
        </w:rPr>
        <w:t>OBLIGADO</w:t>
      </w:r>
      <w:r>
        <w:rPr>
          <w:rFonts w:ascii="Palatino Linotype" w:eastAsia="Palatino Linotype" w:hAnsi="Palatino Linotype" w:cs="Palatino Linotype"/>
          <w:color w:val="000000"/>
          <w:sz w:val="24"/>
          <w:szCs w:val="24"/>
        </w:rPr>
        <w:t xml:space="preserve"> con su respuesta ciertamente actualiza la causal de procedencia</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antes señalada. Así como comprobar si la respuesta emitida resulta congruente e integral en términos del artículo 11 de la ley de la materia.</w:t>
      </w:r>
    </w:p>
    <w:p w:rsidR="003C2FE3" w:rsidRDefault="003C2FE3">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3C2FE3" w:rsidRDefault="00A042D8">
      <w:pPr>
        <w:pStyle w:val="Ttulo2"/>
        <w:rPr>
          <w:rFonts w:ascii="Palatino Linotype" w:eastAsia="Palatino Linotype" w:hAnsi="Palatino Linotype" w:cs="Palatino Linotype"/>
          <w:b/>
          <w:bCs/>
          <w:color w:val="000000"/>
          <w:sz w:val="24"/>
          <w:szCs w:val="24"/>
        </w:rPr>
      </w:pPr>
      <w:bookmarkStart w:id="7" w:name="_heading=h.3dy6vkm" w:colFirst="0" w:colLast="0"/>
      <w:bookmarkEnd w:id="7"/>
      <w:r>
        <w:rPr>
          <w:rFonts w:ascii="Palatino Linotype" w:eastAsia="Palatino Linotype" w:hAnsi="Palatino Linotype" w:cs="Palatino Linotype"/>
          <w:b/>
          <w:bCs/>
          <w:color w:val="000000"/>
          <w:sz w:val="24"/>
          <w:szCs w:val="24"/>
        </w:rPr>
        <w:t>CUARTO. Del estudio y resolución del asunto.</w:t>
      </w: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bookmarkStart w:id="8" w:name="_heading=h.ajlvdz2grbsr" w:colFirst="0" w:colLast="0"/>
      <w:bookmarkEnd w:id="8"/>
      <w:r>
        <w:rPr>
          <w:rFonts w:ascii="Palatino Linotype" w:eastAsia="Palatino Linotype" w:hAnsi="Palatino Linotype" w:cs="Palatino Linotype"/>
          <w:sz w:val="24"/>
          <w:szCs w:val="24"/>
        </w:rPr>
        <w:t xml:space="preserve">Dicho lo anterior, este Órgano Resolutor se avocara a realizar el estudio en conjunto de todas las constancias que obran en el SAIMEX, con la finalidad de poder determinar si </w:t>
      </w:r>
      <w:r>
        <w:rPr>
          <w:rFonts w:ascii="Palatino Linotype" w:eastAsia="Palatino Linotype" w:hAnsi="Palatino Linotype" w:cs="Palatino Linotype"/>
          <w:sz w:val="24"/>
          <w:szCs w:val="24"/>
        </w:rPr>
        <w:lastRenderedPageBreak/>
        <w:t xml:space="preserve">los motivos de inconformidad hechos valer por el ahora </w:t>
      </w:r>
      <w:r>
        <w:rPr>
          <w:rFonts w:ascii="Palatino Linotype" w:eastAsia="Palatino Linotype" w:hAnsi="Palatino Linotype" w:cs="Palatino Linotype"/>
          <w:b/>
          <w:bCs/>
          <w:sz w:val="24"/>
          <w:szCs w:val="24"/>
        </w:rPr>
        <w:t xml:space="preserve">RECURRENTE, </w:t>
      </w:r>
      <w:r>
        <w:rPr>
          <w:rFonts w:ascii="Palatino Linotype" w:eastAsia="Palatino Linotype" w:hAnsi="Palatino Linotype" w:cs="Palatino Linotype"/>
          <w:sz w:val="24"/>
          <w:szCs w:val="24"/>
        </w:rPr>
        <w:t>resultan fundados, por lo que respecto a la fuente obligacional, se refiere lo siguiente:</w:t>
      </w:r>
    </w:p>
    <w:p w:rsidR="003C2FE3" w:rsidRDefault="00A042D8">
      <w:pPr>
        <w:spacing w:line="360" w:lineRule="auto"/>
        <w:ind w:right="49"/>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BANDO MUNICIPAL</w:t>
      </w:r>
    </w:p>
    <w:p w:rsidR="003C2FE3" w:rsidRDefault="003C2FE3">
      <w:pPr>
        <w:spacing w:line="360" w:lineRule="auto"/>
        <w:ind w:right="49"/>
        <w:jc w:val="center"/>
        <w:rPr>
          <w:rFonts w:ascii="Palatino Linotype" w:eastAsia="Palatino Linotype" w:hAnsi="Palatino Linotype" w:cs="Palatino Linotype"/>
          <w:b/>
          <w:bCs/>
          <w:sz w:val="24"/>
          <w:szCs w:val="24"/>
        </w:rPr>
      </w:pPr>
    </w:p>
    <w:p w:rsidR="003C2FE3" w:rsidRDefault="00A042D8">
      <w:pPr>
        <w:ind w:left="426" w:right="397"/>
        <w:jc w:val="center"/>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TÍTULO SÉPTIMO: DE LA ADMINISTRACIÓN PÚBLICA MUNICIPAL CAPÍTULO PRIMERO: DEL GOBIERNO Y SU ORGANIZACIÓN</w:t>
      </w:r>
    </w:p>
    <w:p w:rsidR="003C2FE3" w:rsidRDefault="003C2FE3">
      <w:pPr>
        <w:ind w:left="426" w:right="397"/>
        <w:jc w:val="both"/>
        <w:rPr>
          <w:rFonts w:ascii="Palatino Linotype" w:eastAsia="Palatino Linotype" w:hAnsi="Palatino Linotype" w:cs="Palatino Linotype"/>
          <w:b/>
          <w:bCs/>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Artículo 89</w:t>
      </w:r>
      <w:r>
        <w:rPr>
          <w:rFonts w:ascii="Palatino Linotype" w:eastAsia="Palatino Linotype" w:hAnsi="Palatino Linotype" w:cs="Palatino Linotype"/>
          <w:i/>
          <w:iCs/>
          <w:sz w:val="24"/>
          <w:szCs w:val="24"/>
        </w:rPr>
        <w:t>.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 xml:space="preserve"> Artículo 90</w:t>
      </w:r>
      <w:r>
        <w:rPr>
          <w:rFonts w:ascii="Palatino Linotype" w:eastAsia="Palatino Linotype" w:hAnsi="Palatino Linotype" w:cs="Palatino Linotype"/>
          <w:i/>
          <w:iCs/>
          <w:sz w:val="24"/>
          <w:szCs w:val="24"/>
        </w:rPr>
        <w:t>.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 xml:space="preserve"> I. DEPENDENCIAS</w:t>
      </w:r>
      <w:r>
        <w:rPr>
          <w:rFonts w:ascii="Palatino Linotype" w:eastAsia="Palatino Linotype" w:hAnsi="Palatino Linotype" w:cs="Palatino Linotype"/>
          <w:i/>
          <w:iCs/>
          <w:sz w:val="24"/>
          <w:szCs w:val="24"/>
        </w:rPr>
        <w:t>:</w:t>
      </w:r>
    </w:p>
    <w:p w:rsidR="003C2FE3" w:rsidRDefault="00A042D8">
      <w:pPr>
        <w:ind w:left="426" w:right="397"/>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 xml:space="preserve"> 1.Secretaría del Ayuntamiento; </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2.Tesorería Municipal;</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3.Órgano Interno de Control; </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4.Dirección General de Gobierno; </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5.Dirección General de Seguridad y Protección; </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6.Dirección General de Administración; </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7.Dirección General de Medio Ambiente;</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8.Dirección General de Servicios Públicos;</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9.Dirección General de Innovación, Planeación y Gestión Urbana;</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10.Dirección General de Obras Públicas; </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11.Dirección General de Desarrollo Económico; </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12.Dirección General de Bienestar; y </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13.Dirección General de Educación, Cultura y Turismo.</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lastRenderedPageBreak/>
        <w:t>Artículo 92.</w:t>
      </w:r>
      <w:r>
        <w:rPr>
          <w:rFonts w:ascii="Palatino Linotype" w:eastAsia="Palatino Linotype" w:hAnsi="Palatino Linotype" w:cs="Palatino Linotype"/>
          <w:i/>
          <w:iCs/>
          <w:sz w:val="24"/>
          <w:szCs w:val="24"/>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 La persona titular de la Secretaría del Ayuntamiento estará a cargo de una Secretaria o Secretario, quien tendrá como principales funciones auxiliar a la Presidenta o Presidente Municipal, formular el proyecto de orden del día de las sesiones de cabildo, así como emitir las convocatorias, asistir y levantar las actas correspondientes, elaborar los informes mensuales y trimestrales de las comisiones edilicias y fomentar la participación ciudadana en apoyo de los programas sociales municipales.</w:t>
      </w:r>
    </w:p>
    <w:p w:rsidR="003C2FE3" w:rsidRDefault="003C2FE3">
      <w:pPr>
        <w:ind w:left="426" w:right="397"/>
        <w:jc w:val="both"/>
        <w:rPr>
          <w:rFonts w:ascii="Palatino Linotype" w:eastAsia="Palatino Linotype" w:hAnsi="Palatino Linotype" w:cs="Palatino Linotype"/>
          <w:i/>
          <w:iCs/>
          <w:sz w:val="24"/>
          <w:szCs w:val="24"/>
        </w:rPr>
      </w:pP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MANUAL DE ORGANIZACIÓN DE LA SECRETARIA DEL AYUNTAMIENTO</w:t>
      </w:r>
    </w:p>
    <w:p w:rsidR="003C2FE3" w:rsidRDefault="003C2FE3">
      <w:pPr>
        <w:ind w:left="426" w:right="397"/>
        <w:jc w:val="both"/>
        <w:rPr>
          <w:rFonts w:ascii="Palatino Linotype" w:eastAsia="Palatino Linotype" w:hAnsi="Palatino Linotype" w:cs="Palatino Linotype"/>
          <w:b/>
          <w:bCs/>
          <w:i/>
          <w:iCs/>
          <w:sz w:val="24"/>
          <w:szCs w:val="24"/>
        </w:rPr>
      </w:pPr>
    </w:p>
    <w:p w:rsidR="003C2FE3" w:rsidRDefault="003C2FE3">
      <w:pPr>
        <w:ind w:left="426" w:right="397"/>
        <w:jc w:val="both"/>
        <w:rPr>
          <w:rFonts w:ascii="Palatino Linotype" w:eastAsia="Palatino Linotype" w:hAnsi="Palatino Linotype" w:cs="Palatino Linotype"/>
          <w:b/>
          <w:bCs/>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IX. OBJETIVO Y FUNCIONES DE LAS UNIDADES ADMINISTRATIVAS </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2010A0000 Secretaría del Ayuntamiento </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Objetivo</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Verificar la asistencia, presentar y desahogar el orden del día en el desarrollo de las sesiones de Cabildo y auxiliar a la o el titular del Ejecutivo Municipal en la instrumentación de políticas públicas que permitan el fortalecimiento, legitimación y respaldo de las acciones del gobierno municipal; expedir constancias, certificaciones y demás documentos públicos que legalmente procedan o los que acuerde el Ayuntamiento; vigilar, resguardar y actualizar la documentación y el acervo bibliohemerográfico de los archivos histórico y de concentración del municipio así como del patrimonio municipal.</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Planear, organizar y dirigir las responsabilidades del gobierno municipal en materia de planeación del desarrollo; transparencia y acceso ciudadano a la información pública; desarrollo institucional; operación y funcionamiento de las autoridades auxiliares. </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Asimismo, planear, supervisar y coordinar la asesoría y consulta jurídica que requieran las unidades administrativas y la impartición de justicia administrativa en el municipio.</w:t>
      </w:r>
    </w:p>
    <w:p w:rsidR="003C2FE3" w:rsidRDefault="003C2FE3">
      <w:pPr>
        <w:ind w:left="426" w:right="397"/>
        <w:jc w:val="both"/>
        <w:rPr>
          <w:rFonts w:ascii="Palatino Linotype" w:eastAsia="Palatino Linotype" w:hAnsi="Palatino Linotype" w:cs="Palatino Linotype"/>
          <w:b/>
          <w:bCs/>
          <w:i/>
          <w:iCs/>
          <w:sz w:val="24"/>
          <w:szCs w:val="24"/>
        </w:rPr>
      </w:pPr>
    </w:p>
    <w:p w:rsidR="003C2FE3" w:rsidRDefault="00A042D8">
      <w:pPr>
        <w:ind w:left="426" w:right="397"/>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Funciones:</w:t>
      </w:r>
    </w:p>
    <w:p w:rsidR="003C2FE3" w:rsidRDefault="003C2FE3">
      <w:pPr>
        <w:ind w:left="426" w:right="397"/>
        <w:jc w:val="both"/>
        <w:rPr>
          <w:rFonts w:ascii="Palatino Linotype" w:eastAsia="Palatino Linotype" w:hAnsi="Palatino Linotype" w:cs="Palatino Linotype"/>
          <w:b/>
          <w:bCs/>
          <w:i/>
          <w:iCs/>
          <w:sz w:val="24"/>
          <w:szCs w:val="24"/>
        </w:rPr>
      </w:pPr>
    </w:p>
    <w:p w:rsidR="003C2FE3" w:rsidRDefault="00A042D8">
      <w:pPr>
        <w:ind w:left="426" w:right="397"/>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25. Coordinar el proceso de elección de las y los delegados y subdelegados, consejos de participación ciudadana y las y los jefes de manzana del Municipio de Toluca y mantener comunicación permanente con estas autoridades para coadyuvar en el desarrollo de sus programas de trabajo;</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26. Dirigir y coordinar la selección de las y los ciudadanos que pretendan ser electos como delegados, subdelegados e integrantes de los consejos de participación ciudadana;</w:t>
      </w:r>
    </w:p>
    <w:p w:rsidR="003C2FE3" w:rsidRDefault="003C2FE3">
      <w:pPr>
        <w:ind w:left="426" w:right="397"/>
        <w:jc w:val="both"/>
        <w:rPr>
          <w:rFonts w:ascii="Palatino Linotype" w:eastAsia="Palatino Linotype" w:hAnsi="Palatino Linotype" w:cs="Palatino Linotype"/>
          <w:b/>
          <w:bCs/>
          <w:i/>
          <w:iCs/>
          <w:sz w:val="24"/>
          <w:szCs w:val="24"/>
        </w:rPr>
      </w:pPr>
    </w:p>
    <w:p w:rsidR="003C2FE3" w:rsidRDefault="00A042D8">
      <w:pPr>
        <w:ind w:left="426" w:right="397"/>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w:t>
      </w:r>
    </w:p>
    <w:p w:rsidR="003C2FE3" w:rsidRDefault="003C2FE3">
      <w:pPr>
        <w:ind w:left="426" w:right="397"/>
        <w:jc w:val="both"/>
        <w:rPr>
          <w:rFonts w:ascii="Palatino Linotype" w:eastAsia="Palatino Linotype" w:hAnsi="Palatino Linotype" w:cs="Palatino Linotype"/>
          <w:b/>
          <w:bCs/>
          <w:i/>
          <w:iCs/>
          <w:sz w:val="24"/>
          <w:szCs w:val="24"/>
        </w:rPr>
      </w:pPr>
    </w:p>
    <w:p w:rsidR="003C2FE3" w:rsidRDefault="00A042D8">
      <w:pPr>
        <w:ind w:left="426" w:right="397"/>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V. ATRIBUCIONES SECCIÓN SEGUNDA DE LA SECRETARÍA DEL AYUNTAMIENTO</w:t>
      </w:r>
    </w:p>
    <w:p w:rsidR="003C2FE3" w:rsidRDefault="003C2FE3">
      <w:pPr>
        <w:ind w:left="426" w:right="397"/>
        <w:jc w:val="both"/>
        <w:rPr>
          <w:rFonts w:ascii="Palatino Linotype" w:eastAsia="Palatino Linotype" w:hAnsi="Palatino Linotype" w:cs="Palatino Linotype"/>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Artículo 3.11. A la o el titular de la Secretaría del Ayuntamiento le corresponde, además de las atribuciones que le confiere la Ley Orgánica Municipal, el despacho de los siguientes asuntos:</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XXIII. Apoyar a la comisión edilicia transitoria en el proceso de elección de delegados, subdelegados y consejos de participación ciudadana;</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XXIV. Coordinar el proceso de elección de las y los delegados y subdelegados, consejos de participación ciudadana, de las y los jefes de manzana del municipio de Toluca y mantener comunicación permanente con estas autoridades, para coadyuvar en el desarrollo de sus programas de trabajo;</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w:t>
      </w: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lastRenderedPageBreak/>
        <w:t>XXV. Fomentar el manejo transparente y adecuado de los recursos económicos que, de acuerdo a los programas o acciones que conforman su plan de trabajo, administren las delegadas o delegados, subdelegadas o subdelegados;</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w:t>
      </w:r>
    </w:p>
    <w:p w:rsidR="003C2FE3" w:rsidRDefault="003C2FE3">
      <w:pPr>
        <w:ind w:left="426" w:right="397"/>
        <w:jc w:val="both"/>
        <w:rPr>
          <w:rFonts w:ascii="Palatino Linotype" w:eastAsia="Palatino Linotype" w:hAnsi="Palatino Linotype" w:cs="Palatino Linotype"/>
          <w:i/>
          <w:iCs/>
          <w:sz w:val="24"/>
          <w:szCs w:val="24"/>
        </w:rPr>
      </w:pPr>
    </w:p>
    <w:p w:rsidR="003C2FE3" w:rsidRDefault="00A042D8">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XXVI. Verificar que las delegadas o delegados, subdelegadas o subdelegados rindan un informe a sus representados y al ayuntamiento a través de la Comisión de Desarrollo Social, Participación Ciudadana y Apoyo al Migrante, así como que cumplan con las disposiciones legales aplicables en el ejercicio de sus funciones;</w:t>
      </w:r>
    </w:p>
    <w:p w:rsidR="003C2FE3" w:rsidRDefault="003C2FE3">
      <w:pPr>
        <w:ind w:left="426" w:right="397"/>
        <w:jc w:val="both"/>
        <w:rPr>
          <w:rFonts w:ascii="Palatino Linotype" w:eastAsia="Palatino Linotype" w:hAnsi="Palatino Linotype" w:cs="Palatino Linotype"/>
          <w:sz w:val="24"/>
          <w:szCs w:val="24"/>
        </w:rPr>
      </w:pPr>
    </w:p>
    <w:p w:rsidR="003C2FE3" w:rsidRDefault="003C2FE3">
      <w:pPr>
        <w:ind w:left="426" w:right="397"/>
        <w:jc w:val="both"/>
        <w:rPr>
          <w:rFonts w:ascii="Palatino Linotype" w:eastAsia="Palatino Linotype" w:hAnsi="Palatino Linotype" w:cs="Palatino Linotype"/>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advierte que derivado de que la información fue solicitada de los Delegados Municipales de Santiago Tlacotepec, luego entonces, de acuerdo a las funciones y atribuciones de la Secretaría del Ayuntamiento, se advierte que quien dio respuesta, fue el  Servidor Público Habilitado para tal efecto. </w:t>
      </w:r>
    </w:p>
    <w:p w:rsidR="003C2FE3" w:rsidRDefault="003C2FE3">
      <w:pPr>
        <w:spacing w:line="360" w:lineRule="auto"/>
        <w:ind w:right="49"/>
        <w:jc w:val="both"/>
        <w:rPr>
          <w:rFonts w:ascii="Palatino Linotype" w:eastAsia="Palatino Linotype" w:hAnsi="Palatino Linotype" w:cs="Palatino Linotype"/>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Precisado lo anterior, respecto lo solicitado, primeramente se advierte que, de acuerdo a las funciones y/o atribuciones de los Delegados Municipales, estos son autoridades auxiliares que </w:t>
      </w:r>
      <w:r>
        <w:rPr>
          <w:rFonts w:ascii="Palatino Linotype" w:eastAsia="Palatino Linotype" w:hAnsi="Palatino Linotype" w:cs="Palatino Linotype"/>
          <w:b/>
          <w:bCs/>
          <w:sz w:val="24"/>
          <w:szCs w:val="24"/>
        </w:rPr>
        <w:t>representan al Ayuntamiento</w:t>
      </w:r>
      <w:r>
        <w:rPr>
          <w:rFonts w:ascii="Palatino Linotype" w:eastAsia="Palatino Linotype" w:hAnsi="Palatino Linotype" w:cs="Palatino Linotype"/>
          <w:sz w:val="24"/>
          <w:szCs w:val="24"/>
        </w:rPr>
        <w:t> en sus localidades, actuando como </w:t>
      </w:r>
      <w:r>
        <w:rPr>
          <w:rFonts w:ascii="Palatino Linotype" w:eastAsia="Palatino Linotype" w:hAnsi="Palatino Linotype" w:cs="Palatino Linotype"/>
          <w:b/>
          <w:bCs/>
          <w:sz w:val="24"/>
          <w:szCs w:val="24"/>
        </w:rPr>
        <w:t>vínculo con la ciudadanía</w:t>
      </w:r>
      <w:r>
        <w:rPr>
          <w:rFonts w:ascii="Palatino Linotype" w:eastAsia="Palatino Linotype" w:hAnsi="Palatino Linotype" w:cs="Palatino Linotype"/>
          <w:sz w:val="24"/>
          <w:szCs w:val="24"/>
        </w:rPr>
        <w:t> para gestionar problemáticas, promover el bienestar, y asegurar el cumplimiento del Bando Municipal y reglamentos, enfocándose en la </w:t>
      </w:r>
      <w:r>
        <w:rPr>
          <w:rFonts w:ascii="Palatino Linotype" w:eastAsia="Palatino Linotype" w:hAnsi="Palatino Linotype" w:cs="Palatino Linotype"/>
          <w:b/>
          <w:bCs/>
          <w:sz w:val="24"/>
          <w:szCs w:val="24"/>
        </w:rPr>
        <w:t>participación ciudadana</w:t>
      </w:r>
      <w:r>
        <w:rPr>
          <w:rFonts w:ascii="Palatino Linotype" w:eastAsia="Palatino Linotype" w:hAnsi="Palatino Linotype" w:cs="Palatino Linotype"/>
          <w:sz w:val="24"/>
          <w:szCs w:val="24"/>
        </w:rPr>
        <w:t> y la difusión de programas y políticas públicas municipales en áreas como </w:t>
      </w:r>
      <w:r>
        <w:rPr>
          <w:rFonts w:ascii="Palatino Linotype" w:eastAsia="Palatino Linotype" w:hAnsi="Palatino Linotype" w:cs="Palatino Linotype"/>
          <w:b/>
          <w:bCs/>
          <w:sz w:val="24"/>
          <w:szCs w:val="24"/>
        </w:rPr>
        <w:t>sociales, culturales, deportivos y ambientales</w:t>
      </w:r>
      <w:r>
        <w:rPr>
          <w:rFonts w:ascii="Palatino Linotype" w:eastAsia="Palatino Linotype" w:hAnsi="Palatino Linotype" w:cs="Palatino Linotype"/>
          <w:sz w:val="24"/>
          <w:szCs w:val="24"/>
        </w:rPr>
        <w:t>. Sus funciones incluyen ser enlace ciudadano, vigilar el orden, promover eventos y gestionar necesidades, aunque con </w:t>
      </w:r>
      <w:r>
        <w:rPr>
          <w:rFonts w:ascii="Palatino Linotype" w:eastAsia="Palatino Linotype" w:hAnsi="Palatino Linotype" w:cs="Palatino Linotype"/>
          <w:b/>
          <w:bCs/>
          <w:sz w:val="24"/>
          <w:szCs w:val="24"/>
        </w:rPr>
        <w:t>prohibiciones claras</w:t>
      </w:r>
      <w:r>
        <w:rPr>
          <w:rFonts w:ascii="Palatino Linotype" w:eastAsia="Palatino Linotype" w:hAnsi="Palatino Linotype" w:cs="Palatino Linotype"/>
          <w:sz w:val="24"/>
          <w:szCs w:val="24"/>
        </w:rPr>
        <w:t> como cobrar impuestos o autorizar licencias sin facultad, entre otros.</w:t>
      </w: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 Ahora bien por lo que hace a la respuesta proporcionada, se refiere lo siguiente:</w:t>
      </w:r>
    </w:p>
    <w:p w:rsidR="003C2FE3" w:rsidRDefault="003C2FE3">
      <w:pPr>
        <w:spacing w:line="360" w:lineRule="auto"/>
        <w:ind w:right="49"/>
        <w:jc w:val="both"/>
        <w:rPr>
          <w:rFonts w:ascii="Palatino Linotype" w:eastAsia="Palatino Linotype" w:hAnsi="Palatino Linotype" w:cs="Palatino Linotype"/>
          <w:sz w:val="24"/>
          <w:szCs w:val="24"/>
        </w:rPr>
      </w:pPr>
    </w:p>
    <w:tbl>
      <w:tblPr>
        <w:tblStyle w:val="a"/>
        <w:tblW w:w="9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402"/>
        <w:gridCol w:w="3012"/>
      </w:tblGrid>
      <w:tr w:rsidR="003C2FE3" w:rsidRPr="001B5CCC" w:rsidTr="001B5CCC">
        <w:tc>
          <w:tcPr>
            <w:tcW w:w="3256" w:type="dxa"/>
            <w:shd w:val="clear" w:color="auto" w:fill="D5DCE4"/>
            <w:vAlign w:val="center"/>
          </w:tcPr>
          <w:p w:rsidR="003C2FE3" w:rsidRPr="001B5CCC" w:rsidRDefault="00A042D8">
            <w:pPr>
              <w:ind w:right="49"/>
              <w:jc w:val="center"/>
              <w:rPr>
                <w:rFonts w:ascii="Palatino Linotype" w:eastAsia="Palatino Linotype" w:hAnsi="Palatino Linotype" w:cs="Palatino Linotype"/>
                <w:b/>
                <w:bCs/>
                <w:sz w:val="24"/>
                <w:szCs w:val="22"/>
              </w:rPr>
            </w:pPr>
            <w:r w:rsidRPr="001B5CCC">
              <w:rPr>
                <w:rFonts w:ascii="Palatino Linotype" w:eastAsia="Palatino Linotype" w:hAnsi="Palatino Linotype" w:cs="Palatino Linotype"/>
                <w:b/>
                <w:bCs/>
                <w:sz w:val="24"/>
                <w:szCs w:val="22"/>
              </w:rPr>
              <w:t>Solicitud</w:t>
            </w:r>
          </w:p>
        </w:tc>
        <w:tc>
          <w:tcPr>
            <w:tcW w:w="3402" w:type="dxa"/>
            <w:shd w:val="clear" w:color="auto" w:fill="D5DCE4"/>
            <w:vAlign w:val="center"/>
          </w:tcPr>
          <w:p w:rsidR="003C2FE3" w:rsidRPr="001B5CCC" w:rsidRDefault="00A042D8">
            <w:pPr>
              <w:ind w:right="49"/>
              <w:jc w:val="center"/>
              <w:rPr>
                <w:rFonts w:ascii="Palatino Linotype" w:eastAsia="Palatino Linotype" w:hAnsi="Palatino Linotype" w:cs="Palatino Linotype"/>
                <w:b/>
                <w:bCs/>
                <w:sz w:val="24"/>
                <w:szCs w:val="22"/>
              </w:rPr>
            </w:pPr>
            <w:r w:rsidRPr="001B5CCC">
              <w:rPr>
                <w:rFonts w:ascii="Palatino Linotype" w:eastAsia="Palatino Linotype" w:hAnsi="Palatino Linotype" w:cs="Palatino Linotype"/>
                <w:b/>
                <w:bCs/>
                <w:sz w:val="24"/>
                <w:szCs w:val="22"/>
              </w:rPr>
              <w:t>Respuesta</w:t>
            </w:r>
          </w:p>
        </w:tc>
        <w:tc>
          <w:tcPr>
            <w:tcW w:w="3012" w:type="dxa"/>
            <w:shd w:val="clear" w:color="auto" w:fill="D5DCE4"/>
            <w:vAlign w:val="center"/>
          </w:tcPr>
          <w:p w:rsidR="003C2FE3" w:rsidRPr="001B5CCC" w:rsidRDefault="00A042D8">
            <w:pPr>
              <w:ind w:right="49"/>
              <w:jc w:val="center"/>
              <w:rPr>
                <w:rFonts w:ascii="Palatino Linotype" w:eastAsia="Palatino Linotype" w:hAnsi="Palatino Linotype" w:cs="Palatino Linotype"/>
                <w:b/>
                <w:bCs/>
                <w:sz w:val="24"/>
                <w:szCs w:val="22"/>
              </w:rPr>
            </w:pPr>
            <w:r w:rsidRPr="001B5CCC">
              <w:rPr>
                <w:rFonts w:ascii="Palatino Linotype" w:eastAsia="Palatino Linotype" w:hAnsi="Palatino Linotype" w:cs="Palatino Linotype"/>
                <w:b/>
                <w:bCs/>
                <w:sz w:val="24"/>
                <w:szCs w:val="22"/>
              </w:rPr>
              <w:t>¿Colma?</w:t>
            </w:r>
          </w:p>
        </w:tc>
      </w:tr>
      <w:tr w:rsidR="003C2FE3" w:rsidRPr="001B5CCC" w:rsidTr="001B5CCC">
        <w:trPr>
          <w:trHeight w:val="2438"/>
        </w:trPr>
        <w:tc>
          <w:tcPr>
            <w:tcW w:w="3256" w:type="dxa"/>
            <w:vAlign w:val="center"/>
          </w:tcPr>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A042D8">
            <w:pPr>
              <w:ind w:right="49"/>
              <w:jc w:val="both"/>
              <w:rPr>
                <w:rFonts w:ascii="Palatino Linotype" w:eastAsia="Palatino Linotype" w:hAnsi="Palatino Linotype" w:cs="Palatino Linotype"/>
                <w:sz w:val="24"/>
                <w:szCs w:val="22"/>
              </w:rPr>
            </w:pPr>
            <w:r w:rsidRPr="001B5CCC">
              <w:rPr>
                <w:rFonts w:ascii="Palatino Linotype" w:eastAsia="Palatino Linotype" w:hAnsi="Palatino Linotype" w:cs="Palatino Linotype"/>
                <w:sz w:val="24"/>
                <w:szCs w:val="22"/>
              </w:rPr>
              <w:t>1. ¿Cuáles son los transportes de carga, con descripción del tipo de camión, número de placas y placas de procedencia, a los que los DELEGADOS DE SANTIAGO TLACOTEPEC han expedido unos supuestos “VISTO BUENO” para transitar en la carretera al Refugio número 248, de esta Delegación de Santiago Tlacotepec, del municipio de Toluca, Estado de México? </w:t>
            </w:r>
          </w:p>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A042D8">
            <w:pPr>
              <w:ind w:right="49"/>
              <w:jc w:val="both"/>
              <w:rPr>
                <w:rFonts w:ascii="Palatino Linotype" w:eastAsia="Palatino Linotype" w:hAnsi="Palatino Linotype" w:cs="Palatino Linotype"/>
                <w:sz w:val="24"/>
                <w:szCs w:val="22"/>
              </w:rPr>
            </w:pPr>
            <w:r w:rsidRPr="001B5CCC">
              <w:rPr>
                <w:rFonts w:ascii="Palatino Linotype" w:eastAsia="Palatino Linotype" w:hAnsi="Palatino Linotype" w:cs="Palatino Linotype"/>
                <w:sz w:val="24"/>
                <w:szCs w:val="22"/>
              </w:rPr>
              <w:t xml:space="preserve">2. ¿Soliciten a los DELEGADOS DE SANTIAGO TLACOTEPEC indiquen el fundamento legal que les otorga competencia en materia de vialidad municipal (que compete a la materia de seguridad pública municipal), para otorgar algún “VISTO BUENO” para transitar en la carretera al Refugio número 248, de esta Delegación de Santiago </w:t>
            </w:r>
            <w:r w:rsidRPr="001B5CCC">
              <w:rPr>
                <w:rFonts w:ascii="Palatino Linotype" w:eastAsia="Palatino Linotype" w:hAnsi="Palatino Linotype" w:cs="Palatino Linotype"/>
                <w:sz w:val="24"/>
                <w:szCs w:val="22"/>
              </w:rPr>
              <w:lastRenderedPageBreak/>
              <w:t>Tlacotepec, del municipio de Toluca, Estado de México? </w:t>
            </w:r>
          </w:p>
          <w:p w:rsidR="003C2FE3" w:rsidRPr="001B5CCC" w:rsidRDefault="003C2FE3">
            <w:pPr>
              <w:ind w:right="49"/>
              <w:jc w:val="both"/>
              <w:rPr>
                <w:rFonts w:ascii="Palatino Linotype" w:eastAsia="Palatino Linotype" w:hAnsi="Palatino Linotype" w:cs="Palatino Linotype"/>
                <w:sz w:val="24"/>
                <w:szCs w:val="22"/>
              </w:rPr>
            </w:pPr>
          </w:p>
        </w:tc>
        <w:tc>
          <w:tcPr>
            <w:tcW w:w="3402" w:type="dxa"/>
            <w:vAlign w:val="center"/>
          </w:tcPr>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A042D8">
            <w:pPr>
              <w:ind w:right="49"/>
              <w:jc w:val="both"/>
              <w:rPr>
                <w:rFonts w:ascii="Palatino Linotype" w:eastAsia="Palatino Linotype" w:hAnsi="Palatino Linotype" w:cs="Palatino Linotype"/>
                <w:sz w:val="24"/>
                <w:szCs w:val="22"/>
              </w:rPr>
            </w:pPr>
            <w:bookmarkStart w:id="9" w:name="_heading=h.pe5fu7gf0tda" w:colFirst="0" w:colLast="0"/>
            <w:bookmarkEnd w:id="9"/>
            <w:r w:rsidRPr="001B5CCC">
              <w:rPr>
                <w:rFonts w:ascii="Palatino Linotype" w:eastAsia="Palatino Linotype" w:hAnsi="Palatino Linotype" w:cs="Palatino Linotype"/>
                <w:sz w:val="24"/>
                <w:szCs w:val="22"/>
              </w:rPr>
              <w:t xml:space="preserve">El Secretario Particular de Presidencia, informó que, </w:t>
            </w:r>
          </w:p>
          <w:p w:rsidR="003C2FE3" w:rsidRPr="001B5CCC" w:rsidRDefault="00A042D8">
            <w:pPr>
              <w:ind w:right="49"/>
              <w:jc w:val="both"/>
              <w:rPr>
                <w:rFonts w:ascii="Palatino Linotype" w:eastAsia="Palatino Linotype" w:hAnsi="Palatino Linotype" w:cs="Palatino Linotype"/>
                <w:i/>
                <w:iCs/>
                <w:sz w:val="24"/>
                <w:szCs w:val="22"/>
              </w:rPr>
            </w:pPr>
            <w:r w:rsidRPr="001B5CCC">
              <w:rPr>
                <w:rFonts w:ascii="Palatino Linotype" w:eastAsia="Palatino Linotype" w:hAnsi="Palatino Linotype" w:cs="Palatino Linotype"/>
                <w:i/>
                <w:iCs/>
                <w:sz w:val="24"/>
                <w:szCs w:val="22"/>
              </w:rPr>
              <w:t>“…que dichas interrogantes no constituyen un requerimiento que pueda ser satisfactorio vía acceso a la información pública, ya que se trata de manifestaciones subjetivas vertidas, así como interrogantes por lo que la entrega que no colman con la entrega de documentos, de un razonamiento por parte de este Sujeto Obligado, no es algo que la Ley establezca como atribución, derecho o facultad, pues ello contemplaría un juicio de valor referente a un cuestionamiento realizado, los cuales al constituir interrogantes, inquietudes y manifestaciones se satisfacen vía derecho de petición.”</w:t>
            </w:r>
          </w:p>
        </w:tc>
        <w:tc>
          <w:tcPr>
            <w:tcW w:w="3012" w:type="dxa"/>
            <w:vAlign w:val="center"/>
          </w:tcPr>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A042D8">
            <w:pPr>
              <w:ind w:right="49"/>
              <w:jc w:val="both"/>
              <w:rPr>
                <w:rFonts w:ascii="Palatino Linotype" w:eastAsia="Palatino Linotype" w:hAnsi="Palatino Linotype" w:cs="Palatino Linotype"/>
                <w:sz w:val="24"/>
                <w:szCs w:val="22"/>
              </w:rPr>
            </w:pPr>
            <w:r w:rsidRPr="001B5CCC">
              <w:rPr>
                <w:rFonts w:ascii="Palatino Linotype" w:eastAsia="Palatino Linotype" w:hAnsi="Palatino Linotype" w:cs="Palatino Linotype"/>
                <w:sz w:val="24"/>
                <w:szCs w:val="22"/>
              </w:rPr>
              <w:t xml:space="preserve">Si, derivado de que, dentro de las funciones y atribuciones de los Delegados Municipales, no se advierte que se encuentren las de expedir </w:t>
            </w:r>
            <w:r w:rsidRPr="001B5CCC">
              <w:rPr>
                <w:rFonts w:ascii="Palatino Linotype" w:eastAsia="Palatino Linotype" w:hAnsi="Palatino Linotype" w:cs="Palatino Linotype"/>
                <w:i/>
                <w:iCs/>
                <w:sz w:val="24"/>
                <w:szCs w:val="22"/>
              </w:rPr>
              <w:t xml:space="preserve">“supuestos Visto Bueno”. </w:t>
            </w:r>
          </w:p>
          <w:p w:rsidR="003C2FE3" w:rsidRPr="001B5CCC" w:rsidRDefault="003C2FE3">
            <w:pPr>
              <w:ind w:right="49"/>
              <w:jc w:val="both"/>
              <w:rPr>
                <w:rFonts w:ascii="Palatino Linotype" w:eastAsia="Palatino Linotype" w:hAnsi="Palatino Linotype" w:cs="Palatino Linotype"/>
                <w:sz w:val="24"/>
                <w:szCs w:val="22"/>
              </w:rPr>
            </w:pPr>
          </w:p>
        </w:tc>
      </w:tr>
      <w:tr w:rsidR="003C2FE3" w:rsidRPr="001B5CCC" w:rsidTr="001B5CCC">
        <w:tc>
          <w:tcPr>
            <w:tcW w:w="3256" w:type="dxa"/>
            <w:vAlign w:val="center"/>
          </w:tcPr>
          <w:p w:rsidR="003C2FE3" w:rsidRPr="001B5CCC" w:rsidRDefault="00A042D8">
            <w:pPr>
              <w:ind w:right="49"/>
              <w:jc w:val="both"/>
              <w:rPr>
                <w:rFonts w:ascii="Palatino Linotype" w:eastAsia="Palatino Linotype" w:hAnsi="Palatino Linotype" w:cs="Palatino Linotype"/>
                <w:sz w:val="24"/>
                <w:szCs w:val="22"/>
              </w:rPr>
            </w:pPr>
            <w:r w:rsidRPr="001B5CCC">
              <w:rPr>
                <w:rFonts w:ascii="Palatino Linotype" w:eastAsia="Palatino Linotype" w:hAnsi="Palatino Linotype" w:cs="Palatino Linotype"/>
                <w:sz w:val="24"/>
                <w:szCs w:val="22"/>
              </w:rPr>
              <w:t> </w:t>
            </w:r>
          </w:p>
          <w:p w:rsidR="003C2FE3" w:rsidRPr="001B5CCC" w:rsidRDefault="00A042D8">
            <w:pPr>
              <w:ind w:right="49"/>
              <w:jc w:val="both"/>
              <w:rPr>
                <w:rFonts w:ascii="Palatino Linotype" w:eastAsia="Palatino Linotype" w:hAnsi="Palatino Linotype" w:cs="Palatino Linotype"/>
                <w:sz w:val="24"/>
                <w:szCs w:val="22"/>
              </w:rPr>
            </w:pPr>
            <w:r w:rsidRPr="001B5CCC">
              <w:rPr>
                <w:rFonts w:ascii="Palatino Linotype" w:eastAsia="Palatino Linotype" w:hAnsi="Palatino Linotype" w:cs="Palatino Linotype"/>
                <w:sz w:val="24"/>
                <w:szCs w:val="22"/>
              </w:rPr>
              <w:t>3. ¿Soliciten a los DELEGADOS DE SANTIAGO TLACOTEPEC indiquen si conocen la restricción legal que prevé los artículos 9 y 176 del Código Penal del Estado de México?</w:t>
            </w:r>
          </w:p>
        </w:tc>
        <w:tc>
          <w:tcPr>
            <w:tcW w:w="3402" w:type="dxa"/>
            <w:vAlign w:val="center"/>
          </w:tcPr>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A042D8">
            <w:pPr>
              <w:ind w:right="49"/>
              <w:jc w:val="both"/>
              <w:rPr>
                <w:rFonts w:ascii="Palatino Linotype" w:eastAsia="Palatino Linotype" w:hAnsi="Palatino Linotype" w:cs="Palatino Linotype"/>
                <w:sz w:val="24"/>
                <w:szCs w:val="22"/>
              </w:rPr>
            </w:pPr>
            <w:r w:rsidRPr="001B5CCC">
              <w:rPr>
                <w:rFonts w:ascii="Palatino Linotype" w:eastAsia="Palatino Linotype" w:hAnsi="Palatino Linotype" w:cs="Palatino Linotype"/>
                <w:sz w:val="24"/>
                <w:szCs w:val="22"/>
              </w:rPr>
              <w:t xml:space="preserve">El Secretario Particular de Presidencia, informó que, </w:t>
            </w:r>
          </w:p>
          <w:p w:rsidR="003C2FE3" w:rsidRPr="001B5CCC" w:rsidRDefault="00A042D8">
            <w:pPr>
              <w:ind w:right="49"/>
              <w:jc w:val="both"/>
              <w:rPr>
                <w:rFonts w:ascii="Palatino Linotype" w:eastAsia="Palatino Linotype" w:hAnsi="Palatino Linotype" w:cs="Palatino Linotype"/>
                <w:i/>
                <w:iCs/>
                <w:sz w:val="24"/>
                <w:szCs w:val="22"/>
              </w:rPr>
            </w:pPr>
            <w:r w:rsidRPr="001B5CCC">
              <w:rPr>
                <w:rFonts w:ascii="Palatino Linotype" w:eastAsia="Palatino Linotype" w:hAnsi="Palatino Linotype" w:cs="Palatino Linotype"/>
                <w:i/>
                <w:iCs/>
                <w:sz w:val="24"/>
                <w:szCs w:val="22"/>
              </w:rPr>
              <w:t>“…que dichas interrogantes no constituyen un requerimiento que pueda ser satisfactorio vía acceso a la información pública, ya que se trata de manifestaciones subjetivas vertidas, así como interrogantes por lo que la entrega que no colman con la entrega de documentos, de un razonamiento por parte de este Sujeto Obligado, no es algo que la Ley establezca como atribución, derecho o facultad, pues ello contemplaría un juicio de valor referente a un cuestionamiento realizado, los cuales al constituir interrogantes, inquietudes y manifestaciones se satisfacen vía derecho de petición.”</w:t>
            </w:r>
          </w:p>
          <w:p w:rsidR="003C2FE3" w:rsidRPr="001B5CCC" w:rsidRDefault="003C2FE3">
            <w:pPr>
              <w:ind w:right="49"/>
              <w:jc w:val="both"/>
              <w:rPr>
                <w:rFonts w:ascii="Palatino Linotype" w:eastAsia="Palatino Linotype" w:hAnsi="Palatino Linotype" w:cs="Palatino Linotype"/>
                <w:sz w:val="24"/>
                <w:szCs w:val="22"/>
              </w:rPr>
            </w:pPr>
          </w:p>
        </w:tc>
        <w:tc>
          <w:tcPr>
            <w:tcW w:w="3012" w:type="dxa"/>
            <w:vAlign w:val="center"/>
          </w:tcPr>
          <w:p w:rsidR="003C2FE3" w:rsidRPr="001B5CCC" w:rsidRDefault="003C2FE3">
            <w:pPr>
              <w:ind w:right="49"/>
              <w:jc w:val="both"/>
              <w:rPr>
                <w:rFonts w:ascii="Palatino Linotype" w:eastAsia="Palatino Linotype" w:hAnsi="Palatino Linotype" w:cs="Palatino Linotype"/>
                <w:sz w:val="24"/>
                <w:szCs w:val="22"/>
              </w:rPr>
            </w:pPr>
          </w:p>
          <w:p w:rsidR="003C2FE3" w:rsidRPr="001B5CCC" w:rsidRDefault="00A042D8">
            <w:pPr>
              <w:ind w:right="49"/>
              <w:jc w:val="both"/>
              <w:rPr>
                <w:rFonts w:ascii="Palatino Linotype" w:eastAsia="Palatino Linotype" w:hAnsi="Palatino Linotype" w:cs="Palatino Linotype"/>
                <w:sz w:val="24"/>
                <w:szCs w:val="22"/>
              </w:rPr>
            </w:pPr>
            <w:r w:rsidRPr="001B5CCC">
              <w:rPr>
                <w:rFonts w:ascii="Palatino Linotype" w:eastAsia="Palatino Linotype" w:hAnsi="Palatino Linotype" w:cs="Palatino Linotype"/>
                <w:sz w:val="24"/>
                <w:szCs w:val="22"/>
              </w:rPr>
              <w:t xml:space="preserve">Si, ya que lo solicitado constituye un derecho de petición, pues el Particular requiere que el Sujeto Obligado realice un pronunciamiento en específico. </w:t>
            </w:r>
          </w:p>
        </w:tc>
      </w:tr>
    </w:tbl>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Es por lo anterior, que respecto los numerales 1 y 2  de la solicitud de información que nos ocupan, se tienen por colmados, en virtud de que, como ya se precisó, los Delegados Municipales no cuentan con funciones o atribuciones para dar </w:t>
      </w:r>
      <w:r>
        <w:rPr>
          <w:rFonts w:ascii="Palatino Linotype" w:eastAsia="Palatino Linotype" w:hAnsi="Palatino Linotype" w:cs="Palatino Linotype"/>
          <w:i/>
          <w:iCs/>
          <w:sz w:val="24"/>
          <w:szCs w:val="24"/>
        </w:rPr>
        <w:t>“vistos buenos”</w:t>
      </w:r>
      <w:r>
        <w:rPr>
          <w:rFonts w:ascii="Palatino Linotype" w:eastAsia="Palatino Linotype" w:hAnsi="Palatino Linotype" w:cs="Palatino Linotype"/>
          <w:sz w:val="24"/>
          <w:szCs w:val="24"/>
        </w:rPr>
        <w:t xml:space="preserve"> como lo refirió el solicitante, situación que se robustece con el Reglamento Municipal que se remitió en respuesta, luego entonces, no se puede ordenar algo que no fue generado, poseído y/o administrado por no encontrarse dentro de sus funciones y/o atribuciones, por lo que se considera que con la información remitida en respuesta se tienen por colmados los rubros en comento. </w:t>
      </w:r>
    </w:p>
    <w:p w:rsidR="003C2FE3" w:rsidRDefault="003C2FE3">
      <w:pPr>
        <w:spacing w:line="360" w:lineRule="auto"/>
        <w:ind w:right="49"/>
        <w:jc w:val="both"/>
        <w:rPr>
          <w:rFonts w:ascii="Palatino Linotype" w:eastAsia="Palatino Linotype" w:hAnsi="Palatino Linotype" w:cs="Palatino Linotype"/>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Por lo que hace al numeral 3, se reitera </w:t>
      </w:r>
      <w:r>
        <w:rPr>
          <w:rFonts w:ascii="Palatino Linotype" w:eastAsia="Palatino Linotype" w:hAnsi="Palatino Linotype" w:cs="Palatino Linotype"/>
          <w:color w:val="000000"/>
          <w:sz w:val="24"/>
          <w:szCs w:val="24"/>
        </w:rPr>
        <w:t xml:space="preserve">se advierte, que el particular planteó una cuestión con la que pretendía que EL </w:t>
      </w:r>
      <w:r>
        <w:rPr>
          <w:rFonts w:ascii="Palatino Linotype" w:eastAsia="Palatino Linotype" w:hAnsi="Palatino Linotype" w:cs="Palatino Linotype"/>
          <w:b/>
          <w:bCs/>
          <w:color w:val="000000"/>
          <w:sz w:val="24"/>
          <w:szCs w:val="24"/>
        </w:rPr>
        <w:t>SUJETO OBLIGADO</w:t>
      </w:r>
      <w:r>
        <w:rPr>
          <w:rFonts w:ascii="Palatino Linotype" w:eastAsia="Palatino Linotype" w:hAnsi="Palatino Linotype" w:cs="Palatino Linotype"/>
          <w:color w:val="000000"/>
          <w:sz w:val="24"/>
          <w:szCs w:val="24"/>
        </w:rPr>
        <w:t xml:space="preserve"> le explicara una circunstancia para un caso específico, por lo que el particular no está ejerciendo su derecho de acceso a la información pública; debido a que las solicitudes consisten en una consulta que no es factible atenderse vía acceso a la información, es decir, que dichos cuestionamientos se colme con documentos que obren en los archivos del </w:t>
      </w:r>
      <w:r>
        <w:rPr>
          <w:rFonts w:ascii="Palatino Linotype" w:eastAsia="Palatino Linotype" w:hAnsi="Palatino Linotype" w:cs="Palatino Linotype"/>
          <w:b/>
          <w:bCs/>
          <w:color w:val="000000"/>
          <w:sz w:val="24"/>
          <w:szCs w:val="24"/>
        </w:rPr>
        <w:t>SUJETO OBLIGADO.</w:t>
      </w:r>
    </w:p>
    <w:p w:rsidR="003C2FE3" w:rsidRDefault="003C2FE3">
      <w:pPr>
        <w:spacing w:line="360" w:lineRule="auto"/>
        <w:jc w:val="both"/>
        <w:rPr>
          <w:rFonts w:ascii="Palatino Linotype" w:eastAsia="Palatino Linotype" w:hAnsi="Palatino Linotype" w:cs="Palatino Linotype"/>
          <w:color w:val="000000"/>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orden de ideas, es importante dejar en claro lo que debe entenderse por derecho de petición, así como por derecho de acceso a la información pública, con el objeto de distinguir el ejercicio de ambos derechos.</w:t>
      </w:r>
    </w:p>
    <w:p w:rsidR="003C2FE3" w:rsidRDefault="003C2FE3">
      <w:pPr>
        <w:spacing w:line="360" w:lineRule="auto"/>
        <w:rPr>
          <w:rFonts w:ascii="Palatino Linotype" w:eastAsia="Palatino Linotype" w:hAnsi="Palatino Linotype" w:cs="Palatino Linotype"/>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respecta a la definición de Derecho de Petición, el Maestro Ignacio Burgoa Orihuela refiere: </w:t>
      </w:r>
    </w:p>
    <w:p w:rsidR="003C2FE3" w:rsidRDefault="003C2FE3">
      <w:pPr>
        <w:spacing w:line="360" w:lineRule="auto"/>
        <w:jc w:val="both"/>
        <w:rPr>
          <w:rFonts w:ascii="Palatino Linotype" w:eastAsia="Palatino Linotype" w:hAnsi="Palatino Linotype" w:cs="Palatino Linotype"/>
          <w:sz w:val="24"/>
          <w:szCs w:val="24"/>
        </w:rPr>
      </w:pPr>
    </w:p>
    <w:p w:rsidR="003C2FE3" w:rsidRDefault="00A042D8">
      <w:pPr>
        <w:tabs>
          <w:tab w:val="left" w:pos="9214"/>
        </w:tabs>
        <w:spacing w:line="360" w:lineRule="auto"/>
        <w:ind w:left="851" w:right="822"/>
        <w:jc w:val="both"/>
        <w:rPr>
          <w:rFonts w:ascii="Palatino Linotype" w:eastAsia="Palatino Linotype" w:hAnsi="Palatino Linotype" w:cs="Palatino Linotype"/>
          <w:sz w:val="24"/>
          <w:szCs w:val="24"/>
        </w:rPr>
      </w:pPr>
      <w:r>
        <w:rPr>
          <w:rFonts w:ascii="Palatino Linotype" w:eastAsia="Palatino Linotype" w:hAnsi="Palatino Linotype" w:cs="Palatino Linotype"/>
          <w:i/>
          <w:iCs/>
          <w:sz w:val="24"/>
          <w:szCs w:val="24"/>
        </w:rPr>
        <w:lastRenderedPageBreak/>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 </w:t>
      </w:r>
      <w:r>
        <w:rPr>
          <w:rFonts w:ascii="Palatino Linotype" w:eastAsia="Palatino Linotype" w:hAnsi="Palatino Linotype" w:cs="Palatino Linotype"/>
          <w:sz w:val="24"/>
          <w:szCs w:val="24"/>
        </w:rPr>
        <w:t>(Sic)</w:t>
      </w:r>
    </w:p>
    <w:p w:rsidR="003C2FE3" w:rsidRDefault="003C2FE3">
      <w:pPr>
        <w:tabs>
          <w:tab w:val="left" w:pos="9214"/>
        </w:tabs>
        <w:spacing w:line="360" w:lineRule="auto"/>
        <w:ind w:right="709"/>
        <w:jc w:val="both"/>
        <w:rPr>
          <w:rFonts w:ascii="Palatino Linotype" w:eastAsia="Palatino Linotype" w:hAnsi="Palatino Linotype" w:cs="Palatino Linotype"/>
          <w:i/>
          <w:iCs/>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su parte, David Cienfuegos Salgado, concibe al derecho de petición como: </w:t>
      </w:r>
    </w:p>
    <w:p w:rsidR="003C2FE3" w:rsidRDefault="00A042D8">
      <w:pPr>
        <w:tabs>
          <w:tab w:val="left" w:pos="9214"/>
        </w:tabs>
        <w:spacing w:line="360" w:lineRule="auto"/>
        <w:ind w:right="709"/>
        <w:jc w:val="both"/>
        <w:rPr>
          <w:rFonts w:ascii="Palatino Linotype" w:eastAsia="Palatino Linotype" w:hAnsi="Palatino Linotype" w:cs="Palatino Linotype"/>
          <w:sz w:val="24"/>
          <w:szCs w:val="24"/>
        </w:rPr>
      </w:pPr>
      <w:r>
        <w:rPr>
          <w:rFonts w:ascii="Palatino Linotype" w:eastAsia="Palatino Linotype" w:hAnsi="Palatino Linotype" w:cs="Palatino Linotype"/>
          <w:i/>
          <w:iCs/>
          <w:sz w:val="24"/>
          <w:szCs w:val="24"/>
        </w:rPr>
        <w:t xml:space="preserve">“… el derecho de toda persona a ser escuchado por quienes ejercen el poder público...” </w:t>
      </w:r>
      <w:r>
        <w:rPr>
          <w:rFonts w:ascii="Palatino Linotype" w:eastAsia="Palatino Linotype" w:hAnsi="Palatino Linotype" w:cs="Palatino Linotype"/>
          <w:sz w:val="24"/>
          <w:szCs w:val="24"/>
        </w:rPr>
        <w:t xml:space="preserve">(Sic) </w:t>
      </w:r>
    </w:p>
    <w:p w:rsidR="003C2FE3" w:rsidRDefault="003C2FE3">
      <w:pPr>
        <w:tabs>
          <w:tab w:val="left" w:pos="9214"/>
        </w:tabs>
        <w:spacing w:line="360" w:lineRule="auto"/>
        <w:ind w:left="709" w:right="709"/>
        <w:jc w:val="both"/>
        <w:rPr>
          <w:rFonts w:ascii="Palatino Linotype" w:eastAsia="Palatino Linotype" w:hAnsi="Palatino Linotype" w:cs="Palatino Linotype"/>
          <w:i/>
          <w:iCs/>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 este respecto, para diferenciar el derecho de petición del derecho de acceso a la información, resulta conducente señalar que José Guadalupe Robles, conceptualiza al derecho a la información como: </w:t>
      </w:r>
    </w:p>
    <w:p w:rsidR="003C2FE3" w:rsidRDefault="00A042D8">
      <w:pPr>
        <w:tabs>
          <w:tab w:val="left" w:pos="9214"/>
        </w:tabs>
        <w:spacing w:line="360" w:lineRule="auto"/>
        <w:ind w:left="851" w:right="822"/>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 </w:t>
      </w:r>
      <w:r>
        <w:rPr>
          <w:rFonts w:ascii="Palatino Linotype" w:eastAsia="Palatino Linotype" w:hAnsi="Palatino Linotype" w:cs="Palatino Linotype"/>
          <w:sz w:val="24"/>
          <w:szCs w:val="24"/>
        </w:rPr>
        <w:t>(Sic)</w:t>
      </w:r>
      <w:r>
        <w:rPr>
          <w:rFonts w:ascii="Palatino Linotype" w:eastAsia="Palatino Linotype" w:hAnsi="Palatino Linotype" w:cs="Palatino Linotype"/>
          <w:i/>
          <w:iCs/>
          <w:sz w:val="24"/>
          <w:szCs w:val="24"/>
        </w:rPr>
        <w:t xml:space="preserve"> </w:t>
      </w:r>
    </w:p>
    <w:p w:rsidR="003C2FE3" w:rsidRDefault="003C2FE3">
      <w:pPr>
        <w:spacing w:line="360" w:lineRule="auto"/>
        <w:ind w:right="49"/>
        <w:jc w:val="both"/>
        <w:rPr>
          <w:rFonts w:ascii="Palatino Linotype" w:eastAsia="Palatino Linotype" w:hAnsi="Palatino Linotype" w:cs="Palatino Linotype"/>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b/>
          <w:bCs/>
          <w:sz w:val="24"/>
          <w:szCs w:val="24"/>
        </w:rPr>
      </w:pPr>
      <w:r>
        <w:rPr>
          <w:rFonts w:ascii="Palatino Linotype" w:eastAsia="Palatino Linotype" w:hAnsi="Palatino Linotype" w:cs="Palatino Linotype"/>
          <w:sz w:val="24"/>
          <w:szCs w:val="24"/>
        </w:rPr>
        <w:t xml:space="preserve">En consecuencia, se advierte que con la información proporcionada se tiene por colmada en su totalidad la solicitud de información que nos ocupa, resultando dable confirmar la respuesta proporcionada por el </w:t>
      </w:r>
      <w:r>
        <w:rPr>
          <w:rFonts w:ascii="Palatino Linotype" w:eastAsia="Palatino Linotype" w:hAnsi="Palatino Linotype" w:cs="Palatino Linotype"/>
          <w:b/>
          <w:bCs/>
          <w:sz w:val="24"/>
          <w:szCs w:val="24"/>
        </w:rPr>
        <w:t xml:space="preserve">SUJETO OBLIGADO. </w:t>
      </w:r>
    </w:p>
    <w:p w:rsidR="003C2FE3" w:rsidRDefault="003C2FE3">
      <w:pPr>
        <w:spacing w:line="360" w:lineRule="auto"/>
        <w:ind w:right="49"/>
        <w:jc w:val="both"/>
        <w:rPr>
          <w:rFonts w:ascii="Palatino Linotype" w:eastAsia="Palatino Linotype" w:hAnsi="Palatino Linotype" w:cs="Palatino Linotype"/>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Es por lo expuesto con anterioridad, que se colige que resultan</w:t>
      </w:r>
      <w:r>
        <w:rPr>
          <w:rFonts w:ascii="Palatino Linotype" w:eastAsia="Palatino Linotype" w:hAnsi="Palatino Linotype" w:cs="Palatino Linotype"/>
          <w:b/>
          <w:bCs/>
          <w:color w:val="000000"/>
          <w:sz w:val="24"/>
          <w:szCs w:val="24"/>
        </w:rPr>
        <w:t xml:space="preserve"> infundadas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las</w:t>
      </w:r>
      <w:r>
        <w:rPr>
          <w:rFonts w:ascii="Palatino Linotype" w:eastAsia="Palatino Linotype" w:hAnsi="Palatino Linotype" w:cs="Palatino Linotype"/>
          <w:color w:val="000000"/>
          <w:sz w:val="24"/>
          <w:szCs w:val="24"/>
        </w:rPr>
        <w:t xml:space="preserve"> razones o </w:t>
      </w:r>
      <w:r>
        <w:rPr>
          <w:rFonts w:ascii="Palatino Linotype" w:eastAsia="Palatino Linotype" w:hAnsi="Palatino Linotype" w:cs="Palatino Linotype"/>
          <w:sz w:val="24"/>
          <w:szCs w:val="24"/>
        </w:rPr>
        <w:t>motivos</w:t>
      </w:r>
      <w:r>
        <w:rPr>
          <w:rFonts w:ascii="Palatino Linotype" w:eastAsia="Palatino Linotype" w:hAnsi="Palatino Linotype" w:cs="Palatino Linotype"/>
          <w:color w:val="000000"/>
          <w:sz w:val="24"/>
          <w:szCs w:val="24"/>
        </w:rPr>
        <w:t xml:space="preserve"> de inconformidad hechos valer por </w:t>
      </w:r>
      <w:r>
        <w:rPr>
          <w:rFonts w:ascii="Palatino Linotype" w:eastAsia="Palatino Linotype" w:hAnsi="Palatino Linotype" w:cs="Palatino Linotype"/>
          <w:b/>
          <w:bCs/>
          <w:color w:val="000000"/>
          <w:sz w:val="24"/>
          <w:szCs w:val="24"/>
        </w:rPr>
        <w:t>EL RECURRENTE</w:t>
      </w:r>
      <w:r>
        <w:rPr>
          <w:rFonts w:ascii="Palatino Linotype" w:eastAsia="Palatino Linotype" w:hAnsi="Palatino Linotype" w:cs="Palatino Linotype"/>
          <w:color w:val="000000"/>
          <w:sz w:val="24"/>
          <w:szCs w:val="24"/>
        </w:rPr>
        <w:t xml:space="preserve"> en el recursos de revisión, por </w:t>
      </w:r>
      <w:r>
        <w:rPr>
          <w:rFonts w:ascii="Palatino Linotype" w:eastAsia="Palatino Linotype" w:hAnsi="Palatino Linotype" w:cs="Palatino Linotype"/>
          <w:sz w:val="24"/>
          <w:szCs w:val="24"/>
        </w:rPr>
        <w:t>ello,</w:t>
      </w:r>
      <w:r>
        <w:rPr>
          <w:rFonts w:ascii="Palatino Linotype" w:eastAsia="Palatino Linotype" w:hAnsi="Palatino Linotype" w:cs="Palatino Linotype"/>
          <w:color w:val="000000"/>
          <w:sz w:val="24"/>
          <w:szCs w:val="24"/>
        </w:rPr>
        <w:t xml:space="preserve"> con fundamento en el artículo 186, fracción II, de la Ley de Transparencia y </w:t>
      </w:r>
      <w:r>
        <w:rPr>
          <w:rFonts w:ascii="Palatino Linotype" w:eastAsia="Palatino Linotype" w:hAnsi="Palatino Linotype" w:cs="Palatino Linotype"/>
          <w:sz w:val="24"/>
          <w:szCs w:val="24"/>
        </w:rPr>
        <w:t>Acceso</w:t>
      </w:r>
      <w:r>
        <w:rPr>
          <w:rFonts w:ascii="Palatino Linotype" w:eastAsia="Palatino Linotype" w:hAnsi="Palatino Linotype" w:cs="Palatino Linotype"/>
          <w:color w:val="000000"/>
          <w:sz w:val="24"/>
          <w:szCs w:val="24"/>
        </w:rPr>
        <w:t xml:space="preserve"> a la </w:t>
      </w:r>
      <w:r>
        <w:rPr>
          <w:rFonts w:ascii="Palatino Linotype" w:eastAsia="Palatino Linotype" w:hAnsi="Palatino Linotype" w:cs="Palatino Linotype"/>
          <w:sz w:val="24"/>
          <w:szCs w:val="24"/>
        </w:rPr>
        <w:t>Información</w:t>
      </w:r>
      <w:r>
        <w:rPr>
          <w:rFonts w:ascii="Palatino Linotype" w:eastAsia="Palatino Linotype" w:hAnsi="Palatino Linotype" w:cs="Palatino Linotype"/>
          <w:color w:val="000000"/>
          <w:sz w:val="24"/>
          <w:szCs w:val="24"/>
        </w:rPr>
        <w:t xml:space="preserve"> Pública del Estado de México y Municipios, se </w:t>
      </w:r>
      <w:r>
        <w:rPr>
          <w:rFonts w:ascii="Palatino Linotype" w:eastAsia="Palatino Linotype" w:hAnsi="Palatino Linotype" w:cs="Palatino Linotype"/>
          <w:b/>
          <w:bCs/>
          <w:color w:val="000000"/>
          <w:sz w:val="24"/>
          <w:szCs w:val="24"/>
        </w:rPr>
        <w:t>CONFIRMA</w:t>
      </w:r>
      <w:r w:rsidR="00A62EC0">
        <w:rPr>
          <w:rFonts w:ascii="Palatino Linotype" w:eastAsia="Palatino Linotype" w:hAnsi="Palatino Linotype" w:cs="Palatino Linotype"/>
          <w:color w:val="000000"/>
          <w:sz w:val="24"/>
          <w:szCs w:val="24"/>
        </w:rPr>
        <w:t xml:space="preserve"> la respuesta a la</w:t>
      </w:r>
      <w:r>
        <w:rPr>
          <w:rFonts w:ascii="Palatino Linotype" w:eastAsia="Palatino Linotype" w:hAnsi="Palatino Linotype" w:cs="Palatino Linotype"/>
          <w:color w:val="000000"/>
          <w:sz w:val="24"/>
          <w:szCs w:val="24"/>
        </w:rPr>
        <w:t xml:space="preserve"> solicitud de información pública</w:t>
      </w:r>
      <w:r>
        <w:rPr>
          <w:rFonts w:ascii="Palatino Linotype" w:eastAsia="Palatino Linotype" w:hAnsi="Palatino Linotype" w:cs="Palatino Linotype"/>
          <w:b/>
          <w:bCs/>
          <w:color w:val="000000"/>
          <w:sz w:val="24"/>
          <w:szCs w:val="24"/>
        </w:rPr>
        <w:t xml:space="preserve">  03322/TOLUCA/IP/2025,</w:t>
      </w:r>
      <w:r>
        <w:rPr>
          <w:rFonts w:ascii="Palatino Linotype" w:eastAsia="Palatino Linotype" w:hAnsi="Palatino Linotype" w:cs="Palatino Linotype"/>
          <w:color w:val="000000"/>
          <w:sz w:val="24"/>
          <w:szCs w:val="24"/>
        </w:rPr>
        <w:t xml:space="preserve"> que ha sido materia del presente fallo.</w:t>
      </w:r>
    </w:p>
    <w:p w:rsidR="003C2FE3" w:rsidRDefault="003C2FE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4"/>
          <w:szCs w:val="24"/>
        </w:rPr>
      </w:pPr>
    </w:p>
    <w:p w:rsidR="003C2FE3" w:rsidRDefault="00A042D8">
      <w:pPr>
        <w:numPr>
          <w:ilvl w:val="0"/>
          <w:numId w:val="1"/>
        </w:numPr>
        <w:spacing w:line="360" w:lineRule="auto"/>
        <w:ind w:left="0" w:right="49" w:firstLine="0"/>
        <w:jc w:val="both"/>
        <w:rPr>
          <w:rFonts w:ascii="Palatino Linotype" w:eastAsia="Palatino Linotype" w:hAnsi="Palatino Linotype" w:cs="Palatino Linotype"/>
          <w:color w:val="000000"/>
          <w:sz w:val="24"/>
          <w:szCs w:val="24"/>
        </w:rPr>
      </w:pPr>
      <w:bookmarkStart w:id="10" w:name="_heading=h.e7656a9xx2q7" w:colFirst="0" w:colLast="0"/>
      <w:bookmarkEnd w:id="10"/>
      <w:r>
        <w:rPr>
          <w:rFonts w:ascii="Palatino Linotype" w:eastAsia="Palatino Linotype" w:hAnsi="Palatino Linotype" w:cs="Palatino Linotype"/>
          <w:color w:val="000000"/>
          <w:sz w:val="24"/>
          <w:szCs w:val="24"/>
        </w:rPr>
        <w:t xml:space="preserve">Por lo anteriormente expuesto y fundado, este </w:t>
      </w:r>
      <w:r>
        <w:rPr>
          <w:rFonts w:ascii="Palatino Linotype" w:eastAsia="Palatino Linotype" w:hAnsi="Palatino Linotype" w:cs="Palatino Linotype"/>
          <w:b/>
          <w:bCs/>
          <w:color w:val="000000"/>
          <w:sz w:val="24"/>
          <w:szCs w:val="24"/>
        </w:rPr>
        <w:t>ÓRGANO GARANTE</w:t>
      </w:r>
      <w:r>
        <w:rPr>
          <w:rFonts w:ascii="Palatino Linotype" w:eastAsia="Palatino Linotype" w:hAnsi="Palatino Linotype" w:cs="Palatino Linotype"/>
          <w:color w:val="000000"/>
          <w:sz w:val="24"/>
          <w:szCs w:val="24"/>
        </w:rPr>
        <w:t xml:space="preserve"> emite los siguientes:</w:t>
      </w:r>
    </w:p>
    <w:p w:rsidR="003C2FE3" w:rsidRDefault="003C2FE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4"/>
          <w:szCs w:val="24"/>
        </w:rPr>
      </w:pPr>
    </w:p>
    <w:p w:rsidR="003C2FE3" w:rsidRDefault="00A042D8">
      <w:pPr>
        <w:pStyle w:val="Ttulo1"/>
        <w:spacing w:before="0" w:line="360" w:lineRule="auto"/>
        <w:jc w:val="center"/>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R E S O L U T I V O S</w:t>
      </w:r>
    </w:p>
    <w:p w:rsidR="003C2FE3" w:rsidRDefault="003C2FE3">
      <w:pPr>
        <w:spacing w:line="360" w:lineRule="auto"/>
        <w:rPr>
          <w:rFonts w:ascii="Palatino Linotype" w:eastAsia="Palatino Linotype" w:hAnsi="Palatino Linotype" w:cs="Palatino Linotype"/>
          <w:sz w:val="24"/>
          <w:szCs w:val="24"/>
        </w:rPr>
      </w:pPr>
    </w:p>
    <w:p w:rsidR="003C2FE3" w:rsidRDefault="00A042D8">
      <w:pPr>
        <w:tabs>
          <w:tab w:val="left" w:pos="8080"/>
        </w:tabs>
        <w:spacing w:line="360" w:lineRule="auto"/>
        <w:ind w:right="49"/>
        <w:jc w:val="both"/>
        <w:rPr>
          <w:rFonts w:ascii="Palatino Linotype" w:eastAsia="Palatino Linotype" w:hAnsi="Palatino Linotype" w:cs="Palatino Linotype"/>
          <w:sz w:val="24"/>
          <w:szCs w:val="24"/>
        </w:rPr>
      </w:pPr>
      <w:bookmarkStart w:id="11" w:name="_heading=h.393sh997u2kw" w:colFirst="0" w:colLast="0"/>
      <w:bookmarkEnd w:id="11"/>
      <w:r>
        <w:rPr>
          <w:rFonts w:ascii="Palatino Linotype" w:eastAsia="Palatino Linotype" w:hAnsi="Palatino Linotype" w:cs="Palatino Linotype"/>
          <w:b/>
          <w:bCs/>
          <w:sz w:val="24"/>
          <w:szCs w:val="24"/>
        </w:rPr>
        <w:t>PRIMERO</w:t>
      </w:r>
      <w:r>
        <w:rPr>
          <w:rFonts w:ascii="Palatino Linotype" w:eastAsia="Palatino Linotype" w:hAnsi="Palatino Linotype" w:cs="Palatino Linotype"/>
          <w:sz w:val="24"/>
          <w:szCs w:val="24"/>
        </w:rPr>
        <w:t xml:space="preserve">. Resultan infundadas las razones o motivos de inconformidad hechos valer en el recurso de revisión </w:t>
      </w:r>
      <w:r>
        <w:rPr>
          <w:rFonts w:ascii="Palatino Linotype" w:eastAsia="Palatino Linotype" w:hAnsi="Palatino Linotype" w:cs="Palatino Linotype"/>
          <w:b/>
          <w:bCs/>
          <w:sz w:val="24"/>
          <w:szCs w:val="24"/>
        </w:rPr>
        <w:t>07883/INFOEM/IP/RR/2025</w:t>
      </w:r>
      <w:r>
        <w:rPr>
          <w:rFonts w:ascii="Palatino Linotype" w:eastAsia="Palatino Linotype" w:hAnsi="Palatino Linotype" w:cs="Palatino Linotype"/>
          <w:sz w:val="24"/>
          <w:szCs w:val="24"/>
        </w:rPr>
        <w:t xml:space="preserve">, en términos del Considerando </w:t>
      </w:r>
      <w:r>
        <w:rPr>
          <w:rFonts w:ascii="Palatino Linotype" w:eastAsia="Palatino Linotype" w:hAnsi="Palatino Linotype" w:cs="Palatino Linotype"/>
          <w:b/>
          <w:bCs/>
          <w:sz w:val="24"/>
          <w:szCs w:val="24"/>
        </w:rPr>
        <w:t>CUARTO</w:t>
      </w:r>
      <w:r>
        <w:rPr>
          <w:rFonts w:ascii="Palatino Linotype" w:eastAsia="Palatino Linotype" w:hAnsi="Palatino Linotype" w:cs="Palatino Linotype"/>
          <w:sz w:val="24"/>
          <w:szCs w:val="24"/>
        </w:rPr>
        <w:t xml:space="preserve"> de la presente resolución.</w:t>
      </w:r>
    </w:p>
    <w:p w:rsidR="003C2FE3" w:rsidRDefault="003C2FE3">
      <w:pPr>
        <w:tabs>
          <w:tab w:val="left" w:pos="8080"/>
        </w:tabs>
        <w:spacing w:line="360" w:lineRule="auto"/>
        <w:ind w:right="49"/>
        <w:jc w:val="both"/>
        <w:rPr>
          <w:rFonts w:ascii="Palatino Linotype" w:eastAsia="Palatino Linotype" w:hAnsi="Palatino Linotype" w:cs="Palatino Linotype"/>
          <w:sz w:val="24"/>
          <w:szCs w:val="24"/>
        </w:rPr>
      </w:pPr>
    </w:p>
    <w:p w:rsidR="003C2FE3" w:rsidRDefault="00A042D8">
      <w:pPr>
        <w:tabs>
          <w:tab w:val="left" w:pos="8080"/>
        </w:tabs>
        <w:spacing w:line="360" w:lineRule="auto"/>
        <w:ind w:right="49"/>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SEGUNDO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bCs/>
          <w:sz w:val="24"/>
          <w:szCs w:val="24"/>
        </w:rPr>
        <w:t>CONFIRMA</w:t>
      </w:r>
      <w:r>
        <w:rPr>
          <w:rFonts w:ascii="Palatino Linotype" w:eastAsia="Palatino Linotype" w:hAnsi="Palatino Linotype" w:cs="Palatino Linotype"/>
          <w:sz w:val="24"/>
          <w:szCs w:val="24"/>
        </w:rPr>
        <w:t xml:space="preserve"> la respuesta emitida por el </w:t>
      </w:r>
      <w:r>
        <w:rPr>
          <w:rFonts w:ascii="Palatino Linotype" w:eastAsia="Palatino Linotype" w:hAnsi="Palatino Linotype" w:cs="Palatino Linotype"/>
          <w:b/>
          <w:bCs/>
          <w:sz w:val="24"/>
          <w:szCs w:val="24"/>
        </w:rPr>
        <w:t xml:space="preserve">Ayuntamiento de Toluca, </w:t>
      </w:r>
      <w:r>
        <w:rPr>
          <w:rFonts w:ascii="Palatino Linotype" w:eastAsia="Palatino Linotype" w:hAnsi="Palatino Linotype" w:cs="Palatino Linotype"/>
          <w:sz w:val="24"/>
          <w:szCs w:val="24"/>
        </w:rPr>
        <w:t xml:space="preserve">en la solicitud de información </w:t>
      </w:r>
      <w:r>
        <w:rPr>
          <w:rFonts w:ascii="Palatino Linotype" w:eastAsia="Palatino Linotype" w:hAnsi="Palatino Linotype" w:cs="Palatino Linotype"/>
          <w:b/>
          <w:bCs/>
          <w:sz w:val="24"/>
          <w:szCs w:val="24"/>
        </w:rPr>
        <w:t>03322/TOLUCA/IP/2025.</w:t>
      </w:r>
    </w:p>
    <w:p w:rsidR="003C2FE3" w:rsidRDefault="003C2FE3">
      <w:pPr>
        <w:tabs>
          <w:tab w:val="left" w:pos="8080"/>
        </w:tabs>
        <w:spacing w:line="360" w:lineRule="auto"/>
        <w:ind w:right="49"/>
        <w:jc w:val="both"/>
        <w:rPr>
          <w:rFonts w:ascii="Palatino Linotype" w:eastAsia="Palatino Linotype" w:hAnsi="Palatino Linotype" w:cs="Palatino Linotype"/>
          <w:b/>
          <w:bCs/>
          <w:sz w:val="24"/>
          <w:szCs w:val="24"/>
        </w:rPr>
      </w:pPr>
    </w:p>
    <w:p w:rsidR="003C2FE3" w:rsidRDefault="00A042D8">
      <w:pPr>
        <w:shd w:val="clear" w:color="auto" w:fill="FFFFFF"/>
        <w:spacing w:line="360" w:lineRule="auto"/>
        <w:jc w:val="both"/>
        <w:rPr>
          <w:rFonts w:ascii="Palatino Linotype" w:eastAsia="Palatino Linotype" w:hAnsi="Palatino Linotype" w:cs="Palatino Linotype"/>
          <w:sz w:val="24"/>
          <w:szCs w:val="24"/>
        </w:rPr>
      </w:pPr>
      <w:bookmarkStart w:id="12" w:name="_heading=h.1so6etcou5ea" w:colFirst="0" w:colLast="0"/>
      <w:bookmarkEnd w:id="12"/>
      <w:r>
        <w:rPr>
          <w:rFonts w:ascii="Palatino Linotype" w:eastAsia="Palatino Linotype" w:hAnsi="Palatino Linotype" w:cs="Palatino Linotype"/>
          <w:b/>
          <w:bCs/>
          <w:sz w:val="24"/>
          <w:szCs w:val="24"/>
        </w:rPr>
        <w:t>TERCERO.</w:t>
      </w:r>
      <w:r>
        <w:rPr>
          <w:rFonts w:ascii="Palatino Linotype" w:eastAsia="Palatino Linotype" w:hAnsi="Palatino Linotype" w:cs="Palatino Linotype"/>
          <w:sz w:val="24"/>
          <w:szCs w:val="24"/>
        </w:rPr>
        <w:t xml:space="preserve"> Notifíquese al Titular de la Unidad de Transparencia del</w:t>
      </w:r>
      <w:r>
        <w:rPr>
          <w:rFonts w:ascii="Palatino Linotype" w:eastAsia="Palatino Linotype" w:hAnsi="Palatino Linotype" w:cs="Palatino Linotype"/>
          <w:b/>
          <w:bCs/>
          <w:sz w:val="24"/>
          <w:szCs w:val="24"/>
        </w:rPr>
        <w:t xml:space="preserve"> SUJETO OBLIGADO</w:t>
      </w:r>
      <w:r>
        <w:rPr>
          <w:rFonts w:ascii="Palatino Linotype" w:eastAsia="Palatino Linotype" w:hAnsi="Palatino Linotype" w:cs="Palatino Linotype"/>
          <w:sz w:val="24"/>
          <w:szCs w:val="24"/>
        </w:rPr>
        <w:t xml:space="preserve"> vía SAIMEX, para su conocimiento.</w:t>
      </w:r>
    </w:p>
    <w:p w:rsidR="003C2FE3" w:rsidRDefault="003C2FE3">
      <w:pPr>
        <w:shd w:val="clear" w:color="auto" w:fill="FFFFFF"/>
        <w:spacing w:line="360" w:lineRule="auto"/>
        <w:jc w:val="both"/>
        <w:rPr>
          <w:rFonts w:ascii="Palatino Linotype" w:eastAsia="Palatino Linotype" w:hAnsi="Palatino Linotype" w:cs="Palatino Linotype"/>
          <w:sz w:val="24"/>
          <w:szCs w:val="24"/>
        </w:rPr>
      </w:pPr>
    </w:p>
    <w:p w:rsidR="003C2FE3" w:rsidRDefault="00A042D8">
      <w:pPr>
        <w:shd w:val="clear" w:color="auto" w:fill="FFFFFF"/>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CUARTO.</w:t>
      </w:r>
      <w:r>
        <w:rPr>
          <w:rFonts w:ascii="Palatino Linotype" w:eastAsia="Palatino Linotype" w:hAnsi="Palatino Linotype" w:cs="Palatino Linotype"/>
          <w:sz w:val="24"/>
          <w:szCs w:val="24"/>
        </w:rPr>
        <w:t xml:space="preserve"> Notifíquese a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la presente resolución vía SAIMEX.</w:t>
      </w:r>
    </w:p>
    <w:p w:rsidR="003C2FE3" w:rsidRDefault="00A042D8">
      <w:pPr>
        <w:shd w:val="clear" w:color="auto" w:fill="FFFFFF"/>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lastRenderedPageBreak/>
        <w:t>QUINTO.</w:t>
      </w:r>
      <w:r>
        <w:rPr>
          <w:rFonts w:ascii="Palatino Linotype" w:eastAsia="Palatino Linotype" w:hAnsi="Palatino Linotype" w:cs="Palatino Linotype"/>
          <w:sz w:val="24"/>
          <w:szCs w:val="24"/>
        </w:rPr>
        <w:t xml:space="preserve"> Se hace del conocimiento de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3C2FE3" w:rsidRDefault="003C2FE3">
      <w:pPr>
        <w:shd w:val="clear" w:color="auto" w:fill="FFFFFF"/>
        <w:spacing w:line="360" w:lineRule="auto"/>
        <w:jc w:val="both"/>
        <w:rPr>
          <w:rFonts w:ascii="Palatino Linotype" w:eastAsia="Palatino Linotype" w:hAnsi="Palatino Linotype" w:cs="Palatino Linotype"/>
          <w:sz w:val="24"/>
          <w:szCs w:val="24"/>
        </w:rPr>
      </w:pPr>
    </w:p>
    <w:p w:rsidR="00A62EC0" w:rsidRPr="00A62EC0" w:rsidRDefault="00A62EC0" w:rsidP="00A62EC0">
      <w:pPr>
        <w:spacing w:before="240" w:after="240" w:line="360" w:lineRule="auto"/>
        <w:ind w:firstLine="1"/>
        <w:jc w:val="both"/>
        <w:rPr>
          <w:rFonts w:ascii="Palatino Linotype" w:hAnsi="Palatino Linotype"/>
          <w:sz w:val="24"/>
        </w:rPr>
      </w:pPr>
      <w:bookmarkStart w:id="13" w:name="_Hlk99014733"/>
      <w:r w:rsidRPr="00A62EC0">
        <w:rPr>
          <w:rFonts w:ascii="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A62EC0">
        <w:rPr>
          <w:rFonts w:ascii="Palatino Linotype" w:hAnsi="Palatino Linotype" w:cs="Palatino Linotype"/>
          <w:color w:val="000000" w:themeColor="text1"/>
          <w:sz w:val="24"/>
        </w:rPr>
        <w:t>ALEXIS TAPIA RAMÍREZ.</w:t>
      </w:r>
    </w:p>
    <w:bookmarkEnd w:id="13"/>
    <w:p w:rsidR="003C2FE3" w:rsidRDefault="003C2FE3">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p w:rsidR="00035C95" w:rsidRDefault="00035C95">
      <w:pPr>
        <w:spacing w:line="360" w:lineRule="auto"/>
        <w:ind w:right="49"/>
        <w:jc w:val="both"/>
        <w:rPr>
          <w:rFonts w:ascii="Palatino Linotype" w:eastAsia="Palatino Linotype" w:hAnsi="Palatino Linotype" w:cs="Palatino Linotype"/>
          <w:sz w:val="24"/>
          <w:szCs w:val="24"/>
        </w:rPr>
      </w:pPr>
    </w:p>
    <w:sectPr w:rsidR="00035C95" w:rsidSect="001B5CCC">
      <w:headerReference w:type="even" r:id="rId8"/>
      <w:headerReference w:type="default" r:id="rId9"/>
      <w:footerReference w:type="default" r:id="rId10"/>
      <w:headerReference w:type="first" r:id="rId11"/>
      <w:footerReference w:type="first" r:id="rId12"/>
      <w:pgSz w:w="12240" w:h="15840"/>
      <w:pgMar w:top="80" w:right="1041"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332" w:rsidRDefault="004A4332">
      <w:r>
        <w:separator/>
      </w:r>
    </w:p>
  </w:endnote>
  <w:endnote w:type="continuationSeparator" w:id="0">
    <w:p w:rsidR="004A4332" w:rsidRDefault="004A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30F3290-1906-40A0-A392-D39CB666A8E7}"/>
  </w:font>
  <w:font w:name="Palatino Linotype">
    <w:panose1 w:val="02040502050505030304"/>
    <w:charset w:val="00"/>
    <w:family w:val="roman"/>
    <w:pitch w:val="variable"/>
    <w:sig w:usb0="E0000287" w:usb1="40000013" w:usb2="00000000" w:usb3="00000000" w:csb0="0000019F" w:csb1="00000000"/>
    <w:embedRegular r:id="rId2" w:fontKey="{45C28F1B-9B21-4D9C-B572-C801D2DD2CEF}"/>
    <w:embedBold r:id="rId3" w:fontKey="{6E0301D2-5E93-4749-830B-C83C0EA82694}"/>
    <w:embedItalic r:id="rId4" w:fontKey="{E586C0BB-8036-426C-BF72-ADE5F2632838}"/>
    <w:embedBoldItalic r:id="rId5" w:fontKey="{FE7F36EA-87D2-48B6-A51A-A307F6C65EA1}"/>
  </w:font>
  <w:font w:name="Calibri">
    <w:panose1 w:val="020F0502020204030204"/>
    <w:charset w:val="00"/>
    <w:family w:val="swiss"/>
    <w:pitch w:val="variable"/>
    <w:sig w:usb0="E4002EFF" w:usb1="C200247B" w:usb2="00000009" w:usb3="00000000" w:csb0="000001FF" w:csb1="00000000"/>
    <w:embedRegular r:id="rId6" w:fontKey="{2C7C1A97-BE37-4BFA-AC70-A9181C666F2E}"/>
  </w:font>
  <w:font w:name="Calibri Light">
    <w:panose1 w:val="020F0302020204030204"/>
    <w:charset w:val="00"/>
    <w:family w:val="swiss"/>
    <w:pitch w:val="variable"/>
    <w:sig w:usb0="E4002EFF" w:usb1="C200247B" w:usb2="00000009" w:usb3="00000000" w:csb0="000001FF" w:csb1="00000000"/>
    <w:embedRegular r:id="rId7" w:fontKey="{97573998-0942-4BF5-A500-261CFD3E6612}"/>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r:id="rId8" w:fontKey="{3423E37B-6526-4DAE-AD8D-6FEF7DC4004D}"/>
  </w:font>
  <w:font w:name="Georgia">
    <w:panose1 w:val="02040502050405020303"/>
    <w:charset w:val="00"/>
    <w:family w:val="roman"/>
    <w:pitch w:val="variable"/>
    <w:sig w:usb0="00000287" w:usb1="00000000" w:usb2="00000000" w:usb3="00000000" w:csb0="0000009F" w:csb1="00000000"/>
    <w:embedItalic r:id="rId9" w:fontKey="{CAF5902A-1BD2-45FA-AA26-FBD3CFA3CCFE}"/>
  </w:font>
  <w:font w:name="Garamond">
    <w:panose1 w:val="02020404030301010803"/>
    <w:charset w:val="00"/>
    <w:family w:val="roman"/>
    <w:pitch w:val="variable"/>
    <w:sig w:usb0="00000287" w:usb1="00000000" w:usb2="00000000" w:usb3="00000000" w:csb0="0000009F" w:csb1="00000000"/>
    <w:embedRegular r:id="rId10" w:fontKey="{FA41617E-68BB-4A37-BADD-56A538F6581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FE3" w:rsidRDefault="003C2FE3">
    <w:pPr>
      <w:pBdr>
        <w:top w:val="nil"/>
        <w:left w:val="nil"/>
        <w:bottom w:val="nil"/>
        <w:right w:val="nil"/>
        <w:between w:val="nil"/>
      </w:pBdr>
      <w:tabs>
        <w:tab w:val="center" w:pos="4419"/>
        <w:tab w:val="right" w:pos="8838"/>
      </w:tabs>
      <w:jc w:val="right"/>
      <w:rPr>
        <w:color w:val="000000"/>
      </w:rPr>
    </w:pPr>
  </w:p>
  <w:p w:rsidR="003C2FE3" w:rsidRDefault="00A042D8">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B5CCC">
      <w:rPr>
        <w:b/>
        <w:bCs/>
        <w:noProof/>
        <w:color w:val="000000"/>
        <w:sz w:val="24"/>
        <w:szCs w:val="24"/>
      </w:rPr>
      <w:t>17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B5CCC">
      <w:rPr>
        <w:b/>
        <w:bCs/>
        <w:noProof/>
        <w:color w:val="000000"/>
        <w:sz w:val="24"/>
        <w:szCs w:val="24"/>
      </w:rPr>
      <w:t>17</w:t>
    </w:r>
    <w:r>
      <w:rPr>
        <w:b/>
        <w:bCs/>
        <w:color w:val="000000"/>
        <w:sz w:val="24"/>
        <w:szCs w:val="24"/>
      </w:rPr>
      <w:fldChar w:fldCharType="end"/>
    </w:r>
  </w:p>
  <w:p w:rsidR="003C2FE3" w:rsidRDefault="003C2FE3">
    <w:pPr>
      <w:pBdr>
        <w:top w:val="nil"/>
        <w:left w:val="nil"/>
        <w:bottom w:val="nil"/>
        <w:right w:val="nil"/>
        <w:between w:val="nil"/>
      </w:pBdr>
      <w:tabs>
        <w:tab w:val="center" w:pos="4419"/>
        <w:tab w:val="right" w:pos="8838"/>
      </w:tabs>
      <w:rPr>
        <w:color w:val="000000"/>
      </w:rPr>
    </w:pPr>
  </w:p>
  <w:p w:rsidR="003C2FE3" w:rsidRDefault="003C2FE3"/>
  <w:p w:rsidR="003C2FE3" w:rsidRDefault="003C2FE3"/>
  <w:p w:rsidR="003C2FE3" w:rsidRDefault="003C2FE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FE3" w:rsidRPr="001B5CCC" w:rsidRDefault="00A042D8">
    <w:pPr>
      <w:pBdr>
        <w:top w:val="nil"/>
        <w:left w:val="nil"/>
        <w:bottom w:val="nil"/>
        <w:right w:val="nil"/>
        <w:between w:val="nil"/>
      </w:pBdr>
      <w:tabs>
        <w:tab w:val="center" w:pos="4419"/>
        <w:tab w:val="right" w:pos="8838"/>
      </w:tabs>
      <w:jc w:val="right"/>
      <w:rPr>
        <w:rFonts w:ascii="Palatino Linotype" w:hAnsi="Palatino Linotype"/>
        <w:color w:val="000000"/>
        <w:sz w:val="22"/>
        <w:szCs w:val="22"/>
      </w:rPr>
    </w:pPr>
    <w:r w:rsidRPr="001B5CCC">
      <w:rPr>
        <w:rFonts w:ascii="Palatino Linotype" w:hAnsi="Palatino Linotype"/>
        <w:color w:val="000000"/>
        <w:sz w:val="22"/>
        <w:szCs w:val="22"/>
      </w:rPr>
      <w:t xml:space="preserve">Página </w:t>
    </w:r>
    <w:r w:rsidRPr="001B5CCC">
      <w:rPr>
        <w:rFonts w:ascii="Palatino Linotype" w:hAnsi="Palatino Linotype"/>
        <w:b/>
        <w:bCs/>
        <w:color w:val="000000"/>
        <w:sz w:val="22"/>
        <w:szCs w:val="22"/>
      </w:rPr>
      <w:fldChar w:fldCharType="begin"/>
    </w:r>
    <w:r w:rsidRPr="001B5CCC">
      <w:rPr>
        <w:rFonts w:ascii="Palatino Linotype" w:hAnsi="Palatino Linotype"/>
        <w:b/>
        <w:bCs/>
        <w:color w:val="000000"/>
        <w:sz w:val="22"/>
        <w:szCs w:val="22"/>
      </w:rPr>
      <w:instrText>PAGE</w:instrText>
    </w:r>
    <w:r w:rsidRPr="001B5CCC">
      <w:rPr>
        <w:rFonts w:ascii="Palatino Linotype" w:hAnsi="Palatino Linotype"/>
        <w:b/>
        <w:bCs/>
        <w:color w:val="000000"/>
        <w:sz w:val="22"/>
        <w:szCs w:val="22"/>
      </w:rPr>
      <w:fldChar w:fldCharType="separate"/>
    </w:r>
    <w:r w:rsidR="001B5CCC">
      <w:rPr>
        <w:rFonts w:ascii="Palatino Linotype" w:hAnsi="Palatino Linotype"/>
        <w:b/>
        <w:bCs/>
        <w:noProof/>
        <w:color w:val="000000"/>
        <w:sz w:val="22"/>
        <w:szCs w:val="22"/>
      </w:rPr>
      <w:t>1</w:t>
    </w:r>
    <w:r w:rsidRPr="001B5CCC">
      <w:rPr>
        <w:rFonts w:ascii="Palatino Linotype" w:hAnsi="Palatino Linotype"/>
        <w:b/>
        <w:bCs/>
        <w:color w:val="000000"/>
        <w:sz w:val="22"/>
        <w:szCs w:val="22"/>
      </w:rPr>
      <w:fldChar w:fldCharType="end"/>
    </w:r>
    <w:r w:rsidRPr="001B5CCC">
      <w:rPr>
        <w:rFonts w:ascii="Palatino Linotype" w:hAnsi="Palatino Linotype"/>
        <w:color w:val="000000"/>
        <w:sz w:val="22"/>
        <w:szCs w:val="22"/>
      </w:rPr>
      <w:t xml:space="preserve"> de </w:t>
    </w:r>
    <w:r w:rsidRPr="001B5CCC">
      <w:rPr>
        <w:rFonts w:ascii="Palatino Linotype" w:hAnsi="Palatino Linotype"/>
        <w:b/>
        <w:bCs/>
        <w:color w:val="000000"/>
        <w:sz w:val="22"/>
        <w:szCs w:val="22"/>
      </w:rPr>
      <w:fldChar w:fldCharType="begin"/>
    </w:r>
    <w:r w:rsidRPr="001B5CCC">
      <w:rPr>
        <w:rFonts w:ascii="Palatino Linotype" w:hAnsi="Palatino Linotype"/>
        <w:b/>
        <w:bCs/>
        <w:color w:val="000000"/>
        <w:sz w:val="22"/>
        <w:szCs w:val="22"/>
      </w:rPr>
      <w:instrText>NUMPAGES</w:instrText>
    </w:r>
    <w:r w:rsidRPr="001B5CCC">
      <w:rPr>
        <w:rFonts w:ascii="Palatino Linotype" w:hAnsi="Palatino Linotype"/>
        <w:b/>
        <w:bCs/>
        <w:color w:val="000000"/>
        <w:sz w:val="22"/>
        <w:szCs w:val="22"/>
      </w:rPr>
      <w:fldChar w:fldCharType="separate"/>
    </w:r>
    <w:r w:rsidR="001B5CCC">
      <w:rPr>
        <w:rFonts w:ascii="Palatino Linotype" w:hAnsi="Palatino Linotype"/>
        <w:b/>
        <w:bCs/>
        <w:noProof/>
        <w:color w:val="000000"/>
        <w:sz w:val="22"/>
        <w:szCs w:val="22"/>
      </w:rPr>
      <w:t>17</w:t>
    </w:r>
    <w:r w:rsidRPr="001B5CCC">
      <w:rPr>
        <w:rFonts w:ascii="Palatino Linotype" w:hAnsi="Palatino Linotype"/>
        <w:b/>
        <w:bCs/>
        <w:color w:val="000000"/>
        <w:sz w:val="22"/>
        <w:szCs w:val="22"/>
      </w:rPr>
      <w:fldChar w:fldCharType="end"/>
    </w:r>
  </w:p>
  <w:p w:rsidR="003C2FE3" w:rsidRPr="001B5CCC" w:rsidRDefault="003C2FE3">
    <w:pPr>
      <w:pBdr>
        <w:top w:val="nil"/>
        <w:left w:val="nil"/>
        <w:bottom w:val="nil"/>
        <w:right w:val="nil"/>
        <w:between w:val="nil"/>
      </w:pBdr>
      <w:tabs>
        <w:tab w:val="center" w:pos="4419"/>
        <w:tab w:val="right" w:pos="8838"/>
      </w:tabs>
      <w:rPr>
        <w:rFonts w:ascii="Palatino Linotype" w:hAnsi="Palatino Linotype"/>
        <w:color w:val="000000"/>
        <w:sz w:val="22"/>
        <w:szCs w:val="22"/>
      </w:rPr>
    </w:pPr>
  </w:p>
  <w:p w:rsidR="003C2FE3" w:rsidRDefault="003C2FE3"/>
  <w:p w:rsidR="003C2FE3" w:rsidRDefault="003C2FE3"/>
  <w:p w:rsidR="003C2FE3" w:rsidRDefault="003C2F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332" w:rsidRDefault="004A4332">
      <w:r>
        <w:separator/>
      </w:r>
    </w:p>
  </w:footnote>
  <w:footnote w:type="continuationSeparator" w:id="0">
    <w:p w:rsidR="004A4332" w:rsidRDefault="004A4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FE3" w:rsidRDefault="004A433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rsidR="003C2FE3" w:rsidRDefault="003C2FE3"/>
  <w:p w:rsidR="003C2FE3" w:rsidRDefault="003C2FE3"/>
  <w:p w:rsidR="003C2FE3" w:rsidRDefault="003C2FE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065" w:type="dxa"/>
      <w:tblInd w:w="0" w:type="dxa"/>
      <w:tblLayout w:type="fixed"/>
      <w:tblLook w:val="0400" w:firstRow="0" w:lastRow="0" w:firstColumn="0" w:lastColumn="0" w:noHBand="0" w:noVBand="1"/>
    </w:tblPr>
    <w:tblGrid>
      <w:gridCol w:w="1843"/>
      <w:gridCol w:w="8222"/>
    </w:tblGrid>
    <w:tr w:rsidR="003C2FE3" w:rsidTr="001B5CCC">
      <w:trPr>
        <w:trHeight w:val="1435"/>
      </w:trPr>
      <w:tc>
        <w:tcPr>
          <w:tcW w:w="1843" w:type="dxa"/>
          <w:shd w:val="clear" w:color="auto" w:fill="auto"/>
        </w:tcPr>
        <w:p w:rsidR="003C2FE3" w:rsidRDefault="003C2FE3">
          <w:pPr>
            <w:tabs>
              <w:tab w:val="right" w:pos="4273"/>
            </w:tabs>
            <w:rPr>
              <w:rFonts w:ascii="Garamond" w:eastAsia="Garamond" w:hAnsi="Garamond" w:cs="Garamond"/>
              <w:sz w:val="16"/>
              <w:szCs w:val="16"/>
            </w:rPr>
          </w:pPr>
        </w:p>
      </w:tc>
      <w:tc>
        <w:tcPr>
          <w:tcW w:w="8222" w:type="dxa"/>
          <w:shd w:val="clear" w:color="auto" w:fill="auto"/>
        </w:tcPr>
        <w:tbl>
          <w:tblPr>
            <w:tblStyle w:val="a1"/>
            <w:tblW w:w="6796"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969"/>
            <w:gridCol w:w="3827"/>
          </w:tblGrid>
          <w:tr w:rsidR="003C2FE3" w:rsidTr="001B5CCC">
            <w:trPr>
              <w:trHeight w:val="338"/>
            </w:trPr>
            <w:tc>
              <w:tcPr>
                <w:tcW w:w="2969" w:type="dxa"/>
              </w:tcPr>
              <w:p w:rsidR="003C2FE3" w:rsidRPr="001B5CCC" w:rsidRDefault="00A042D8">
                <w:pPr>
                  <w:tabs>
                    <w:tab w:val="right" w:pos="8838"/>
                  </w:tabs>
                  <w:ind w:right="-105"/>
                  <w:rPr>
                    <w:rFonts w:ascii="Palatino Linotype" w:eastAsia="Palatino Linotype" w:hAnsi="Palatino Linotype" w:cs="Palatino Linotype"/>
                    <w:b/>
                    <w:bCs/>
                    <w:sz w:val="24"/>
                    <w:szCs w:val="22"/>
                  </w:rPr>
                </w:pPr>
                <w:r w:rsidRPr="001B5CCC">
                  <w:rPr>
                    <w:rFonts w:ascii="Palatino Linotype" w:eastAsia="Palatino Linotype" w:hAnsi="Palatino Linotype" w:cs="Palatino Linotype"/>
                    <w:b/>
                    <w:bCs/>
                    <w:sz w:val="24"/>
                    <w:szCs w:val="22"/>
                  </w:rPr>
                  <w:t>Recurso de Revisión:</w:t>
                </w:r>
              </w:p>
            </w:tc>
            <w:tc>
              <w:tcPr>
                <w:tcW w:w="3827" w:type="dxa"/>
              </w:tcPr>
              <w:p w:rsidR="003C2FE3" w:rsidRPr="001B5CCC" w:rsidRDefault="00A042D8" w:rsidP="001B5CCC">
                <w:pPr>
                  <w:tabs>
                    <w:tab w:val="right" w:pos="8838"/>
                  </w:tabs>
                  <w:ind w:right="-105"/>
                  <w:rPr>
                    <w:rFonts w:ascii="Palatino Linotype" w:eastAsia="Palatino Linotype" w:hAnsi="Palatino Linotype" w:cs="Palatino Linotype"/>
                    <w:bCs/>
                    <w:sz w:val="24"/>
                    <w:szCs w:val="22"/>
                  </w:rPr>
                </w:pPr>
                <w:r w:rsidRPr="001B5CCC">
                  <w:rPr>
                    <w:rFonts w:ascii="Palatino Linotype" w:eastAsia="Palatino Linotype" w:hAnsi="Palatino Linotype" w:cs="Palatino Linotype"/>
                    <w:bCs/>
                    <w:sz w:val="24"/>
                    <w:szCs w:val="22"/>
                  </w:rPr>
                  <w:t>07883/INFOEM/IP/RR/2025</w:t>
                </w:r>
              </w:p>
            </w:tc>
          </w:tr>
          <w:tr w:rsidR="003C2FE3" w:rsidTr="001B5CCC">
            <w:trPr>
              <w:trHeight w:val="283"/>
            </w:trPr>
            <w:tc>
              <w:tcPr>
                <w:tcW w:w="2969" w:type="dxa"/>
              </w:tcPr>
              <w:p w:rsidR="003C2FE3" w:rsidRPr="001B5CCC" w:rsidRDefault="00A042D8">
                <w:pPr>
                  <w:tabs>
                    <w:tab w:val="right" w:pos="8838"/>
                  </w:tabs>
                  <w:ind w:right="-105"/>
                  <w:rPr>
                    <w:rFonts w:ascii="Palatino Linotype" w:eastAsia="Palatino Linotype" w:hAnsi="Palatino Linotype" w:cs="Palatino Linotype"/>
                    <w:b/>
                    <w:bCs/>
                    <w:sz w:val="24"/>
                    <w:szCs w:val="22"/>
                  </w:rPr>
                </w:pPr>
                <w:bookmarkStart w:id="14" w:name="_heading=h.5zi772wsd763" w:colFirst="0" w:colLast="0"/>
                <w:bookmarkEnd w:id="14"/>
                <w:r w:rsidRPr="001B5CCC">
                  <w:rPr>
                    <w:rFonts w:ascii="Palatino Linotype" w:eastAsia="Palatino Linotype" w:hAnsi="Palatino Linotype" w:cs="Palatino Linotype"/>
                    <w:b/>
                    <w:bCs/>
                    <w:sz w:val="24"/>
                    <w:szCs w:val="22"/>
                  </w:rPr>
                  <w:t>Sujeto Obligado:</w:t>
                </w:r>
              </w:p>
            </w:tc>
            <w:tc>
              <w:tcPr>
                <w:tcW w:w="3827" w:type="dxa"/>
              </w:tcPr>
              <w:p w:rsidR="003C2FE3" w:rsidRPr="001B5CCC" w:rsidRDefault="00A042D8" w:rsidP="001B5CCC">
                <w:pPr>
                  <w:tabs>
                    <w:tab w:val="left" w:pos="2834"/>
                    <w:tab w:val="right" w:pos="8838"/>
                  </w:tabs>
                  <w:ind w:right="-107"/>
                  <w:rPr>
                    <w:rFonts w:ascii="Palatino Linotype" w:eastAsia="Palatino Linotype" w:hAnsi="Palatino Linotype" w:cs="Palatino Linotype"/>
                    <w:bCs/>
                    <w:color w:val="000000"/>
                    <w:sz w:val="24"/>
                    <w:szCs w:val="22"/>
                  </w:rPr>
                </w:pPr>
                <w:r w:rsidRPr="001B5CCC">
                  <w:rPr>
                    <w:rFonts w:ascii="Palatino Linotype" w:eastAsia="Palatino Linotype" w:hAnsi="Palatino Linotype" w:cs="Palatino Linotype"/>
                    <w:bCs/>
                    <w:color w:val="000000"/>
                    <w:sz w:val="24"/>
                    <w:szCs w:val="22"/>
                  </w:rPr>
                  <w:t>Ayuntamiento de Toluca</w:t>
                </w:r>
              </w:p>
            </w:tc>
          </w:tr>
          <w:tr w:rsidR="003C2FE3" w:rsidTr="001B5CCC">
            <w:trPr>
              <w:trHeight w:val="283"/>
            </w:trPr>
            <w:tc>
              <w:tcPr>
                <w:tcW w:w="2969" w:type="dxa"/>
              </w:tcPr>
              <w:p w:rsidR="003C2FE3" w:rsidRPr="001B5CCC" w:rsidRDefault="00A042D8">
                <w:pPr>
                  <w:tabs>
                    <w:tab w:val="right" w:pos="8838"/>
                  </w:tabs>
                  <w:ind w:right="-105"/>
                  <w:rPr>
                    <w:rFonts w:ascii="Palatino Linotype" w:eastAsia="Palatino Linotype" w:hAnsi="Palatino Linotype" w:cs="Palatino Linotype"/>
                    <w:b/>
                    <w:bCs/>
                    <w:sz w:val="24"/>
                    <w:szCs w:val="22"/>
                  </w:rPr>
                </w:pPr>
                <w:r w:rsidRPr="001B5CCC">
                  <w:rPr>
                    <w:rFonts w:ascii="Palatino Linotype" w:eastAsia="Palatino Linotype" w:hAnsi="Palatino Linotype" w:cs="Palatino Linotype"/>
                    <w:b/>
                    <w:bCs/>
                    <w:sz w:val="24"/>
                    <w:szCs w:val="22"/>
                  </w:rPr>
                  <w:t>Comisionada Ponente:</w:t>
                </w:r>
              </w:p>
            </w:tc>
            <w:tc>
              <w:tcPr>
                <w:tcW w:w="3827" w:type="dxa"/>
              </w:tcPr>
              <w:p w:rsidR="003C2FE3" w:rsidRPr="001B5CCC" w:rsidRDefault="00A042D8" w:rsidP="001B5CCC">
                <w:pPr>
                  <w:tabs>
                    <w:tab w:val="right" w:pos="8838"/>
                  </w:tabs>
                  <w:ind w:left="-113" w:right="-105"/>
                  <w:rPr>
                    <w:rFonts w:ascii="Palatino Linotype" w:eastAsia="Palatino Linotype" w:hAnsi="Palatino Linotype" w:cs="Palatino Linotype"/>
                    <w:bCs/>
                    <w:sz w:val="24"/>
                    <w:szCs w:val="22"/>
                  </w:rPr>
                </w:pPr>
                <w:r w:rsidRPr="001B5CCC">
                  <w:rPr>
                    <w:rFonts w:ascii="Palatino Linotype" w:eastAsia="Palatino Linotype" w:hAnsi="Palatino Linotype" w:cs="Palatino Linotype"/>
                    <w:bCs/>
                    <w:sz w:val="24"/>
                    <w:szCs w:val="22"/>
                  </w:rPr>
                  <w:t>María del Rosario Mejía Ayala</w:t>
                </w:r>
              </w:p>
            </w:tc>
          </w:tr>
        </w:tbl>
        <w:p w:rsidR="003C2FE3" w:rsidRDefault="003C2FE3">
          <w:pPr>
            <w:tabs>
              <w:tab w:val="right" w:pos="8838"/>
            </w:tabs>
            <w:ind w:left="-28"/>
            <w:jc w:val="both"/>
            <w:rPr>
              <w:rFonts w:ascii="Arial" w:eastAsia="Arial" w:hAnsi="Arial" w:cs="Arial"/>
              <w:b/>
              <w:bCs/>
              <w:sz w:val="22"/>
              <w:szCs w:val="22"/>
            </w:rPr>
          </w:pPr>
        </w:p>
      </w:tc>
    </w:tr>
  </w:tbl>
  <w:p w:rsidR="003C2FE3" w:rsidRPr="001B5CCC" w:rsidRDefault="004A4332" w:rsidP="001B5CCC">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6.2pt;margin-top:-139.2pt;width:663.5pt;height:12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9923" w:type="dxa"/>
      <w:tblInd w:w="0" w:type="dxa"/>
      <w:tblLayout w:type="fixed"/>
      <w:tblLook w:val="0400" w:firstRow="0" w:lastRow="0" w:firstColumn="0" w:lastColumn="0" w:noHBand="0" w:noVBand="1"/>
    </w:tblPr>
    <w:tblGrid>
      <w:gridCol w:w="1560"/>
      <w:gridCol w:w="8363"/>
    </w:tblGrid>
    <w:tr w:rsidR="003C2FE3" w:rsidTr="001B5CCC">
      <w:trPr>
        <w:trHeight w:val="1435"/>
      </w:trPr>
      <w:tc>
        <w:tcPr>
          <w:tcW w:w="1560" w:type="dxa"/>
          <w:shd w:val="clear" w:color="auto" w:fill="auto"/>
        </w:tcPr>
        <w:p w:rsidR="003C2FE3" w:rsidRDefault="003C2FE3">
          <w:pPr>
            <w:tabs>
              <w:tab w:val="right" w:pos="4273"/>
            </w:tabs>
            <w:rPr>
              <w:rFonts w:ascii="Garamond" w:eastAsia="Garamond" w:hAnsi="Garamond" w:cs="Garamond"/>
              <w:sz w:val="22"/>
              <w:szCs w:val="22"/>
            </w:rPr>
          </w:pPr>
        </w:p>
      </w:tc>
      <w:tc>
        <w:tcPr>
          <w:tcW w:w="8363" w:type="dxa"/>
          <w:shd w:val="clear" w:color="auto" w:fill="auto"/>
        </w:tcPr>
        <w:tbl>
          <w:tblPr>
            <w:tblStyle w:val="a3"/>
            <w:tblW w:w="9773"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683"/>
            <w:gridCol w:w="4111"/>
            <w:gridCol w:w="2979"/>
          </w:tblGrid>
          <w:tr w:rsidR="003C2FE3" w:rsidTr="001B5CCC">
            <w:trPr>
              <w:trHeight w:val="144"/>
            </w:trPr>
            <w:tc>
              <w:tcPr>
                <w:tcW w:w="2683" w:type="dxa"/>
              </w:tcPr>
              <w:p w:rsidR="003C2FE3" w:rsidRPr="001B5CCC" w:rsidRDefault="00A042D8">
                <w:pPr>
                  <w:tabs>
                    <w:tab w:val="right" w:pos="8838"/>
                  </w:tabs>
                  <w:ind w:left="-74" w:right="-105"/>
                  <w:rPr>
                    <w:rFonts w:ascii="Palatino Linotype" w:eastAsia="Palatino Linotype" w:hAnsi="Palatino Linotype" w:cs="Palatino Linotype"/>
                    <w:b/>
                    <w:bCs/>
                    <w:sz w:val="24"/>
                    <w:szCs w:val="22"/>
                  </w:rPr>
                </w:pPr>
                <w:bookmarkStart w:id="15" w:name="_heading=h.st1ri2d39skx" w:colFirst="0" w:colLast="0"/>
                <w:bookmarkEnd w:id="15"/>
                <w:r w:rsidRPr="001B5CCC">
                  <w:rPr>
                    <w:rFonts w:ascii="Palatino Linotype" w:eastAsia="Palatino Linotype" w:hAnsi="Palatino Linotype" w:cs="Palatino Linotype"/>
                    <w:b/>
                    <w:bCs/>
                    <w:sz w:val="24"/>
                    <w:szCs w:val="22"/>
                  </w:rPr>
                  <w:t>Recurso de Revisión:</w:t>
                </w:r>
              </w:p>
            </w:tc>
            <w:tc>
              <w:tcPr>
                <w:tcW w:w="4111" w:type="dxa"/>
              </w:tcPr>
              <w:p w:rsidR="003C2FE3" w:rsidRPr="001B5CCC" w:rsidRDefault="00A042D8" w:rsidP="001B5CCC">
                <w:pPr>
                  <w:tabs>
                    <w:tab w:val="right" w:pos="8838"/>
                  </w:tabs>
                  <w:ind w:right="-105"/>
                  <w:rPr>
                    <w:rFonts w:ascii="Palatino Linotype" w:eastAsia="Palatino Linotype" w:hAnsi="Palatino Linotype" w:cs="Palatino Linotype"/>
                    <w:bCs/>
                    <w:sz w:val="24"/>
                    <w:szCs w:val="22"/>
                  </w:rPr>
                </w:pPr>
                <w:r w:rsidRPr="001B5CCC">
                  <w:rPr>
                    <w:rFonts w:ascii="Palatino Linotype" w:eastAsia="Palatino Linotype" w:hAnsi="Palatino Linotype" w:cs="Palatino Linotype"/>
                    <w:bCs/>
                    <w:sz w:val="24"/>
                    <w:szCs w:val="22"/>
                  </w:rPr>
                  <w:t>07883/INFOEM/IP/RR/2025</w:t>
                </w:r>
              </w:p>
            </w:tc>
            <w:tc>
              <w:tcPr>
                <w:tcW w:w="2979" w:type="dxa"/>
              </w:tcPr>
              <w:p w:rsidR="003C2FE3" w:rsidRDefault="003C2FE3">
                <w:pPr>
                  <w:tabs>
                    <w:tab w:val="right" w:pos="8838"/>
                  </w:tabs>
                  <w:ind w:left="-74" w:right="-105"/>
                  <w:jc w:val="both"/>
                  <w:rPr>
                    <w:rFonts w:ascii="Palatino Linotype" w:eastAsia="Palatino Linotype" w:hAnsi="Palatino Linotype" w:cs="Palatino Linotype"/>
                    <w:sz w:val="22"/>
                    <w:szCs w:val="22"/>
                  </w:rPr>
                </w:pPr>
              </w:p>
            </w:tc>
          </w:tr>
          <w:tr w:rsidR="003C2FE3" w:rsidTr="001B5CCC">
            <w:trPr>
              <w:trHeight w:val="144"/>
            </w:trPr>
            <w:tc>
              <w:tcPr>
                <w:tcW w:w="2683" w:type="dxa"/>
              </w:tcPr>
              <w:p w:rsidR="003C2FE3" w:rsidRPr="001B5CCC" w:rsidRDefault="00A042D8">
                <w:pPr>
                  <w:tabs>
                    <w:tab w:val="right" w:pos="8838"/>
                  </w:tabs>
                  <w:ind w:left="-74" w:right="-105"/>
                  <w:rPr>
                    <w:rFonts w:ascii="Palatino Linotype" w:eastAsia="Palatino Linotype" w:hAnsi="Palatino Linotype" w:cs="Palatino Linotype"/>
                    <w:b/>
                    <w:bCs/>
                    <w:sz w:val="24"/>
                    <w:szCs w:val="22"/>
                  </w:rPr>
                </w:pPr>
                <w:bookmarkStart w:id="16" w:name="_heading=h.te2xf14rsjnf" w:colFirst="0" w:colLast="0"/>
                <w:bookmarkEnd w:id="16"/>
                <w:r w:rsidRPr="001B5CCC">
                  <w:rPr>
                    <w:rFonts w:ascii="Palatino Linotype" w:eastAsia="Palatino Linotype" w:hAnsi="Palatino Linotype" w:cs="Palatino Linotype"/>
                    <w:b/>
                    <w:bCs/>
                    <w:sz w:val="24"/>
                    <w:szCs w:val="22"/>
                  </w:rPr>
                  <w:t>Recurrente:</w:t>
                </w:r>
              </w:p>
            </w:tc>
            <w:tc>
              <w:tcPr>
                <w:tcW w:w="4111" w:type="dxa"/>
              </w:tcPr>
              <w:p w:rsidR="003C2FE3" w:rsidRPr="001B5CCC" w:rsidRDefault="003C2FE3" w:rsidP="001B5CCC">
                <w:pPr>
                  <w:tabs>
                    <w:tab w:val="left" w:pos="3122"/>
                    <w:tab w:val="right" w:pos="8838"/>
                  </w:tabs>
                  <w:ind w:right="1457"/>
                  <w:rPr>
                    <w:rFonts w:ascii="Palatino Linotype" w:eastAsia="Palatino Linotype" w:hAnsi="Palatino Linotype" w:cs="Palatino Linotype"/>
                    <w:bCs/>
                    <w:sz w:val="24"/>
                    <w:szCs w:val="22"/>
                  </w:rPr>
                </w:pPr>
              </w:p>
            </w:tc>
            <w:tc>
              <w:tcPr>
                <w:tcW w:w="2979" w:type="dxa"/>
              </w:tcPr>
              <w:p w:rsidR="003C2FE3" w:rsidRDefault="003C2FE3">
                <w:pPr>
                  <w:tabs>
                    <w:tab w:val="left" w:pos="3122"/>
                    <w:tab w:val="right" w:pos="8838"/>
                  </w:tabs>
                  <w:ind w:right="-105"/>
                  <w:jc w:val="both"/>
                  <w:rPr>
                    <w:rFonts w:ascii="Palatino Linotype" w:eastAsia="Palatino Linotype" w:hAnsi="Palatino Linotype" w:cs="Palatino Linotype"/>
                    <w:sz w:val="22"/>
                    <w:szCs w:val="22"/>
                  </w:rPr>
                </w:pPr>
              </w:p>
            </w:tc>
          </w:tr>
          <w:tr w:rsidR="003C2FE3" w:rsidTr="001B5CCC">
            <w:trPr>
              <w:trHeight w:val="283"/>
            </w:trPr>
            <w:tc>
              <w:tcPr>
                <w:tcW w:w="2683" w:type="dxa"/>
              </w:tcPr>
              <w:p w:rsidR="003C2FE3" w:rsidRPr="001B5CCC" w:rsidRDefault="00A042D8">
                <w:pPr>
                  <w:tabs>
                    <w:tab w:val="right" w:pos="8838"/>
                  </w:tabs>
                  <w:ind w:left="-74" w:right="-105"/>
                  <w:rPr>
                    <w:rFonts w:ascii="Palatino Linotype" w:eastAsia="Palatino Linotype" w:hAnsi="Palatino Linotype" w:cs="Palatino Linotype"/>
                    <w:b/>
                    <w:bCs/>
                    <w:sz w:val="24"/>
                    <w:szCs w:val="22"/>
                  </w:rPr>
                </w:pPr>
                <w:r w:rsidRPr="001B5CCC">
                  <w:rPr>
                    <w:rFonts w:ascii="Palatino Linotype" w:eastAsia="Palatino Linotype" w:hAnsi="Palatino Linotype" w:cs="Palatino Linotype"/>
                    <w:b/>
                    <w:bCs/>
                    <w:sz w:val="24"/>
                    <w:szCs w:val="22"/>
                  </w:rPr>
                  <w:t>Sujeto Obligado:</w:t>
                </w:r>
              </w:p>
            </w:tc>
            <w:tc>
              <w:tcPr>
                <w:tcW w:w="4111" w:type="dxa"/>
              </w:tcPr>
              <w:p w:rsidR="003C2FE3" w:rsidRPr="001B5CCC" w:rsidRDefault="00A042D8" w:rsidP="001B5CCC">
                <w:pPr>
                  <w:tabs>
                    <w:tab w:val="left" w:pos="2834"/>
                    <w:tab w:val="right" w:pos="8838"/>
                  </w:tabs>
                  <w:ind w:left="-3" w:right="-105"/>
                  <w:rPr>
                    <w:rFonts w:ascii="Palatino Linotype" w:eastAsia="Palatino Linotype" w:hAnsi="Palatino Linotype" w:cs="Palatino Linotype"/>
                    <w:bCs/>
                    <w:sz w:val="24"/>
                  </w:rPr>
                </w:pPr>
                <w:r w:rsidRPr="001B5CCC">
                  <w:rPr>
                    <w:rFonts w:ascii="Palatino Linotype" w:eastAsia="Palatino Linotype" w:hAnsi="Palatino Linotype" w:cs="Palatino Linotype"/>
                    <w:bCs/>
                    <w:color w:val="000000"/>
                    <w:sz w:val="24"/>
                    <w:szCs w:val="24"/>
                  </w:rPr>
                  <w:t>Ayuntamiento de Toluca</w:t>
                </w:r>
              </w:p>
            </w:tc>
            <w:tc>
              <w:tcPr>
                <w:tcW w:w="2979" w:type="dxa"/>
              </w:tcPr>
              <w:p w:rsidR="003C2FE3" w:rsidRDefault="003C2FE3">
                <w:pPr>
                  <w:tabs>
                    <w:tab w:val="left" w:pos="2834"/>
                    <w:tab w:val="right" w:pos="8838"/>
                  </w:tabs>
                  <w:ind w:left="-74" w:right="-105"/>
                  <w:jc w:val="both"/>
                  <w:rPr>
                    <w:rFonts w:ascii="Palatino Linotype" w:eastAsia="Palatino Linotype" w:hAnsi="Palatino Linotype" w:cs="Palatino Linotype"/>
                    <w:b/>
                    <w:bCs/>
                  </w:rPr>
                </w:pPr>
              </w:p>
            </w:tc>
          </w:tr>
          <w:tr w:rsidR="003C2FE3" w:rsidTr="001B5CCC">
            <w:trPr>
              <w:trHeight w:val="283"/>
            </w:trPr>
            <w:tc>
              <w:tcPr>
                <w:tcW w:w="2683" w:type="dxa"/>
              </w:tcPr>
              <w:p w:rsidR="003C2FE3" w:rsidRPr="001B5CCC" w:rsidRDefault="00A042D8">
                <w:pPr>
                  <w:tabs>
                    <w:tab w:val="right" w:pos="8838"/>
                  </w:tabs>
                  <w:ind w:left="-74" w:right="-105"/>
                  <w:rPr>
                    <w:rFonts w:ascii="Palatino Linotype" w:eastAsia="Palatino Linotype" w:hAnsi="Palatino Linotype" w:cs="Palatino Linotype"/>
                    <w:b/>
                    <w:bCs/>
                    <w:sz w:val="24"/>
                    <w:szCs w:val="22"/>
                  </w:rPr>
                </w:pPr>
                <w:r w:rsidRPr="001B5CCC">
                  <w:rPr>
                    <w:rFonts w:ascii="Palatino Linotype" w:eastAsia="Palatino Linotype" w:hAnsi="Palatino Linotype" w:cs="Palatino Linotype"/>
                    <w:b/>
                    <w:bCs/>
                    <w:sz w:val="24"/>
                    <w:szCs w:val="22"/>
                  </w:rPr>
                  <w:t>Comisionada Ponente:</w:t>
                </w:r>
              </w:p>
            </w:tc>
            <w:tc>
              <w:tcPr>
                <w:tcW w:w="4111" w:type="dxa"/>
              </w:tcPr>
              <w:p w:rsidR="003C2FE3" w:rsidRPr="001B5CCC" w:rsidRDefault="00A042D8" w:rsidP="001B5CCC">
                <w:pPr>
                  <w:tabs>
                    <w:tab w:val="right" w:pos="8838"/>
                  </w:tabs>
                  <w:ind w:left="-3" w:right="-105"/>
                  <w:rPr>
                    <w:rFonts w:ascii="Palatino Linotype" w:eastAsia="Palatino Linotype" w:hAnsi="Palatino Linotype" w:cs="Palatino Linotype"/>
                    <w:bCs/>
                    <w:sz w:val="24"/>
                  </w:rPr>
                </w:pPr>
                <w:r w:rsidRPr="001B5CCC">
                  <w:rPr>
                    <w:rFonts w:ascii="Palatino Linotype" w:eastAsia="Palatino Linotype" w:hAnsi="Palatino Linotype" w:cs="Palatino Linotype"/>
                    <w:bCs/>
                    <w:sz w:val="24"/>
                  </w:rPr>
                  <w:t>María del Rosario Mejía Ayala</w:t>
                </w:r>
              </w:p>
            </w:tc>
            <w:tc>
              <w:tcPr>
                <w:tcW w:w="2979" w:type="dxa"/>
              </w:tcPr>
              <w:p w:rsidR="003C2FE3" w:rsidRDefault="003C2FE3">
                <w:pPr>
                  <w:tabs>
                    <w:tab w:val="right" w:pos="8838"/>
                  </w:tabs>
                  <w:ind w:left="-74" w:right="-105"/>
                  <w:jc w:val="both"/>
                  <w:rPr>
                    <w:rFonts w:ascii="Palatino Linotype" w:eastAsia="Palatino Linotype" w:hAnsi="Palatino Linotype" w:cs="Palatino Linotype"/>
                    <w:b/>
                    <w:bCs/>
                  </w:rPr>
                </w:pPr>
              </w:p>
            </w:tc>
          </w:tr>
        </w:tbl>
        <w:p w:rsidR="003C2FE3" w:rsidRDefault="003C2FE3">
          <w:pPr>
            <w:tabs>
              <w:tab w:val="right" w:pos="8838"/>
            </w:tabs>
            <w:ind w:left="-28"/>
            <w:jc w:val="both"/>
            <w:rPr>
              <w:rFonts w:ascii="Arial" w:eastAsia="Arial" w:hAnsi="Arial" w:cs="Arial"/>
              <w:b/>
              <w:bCs/>
              <w:sz w:val="22"/>
              <w:szCs w:val="22"/>
            </w:rPr>
          </w:pPr>
        </w:p>
      </w:tc>
    </w:tr>
  </w:tbl>
  <w:p w:rsidR="003C2FE3" w:rsidRPr="001B5CCC" w:rsidRDefault="004A4332" w:rsidP="001B5CCC">
    <w:pPr>
      <w:pBdr>
        <w:top w:val="nil"/>
        <w:left w:val="nil"/>
        <w:bottom w:val="nil"/>
        <w:right w:val="nil"/>
        <w:between w:val="nil"/>
      </w:pBdr>
      <w:tabs>
        <w:tab w:val="center" w:pos="4419"/>
        <w:tab w:val="right" w:pos="8838"/>
        <w:tab w:val="center" w:pos="4522"/>
      </w:tabs>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7.65pt;margin-top:-138.4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36426"/>
    <w:multiLevelType w:val="hybridMultilevel"/>
    <w:tmpl w:val="95F461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69E13E5"/>
    <w:multiLevelType w:val="multilevel"/>
    <w:tmpl w:val="ECF89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443945"/>
    <w:multiLevelType w:val="multilevel"/>
    <w:tmpl w:val="8B4A1850"/>
    <w:lvl w:ilvl="0">
      <w:start w:val="1"/>
      <w:numFmt w:val="decimal"/>
      <w:pStyle w:val="Listaconvietas2"/>
      <w:lvlText w:val="%1."/>
      <w:lvlJc w:val="left"/>
      <w:pPr>
        <w:ind w:left="501"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931ECF"/>
    <w:multiLevelType w:val="multilevel"/>
    <w:tmpl w:val="2D685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E03936"/>
    <w:multiLevelType w:val="multilevel"/>
    <w:tmpl w:val="1EC2505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FE3"/>
    <w:rsid w:val="00035C95"/>
    <w:rsid w:val="001B5CCC"/>
    <w:rsid w:val="00283544"/>
    <w:rsid w:val="003C2FE3"/>
    <w:rsid w:val="004A4332"/>
    <w:rsid w:val="00A042D8"/>
    <w:rsid w:val="00A1054D"/>
    <w:rsid w:val="00A62E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542ADD7-7680-4A4C-B735-081C2316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646258"/>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646258"/>
    <w:rPr>
      <w:rFonts w:asciiTheme="majorHAnsi" w:eastAsiaTheme="majorEastAsia" w:hAnsiTheme="majorHAnsi" w:cstheme="majorBidi"/>
      <w:color w:val="2E74B5" w:themeColor="accent1" w:themeShade="BF"/>
      <w:sz w:val="26"/>
      <w:szCs w:val="26"/>
      <w:lang w:eastAsia="es-ES"/>
    </w:rPr>
  </w:style>
  <w:style w:type="paragraph" w:styleId="Encabezado">
    <w:name w:val="header"/>
    <w:basedOn w:val="Normal"/>
    <w:link w:val="EncabezadoCar"/>
    <w:uiPriority w:val="99"/>
    <w:unhideWhenUsed/>
    <w:qFormat/>
    <w:rsid w:val="00646258"/>
    <w:pPr>
      <w:tabs>
        <w:tab w:val="center" w:pos="4419"/>
        <w:tab w:val="right" w:pos="8838"/>
      </w:tabs>
    </w:pPr>
  </w:style>
  <w:style w:type="character" w:customStyle="1" w:styleId="EncabezadoCar">
    <w:name w:val="Encabezado Car"/>
    <w:basedOn w:val="Fuentedeprrafopredeter"/>
    <w:link w:val="Encabezado"/>
    <w:uiPriority w:val="99"/>
    <w:qFormat/>
    <w:rsid w:val="00646258"/>
    <w:rPr>
      <w:rFonts w:ascii="Times New Roman" w:eastAsia="Times New Roman" w:hAnsi="Times New Roman" w:cs="Times New Roman"/>
      <w:sz w:val="20"/>
      <w:szCs w:val="20"/>
      <w:lang w:eastAsia="es-ES"/>
    </w:rPr>
  </w:style>
  <w:style w:type="paragraph" w:styleId="Listaconvietas2">
    <w:name w:val="List Bullet 2"/>
    <w:basedOn w:val="Normal"/>
    <w:uiPriority w:val="99"/>
    <w:unhideWhenUsed/>
    <w:qFormat/>
    <w:rsid w:val="00646258"/>
    <w:pPr>
      <w:numPr>
        <w:numId w:val="1"/>
      </w:numPr>
      <w:contextualSpacing/>
    </w:pPr>
  </w:style>
  <w:style w:type="paragraph" w:styleId="Piedepgina">
    <w:name w:val="footer"/>
    <w:basedOn w:val="Normal"/>
    <w:link w:val="PiedepginaCar"/>
    <w:uiPriority w:val="99"/>
    <w:unhideWhenUsed/>
    <w:qFormat/>
    <w:rsid w:val="00646258"/>
    <w:pPr>
      <w:tabs>
        <w:tab w:val="center" w:pos="4419"/>
        <w:tab w:val="right" w:pos="8838"/>
      </w:tabs>
    </w:pPr>
  </w:style>
  <w:style w:type="character" w:customStyle="1" w:styleId="PiedepginaCar">
    <w:name w:val="Pie de página Car"/>
    <w:basedOn w:val="Fuentedeprrafopredeter"/>
    <w:link w:val="Piedepgina"/>
    <w:uiPriority w:val="99"/>
    <w:qFormat/>
    <w:rsid w:val="00646258"/>
    <w:rPr>
      <w:rFonts w:ascii="Times New Roman" w:eastAsia="Times New Roman" w:hAnsi="Times New Roman" w:cs="Times New Roman"/>
      <w:sz w:val="20"/>
      <w:szCs w:val="20"/>
      <w:lang w:eastAsia="es-ES"/>
    </w:rPr>
  </w:style>
  <w:style w:type="table" w:styleId="Tablaconcuadrcula">
    <w:name w:val="Table Grid"/>
    <w:basedOn w:val="Tablanormal"/>
    <w:uiPriority w:val="39"/>
    <w:qFormat/>
    <w:rsid w:val="00646258"/>
    <w:rPr>
      <w:rFonts w:eastAsia="SimSu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46258"/>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46258"/>
    <w:rPr>
      <w:rFonts w:ascii="Century Gothic" w:eastAsia="Times New Roman" w:hAnsi="Century Gothic" w:cs="Times New Roman"/>
      <w:szCs w:val="24"/>
      <w:lang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Cg2htJu2gAcU55ZbwAwDZRjSdA==">CgMxLjAyDmguODQ0ZHFsemk2ZmljMghoLmdqZGd4czIJaC4zMGowemxsMgloLjFmb2I5dGUyCWguM3pueXNoNzIJaC4yZXQ5MnAwMgloLjNkeTZ2a20yDmguYWpsdmR6MmdyYnNyMg5oLnBlNWZ1N2dmMHRkYTIOaC5lNzY1NmE5eHgycTcyDmguMzkzc2g5OTd1Mmt3Mg5oLjFzbzZldGNvdTVlYTIOaC41emk3NzJ3c2Q3NjMyDmguc3QxcmkyZDM5c2t4Mg5oLnRlMnhmMTRyc2puZjgAciExWXljcEpJUThvUm51Sk9UWkttZVdqakY4YlRHRzRHO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3597</Words>
  <Characters>19785</Characters>
  <Application>Microsoft Office Word</Application>
  <DocSecurity>0</DocSecurity>
  <Lines>164</Lines>
  <Paragraphs>46</Paragraphs>
  <ScaleCrop>false</ScaleCrop>
  <Company>HP Inc.</Company>
  <LinksUpToDate>false</LinksUpToDate>
  <CharactersWithSpaces>23336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7</cp:revision>
  <dcterms:created xsi:type="dcterms:W3CDTF">2026-01-13T18:47:00Z</dcterms:created>
  <dcterms:modified xsi:type="dcterms:W3CDTF">2026-02-03T22:57:00Z</dcterms:modified>
</cp:coreProperties>
</file>