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9C329" w14:textId="77777777" w:rsidR="001C0810" w:rsidRDefault="001C0810" w:rsidP="00A71FB8">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6DA0F6D9" w14:textId="77777777" w:rsidR="001C0810" w:rsidRPr="003A33FB" w:rsidRDefault="001C0810" w:rsidP="003A33FB">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532AE5E1" w14:textId="4C801D42" w:rsidR="001C0810" w:rsidRPr="003A33FB" w:rsidRDefault="001C0810" w:rsidP="003A33FB">
          <w:pPr>
            <w:pStyle w:val="TtulodeTDC"/>
            <w:spacing w:before="0" w:line="360" w:lineRule="auto"/>
            <w:contextualSpacing/>
            <w:jc w:val="center"/>
            <w:rPr>
              <w:rFonts w:ascii="Palatino Linotype" w:hAnsi="Palatino Linotype"/>
              <w:color w:val="auto"/>
              <w:sz w:val="22"/>
              <w:szCs w:val="22"/>
            </w:rPr>
          </w:pPr>
          <w:r w:rsidRPr="003A33FB">
            <w:rPr>
              <w:rFonts w:ascii="Palatino Linotype" w:hAnsi="Palatino Linotype"/>
              <w:color w:val="auto"/>
              <w:sz w:val="22"/>
              <w:szCs w:val="22"/>
              <w:lang w:val="es-ES"/>
            </w:rPr>
            <w:t xml:space="preserve">RESOLUCIÓN DEL RECURSO DE REVISIÓN </w:t>
          </w:r>
          <w:r w:rsidRPr="003A33FB">
            <w:rPr>
              <w:rFonts w:ascii="Palatino Linotype" w:hAnsi="Palatino Linotype"/>
              <w:color w:val="auto"/>
              <w:sz w:val="22"/>
              <w:szCs w:val="22"/>
            </w:rPr>
            <w:t>07256/INFOEM/IP/RR/2025</w:t>
          </w:r>
        </w:p>
        <w:p w14:paraId="2FC1DD1A" w14:textId="77777777" w:rsidR="001C0810" w:rsidRPr="003A33FB" w:rsidRDefault="001C0810" w:rsidP="003A33FB">
          <w:pPr>
            <w:spacing w:line="360" w:lineRule="auto"/>
            <w:contextualSpacing/>
          </w:pPr>
        </w:p>
        <w:p w14:paraId="01CDB8A7" w14:textId="1B154D8B" w:rsidR="00C11FF6" w:rsidRPr="00C11FF6" w:rsidRDefault="001C0810">
          <w:pPr>
            <w:pStyle w:val="TDC1"/>
            <w:tabs>
              <w:tab w:val="right" w:leader="dot" w:pos="8828"/>
            </w:tabs>
            <w:rPr>
              <w:rFonts w:asciiTheme="minorHAnsi" w:eastAsiaTheme="minorEastAsia" w:hAnsiTheme="minorHAnsi" w:cstheme="minorBidi"/>
              <w:noProof/>
              <w:color w:val="auto"/>
              <w:kern w:val="2"/>
              <w14:ligatures w14:val="standardContextual"/>
            </w:rPr>
          </w:pPr>
          <w:r w:rsidRPr="003A33FB">
            <w:fldChar w:fldCharType="begin"/>
          </w:r>
          <w:r w:rsidRPr="003A33FB">
            <w:instrText xml:space="preserve"> TOC \o "1-3" \h \z \u </w:instrText>
          </w:r>
          <w:r w:rsidRPr="003A33FB">
            <w:fldChar w:fldCharType="separate"/>
          </w:r>
          <w:hyperlink w:anchor="_Toc221810539" w:history="1">
            <w:r w:rsidR="00C11FF6" w:rsidRPr="00C11FF6">
              <w:rPr>
                <w:rStyle w:val="Hipervnculo"/>
                <w:noProof/>
              </w:rPr>
              <w:t>A N T E C E D E N T E S</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_Toc221810539 \h </w:instrText>
            </w:r>
            <w:r w:rsidR="00C11FF6" w:rsidRPr="00C11FF6">
              <w:rPr>
                <w:noProof/>
                <w:webHidden/>
              </w:rPr>
            </w:r>
            <w:r w:rsidR="00C11FF6" w:rsidRPr="00C11FF6">
              <w:rPr>
                <w:noProof/>
                <w:webHidden/>
              </w:rPr>
              <w:fldChar w:fldCharType="separate"/>
            </w:r>
            <w:r w:rsidR="0086258E">
              <w:rPr>
                <w:noProof/>
                <w:webHidden/>
              </w:rPr>
              <w:t>2</w:t>
            </w:r>
            <w:r w:rsidR="00C11FF6" w:rsidRPr="00C11FF6">
              <w:rPr>
                <w:noProof/>
                <w:webHidden/>
              </w:rPr>
              <w:fldChar w:fldCharType="end"/>
            </w:r>
          </w:hyperlink>
        </w:p>
        <w:p w14:paraId="4C317EF6" w14:textId="09EC496F"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0" w:history="1">
            <w:r w:rsidR="00C11FF6" w:rsidRPr="00C11FF6">
              <w:rPr>
                <w:rStyle w:val="Hipervnculo"/>
                <w:noProof/>
              </w:rPr>
              <w:t>I. Presentación de la solicitud de información</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_Toc221810540 \h </w:instrText>
            </w:r>
            <w:r w:rsidR="00C11FF6" w:rsidRPr="00C11FF6">
              <w:rPr>
                <w:noProof/>
                <w:webHidden/>
              </w:rPr>
            </w:r>
            <w:r w:rsidR="00C11FF6" w:rsidRPr="00C11FF6">
              <w:rPr>
                <w:noProof/>
                <w:webHidden/>
              </w:rPr>
              <w:fldChar w:fldCharType="separate"/>
            </w:r>
            <w:r w:rsidR="0086258E">
              <w:rPr>
                <w:noProof/>
                <w:webHidden/>
              </w:rPr>
              <w:t>2</w:t>
            </w:r>
            <w:r w:rsidR="00C11FF6" w:rsidRPr="00C11FF6">
              <w:rPr>
                <w:noProof/>
                <w:webHidden/>
              </w:rPr>
              <w:fldChar w:fldCharType="end"/>
            </w:r>
          </w:hyperlink>
        </w:p>
        <w:p w14:paraId="21E0883A" w14:textId="707E0002"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1" w:history="1">
            <w:r w:rsidR="00C11FF6" w:rsidRPr="00C11FF6">
              <w:rPr>
                <w:rStyle w:val="Hipervnculo"/>
                <w:noProof/>
              </w:rPr>
              <w:t>II. Respuesta del Sujeto Obligado</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_Toc221810541 \h </w:instrText>
            </w:r>
            <w:r w:rsidR="00C11FF6" w:rsidRPr="00C11FF6">
              <w:rPr>
                <w:noProof/>
                <w:webHidden/>
              </w:rPr>
            </w:r>
            <w:r w:rsidR="00C11FF6" w:rsidRPr="00C11FF6">
              <w:rPr>
                <w:noProof/>
                <w:webHidden/>
              </w:rPr>
              <w:fldChar w:fldCharType="separate"/>
            </w:r>
            <w:r w:rsidR="0086258E">
              <w:rPr>
                <w:noProof/>
                <w:webHidden/>
              </w:rPr>
              <w:t>3</w:t>
            </w:r>
            <w:r w:rsidR="00C11FF6" w:rsidRPr="00C11FF6">
              <w:rPr>
                <w:noProof/>
                <w:webHidden/>
              </w:rPr>
              <w:fldChar w:fldCharType="end"/>
            </w:r>
          </w:hyperlink>
        </w:p>
        <w:p w14:paraId="3DD6CFEB" w14:textId="4E4B54B5"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2" w:history="1">
            <w:r w:rsidR="00C11FF6" w:rsidRPr="00C11FF6">
              <w:rPr>
                <w:rStyle w:val="Hipervnculo"/>
                <w:noProof/>
              </w:rPr>
              <w:t>III. Interposición del Recurso de Revisión</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_Toc221810542 \h </w:instrText>
            </w:r>
            <w:r w:rsidR="00C11FF6" w:rsidRPr="00C11FF6">
              <w:rPr>
                <w:noProof/>
                <w:webHidden/>
              </w:rPr>
            </w:r>
            <w:r w:rsidR="00C11FF6" w:rsidRPr="00C11FF6">
              <w:rPr>
                <w:noProof/>
                <w:webHidden/>
              </w:rPr>
              <w:fldChar w:fldCharType="separate"/>
            </w:r>
            <w:r w:rsidR="0086258E">
              <w:rPr>
                <w:noProof/>
                <w:webHidden/>
              </w:rPr>
              <w:t>3</w:t>
            </w:r>
            <w:r w:rsidR="00C11FF6" w:rsidRPr="00C11FF6">
              <w:rPr>
                <w:noProof/>
                <w:webHidden/>
              </w:rPr>
              <w:fldChar w:fldCharType="end"/>
            </w:r>
          </w:hyperlink>
        </w:p>
        <w:p w14:paraId="74F342B5" w14:textId="39B29909"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3" w:history="1">
            <w:r w:rsidR="00C11FF6" w:rsidRPr="00C11FF6">
              <w:rPr>
                <w:rStyle w:val="Hipervnculo"/>
                <w:noProof/>
              </w:rPr>
              <w:t>IV. Trámite del Recurso de Revisión ante este Instituto</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_Toc221810543 \h </w:instrText>
            </w:r>
            <w:r w:rsidR="00C11FF6" w:rsidRPr="00C11FF6">
              <w:rPr>
                <w:noProof/>
                <w:webHidden/>
              </w:rPr>
            </w:r>
            <w:r w:rsidR="00C11FF6" w:rsidRPr="00C11FF6">
              <w:rPr>
                <w:noProof/>
                <w:webHidden/>
              </w:rPr>
              <w:fldChar w:fldCharType="separate"/>
            </w:r>
            <w:r w:rsidR="0086258E">
              <w:rPr>
                <w:noProof/>
                <w:webHidden/>
              </w:rPr>
              <w:t>4</w:t>
            </w:r>
            <w:r w:rsidR="00C11FF6" w:rsidRPr="00C11FF6">
              <w:rPr>
                <w:noProof/>
                <w:webHidden/>
              </w:rPr>
              <w:fldChar w:fldCharType="end"/>
            </w:r>
          </w:hyperlink>
        </w:p>
        <w:p w14:paraId="33531FE0" w14:textId="72B388E0" w:rsidR="00C11FF6" w:rsidRPr="00C11FF6" w:rsidRDefault="00704261">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544" w:history="1">
            <w:r w:rsidR="00C11FF6" w:rsidRPr="00C11FF6">
              <w:rPr>
                <w:rStyle w:val="Hipervnculo"/>
                <w:noProof/>
              </w:rPr>
              <w:t>C O N S I D E R A N D O S</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_Toc221810544 \h </w:instrText>
            </w:r>
            <w:r w:rsidR="00C11FF6" w:rsidRPr="00C11FF6">
              <w:rPr>
                <w:noProof/>
                <w:webHidden/>
              </w:rPr>
            </w:r>
            <w:r w:rsidR="00C11FF6" w:rsidRPr="00C11FF6">
              <w:rPr>
                <w:noProof/>
                <w:webHidden/>
              </w:rPr>
              <w:fldChar w:fldCharType="separate"/>
            </w:r>
            <w:r w:rsidR="0086258E">
              <w:rPr>
                <w:noProof/>
                <w:webHidden/>
              </w:rPr>
              <w:t>5</w:t>
            </w:r>
            <w:r w:rsidR="00C11FF6" w:rsidRPr="00C11FF6">
              <w:rPr>
                <w:noProof/>
                <w:webHidden/>
              </w:rPr>
              <w:fldChar w:fldCharType="end"/>
            </w:r>
          </w:hyperlink>
        </w:p>
        <w:p w14:paraId="16FAB39D" w14:textId="10FEBB0C"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5" w:history="1">
            <w:r w:rsidR="00C11FF6" w:rsidRPr="00C11FF6">
              <w:rPr>
                <w:rStyle w:val="Hipervnculo"/>
                <w:noProof/>
              </w:rPr>
              <w:t>PRIMERO. Competencia</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_Toc221810545 \h </w:instrText>
            </w:r>
            <w:r w:rsidR="00C11FF6" w:rsidRPr="00C11FF6">
              <w:rPr>
                <w:noProof/>
                <w:webHidden/>
              </w:rPr>
            </w:r>
            <w:r w:rsidR="00C11FF6" w:rsidRPr="00C11FF6">
              <w:rPr>
                <w:noProof/>
                <w:webHidden/>
              </w:rPr>
              <w:fldChar w:fldCharType="separate"/>
            </w:r>
            <w:r w:rsidR="0086258E">
              <w:rPr>
                <w:noProof/>
                <w:webHidden/>
              </w:rPr>
              <w:t>5</w:t>
            </w:r>
            <w:r w:rsidR="00C11FF6" w:rsidRPr="00C11FF6">
              <w:rPr>
                <w:noProof/>
                <w:webHidden/>
              </w:rPr>
              <w:fldChar w:fldCharType="end"/>
            </w:r>
          </w:hyperlink>
        </w:p>
        <w:p w14:paraId="2AC93C58" w14:textId="0A9256BE"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6" w:history="1">
            <w:r w:rsidR="00C11FF6" w:rsidRPr="00C11FF6">
              <w:rPr>
                <w:rStyle w:val="Hipervnculo"/>
                <w:noProof/>
              </w:rPr>
              <w:t>SEGUNDO. Causales de improcedencia y sobreseimiento</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_Toc221810546 \h </w:instrText>
            </w:r>
            <w:r w:rsidR="00C11FF6" w:rsidRPr="00C11FF6">
              <w:rPr>
                <w:noProof/>
                <w:webHidden/>
              </w:rPr>
            </w:r>
            <w:r w:rsidR="00C11FF6" w:rsidRPr="00C11FF6">
              <w:rPr>
                <w:noProof/>
                <w:webHidden/>
              </w:rPr>
              <w:fldChar w:fldCharType="separate"/>
            </w:r>
            <w:r w:rsidR="0086258E">
              <w:rPr>
                <w:noProof/>
                <w:webHidden/>
              </w:rPr>
              <w:t>6</w:t>
            </w:r>
            <w:r w:rsidR="00C11FF6" w:rsidRPr="00C11FF6">
              <w:rPr>
                <w:noProof/>
                <w:webHidden/>
              </w:rPr>
              <w:fldChar w:fldCharType="end"/>
            </w:r>
          </w:hyperlink>
        </w:p>
        <w:p w14:paraId="051CB930" w14:textId="206C4FDE"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7" w:history="1">
            <w:r w:rsidR="00C11FF6" w:rsidRPr="00C11FF6">
              <w:rPr>
                <w:rStyle w:val="Hipervnculo"/>
                <w:noProof/>
              </w:rPr>
              <w:t>TERCERO. Determinación de la Controversia</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_Toc221810547 \h </w:instrText>
            </w:r>
            <w:r w:rsidR="00C11FF6" w:rsidRPr="00C11FF6">
              <w:rPr>
                <w:noProof/>
                <w:webHidden/>
              </w:rPr>
            </w:r>
            <w:r w:rsidR="00C11FF6" w:rsidRPr="00C11FF6">
              <w:rPr>
                <w:noProof/>
                <w:webHidden/>
              </w:rPr>
              <w:fldChar w:fldCharType="separate"/>
            </w:r>
            <w:r w:rsidR="0086258E">
              <w:rPr>
                <w:noProof/>
                <w:webHidden/>
              </w:rPr>
              <w:t>7</w:t>
            </w:r>
            <w:r w:rsidR="00C11FF6" w:rsidRPr="00C11FF6">
              <w:rPr>
                <w:noProof/>
                <w:webHidden/>
              </w:rPr>
              <w:fldChar w:fldCharType="end"/>
            </w:r>
          </w:hyperlink>
        </w:p>
        <w:p w14:paraId="39F92946" w14:textId="2FA3F4A1"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8" w:history="1">
            <w:r w:rsidR="00C11FF6" w:rsidRPr="00C11FF6">
              <w:rPr>
                <w:rStyle w:val="Hipervnculo"/>
                <w:noProof/>
              </w:rPr>
              <w:t>CUARTO. Marco normativo aplicable en materia de transparencia y acceso a la información pública</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_Toc221810548 \h </w:instrText>
            </w:r>
            <w:r w:rsidR="00C11FF6" w:rsidRPr="00C11FF6">
              <w:rPr>
                <w:noProof/>
                <w:webHidden/>
              </w:rPr>
            </w:r>
            <w:r w:rsidR="00C11FF6" w:rsidRPr="00C11FF6">
              <w:rPr>
                <w:noProof/>
                <w:webHidden/>
              </w:rPr>
              <w:fldChar w:fldCharType="separate"/>
            </w:r>
            <w:r w:rsidR="0086258E">
              <w:rPr>
                <w:noProof/>
                <w:webHidden/>
              </w:rPr>
              <w:t>8</w:t>
            </w:r>
            <w:r w:rsidR="00C11FF6" w:rsidRPr="00C11FF6">
              <w:rPr>
                <w:noProof/>
                <w:webHidden/>
              </w:rPr>
              <w:fldChar w:fldCharType="end"/>
            </w:r>
          </w:hyperlink>
        </w:p>
        <w:p w14:paraId="26B13D2B" w14:textId="39336DA0"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49" w:history="1">
            <w:r w:rsidR="00C11FF6" w:rsidRPr="00C11FF6">
              <w:rPr>
                <w:rStyle w:val="Hipervnculo"/>
                <w:noProof/>
              </w:rPr>
              <w:t>QUINTO. Estudio de Fondo</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_Toc221810549 \h </w:instrText>
            </w:r>
            <w:r w:rsidR="00C11FF6" w:rsidRPr="00C11FF6">
              <w:rPr>
                <w:noProof/>
                <w:webHidden/>
              </w:rPr>
            </w:r>
            <w:r w:rsidR="00C11FF6" w:rsidRPr="00C11FF6">
              <w:rPr>
                <w:noProof/>
                <w:webHidden/>
              </w:rPr>
              <w:fldChar w:fldCharType="separate"/>
            </w:r>
            <w:r w:rsidR="0086258E">
              <w:rPr>
                <w:noProof/>
                <w:webHidden/>
              </w:rPr>
              <w:t>9</w:t>
            </w:r>
            <w:r w:rsidR="00C11FF6" w:rsidRPr="00C11FF6">
              <w:rPr>
                <w:noProof/>
                <w:webHidden/>
              </w:rPr>
              <w:fldChar w:fldCharType="end"/>
            </w:r>
          </w:hyperlink>
        </w:p>
        <w:p w14:paraId="7884732F" w14:textId="5D2D18BD" w:rsidR="00C11FF6" w:rsidRPr="00C11FF6" w:rsidRDefault="00704261">
          <w:pPr>
            <w:pStyle w:val="TDC2"/>
            <w:tabs>
              <w:tab w:val="right" w:leader="dot" w:pos="8828"/>
            </w:tabs>
            <w:rPr>
              <w:rFonts w:asciiTheme="minorHAnsi" w:eastAsiaTheme="minorEastAsia" w:hAnsiTheme="minorHAnsi" w:cstheme="minorBidi"/>
              <w:noProof/>
              <w:color w:val="auto"/>
              <w:kern w:val="2"/>
              <w14:ligatures w14:val="standardContextual"/>
            </w:rPr>
          </w:pPr>
          <w:hyperlink w:anchor="_Toc221810550" w:history="1">
            <w:r w:rsidR="00C11FF6" w:rsidRPr="00C11FF6">
              <w:rPr>
                <w:rStyle w:val="Hipervnculo"/>
                <w:noProof/>
              </w:rPr>
              <w:t>SEXTO. Decisión</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_Toc221810550 \h </w:instrText>
            </w:r>
            <w:r w:rsidR="00C11FF6" w:rsidRPr="00C11FF6">
              <w:rPr>
                <w:noProof/>
                <w:webHidden/>
              </w:rPr>
            </w:r>
            <w:r w:rsidR="00C11FF6" w:rsidRPr="00C11FF6">
              <w:rPr>
                <w:noProof/>
                <w:webHidden/>
              </w:rPr>
              <w:fldChar w:fldCharType="separate"/>
            </w:r>
            <w:r w:rsidR="0086258E">
              <w:rPr>
                <w:noProof/>
                <w:webHidden/>
              </w:rPr>
              <w:t>29</w:t>
            </w:r>
            <w:r w:rsidR="00C11FF6" w:rsidRPr="00C11FF6">
              <w:rPr>
                <w:noProof/>
                <w:webHidden/>
              </w:rPr>
              <w:fldChar w:fldCharType="end"/>
            </w:r>
          </w:hyperlink>
        </w:p>
        <w:p w14:paraId="0C43C6BE" w14:textId="0AA31708" w:rsidR="00C11FF6" w:rsidRPr="00C11FF6" w:rsidRDefault="00704261">
          <w:pPr>
            <w:pStyle w:val="TDC1"/>
            <w:tabs>
              <w:tab w:val="right" w:leader="dot" w:pos="8828"/>
            </w:tabs>
            <w:rPr>
              <w:rFonts w:asciiTheme="minorHAnsi" w:eastAsiaTheme="minorEastAsia" w:hAnsiTheme="minorHAnsi" w:cstheme="minorBidi"/>
              <w:noProof/>
              <w:color w:val="auto"/>
              <w:kern w:val="2"/>
              <w14:ligatures w14:val="standardContextual"/>
            </w:rPr>
          </w:pPr>
          <w:hyperlink w:anchor="_Toc221810551" w:history="1">
            <w:r w:rsidR="00C11FF6" w:rsidRPr="00C11FF6">
              <w:rPr>
                <w:rStyle w:val="Hipervnculo"/>
                <w:noProof/>
              </w:rPr>
              <w:t>R E S U E L V E</w:t>
            </w:r>
            <w:r w:rsidR="00C11FF6" w:rsidRPr="00C11FF6">
              <w:rPr>
                <w:noProof/>
                <w:webHidden/>
              </w:rPr>
              <w:tab/>
            </w:r>
            <w:r w:rsidR="00C11FF6" w:rsidRPr="00C11FF6">
              <w:rPr>
                <w:noProof/>
                <w:webHidden/>
              </w:rPr>
              <w:fldChar w:fldCharType="begin"/>
            </w:r>
            <w:r w:rsidR="00C11FF6" w:rsidRPr="00C11FF6">
              <w:rPr>
                <w:noProof/>
                <w:webHidden/>
              </w:rPr>
              <w:instrText xml:space="preserve"> PAGEREF _Toc221810551 \h </w:instrText>
            </w:r>
            <w:r w:rsidR="00C11FF6" w:rsidRPr="00C11FF6">
              <w:rPr>
                <w:noProof/>
                <w:webHidden/>
              </w:rPr>
            </w:r>
            <w:r w:rsidR="00C11FF6" w:rsidRPr="00C11FF6">
              <w:rPr>
                <w:noProof/>
                <w:webHidden/>
              </w:rPr>
              <w:fldChar w:fldCharType="separate"/>
            </w:r>
            <w:r w:rsidR="0086258E">
              <w:rPr>
                <w:noProof/>
                <w:webHidden/>
              </w:rPr>
              <w:t>30</w:t>
            </w:r>
            <w:r w:rsidR="00C11FF6" w:rsidRPr="00C11FF6">
              <w:rPr>
                <w:noProof/>
                <w:webHidden/>
              </w:rPr>
              <w:fldChar w:fldCharType="end"/>
            </w:r>
          </w:hyperlink>
        </w:p>
        <w:p w14:paraId="23C0BAA4" w14:textId="1F2C1375" w:rsidR="001C0810" w:rsidRDefault="001C0810" w:rsidP="003A33FB">
          <w:pPr>
            <w:widowControl w:val="0"/>
            <w:pBdr>
              <w:top w:val="nil"/>
              <w:left w:val="nil"/>
              <w:bottom w:val="nil"/>
              <w:right w:val="nil"/>
              <w:between w:val="nil"/>
            </w:pBdr>
            <w:spacing w:line="360" w:lineRule="auto"/>
            <w:ind w:left="720" w:hanging="720"/>
            <w:contextualSpacing/>
          </w:pPr>
          <w:r w:rsidRPr="003A33FB">
            <w:rPr>
              <w:rFonts w:ascii="Palatino Linotype" w:hAnsi="Palatino Linotype"/>
              <w:sz w:val="22"/>
              <w:szCs w:val="22"/>
              <w:lang w:val="es-ES"/>
            </w:rPr>
            <w:fldChar w:fldCharType="end"/>
          </w:r>
        </w:p>
      </w:sdtContent>
    </w:sdt>
    <w:p w14:paraId="33C4E318" w14:textId="77777777" w:rsidR="001C0810" w:rsidRDefault="001C0810" w:rsidP="00A71FB8">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2348EE6E" w14:textId="77777777" w:rsidR="001C0810" w:rsidRDefault="001C0810" w:rsidP="00A71FB8">
      <w:pPr>
        <w:spacing w:line="360" w:lineRule="auto"/>
        <w:ind w:right="-28"/>
        <w:contextualSpacing/>
        <w:jc w:val="both"/>
        <w:rPr>
          <w:rFonts w:ascii="Palatino Linotype" w:eastAsia="Palatino Linotype" w:hAnsi="Palatino Linotype" w:cs="Palatino Linotype"/>
          <w:color w:val="000000"/>
          <w:sz w:val="22"/>
          <w:szCs w:val="22"/>
        </w:rPr>
      </w:pPr>
    </w:p>
    <w:p w14:paraId="3FEFBC37" w14:textId="77777777" w:rsidR="001C0810" w:rsidRDefault="001C0810" w:rsidP="00A71FB8">
      <w:pPr>
        <w:spacing w:line="360" w:lineRule="auto"/>
        <w:ind w:right="-28"/>
        <w:contextualSpacing/>
        <w:jc w:val="both"/>
        <w:rPr>
          <w:rFonts w:ascii="Palatino Linotype" w:eastAsia="Palatino Linotype" w:hAnsi="Palatino Linotype" w:cs="Palatino Linotype"/>
          <w:color w:val="000000"/>
          <w:sz w:val="22"/>
          <w:szCs w:val="22"/>
        </w:rPr>
      </w:pPr>
    </w:p>
    <w:p w14:paraId="6B14640B" w14:textId="77777777" w:rsidR="001C0810" w:rsidRDefault="001C0810" w:rsidP="00A71FB8">
      <w:pPr>
        <w:spacing w:line="360" w:lineRule="auto"/>
        <w:ind w:right="-28"/>
        <w:contextualSpacing/>
        <w:jc w:val="both"/>
        <w:rPr>
          <w:rFonts w:ascii="Palatino Linotype" w:eastAsia="Palatino Linotype" w:hAnsi="Palatino Linotype" w:cs="Palatino Linotype"/>
          <w:color w:val="000000"/>
          <w:sz w:val="22"/>
          <w:szCs w:val="22"/>
        </w:rPr>
      </w:pPr>
    </w:p>
    <w:p w14:paraId="084EE094" w14:textId="77777777" w:rsidR="001C0810" w:rsidRDefault="001C0810" w:rsidP="00A71FB8">
      <w:pPr>
        <w:spacing w:line="360" w:lineRule="auto"/>
        <w:ind w:right="-28"/>
        <w:contextualSpacing/>
        <w:jc w:val="both"/>
        <w:rPr>
          <w:rFonts w:ascii="Palatino Linotype" w:eastAsia="Palatino Linotype" w:hAnsi="Palatino Linotype" w:cs="Palatino Linotype"/>
          <w:color w:val="000000"/>
          <w:sz w:val="22"/>
          <w:szCs w:val="22"/>
        </w:rPr>
      </w:pPr>
    </w:p>
    <w:p w14:paraId="550A3481" w14:textId="77777777" w:rsidR="001C0810" w:rsidRDefault="001C0810" w:rsidP="00A71FB8">
      <w:pPr>
        <w:spacing w:line="360" w:lineRule="auto"/>
        <w:ind w:right="-28"/>
        <w:contextualSpacing/>
        <w:jc w:val="both"/>
        <w:rPr>
          <w:rFonts w:ascii="Palatino Linotype" w:eastAsia="Palatino Linotype" w:hAnsi="Palatino Linotype" w:cs="Palatino Linotype"/>
          <w:color w:val="000000"/>
          <w:sz w:val="22"/>
          <w:szCs w:val="22"/>
        </w:rPr>
      </w:pPr>
    </w:p>
    <w:p w14:paraId="038D0F2F" w14:textId="77777777" w:rsidR="001C0810" w:rsidRDefault="001C0810" w:rsidP="00A71FB8">
      <w:pPr>
        <w:spacing w:line="360" w:lineRule="auto"/>
        <w:ind w:right="-28"/>
        <w:contextualSpacing/>
        <w:jc w:val="both"/>
        <w:rPr>
          <w:rFonts w:ascii="Palatino Linotype" w:hAnsi="Palatino Linotype" w:cs="Tahoma"/>
          <w:sz w:val="22"/>
          <w:szCs w:val="22"/>
        </w:rPr>
      </w:pPr>
    </w:p>
    <w:p w14:paraId="558C3B24" w14:textId="186503FB"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once de febrero de dos mil veinti</w:t>
      </w:r>
      <w:r w:rsidR="00C11FF6">
        <w:rPr>
          <w:rFonts w:ascii="Palatino Linotype" w:eastAsia="Palatino Linotype" w:hAnsi="Palatino Linotype" w:cs="Palatino Linotype"/>
          <w:sz w:val="22"/>
          <w:szCs w:val="22"/>
        </w:rPr>
        <w:t>séis.</w:t>
      </w:r>
    </w:p>
    <w:p w14:paraId="7FC5AF56" w14:textId="77777777" w:rsidR="001C0810" w:rsidRDefault="001C0810" w:rsidP="00A71FB8">
      <w:pPr>
        <w:spacing w:line="360" w:lineRule="auto"/>
        <w:contextualSpacing/>
        <w:rPr>
          <w:rFonts w:ascii="Palatino Linotype" w:eastAsia="Palatino Linotype" w:hAnsi="Palatino Linotype" w:cs="Palatino Linotype"/>
          <w:sz w:val="22"/>
          <w:szCs w:val="22"/>
        </w:rPr>
      </w:pPr>
    </w:p>
    <w:p w14:paraId="5DE47F96" w14:textId="60B5CF23"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23B11">
        <w:rPr>
          <w:rFonts w:ascii="Palatino Linotype" w:eastAsia="Palatino Linotype" w:hAnsi="Palatino Linotype" w:cs="Palatino Linotype"/>
          <w:b/>
          <w:bCs/>
          <w:sz w:val="22"/>
          <w:szCs w:val="22"/>
        </w:rPr>
        <w:t>07256/INFOEM/IP/RR/2025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 a la solicitud de acceso a la información pública</w:t>
      </w:r>
      <w:r w:rsidRPr="003B6775">
        <w:rPr>
          <w:rFonts w:ascii="Palatino Linotype" w:eastAsia="Palatino Linotype" w:hAnsi="Palatino Linotype" w:cs="Palatino Linotype"/>
          <w:bCs/>
          <w:sz w:val="22"/>
          <w:szCs w:val="22"/>
        </w:rPr>
        <w:t> </w:t>
      </w:r>
      <w:r w:rsidRPr="001C0810">
        <w:rPr>
          <w:rFonts w:ascii="Palatino Linotype" w:eastAsia="Palatino Linotype" w:hAnsi="Palatino Linotype" w:cs="Palatino Linotype"/>
          <w:sz w:val="22"/>
          <w:szCs w:val="22"/>
        </w:rPr>
        <w:t>00355/ZINACANT/IP/2025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21FF7563"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60470CE9" w14:textId="77777777" w:rsidR="001C0810" w:rsidRPr="00633419" w:rsidRDefault="001C0810" w:rsidP="00A71FB8">
      <w:pPr>
        <w:pStyle w:val="Ttulo1"/>
        <w:spacing w:before="0" w:after="0" w:line="360" w:lineRule="auto"/>
        <w:contextualSpacing/>
        <w:jc w:val="center"/>
        <w:rPr>
          <w:rFonts w:ascii="Palatino Linotype" w:hAnsi="Palatino Linotype"/>
          <w:b/>
          <w:bCs/>
          <w:color w:val="auto"/>
          <w:sz w:val="22"/>
          <w:szCs w:val="22"/>
        </w:rPr>
      </w:pPr>
      <w:bookmarkStart w:id="2" w:name="_Toc221810539"/>
      <w:r w:rsidRPr="00633419">
        <w:rPr>
          <w:rFonts w:ascii="Palatino Linotype" w:hAnsi="Palatino Linotype"/>
          <w:b/>
          <w:bCs/>
          <w:color w:val="auto"/>
          <w:sz w:val="22"/>
          <w:szCs w:val="22"/>
        </w:rPr>
        <w:t>A N T E C E D E N T E S</w:t>
      </w:r>
      <w:bookmarkEnd w:id="2"/>
    </w:p>
    <w:p w14:paraId="20C73E75" w14:textId="77777777" w:rsidR="001C0810" w:rsidRDefault="001C0810" w:rsidP="00A71FB8">
      <w:pPr>
        <w:spacing w:line="360" w:lineRule="auto"/>
        <w:contextualSpacing/>
      </w:pPr>
    </w:p>
    <w:p w14:paraId="16B3D2FE" w14:textId="77777777" w:rsidR="001C0810" w:rsidRPr="00633419" w:rsidRDefault="001C0810" w:rsidP="00A71FB8">
      <w:pPr>
        <w:pStyle w:val="Ttulo2"/>
        <w:spacing w:before="0" w:after="0" w:line="360" w:lineRule="auto"/>
        <w:contextualSpacing/>
        <w:rPr>
          <w:rFonts w:ascii="Palatino Linotype" w:hAnsi="Palatino Linotype"/>
          <w:b/>
          <w:bCs/>
          <w:color w:val="auto"/>
          <w:sz w:val="22"/>
          <w:szCs w:val="22"/>
        </w:rPr>
      </w:pPr>
      <w:bookmarkStart w:id="3" w:name="_Toc221810540"/>
      <w:r w:rsidRPr="00633419">
        <w:rPr>
          <w:rFonts w:ascii="Palatino Linotype" w:hAnsi="Palatino Linotype"/>
          <w:b/>
          <w:bCs/>
          <w:color w:val="auto"/>
          <w:sz w:val="22"/>
          <w:szCs w:val="22"/>
        </w:rPr>
        <w:t>I. Presentación de la solicitud de información</w:t>
      </w:r>
      <w:bookmarkEnd w:id="3"/>
    </w:p>
    <w:p w14:paraId="0BB20E81" w14:textId="77777777" w:rsidR="001C0810" w:rsidRDefault="001C0810" w:rsidP="00A71FB8">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48E30F21" w14:textId="15946E25" w:rsidR="001C0810" w:rsidRDefault="001C0810" w:rsidP="00A71FB8">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seis de mayo de dos mil veinticinco, el Particular presentó una solicitud de acceso a la información pública, a través del Sistema de Acceso a la Información Mexiquense, en lo sucesivo el SAIMEX, ante el </w:t>
      </w:r>
      <w:r w:rsidRPr="00217A0E">
        <w:rPr>
          <w:rFonts w:ascii="Palatino Linotype" w:eastAsia="Palatino Linotype" w:hAnsi="Palatino Linotype" w:cs="Palatino Linotype"/>
          <w:color w:val="000000"/>
          <w:sz w:val="22"/>
          <w:szCs w:val="22"/>
        </w:rPr>
        <w:t xml:space="preserve">Ayuntamiento de </w:t>
      </w:r>
      <w:r>
        <w:rPr>
          <w:rFonts w:ascii="Palatino Linotype" w:eastAsia="Palatino Linotype" w:hAnsi="Palatino Linotype" w:cs="Palatino Linotype"/>
          <w:color w:val="000000"/>
          <w:sz w:val="22"/>
          <w:szCs w:val="22"/>
        </w:rPr>
        <w:t>Zinacantepec, mediante la cual requirió lo siguiente:</w:t>
      </w:r>
    </w:p>
    <w:p w14:paraId="49C83B88" w14:textId="77777777" w:rsidR="001C0810" w:rsidRDefault="001C0810" w:rsidP="00A71FB8">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21A0A261" w14:textId="77777777" w:rsidR="001C0810" w:rsidRDefault="001C0810" w:rsidP="00A71FB8">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2A823224" w14:textId="1882486D" w:rsidR="001C0810" w:rsidRPr="005C08BB" w:rsidRDefault="001C0810" w:rsidP="00A71FB8">
      <w:pPr>
        <w:spacing w:line="360" w:lineRule="auto"/>
        <w:ind w:left="567" w:right="567"/>
        <w:contextualSpacing/>
        <w:jc w:val="both"/>
        <w:rPr>
          <w:rFonts w:ascii="Palatino Linotype" w:eastAsia="Palatino Linotype" w:hAnsi="Palatino Linotype" w:cs="Palatino Linotype"/>
          <w:i/>
        </w:rPr>
      </w:pPr>
      <w:r w:rsidRPr="001C0810">
        <w:rPr>
          <w:rFonts w:ascii="Palatino Linotype" w:eastAsia="Palatino Linotype" w:hAnsi="Palatino Linotype" w:cs="Palatino Linotype"/>
          <w:i/>
        </w:rPr>
        <w:t>Proporcione el análisis técnico-financiero del costo por beneficiario de cada obra social ejecutada entre 2022 y 2024 (ej. techumbres, electrificación, pozos, drenaje), comparado con el número de personas beneficiadas reales por cada proyecto</w:t>
      </w:r>
      <w:r>
        <w:rPr>
          <w:rFonts w:ascii="Palatino Linotype" w:eastAsia="Palatino Linotype" w:hAnsi="Palatino Linotype" w:cs="Palatino Linotype"/>
          <w:i/>
        </w:rPr>
        <w:t>.” (Sic).</w:t>
      </w:r>
    </w:p>
    <w:p w14:paraId="5FCA4CD1" w14:textId="77777777" w:rsidR="001C0810" w:rsidRDefault="001C0810" w:rsidP="00A71FB8">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6EF1E18A" w14:textId="77777777" w:rsidR="001C0810" w:rsidRDefault="001C0810" w:rsidP="00A71FB8">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50664F63" w14:textId="77777777" w:rsidR="001C0810" w:rsidRDefault="001C0810" w:rsidP="00A71FB8">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0000644F" w14:textId="77777777" w:rsidR="001C0810" w:rsidRDefault="001C0810" w:rsidP="00A71FB8">
      <w:pPr>
        <w:spacing w:line="360" w:lineRule="auto"/>
        <w:contextualSpacing/>
      </w:pPr>
    </w:p>
    <w:p w14:paraId="0D2034BC" w14:textId="77777777" w:rsidR="00F25CBE" w:rsidRDefault="00F25CBE" w:rsidP="00A71FB8">
      <w:pPr>
        <w:spacing w:line="360" w:lineRule="auto"/>
        <w:contextualSpacing/>
      </w:pPr>
    </w:p>
    <w:p w14:paraId="1C0857AF" w14:textId="77777777" w:rsidR="001C0810" w:rsidRPr="00633419" w:rsidRDefault="001C0810" w:rsidP="00A71FB8">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1810541"/>
      <w:bookmarkEnd w:id="4"/>
      <w:r w:rsidRPr="00633419">
        <w:rPr>
          <w:rFonts w:ascii="Palatino Linotype" w:eastAsia="Palatino Linotype" w:hAnsi="Palatino Linotype"/>
          <w:b/>
          <w:bCs/>
          <w:color w:val="auto"/>
          <w:sz w:val="22"/>
          <w:szCs w:val="22"/>
        </w:rPr>
        <w:lastRenderedPageBreak/>
        <w:t>II. Respuesta del Sujeto Obligado</w:t>
      </w:r>
      <w:bookmarkEnd w:id="5"/>
    </w:p>
    <w:p w14:paraId="07188BF3" w14:textId="77777777" w:rsidR="001C0810" w:rsidRDefault="001C0810" w:rsidP="00A71FB8">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3BDA5AB" w14:textId="1C1FD415" w:rsidR="001C0810" w:rsidRDefault="001C0810" w:rsidP="00A71FB8">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veintisiete de mayo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 </w:t>
      </w:r>
    </w:p>
    <w:p w14:paraId="2D897A66" w14:textId="77777777" w:rsidR="001C0810" w:rsidRDefault="001C0810" w:rsidP="00A71FB8">
      <w:pPr>
        <w:tabs>
          <w:tab w:val="left" w:pos="4667"/>
        </w:tabs>
        <w:spacing w:line="360" w:lineRule="auto"/>
        <w:contextualSpacing/>
        <w:jc w:val="both"/>
        <w:rPr>
          <w:rFonts w:ascii="Palatino Linotype" w:eastAsia="Palatino Linotype" w:hAnsi="Palatino Linotype" w:cs="Palatino Linotype"/>
          <w:sz w:val="22"/>
          <w:szCs w:val="22"/>
        </w:rPr>
      </w:pPr>
    </w:p>
    <w:p w14:paraId="0E295667" w14:textId="09E57DA9" w:rsidR="001C0810" w:rsidRDefault="001C0810" w:rsidP="00A71FB8">
      <w:pPr>
        <w:tabs>
          <w:tab w:val="left" w:pos="4667"/>
        </w:tabs>
        <w:spacing w:line="360" w:lineRule="auto"/>
        <w:contextualSpacing/>
        <w:jc w:val="both"/>
        <w:rPr>
          <w:rFonts w:ascii="Palatino Linotype" w:eastAsia="Palatino Linotype" w:hAnsi="Palatino Linotype" w:cs="Palatino Linotype"/>
          <w:sz w:val="22"/>
          <w:szCs w:val="22"/>
        </w:rPr>
      </w:pPr>
      <w:r w:rsidRPr="007D7705">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w:t>
      </w:r>
      <w:r w:rsidRPr="007D7705">
        <w:rPr>
          <w:rFonts w:ascii="Palatino Linotype" w:eastAsia="Palatino Linotype" w:hAnsi="Palatino Linotype" w:cs="Palatino Linotype"/>
          <w:sz w:val="22"/>
          <w:szCs w:val="22"/>
        </w:rPr>
        <w:t xml:space="preserve">ficio </w:t>
      </w:r>
      <w:r>
        <w:rPr>
          <w:rFonts w:ascii="Palatino Linotype" w:eastAsia="Palatino Linotype" w:hAnsi="Palatino Linotype" w:cs="Palatino Linotype"/>
          <w:sz w:val="22"/>
          <w:szCs w:val="22"/>
        </w:rPr>
        <w:t xml:space="preserve">sin </w:t>
      </w:r>
      <w:r w:rsidRPr="007D7705">
        <w:rPr>
          <w:rFonts w:ascii="Palatino Linotype" w:eastAsia="Palatino Linotype" w:hAnsi="Palatino Linotype" w:cs="Palatino Linotype"/>
          <w:sz w:val="22"/>
          <w:szCs w:val="22"/>
        </w:rPr>
        <w:t xml:space="preserve">número, del </w:t>
      </w:r>
      <w:r>
        <w:rPr>
          <w:rFonts w:ascii="Palatino Linotype" w:eastAsia="Palatino Linotype" w:hAnsi="Palatino Linotype" w:cs="Palatino Linotype"/>
          <w:sz w:val="22"/>
          <w:szCs w:val="22"/>
        </w:rPr>
        <w:t xml:space="preserve">cuatro de abril </w:t>
      </w:r>
      <w:r w:rsidRPr="007D7705">
        <w:rPr>
          <w:rFonts w:ascii="Palatino Linotype" w:eastAsia="Palatino Linotype" w:hAnsi="Palatino Linotype" w:cs="Palatino Linotype"/>
          <w:sz w:val="22"/>
          <w:szCs w:val="22"/>
        </w:rPr>
        <w:t>de dos mil veinticinco, suscrito por l</w:t>
      </w:r>
      <w:r>
        <w:rPr>
          <w:rFonts w:ascii="Palatino Linotype" w:eastAsia="Palatino Linotype" w:hAnsi="Palatino Linotype" w:cs="Palatino Linotype"/>
          <w:sz w:val="22"/>
          <w:szCs w:val="22"/>
        </w:rPr>
        <w:t>a</w:t>
      </w:r>
      <w:r w:rsidRPr="007D770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Titular de la Unidad de Transparencia</w:t>
      </w:r>
      <w:r w:rsidRPr="007D7705">
        <w:rPr>
          <w:rFonts w:ascii="Palatino Linotype" w:eastAsia="Palatino Linotype" w:hAnsi="Palatino Linotype" w:cs="Palatino Linotype"/>
          <w:sz w:val="22"/>
          <w:szCs w:val="22"/>
        </w:rPr>
        <w:t xml:space="preserve">, dirigido al Solicitante, a través del cual manifiesta </w:t>
      </w:r>
      <w:r>
        <w:rPr>
          <w:rFonts w:ascii="Palatino Linotype" w:eastAsia="Palatino Linotype" w:hAnsi="Palatino Linotype" w:cs="Palatino Linotype"/>
          <w:sz w:val="22"/>
          <w:szCs w:val="22"/>
        </w:rPr>
        <w:t>que remite la respuesta proporcionada por el área competente.</w:t>
      </w:r>
    </w:p>
    <w:p w14:paraId="62E45B7F" w14:textId="77777777" w:rsidR="001C0810" w:rsidRDefault="001C0810" w:rsidP="00A71FB8">
      <w:pPr>
        <w:tabs>
          <w:tab w:val="left" w:pos="4667"/>
        </w:tabs>
        <w:spacing w:line="360" w:lineRule="auto"/>
        <w:contextualSpacing/>
        <w:jc w:val="both"/>
        <w:rPr>
          <w:rFonts w:ascii="Palatino Linotype" w:eastAsia="Palatino Linotype" w:hAnsi="Palatino Linotype" w:cs="Palatino Linotype"/>
          <w:sz w:val="22"/>
          <w:szCs w:val="22"/>
        </w:rPr>
      </w:pPr>
    </w:p>
    <w:p w14:paraId="6C76B09E" w14:textId="20628A32" w:rsidR="00F25CBE" w:rsidRDefault="001C0810" w:rsidP="00A71FB8">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Oficio número </w:t>
      </w:r>
      <w:r w:rsidRPr="001C0810">
        <w:rPr>
          <w:rFonts w:ascii="Palatino Linotype" w:eastAsia="Palatino Linotype" w:hAnsi="Palatino Linotype" w:cs="Palatino Linotype"/>
          <w:sz w:val="22"/>
          <w:szCs w:val="22"/>
        </w:rPr>
        <w:t>ZIN/DOP/00237/2025</w:t>
      </w:r>
      <w:r>
        <w:rPr>
          <w:rFonts w:ascii="Palatino Linotype" w:eastAsia="Palatino Linotype" w:hAnsi="Palatino Linotype" w:cs="Palatino Linotype"/>
          <w:sz w:val="22"/>
          <w:szCs w:val="22"/>
        </w:rPr>
        <w:t>, del quince de mayo de dos mil veinticinco, suscrito por el Director de Obras Públicas, dirigido a la Titular de la Unidad de Transparencia, a través del cual manifiesta y expone esencialmente l</w:t>
      </w:r>
      <w:r w:rsidR="00F25CBE">
        <w:rPr>
          <w:rFonts w:ascii="Palatino Linotype" w:eastAsia="Palatino Linotype" w:hAnsi="Palatino Linotype" w:cs="Palatino Linotype"/>
          <w:sz w:val="22"/>
          <w:szCs w:val="22"/>
        </w:rPr>
        <w:t>o siguiente:</w:t>
      </w:r>
    </w:p>
    <w:p w14:paraId="797C888B" w14:textId="77777777" w:rsidR="00F25CBE" w:rsidRDefault="00F25CBE" w:rsidP="00A71FB8">
      <w:pPr>
        <w:tabs>
          <w:tab w:val="left" w:pos="4667"/>
        </w:tabs>
        <w:spacing w:line="360" w:lineRule="auto"/>
        <w:contextualSpacing/>
        <w:jc w:val="both"/>
        <w:rPr>
          <w:rFonts w:ascii="Palatino Linotype" w:eastAsia="Palatino Linotype" w:hAnsi="Palatino Linotype" w:cs="Palatino Linotype"/>
          <w:sz w:val="22"/>
          <w:szCs w:val="22"/>
        </w:rPr>
      </w:pPr>
    </w:p>
    <w:p w14:paraId="1845DB1C" w14:textId="13889303" w:rsidR="00F25CBE" w:rsidRPr="00F25CBE" w:rsidRDefault="00F25CBE" w:rsidP="00A71FB8">
      <w:pPr>
        <w:tabs>
          <w:tab w:val="left" w:pos="4667"/>
        </w:tabs>
        <w:spacing w:line="360" w:lineRule="auto"/>
        <w:ind w:left="567" w:right="567"/>
        <w:contextualSpacing/>
        <w:jc w:val="both"/>
        <w:rPr>
          <w:rFonts w:ascii="Palatino Linotype" w:eastAsia="Palatino Linotype" w:hAnsi="Palatino Linotype" w:cs="Palatino Linotype"/>
          <w:i/>
          <w:iCs/>
        </w:rPr>
      </w:pPr>
      <w:r w:rsidRPr="00F25CBE">
        <w:rPr>
          <w:rFonts w:ascii="Palatino Linotype" w:eastAsia="Palatino Linotype" w:hAnsi="Palatino Linotype" w:cs="Palatino Linotype"/>
          <w:i/>
          <w:iCs/>
        </w:rPr>
        <w:t>“…</w:t>
      </w:r>
    </w:p>
    <w:p w14:paraId="1885EF30" w14:textId="70BF5CCF" w:rsidR="00F25CBE" w:rsidRPr="00F25CBE" w:rsidRDefault="00F25CBE" w:rsidP="00A71FB8">
      <w:pPr>
        <w:tabs>
          <w:tab w:val="left" w:pos="4667"/>
        </w:tabs>
        <w:spacing w:line="360" w:lineRule="auto"/>
        <w:ind w:left="567" w:right="567"/>
        <w:contextualSpacing/>
        <w:jc w:val="both"/>
        <w:rPr>
          <w:rFonts w:ascii="Palatino Linotype" w:eastAsia="Palatino Linotype" w:hAnsi="Palatino Linotype" w:cs="Palatino Linotype"/>
          <w:i/>
          <w:iCs/>
        </w:rPr>
      </w:pPr>
      <w:r w:rsidRPr="00F25CBE">
        <w:rPr>
          <w:rFonts w:ascii="Palatino Linotype" w:eastAsia="Palatino Linotype" w:hAnsi="Palatino Linotype" w:cs="Palatino Linotype"/>
          <w:i/>
          <w:iCs/>
        </w:rPr>
        <w:t>Con fundamento en el Articulo 12 segundo párrafo y articulo 24 último párrafo de la Ley de Transparencia Y Acceso a la Información Pública del Estado de México y municipios, al respecto me permito informar que los costos varían de acuerdo a la zona en donde se entre la obra.</w:t>
      </w:r>
    </w:p>
    <w:p w14:paraId="4903DA6B" w14:textId="77777777" w:rsidR="001C0810" w:rsidRPr="00F25CBE" w:rsidRDefault="001C0810" w:rsidP="00A71FB8">
      <w:pPr>
        <w:tabs>
          <w:tab w:val="left" w:pos="4667"/>
        </w:tabs>
        <w:spacing w:line="360" w:lineRule="auto"/>
        <w:ind w:left="567" w:right="567"/>
        <w:contextualSpacing/>
        <w:jc w:val="both"/>
        <w:rPr>
          <w:rFonts w:ascii="Palatino Linotype" w:eastAsia="Palatino Linotype" w:hAnsi="Palatino Linotype" w:cs="Palatino Linotype"/>
          <w:i/>
          <w:iCs/>
        </w:rPr>
      </w:pPr>
      <w:r w:rsidRPr="00F25CBE">
        <w:rPr>
          <w:rFonts w:ascii="Palatino Linotype" w:eastAsia="Palatino Linotype" w:hAnsi="Palatino Linotype" w:cs="Palatino Linotype"/>
          <w:i/>
          <w:iCs/>
        </w:rPr>
        <w:t>…”</w:t>
      </w:r>
    </w:p>
    <w:p w14:paraId="33DF0C3F" w14:textId="77777777" w:rsidR="001C0810" w:rsidRPr="00B14C28" w:rsidRDefault="001C0810" w:rsidP="00A71FB8">
      <w:pPr>
        <w:tabs>
          <w:tab w:val="left" w:pos="4667"/>
        </w:tabs>
        <w:spacing w:line="360" w:lineRule="auto"/>
        <w:ind w:right="567"/>
        <w:contextualSpacing/>
        <w:jc w:val="both"/>
        <w:rPr>
          <w:rFonts w:ascii="Palatino Linotype" w:eastAsia="Palatino Linotype" w:hAnsi="Palatino Linotype" w:cs="Palatino Linotype"/>
        </w:rPr>
      </w:pPr>
    </w:p>
    <w:p w14:paraId="0EE58A68" w14:textId="77777777" w:rsidR="001C0810" w:rsidRPr="00633419" w:rsidRDefault="001C0810" w:rsidP="00A71FB8">
      <w:pPr>
        <w:pStyle w:val="Ttulo2"/>
        <w:spacing w:before="0" w:after="0" w:line="360" w:lineRule="auto"/>
        <w:contextualSpacing/>
        <w:rPr>
          <w:rFonts w:ascii="Palatino Linotype" w:hAnsi="Palatino Linotype"/>
          <w:b/>
          <w:bCs/>
          <w:color w:val="auto"/>
          <w:sz w:val="22"/>
          <w:szCs w:val="22"/>
        </w:rPr>
      </w:pPr>
      <w:bookmarkStart w:id="6" w:name="_Toc221810542"/>
      <w:r w:rsidRPr="00633419">
        <w:rPr>
          <w:rFonts w:ascii="Palatino Linotype" w:hAnsi="Palatino Linotype"/>
          <w:b/>
          <w:bCs/>
          <w:color w:val="auto"/>
          <w:sz w:val="22"/>
          <w:szCs w:val="22"/>
        </w:rPr>
        <w:t>III. Interposición del Recurso de Revisión</w:t>
      </w:r>
      <w:bookmarkEnd w:id="6"/>
    </w:p>
    <w:p w14:paraId="16FB7021"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47096C3E" w14:textId="66FAF22D"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F25CBE">
        <w:rPr>
          <w:rFonts w:ascii="Palatino Linotype" w:eastAsia="Palatino Linotype" w:hAnsi="Palatino Linotype" w:cs="Palatino Linotype"/>
          <w:sz w:val="22"/>
          <w:szCs w:val="22"/>
        </w:rPr>
        <w:t xml:space="preserve">dieciséis de junio </w:t>
      </w:r>
      <w:r>
        <w:rPr>
          <w:rFonts w:ascii="Palatino Linotype" w:eastAsia="Palatino Linotype" w:hAnsi="Palatino Linotype" w:cs="Palatino Linotype"/>
          <w:sz w:val="22"/>
          <w:szCs w:val="22"/>
        </w:rPr>
        <w:t xml:space="preserve">de dos mil veinticinco, se recibió en este Instituto, a través del SAIMEX, el Recurso de Revisión interpuesto por la parte Recurrente, en contra de la respuesta del Ayuntamiento de </w:t>
      </w:r>
      <w:r w:rsidR="00F25CBE">
        <w:rPr>
          <w:rFonts w:ascii="Palatino Linotype" w:eastAsia="Palatino Linotype" w:hAnsi="Palatino Linotype" w:cs="Palatino Linotype"/>
          <w:sz w:val="22"/>
          <w:szCs w:val="22"/>
        </w:rPr>
        <w:t>Zinacantepec</w:t>
      </w:r>
      <w:r>
        <w:rPr>
          <w:rFonts w:ascii="Palatino Linotype" w:eastAsia="Palatino Linotype" w:hAnsi="Palatino Linotype" w:cs="Palatino Linotype"/>
          <w:sz w:val="22"/>
          <w:szCs w:val="22"/>
        </w:rPr>
        <w:t>, en los siguientes términos:</w:t>
      </w:r>
    </w:p>
    <w:p w14:paraId="4F8A6096"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6BA35DB5" w14:textId="77777777" w:rsidR="00637D6C" w:rsidRDefault="00637D6C" w:rsidP="00A71FB8">
      <w:pPr>
        <w:spacing w:line="360" w:lineRule="auto"/>
        <w:contextualSpacing/>
        <w:jc w:val="both"/>
        <w:rPr>
          <w:rFonts w:ascii="Palatino Linotype" w:eastAsia="Palatino Linotype" w:hAnsi="Palatino Linotype" w:cs="Palatino Linotype"/>
          <w:b/>
          <w:sz w:val="22"/>
          <w:szCs w:val="22"/>
        </w:rPr>
      </w:pPr>
    </w:p>
    <w:p w14:paraId="0AA84113" w14:textId="77777777" w:rsidR="001C0810" w:rsidRDefault="001C0810" w:rsidP="00A71FB8">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ACTO IMPUGNADO</w:t>
      </w:r>
    </w:p>
    <w:p w14:paraId="73D51C90" w14:textId="161F6C9E" w:rsidR="001C0810" w:rsidRDefault="001C0810" w:rsidP="00A71FB8">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F25CBE" w:rsidRPr="00F25CBE">
        <w:rPr>
          <w:rFonts w:ascii="Palatino Linotype" w:eastAsia="Palatino Linotype" w:hAnsi="Palatino Linotype" w:cs="Palatino Linotype"/>
          <w:i/>
        </w:rPr>
        <w:t>NO ENTREGA INFORMACION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51B5B606" w14:textId="77777777" w:rsidR="001C0810" w:rsidRDefault="001C0810" w:rsidP="00A71FB8">
      <w:pPr>
        <w:spacing w:line="360" w:lineRule="auto"/>
        <w:ind w:left="567" w:right="567"/>
        <w:contextualSpacing/>
        <w:jc w:val="both"/>
        <w:rPr>
          <w:rFonts w:ascii="Palatino Linotype" w:eastAsia="Palatino Linotype" w:hAnsi="Palatino Linotype" w:cs="Palatino Linotype"/>
          <w:i/>
        </w:rPr>
      </w:pPr>
    </w:p>
    <w:p w14:paraId="4314EBCE" w14:textId="77777777" w:rsidR="001C0810" w:rsidRDefault="001C0810" w:rsidP="00A71FB8">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14A71FB2" w14:textId="4E96AF02" w:rsidR="001C0810" w:rsidRDefault="001C0810" w:rsidP="00A71FB8">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F25CBE" w:rsidRPr="00F25CBE">
        <w:rPr>
          <w:rFonts w:ascii="Palatino Linotype" w:eastAsia="Palatino Linotype" w:hAnsi="Palatino Linotype" w:cs="Palatino Linotype"/>
          <w:i/>
          <w:color w:val="000000"/>
        </w:rPr>
        <w:t>NO ENTREGA INFORMACION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6A77ABAE" w14:textId="77777777" w:rsidR="001C0810" w:rsidRPr="003C3093" w:rsidRDefault="001C0810" w:rsidP="00A71FB8">
      <w:pPr>
        <w:spacing w:line="360" w:lineRule="auto"/>
        <w:contextualSpacing/>
        <w:jc w:val="both"/>
        <w:rPr>
          <w:rFonts w:ascii="Palatino Linotype" w:eastAsia="Palatino Linotype" w:hAnsi="Palatino Linotype" w:cs="Palatino Linotype"/>
          <w:iCs/>
          <w:sz w:val="22"/>
          <w:szCs w:val="22"/>
        </w:rPr>
      </w:pPr>
    </w:p>
    <w:p w14:paraId="0C021F03" w14:textId="77777777" w:rsidR="001C0810" w:rsidRPr="00633419" w:rsidRDefault="001C0810" w:rsidP="00A71FB8">
      <w:pPr>
        <w:pStyle w:val="Ttulo2"/>
        <w:spacing w:before="0" w:after="0" w:line="360" w:lineRule="auto"/>
        <w:contextualSpacing/>
        <w:rPr>
          <w:rFonts w:ascii="Palatino Linotype" w:hAnsi="Palatino Linotype"/>
          <w:b/>
          <w:bCs/>
          <w:color w:val="auto"/>
          <w:sz w:val="22"/>
          <w:szCs w:val="22"/>
        </w:rPr>
      </w:pPr>
      <w:bookmarkStart w:id="7" w:name="_Toc221810543"/>
      <w:r w:rsidRPr="00633419">
        <w:rPr>
          <w:rFonts w:ascii="Palatino Linotype" w:hAnsi="Palatino Linotype"/>
          <w:b/>
          <w:bCs/>
          <w:color w:val="auto"/>
          <w:sz w:val="22"/>
          <w:szCs w:val="22"/>
        </w:rPr>
        <w:t>IV. Trámite del Recurso de Revisión ante este Instituto</w:t>
      </w:r>
      <w:bookmarkEnd w:id="7"/>
    </w:p>
    <w:p w14:paraId="486C5FAD"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009F426C" w14:textId="79019D55"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F25CBE">
        <w:rPr>
          <w:rFonts w:ascii="Palatino Linotype" w:eastAsia="Palatino Linotype" w:hAnsi="Palatino Linotype" w:cs="Palatino Linotype"/>
          <w:sz w:val="22"/>
          <w:szCs w:val="22"/>
        </w:rPr>
        <w:t xml:space="preserve">dieciséis de junio </w:t>
      </w:r>
      <w:r>
        <w:rPr>
          <w:rFonts w:ascii="Palatino Linotype" w:eastAsia="Palatino Linotype" w:hAnsi="Palatino Linotype" w:cs="Palatino Linotype"/>
          <w:sz w:val="22"/>
          <w:szCs w:val="22"/>
        </w:rPr>
        <w:t xml:space="preserve">de dos mil veinticinco, el SAIMEX, asignó el número de expediente </w:t>
      </w:r>
      <w:r>
        <w:rPr>
          <w:rFonts w:ascii="Palatino Linotype" w:eastAsia="Palatino Linotype" w:hAnsi="Palatino Linotype" w:cs="Palatino Linotype"/>
          <w:b/>
          <w:sz w:val="22"/>
          <w:szCs w:val="22"/>
        </w:rPr>
        <w:t>0</w:t>
      </w:r>
      <w:r w:rsidR="00F25CBE">
        <w:rPr>
          <w:rFonts w:ascii="Palatino Linotype" w:eastAsia="Palatino Linotype" w:hAnsi="Palatino Linotype" w:cs="Palatino Linotype"/>
          <w:b/>
          <w:sz w:val="22"/>
          <w:szCs w:val="22"/>
        </w:rPr>
        <w:t>725</w:t>
      </w:r>
      <w:r>
        <w:rPr>
          <w:rFonts w:ascii="Palatino Linotype" w:eastAsia="Palatino Linotype" w:hAnsi="Palatino Linotype" w:cs="Palatino Linotype"/>
          <w:b/>
          <w:sz w:val="22"/>
          <w:szCs w:val="22"/>
        </w:rPr>
        <w:t>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8C3E327"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0DEE38AC" w14:textId="2021AD35"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F25CBE">
        <w:rPr>
          <w:rFonts w:ascii="Palatino Linotype" w:eastAsia="Palatino Linotype" w:hAnsi="Palatino Linotype" w:cs="Palatino Linotype"/>
          <w:sz w:val="22"/>
          <w:szCs w:val="22"/>
        </w:rPr>
        <w:t xml:space="preserve">diecinueve de junio </w:t>
      </w:r>
      <w:r>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3A33FB">
        <w:rPr>
          <w:rFonts w:ascii="Palatino Linotype" w:eastAsia="Palatino Linotype" w:hAnsi="Palatino Linotype" w:cs="Palatino Linotype"/>
          <w:sz w:val="22"/>
          <w:szCs w:val="22"/>
        </w:rPr>
        <w:t>veinte</w:t>
      </w:r>
      <w:r w:rsidR="00F25CB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dicho mes y año, a través del SAIMEX, en el que se les otorgó un plazo de siete días hábiles posteriores a la misma, para que manifestaran lo que a su derecho conviniera y formularan alegatos.</w:t>
      </w:r>
    </w:p>
    <w:p w14:paraId="0700D3E9"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45CE58AD" w14:textId="77777777" w:rsidR="001C0810" w:rsidRDefault="001C0810" w:rsidP="00A71FB8">
      <w:pPr>
        <w:spacing w:line="360" w:lineRule="auto"/>
        <w:contextualSpacing/>
        <w:jc w:val="both"/>
        <w:rPr>
          <w:rFonts w:ascii="Palatino Linotype" w:eastAsia="Palatino Linotype" w:hAnsi="Palatino Linotype" w:cs="Palatino Linotype"/>
          <w:b/>
          <w:color w:val="000000"/>
          <w:sz w:val="22"/>
          <w:szCs w:val="22"/>
        </w:rPr>
      </w:pPr>
      <w:bookmarkStart w:id="8" w:name="_Hlk219236574"/>
      <w:r>
        <w:rPr>
          <w:rFonts w:ascii="Palatino Linotype" w:eastAsia="Palatino Linotype" w:hAnsi="Palatino Linotype" w:cs="Palatino Linotype"/>
          <w:b/>
          <w:sz w:val="22"/>
          <w:szCs w:val="22"/>
        </w:rPr>
        <w:t xml:space="preserve">c) Informe Justificado o Manifestaciones. </w:t>
      </w:r>
      <w:r>
        <w:rPr>
          <w:rFonts w:ascii="Palatino Linotype" w:eastAsia="Palatino Linotype" w:hAnsi="Palatino Linotype" w:cs="Palatino Linotype"/>
          <w:bCs/>
          <w:sz w:val="22"/>
          <w:szCs w:val="22"/>
        </w:rPr>
        <w:t>Las partes fueron omisas en realizar manifestaciones o alegatos.</w:t>
      </w:r>
      <w:r>
        <w:rPr>
          <w:rFonts w:ascii="Palatino Linotype" w:eastAsia="Palatino Linotype" w:hAnsi="Palatino Linotype" w:cs="Palatino Linotype"/>
          <w:b/>
          <w:sz w:val="22"/>
          <w:szCs w:val="22"/>
        </w:rPr>
        <w:t xml:space="preserve"> </w:t>
      </w:r>
      <w:bookmarkEnd w:id="8"/>
    </w:p>
    <w:p w14:paraId="182CC62F"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08BBAAAE" w14:textId="161942BB" w:rsidR="001C0810" w:rsidRDefault="001C0810" w:rsidP="00A71FB8">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lastRenderedPageBreak/>
        <w:t xml:space="preserve">e) Ampliación de plazo para resolver. </w:t>
      </w:r>
      <w:r>
        <w:rPr>
          <w:rFonts w:ascii="Palatino Linotype" w:eastAsia="Palatino Linotype" w:hAnsi="Palatino Linotype" w:cs="Palatino Linotype"/>
          <w:sz w:val="22"/>
          <w:szCs w:val="22"/>
        </w:rPr>
        <w:t xml:space="preserve">El </w:t>
      </w:r>
      <w:r w:rsidR="00F25CBE">
        <w:rPr>
          <w:rFonts w:ascii="Palatino Linotype" w:eastAsia="Palatino Linotype" w:hAnsi="Palatino Linotype" w:cs="Palatino Linotype"/>
          <w:sz w:val="22"/>
          <w:szCs w:val="22"/>
        </w:rPr>
        <w:t xml:space="preserve">cuatro de febrero </w:t>
      </w:r>
      <w:r>
        <w:rPr>
          <w:rFonts w:ascii="Palatino Linotype" w:eastAsia="Palatino Linotype" w:hAnsi="Palatino Linotype" w:cs="Palatino Linotype"/>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28F9221"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78E5C950" w14:textId="056B438A" w:rsidR="001C0810" w:rsidRDefault="001C0810" w:rsidP="00A71FB8">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F25CBE">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 xml:space="preserve">de febrero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w:t>
      </w:r>
      <w:r w:rsidR="003A33FB">
        <w:rPr>
          <w:rFonts w:ascii="Palatino Linotype" w:eastAsia="Palatino Linotype" w:hAnsi="Palatino Linotype" w:cs="Palatino Linotype"/>
          <w:sz w:val="22"/>
          <w:szCs w:val="22"/>
        </w:rPr>
        <w:t>once de dicho mes y año</w:t>
      </w:r>
      <w:r>
        <w:rPr>
          <w:rFonts w:ascii="Palatino Linotype" w:eastAsia="Palatino Linotype" w:hAnsi="Palatino Linotype" w:cs="Palatino Linotype"/>
          <w:sz w:val="22"/>
          <w:szCs w:val="22"/>
        </w:rPr>
        <w:t>.</w:t>
      </w:r>
    </w:p>
    <w:p w14:paraId="2268ED49"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2E63E0AA" w14:textId="77777777" w:rsidR="001C0810" w:rsidRDefault="001C0810" w:rsidP="00A71FB8">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8AE96C0" w14:textId="77777777" w:rsidR="001C0810" w:rsidRDefault="001C0810" w:rsidP="00A71FB8">
      <w:pPr>
        <w:spacing w:line="360" w:lineRule="auto"/>
        <w:contextualSpacing/>
      </w:pPr>
    </w:p>
    <w:p w14:paraId="6CDA180B" w14:textId="77777777" w:rsidR="001C0810" w:rsidRDefault="001C0810" w:rsidP="00A71FB8">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21810544"/>
      <w:r>
        <w:rPr>
          <w:rFonts w:ascii="Palatino Linotype" w:eastAsia="Palatino Linotype" w:hAnsi="Palatino Linotype" w:cs="Palatino Linotype"/>
          <w:b/>
          <w:color w:val="000000"/>
          <w:sz w:val="22"/>
          <w:szCs w:val="22"/>
        </w:rPr>
        <w:t>C O N S I D E R A N D O S</w:t>
      </w:r>
      <w:bookmarkEnd w:id="10"/>
    </w:p>
    <w:p w14:paraId="05D9451A" w14:textId="77777777" w:rsidR="001C0810" w:rsidRDefault="001C0810" w:rsidP="00A71FB8">
      <w:pPr>
        <w:spacing w:line="360" w:lineRule="auto"/>
        <w:contextualSpacing/>
      </w:pPr>
    </w:p>
    <w:p w14:paraId="7B3CA785" w14:textId="77777777" w:rsidR="001C0810" w:rsidRDefault="001C0810" w:rsidP="00A71FB8">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1810545"/>
      <w:r>
        <w:rPr>
          <w:rFonts w:ascii="Palatino Linotype" w:eastAsia="Palatino Linotype" w:hAnsi="Palatino Linotype" w:cs="Palatino Linotype"/>
          <w:b/>
          <w:color w:val="000000"/>
          <w:sz w:val="22"/>
          <w:szCs w:val="22"/>
        </w:rPr>
        <w:t>PRIMERO. Competencia</w:t>
      </w:r>
      <w:bookmarkEnd w:id="11"/>
    </w:p>
    <w:p w14:paraId="60F3988B" w14:textId="77777777" w:rsidR="001C0810" w:rsidRDefault="001C0810" w:rsidP="00A71FB8">
      <w:pPr>
        <w:spacing w:line="360" w:lineRule="auto"/>
        <w:contextualSpacing/>
      </w:pPr>
    </w:p>
    <w:p w14:paraId="7C2FF6D1"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2"/>
      <w:r w:rsidRPr="0069652E">
        <w:rPr>
          <w:rFonts w:ascii="Palatino Linotype" w:eastAsia="Palatino Linotype" w:hAnsi="Palatino Linotype" w:cs="Palatino Linotype"/>
          <w:sz w:val="22"/>
          <w:szCs w:val="22"/>
        </w:rPr>
        <w:t xml:space="preserve">, fracciones IV y V de la Constitución Política del Estado Libre y Soberano de México; </w:t>
      </w:r>
      <w:r w:rsidRPr="0069652E">
        <w:rPr>
          <w:rFonts w:ascii="Palatino Linotype" w:eastAsia="Palatino Linotype" w:hAnsi="Palatino Linotype" w:cs="Palatino Linotype"/>
          <w:sz w:val="22"/>
          <w:szCs w:val="22"/>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1CA676" w14:textId="77777777" w:rsidR="001C0810" w:rsidRDefault="001C0810" w:rsidP="00A71FB8">
      <w:pPr>
        <w:spacing w:line="360" w:lineRule="auto"/>
        <w:contextualSpacing/>
        <w:jc w:val="both"/>
        <w:rPr>
          <w:rFonts w:ascii="Palatino Linotype" w:eastAsia="Palatino Linotype" w:hAnsi="Palatino Linotype" w:cs="Palatino Linotype"/>
          <w:color w:val="000000"/>
          <w:sz w:val="22"/>
          <w:szCs w:val="22"/>
        </w:rPr>
      </w:pPr>
    </w:p>
    <w:p w14:paraId="012AE47F" w14:textId="77777777" w:rsidR="001C0810" w:rsidRDefault="001C0810" w:rsidP="00A71FB8">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1810546"/>
      <w:r>
        <w:rPr>
          <w:rFonts w:ascii="Palatino Linotype" w:eastAsia="Palatino Linotype" w:hAnsi="Palatino Linotype" w:cs="Palatino Linotype"/>
          <w:b/>
          <w:color w:val="000000"/>
          <w:sz w:val="22"/>
          <w:szCs w:val="22"/>
        </w:rPr>
        <w:t>SEGUNDO. Causales de improcedencia y sobreseimiento</w:t>
      </w:r>
      <w:bookmarkEnd w:id="13"/>
    </w:p>
    <w:p w14:paraId="658C97A1"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5DA1DDDE" w14:textId="77777777" w:rsidR="001C0810" w:rsidRPr="00495A4C"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25C985E9"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3F230393"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3D4D06A1"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4F041B5D"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B9AA68F"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26F4ABBE"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presente caso, no se actualiza ninguna de las causales de improcedencia establecidas en el ordenamiento jurídico previamente señalado, toda vez que: el recurso fue presentado </w:t>
      </w:r>
      <w:r>
        <w:rPr>
          <w:rFonts w:ascii="Palatino Linotype" w:eastAsia="Palatino Linotype" w:hAnsi="Palatino Linotype" w:cs="Palatino Linotype"/>
          <w:sz w:val="22"/>
          <w:szCs w:val="22"/>
        </w:rPr>
        <w:lastRenderedPageBreak/>
        <w:t>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36D722A"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68C17C70" w14:textId="496504BA"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F25CBE">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F25CBE">
        <w:rPr>
          <w:rFonts w:ascii="Palatino Linotype" w:eastAsia="Palatino Linotype" w:hAnsi="Palatino Linotype" w:cs="Palatino Linotype"/>
          <w:sz w:val="22"/>
          <w:szCs w:val="22"/>
        </w:rPr>
        <w:t xml:space="preserve">negativa </w:t>
      </w:r>
      <w:r>
        <w:rPr>
          <w:rFonts w:ascii="Palatino Linotype" w:eastAsia="Palatino Linotype" w:hAnsi="Palatino Linotype" w:cs="Palatino Linotype"/>
          <w:sz w:val="22"/>
          <w:szCs w:val="22"/>
        </w:rPr>
        <w:t>de</w:t>
      </w:r>
      <w:r w:rsidR="00F25CBE">
        <w:rPr>
          <w:rFonts w:ascii="Palatino Linotype" w:eastAsia="Palatino Linotype" w:hAnsi="Palatino Linotype" w:cs="Palatino Linotype"/>
          <w:sz w:val="22"/>
          <w:szCs w:val="22"/>
        </w:rPr>
        <w:t xml:space="preserve"> la</w:t>
      </w:r>
      <w:r>
        <w:rPr>
          <w:rFonts w:ascii="Palatino Linotype" w:eastAsia="Palatino Linotype" w:hAnsi="Palatino Linotype" w:cs="Palatino Linotype"/>
          <w:sz w:val="22"/>
          <w:szCs w:val="22"/>
        </w:rPr>
        <w:t xml:space="preserve"> información.</w:t>
      </w:r>
    </w:p>
    <w:p w14:paraId="61CFC3F4"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7A9D5DB9" w14:textId="77777777" w:rsidR="001C0810" w:rsidRDefault="001C0810" w:rsidP="00A71FB8">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1810547"/>
      <w:r>
        <w:rPr>
          <w:rFonts w:ascii="Palatino Linotype" w:eastAsia="Palatino Linotype" w:hAnsi="Palatino Linotype" w:cs="Palatino Linotype"/>
          <w:b/>
          <w:color w:val="000000"/>
          <w:sz w:val="22"/>
          <w:szCs w:val="22"/>
        </w:rPr>
        <w:t>TERCERO. Determinación de la Controversia</w:t>
      </w:r>
      <w:bookmarkEnd w:id="14"/>
      <w:bookmarkEnd w:id="15"/>
    </w:p>
    <w:p w14:paraId="02218C9B"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71426D82" w14:textId="2378E40B" w:rsidR="001C0810" w:rsidRDefault="001C0810" w:rsidP="00A71FB8">
      <w:pPr>
        <w:spacing w:line="360" w:lineRule="auto"/>
        <w:contextualSpacing/>
        <w:jc w:val="both"/>
        <w:rPr>
          <w:rFonts w:ascii="Palatino Linotype" w:hAnsi="Palatino Linotype"/>
          <w:sz w:val="22"/>
          <w:szCs w:val="22"/>
        </w:rPr>
      </w:pPr>
      <w:r w:rsidRPr="00587816">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Pr>
          <w:rFonts w:ascii="Palatino Linotype" w:hAnsi="Palatino Linotype"/>
          <w:sz w:val="22"/>
          <w:szCs w:val="22"/>
        </w:rPr>
        <w:t>r</w:t>
      </w:r>
      <w:r w:rsidRPr="00587816">
        <w:rPr>
          <w:rFonts w:ascii="Palatino Linotype" w:hAnsi="Palatino Linotype"/>
          <w:sz w:val="22"/>
          <w:szCs w:val="22"/>
        </w:rPr>
        <w:t>especto de las</w:t>
      </w:r>
      <w:r w:rsidR="00F25CBE">
        <w:rPr>
          <w:rFonts w:ascii="Palatino Linotype" w:hAnsi="Palatino Linotype"/>
          <w:sz w:val="22"/>
          <w:szCs w:val="22"/>
        </w:rPr>
        <w:t xml:space="preserve"> obras ejecutadas del primero de enero de dos mil veintidós, </w:t>
      </w:r>
      <w:r w:rsidRPr="00587816">
        <w:rPr>
          <w:rFonts w:ascii="Palatino Linotype" w:hAnsi="Palatino Linotype"/>
          <w:sz w:val="22"/>
          <w:szCs w:val="22"/>
        </w:rPr>
        <w:t xml:space="preserve">al </w:t>
      </w:r>
      <w:r w:rsidR="00F25CBE">
        <w:rPr>
          <w:rFonts w:ascii="Palatino Linotype" w:hAnsi="Palatino Linotype"/>
          <w:sz w:val="22"/>
          <w:szCs w:val="22"/>
        </w:rPr>
        <w:t xml:space="preserve">treinta y uno de diciembre </w:t>
      </w:r>
      <w:r w:rsidRPr="00587816">
        <w:rPr>
          <w:rFonts w:ascii="Palatino Linotype" w:hAnsi="Palatino Linotype"/>
          <w:sz w:val="22"/>
          <w:szCs w:val="22"/>
        </w:rPr>
        <w:t>de dos mil veintic</w:t>
      </w:r>
      <w:r w:rsidR="0022082C">
        <w:rPr>
          <w:rFonts w:ascii="Palatino Linotype" w:hAnsi="Palatino Linotype"/>
          <w:sz w:val="22"/>
          <w:szCs w:val="22"/>
        </w:rPr>
        <w:t>uatr</w:t>
      </w:r>
      <w:r w:rsidRPr="00587816">
        <w:rPr>
          <w:rFonts w:ascii="Palatino Linotype" w:hAnsi="Palatino Linotype"/>
          <w:sz w:val="22"/>
          <w:szCs w:val="22"/>
        </w:rPr>
        <w:t>o</w:t>
      </w:r>
      <w:r>
        <w:rPr>
          <w:rFonts w:ascii="Palatino Linotype" w:hAnsi="Palatino Linotype"/>
          <w:sz w:val="22"/>
          <w:szCs w:val="22"/>
        </w:rPr>
        <w:t>, los documentos que dieran cuenta de lo siguiente:</w:t>
      </w:r>
    </w:p>
    <w:p w14:paraId="4856919D" w14:textId="77777777" w:rsidR="0022082C" w:rsidRDefault="0022082C" w:rsidP="00A71FB8">
      <w:pPr>
        <w:spacing w:line="360" w:lineRule="auto"/>
        <w:contextualSpacing/>
        <w:jc w:val="both"/>
        <w:rPr>
          <w:rFonts w:ascii="Palatino Linotype" w:hAnsi="Palatino Linotype"/>
          <w:sz w:val="22"/>
          <w:szCs w:val="22"/>
        </w:rPr>
      </w:pPr>
    </w:p>
    <w:p w14:paraId="4B3F7949" w14:textId="69D83A04" w:rsidR="0022082C" w:rsidRDefault="0022082C" w:rsidP="00A71FB8">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El análisis técnico-financiero del costo de cada obra social; y</w:t>
      </w:r>
    </w:p>
    <w:p w14:paraId="7553357F" w14:textId="68DA9951" w:rsidR="0022082C" w:rsidRDefault="0022082C" w:rsidP="00A71FB8">
      <w:pPr>
        <w:pStyle w:val="Prrafodelista"/>
        <w:numPr>
          <w:ilvl w:val="0"/>
          <w:numId w:val="13"/>
        </w:numPr>
        <w:spacing w:line="360" w:lineRule="auto"/>
        <w:jc w:val="both"/>
        <w:rPr>
          <w:rFonts w:ascii="Palatino Linotype" w:hAnsi="Palatino Linotype"/>
          <w:sz w:val="22"/>
          <w:szCs w:val="22"/>
        </w:rPr>
      </w:pPr>
      <w:r>
        <w:rPr>
          <w:rFonts w:ascii="Palatino Linotype" w:hAnsi="Palatino Linotype"/>
          <w:sz w:val="22"/>
          <w:szCs w:val="22"/>
        </w:rPr>
        <w:t>Número de personas beneficiarias por proyecto.</w:t>
      </w:r>
    </w:p>
    <w:p w14:paraId="2A82B72B" w14:textId="77777777" w:rsidR="0022082C" w:rsidRPr="0022082C" w:rsidRDefault="0022082C" w:rsidP="00A71FB8">
      <w:pPr>
        <w:pStyle w:val="Prrafodelista"/>
        <w:spacing w:line="360" w:lineRule="auto"/>
        <w:jc w:val="both"/>
        <w:rPr>
          <w:rFonts w:ascii="Palatino Linotype" w:hAnsi="Palatino Linotype"/>
          <w:sz w:val="22"/>
          <w:szCs w:val="22"/>
        </w:rPr>
      </w:pPr>
    </w:p>
    <w:p w14:paraId="1C6FFB41" w14:textId="369162FD" w:rsidR="001C0810" w:rsidRDefault="001C0810" w:rsidP="00A71FB8">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 la Dirección de </w:t>
      </w:r>
      <w:r w:rsidR="0022082C">
        <w:rPr>
          <w:rFonts w:ascii="Palatino Linotype" w:hAnsi="Palatino Linotype"/>
          <w:color w:val="000000"/>
          <w:sz w:val="22"/>
          <w:szCs w:val="22"/>
        </w:rPr>
        <w:t>Obras Públicas informó que los costos variaban de acuerdo a la zona en donde se entrega la obra</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negativa de entrega de la información requerid</w:t>
      </w:r>
      <w:r w:rsidR="0022082C">
        <w:rPr>
          <w:rFonts w:ascii="Palatino Linotype" w:hAnsi="Palatino Linotype" w:cs="Tahoma"/>
          <w:sz w:val="22"/>
          <w:szCs w:val="22"/>
          <w:lang w:val="es-ES"/>
        </w:rPr>
        <w:t>a</w:t>
      </w:r>
      <w:r>
        <w:rPr>
          <w:rFonts w:ascii="Palatino Linotype" w:hAnsi="Palatino Linotype" w:cs="Tahoma"/>
          <w:sz w:val="22"/>
          <w:szCs w:val="22"/>
          <w:lang w:val="es-ES"/>
        </w:rPr>
        <w:t>, lo</w:t>
      </w:r>
      <w:r w:rsidRPr="00E56C68">
        <w:rPr>
          <w:rFonts w:ascii="Palatino Linotype" w:hAnsi="Palatino Linotype" w:cs="Tahoma"/>
          <w:sz w:val="22"/>
          <w:szCs w:val="22"/>
          <w:lang w:val="es-ES"/>
        </w:rPr>
        <w:t xml:space="preserve"> cual </w:t>
      </w:r>
      <w:r w:rsidRPr="00E56C68">
        <w:rPr>
          <w:rFonts w:ascii="Palatino Linotype" w:eastAsia="Calibri" w:hAnsi="Palatino Linotype" w:cs="Tahoma"/>
          <w:sz w:val="22"/>
          <w:szCs w:val="22"/>
        </w:rPr>
        <w:t xml:space="preserve">actualiza la causal de procedencia prevista en la fracción </w:t>
      </w:r>
      <w:r w:rsidR="0022082C">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1093B1DA" w14:textId="754ED5EC" w:rsidR="001C0810" w:rsidRPr="005A23D4" w:rsidRDefault="001C0810" w:rsidP="00A71FB8">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lastRenderedPageBreak/>
        <w:t xml:space="preserve">Lo anterior, se desprende de las documentales que obran en el expediente de referencia, materia de la presente resolución, consistentes en la solicitud de acceso a la información, la respuesta, y 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14:paraId="0D1AB783" w14:textId="77777777" w:rsidR="001C0810" w:rsidRDefault="001C0810" w:rsidP="00A71FB8">
      <w:pPr>
        <w:spacing w:line="360" w:lineRule="auto"/>
        <w:contextualSpacing/>
        <w:jc w:val="both"/>
        <w:rPr>
          <w:rFonts w:ascii="Palatino Linotype" w:eastAsia="Palatino Linotype" w:hAnsi="Palatino Linotype" w:cs="Palatino Linotype"/>
          <w:color w:val="000000"/>
          <w:sz w:val="22"/>
          <w:szCs w:val="22"/>
        </w:rPr>
      </w:pPr>
    </w:p>
    <w:p w14:paraId="54FEE2B9" w14:textId="77777777" w:rsidR="001C0810" w:rsidRDefault="001C0810" w:rsidP="00A71FB8">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21810548"/>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514CADA5"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05AE7600"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F1966D"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1F247E75"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DC7105D"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38CBAFA7"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791E7AC6"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21069CB5" w14:textId="77777777" w:rsidR="00594F92" w:rsidRDefault="00594F92" w:rsidP="00A71FB8">
      <w:pPr>
        <w:widowControl w:val="0"/>
        <w:spacing w:line="360" w:lineRule="auto"/>
        <w:contextualSpacing/>
        <w:jc w:val="both"/>
        <w:rPr>
          <w:rFonts w:ascii="Palatino Linotype" w:eastAsia="Palatino Linotype" w:hAnsi="Palatino Linotype" w:cs="Palatino Linotype"/>
          <w:sz w:val="22"/>
          <w:szCs w:val="22"/>
        </w:rPr>
      </w:pPr>
    </w:p>
    <w:p w14:paraId="2158E75B"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12, que, quienes generen, recopilen, administren, manejen, procesen, archiven o conserven información pública serán responsables de la misma.</w:t>
      </w:r>
    </w:p>
    <w:p w14:paraId="6AB05769"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0A1650AF"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521EE84"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51C8067C"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AD964C"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7B6B8D84" w14:textId="77777777" w:rsidR="001C0810" w:rsidRDefault="001C0810" w:rsidP="00A71FB8">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21810549"/>
      <w:r>
        <w:rPr>
          <w:rFonts w:ascii="Palatino Linotype" w:eastAsia="Palatino Linotype" w:hAnsi="Palatino Linotype" w:cs="Palatino Linotype"/>
          <w:b/>
          <w:color w:val="000000"/>
          <w:sz w:val="22"/>
          <w:szCs w:val="22"/>
        </w:rPr>
        <w:t>QUINTO. Estudio de Fondo</w:t>
      </w:r>
      <w:bookmarkEnd w:id="18"/>
      <w:bookmarkEnd w:id="19"/>
    </w:p>
    <w:p w14:paraId="6820EBBA" w14:textId="77777777" w:rsidR="001C0810" w:rsidRDefault="001C0810" w:rsidP="00A71FB8">
      <w:pPr>
        <w:spacing w:line="360" w:lineRule="auto"/>
        <w:contextualSpacing/>
        <w:jc w:val="both"/>
        <w:rPr>
          <w:rFonts w:ascii="Palatino Linotype" w:eastAsia="Palatino Linotype" w:hAnsi="Palatino Linotype" w:cs="Palatino Linotype"/>
          <w:b/>
          <w:sz w:val="22"/>
          <w:szCs w:val="22"/>
        </w:rPr>
      </w:pPr>
    </w:p>
    <w:p w14:paraId="52002931" w14:textId="6BC1F171"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negativa de la información por lo que resulta necesario contextualizar la solicitud relacionada con l</w:t>
      </w:r>
      <w:r w:rsidR="0022082C">
        <w:rPr>
          <w:rFonts w:ascii="Palatino Linotype" w:eastAsia="Palatino Linotype" w:hAnsi="Palatino Linotype" w:cs="Palatino Linotype"/>
          <w:sz w:val="22"/>
          <w:szCs w:val="22"/>
        </w:rPr>
        <w:t>o</w:t>
      </w:r>
      <w:r>
        <w:rPr>
          <w:rFonts w:ascii="Palatino Linotype" w:eastAsia="Palatino Linotype" w:hAnsi="Palatino Linotype" w:cs="Palatino Linotype"/>
          <w:sz w:val="22"/>
          <w:szCs w:val="22"/>
        </w:rPr>
        <w:t xml:space="preserve">s </w:t>
      </w:r>
      <w:r w:rsidR="0022082C">
        <w:rPr>
          <w:rFonts w:ascii="Palatino Linotype" w:eastAsia="Palatino Linotype" w:hAnsi="Palatino Linotype" w:cs="Palatino Linotype"/>
          <w:sz w:val="22"/>
          <w:szCs w:val="22"/>
        </w:rPr>
        <w:t>costos de obra y el número de beneficiarios</w:t>
      </w:r>
      <w:r>
        <w:rPr>
          <w:rFonts w:ascii="Palatino Linotype" w:eastAsia="Palatino Linotype" w:hAnsi="Palatino Linotype" w:cs="Palatino Linotype"/>
          <w:sz w:val="22"/>
          <w:szCs w:val="22"/>
        </w:rPr>
        <w:t>.</w:t>
      </w:r>
    </w:p>
    <w:p w14:paraId="6B3928D8"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656EC35C" w14:textId="77777777" w:rsidR="00A23783" w:rsidRPr="00050F20" w:rsidRDefault="00A23783" w:rsidP="00A71FB8">
      <w:pPr>
        <w:spacing w:line="360" w:lineRule="auto"/>
        <w:contextualSpacing/>
        <w:jc w:val="both"/>
        <w:rPr>
          <w:rFonts w:ascii="Palatino Linotype" w:eastAsia="Calibri" w:hAnsi="Palatino Linotype"/>
          <w:color w:val="000000"/>
          <w:sz w:val="22"/>
          <w:szCs w:val="22"/>
        </w:rPr>
      </w:pPr>
      <w:r w:rsidRPr="00050F20">
        <w:rPr>
          <w:rFonts w:ascii="Palatino Linotype" w:eastAsia="Calibri" w:hAnsi="Palatino Linotype"/>
          <w:color w:val="000000"/>
          <w:sz w:val="22"/>
          <w:szCs w:val="22"/>
        </w:rPr>
        <w:t xml:space="preserve">Sobre el tema, López Olvera, Miguel Alejandro </w:t>
      </w:r>
      <w:proofErr w:type="spellStart"/>
      <w:r w:rsidRPr="00050F20">
        <w:rPr>
          <w:rFonts w:ascii="Palatino Linotype" w:eastAsia="Calibri" w:hAnsi="Palatino Linotype"/>
          <w:color w:val="000000"/>
          <w:sz w:val="22"/>
          <w:szCs w:val="22"/>
        </w:rPr>
        <w:t>Cancino</w:t>
      </w:r>
      <w:proofErr w:type="spellEnd"/>
      <w:r w:rsidRPr="00050F20">
        <w:rPr>
          <w:rFonts w:ascii="Palatino Linotype" w:eastAsia="Calibri" w:hAnsi="Palatino Linotype"/>
          <w:color w:val="000000"/>
          <w:sz w:val="22"/>
          <w:szCs w:val="22"/>
        </w:rPr>
        <w:t xml:space="preserve"> Gómez, Rodolfo. (2020). “La Contratación Pública y el Sistema Nacional Anticorrupción”. (p. 4) la </w:t>
      </w:r>
      <w:r w:rsidRPr="00050F20">
        <w:rPr>
          <w:rFonts w:ascii="Palatino Linotype" w:eastAsia="Calibri" w:hAnsi="Palatino Linotype"/>
          <w:b/>
          <w:color w:val="000000"/>
          <w:sz w:val="22"/>
          <w:szCs w:val="22"/>
        </w:rPr>
        <w:t>contratación pública</w:t>
      </w:r>
      <w:r w:rsidRPr="00050F20">
        <w:rPr>
          <w:rFonts w:ascii="Palatino Linotype" w:eastAsia="Calibri" w:hAnsi="Palatino Linotype"/>
          <w:color w:val="000000"/>
          <w:sz w:val="22"/>
          <w:szCs w:val="22"/>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65497D08" w14:textId="77777777" w:rsidR="00A23783" w:rsidRPr="00050F20" w:rsidRDefault="00A23783" w:rsidP="00A71FB8">
      <w:pPr>
        <w:spacing w:line="360" w:lineRule="auto"/>
        <w:contextualSpacing/>
        <w:jc w:val="both"/>
        <w:rPr>
          <w:rFonts w:ascii="Palatino Linotype" w:eastAsia="Calibri" w:hAnsi="Palatino Linotype"/>
          <w:color w:val="000000"/>
          <w:sz w:val="22"/>
          <w:szCs w:val="22"/>
        </w:rPr>
      </w:pPr>
    </w:p>
    <w:p w14:paraId="3C819375" w14:textId="60C50984" w:rsidR="00637D6C" w:rsidRPr="008B12BE" w:rsidRDefault="00637D6C" w:rsidP="00637D6C">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sz w:val="22"/>
        </w:rPr>
        <w:lastRenderedPageBreak/>
        <w:t>En ese contexto</w:t>
      </w:r>
      <w:r w:rsidRPr="00FA6D8B">
        <w:rPr>
          <w:rFonts w:ascii="Palatino Linotype" w:eastAsia="Calibri" w:hAnsi="Palatino Linotype" w:cs="Tahoma"/>
          <w:sz w:val="22"/>
        </w:rPr>
        <w:t xml:space="preserve">, </w:t>
      </w:r>
      <w:r w:rsidRPr="008B12BE">
        <w:rPr>
          <w:rFonts w:ascii="Palatino Linotype" w:eastAsia="Calibri" w:hAnsi="Palatino Linotype" w:cs="Tahoma"/>
          <w:bCs/>
          <w:sz w:val="22"/>
          <w:szCs w:val="22"/>
        </w:rPr>
        <w:t xml:space="preserve">el artículo 12.4 del Código Administrativo del Estado de México, establece que las obras públicas son aquellas cuyo objeto principal es construir, instalar, ampliar, adecuar, </w:t>
      </w:r>
      <w:r w:rsidRPr="003160BC">
        <w:rPr>
          <w:rFonts w:ascii="Palatino Linotype" w:eastAsia="Calibri" w:hAnsi="Palatino Linotype" w:cs="Tahoma"/>
          <w:b/>
          <w:sz w:val="22"/>
          <w:szCs w:val="22"/>
        </w:rPr>
        <w:t>remodelar, restaurar, conservar, mantener, modificar o demoler bienes inmuebles</w:t>
      </w:r>
      <w:r w:rsidRPr="008B12BE">
        <w:rPr>
          <w:rFonts w:ascii="Palatino Linotype" w:eastAsia="Calibri" w:hAnsi="Palatino Linotype" w:cs="Tahoma"/>
          <w:bCs/>
          <w:sz w:val="22"/>
          <w:szCs w:val="22"/>
        </w:rPr>
        <w:t xml:space="preserve"> de los municipios con cargo a recursos públicos estatales y municipales; así como los trabajos de exploración, localización y perforación, mejoramiento de suelo y subsuelo, la infraestructura agropecuaria e hidroagrícola, entre otros.</w:t>
      </w:r>
    </w:p>
    <w:p w14:paraId="5202B21D" w14:textId="77777777" w:rsidR="00637D6C" w:rsidRPr="00FA6D8B" w:rsidRDefault="00637D6C" w:rsidP="00637D6C">
      <w:pPr>
        <w:tabs>
          <w:tab w:val="left" w:pos="4962"/>
        </w:tabs>
        <w:spacing w:line="360" w:lineRule="auto"/>
        <w:jc w:val="both"/>
        <w:rPr>
          <w:rFonts w:ascii="Palatino Linotype" w:eastAsia="Calibri" w:hAnsi="Palatino Linotype" w:cs="Tahoma"/>
          <w:sz w:val="22"/>
        </w:rPr>
      </w:pPr>
    </w:p>
    <w:p w14:paraId="4C77EEBB" w14:textId="77777777" w:rsidR="00637D6C" w:rsidRDefault="00637D6C" w:rsidP="00637D6C">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conforme al artículo 12.6 de dicho ordenamiento jurídico, uno de los entes que pueden llevar a cabo contratos de obra pública o servicios relacionados con la misma, son los Municipios, a través de los Ayuntamientos.</w:t>
      </w:r>
    </w:p>
    <w:p w14:paraId="300E60DD" w14:textId="77777777" w:rsidR="00637D6C" w:rsidRDefault="00637D6C" w:rsidP="00637D6C">
      <w:pPr>
        <w:tabs>
          <w:tab w:val="left" w:pos="4962"/>
        </w:tabs>
        <w:spacing w:line="360" w:lineRule="auto"/>
        <w:jc w:val="both"/>
        <w:rPr>
          <w:rFonts w:ascii="Palatino Linotype" w:eastAsia="Calibri" w:hAnsi="Palatino Linotype" w:cs="Tahoma"/>
          <w:bCs/>
          <w:sz w:val="22"/>
          <w:szCs w:val="22"/>
        </w:rPr>
      </w:pPr>
    </w:p>
    <w:p w14:paraId="32A6CB76" w14:textId="77777777" w:rsidR="00637D6C" w:rsidRPr="008B12BE" w:rsidRDefault="00637D6C" w:rsidP="00637D6C">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43D84B27" w14:textId="77777777" w:rsidR="00637D6C" w:rsidRPr="008B12BE" w:rsidRDefault="00637D6C" w:rsidP="00637D6C">
      <w:pPr>
        <w:tabs>
          <w:tab w:val="left" w:pos="4962"/>
        </w:tabs>
        <w:spacing w:line="360" w:lineRule="auto"/>
        <w:jc w:val="both"/>
        <w:rPr>
          <w:rFonts w:ascii="Palatino Linotype" w:eastAsia="Calibri" w:hAnsi="Palatino Linotype" w:cs="Tahoma"/>
          <w:bCs/>
          <w:sz w:val="22"/>
          <w:szCs w:val="22"/>
        </w:rPr>
      </w:pPr>
    </w:p>
    <w:p w14:paraId="5BC7F67A" w14:textId="77777777" w:rsidR="00637D6C" w:rsidRDefault="00637D6C" w:rsidP="00637D6C">
      <w:pPr>
        <w:tabs>
          <w:tab w:val="left" w:pos="4962"/>
        </w:tabs>
        <w:spacing w:line="360" w:lineRule="auto"/>
        <w:jc w:val="both"/>
        <w:rPr>
          <w:rFonts w:ascii="Palatino Linotype" w:eastAsia="Calibri" w:hAnsi="Palatino Linotype" w:cs="Tahoma"/>
          <w:bCs/>
          <w:sz w:val="22"/>
          <w:szCs w:val="22"/>
        </w:rPr>
      </w:pPr>
      <w:r w:rsidRPr="008B12BE">
        <w:rPr>
          <w:rFonts w:ascii="Palatino Linotype" w:eastAsia="Calibri" w:hAnsi="Palatino Linotype" w:cs="Tahoma"/>
          <w:bCs/>
          <w:sz w:val="22"/>
          <w:szCs w:val="22"/>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1FBE76AE" w14:textId="77777777" w:rsidR="00A23783" w:rsidRPr="00050F20" w:rsidRDefault="00A23783" w:rsidP="00A71FB8">
      <w:pPr>
        <w:spacing w:line="360" w:lineRule="auto"/>
        <w:contextualSpacing/>
        <w:jc w:val="both"/>
        <w:rPr>
          <w:rFonts w:ascii="Palatino Linotype" w:eastAsia="Calibri" w:hAnsi="Palatino Linotype"/>
          <w:color w:val="000000"/>
          <w:sz w:val="22"/>
          <w:szCs w:val="22"/>
        </w:rPr>
      </w:pPr>
    </w:p>
    <w:p w14:paraId="68DBA1FD" w14:textId="77777777" w:rsidR="00A23783" w:rsidRPr="00050F20" w:rsidRDefault="00A23783" w:rsidP="00A71FB8">
      <w:pPr>
        <w:spacing w:line="360" w:lineRule="auto"/>
        <w:contextualSpacing/>
        <w:jc w:val="both"/>
        <w:rPr>
          <w:rFonts w:ascii="Palatino Linotype" w:eastAsia="Calibri" w:hAnsi="Palatino Linotype" w:cs="Tahoma"/>
          <w:iCs/>
          <w:color w:val="000000"/>
          <w:sz w:val="22"/>
          <w:szCs w:val="22"/>
        </w:rPr>
      </w:pPr>
      <w:r w:rsidRPr="00050F20">
        <w:rPr>
          <w:rFonts w:ascii="Palatino Linotype" w:eastAsia="Calibri" w:hAnsi="Palatino Linotype" w:cs="Tahoma"/>
          <w:color w:val="000000"/>
          <w:sz w:val="22"/>
          <w:szCs w:val="22"/>
          <w:lang w:val="es-ES"/>
        </w:rPr>
        <w:t xml:space="preserve">Así mismo, el artículo 92, fracción XXIX, de la Ley de Transparencia y Acceso a la Información Pública del Estado de México y Municipios, </w:t>
      </w:r>
      <w:r w:rsidRPr="00050F20">
        <w:rPr>
          <w:rFonts w:ascii="Palatino Linotype" w:eastAsia="Calibri" w:hAnsi="Palatino Linotype" w:cs="Tahoma"/>
          <w:iCs/>
          <w:color w:val="000000"/>
          <w:sz w:val="22"/>
          <w:szCs w:val="22"/>
        </w:rPr>
        <w:t xml:space="preserve">precisa que es </w:t>
      </w:r>
      <w:r w:rsidRPr="00050F20">
        <w:rPr>
          <w:rFonts w:ascii="Palatino Linotype" w:eastAsia="Calibri" w:hAnsi="Palatino Linotype" w:cs="Tahoma"/>
          <w:b/>
          <w:iCs/>
          <w:color w:val="000000"/>
          <w:sz w:val="22"/>
          <w:szCs w:val="22"/>
        </w:rPr>
        <w:t xml:space="preserve">información que es pública de oficio, </w:t>
      </w:r>
      <w:r w:rsidRPr="00050F20">
        <w:rPr>
          <w:rFonts w:ascii="Palatino Linotype" w:eastAsia="Calibri" w:hAnsi="Palatino Linotype" w:cs="Tahoma"/>
          <w:iCs/>
          <w:color w:val="000000"/>
          <w:sz w:val="22"/>
          <w:szCs w:val="22"/>
        </w:rPr>
        <w:t>la</w:t>
      </w:r>
      <w:r w:rsidRPr="00050F20">
        <w:rPr>
          <w:rFonts w:ascii="Palatino Linotype" w:eastAsia="Calibri" w:hAnsi="Palatino Linotype" w:cs="Tahoma"/>
          <w:b/>
          <w:iCs/>
          <w:color w:val="000000"/>
          <w:sz w:val="22"/>
          <w:szCs w:val="22"/>
        </w:rPr>
        <w:t xml:space="preserve"> </w:t>
      </w:r>
      <w:r w:rsidRPr="00050F20">
        <w:rPr>
          <w:rFonts w:ascii="Palatino Linotype" w:eastAsia="Calibri" w:hAnsi="Palatino Linotype" w:cs="Tahoma"/>
          <w:iCs/>
          <w:color w:val="000000"/>
          <w:sz w:val="22"/>
          <w:szCs w:val="22"/>
        </w:rPr>
        <w:t xml:space="preserve">documentación sobre los procesos y resultados sobre procedimientos de adjudicación directa, invitación restringida y licitación de pública, </w:t>
      </w:r>
      <w:r w:rsidRPr="00050F20">
        <w:rPr>
          <w:rFonts w:ascii="Palatino Linotype" w:eastAsia="Calibri" w:hAnsi="Palatino Linotype" w:cs="Tahoma"/>
          <w:b/>
          <w:iCs/>
          <w:color w:val="000000"/>
          <w:sz w:val="22"/>
          <w:szCs w:val="22"/>
        </w:rPr>
        <w:t>que incluye la versión pública del expediente respectivo y de los contratos celebrados,</w:t>
      </w:r>
      <w:r w:rsidRPr="00050F20">
        <w:rPr>
          <w:rFonts w:ascii="Palatino Linotype" w:eastAsia="Calibri" w:hAnsi="Palatino Linotype" w:cs="Tahoma"/>
          <w:iCs/>
          <w:color w:val="000000"/>
          <w:sz w:val="22"/>
          <w:szCs w:val="22"/>
        </w:rPr>
        <w:t xml:space="preserve"> a saber, la siguiente:</w:t>
      </w:r>
    </w:p>
    <w:tbl>
      <w:tblPr>
        <w:tblStyle w:val="Tablaconcuadrcula1"/>
        <w:tblW w:w="0" w:type="auto"/>
        <w:tblInd w:w="0" w:type="dxa"/>
        <w:tblLook w:val="04A0" w:firstRow="1" w:lastRow="0" w:firstColumn="1" w:lastColumn="0" w:noHBand="0" w:noVBand="1"/>
      </w:tblPr>
      <w:tblGrid>
        <w:gridCol w:w="2943"/>
        <w:gridCol w:w="2942"/>
        <w:gridCol w:w="2943"/>
      </w:tblGrid>
      <w:tr w:rsidR="00A23783" w:rsidRPr="00050F20" w14:paraId="2EE34350" w14:textId="77777777" w:rsidTr="00637D6C">
        <w:tc>
          <w:tcPr>
            <w:tcW w:w="2943" w:type="dxa"/>
            <w:tcBorders>
              <w:top w:val="single" w:sz="4" w:space="0" w:color="auto"/>
              <w:left w:val="single" w:sz="4" w:space="0" w:color="auto"/>
              <w:bottom w:val="single" w:sz="4" w:space="0" w:color="auto"/>
              <w:right w:val="single" w:sz="4" w:space="0" w:color="auto"/>
            </w:tcBorders>
            <w:shd w:val="clear" w:color="auto" w:fill="D9D9D9"/>
            <w:hideMark/>
          </w:tcPr>
          <w:p w14:paraId="2047E700" w14:textId="77777777" w:rsidR="00A23783" w:rsidRPr="00050F20" w:rsidRDefault="00A23783" w:rsidP="00A71FB8">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lastRenderedPageBreak/>
              <w:t>Licitación Pública</w:t>
            </w:r>
          </w:p>
        </w:tc>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0175ABBE" w14:textId="77777777" w:rsidR="00A23783" w:rsidRPr="00050F20" w:rsidRDefault="00A23783" w:rsidP="00A71FB8">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t>Invitación Restringida</w:t>
            </w:r>
          </w:p>
        </w:tc>
        <w:tc>
          <w:tcPr>
            <w:tcW w:w="2943" w:type="dxa"/>
            <w:tcBorders>
              <w:top w:val="single" w:sz="4" w:space="0" w:color="auto"/>
              <w:left w:val="single" w:sz="4" w:space="0" w:color="auto"/>
              <w:bottom w:val="single" w:sz="4" w:space="0" w:color="auto"/>
              <w:right w:val="single" w:sz="4" w:space="0" w:color="auto"/>
            </w:tcBorders>
            <w:shd w:val="clear" w:color="auto" w:fill="D9D9D9"/>
            <w:hideMark/>
          </w:tcPr>
          <w:p w14:paraId="1A4A491B" w14:textId="77777777" w:rsidR="00A23783" w:rsidRPr="00050F20" w:rsidRDefault="00A23783" w:rsidP="00A71FB8">
            <w:pPr>
              <w:spacing w:line="360" w:lineRule="auto"/>
              <w:ind w:right="-93"/>
              <w:contextualSpacing/>
              <w:jc w:val="both"/>
              <w:rPr>
                <w:rFonts w:ascii="Palatino Linotype" w:hAnsi="Palatino Linotype" w:cs="Tahoma"/>
                <w:b/>
                <w:iCs/>
                <w:color w:val="000000"/>
                <w:lang w:eastAsia="es-ES_tradnl"/>
              </w:rPr>
            </w:pPr>
            <w:r w:rsidRPr="00050F20">
              <w:rPr>
                <w:rFonts w:ascii="Palatino Linotype" w:hAnsi="Palatino Linotype" w:cs="Tahoma"/>
                <w:b/>
                <w:iCs/>
                <w:color w:val="000000"/>
                <w:lang w:eastAsia="es-ES_tradnl"/>
              </w:rPr>
              <w:t>Adjudicación Directa</w:t>
            </w:r>
          </w:p>
        </w:tc>
      </w:tr>
      <w:tr w:rsidR="00A23783" w:rsidRPr="00050F20" w14:paraId="420E24B0"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5F9A235F"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Convocatoria y fundamentos legales</w:t>
            </w:r>
          </w:p>
        </w:tc>
        <w:tc>
          <w:tcPr>
            <w:tcW w:w="2942" w:type="dxa"/>
            <w:tcBorders>
              <w:top w:val="single" w:sz="4" w:space="0" w:color="auto"/>
              <w:left w:val="single" w:sz="4" w:space="0" w:color="auto"/>
              <w:bottom w:val="single" w:sz="4" w:space="0" w:color="auto"/>
              <w:right w:val="single" w:sz="4" w:space="0" w:color="auto"/>
            </w:tcBorders>
            <w:hideMark/>
          </w:tcPr>
          <w:p w14:paraId="374BEAC3"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Invitación y fundamentos legales</w:t>
            </w:r>
          </w:p>
        </w:tc>
        <w:tc>
          <w:tcPr>
            <w:tcW w:w="2943" w:type="dxa"/>
            <w:tcBorders>
              <w:top w:val="single" w:sz="4" w:space="0" w:color="auto"/>
              <w:left w:val="single" w:sz="4" w:space="0" w:color="auto"/>
              <w:bottom w:val="single" w:sz="4" w:space="0" w:color="auto"/>
              <w:right w:val="single" w:sz="4" w:space="0" w:color="auto"/>
            </w:tcBorders>
            <w:hideMark/>
          </w:tcPr>
          <w:p w14:paraId="767A0491"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Propuesta enviada por el participante</w:t>
            </w:r>
          </w:p>
        </w:tc>
      </w:tr>
      <w:tr w:rsidR="00A23783" w:rsidRPr="00050F20" w14:paraId="253F017C"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33A25113"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los participantes</w:t>
            </w:r>
          </w:p>
        </w:tc>
        <w:tc>
          <w:tcPr>
            <w:tcW w:w="2942" w:type="dxa"/>
            <w:tcBorders>
              <w:top w:val="single" w:sz="4" w:space="0" w:color="auto"/>
              <w:left w:val="single" w:sz="4" w:space="0" w:color="auto"/>
              <w:bottom w:val="single" w:sz="4" w:space="0" w:color="auto"/>
              <w:right w:val="single" w:sz="4" w:space="0" w:color="auto"/>
            </w:tcBorders>
            <w:hideMark/>
          </w:tcPr>
          <w:p w14:paraId="750D174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los invitados</w:t>
            </w:r>
          </w:p>
        </w:tc>
        <w:tc>
          <w:tcPr>
            <w:tcW w:w="2943" w:type="dxa"/>
            <w:tcBorders>
              <w:top w:val="single" w:sz="4" w:space="0" w:color="auto"/>
              <w:left w:val="single" w:sz="4" w:space="0" w:color="auto"/>
              <w:bottom w:val="single" w:sz="4" w:space="0" w:color="auto"/>
              <w:right w:val="single" w:sz="4" w:space="0" w:color="auto"/>
            </w:tcBorders>
            <w:hideMark/>
          </w:tcPr>
          <w:p w14:paraId="1242BC50"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Motivos y fundamentos legales aplicados para llevar a cabo la adjudicación</w:t>
            </w:r>
          </w:p>
        </w:tc>
      </w:tr>
      <w:tr w:rsidR="00A23783" w:rsidRPr="00050F20" w14:paraId="5C166796"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7D28C344"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del ganador y razones que lo justifican</w:t>
            </w:r>
          </w:p>
        </w:tc>
        <w:tc>
          <w:tcPr>
            <w:tcW w:w="2942" w:type="dxa"/>
            <w:tcBorders>
              <w:top w:val="single" w:sz="4" w:space="0" w:color="auto"/>
              <w:left w:val="single" w:sz="4" w:space="0" w:color="auto"/>
              <w:bottom w:val="single" w:sz="4" w:space="0" w:color="auto"/>
              <w:right w:val="single" w:sz="4" w:space="0" w:color="auto"/>
            </w:tcBorders>
            <w:hideMark/>
          </w:tcPr>
          <w:p w14:paraId="1FD80403"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del ganador y razones que lo justifican</w:t>
            </w:r>
          </w:p>
        </w:tc>
        <w:tc>
          <w:tcPr>
            <w:tcW w:w="2943" w:type="dxa"/>
            <w:tcBorders>
              <w:top w:val="single" w:sz="4" w:space="0" w:color="auto"/>
              <w:left w:val="single" w:sz="4" w:space="0" w:color="auto"/>
              <w:bottom w:val="single" w:sz="4" w:space="0" w:color="auto"/>
              <w:right w:val="single" w:sz="4" w:space="0" w:color="auto"/>
            </w:tcBorders>
            <w:hideMark/>
          </w:tcPr>
          <w:p w14:paraId="3D1EA7C1"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Autorización del ejercicio de la opción</w:t>
            </w:r>
          </w:p>
        </w:tc>
      </w:tr>
      <w:tr w:rsidR="00A23783" w:rsidRPr="00050F20" w14:paraId="120F88C8"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6290C27A"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c>
          <w:tcPr>
            <w:tcW w:w="2942" w:type="dxa"/>
            <w:tcBorders>
              <w:top w:val="single" w:sz="4" w:space="0" w:color="auto"/>
              <w:left w:val="single" w:sz="4" w:space="0" w:color="auto"/>
              <w:bottom w:val="single" w:sz="4" w:space="0" w:color="auto"/>
              <w:right w:val="single" w:sz="4" w:space="0" w:color="auto"/>
            </w:tcBorders>
            <w:hideMark/>
          </w:tcPr>
          <w:p w14:paraId="6681AC1E"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c>
          <w:tcPr>
            <w:tcW w:w="2943" w:type="dxa"/>
            <w:tcBorders>
              <w:top w:val="single" w:sz="4" w:space="0" w:color="auto"/>
              <w:left w:val="single" w:sz="4" w:space="0" w:color="auto"/>
              <w:bottom w:val="single" w:sz="4" w:space="0" w:color="auto"/>
              <w:right w:val="single" w:sz="4" w:space="0" w:color="auto"/>
            </w:tcBorders>
            <w:hideMark/>
          </w:tcPr>
          <w:p w14:paraId="17B4E70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Cotizaciones consideradas, especificando el nombre de los proveedores y sus montos</w:t>
            </w:r>
          </w:p>
        </w:tc>
      </w:tr>
      <w:tr w:rsidR="00A23783" w:rsidRPr="00050F20" w14:paraId="32ED793A"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78FF0B9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Convocatorias emitidas</w:t>
            </w:r>
          </w:p>
        </w:tc>
        <w:tc>
          <w:tcPr>
            <w:tcW w:w="2942" w:type="dxa"/>
            <w:tcBorders>
              <w:top w:val="single" w:sz="4" w:space="0" w:color="auto"/>
              <w:left w:val="single" w:sz="4" w:space="0" w:color="auto"/>
              <w:bottom w:val="single" w:sz="4" w:space="0" w:color="auto"/>
              <w:right w:val="single" w:sz="4" w:space="0" w:color="auto"/>
            </w:tcBorders>
            <w:hideMark/>
          </w:tcPr>
          <w:p w14:paraId="6B6C7CC4"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Invitaciones emitidas</w:t>
            </w:r>
          </w:p>
        </w:tc>
        <w:tc>
          <w:tcPr>
            <w:tcW w:w="2943" w:type="dxa"/>
            <w:tcBorders>
              <w:top w:val="single" w:sz="4" w:space="0" w:color="auto"/>
              <w:left w:val="single" w:sz="4" w:space="0" w:color="auto"/>
              <w:bottom w:val="single" w:sz="4" w:space="0" w:color="auto"/>
              <w:right w:val="single" w:sz="4" w:space="0" w:color="auto"/>
            </w:tcBorders>
            <w:hideMark/>
          </w:tcPr>
          <w:p w14:paraId="3BFB4E09"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Nombre de la persona física o jurídica colectiva adjudicada</w:t>
            </w:r>
          </w:p>
        </w:tc>
      </w:tr>
      <w:tr w:rsidR="00A23783" w:rsidRPr="00050F20" w14:paraId="1AB92855"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5B506442"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Dictámenes y fallos</w:t>
            </w:r>
          </w:p>
        </w:tc>
        <w:tc>
          <w:tcPr>
            <w:tcW w:w="2942" w:type="dxa"/>
            <w:tcBorders>
              <w:top w:val="single" w:sz="4" w:space="0" w:color="auto"/>
              <w:left w:val="single" w:sz="4" w:space="0" w:color="auto"/>
              <w:bottom w:val="single" w:sz="4" w:space="0" w:color="auto"/>
              <w:right w:val="single" w:sz="4" w:space="0" w:color="auto"/>
            </w:tcBorders>
            <w:hideMark/>
          </w:tcPr>
          <w:p w14:paraId="36232F0A"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Dictámenes y fallos</w:t>
            </w:r>
          </w:p>
        </w:tc>
        <w:tc>
          <w:tcPr>
            <w:tcW w:w="2943" w:type="dxa"/>
            <w:tcBorders>
              <w:top w:val="single" w:sz="4" w:space="0" w:color="auto"/>
              <w:left w:val="single" w:sz="4" w:space="0" w:color="auto"/>
              <w:bottom w:val="single" w:sz="4" w:space="0" w:color="auto"/>
              <w:right w:val="single" w:sz="4" w:space="0" w:color="auto"/>
            </w:tcBorders>
            <w:hideMark/>
          </w:tcPr>
          <w:p w14:paraId="7ED05E28"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unidad administrativa solicitante y responsable de la ejecución</w:t>
            </w:r>
          </w:p>
        </w:tc>
      </w:tr>
      <w:tr w:rsidR="00A23783" w:rsidRPr="00050F20" w14:paraId="4637A219"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4C4D0BD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Contrato y anexos</w:t>
            </w:r>
          </w:p>
        </w:tc>
        <w:tc>
          <w:tcPr>
            <w:tcW w:w="2942" w:type="dxa"/>
            <w:tcBorders>
              <w:top w:val="single" w:sz="4" w:space="0" w:color="auto"/>
              <w:left w:val="single" w:sz="4" w:space="0" w:color="auto"/>
              <w:bottom w:val="single" w:sz="4" w:space="0" w:color="auto"/>
              <w:right w:val="single" w:sz="4" w:space="0" w:color="auto"/>
            </w:tcBorders>
            <w:hideMark/>
          </w:tcPr>
          <w:p w14:paraId="42CBEB1B"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Contrato y anexos</w:t>
            </w:r>
          </w:p>
        </w:tc>
        <w:tc>
          <w:tcPr>
            <w:tcW w:w="2943" w:type="dxa"/>
            <w:tcBorders>
              <w:top w:val="single" w:sz="4" w:space="0" w:color="auto"/>
              <w:left w:val="single" w:sz="4" w:space="0" w:color="auto"/>
              <w:bottom w:val="single" w:sz="4" w:space="0" w:color="auto"/>
              <w:right w:val="single" w:sz="4" w:space="0" w:color="auto"/>
            </w:tcBorders>
            <w:hideMark/>
          </w:tcPr>
          <w:p w14:paraId="240746E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Número, fecha, monto del contrato, el plazo de entrega o de ejecución de los servicios de obra.</w:t>
            </w:r>
          </w:p>
        </w:tc>
      </w:tr>
      <w:tr w:rsidR="00A23783" w:rsidRPr="00050F20" w14:paraId="595041F4"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5F5269EE"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Los mecanismos de vigilancia y supervisión</w:t>
            </w:r>
          </w:p>
        </w:tc>
        <w:tc>
          <w:tcPr>
            <w:tcW w:w="2942" w:type="dxa"/>
            <w:tcBorders>
              <w:top w:val="single" w:sz="4" w:space="0" w:color="auto"/>
              <w:left w:val="single" w:sz="4" w:space="0" w:color="auto"/>
              <w:bottom w:val="single" w:sz="4" w:space="0" w:color="auto"/>
              <w:right w:val="single" w:sz="4" w:space="0" w:color="auto"/>
            </w:tcBorders>
            <w:hideMark/>
          </w:tcPr>
          <w:p w14:paraId="77B6A8EC"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Los mecanismos de vigilancia y supervisión</w:t>
            </w:r>
          </w:p>
        </w:tc>
        <w:tc>
          <w:tcPr>
            <w:tcW w:w="2943" w:type="dxa"/>
            <w:tcBorders>
              <w:top w:val="single" w:sz="4" w:space="0" w:color="auto"/>
              <w:left w:val="single" w:sz="4" w:space="0" w:color="auto"/>
              <w:bottom w:val="single" w:sz="4" w:space="0" w:color="auto"/>
              <w:right w:val="single" w:sz="4" w:space="0" w:color="auto"/>
            </w:tcBorders>
            <w:hideMark/>
          </w:tcPr>
          <w:p w14:paraId="357B614B"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Los mecanismos de vigilancia y supervisión</w:t>
            </w:r>
          </w:p>
        </w:tc>
      </w:tr>
      <w:tr w:rsidR="00A23783" w:rsidRPr="00050F20" w14:paraId="3675173C"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76FF00F5"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partida presupuestal</w:t>
            </w:r>
          </w:p>
        </w:tc>
        <w:tc>
          <w:tcPr>
            <w:tcW w:w="2942" w:type="dxa"/>
            <w:tcBorders>
              <w:top w:val="single" w:sz="4" w:space="0" w:color="auto"/>
              <w:left w:val="single" w:sz="4" w:space="0" w:color="auto"/>
              <w:bottom w:val="single" w:sz="4" w:space="0" w:color="auto"/>
              <w:right w:val="single" w:sz="4" w:space="0" w:color="auto"/>
            </w:tcBorders>
            <w:hideMark/>
          </w:tcPr>
          <w:p w14:paraId="2FD4B69C"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La partida presupuestal</w:t>
            </w:r>
          </w:p>
        </w:tc>
        <w:tc>
          <w:tcPr>
            <w:tcW w:w="2943" w:type="dxa"/>
            <w:tcBorders>
              <w:top w:val="single" w:sz="4" w:space="0" w:color="auto"/>
              <w:left w:val="single" w:sz="4" w:space="0" w:color="auto"/>
              <w:bottom w:val="single" w:sz="4" w:space="0" w:color="auto"/>
              <w:right w:val="single" w:sz="4" w:space="0" w:color="auto"/>
            </w:tcBorders>
            <w:hideMark/>
          </w:tcPr>
          <w:p w14:paraId="0E6E3F0A"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Informes de avances físicos y financieros</w:t>
            </w:r>
          </w:p>
        </w:tc>
      </w:tr>
      <w:tr w:rsidR="00A23783" w:rsidRPr="00050F20" w14:paraId="06BD3E19"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45091FE7"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Origen de los recursos, así como el tipo de fondo de participación o aportación respectiva</w:t>
            </w:r>
          </w:p>
        </w:tc>
        <w:tc>
          <w:tcPr>
            <w:tcW w:w="2942" w:type="dxa"/>
            <w:tcBorders>
              <w:top w:val="single" w:sz="4" w:space="0" w:color="auto"/>
              <w:left w:val="single" w:sz="4" w:space="0" w:color="auto"/>
              <w:bottom w:val="single" w:sz="4" w:space="0" w:color="auto"/>
              <w:right w:val="single" w:sz="4" w:space="0" w:color="auto"/>
            </w:tcBorders>
            <w:hideMark/>
          </w:tcPr>
          <w:p w14:paraId="0A19C939"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Origen de los recursos, así como el tipo de fondo de participación o aportación respectiva</w:t>
            </w:r>
          </w:p>
        </w:tc>
        <w:tc>
          <w:tcPr>
            <w:tcW w:w="2943" w:type="dxa"/>
            <w:tcBorders>
              <w:top w:val="single" w:sz="4" w:space="0" w:color="auto"/>
              <w:left w:val="single" w:sz="4" w:space="0" w:color="auto"/>
              <w:bottom w:val="single" w:sz="4" w:space="0" w:color="auto"/>
              <w:right w:val="single" w:sz="4" w:space="0" w:color="auto"/>
            </w:tcBorders>
            <w:hideMark/>
          </w:tcPr>
          <w:p w14:paraId="1A493D31"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 de terminación</w:t>
            </w:r>
          </w:p>
        </w:tc>
      </w:tr>
      <w:tr w:rsidR="00A23783" w:rsidRPr="00050F20" w14:paraId="7982C2FF"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2503E88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Convenios modificatorios</w:t>
            </w:r>
          </w:p>
        </w:tc>
        <w:tc>
          <w:tcPr>
            <w:tcW w:w="2942" w:type="dxa"/>
            <w:tcBorders>
              <w:top w:val="single" w:sz="4" w:space="0" w:color="auto"/>
              <w:left w:val="single" w:sz="4" w:space="0" w:color="auto"/>
              <w:bottom w:val="single" w:sz="4" w:space="0" w:color="auto"/>
              <w:right w:val="single" w:sz="4" w:space="0" w:color="auto"/>
            </w:tcBorders>
            <w:hideMark/>
          </w:tcPr>
          <w:p w14:paraId="21FC334D"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Convenios modificatorios</w:t>
            </w:r>
          </w:p>
        </w:tc>
        <w:tc>
          <w:tcPr>
            <w:tcW w:w="2943" w:type="dxa"/>
            <w:tcBorders>
              <w:top w:val="single" w:sz="4" w:space="0" w:color="auto"/>
              <w:left w:val="single" w:sz="4" w:space="0" w:color="auto"/>
              <w:bottom w:val="single" w:sz="4" w:space="0" w:color="auto"/>
              <w:right w:val="single" w:sz="4" w:space="0" w:color="auto"/>
            </w:tcBorders>
            <w:hideMark/>
          </w:tcPr>
          <w:p w14:paraId="6348C38C"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r w:rsidRPr="00050F20">
              <w:rPr>
                <w:rFonts w:ascii="Palatino Linotype" w:hAnsi="Palatino Linotype" w:cs="Tahoma"/>
                <w:iCs/>
                <w:color w:val="000000"/>
                <w:lang w:eastAsia="es-ES_tradnl"/>
              </w:rPr>
              <w:t>Finiquito</w:t>
            </w:r>
          </w:p>
        </w:tc>
      </w:tr>
      <w:tr w:rsidR="00A23783" w:rsidRPr="00050F20" w14:paraId="7AA38E7B"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287FBB7B"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lastRenderedPageBreak/>
              <w:t>Informes de avances físicos y financieros</w:t>
            </w:r>
          </w:p>
        </w:tc>
        <w:tc>
          <w:tcPr>
            <w:tcW w:w="2942" w:type="dxa"/>
            <w:tcBorders>
              <w:top w:val="single" w:sz="4" w:space="0" w:color="auto"/>
              <w:left w:val="single" w:sz="4" w:space="0" w:color="auto"/>
              <w:bottom w:val="single" w:sz="4" w:space="0" w:color="auto"/>
              <w:right w:val="single" w:sz="4" w:space="0" w:color="auto"/>
            </w:tcBorders>
            <w:hideMark/>
          </w:tcPr>
          <w:p w14:paraId="4748277D"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Informes de avances físicos y financieros</w:t>
            </w:r>
          </w:p>
        </w:tc>
        <w:tc>
          <w:tcPr>
            <w:tcW w:w="2943" w:type="dxa"/>
            <w:tcBorders>
              <w:top w:val="single" w:sz="4" w:space="0" w:color="auto"/>
              <w:left w:val="single" w:sz="4" w:space="0" w:color="auto"/>
              <w:bottom w:val="single" w:sz="4" w:space="0" w:color="auto"/>
              <w:right w:val="single" w:sz="4" w:space="0" w:color="auto"/>
            </w:tcBorders>
          </w:tcPr>
          <w:p w14:paraId="361FBD07"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p>
        </w:tc>
      </w:tr>
      <w:tr w:rsidR="00A23783" w:rsidRPr="00050F20" w14:paraId="68D266ED"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6F9DF5D3"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Convenio de terminación</w:t>
            </w:r>
          </w:p>
        </w:tc>
        <w:tc>
          <w:tcPr>
            <w:tcW w:w="2942" w:type="dxa"/>
            <w:tcBorders>
              <w:top w:val="single" w:sz="4" w:space="0" w:color="auto"/>
              <w:left w:val="single" w:sz="4" w:space="0" w:color="auto"/>
              <w:bottom w:val="single" w:sz="4" w:space="0" w:color="auto"/>
              <w:right w:val="single" w:sz="4" w:space="0" w:color="auto"/>
            </w:tcBorders>
            <w:hideMark/>
          </w:tcPr>
          <w:p w14:paraId="19EC8449"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Convenio de terminación</w:t>
            </w:r>
          </w:p>
        </w:tc>
        <w:tc>
          <w:tcPr>
            <w:tcW w:w="2943" w:type="dxa"/>
            <w:tcBorders>
              <w:top w:val="single" w:sz="4" w:space="0" w:color="auto"/>
              <w:left w:val="single" w:sz="4" w:space="0" w:color="auto"/>
              <w:bottom w:val="single" w:sz="4" w:space="0" w:color="auto"/>
              <w:right w:val="single" w:sz="4" w:space="0" w:color="auto"/>
            </w:tcBorders>
          </w:tcPr>
          <w:p w14:paraId="219B95E6"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p>
        </w:tc>
      </w:tr>
      <w:tr w:rsidR="00A23783" w:rsidRPr="00050F20" w14:paraId="61299EC6" w14:textId="77777777" w:rsidTr="00637D6C">
        <w:tc>
          <w:tcPr>
            <w:tcW w:w="2943" w:type="dxa"/>
            <w:tcBorders>
              <w:top w:val="single" w:sz="4" w:space="0" w:color="auto"/>
              <w:left w:val="single" w:sz="4" w:space="0" w:color="auto"/>
              <w:bottom w:val="single" w:sz="4" w:space="0" w:color="auto"/>
              <w:right w:val="single" w:sz="4" w:space="0" w:color="auto"/>
            </w:tcBorders>
            <w:hideMark/>
          </w:tcPr>
          <w:p w14:paraId="6AC39226"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Finiquito</w:t>
            </w:r>
          </w:p>
        </w:tc>
        <w:tc>
          <w:tcPr>
            <w:tcW w:w="2942" w:type="dxa"/>
            <w:tcBorders>
              <w:top w:val="single" w:sz="4" w:space="0" w:color="auto"/>
              <w:left w:val="single" w:sz="4" w:space="0" w:color="auto"/>
              <w:bottom w:val="single" w:sz="4" w:space="0" w:color="auto"/>
              <w:right w:val="single" w:sz="4" w:space="0" w:color="auto"/>
            </w:tcBorders>
            <w:hideMark/>
          </w:tcPr>
          <w:p w14:paraId="6BCAA5E7" w14:textId="77777777" w:rsidR="00A23783" w:rsidRPr="00050F20" w:rsidRDefault="00A23783" w:rsidP="00A71FB8">
            <w:pPr>
              <w:spacing w:line="360" w:lineRule="auto"/>
              <w:ind w:right="-93"/>
              <w:contextualSpacing/>
              <w:jc w:val="both"/>
              <w:rPr>
                <w:rFonts w:ascii="Palatino Linotype" w:hAnsi="Palatino Linotype" w:cs="Tahoma"/>
                <w:bCs/>
                <w:iCs/>
                <w:color w:val="000000"/>
                <w:lang w:eastAsia="es-ES_tradnl"/>
              </w:rPr>
            </w:pPr>
            <w:r w:rsidRPr="00050F20">
              <w:rPr>
                <w:rFonts w:ascii="Palatino Linotype" w:hAnsi="Palatino Linotype" w:cs="Tahoma"/>
                <w:bCs/>
                <w:iCs/>
                <w:color w:val="000000"/>
                <w:lang w:eastAsia="es-ES_tradnl"/>
              </w:rPr>
              <w:t>Finiquito</w:t>
            </w:r>
          </w:p>
        </w:tc>
        <w:tc>
          <w:tcPr>
            <w:tcW w:w="2943" w:type="dxa"/>
            <w:tcBorders>
              <w:top w:val="single" w:sz="4" w:space="0" w:color="auto"/>
              <w:left w:val="single" w:sz="4" w:space="0" w:color="auto"/>
              <w:bottom w:val="single" w:sz="4" w:space="0" w:color="auto"/>
              <w:right w:val="single" w:sz="4" w:space="0" w:color="auto"/>
            </w:tcBorders>
          </w:tcPr>
          <w:p w14:paraId="584B708C" w14:textId="77777777" w:rsidR="00A23783" w:rsidRPr="00050F20" w:rsidRDefault="00A23783" w:rsidP="00A71FB8">
            <w:pPr>
              <w:spacing w:line="360" w:lineRule="auto"/>
              <w:ind w:right="-93"/>
              <w:contextualSpacing/>
              <w:jc w:val="both"/>
              <w:rPr>
                <w:rFonts w:ascii="Palatino Linotype" w:hAnsi="Palatino Linotype" w:cs="Tahoma"/>
                <w:iCs/>
                <w:color w:val="000000"/>
                <w:lang w:eastAsia="es-ES_tradnl"/>
              </w:rPr>
            </w:pPr>
          </w:p>
        </w:tc>
      </w:tr>
    </w:tbl>
    <w:p w14:paraId="0B38F5FD" w14:textId="77777777" w:rsidR="005C484F" w:rsidRPr="005C484F" w:rsidRDefault="005C484F" w:rsidP="00A71FB8">
      <w:pPr>
        <w:spacing w:line="360" w:lineRule="auto"/>
        <w:contextualSpacing/>
        <w:jc w:val="both"/>
        <w:rPr>
          <w:rFonts w:ascii="Palatino Linotype" w:hAnsi="Palatino Linotype"/>
          <w:bCs/>
          <w:sz w:val="22"/>
          <w:szCs w:val="22"/>
        </w:rPr>
      </w:pPr>
    </w:p>
    <w:p w14:paraId="0E7B0FC7" w14:textId="1B2D7343" w:rsidR="001C0810" w:rsidRDefault="00163CC5" w:rsidP="00A71FB8">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En ese contexto, el artículo 8º del Reglamento del Libro Décimo Segundo del Código </w:t>
      </w:r>
      <w:proofErr w:type="spellStart"/>
      <w:r>
        <w:rPr>
          <w:rFonts w:ascii="Palatino Linotype" w:eastAsia="Palatino Linotype" w:hAnsi="Palatino Linotype" w:cs="Palatino Linotype"/>
          <w:bCs/>
          <w:sz w:val="22"/>
          <w:szCs w:val="22"/>
        </w:rPr>
        <w:t>Adminsitrativo</w:t>
      </w:r>
      <w:proofErr w:type="spellEnd"/>
      <w:r>
        <w:rPr>
          <w:rFonts w:ascii="Palatino Linotype" w:eastAsia="Palatino Linotype" w:hAnsi="Palatino Linotype" w:cs="Palatino Linotype"/>
          <w:bCs/>
          <w:sz w:val="22"/>
          <w:szCs w:val="22"/>
        </w:rPr>
        <w:t xml:space="preserve"> del Estado de México, establece que los Ayuntamientos para realizar la planeación de obras públicas deberá realizar los análisis de factibilidad técnica, económica, social, ecológica, ambiental y, en su caso, los estudios costo beneficio.</w:t>
      </w:r>
    </w:p>
    <w:p w14:paraId="03C29B39" w14:textId="77777777" w:rsidR="00163CC5" w:rsidRDefault="00163CC5" w:rsidP="00A71FB8">
      <w:pPr>
        <w:widowControl w:val="0"/>
        <w:spacing w:line="360" w:lineRule="auto"/>
        <w:contextualSpacing/>
        <w:jc w:val="both"/>
        <w:rPr>
          <w:rFonts w:ascii="Palatino Linotype" w:eastAsia="Palatino Linotype" w:hAnsi="Palatino Linotype" w:cs="Palatino Linotype"/>
          <w:bCs/>
          <w:sz w:val="22"/>
          <w:szCs w:val="22"/>
        </w:rPr>
      </w:pPr>
    </w:p>
    <w:p w14:paraId="0A94B18E" w14:textId="2B403442" w:rsidR="00163CC5" w:rsidRPr="00163CC5" w:rsidRDefault="00163CC5" w:rsidP="00163CC5">
      <w:pPr>
        <w:widowControl w:val="0"/>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Además, que conforme al Acuerdo del Secretario de Infraestructura por el que se Establece el </w:t>
      </w:r>
      <w:proofErr w:type="spellStart"/>
      <w:r>
        <w:rPr>
          <w:rFonts w:ascii="Palatino Linotype" w:eastAsia="Palatino Linotype" w:hAnsi="Palatino Linotype" w:cs="Palatino Linotype"/>
          <w:bCs/>
          <w:sz w:val="22"/>
          <w:szCs w:val="22"/>
        </w:rPr>
        <w:t>Indice</w:t>
      </w:r>
      <w:proofErr w:type="spellEnd"/>
      <w:r>
        <w:rPr>
          <w:rFonts w:ascii="Palatino Linotype" w:eastAsia="Palatino Linotype" w:hAnsi="Palatino Linotype" w:cs="Palatino Linotype"/>
          <w:bCs/>
          <w:sz w:val="22"/>
          <w:szCs w:val="22"/>
        </w:rPr>
        <w:t xml:space="preserve"> de Expediente Único de Obra Pública e Instructivos de Llenado en las Modalidades de Adjudicación Directa, Invitación </w:t>
      </w:r>
      <w:proofErr w:type="spellStart"/>
      <w:r>
        <w:rPr>
          <w:rFonts w:ascii="Palatino Linotype" w:eastAsia="Palatino Linotype" w:hAnsi="Palatino Linotype" w:cs="Palatino Linotype"/>
          <w:bCs/>
          <w:sz w:val="22"/>
          <w:szCs w:val="22"/>
        </w:rPr>
        <w:t>Restringidfa</w:t>
      </w:r>
      <w:proofErr w:type="spellEnd"/>
      <w:r>
        <w:rPr>
          <w:rFonts w:ascii="Palatino Linotype" w:eastAsia="Palatino Linotype" w:hAnsi="Palatino Linotype" w:cs="Palatino Linotype"/>
          <w:bCs/>
          <w:sz w:val="22"/>
          <w:szCs w:val="22"/>
        </w:rPr>
        <w:t xml:space="preserve"> y Licitación Pública, precisa que los Ayuntamientos deben de generar un Proyecto Ejecutivo que consiste en señalar la </w:t>
      </w:r>
      <w:r w:rsidRPr="00163CC5">
        <w:rPr>
          <w:rFonts w:ascii="Palatino Linotype" w:eastAsia="Palatino Linotype" w:hAnsi="Palatino Linotype" w:cs="Palatino Linotype"/>
          <w:bCs/>
          <w:sz w:val="22"/>
          <w:szCs w:val="22"/>
        </w:rPr>
        <w:t>ubicación física del proyecto ejecutivo, el cual lo integran los planos de proyectos</w:t>
      </w:r>
      <w:r>
        <w:rPr>
          <w:rFonts w:ascii="Palatino Linotype" w:eastAsia="Palatino Linotype" w:hAnsi="Palatino Linotype" w:cs="Palatino Linotype"/>
          <w:bCs/>
          <w:sz w:val="22"/>
          <w:szCs w:val="22"/>
        </w:rPr>
        <w:t xml:space="preserve"> </w:t>
      </w:r>
      <w:r w:rsidRPr="00163CC5">
        <w:rPr>
          <w:rFonts w:ascii="Palatino Linotype" w:eastAsia="Palatino Linotype" w:hAnsi="Palatino Linotype" w:cs="Palatino Linotype"/>
          <w:bCs/>
          <w:sz w:val="22"/>
          <w:szCs w:val="22"/>
        </w:rPr>
        <w:t>(arquitectónicos, estructurales, de detalle, secciones topográficas, levantamientos, catálogo de conceptos de</w:t>
      </w:r>
    </w:p>
    <w:p w14:paraId="5E345601" w14:textId="1893D796" w:rsidR="00163CC5" w:rsidRPr="00163CC5" w:rsidRDefault="00163CC5" w:rsidP="00163CC5">
      <w:pPr>
        <w:widowControl w:val="0"/>
        <w:spacing w:line="360" w:lineRule="auto"/>
        <w:contextualSpacing/>
        <w:jc w:val="both"/>
        <w:rPr>
          <w:rFonts w:ascii="Palatino Linotype" w:eastAsia="Palatino Linotype" w:hAnsi="Palatino Linotype" w:cs="Palatino Linotype"/>
          <w:b/>
          <w:sz w:val="22"/>
          <w:szCs w:val="22"/>
        </w:rPr>
      </w:pPr>
      <w:r w:rsidRPr="00163CC5">
        <w:rPr>
          <w:rFonts w:ascii="Palatino Linotype" w:eastAsia="Palatino Linotype" w:hAnsi="Palatino Linotype" w:cs="Palatino Linotype"/>
          <w:bCs/>
          <w:sz w:val="22"/>
          <w:szCs w:val="22"/>
        </w:rPr>
        <w:t>trabajo y cantidades de obra, normas y especificaciones generales y particulares de construcción y el</w:t>
      </w:r>
      <w:r>
        <w:rPr>
          <w:rFonts w:ascii="Palatino Linotype" w:eastAsia="Palatino Linotype" w:hAnsi="Palatino Linotype" w:cs="Palatino Linotype"/>
          <w:bCs/>
          <w:sz w:val="22"/>
          <w:szCs w:val="22"/>
        </w:rPr>
        <w:t xml:space="preserve"> </w:t>
      </w:r>
      <w:r w:rsidRPr="00163CC5">
        <w:rPr>
          <w:rFonts w:ascii="Palatino Linotype" w:eastAsia="Palatino Linotype" w:hAnsi="Palatino Linotype" w:cs="Palatino Linotype"/>
          <w:bCs/>
          <w:sz w:val="22"/>
          <w:szCs w:val="22"/>
        </w:rPr>
        <w:t>programa general de ejecución). Asimismo, se incluirán en este apartado los</w:t>
      </w:r>
      <w:r>
        <w:rPr>
          <w:rFonts w:ascii="Palatino Linotype" w:eastAsia="Palatino Linotype" w:hAnsi="Palatino Linotype" w:cs="Palatino Linotype"/>
          <w:bCs/>
          <w:sz w:val="22"/>
          <w:szCs w:val="22"/>
        </w:rPr>
        <w:t xml:space="preserve"> </w:t>
      </w:r>
      <w:r w:rsidRPr="00163CC5">
        <w:rPr>
          <w:rFonts w:ascii="Palatino Linotype" w:eastAsia="Palatino Linotype" w:hAnsi="Palatino Linotype" w:cs="Palatino Linotype"/>
          <w:bCs/>
          <w:sz w:val="22"/>
          <w:szCs w:val="22"/>
        </w:rPr>
        <w:t xml:space="preserve">estudios </w:t>
      </w:r>
      <w:r w:rsidRPr="00163CC5">
        <w:rPr>
          <w:rFonts w:ascii="Palatino Linotype" w:eastAsia="Palatino Linotype" w:hAnsi="Palatino Linotype" w:cs="Palatino Linotype"/>
          <w:b/>
          <w:sz w:val="22"/>
          <w:szCs w:val="22"/>
        </w:rPr>
        <w:t>preliminares y análisis de factibilidad de acuerdo a los estudios de costo beneficio.</w:t>
      </w:r>
    </w:p>
    <w:p w14:paraId="1A66109E" w14:textId="77777777" w:rsidR="00594F92" w:rsidRDefault="00594F92" w:rsidP="00A71FB8">
      <w:pPr>
        <w:widowControl w:val="0"/>
        <w:spacing w:line="360" w:lineRule="auto"/>
        <w:contextualSpacing/>
        <w:jc w:val="both"/>
        <w:rPr>
          <w:rFonts w:ascii="Palatino Linotype" w:eastAsia="Palatino Linotype" w:hAnsi="Palatino Linotype" w:cs="Palatino Linotype"/>
          <w:bCs/>
          <w:sz w:val="22"/>
          <w:szCs w:val="22"/>
        </w:rPr>
      </w:pPr>
    </w:p>
    <w:p w14:paraId="0EA93367" w14:textId="611C4869" w:rsidR="00163CC5" w:rsidRDefault="001C0810" w:rsidP="00A71FB8">
      <w:pPr>
        <w:spacing w:line="360" w:lineRule="auto"/>
        <w:contextualSpacing/>
        <w:jc w:val="both"/>
        <w:rPr>
          <w:rFonts w:ascii="Palatino Linotype" w:eastAsia="Palatino Linotype" w:hAnsi="Palatino Linotype" w:cs="Palatino Linotype"/>
          <w:bCs/>
          <w:iCs/>
          <w:sz w:val="22"/>
          <w:szCs w:val="22"/>
        </w:rPr>
      </w:pPr>
      <w:r w:rsidRPr="00216833">
        <w:rPr>
          <w:rFonts w:ascii="Palatino Linotype" w:eastAsia="Palatino Linotype" w:hAnsi="Palatino Linotype" w:cs="Palatino Linotype"/>
          <w:bCs/>
          <w:iCs/>
          <w:sz w:val="22"/>
          <w:szCs w:val="22"/>
        </w:rPr>
        <w:t>Conforme a lo anterior, se logra vislumbrar que la pretensión del ahora Recurrente, es obtener</w:t>
      </w:r>
      <w:r w:rsidR="00163CC5">
        <w:rPr>
          <w:rFonts w:ascii="Palatino Linotype" w:eastAsia="Palatino Linotype" w:hAnsi="Palatino Linotype" w:cs="Palatino Linotype"/>
          <w:bCs/>
          <w:iCs/>
          <w:sz w:val="22"/>
          <w:szCs w:val="22"/>
        </w:rPr>
        <w:t>, respecto a cada una de las obras públicas de carácter social (</w:t>
      </w:r>
      <w:r w:rsidR="00163CC5">
        <w:rPr>
          <w:rFonts w:ascii="Palatino Linotype" w:hAnsi="Palatino Linotype"/>
          <w:sz w:val="22"/>
          <w:szCs w:val="22"/>
        </w:rPr>
        <w:t>techumbres, electrificación, pozos, drenaje, entre otras</w:t>
      </w:r>
      <w:r w:rsidR="00163CC5">
        <w:rPr>
          <w:rFonts w:ascii="Palatino Linotype" w:eastAsia="Palatino Linotype" w:hAnsi="Palatino Linotype" w:cs="Palatino Linotype"/>
          <w:bCs/>
          <w:iCs/>
          <w:sz w:val="22"/>
          <w:szCs w:val="22"/>
        </w:rPr>
        <w:t>) realizadas por el Ayuntamiento, del primero de enero de dos mil veintidós al treinta y uno de diciembre de dos mil veinticuatro, los documentos que den cuenta de lo siguiente:</w:t>
      </w:r>
    </w:p>
    <w:p w14:paraId="1ADF9448" w14:textId="77777777" w:rsidR="00163CC5" w:rsidRDefault="00163CC5" w:rsidP="00A71FB8">
      <w:pPr>
        <w:spacing w:line="360" w:lineRule="auto"/>
        <w:contextualSpacing/>
        <w:jc w:val="both"/>
        <w:rPr>
          <w:rFonts w:ascii="Palatino Linotype" w:eastAsia="Palatino Linotype" w:hAnsi="Palatino Linotype" w:cs="Palatino Linotype"/>
          <w:bCs/>
          <w:iCs/>
          <w:sz w:val="22"/>
          <w:szCs w:val="22"/>
        </w:rPr>
      </w:pPr>
    </w:p>
    <w:p w14:paraId="4B3938E4" w14:textId="1512D24B" w:rsidR="00163CC5" w:rsidRDefault="00163CC5" w:rsidP="00163CC5">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lastRenderedPageBreak/>
        <w:t>Análisis técnico-financiero;</w:t>
      </w:r>
    </w:p>
    <w:p w14:paraId="455D8220" w14:textId="40D5CA6E" w:rsidR="00163CC5" w:rsidRDefault="00163CC5" w:rsidP="00163CC5">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Estudios costo-beneficio, y</w:t>
      </w:r>
    </w:p>
    <w:p w14:paraId="43E7BFB7" w14:textId="396803D5" w:rsidR="00163CC5" w:rsidRPr="00163CC5" w:rsidRDefault="00163CC5" w:rsidP="00163CC5">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Número de personas beneficiadas.</w:t>
      </w:r>
    </w:p>
    <w:p w14:paraId="77742E67" w14:textId="77777777" w:rsidR="00163CC5" w:rsidRDefault="00163CC5" w:rsidP="00A71FB8">
      <w:pPr>
        <w:spacing w:line="360" w:lineRule="auto"/>
        <w:contextualSpacing/>
        <w:jc w:val="both"/>
        <w:rPr>
          <w:rFonts w:ascii="Palatino Linotype" w:eastAsia="Palatino Linotype" w:hAnsi="Palatino Linotype" w:cs="Palatino Linotype"/>
          <w:bCs/>
          <w:iCs/>
          <w:sz w:val="22"/>
          <w:szCs w:val="22"/>
        </w:rPr>
      </w:pPr>
    </w:p>
    <w:p w14:paraId="75854A35" w14:textId="04034311" w:rsidR="001C0810" w:rsidRPr="00AC17E4" w:rsidRDefault="001C0810" w:rsidP="00A71FB8">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Establecida dicha circunstancia, se procede analizar la respuesta entregada, para lo cual, es de señalar que de las constancias que obran en el expediente, se logra advertir que el Sujeto Obligado turno la solicitud de información a</w:t>
      </w:r>
      <w:r>
        <w:rPr>
          <w:rFonts w:ascii="Palatino Linotype" w:eastAsia="Palatino Linotype" w:hAnsi="Palatino Linotype" w:cs="Palatino Linotype"/>
          <w:sz w:val="22"/>
          <w:szCs w:val="22"/>
        </w:rPr>
        <w:t xml:space="preserve"> </w:t>
      </w:r>
      <w:r w:rsidRPr="0028418F">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28418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Dirección de </w:t>
      </w:r>
      <w:r w:rsidR="000573B1">
        <w:rPr>
          <w:rFonts w:ascii="Palatino Linotype" w:eastAsia="Palatino Linotype" w:hAnsi="Palatino Linotype" w:cs="Palatino Linotype"/>
          <w:sz w:val="22"/>
          <w:szCs w:val="22"/>
        </w:rPr>
        <w:t>Obras Públicas</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157CCFCA" w14:textId="77777777" w:rsidR="001C0810" w:rsidRPr="00AC17E4" w:rsidRDefault="001C0810" w:rsidP="00A71FB8">
      <w:pPr>
        <w:spacing w:line="360" w:lineRule="auto"/>
        <w:ind w:right="-28"/>
        <w:contextualSpacing/>
        <w:jc w:val="both"/>
        <w:rPr>
          <w:rFonts w:ascii="Palatino Linotype" w:eastAsia="Palatino Linotype" w:hAnsi="Palatino Linotype" w:cs="Palatino Linotype"/>
          <w:sz w:val="22"/>
          <w:szCs w:val="22"/>
        </w:rPr>
      </w:pPr>
    </w:p>
    <w:p w14:paraId="32EA3549" w14:textId="512100F7" w:rsidR="00217A7D" w:rsidRPr="00217A7D" w:rsidRDefault="009C371D" w:rsidP="0005752E">
      <w:pPr>
        <w:spacing w:line="360" w:lineRule="auto"/>
        <w:contextualSpacing/>
        <w:jc w:val="both"/>
        <w:rPr>
          <w:rFonts w:ascii="Palatino Linotype" w:hAnsi="Palatino Linotype"/>
          <w:b/>
          <w:bCs/>
          <w:sz w:val="22"/>
          <w:szCs w:val="22"/>
          <w:lang w:eastAsia="en-US"/>
        </w:rPr>
      </w:pPr>
      <w:r w:rsidRPr="009C371D">
        <w:rPr>
          <w:rFonts w:ascii="Palatino Linotype" w:hAnsi="Palatino Linotype"/>
          <w:sz w:val="22"/>
          <w:szCs w:val="22"/>
        </w:rPr>
        <w:t xml:space="preserve">Así, a efecto de determinar si el Sujeto Obligado cumplió con el procedimiento de búsqueda, resulta necesario traer a colación los artículos 22 fracción I, </w:t>
      </w:r>
      <w:r w:rsidR="0005752E">
        <w:rPr>
          <w:rFonts w:ascii="Palatino Linotype" w:hAnsi="Palatino Linotype"/>
          <w:sz w:val="22"/>
          <w:szCs w:val="22"/>
        </w:rPr>
        <w:t>numeral</w:t>
      </w:r>
      <w:r w:rsidR="00217A7D">
        <w:rPr>
          <w:rFonts w:ascii="Palatino Linotype" w:hAnsi="Palatino Linotype"/>
          <w:sz w:val="22"/>
          <w:szCs w:val="22"/>
        </w:rPr>
        <w:t xml:space="preserve"> 14</w:t>
      </w:r>
      <w:r w:rsidRPr="009C371D">
        <w:rPr>
          <w:rFonts w:ascii="Palatino Linotype" w:hAnsi="Palatino Linotype"/>
          <w:sz w:val="22"/>
          <w:szCs w:val="22"/>
        </w:rPr>
        <w:t xml:space="preserve">, </w:t>
      </w:r>
      <w:r w:rsidR="00217A7D">
        <w:rPr>
          <w:rFonts w:ascii="Palatino Linotype" w:hAnsi="Palatino Linotype"/>
          <w:sz w:val="22"/>
          <w:szCs w:val="22"/>
        </w:rPr>
        <w:t xml:space="preserve">55 y 56 </w:t>
      </w:r>
      <w:r w:rsidRPr="009C371D">
        <w:rPr>
          <w:rFonts w:ascii="Palatino Linotype" w:hAnsi="Palatino Linotype"/>
          <w:sz w:val="22"/>
          <w:szCs w:val="22"/>
        </w:rPr>
        <w:t>del Reglamento Orgánico Municipal de Zinacantepec</w:t>
      </w:r>
      <w:r w:rsidR="00217A7D">
        <w:rPr>
          <w:rFonts w:ascii="Palatino Linotype" w:hAnsi="Palatino Linotype"/>
          <w:sz w:val="22"/>
          <w:szCs w:val="22"/>
        </w:rPr>
        <w:t xml:space="preserve"> 2022-2024</w:t>
      </w:r>
      <w:r w:rsidR="0005752E">
        <w:rPr>
          <w:rFonts w:ascii="Palatino Linotype" w:hAnsi="Palatino Linotype"/>
          <w:sz w:val="22"/>
          <w:szCs w:val="22"/>
        </w:rPr>
        <w:t xml:space="preserve">, </w:t>
      </w:r>
      <w:r w:rsidRPr="009C371D">
        <w:rPr>
          <w:rFonts w:ascii="Palatino Linotype" w:hAnsi="Palatino Linotype"/>
          <w:sz w:val="22"/>
          <w:szCs w:val="22"/>
        </w:rPr>
        <w:t xml:space="preserve">precisan que el Sujeto Obligado para el ejercicio de sus funciones, se conformará de diversas áreas entre las cuales se </w:t>
      </w:r>
      <w:r w:rsidR="0005752E">
        <w:rPr>
          <w:rFonts w:ascii="Palatino Linotype" w:hAnsi="Palatino Linotype"/>
          <w:sz w:val="22"/>
          <w:szCs w:val="22"/>
        </w:rPr>
        <w:t xml:space="preserve">encuentra la </w:t>
      </w:r>
      <w:r w:rsidR="00217A7D" w:rsidRPr="00217A7D">
        <w:rPr>
          <w:rFonts w:ascii="Palatino Linotype" w:hAnsi="Palatino Linotype"/>
          <w:b/>
          <w:bCs/>
          <w:sz w:val="22"/>
          <w:szCs w:val="22"/>
          <w:lang w:eastAsia="en-US"/>
        </w:rPr>
        <w:t>Dirección de Obras Públicas</w:t>
      </w:r>
      <w:r w:rsidR="0005752E">
        <w:rPr>
          <w:rFonts w:ascii="Palatino Linotype" w:hAnsi="Palatino Linotype"/>
          <w:b/>
          <w:bCs/>
          <w:sz w:val="22"/>
          <w:szCs w:val="22"/>
          <w:lang w:eastAsia="en-US"/>
        </w:rPr>
        <w:t xml:space="preserve"> </w:t>
      </w:r>
      <w:r w:rsidR="0005752E" w:rsidRPr="0005752E">
        <w:rPr>
          <w:rFonts w:ascii="Palatino Linotype" w:hAnsi="Palatino Linotype"/>
          <w:sz w:val="22"/>
          <w:szCs w:val="22"/>
          <w:lang w:eastAsia="en-US"/>
        </w:rPr>
        <w:t>e</w:t>
      </w:r>
      <w:r w:rsidR="00217A7D" w:rsidRPr="0005752E">
        <w:rPr>
          <w:rFonts w:ascii="Palatino Linotype" w:hAnsi="Palatino Linotype"/>
          <w:sz w:val="22"/>
          <w:szCs w:val="22"/>
          <w:lang w:eastAsia="en-US"/>
        </w:rPr>
        <w:t>n</w:t>
      </w:r>
      <w:r w:rsidR="00217A7D" w:rsidRPr="00217A7D">
        <w:rPr>
          <w:rFonts w:ascii="Palatino Linotype" w:hAnsi="Palatino Linotype"/>
          <w:sz w:val="22"/>
          <w:szCs w:val="22"/>
          <w:lang w:eastAsia="en-US"/>
        </w:rPr>
        <w:t>cargada de construir y mantener la infraestructura pública y los servicios relacionados con estas acciones en términos de Ley, mediante la realización de obras en vías y espacios públicos para el beneficio comunitario</w:t>
      </w:r>
      <w:r w:rsidR="00217A7D">
        <w:rPr>
          <w:rFonts w:ascii="Palatino Linotype" w:hAnsi="Palatino Linotype"/>
          <w:sz w:val="22"/>
          <w:szCs w:val="22"/>
          <w:lang w:eastAsia="en-US"/>
        </w:rPr>
        <w:t>.</w:t>
      </w:r>
    </w:p>
    <w:p w14:paraId="6211A630" w14:textId="77777777" w:rsidR="009C371D" w:rsidRPr="009C371D" w:rsidRDefault="009C371D" w:rsidP="00A71FB8">
      <w:pPr>
        <w:pStyle w:val="Prrafodelista"/>
        <w:spacing w:line="360" w:lineRule="auto"/>
        <w:rPr>
          <w:rFonts w:ascii="Palatino Linotype" w:hAnsi="Palatino Linotype"/>
          <w:sz w:val="22"/>
          <w:szCs w:val="22"/>
        </w:rPr>
      </w:pPr>
    </w:p>
    <w:p w14:paraId="5A216830" w14:textId="6A629733" w:rsidR="009C371D" w:rsidRPr="009C371D" w:rsidRDefault="009C371D" w:rsidP="00A71FB8">
      <w:pPr>
        <w:spacing w:line="360" w:lineRule="auto"/>
        <w:contextualSpacing/>
        <w:jc w:val="both"/>
        <w:rPr>
          <w:rFonts w:ascii="Palatino Linotype" w:hAnsi="Palatino Linotype"/>
          <w:sz w:val="22"/>
          <w:szCs w:val="22"/>
        </w:rPr>
      </w:pPr>
      <w:r w:rsidRPr="009C371D">
        <w:rPr>
          <w:rFonts w:ascii="Palatino Linotype" w:hAnsi="Palatino Linotype"/>
          <w:sz w:val="22"/>
          <w:szCs w:val="22"/>
        </w:rPr>
        <w:t>De tales circunstancias, se logra vislumbrar que el Ayuntamiento cumplió con</w:t>
      </w:r>
      <w:r w:rsidR="00217A7D">
        <w:rPr>
          <w:rFonts w:ascii="Palatino Linotype" w:hAnsi="Palatino Linotype"/>
          <w:sz w:val="22"/>
          <w:szCs w:val="22"/>
        </w:rPr>
        <w:t xml:space="preserve"> </w:t>
      </w:r>
      <w:r w:rsidR="0005752E">
        <w:rPr>
          <w:rFonts w:ascii="Palatino Linotype" w:hAnsi="Palatino Linotype"/>
          <w:sz w:val="22"/>
          <w:szCs w:val="22"/>
        </w:rPr>
        <w:t>el</w:t>
      </w:r>
      <w:r w:rsidRPr="009C371D">
        <w:rPr>
          <w:rFonts w:ascii="Palatino Linotype" w:hAnsi="Palatino Linotype"/>
          <w:sz w:val="22"/>
          <w:szCs w:val="22"/>
        </w:rPr>
        <w:t xml:space="preserve"> procedimiento de búsqueda establecido en el artículo 162 de la Ley de Transparencia y </w:t>
      </w:r>
      <w:r w:rsidRPr="009C371D">
        <w:rPr>
          <w:rFonts w:ascii="Palatino Linotype" w:hAnsi="Palatino Linotype"/>
          <w:sz w:val="22"/>
          <w:szCs w:val="22"/>
        </w:rPr>
        <w:lastRenderedPageBreak/>
        <w:t>Acceso a la Información Pública del Estado de México y Municipios, ya que gestionó la solicitud de información a la Dirección de</w:t>
      </w:r>
      <w:r w:rsidR="00217A7D">
        <w:rPr>
          <w:rFonts w:ascii="Palatino Linotype" w:hAnsi="Palatino Linotype"/>
          <w:sz w:val="22"/>
          <w:szCs w:val="22"/>
        </w:rPr>
        <w:t xml:space="preserve"> Obras Públicas</w:t>
      </w:r>
      <w:r w:rsidR="0005752E">
        <w:rPr>
          <w:rFonts w:ascii="Palatino Linotype" w:hAnsi="Palatino Linotype"/>
          <w:sz w:val="22"/>
          <w:szCs w:val="22"/>
        </w:rPr>
        <w:t xml:space="preserve"> encargada de conocer todo lo relacionado con las obras públicas ejecutadas en el Ayuntamiento.</w:t>
      </w:r>
    </w:p>
    <w:p w14:paraId="792EF738" w14:textId="77777777" w:rsidR="001C0810" w:rsidRDefault="001C0810" w:rsidP="00A71FB8">
      <w:pPr>
        <w:spacing w:line="360" w:lineRule="auto"/>
        <w:contextualSpacing/>
        <w:jc w:val="both"/>
        <w:rPr>
          <w:rFonts w:ascii="Palatino Linotype" w:hAnsi="Palatino Linotype"/>
          <w:sz w:val="22"/>
          <w:szCs w:val="22"/>
        </w:rPr>
      </w:pPr>
    </w:p>
    <w:p w14:paraId="6D701040" w14:textId="1DFD0016" w:rsidR="00217A7D"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hAnsi="Palatino Linotype"/>
          <w:sz w:val="22"/>
          <w:szCs w:val="22"/>
        </w:rPr>
        <w:t xml:space="preserve">Sin menoscabar lo anterior, la Dirección de </w:t>
      </w:r>
      <w:r w:rsidR="00217A7D">
        <w:rPr>
          <w:rFonts w:ascii="Palatino Linotype" w:hAnsi="Palatino Linotype"/>
          <w:sz w:val="22"/>
          <w:szCs w:val="22"/>
        </w:rPr>
        <w:t xml:space="preserve">Obras Públicas </w:t>
      </w:r>
      <w:r w:rsidR="00217A7D">
        <w:rPr>
          <w:rFonts w:ascii="Palatino Linotype" w:hAnsi="Palatino Linotype"/>
          <w:color w:val="000000"/>
          <w:sz w:val="22"/>
          <w:szCs w:val="22"/>
        </w:rPr>
        <w:t>informó que los costos variaban de acuerdo a la zona en donde se entrega la obra.</w:t>
      </w:r>
      <w:r w:rsidR="00217A7D">
        <w:rPr>
          <w:rFonts w:ascii="Palatino Linotype" w:hAnsi="Palatino Linotype"/>
          <w:sz w:val="22"/>
          <w:szCs w:val="22"/>
        </w:rPr>
        <w:t xml:space="preserve"> </w:t>
      </w: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 si bien el Sujeto Obligado proporcionó información relacionada </w:t>
      </w:r>
      <w:r w:rsidR="0005752E">
        <w:rPr>
          <w:rFonts w:ascii="Palatino Linotype" w:eastAsia="Palatino Linotype" w:hAnsi="Palatino Linotype" w:cs="Palatino Linotype"/>
          <w:sz w:val="22"/>
          <w:szCs w:val="22"/>
        </w:rPr>
        <w:t>con los costos, lo cierto es que no se pronunció de manera específica sobre la información solicitada, específicamente de los análisis técnicos y financieros, los estudios de costo-beneficio y los beneficiarios, los cuales son necesarios para integrar el Proyecto Ejecutivo de la Obra.</w:t>
      </w:r>
    </w:p>
    <w:p w14:paraId="1853A427" w14:textId="77777777" w:rsidR="00021ACF" w:rsidRDefault="00021ACF" w:rsidP="00A71FB8">
      <w:pPr>
        <w:spacing w:line="360" w:lineRule="auto"/>
        <w:contextualSpacing/>
        <w:jc w:val="both"/>
        <w:rPr>
          <w:rFonts w:ascii="Palatino Linotype" w:eastAsia="Palatino Linotype" w:hAnsi="Palatino Linotype" w:cs="Palatino Linotype"/>
          <w:sz w:val="22"/>
          <w:szCs w:val="22"/>
        </w:rPr>
      </w:pPr>
    </w:p>
    <w:p w14:paraId="1D62661B" w14:textId="77777777" w:rsidR="00021ACF" w:rsidRDefault="00021ACF"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w:t>
      </w:r>
      <w:r w:rsidRPr="00A24BE6">
        <w:rPr>
          <w:rFonts w:ascii="Palatino Linotype" w:eastAsia="Palatino Linotype" w:hAnsi="Palatino Linotype" w:cs="Palatino Linotype"/>
          <w:sz w:val="22"/>
          <w:szCs w:val="22"/>
        </w:rPr>
        <w:t xml:space="preserve">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A24BE6">
        <w:rPr>
          <w:rFonts w:ascii="Palatino Linotype" w:eastAsia="Palatino Linotype" w:hAnsi="Palatino Linotype" w:cs="Palatino Linotype"/>
          <w:b/>
          <w:sz w:val="22"/>
          <w:szCs w:val="22"/>
        </w:rPr>
        <w:t xml:space="preserve">Principio de Congruencia, </w:t>
      </w:r>
      <w:r w:rsidRPr="00A24BE6">
        <w:rPr>
          <w:rFonts w:ascii="Palatino Linotype" w:eastAsia="Palatino Linotype" w:hAnsi="Palatino Linotype" w:cs="Palatino Linotype"/>
          <w:sz w:val="22"/>
          <w:szCs w:val="22"/>
        </w:rPr>
        <w:t>el cual</w:t>
      </w:r>
      <w:r w:rsidRPr="00A24BE6">
        <w:rPr>
          <w:rFonts w:ascii="Palatino Linotype" w:eastAsia="Palatino Linotype" w:hAnsi="Palatino Linotype" w:cs="Palatino Linotype"/>
          <w:b/>
          <w:sz w:val="22"/>
          <w:szCs w:val="22"/>
        </w:rPr>
        <w:t xml:space="preserve"> </w:t>
      </w:r>
      <w:r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Pr>
          <w:rFonts w:ascii="Palatino Linotype" w:eastAsia="Palatino Linotype" w:hAnsi="Palatino Linotype" w:cs="Palatino Linotype"/>
          <w:sz w:val="22"/>
          <w:szCs w:val="22"/>
        </w:rPr>
        <w:t xml:space="preserve">en tu totalidad </w:t>
      </w:r>
      <w:r w:rsidRPr="00A24BE6">
        <w:rPr>
          <w:rFonts w:ascii="Palatino Linotype" w:eastAsia="Palatino Linotype" w:hAnsi="Palatino Linotype" w:cs="Palatino Linotype"/>
          <w:sz w:val="22"/>
          <w:szCs w:val="22"/>
        </w:rPr>
        <w:t xml:space="preserve">la respuesta entregada </w:t>
      </w:r>
      <w:r>
        <w:rPr>
          <w:rFonts w:ascii="Palatino Linotype" w:eastAsia="Palatino Linotype" w:hAnsi="Palatino Linotype" w:cs="Palatino Linotype"/>
          <w:sz w:val="22"/>
          <w:szCs w:val="22"/>
        </w:rPr>
        <w:t>a este punto de la solicitud</w:t>
      </w:r>
      <w:r w:rsidRPr="00A24BE6">
        <w:rPr>
          <w:rFonts w:ascii="Palatino Linotype" w:eastAsia="Palatino Linotype" w:hAnsi="Palatino Linotype" w:cs="Palatino Linotype"/>
          <w:sz w:val="22"/>
          <w:szCs w:val="22"/>
        </w:rPr>
        <w:t>.</w:t>
      </w:r>
    </w:p>
    <w:p w14:paraId="62FA3C5F" w14:textId="77777777" w:rsidR="00217A7D" w:rsidRDefault="00217A7D" w:rsidP="00A71FB8">
      <w:pPr>
        <w:spacing w:line="360" w:lineRule="auto"/>
        <w:contextualSpacing/>
        <w:jc w:val="both"/>
        <w:rPr>
          <w:rFonts w:ascii="Palatino Linotype" w:eastAsia="Palatino Linotype" w:hAnsi="Palatino Linotype" w:cs="Palatino Linotype"/>
          <w:sz w:val="22"/>
          <w:szCs w:val="22"/>
        </w:rPr>
      </w:pPr>
    </w:p>
    <w:p w14:paraId="2A33FD0C" w14:textId="4A32E3BC" w:rsidR="00021ACF" w:rsidRDefault="00021ACF" w:rsidP="00A71FB8">
      <w:pPr>
        <w:spacing w:line="360" w:lineRule="auto"/>
        <w:contextualSpacing/>
        <w:jc w:val="both"/>
        <w:rPr>
          <w:rFonts w:ascii="Palatino Linotype" w:eastAsia="Palatino Linotype" w:hAnsi="Palatino Linotype" w:cs="Palatino Linotype"/>
          <w:bCs/>
          <w:sz w:val="22"/>
          <w:szCs w:val="22"/>
        </w:rPr>
      </w:pPr>
      <w:r w:rsidRPr="00021ACF">
        <w:rPr>
          <w:rFonts w:ascii="Palatino Linotype" w:hAnsi="Palatino Linotype" w:cs="Tahoma"/>
          <w:sz w:val="22"/>
          <w:szCs w:val="22"/>
          <w:lang w:eastAsia="es-ES"/>
        </w:rPr>
        <w:t xml:space="preserve">Conforme a lo anterior, se considera que el Sujeto Obligado </w:t>
      </w:r>
      <w:r>
        <w:rPr>
          <w:rFonts w:ascii="Palatino Linotype" w:hAnsi="Palatino Linotype" w:cs="Tahoma"/>
          <w:sz w:val="22"/>
          <w:szCs w:val="22"/>
          <w:lang w:eastAsia="es-ES"/>
        </w:rPr>
        <w:t>in</w:t>
      </w:r>
      <w:r w:rsidRPr="00021ACF">
        <w:rPr>
          <w:rFonts w:ascii="Palatino Linotype" w:hAnsi="Palatino Linotype" w:cs="Tahoma"/>
          <w:sz w:val="22"/>
          <w:szCs w:val="22"/>
          <w:lang w:eastAsia="es-ES"/>
        </w:rPr>
        <w:t xml:space="preserve">cumplió con el Principio de Congruencia, </w:t>
      </w:r>
      <w:r>
        <w:rPr>
          <w:rFonts w:ascii="Palatino Linotype" w:hAnsi="Palatino Linotype" w:cs="Tahoma"/>
          <w:sz w:val="22"/>
          <w:szCs w:val="22"/>
          <w:lang w:eastAsia="es-ES"/>
        </w:rPr>
        <w:t>y</w:t>
      </w:r>
      <w:r w:rsidRPr="00021ACF">
        <w:rPr>
          <w:rFonts w:ascii="Palatino Linotype" w:hAnsi="Palatino Linotype" w:cs="Tahoma"/>
          <w:sz w:val="22"/>
          <w:szCs w:val="22"/>
          <w:lang w:eastAsia="es-ES"/>
        </w:rPr>
        <w:t xml:space="preserve"> con el procedimiento de búsqueda, por lo que, no se puede validar</w:t>
      </w:r>
      <w:r>
        <w:rPr>
          <w:rFonts w:ascii="Palatino Linotype" w:hAnsi="Palatino Linotype" w:cs="Tahoma"/>
          <w:sz w:val="22"/>
          <w:szCs w:val="22"/>
          <w:lang w:eastAsia="es-ES"/>
        </w:rPr>
        <w:t xml:space="preserve"> </w:t>
      </w:r>
      <w:r w:rsidRPr="00021ACF">
        <w:rPr>
          <w:rFonts w:ascii="Palatino Linotype" w:hAnsi="Palatino Linotype" w:cs="Tahoma"/>
          <w:sz w:val="22"/>
          <w:szCs w:val="22"/>
          <w:lang w:eastAsia="es-ES"/>
        </w:rPr>
        <w:t xml:space="preserve">la </w:t>
      </w:r>
      <w:r>
        <w:rPr>
          <w:rFonts w:ascii="Palatino Linotype" w:hAnsi="Palatino Linotype" w:cs="Tahoma"/>
          <w:sz w:val="22"/>
          <w:szCs w:val="22"/>
          <w:lang w:eastAsia="es-ES"/>
        </w:rPr>
        <w:t>información</w:t>
      </w:r>
      <w:r w:rsidRPr="00021ACF">
        <w:rPr>
          <w:rFonts w:ascii="Palatino Linotype" w:hAnsi="Palatino Linotype" w:cs="Tahoma"/>
          <w:sz w:val="22"/>
          <w:szCs w:val="22"/>
          <w:lang w:eastAsia="es-ES"/>
        </w:rPr>
        <w:t xml:space="preserve">, lo cual da como resultado que el agravio sea </w:t>
      </w:r>
      <w:r w:rsidRPr="00021ACF">
        <w:rPr>
          <w:rFonts w:ascii="Palatino Linotype" w:hAnsi="Palatino Linotype" w:cs="Tahoma"/>
          <w:b/>
          <w:sz w:val="22"/>
          <w:szCs w:val="22"/>
          <w:lang w:eastAsia="es-ES"/>
        </w:rPr>
        <w:t xml:space="preserve">FUNDADO; </w:t>
      </w:r>
      <w:r w:rsidRPr="00021ACF">
        <w:rPr>
          <w:rFonts w:ascii="Palatino Linotype" w:hAnsi="Palatino Linotype" w:cs="Tahoma"/>
          <w:sz w:val="22"/>
          <w:szCs w:val="22"/>
          <w:lang w:eastAsia="es-ES"/>
        </w:rPr>
        <w:t xml:space="preserve">por lo que, para atender el requerimiento de información, el </w:t>
      </w:r>
      <w:r w:rsidRPr="00021ACF">
        <w:rPr>
          <w:rFonts w:ascii="Palatino Linotype" w:hAnsi="Palatino Linotype"/>
          <w:sz w:val="22"/>
          <w:szCs w:val="22"/>
        </w:rPr>
        <w:t xml:space="preserve">Sujeto Obligado deberá realizar una búsqueda exhaustiva y razonable en los archivos de la Dirección de </w:t>
      </w:r>
      <w:r>
        <w:rPr>
          <w:rFonts w:ascii="Palatino Linotype" w:hAnsi="Palatino Linotype"/>
          <w:sz w:val="22"/>
          <w:szCs w:val="22"/>
        </w:rPr>
        <w:t>Obras Públicas</w:t>
      </w:r>
      <w:r w:rsidRPr="00021ACF">
        <w:rPr>
          <w:rFonts w:ascii="Palatino Linotype" w:hAnsi="Palatino Linotype"/>
          <w:sz w:val="22"/>
          <w:szCs w:val="22"/>
        </w:rPr>
        <w:t xml:space="preserve">, a efecto de que proporcionen </w:t>
      </w:r>
      <w:r w:rsidRPr="00021ACF">
        <w:rPr>
          <w:rFonts w:ascii="Palatino Linotype" w:hAnsi="Palatino Linotype" w:cs="Tahoma"/>
          <w:bCs/>
          <w:iCs/>
          <w:sz w:val="22"/>
          <w:szCs w:val="22"/>
          <w:lang w:eastAsia="es-ES"/>
        </w:rPr>
        <w:t xml:space="preserve">los documentos </w:t>
      </w:r>
      <w:r>
        <w:rPr>
          <w:rFonts w:ascii="Palatino Linotype" w:hAnsi="Palatino Linotype" w:cs="Tahoma"/>
          <w:bCs/>
          <w:iCs/>
          <w:sz w:val="22"/>
          <w:szCs w:val="22"/>
          <w:lang w:eastAsia="es-ES"/>
        </w:rPr>
        <w:t>en los que se advierta</w:t>
      </w:r>
      <w:r w:rsidRPr="00021ACF">
        <w:rPr>
          <w:rFonts w:ascii="Palatino Linotype" w:hAnsi="Palatino Linotype" w:cs="Tahoma"/>
          <w:bCs/>
          <w:iCs/>
          <w:sz w:val="22"/>
          <w:szCs w:val="22"/>
          <w:lang w:eastAsia="es-ES"/>
        </w:rPr>
        <w:t xml:space="preserve"> </w:t>
      </w:r>
      <w:r w:rsidR="0005752E">
        <w:rPr>
          <w:rFonts w:ascii="Palatino Linotype" w:eastAsia="Palatino Linotype" w:hAnsi="Palatino Linotype" w:cs="Palatino Linotype"/>
          <w:bCs/>
          <w:iCs/>
          <w:sz w:val="22"/>
          <w:szCs w:val="22"/>
        </w:rPr>
        <w:t xml:space="preserve">la información solicitada por el particular, que de manera enunciativa, más no limitativa se localiza el Proyecto Ejecutivo </w:t>
      </w:r>
      <w:r w:rsidR="0005752E">
        <w:rPr>
          <w:rFonts w:ascii="Palatino Linotype" w:eastAsia="Palatino Linotype" w:hAnsi="Palatino Linotype" w:cs="Palatino Linotype"/>
          <w:bCs/>
          <w:iCs/>
          <w:sz w:val="22"/>
          <w:szCs w:val="22"/>
        </w:rPr>
        <w:lastRenderedPageBreak/>
        <w:t>de las Obras Públicas,</w:t>
      </w:r>
      <w:r w:rsidR="0005752E">
        <w:rPr>
          <w:rFonts w:ascii="Palatino Linotype" w:eastAsia="Palatino Linotype" w:hAnsi="Palatino Linotype" w:cs="Palatino Linotype"/>
          <w:sz w:val="22"/>
          <w:szCs w:val="22"/>
        </w:rPr>
        <w:t xml:space="preserve"> o </w:t>
      </w:r>
      <w:r w:rsidR="0005752E">
        <w:rPr>
          <w:rFonts w:ascii="Palatino Linotype" w:eastAsia="Palatino Linotype" w:hAnsi="Palatino Linotype" w:cs="Palatino Linotype"/>
          <w:bCs/>
          <w:sz w:val="22"/>
          <w:szCs w:val="22"/>
        </w:rPr>
        <w:t>los análisis de factibilidad técnica, económica, social, ecológica, ambiental y  estudios costo beneficio realizados.</w:t>
      </w:r>
    </w:p>
    <w:p w14:paraId="4342988A" w14:textId="77777777" w:rsidR="0005752E" w:rsidRPr="00587816" w:rsidRDefault="0005752E" w:rsidP="00A71FB8">
      <w:pPr>
        <w:spacing w:line="360" w:lineRule="auto"/>
        <w:contextualSpacing/>
        <w:jc w:val="both"/>
        <w:rPr>
          <w:rFonts w:ascii="Palatino Linotype" w:hAnsi="Palatino Linotype"/>
          <w:sz w:val="22"/>
          <w:szCs w:val="22"/>
        </w:rPr>
      </w:pPr>
    </w:p>
    <w:p w14:paraId="648D25CD" w14:textId="77777777" w:rsidR="001C0810" w:rsidRPr="000F3AB5" w:rsidRDefault="001C0810" w:rsidP="00A71FB8">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15F01B37" w14:textId="77777777" w:rsidR="001C0810" w:rsidRPr="002231CB" w:rsidRDefault="001C0810" w:rsidP="00A71FB8">
      <w:pPr>
        <w:spacing w:line="360" w:lineRule="auto"/>
        <w:contextualSpacing/>
        <w:jc w:val="both"/>
        <w:rPr>
          <w:rFonts w:ascii="Palatino Linotype" w:hAnsi="Palatino Linotype"/>
          <w:sz w:val="22"/>
          <w:szCs w:val="22"/>
        </w:rPr>
      </w:pPr>
    </w:p>
    <w:p w14:paraId="3750DC7B" w14:textId="77777777" w:rsidR="001C0810" w:rsidRPr="002231CB" w:rsidRDefault="001C0810" w:rsidP="00A71FB8">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342729CF" w14:textId="77777777" w:rsidR="001C0810" w:rsidRPr="002231CB" w:rsidRDefault="001C0810" w:rsidP="00A71FB8">
      <w:pPr>
        <w:spacing w:line="360" w:lineRule="auto"/>
        <w:contextualSpacing/>
        <w:jc w:val="both"/>
        <w:rPr>
          <w:rFonts w:ascii="Palatino Linotype" w:hAnsi="Palatino Linotype"/>
          <w:i/>
          <w:iCs/>
          <w:sz w:val="22"/>
          <w:szCs w:val="22"/>
        </w:rPr>
      </w:pPr>
    </w:p>
    <w:p w14:paraId="5D7BBCD8" w14:textId="3D9E518A" w:rsidR="001C0810" w:rsidRPr="002231CB" w:rsidRDefault="001C0810" w:rsidP="00A71FB8">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6F0891B8" w14:textId="77777777" w:rsidR="001C0810" w:rsidRPr="00981CEF" w:rsidRDefault="001C0810" w:rsidP="00A71FB8">
      <w:pPr>
        <w:tabs>
          <w:tab w:val="left" w:pos="4962"/>
        </w:tabs>
        <w:spacing w:line="360" w:lineRule="auto"/>
        <w:contextualSpacing/>
        <w:jc w:val="both"/>
        <w:rPr>
          <w:rFonts w:ascii="Palatino Linotype" w:hAnsi="Palatino Linotype"/>
          <w:bCs/>
          <w:iCs/>
          <w:sz w:val="22"/>
          <w:szCs w:val="22"/>
        </w:rPr>
      </w:pPr>
    </w:p>
    <w:p w14:paraId="36CB2539" w14:textId="77777777" w:rsidR="001C0810" w:rsidRDefault="001C0810" w:rsidP="00A71FB8">
      <w:pPr>
        <w:spacing w:line="360" w:lineRule="auto"/>
        <w:contextualSpacing/>
        <w:jc w:val="both"/>
        <w:rPr>
          <w:rFonts w:ascii="Palatino Linotype" w:hAnsi="Palatino Linotype" w:cs="Tahoma"/>
          <w:sz w:val="22"/>
          <w:szCs w:val="24"/>
        </w:rPr>
      </w:pPr>
      <w:r>
        <w:rPr>
          <w:rFonts w:ascii="Palatino Linotype" w:hAnsi="Palatino Linotype" w:cs="Tahoma"/>
          <w:sz w:val="22"/>
          <w:szCs w:val="24"/>
        </w:rPr>
        <w:t>Ahora bien, no pasa desapercibido que los documentos requeridos, podrían contener diversa información susceptible de clasificación, por lo que deberá observar dicha circunstancia.</w:t>
      </w:r>
    </w:p>
    <w:p w14:paraId="2A5FCC68" w14:textId="77777777" w:rsidR="001C0810" w:rsidRDefault="001C0810" w:rsidP="00A71FB8">
      <w:pPr>
        <w:spacing w:line="360" w:lineRule="auto"/>
        <w:contextualSpacing/>
        <w:jc w:val="both"/>
        <w:rPr>
          <w:rFonts w:ascii="Palatino Linotype" w:hAnsi="Palatino Linotype" w:cs="Tahoma"/>
          <w:sz w:val="22"/>
          <w:szCs w:val="24"/>
        </w:rPr>
      </w:pPr>
    </w:p>
    <w:p w14:paraId="4255F85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Pr>
          <w:rFonts w:ascii="Palatino Linotype" w:hAnsi="Palatino Linotype" w:cs="Tahoma"/>
          <w:bCs/>
          <w:noProof/>
          <w:color w:val="0D0D0D" w:themeColor="text1" w:themeTint="F2"/>
          <w:sz w:val="22"/>
          <w:szCs w:val="22"/>
        </w:rPr>
        <w:t xml:space="preserve">Al respecto, </w:t>
      </w:r>
      <w:r w:rsidRPr="00AD19E2">
        <w:rPr>
          <w:rFonts w:ascii="Palatino Linotype" w:hAnsi="Palatino Linotype" w:cs="Tahoma"/>
          <w:bCs/>
          <w:noProof/>
          <w:color w:val="0D0D0D" w:themeColor="text1" w:themeTint="F2"/>
          <w:sz w:val="22"/>
          <w:szCs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w:t>
      </w:r>
      <w:r w:rsidRPr="00AD19E2">
        <w:rPr>
          <w:rFonts w:ascii="Palatino Linotype" w:hAnsi="Palatino Linotype" w:cs="Tahoma"/>
          <w:bCs/>
          <w:noProof/>
          <w:color w:val="0D0D0D" w:themeColor="text1" w:themeTint="F2"/>
          <w:sz w:val="22"/>
          <w:szCs w:val="22"/>
        </w:rPr>
        <w:lastRenderedPageBreak/>
        <w:t>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725288C"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791883B"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w:t>
      </w:r>
    </w:p>
    <w:p w14:paraId="5524258F"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6C1CEE4"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42AE8E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D35CB3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3C2135D"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76D9F8B"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concordancia con lo previo, el artículo 143, fracciones I y III, de la Ley previamente citada, establece que la información privada y los datos personales, concernientes a una persona </w:t>
      </w:r>
      <w:r w:rsidRPr="00AD19E2">
        <w:rPr>
          <w:rFonts w:ascii="Palatino Linotype" w:hAnsi="Palatino Linotype" w:cs="Tahoma"/>
          <w:bCs/>
          <w:noProof/>
          <w:color w:val="0D0D0D" w:themeColor="text1" w:themeTint="F2"/>
          <w:sz w:val="22"/>
          <w:szCs w:val="22"/>
        </w:rPr>
        <w:lastRenderedPageBreak/>
        <w:t>física o jurídica colectiva identificada o identificables, son confidenciales; así como, aquella presentada por los particulares con dicho carácter.</w:t>
      </w:r>
    </w:p>
    <w:p w14:paraId="138E5949"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7040B6D"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137407E"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FB21131"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En términos de lo expuesto, la documentación y aquellos datos que se consideren confidenciales, serán una limitante del derecho de acceso a la información, siempre y cuando:</w:t>
      </w:r>
    </w:p>
    <w:p w14:paraId="7D4A6275"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9B024A8" w14:textId="77777777" w:rsidR="00A23783" w:rsidRPr="00AD19E2" w:rsidRDefault="00A23783" w:rsidP="00A71FB8">
      <w:pPr>
        <w:numPr>
          <w:ilvl w:val="0"/>
          <w:numId w:val="20"/>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Se trate de datos personales o información privada; esto es, información concerniente a una persona física o jurídico colectiva y que esta sea identificada o identificable. </w:t>
      </w:r>
    </w:p>
    <w:p w14:paraId="657B0823" w14:textId="77777777" w:rsidR="00A23783" w:rsidRPr="00AD19E2" w:rsidRDefault="00A23783" w:rsidP="00A71FB8">
      <w:pPr>
        <w:numPr>
          <w:ilvl w:val="0"/>
          <w:numId w:val="20"/>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Para la difusión de los datos, se requiera el consentimiento del titular. </w:t>
      </w:r>
    </w:p>
    <w:p w14:paraId="3BF40F04"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CF0E04D"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r w:rsidRPr="00AD19E2">
        <w:rPr>
          <w:rFonts w:ascii="Palatino Linotype" w:hAnsi="Palatino Linotype" w:cs="Tahoma"/>
          <w:bCs/>
          <w:noProof/>
          <w:color w:val="0D0D0D" w:themeColor="text1" w:themeTint="F2"/>
          <w:sz w:val="22"/>
          <w:szCs w:val="22"/>
        </w:rPr>
        <w:lastRenderedPageBreak/>
        <w:t xml:space="preserve">o identificable (cuando su identidad pueda determinarse directa o indirectamente a través de cualquier documento informativo físico o electrónico), establecida en cualquier formato o modalidad. </w:t>
      </w:r>
    </w:p>
    <w:p w14:paraId="5FD9A743"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p>
    <w:p w14:paraId="3BF2A582" w14:textId="77777777" w:rsidR="00A23783" w:rsidRPr="00AD19E2" w:rsidRDefault="00A23783" w:rsidP="00A71FB8">
      <w:pPr>
        <w:numPr>
          <w:ilvl w:val="0"/>
          <w:numId w:val="21"/>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Nombre de persona física</w:t>
      </w:r>
    </w:p>
    <w:p w14:paraId="66C442D7"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p>
    <w:p w14:paraId="12453169"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Proveedor</w:t>
      </w:r>
    </w:p>
    <w:p w14:paraId="038553ED"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2CF16937"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D19E2">
        <w:rPr>
          <w:rFonts w:ascii="Palatino Linotype" w:hAnsi="Palatino Linotype" w:cs="Tahoma"/>
          <w:bCs/>
          <w:i/>
          <w:noProof/>
          <w:color w:val="0D0D0D" w:themeColor="text1" w:themeTint="F2"/>
          <w:sz w:val="22"/>
          <w:szCs w:val="22"/>
        </w:rPr>
        <w:t>per se</w:t>
      </w:r>
      <w:r w:rsidRPr="00AD19E2">
        <w:rPr>
          <w:rFonts w:ascii="Palatino Linotype" w:hAnsi="Palatino Linotype" w:cs="Tahoma"/>
          <w:bCs/>
          <w:noProof/>
          <w:color w:val="0D0D0D" w:themeColor="text1" w:themeTint="F2"/>
          <w:sz w:val="22"/>
          <w:szCs w:val="22"/>
        </w:rPr>
        <w:t xml:space="preserve"> es un elemento que hace a una persona física identificada o identificable.</w:t>
      </w:r>
    </w:p>
    <w:p w14:paraId="445E2CB6"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BE611C3"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AD19E2">
        <w:rPr>
          <w:rFonts w:ascii="Palatino Linotype" w:hAnsi="Palatino Linotype" w:cs="Tahoma"/>
          <w:b/>
          <w:bCs/>
          <w:noProof/>
          <w:color w:val="0D0D0D" w:themeColor="text1" w:themeTint="F2"/>
          <w:sz w:val="22"/>
          <w:szCs w:val="22"/>
        </w:rPr>
        <w:t>los nombres de aquellos que reciben recursos públicos (proveedores),</w:t>
      </w:r>
      <w:r w:rsidRPr="00AD19E2">
        <w:rPr>
          <w:rFonts w:ascii="Palatino Linotype" w:hAnsi="Palatino Linotype" w:cs="Tahoma"/>
          <w:bCs/>
          <w:noProof/>
          <w:color w:val="0D0D0D" w:themeColor="text1" w:themeTint="F2"/>
          <w:sz w:val="22"/>
          <w:szCs w:val="22"/>
        </w:rPr>
        <w:t xml:space="preserve"> ya que la difusión de dicho dato constituye una obligación de transparencia por parte de los sujetos obligados.</w:t>
      </w:r>
    </w:p>
    <w:p w14:paraId="74446943"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7F872041"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Toma sustento con el artículo 92, fracciones XXXI, de la Ley de la materia, el cual establece que los sujetos obligados tienen la obligación de poner a disposición del público y mantener actualizada de acuerdo con sus facultades, atribuciones, funciones u objeto social, según corresponda el </w:t>
      </w:r>
      <w:r w:rsidRPr="00AD19E2">
        <w:rPr>
          <w:rFonts w:ascii="Palatino Linotype" w:hAnsi="Palatino Linotype" w:cs="Tahoma"/>
          <w:b/>
          <w:bCs/>
          <w:noProof/>
          <w:color w:val="0D0D0D" w:themeColor="text1" w:themeTint="F2"/>
          <w:sz w:val="22"/>
          <w:szCs w:val="22"/>
        </w:rPr>
        <w:t>Padrón de proveedores y contratistas.</w:t>
      </w:r>
    </w:p>
    <w:p w14:paraId="7DED539F"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lastRenderedPageBreak/>
        <w:t xml:space="preserve"> </w:t>
      </w:r>
    </w:p>
    <w:p w14:paraId="14ADFE44"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20021C9"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A1D06DF"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58997B7D" wp14:editId="13235722">
            <wp:extent cx="5742940" cy="752475"/>
            <wp:effectExtent l="0" t="0" r="0" b="9525"/>
            <wp:docPr id="115694774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752475"/>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169D4D64"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4DD27C55" wp14:editId="1EF89F93">
            <wp:extent cx="5742940" cy="495300"/>
            <wp:effectExtent l="0" t="0" r="0" b="0"/>
            <wp:docPr id="2884811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495300"/>
                    </a:xfrm>
                    <a:prstGeom prst="rect">
                      <a:avLst/>
                    </a:prstGeom>
                    <a:noFill/>
                    <a:ln>
                      <a:noFill/>
                    </a:ln>
                  </pic:spPr>
                </pic:pic>
              </a:graphicData>
            </a:graphic>
          </wp:inline>
        </w:drawing>
      </w:r>
      <w:r w:rsidRPr="00AD19E2">
        <w:rPr>
          <w:rFonts w:ascii="Palatino Linotype" w:hAnsi="Palatino Linotype" w:cs="Tahoma"/>
          <w:b/>
          <w:bCs/>
          <w:noProof/>
          <w:color w:val="0D0D0D" w:themeColor="text1" w:themeTint="F2"/>
          <w:sz w:val="22"/>
          <w:szCs w:val="22"/>
        </w:rPr>
        <w:t xml:space="preserve"> </w:t>
      </w:r>
    </w:p>
    <w:p w14:paraId="2BAEA788"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665DDAB4"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Por lo tanto, la Ley de Transparencia y Acceso a la Información Pública del Estado de México y Municipios, considera que </w:t>
      </w:r>
      <w:r w:rsidRPr="00AD19E2">
        <w:rPr>
          <w:rFonts w:ascii="Palatino Linotype" w:hAnsi="Palatino Linotype" w:cs="Tahoma"/>
          <w:b/>
          <w:bCs/>
          <w:noProof/>
          <w:color w:val="0D0D0D" w:themeColor="text1" w:themeTint="F2"/>
          <w:sz w:val="22"/>
          <w:szCs w:val="22"/>
        </w:rPr>
        <w:t xml:space="preserve">los datos de aquellas personas que recibieron recursos públicos, por regla general, </w:t>
      </w:r>
      <w:r w:rsidRPr="00AD19E2">
        <w:rPr>
          <w:rFonts w:ascii="Palatino Linotype" w:hAnsi="Palatino Linotype" w:cs="Tahoma"/>
          <w:bCs/>
          <w:noProof/>
          <w:color w:val="0D0D0D" w:themeColor="text1" w:themeTint="F2"/>
          <w:sz w:val="22"/>
          <w:szCs w:val="22"/>
        </w:rPr>
        <w:t xml:space="preserve">son de naturaleza pública, ya que su publicidad orienta a cumplir los objetivos que persigue la Ley; toda vez, </w:t>
      </w:r>
      <w:r w:rsidRPr="00AD19E2">
        <w:rPr>
          <w:rFonts w:ascii="Palatino Linotype" w:hAnsi="Palatino Linotype" w:cs="Tahoma"/>
          <w:b/>
          <w:bCs/>
          <w:noProof/>
          <w:color w:val="0D0D0D" w:themeColor="text1" w:themeTint="F2"/>
          <w:sz w:val="22"/>
          <w:szCs w:val="22"/>
        </w:rPr>
        <w:t>que ayuda a transparentar a quienes se les han otorgado recursos públicos, así como, porque razones se les otorgaron dichos montos.</w:t>
      </w:r>
    </w:p>
    <w:p w14:paraId="399C247A"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3630242D"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que, se considera que no procede la clasificación del nombre de los proveedores, en términos del artículo 143, fracción I de la Ley de Transparencia y Acceso a la Información Pública del Estado de México y Municipios.</w:t>
      </w:r>
    </w:p>
    <w:p w14:paraId="6FE8B39A"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4D3F124E"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Representante legal</w:t>
      </w:r>
    </w:p>
    <w:p w14:paraId="07AE21D1"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p>
    <w:p w14:paraId="3E53FC7C"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Al respecto, resulta necesario señalar que los proveedores pueden ser representadas mediante personas físicas, debidamente acreditadas para realizar determinados actos a nombre de estos, por lo que, el nombre de dichos individuos no puede ser objeto de clasificación, en virtud de que la representación persigue la finalidad de dar certeza jurídica a los actos que realiza, en el presente caso, aceptar y recibir un permiso de uso de vía pública, a nombre de la persona moral.</w:t>
      </w:r>
    </w:p>
    <w:p w14:paraId="3709E54F"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11AECD63"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7A09FF97"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6C9F3FA2"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En esa tesitura, la representación de las personas se realizará por medio de representantes o apoderados, y en el caso específico de las sociedades mercantiles, dicha representación se otorgará mediante instrumento público.</w:t>
      </w:r>
    </w:p>
    <w:p w14:paraId="34592CC1"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5C16A82D"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6C3EABCC"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3B51AF10"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y firma </w:t>
      </w:r>
      <w:r w:rsidRPr="00AD19E2">
        <w:rPr>
          <w:rFonts w:ascii="Palatino Linotype" w:eastAsia="Palatino Linotype" w:hAnsi="Palatino Linotype" w:cs="Palatino Linotype"/>
          <w:sz w:val="22"/>
          <w:szCs w:val="22"/>
        </w:rPr>
        <w:lastRenderedPageBreak/>
        <w:t xml:space="preserve">del apoderado legal de una empresa, </w:t>
      </w:r>
      <w:r w:rsidRPr="00AD19E2">
        <w:rPr>
          <w:rFonts w:ascii="Palatino Linotype" w:eastAsia="Palatino Linotype" w:hAnsi="Palatino Linotype" w:cs="Palatino Linotype"/>
          <w:b/>
          <w:sz w:val="22"/>
          <w:szCs w:val="22"/>
        </w:rPr>
        <w:t xml:space="preserve">es público, </w:t>
      </w:r>
      <w:r w:rsidRPr="00AD19E2">
        <w:rPr>
          <w:rFonts w:ascii="Palatino Linotype" w:eastAsia="Palatino Linotype" w:hAnsi="Palatino Linotype" w:cs="Palatino Linotype"/>
          <w:sz w:val="22"/>
          <w:szCs w:val="22"/>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47B5DFB0"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27534BD7"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Lo anterior, se robustece con el Criterio de Interpretación, de la Segunda Época, con clave de control SO/001/2019, emitido por el Instituto Nacional de Transparencia, Acceso a la Información y Protección de Datos Personales, que establece lo siguiente:</w:t>
      </w:r>
    </w:p>
    <w:p w14:paraId="419135F8"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p>
    <w:p w14:paraId="7AD05424" w14:textId="77777777" w:rsidR="00A23783" w:rsidRPr="00AD19E2" w:rsidRDefault="00A23783" w:rsidP="00A71FB8">
      <w:pPr>
        <w:spacing w:line="360" w:lineRule="auto"/>
        <w:ind w:left="567" w:right="567"/>
        <w:contextualSpacing/>
        <w:jc w:val="both"/>
        <w:rPr>
          <w:rFonts w:ascii="Palatino Linotype" w:eastAsia="Palatino Linotype" w:hAnsi="Palatino Linotype" w:cs="Palatino Linotype"/>
          <w:i/>
        </w:rPr>
      </w:pPr>
      <w:r w:rsidRPr="00AD19E2">
        <w:rPr>
          <w:rFonts w:ascii="Palatino Linotype" w:eastAsia="Palatino Linotype" w:hAnsi="Palatino Linotype" w:cs="Palatino Linotype"/>
          <w:b/>
          <w:i/>
        </w:rPr>
        <w:t>“Datos de identificación del representante o apoderado legal.</w:t>
      </w:r>
      <w:r w:rsidRPr="00AD19E2">
        <w:rPr>
          <w:rFonts w:ascii="Palatino Linotype" w:eastAsia="Palatino Linotype" w:hAnsi="Palatino Linotype" w:cs="Palatino Linotype"/>
          <w:i/>
        </w:rPr>
        <w:t xml:space="preserve"> </w:t>
      </w:r>
      <w:r w:rsidRPr="00AD19E2">
        <w:rPr>
          <w:rFonts w:ascii="Palatino Linotype" w:eastAsia="Palatino Linotype" w:hAnsi="Palatino Linotype" w:cs="Palatino Linotype"/>
          <w:b/>
          <w:i/>
        </w:rPr>
        <w:t xml:space="preserve">Naturaleza jurídica. </w:t>
      </w:r>
      <w:r w:rsidRPr="00AD19E2">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2538DC3F" w14:textId="77777777" w:rsidR="00A23783" w:rsidRPr="00AD19E2" w:rsidRDefault="00A23783" w:rsidP="00A71FB8">
      <w:pPr>
        <w:spacing w:line="360" w:lineRule="auto"/>
        <w:contextualSpacing/>
        <w:jc w:val="both"/>
        <w:rPr>
          <w:rFonts w:ascii="Palatino Linotype" w:eastAsia="Palatino Linotype" w:hAnsi="Palatino Linotype" w:cs="Palatino Linotype"/>
          <w:color w:val="FF0000"/>
          <w:sz w:val="22"/>
          <w:szCs w:val="22"/>
        </w:rPr>
      </w:pPr>
    </w:p>
    <w:p w14:paraId="11661769" w14:textId="77777777" w:rsidR="00A23783" w:rsidRPr="00AD19E2" w:rsidRDefault="00A23783" w:rsidP="00A71FB8">
      <w:pPr>
        <w:spacing w:line="360" w:lineRule="auto"/>
        <w:contextualSpacing/>
        <w:jc w:val="both"/>
        <w:rPr>
          <w:rFonts w:ascii="Palatino Linotype" w:eastAsia="Palatino Linotype" w:hAnsi="Palatino Linotype" w:cs="Palatino Linotype"/>
          <w:sz w:val="22"/>
          <w:szCs w:val="22"/>
        </w:rPr>
      </w:pPr>
      <w:r w:rsidRPr="00AD19E2">
        <w:rPr>
          <w:rFonts w:ascii="Palatino Linotype" w:eastAsia="Palatino Linotype" w:hAnsi="Palatino Linotype" w:cs="Palatino Linotype"/>
          <w:sz w:val="22"/>
          <w:szCs w:val="22"/>
        </w:rPr>
        <w:t>Ante tales situaciones, el nombre del representante legal, de una persona (física o moral) que celebra un contrato con el Ayuntamiento, no es susceptible de ser clasificado como confidencial, en términos del artículo 143, fracción I, de la Ley Federal de Transparencia y Acceso a la Información Pública.</w:t>
      </w:r>
    </w:p>
    <w:p w14:paraId="149CC54E"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p>
    <w:p w14:paraId="5D49F09D" w14:textId="77777777" w:rsidR="00A23783" w:rsidRPr="00AD19E2" w:rsidRDefault="00A23783" w:rsidP="00A71FB8">
      <w:pPr>
        <w:numPr>
          <w:ilvl w:val="0"/>
          <w:numId w:val="21"/>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Denominación o razón Social de proveedores personas morales.</w:t>
      </w:r>
    </w:p>
    <w:p w14:paraId="78A0A879"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466C2A4F"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Al respecto, se considera que la denominación o razón social de una persona moral, es pública, pues dichos datos se encuentran inscritos en el Registro Público del Comercio; lo anterior, toma sustento en el Criterio de Interpretación, de la Segunda Época, con número </w:t>
      </w:r>
      <w:r w:rsidRPr="00AD19E2">
        <w:rPr>
          <w:rFonts w:ascii="Palatino Linotype" w:hAnsi="Palatino Linotype" w:cs="Tahoma"/>
          <w:bCs/>
          <w:noProof/>
          <w:color w:val="0D0D0D" w:themeColor="text1" w:themeTint="F2"/>
          <w:sz w:val="22"/>
          <w:szCs w:val="22"/>
        </w:rPr>
        <w:lastRenderedPageBreak/>
        <w:t>de registro SO/008/2019, emitido por el Instituto Nacional de Transparencia, Acceso a la Información y Protección de Datos Personales, que precisa lo siguiente:</w:t>
      </w:r>
    </w:p>
    <w:p w14:paraId="3E9FF86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A089FB8" w14:textId="77777777" w:rsidR="00A23783" w:rsidRPr="00AD19E2" w:rsidRDefault="00A23783" w:rsidP="00A71FB8">
      <w:pPr>
        <w:spacing w:line="360" w:lineRule="auto"/>
        <w:ind w:left="567" w:right="567"/>
        <w:contextualSpacing/>
        <w:jc w:val="both"/>
        <w:rPr>
          <w:rFonts w:ascii="Palatino Linotype" w:hAnsi="Palatino Linotype" w:cs="Tahoma"/>
          <w:bCs/>
          <w:i/>
          <w:noProof/>
          <w:color w:val="0D0D0D" w:themeColor="text1" w:themeTint="F2"/>
        </w:rPr>
      </w:pPr>
      <w:r w:rsidRPr="00AD19E2">
        <w:rPr>
          <w:rFonts w:ascii="Palatino Linotype" w:hAnsi="Palatino Linotype" w:cs="Tahoma"/>
          <w:b/>
          <w:bCs/>
          <w:i/>
          <w:noProof/>
          <w:color w:val="0D0D0D" w:themeColor="text1" w:themeTint="F2"/>
        </w:rPr>
        <w:t xml:space="preserve">“Razón social y RFC de personas morales. </w:t>
      </w:r>
      <w:r w:rsidRPr="00AD19E2">
        <w:rPr>
          <w:rFonts w:ascii="Palatino Linotype" w:hAnsi="Palatino Linotype" w:cs="Tahoma"/>
          <w:bCs/>
          <w:i/>
          <w:noProof/>
          <w:color w:val="0D0D0D" w:themeColor="text1" w:themeTint="F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57E420B2"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65C7381C"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26C07625"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0813977"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Por lo tanto, no procede la clasificación de la denominación o razón social de los proveedores personas morales, en términos del artículo 143, fracción I de la Ley de Transparencia y Acceso a la Información Pública del Estado de México y Municipios.</w:t>
      </w:r>
    </w:p>
    <w:p w14:paraId="388663C5"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6AE58BB" w14:textId="77777777" w:rsidR="00A23783" w:rsidRPr="00AD19E2" w:rsidRDefault="00A23783" w:rsidP="00A71FB8">
      <w:pPr>
        <w:numPr>
          <w:ilvl w:val="0"/>
          <w:numId w:val="22"/>
        </w:num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Registro Federal de Contribuyentes de proveedor</w:t>
      </w:r>
    </w:p>
    <w:p w14:paraId="398EC172" w14:textId="77777777" w:rsidR="00A23783" w:rsidRPr="00AD19E2" w:rsidRDefault="00A23783" w:rsidP="00A71FB8">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349FFF24"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Persona física:</w:t>
      </w:r>
    </w:p>
    <w:p w14:paraId="790BE1EA"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57E6C60B"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 xml:space="preserve">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AD19E2">
        <w:rPr>
          <w:rFonts w:ascii="Palatino Linotype" w:hAnsi="Palatino Linotype" w:cs="Tahoma"/>
          <w:b/>
          <w:bCs/>
          <w:noProof/>
          <w:color w:val="0D0D0D" w:themeColor="text1" w:themeTint="F2"/>
          <w:sz w:val="22"/>
          <w:szCs w:val="22"/>
        </w:rPr>
        <w:t>la cédula de identificación fiscal (Registro Federal de Contribuyentes);</w:t>
      </w:r>
      <w:r w:rsidRPr="00AD19E2">
        <w:rPr>
          <w:rFonts w:ascii="Palatino Linotype" w:hAnsi="Palatino Linotype" w:cs="Tahoma"/>
          <w:bCs/>
          <w:noProof/>
          <w:color w:val="0D0D0D" w:themeColor="text1" w:themeTint="F2"/>
          <w:sz w:val="22"/>
          <w:szCs w:val="22"/>
        </w:rPr>
        <w:t xml:space="preserve"> por lo que la entrega de dicho dato permite verificar cumplimiento de esta disposición legal.</w:t>
      </w:r>
    </w:p>
    <w:p w14:paraId="4B486D89"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349EFCEF"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Por lo tanto, </w:t>
      </w:r>
      <w:r w:rsidRPr="00AD19E2">
        <w:rPr>
          <w:rFonts w:ascii="Palatino Linotype" w:hAnsi="Palatino Linotype" w:cs="Tahoma"/>
          <w:b/>
          <w:bCs/>
          <w:noProof/>
          <w:color w:val="0D0D0D" w:themeColor="text1" w:themeTint="F2"/>
          <w:sz w:val="22"/>
          <w:szCs w:val="22"/>
        </w:rPr>
        <w:t>en el presente caso, si bien el Registro Federal de Contribuyentes de personas físicas es un dato personal, también lo es, que corresponde a un requisito indispensable para ser proveedor y poder llevar a cabo actividades comerciales con la Entidad</w:t>
      </w:r>
      <w:r w:rsidRPr="00AD19E2">
        <w:rPr>
          <w:rFonts w:ascii="Palatino Linotype" w:hAnsi="Palatino Linotype" w:cs="Tahoma"/>
          <w:bCs/>
          <w:noProof/>
          <w:color w:val="0D0D0D" w:themeColor="text1" w:themeTint="F2"/>
          <w:sz w:val="22"/>
          <w:szCs w:val="22"/>
        </w:rPr>
        <w:t xml:space="preserve">, ya que, sin este, no se pueden realizar dichas acciones, </w:t>
      </w:r>
      <w:r w:rsidRPr="00AD19E2">
        <w:rPr>
          <w:rFonts w:ascii="Palatino Linotype" w:hAnsi="Palatino Linotype" w:cs="Tahoma"/>
          <w:b/>
          <w:bCs/>
          <w:noProof/>
          <w:color w:val="0D0D0D" w:themeColor="text1" w:themeTint="F2"/>
          <w:sz w:val="22"/>
          <w:szCs w:val="22"/>
        </w:rPr>
        <w:t>por lo que su entrega es un elemento adicional que respalda la legalidad de los procesos adquisitivos.</w:t>
      </w:r>
    </w:p>
    <w:p w14:paraId="525A2055"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66974FF7"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En ese contexto, entregar el Registro Federal de Contribuyentes aún de personas físicas cuando son proveedores de instituciones públicas, </w:t>
      </w:r>
      <w:r w:rsidRPr="00AD19E2">
        <w:rPr>
          <w:rFonts w:ascii="Palatino Linotype" w:hAnsi="Palatino Linotype" w:cs="Tahoma"/>
          <w:b/>
          <w:bCs/>
          <w:noProof/>
          <w:color w:val="0D0D0D" w:themeColor="text1" w:themeTint="F2"/>
          <w:sz w:val="22"/>
          <w:szCs w:val="22"/>
        </w:rPr>
        <w:t>propiciaría la rendición de cuentas</w:t>
      </w:r>
      <w:r w:rsidRPr="00AD19E2">
        <w:rPr>
          <w:rFonts w:ascii="Palatino Linotype" w:hAnsi="Palatino Linotype" w:cs="Tahoma"/>
          <w:bCs/>
          <w:noProof/>
          <w:color w:val="0D0D0D" w:themeColor="text1" w:themeTint="F2"/>
          <w:sz w:val="22"/>
          <w:szCs w:val="22"/>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55E3B6EF"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BEDC080"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Lo anterior, se robustece con el Criterio de Interpretación, de la Segunda Época, con número de registro SO/004/2021, emitido por el Instituto Nacional de Transparencia, Acceso a la Información y Protección de Datos Personales, en el cual se señala lo siguiente:</w:t>
      </w:r>
    </w:p>
    <w:p w14:paraId="0AFEA18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5878644" w14:textId="77777777" w:rsidR="00A23783" w:rsidRPr="00AD19E2" w:rsidRDefault="00A23783" w:rsidP="00A71FB8">
      <w:pPr>
        <w:spacing w:line="360" w:lineRule="auto"/>
        <w:ind w:left="567" w:right="567"/>
        <w:contextualSpacing/>
        <w:jc w:val="both"/>
        <w:rPr>
          <w:rFonts w:ascii="Palatino Linotype" w:hAnsi="Palatino Linotype" w:cs="Tahoma"/>
          <w:bCs/>
          <w:i/>
          <w:noProof/>
          <w:color w:val="0D0D0D" w:themeColor="text1" w:themeTint="F2"/>
        </w:rPr>
      </w:pPr>
      <w:r w:rsidRPr="00AD19E2">
        <w:rPr>
          <w:rFonts w:ascii="Palatino Linotype" w:hAnsi="Palatino Linotype" w:cs="Tahoma"/>
          <w:b/>
          <w:bCs/>
          <w:i/>
          <w:noProof/>
          <w:color w:val="0D0D0D" w:themeColor="text1" w:themeTint="F2"/>
        </w:rPr>
        <w:lastRenderedPageBreak/>
        <w:t xml:space="preserve">“Registro Federal de Contribuyentes (RFC) de personas físicas proveedores o contratistas. </w:t>
      </w:r>
      <w:r w:rsidRPr="00AD19E2">
        <w:rPr>
          <w:rFonts w:ascii="Palatino Linotype" w:hAnsi="Palatino Linotype" w:cs="Tahoma"/>
          <w:bCs/>
          <w:i/>
          <w:noProof/>
          <w:color w:val="0D0D0D" w:themeColor="text1" w:themeTint="F2"/>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1B36D0D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0F5D445"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u w:val="single"/>
        </w:rPr>
      </w:pPr>
      <w:r w:rsidRPr="00AD19E2">
        <w:rPr>
          <w:rFonts w:ascii="Palatino Linotype" w:hAnsi="Palatino Linotype" w:cs="Tahoma"/>
          <w:bCs/>
          <w:noProof/>
          <w:color w:val="0D0D0D" w:themeColor="text1" w:themeTint="F2"/>
          <w:sz w:val="22"/>
          <w:szCs w:val="22"/>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1DD1597"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6991F002"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Persona Moral</w:t>
      </w:r>
    </w:p>
    <w:p w14:paraId="1EB178BC"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19718F61"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34962FDD"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0B710E6"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Por ende, la información correspondiente al Registro Federal de Contribuyentes de una persona moral da cuenta del cumplimiento o no en sus obligaciones fiscales; por tanto, no se actualiza su clasificación como confidencial.</w:t>
      </w:r>
    </w:p>
    <w:p w14:paraId="0A0FF25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20D0C295"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03C59E5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F58476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8B75FA5" w14:textId="77777777" w:rsidR="00A23783" w:rsidRPr="00AD19E2" w:rsidRDefault="00A23783" w:rsidP="00A71FB8">
      <w:p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 xml:space="preserve"> </w:t>
      </w:r>
    </w:p>
    <w:p w14:paraId="7DDD016C" w14:textId="77777777" w:rsidR="00A23783" w:rsidRPr="00AD19E2" w:rsidRDefault="00A23783" w:rsidP="00A71FB8">
      <w:pPr>
        <w:numPr>
          <w:ilvl w:val="0"/>
          <w:numId w:val="21"/>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Número de teléfono de proveedor.</w:t>
      </w:r>
    </w:p>
    <w:p w14:paraId="228C8D30" w14:textId="77777777" w:rsidR="00A23783" w:rsidRPr="00AD19E2" w:rsidRDefault="00A23783" w:rsidP="00A71FB8">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05113525"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El número asignado a un teléfono, permite localizar, en el presente caso, de un proveedor, ya sea a través de un dispositivo móvil o bien, en un lugar como el domicilio; por lo que, se trata de un medio de contacto con el proveedor que tiene el Sujeto Obligado, los cuales, si bien hacen identificable a una persona, en el presente caso, se trata de una persona proveedora que recibe recursos públicos, derivado de los contratos celebrados con el Ayuntamieento y, por lo tanto, dicho dato guarda la naturaleza de público.</w:t>
      </w:r>
    </w:p>
    <w:p w14:paraId="00308398"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03505B4"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6D28C007" w14:textId="77777777" w:rsidR="00A23783" w:rsidRPr="00AD19E2" w:rsidRDefault="00A23783" w:rsidP="00A71FB8">
      <w:pPr>
        <w:spacing w:line="360" w:lineRule="auto"/>
        <w:contextualSpacing/>
        <w:jc w:val="both"/>
        <w:rPr>
          <w:rFonts w:ascii="Palatino Linotype" w:hAnsi="Palatino Linotype" w:cs="Tahoma"/>
          <w:b/>
          <w:bCs/>
          <w:iCs/>
          <w:noProof/>
          <w:color w:val="0D0D0D" w:themeColor="text1" w:themeTint="F2"/>
          <w:sz w:val="22"/>
          <w:szCs w:val="22"/>
        </w:rPr>
      </w:pPr>
      <w:r w:rsidRPr="00AD19E2">
        <w:rPr>
          <w:rFonts w:ascii="Palatino Linotype" w:hAnsi="Palatino Linotype" w:cs="Tahoma"/>
          <w:b/>
          <w:bCs/>
          <w:iCs/>
          <w:noProof/>
          <w:color w:val="0D0D0D" w:themeColor="text1" w:themeTint="F2"/>
          <w:sz w:val="22"/>
          <w:szCs w:val="22"/>
        </w:rPr>
        <w:t xml:space="preserve"> </w:t>
      </w:r>
    </w:p>
    <w:p w14:paraId="4F5BBB83"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430E83F3" wp14:editId="1EE8C7F0">
            <wp:extent cx="5686425" cy="1457325"/>
            <wp:effectExtent l="0" t="0" r="9525" b="9525"/>
            <wp:docPr id="19050770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1457325"/>
                    </a:xfrm>
                    <a:prstGeom prst="rect">
                      <a:avLst/>
                    </a:prstGeom>
                    <a:noFill/>
                    <a:ln>
                      <a:noFill/>
                    </a:ln>
                  </pic:spPr>
                </pic:pic>
              </a:graphicData>
            </a:graphic>
          </wp:inline>
        </w:drawing>
      </w:r>
    </w:p>
    <w:p w14:paraId="0D356AE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55520EDB"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Como se logra observar, el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4810CE96"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47D220F7" w14:textId="77777777" w:rsidR="00A23783" w:rsidRPr="00AD19E2" w:rsidRDefault="00A23783" w:rsidP="00A71FB8">
      <w:pPr>
        <w:numPr>
          <w:ilvl w:val="0"/>
          <w:numId w:val="21"/>
        </w:numPr>
        <w:spacing w:line="360" w:lineRule="auto"/>
        <w:contextualSpacing/>
        <w:jc w:val="both"/>
        <w:rPr>
          <w:rFonts w:ascii="Palatino Linotype" w:hAnsi="Palatino Linotype" w:cs="Tahoma"/>
          <w:b/>
          <w:bCs/>
          <w:noProof/>
          <w:color w:val="0D0D0D" w:themeColor="text1" w:themeTint="F2"/>
          <w:sz w:val="22"/>
          <w:szCs w:val="22"/>
        </w:rPr>
      </w:pPr>
      <w:r w:rsidRPr="00AD19E2">
        <w:rPr>
          <w:rFonts w:ascii="Palatino Linotype" w:hAnsi="Palatino Linotype" w:cs="Tahoma"/>
          <w:b/>
          <w:bCs/>
          <w:noProof/>
          <w:color w:val="0D0D0D" w:themeColor="text1" w:themeTint="F2"/>
          <w:sz w:val="22"/>
          <w:szCs w:val="22"/>
        </w:rPr>
        <w:t>Domicilio Fiscal o legal para recibir y oír notificaciones (proveedor persona física o moral).</w:t>
      </w:r>
    </w:p>
    <w:p w14:paraId="634780B7" w14:textId="77777777" w:rsidR="00A23783" w:rsidRDefault="00A23783" w:rsidP="00A71FB8">
      <w:pPr>
        <w:spacing w:line="360" w:lineRule="auto"/>
        <w:contextualSpacing/>
        <w:jc w:val="both"/>
        <w:rPr>
          <w:rFonts w:ascii="Palatino Linotype" w:hAnsi="Palatino Linotype" w:cs="Tahoma"/>
          <w:bCs/>
          <w:noProof/>
          <w:color w:val="0D0D0D" w:themeColor="text1" w:themeTint="F2"/>
          <w:sz w:val="22"/>
          <w:szCs w:val="22"/>
        </w:rPr>
      </w:pPr>
    </w:p>
    <w:p w14:paraId="4921D647"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287E7F9" w14:textId="6FF6C5BC"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lastRenderedPageBreak/>
        <w:t>De la misma manera, lo establece los diversos 29 y 33 del Código Civil Federal, al precisar que el domicilio de personas físicas</w:t>
      </w:r>
      <w:r w:rsidRPr="00AD19E2">
        <w:rPr>
          <w:rFonts w:ascii="Palatino Linotype" w:hAnsi="Palatino Linotype" w:cs="Tahoma"/>
          <w:b/>
          <w:bCs/>
          <w:noProof/>
          <w:color w:val="0D0D0D" w:themeColor="text1" w:themeTint="F2"/>
          <w:sz w:val="22"/>
          <w:szCs w:val="22"/>
        </w:rPr>
        <w:t xml:space="preserve">, es el lugar donde residen habitualmente, el lugar del centro principal de sus negocios, donde residan o el lugar donde se encuentren; </w:t>
      </w:r>
      <w:r w:rsidRPr="00AD19E2">
        <w:rPr>
          <w:rFonts w:ascii="Palatino Linotype" w:hAnsi="Palatino Linotype" w:cs="Tahoma"/>
          <w:bCs/>
          <w:noProof/>
          <w:color w:val="0D0D0D" w:themeColor="text1" w:themeTint="F2"/>
          <w:sz w:val="22"/>
          <w:szCs w:val="22"/>
        </w:rPr>
        <w:t>mientras que, de las personas morales, aquel donde se halle su administración.</w:t>
      </w:r>
      <w:r>
        <w:rPr>
          <w:rFonts w:ascii="Palatino Linotype" w:hAnsi="Palatino Linotype" w:cs="Tahoma"/>
          <w:bCs/>
          <w:noProof/>
          <w:color w:val="0D0D0D" w:themeColor="text1" w:themeTint="F2"/>
          <w:sz w:val="22"/>
          <w:szCs w:val="22"/>
        </w:rPr>
        <w:t xml:space="preserve"> </w:t>
      </w:r>
      <w:r w:rsidRPr="00AD19E2">
        <w:rPr>
          <w:rFonts w:ascii="Palatino Linotype" w:hAnsi="Palatino Linotype" w:cs="Tahoma"/>
          <w:bCs/>
          <w:noProof/>
          <w:color w:val="0D0D0D" w:themeColor="text1" w:themeTint="F2"/>
          <w:sz w:val="22"/>
          <w:szCs w:val="22"/>
        </w:rPr>
        <w:t>Además, respecto al domicilio fiscal, resulta necesario traer el artículo 10 del Código Fiscal de la Federación, que establece que, tratándose de personas físicas, corresponderá dicho dato:</w:t>
      </w:r>
    </w:p>
    <w:p w14:paraId="32DAE664"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6597324A" w14:textId="3C2F4913" w:rsidR="00A71FB8" w:rsidRPr="00A71FB8" w:rsidRDefault="00A23783" w:rsidP="00A71FB8">
      <w:pPr>
        <w:numPr>
          <w:ilvl w:val="0"/>
          <w:numId w:val="23"/>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El lugar donde realizan actividades empresariales, el local, en que se encuentre el principal asiente de sus negocios, y</w:t>
      </w:r>
    </w:p>
    <w:p w14:paraId="0D925F74" w14:textId="77777777" w:rsidR="00A23783" w:rsidRPr="00AD19E2" w:rsidRDefault="00A23783" w:rsidP="00A71FB8">
      <w:pPr>
        <w:numPr>
          <w:ilvl w:val="0"/>
          <w:numId w:val="23"/>
        </w:num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La casa habitación, cuando no cuenta con un local o lugar donde realice las acciones previamente señaladas.</w:t>
      </w:r>
    </w:p>
    <w:p w14:paraId="43649D30"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05EF0F2F"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3F26424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 </w:t>
      </w:r>
    </w:p>
    <w:p w14:paraId="39C8C30E"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 xml:space="preserve">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w:t>
      </w:r>
      <w:r w:rsidRPr="00AD19E2">
        <w:rPr>
          <w:rFonts w:ascii="Palatino Linotype" w:hAnsi="Palatino Linotype" w:cs="Tahoma"/>
          <w:bCs/>
          <w:noProof/>
          <w:color w:val="0D0D0D" w:themeColor="text1" w:themeTint="F2"/>
          <w:sz w:val="22"/>
          <w:szCs w:val="22"/>
        </w:rPr>
        <w:lastRenderedPageBreak/>
        <w:t>productos o servicios y recibir por ellos dinero del erario, situación que debe ser transparentada.</w:t>
      </w:r>
    </w:p>
    <w:p w14:paraId="65EFCB32" w14:textId="77777777" w:rsidR="00A23783" w:rsidRPr="00AD19E2" w:rsidRDefault="00A23783" w:rsidP="00A71FB8">
      <w:pPr>
        <w:spacing w:line="360" w:lineRule="auto"/>
        <w:contextualSpacing/>
        <w:jc w:val="both"/>
        <w:rPr>
          <w:rFonts w:ascii="Palatino Linotype" w:hAnsi="Palatino Linotype" w:cs="Tahoma"/>
          <w:bCs/>
          <w:i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t xml:space="preserve"> </w:t>
      </w:r>
    </w:p>
    <w:p w14:paraId="3B533892" w14:textId="77777777"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t xml:space="preserve">Ahora bien, en el caso de que el domicilio corresponda al lugar donde realiza sus actividades empresariales, como es el caso de las personas morales, se considera necesario traer a colación, </w:t>
      </w:r>
      <w:r w:rsidRPr="00AD19E2">
        <w:rPr>
          <w:rFonts w:ascii="Palatino Linotype" w:hAnsi="Palatino Linotype" w:cs="Tahoma"/>
          <w:bCs/>
          <w:noProof/>
          <w:color w:val="0D0D0D" w:themeColor="text1" w:themeTint="F2"/>
          <w:sz w:val="22"/>
          <w:szCs w:val="22"/>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02AE191A" w14:textId="77777777" w:rsidR="00A23783" w:rsidRPr="00AD19E2" w:rsidRDefault="00A23783" w:rsidP="00A71FB8">
      <w:pPr>
        <w:spacing w:line="360" w:lineRule="auto"/>
        <w:contextualSpacing/>
        <w:jc w:val="center"/>
        <w:rPr>
          <w:rFonts w:ascii="Palatino Linotype" w:hAnsi="Palatino Linotype" w:cs="Tahoma"/>
          <w:bCs/>
          <w:noProof/>
          <w:color w:val="0D0D0D" w:themeColor="text1" w:themeTint="F2"/>
          <w:sz w:val="22"/>
          <w:szCs w:val="22"/>
        </w:rPr>
      </w:pPr>
    </w:p>
    <w:p w14:paraId="6C05A8AC" w14:textId="77777777" w:rsidR="00A23783" w:rsidRPr="00AD19E2" w:rsidRDefault="00A23783" w:rsidP="00A71FB8">
      <w:pPr>
        <w:spacing w:line="360" w:lineRule="auto"/>
        <w:contextualSpacing/>
        <w:jc w:val="center"/>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634B00AD" wp14:editId="4F65D96B">
            <wp:extent cx="4220307" cy="567292"/>
            <wp:effectExtent l="0" t="0" r="0" b="4445"/>
            <wp:docPr id="9451190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0702" cy="571378"/>
                    </a:xfrm>
                    <a:prstGeom prst="rect">
                      <a:avLst/>
                    </a:prstGeom>
                    <a:noFill/>
                    <a:ln>
                      <a:noFill/>
                    </a:ln>
                  </pic:spPr>
                </pic:pic>
              </a:graphicData>
            </a:graphic>
          </wp:inline>
        </w:drawing>
      </w:r>
    </w:p>
    <w:p w14:paraId="3024D176" w14:textId="77777777" w:rsidR="00A23783" w:rsidRPr="00AD19E2" w:rsidRDefault="00A23783" w:rsidP="00A71FB8">
      <w:pPr>
        <w:spacing w:line="360" w:lineRule="auto"/>
        <w:contextualSpacing/>
        <w:jc w:val="center"/>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drawing>
          <wp:inline distT="0" distB="0" distL="0" distR="0" wp14:anchorId="1152BF48" wp14:editId="2E80E5BA">
            <wp:extent cx="4190163" cy="2507298"/>
            <wp:effectExtent l="0" t="0" r="1270" b="7620"/>
            <wp:docPr id="18469935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2003" cy="2514383"/>
                    </a:xfrm>
                    <a:prstGeom prst="rect">
                      <a:avLst/>
                    </a:prstGeom>
                    <a:noFill/>
                    <a:ln>
                      <a:noFill/>
                    </a:ln>
                  </pic:spPr>
                </pic:pic>
              </a:graphicData>
            </a:graphic>
          </wp:inline>
        </w:drawing>
      </w:r>
    </w:p>
    <w:p w14:paraId="378C9B92" w14:textId="77777777" w:rsidR="00A23783" w:rsidRDefault="00A23783" w:rsidP="00A71FB8">
      <w:pPr>
        <w:spacing w:line="360" w:lineRule="auto"/>
        <w:contextualSpacing/>
        <w:jc w:val="both"/>
        <w:rPr>
          <w:rFonts w:ascii="Palatino Linotype" w:hAnsi="Palatino Linotype" w:cs="Tahoma"/>
          <w:bCs/>
          <w:noProof/>
          <w:color w:val="0D0D0D" w:themeColor="text1" w:themeTint="F2"/>
          <w:sz w:val="22"/>
          <w:szCs w:val="22"/>
        </w:rPr>
      </w:pPr>
    </w:p>
    <w:p w14:paraId="0F8479E8" w14:textId="5EBA9901" w:rsidR="00A23783" w:rsidRPr="00AD19E2"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68456B2E" w14:textId="77777777" w:rsidR="00A23783" w:rsidRPr="00AD19E2" w:rsidRDefault="00A23783" w:rsidP="00A71FB8">
      <w:pPr>
        <w:spacing w:line="360" w:lineRule="auto"/>
        <w:contextualSpacing/>
        <w:jc w:val="both"/>
        <w:rPr>
          <w:rFonts w:ascii="Palatino Linotype" w:hAnsi="Palatino Linotype" w:cs="Tahoma"/>
          <w:bCs/>
          <w:iCs/>
          <w:noProof/>
          <w:color w:val="0D0D0D" w:themeColor="text1" w:themeTint="F2"/>
          <w:sz w:val="22"/>
          <w:szCs w:val="22"/>
        </w:rPr>
      </w:pPr>
      <w:r w:rsidRPr="00AD19E2">
        <w:rPr>
          <w:rFonts w:ascii="Palatino Linotype" w:hAnsi="Palatino Linotype" w:cs="Tahoma"/>
          <w:bCs/>
          <w:iCs/>
          <w:noProof/>
          <w:color w:val="0D0D0D" w:themeColor="text1" w:themeTint="F2"/>
          <w:sz w:val="22"/>
          <w:szCs w:val="22"/>
        </w:rPr>
        <w:lastRenderedPageBreak/>
        <w:t xml:space="preserve"> </w:t>
      </w:r>
    </w:p>
    <w:p w14:paraId="4A2DC2DD" w14:textId="77777777" w:rsidR="00A23783" w:rsidRDefault="00A23783" w:rsidP="00A71FB8">
      <w:pPr>
        <w:spacing w:line="360" w:lineRule="auto"/>
        <w:contextualSpacing/>
        <w:jc w:val="both"/>
        <w:rPr>
          <w:rFonts w:ascii="Palatino Linotype" w:hAnsi="Palatino Linotype" w:cs="Tahoma"/>
          <w:bCs/>
          <w:noProof/>
          <w:color w:val="0D0D0D" w:themeColor="text1" w:themeTint="F2"/>
          <w:sz w:val="22"/>
          <w:szCs w:val="22"/>
        </w:rPr>
      </w:pPr>
      <w:r w:rsidRPr="00AD19E2">
        <w:rPr>
          <w:rFonts w:ascii="Palatino Linotype" w:hAnsi="Palatino Linotype" w:cs="Tahoma"/>
          <w:bCs/>
          <w:noProof/>
          <w:color w:val="0D0D0D" w:themeColor="text1" w:themeTint="F2"/>
          <w:sz w:val="22"/>
          <w:szCs w:val="22"/>
        </w:rPr>
        <w:t>De tal suerte que, tratándose de proveedores (personas físicas o jurídico-colectivas), el domicilio fiscal, no actualiza la causal de clasificación, establecida en el artículo 143, fracción I de la Ley de Transparencia y Acceso a la Información Pública del</w:t>
      </w:r>
      <w:r>
        <w:rPr>
          <w:rFonts w:ascii="Palatino Linotype" w:hAnsi="Palatino Linotype" w:cs="Tahoma"/>
          <w:bCs/>
          <w:noProof/>
          <w:color w:val="0D0D0D" w:themeColor="text1" w:themeTint="F2"/>
          <w:sz w:val="22"/>
          <w:szCs w:val="22"/>
        </w:rPr>
        <w:t xml:space="preserve"> Estado de México y Municipios.</w:t>
      </w:r>
    </w:p>
    <w:p w14:paraId="09F86390"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260DA10D" w14:textId="2D445EF2" w:rsidR="00B63510" w:rsidRPr="009B4D9D" w:rsidRDefault="00B63510" w:rsidP="00A71FB8">
      <w:pPr>
        <w:spacing w:line="360" w:lineRule="auto"/>
        <w:contextualSpacing/>
        <w:jc w:val="both"/>
        <w:rPr>
          <w:rFonts w:ascii="Palatino Linotype" w:eastAsia="Calibri" w:hAnsi="Palatino Linotype" w:cs="Tahoma"/>
          <w:bCs/>
          <w:sz w:val="22"/>
          <w:szCs w:val="22"/>
          <w:lang w:val="es-ES"/>
        </w:rPr>
      </w:pPr>
      <w:r w:rsidRPr="009B4D9D">
        <w:rPr>
          <w:rFonts w:ascii="Palatino Linotype" w:eastAsia="Calibri" w:hAnsi="Palatino Linotype" w:cs="Tahoma"/>
          <w:bCs/>
          <w:sz w:val="22"/>
          <w:szCs w:val="22"/>
          <w:lang w:val="es-ES_tradnl"/>
        </w:rPr>
        <w:t xml:space="preserve">Finalmente, </w:t>
      </w:r>
      <w:r>
        <w:rPr>
          <w:rFonts w:ascii="Palatino Linotype" w:eastAsia="Calibri" w:hAnsi="Palatino Linotype" w:cs="Tahoma"/>
          <w:bCs/>
          <w:sz w:val="22"/>
          <w:szCs w:val="22"/>
          <w:lang w:val="es-ES_tradnl"/>
        </w:rPr>
        <w:t xml:space="preserve">respecto </w:t>
      </w:r>
      <w:r w:rsidRPr="009B4D9D">
        <w:rPr>
          <w:rFonts w:ascii="Palatino Linotype" w:eastAsia="Calibri" w:hAnsi="Palatino Linotype" w:cs="Tahoma"/>
          <w:bCs/>
          <w:sz w:val="22"/>
          <w:szCs w:val="22"/>
          <w:lang w:val="es-ES_tradnl"/>
        </w:rPr>
        <w:t>del pago realizado pudiera tener da</w:t>
      </w:r>
      <w:r>
        <w:rPr>
          <w:rFonts w:ascii="Palatino Linotype" w:eastAsia="Calibri" w:hAnsi="Palatino Linotype" w:cs="Tahoma"/>
          <w:bCs/>
          <w:sz w:val="22"/>
          <w:szCs w:val="22"/>
          <w:lang w:val="es-ES_tradnl"/>
        </w:rPr>
        <w:t xml:space="preserve">tos confidenciales, como lo es, </w:t>
      </w:r>
      <w:r w:rsidRPr="009B4D9D">
        <w:rPr>
          <w:rFonts w:ascii="Palatino Linotype" w:eastAsia="Calibri" w:hAnsi="Palatino Linotype" w:cs="Tahoma"/>
          <w:bCs/>
          <w:sz w:val="22"/>
          <w:szCs w:val="22"/>
          <w:lang w:val="es-ES_tradnl"/>
        </w:rPr>
        <w:t xml:space="preserve">el número de cuenta bancaria o institución bancaria del proveedor, por lo que, deberá entregarlo, en su caso, en versión pública; lo anterior, de conformidad con el </w:t>
      </w:r>
      <w:r w:rsidRPr="009B4D9D">
        <w:rPr>
          <w:rFonts w:ascii="Palatino Linotype" w:eastAsia="Calibri" w:hAnsi="Palatino Linotype" w:cs="Tahoma"/>
          <w:bCs/>
          <w:sz w:val="22"/>
          <w:szCs w:val="22"/>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3E82E49" w14:textId="77777777" w:rsidR="00B63510" w:rsidRPr="009B4D9D" w:rsidRDefault="00B63510" w:rsidP="00A71FB8">
      <w:pPr>
        <w:spacing w:line="360" w:lineRule="auto"/>
        <w:contextualSpacing/>
        <w:jc w:val="both"/>
        <w:rPr>
          <w:rFonts w:ascii="Palatino Linotype" w:eastAsia="Calibri" w:hAnsi="Palatino Linotype" w:cs="Tahoma"/>
          <w:bCs/>
          <w:sz w:val="22"/>
          <w:szCs w:val="22"/>
          <w:lang w:val="es-ES"/>
        </w:rPr>
      </w:pPr>
    </w:p>
    <w:p w14:paraId="308A3F69" w14:textId="2D449A0F" w:rsidR="00A23783" w:rsidRDefault="00B63510" w:rsidP="00A71FB8">
      <w:pPr>
        <w:spacing w:line="360" w:lineRule="auto"/>
        <w:contextualSpacing/>
        <w:jc w:val="both"/>
        <w:rPr>
          <w:rFonts w:ascii="Palatino Linotype" w:eastAsia="Palatino Linotype" w:hAnsi="Palatino Linotype" w:cs="Palatino Linotype"/>
          <w:sz w:val="22"/>
          <w:szCs w:val="22"/>
        </w:rPr>
      </w:pPr>
      <w:r w:rsidRPr="009B4D9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873ED73" w14:textId="77777777" w:rsidR="00A23783" w:rsidRDefault="00A23783" w:rsidP="00A71FB8">
      <w:pPr>
        <w:spacing w:line="360" w:lineRule="auto"/>
        <w:contextualSpacing/>
        <w:jc w:val="both"/>
        <w:rPr>
          <w:rFonts w:ascii="Palatino Linotype" w:eastAsia="Palatino Linotype" w:hAnsi="Palatino Linotype" w:cs="Palatino Linotype"/>
          <w:sz w:val="22"/>
          <w:szCs w:val="22"/>
        </w:rPr>
      </w:pPr>
    </w:p>
    <w:p w14:paraId="19104370" w14:textId="77777777" w:rsidR="001C0810" w:rsidRDefault="001C0810" w:rsidP="00A71FB8">
      <w:pPr>
        <w:pStyle w:val="Ttulo2"/>
        <w:spacing w:before="0" w:after="0" w:line="360" w:lineRule="auto"/>
        <w:contextualSpacing/>
        <w:rPr>
          <w:rFonts w:ascii="Palatino Linotype" w:eastAsia="Palatino Linotype" w:hAnsi="Palatino Linotype" w:cs="Palatino Linotype"/>
          <w:b/>
          <w:color w:val="000000"/>
          <w:sz w:val="22"/>
          <w:szCs w:val="22"/>
        </w:rPr>
      </w:pPr>
      <w:bookmarkStart w:id="20" w:name="_Toc215679576"/>
      <w:bookmarkStart w:id="21" w:name="_Toc221810550"/>
      <w:r>
        <w:rPr>
          <w:rFonts w:ascii="Palatino Linotype" w:eastAsia="Palatino Linotype" w:hAnsi="Palatino Linotype" w:cs="Palatino Linotype"/>
          <w:b/>
          <w:color w:val="000000"/>
          <w:sz w:val="22"/>
          <w:szCs w:val="22"/>
        </w:rPr>
        <w:t>SEXTO. Decisión</w:t>
      </w:r>
      <w:bookmarkEnd w:id="20"/>
      <w:bookmarkEnd w:id="21"/>
    </w:p>
    <w:p w14:paraId="1FF7D50A"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01B4A0B3" w14:textId="118C038D" w:rsidR="001C0810" w:rsidRDefault="001C0810" w:rsidP="00A71FB8">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05752E">
        <w:rPr>
          <w:rFonts w:ascii="Palatino Linotype" w:eastAsia="Palatino Linotype" w:hAnsi="Palatino Linotype" w:cs="Palatino Linotype"/>
          <w:b/>
          <w:sz w:val="22"/>
          <w:szCs w:val="22"/>
        </w:rPr>
        <w:lastRenderedPageBreak/>
        <w:t>REVO</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la solicitud de información </w:t>
      </w:r>
      <w:r w:rsidR="00B63510" w:rsidRPr="001C0810">
        <w:rPr>
          <w:rFonts w:ascii="Palatino Linotype" w:eastAsia="Palatino Linotype" w:hAnsi="Palatino Linotype" w:cs="Palatino Linotype"/>
          <w:sz w:val="22"/>
          <w:szCs w:val="22"/>
        </w:rPr>
        <w:t>00355/ZINACANT/IP/2025</w:t>
      </w:r>
      <w:r>
        <w:rPr>
          <w:rFonts w:ascii="Palatino Linotype" w:eastAsia="Palatino Linotype" w:hAnsi="Palatino Linotype" w:cs="Palatino Linotype"/>
          <w:sz w:val="22"/>
          <w:szCs w:val="22"/>
        </w:rPr>
        <w:t xml:space="preserve">, a efecto de que, proporcione la información </w:t>
      </w:r>
      <w:r w:rsidR="0005752E">
        <w:rPr>
          <w:rFonts w:ascii="Palatino Linotype" w:eastAsia="Palatino Linotype" w:hAnsi="Palatino Linotype" w:cs="Palatino Linotype"/>
          <w:sz w:val="22"/>
          <w:szCs w:val="22"/>
        </w:rPr>
        <w:t>solicitada</w:t>
      </w:r>
      <w:r>
        <w:rPr>
          <w:rFonts w:ascii="Palatino Linotype" w:eastAsia="Palatino Linotype" w:hAnsi="Palatino Linotype" w:cs="Palatino Linotype"/>
          <w:sz w:val="22"/>
          <w:szCs w:val="22"/>
        </w:rPr>
        <w:t>.</w:t>
      </w:r>
    </w:p>
    <w:p w14:paraId="7A004B1D" w14:textId="77777777" w:rsidR="00B63510" w:rsidRDefault="00B63510" w:rsidP="00A71FB8">
      <w:pPr>
        <w:spacing w:line="360" w:lineRule="auto"/>
        <w:contextualSpacing/>
        <w:jc w:val="both"/>
        <w:rPr>
          <w:rFonts w:ascii="Palatino Linotype" w:eastAsia="Palatino Linotype" w:hAnsi="Palatino Linotype" w:cs="Palatino Linotype"/>
          <w:b/>
          <w:color w:val="000000"/>
          <w:sz w:val="22"/>
          <w:szCs w:val="22"/>
        </w:rPr>
      </w:pPr>
      <w:bookmarkStart w:id="22" w:name="_heading=h.u9526am5hh65" w:colFirst="0" w:colLast="0"/>
      <w:bookmarkEnd w:id="22"/>
    </w:p>
    <w:p w14:paraId="0985B21F" w14:textId="02AE7662" w:rsidR="001C0810" w:rsidRDefault="001C0810" w:rsidP="00A71FB8">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Términos de la Resolución para el Recurrente</w:t>
      </w:r>
    </w:p>
    <w:p w14:paraId="690F007D" w14:textId="77777777" w:rsidR="001C0810" w:rsidRDefault="001C0810" w:rsidP="00A71FB8">
      <w:pPr>
        <w:spacing w:line="360" w:lineRule="auto"/>
        <w:contextualSpacing/>
        <w:jc w:val="both"/>
        <w:rPr>
          <w:rFonts w:ascii="Palatino Linotype" w:eastAsia="Palatino Linotype" w:hAnsi="Palatino Linotype" w:cs="Palatino Linotype"/>
          <w:b/>
          <w:color w:val="000000"/>
          <w:sz w:val="22"/>
          <w:szCs w:val="22"/>
        </w:rPr>
      </w:pPr>
    </w:p>
    <w:p w14:paraId="2AF1567A" w14:textId="77777777" w:rsidR="00A607BF" w:rsidRDefault="001C0810" w:rsidP="00A71FB8">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B63510">
        <w:rPr>
          <w:rFonts w:ascii="Palatino Linotype" w:eastAsia="Palatino Linotype" w:hAnsi="Palatino Linotype" w:cs="Palatino Linotype"/>
          <w:color w:val="000000"/>
          <w:sz w:val="22"/>
          <w:szCs w:val="22"/>
        </w:rPr>
        <w:t>Zinacantepec</w:t>
      </w:r>
      <w:r>
        <w:rPr>
          <w:rFonts w:ascii="Palatino Linotype" w:eastAsia="Palatino Linotype" w:hAnsi="Palatino Linotype" w:cs="Palatino Linotype"/>
          <w:color w:val="000000"/>
          <w:sz w:val="22"/>
          <w:szCs w:val="22"/>
        </w:rPr>
        <w:t xml:space="preserve">, omitió la entrega de la información solicitada, sumado a que omitió gestionar la solicitud a </w:t>
      </w:r>
      <w:r w:rsidR="00B63510">
        <w:rPr>
          <w:rFonts w:ascii="Palatino Linotype" w:eastAsia="Palatino Linotype" w:hAnsi="Palatino Linotype" w:cs="Palatino Linotype"/>
          <w:color w:val="000000"/>
          <w:sz w:val="22"/>
          <w:szCs w:val="22"/>
        </w:rPr>
        <w:t xml:space="preserve">todas </w:t>
      </w:r>
      <w:r>
        <w:rPr>
          <w:rFonts w:ascii="Palatino Linotype" w:eastAsia="Palatino Linotype" w:hAnsi="Palatino Linotype" w:cs="Palatino Linotype"/>
          <w:color w:val="000000"/>
          <w:sz w:val="22"/>
          <w:szCs w:val="22"/>
        </w:rPr>
        <w:t xml:space="preserve">las unidades administrativas competentes, por lo que deberá turnar la solicitud a efecto de proporcionar la información requerida. </w:t>
      </w:r>
    </w:p>
    <w:p w14:paraId="22B67314" w14:textId="77777777" w:rsidR="00A607BF" w:rsidRDefault="00A607BF" w:rsidP="00A71FB8">
      <w:pPr>
        <w:spacing w:line="360" w:lineRule="auto"/>
        <w:contextualSpacing/>
        <w:jc w:val="both"/>
        <w:rPr>
          <w:rFonts w:ascii="Palatino Linotype" w:eastAsia="Palatino Linotype" w:hAnsi="Palatino Linotype" w:cs="Palatino Linotype"/>
          <w:color w:val="000000"/>
          <w:sz w:val="22"/>
          <w:szCs w:val="22"/>
        </w:rPr>
      </w:pPr>
    </w:p>
    <w:p w14:paraId="7F92B934" w14:textId="078F6230" w:rsidR="001C0810" w:rsidRDefault="001C0810" w:rsidP="00A71FB8">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3AD7EFD6" w14:textId="77777777" w:rsidR="001C0810" w:rsidRDefault="001C0810" w:rsidP="00A71FB8">
      <w:pPr>
        <w:spacing w:line="360" w:lineRule="auto"/>
        <w:contextualSpacing/>
        <w:jc w:val="both"/>
        <w:rPr>
          <w:rFonts w:ascii="Palatino Linotype" w:eastAsia="Palatino Linotype" w:hAnsi="Palatino Linotype" w:cs="Palatino Linotype"/>
          <w:color w:val="000000"/>
          <w:sz w:val="22"/>
          <w:szCs w:val="22"/>
        </w:rPr>
      </w:pPr>
    </w:p>
    <w:p w14:paraId="0918A69C" w14:textId="77777777" w:rsidR="001C0810" w:rsidRDefault="001C0810" w:rsidP="00A71FB8">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11BC5530" w14:textId="77777777" w:rsidR="001C0810" w:rsidRDefault="001C0810" w:rsidP="00A71FB8">
      <w:pPr>
        <w:spacing w:line="360" w:lineRule="auto"/>
        <w:ind w:right="-93"/>
        <w:contextualSpacing/>
        <w:jc w:val="both"/>
        <w:rPr>
          <w:rFonts w:ascii="Palatino Linotype" w:eastAsia="Palatino Linotype" w:hAnsi="Palatino Linotype" w:cs="Palatino Linotype"/>
          <w:color w:val="000000"/>
          <w:sz w:val="22"/>
          <w:szCs w:val="22"/>
        </w:rPr>
      </w:pPr>
    </w:p>
    <w:p w14:paraId="011CD3DB" w14:textId="77777777" w:rsidR="001C0810" w:rsidRDefault="001C0810" w:rsidP="00A71FB8">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3" w:name="_Toc215679577"/>
      <w:bookmarkStart w:id="24" w:name="_Toc221810551"/>
      <w:r>
        <w:rPr>
          <w:rFonts w:ascii="Palatino Linotype" w:eastAsia="Palatino Linotype" w:hAnsi="Palatino Linotype" w:cs="Palatino Linotype"/>
          <w:b/>
          <w:color w:val="000000"/>
          <w:sz w:val="22"/>
          <w:szCs w:val="22"/>
        </w:rPr>
        <w:t>R E S U E L V E</w:t>
      </w:r>
      <w:bookmarkEnd w:id="23"/>
      <w:bookmarkEnd w:id="24"/>
    </w:p>
    <w:p w14:paraId="49F81BA0" w14:textId="77777777" w:rsidR="001C0810" w:rsidRDefault="001C0810" w:rsidP="00A71FB8">
      <w:pPr>
        <w:spacing w:line="360" w:lineRule="auto"/>
        <w:ind w:right="-28"/>
        <w:contextualSpacing/>
        <w:jc w:val="both"/>
        <w:rPr>
          <w:rFonts w:ascii="Palatino Linotype" w:eastAsia="Palatino Linotype" w:hAnsi="Palatino Linotype" w:cs="Palatino Linotype"/>
          <w:b/>
          <w:sz w:val="22"/>
          <w:szCs w:val="22"/>
        </w:rPr>
      </w:pPr>
    </w:p>
    <w:p w14:paraId="4E48A344" w14:textId="3B5B2B95" w:rsidR="001C0810" w:rsidRDefault="001C0810" w:rsidP="00A71FB8">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05752E">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B63510">
        <w:rPr>
          <w:rFonts w:ascii="Palatino Linotype" w:eastAsia="Palatino Linotype" w:hAnsi="Palatino Linotype" w:cs="Palatino Linotype"/>
          <w:sz w:val="22"/>
          <w:szCs w:val="22"/>
        </w:rPr>
        <w:t xml:space="preserve">Zinacantepec </w:t>
      </w:r>
      <w:r>
        <w:rPr>
          <w:rFonts w:ascii="Palatino Linotype" w:eastAsia="Palatino Linotype" w:hAnsi="Palatino Linotype" w:cs="Palatino Linotype"/>
          <w:sz w:val="22"/>
          <w:szCs w:val="22"/>
        </w:rPr>
        <w:t xml:space="preserve">a la solicitud de información </w:t>
      </w:r>
      <w:r w:rsidR="00B63510" w:rsidRPr="001C0810">
        <w:rPr>
          <w:rFonts w:ascii="Palatino Linotype" w:eastAsia="Palatino Linotype" w:hAnsi="Palatino Linotype" w:cs="Palatino Linotype"/>
          <w:sz w:val="22"/>
          <w:szCs w:val="22"/>
        </w:rPr>
        <w:t>00355/ZINACANT/IP/2025</w:t>
      </w:r>
      <w:r w:rsidR="00B63510">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53AC3A59" w14:textId="77777777" w:rsidR="001C0810" w:rsidRDefault="001C0810" w:rsidP="00A71FB8">
      <w:pPr>
        <w:widowControl w:val="0"/>
        <w:spacing w:line="360" w:lineRule="auto"/>
        <w:contextualSpacing/>
        <w:jc w:val="both"/>
        <w:rPr>
          <w:rFonts w:ascii="Palatino Linotype" w:eastAsia="Palatino Linotype" w:hAnsi="Palatino Linotype" w:cs="Palatino Linotype"/>
          <w:sz w:val="22"/>
          <w:szCs w:val="22"/>
        </w:rPr>
      </w:pPr>
    </w:p>
    <w:p w14:paraId="2CE16471" w14:textId="77777777" w:rsidR="0005752E" w:rsidRDefault="001C0810" w:rsidP="0005752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en las unidades administrativas competentes, a través del SAIMEX, </w:t>
      </w:r>
      <w:r w:rsidR="0005752E">
        <w:rPr>
          <w:rFonts w:ascii="Palatino Linotype" w:eastAsia="Palatino Linotype" w:hAnsi="Palatino Linotype" w:cs="Palatino Linotype"/>
          <w:bCs/>
          <w:iCs/>
          <w:sz w:val="22"/>
          <w:szCs w:val="22"/>
        </w:rPr>
        <w:t>respecto a cada una de las obras públicas de carácter social (</w:t>
      </w:r>
      <w:r w:rsidR="0005752E">
        <w:rPr>
          <w:rFonts w:ascii="Palatino Linotype" w:hAnsi="Palatino Linotype"/>
          <w:sz w:val="22"/>
          <w:szCs w:val="22"/>
        </w:rPr>
        <w:t xml:space="preserve">techumbres, electrificación, </w:t>
      </w:r>
      <w:r w:rsidR="0005752E">
        <w:rPr>
          <w:rFonts w:ascii="Palatino Linotype" w:hAnsi="Palatino Linotype"/>
          <w:sz w:val="22"/>
          <w:szCs w:val="22"/>
        </w:rPr>
        <w:lastRenderedPageBreak/>
        <w:t>pozos, drenaje, entre otras</w:t>
      </w:r>
      <w:r w:rsidR="0005752E">
        <w:rPr>
          <w:rFonts w:ascii="Palatino Linotype" w:eastAsia="Palatino Linotype" w:hAnsi="Palatino Linotype" w:cs="Palatino Linotype"/>
          <w:bCs/>
          <w:iCs/>
          <w:sz w:val="22"/>
          <w:szCs w:val="22"/>
        </w:rPr>
        <w:t>) realizadas por el Ayuntamiento, del primero de enero de dos mil veintidós al treinta y uno de diciembre de dos mil veinticuatro, los documentos que den cuenta de lo siguiente:</w:t>
      </w:r>
    </w:p>
    <w:p w14:paraId="5DD70A4E" w14:textId="77777777" w:rsidR="0005752E" w:rsidRDefault="0005752E" w:rsidP="0005752E">
      <w:pPr>
        <w:spacing w:line="360" w:lineRule="auto"/>
        <w:contextualSpacing/>
        <w:jc w:val="both"/>
        <w:rPr>
          <w:rFonts w:ascii="Palatino Linotype" w:eastAsia="Palatino Linotype" w:hAnsi="Palatino Linotype" w:cs="Palatino Linotype"/>
          <w:bCs/>
          <w:iCs/>
          <w:sz w:val="22"/>
          <w:szCs w:val="22"/>
        </w:rPr>
      </w:pPr>
    </w:p>
    <w:p w14:paraId="1DB34893" w14:textId="77777777" w:rsidR="0005752E" w:rsidRDefault="0005752E" w:rsidP="0005752E">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Análisis técnico-financiero;</w:t>
      </w:r>
    </w:p>
    <w:p w14:paraId="01F3FB02" w14:textId="77777777" w:rsidR="0005752E" w:rsidRDefault="0005752E" w:rsidP="0005752E">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Estudios costo-beneficio, y</w:t>
      </w:r>
    </w:p>
    <w:p w14:paraId="07F139C5" w14:textId="77777777" w:rsidR="0005752E" w:rsidRPr="00163CC5" w:rsidRDefault="0005752E" w:rsidP="0005752E">
      <w:pPr>
        <w:pStyle w:val="Prrafodelista"/>
        <w:numPr>
          <w:ilvl w:val="0"/>
          <w:numId w:val="25"/>
        </w:numPr>
        <w:spacing w:line="360" w:lineRule="auto"/>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Número de personas beneficiadas.</w:t>
      </w:r>
    </w:p>
    <w:p w14:paraId="3EE78AB0" w14:textId="4C41FD54" w:rsidR="00B63510" w:rsidRPr="00B63510" w:rsidRDefault="00B63510" w:rsidP="0005752E">
      <w:pPr>
        <w:spacing w:line="360" w:lineRule="auto"/>
        <w:contextualSpacing/>
        <w:jc w:val="both"/>
        <w:rPr>
          <w:rFonts w:ascii="Palatino Linotype" w:hAnsi="Palatino Linotype"/>
          <w:sz w:val="22"/>
          <w:szCs w:val="22"/>
        </w:rPr>
      </w:pPr>
    </w:p>
    <w:p w14:paraId="4E128380" w14:textId="77777777" w:rsidR="001C0810" w:rsidRDefault="001C0810" w:rsidP="00A71FB8">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374BAA0E" w14:textId="77777777" w:rsidR="001C0810" w:rsidRDefault="001C0810" w:rsidP="00A71FB8">
      <w:pPr>
        <w:spacing w:line="360" w:lineRule="auto"/>
        <w:contextualSpacing/>
        <w:jc w:val="both"/>
        <w:rPr>
          <w:rFonts w:ascii="Palatino Linotype" w:hAnsi="Palatino Linotype" w:cs="Tahoma"/>
          <w:bCs/>
          <w:iCs/>
          <w:sz w:val="22"/>
          <w:szCs w:val="22"/>
        </w:rPr>
      </w:pPr>
    </w:p>
    <w:p w14:paraId="3F791D4C"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465B37E"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6CA3BC2B"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60769DD4"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4191B08C"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D2EBF3B"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556B0224" w14:textId="7CACD8E9" w:rsidR="001C0810" w:rsidRDefault="001C0810" w:rsidP="00A71FB8">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F23B11">
        <w:rPr>
          <w:rFonts w:ascii="Palatino Linotype" w:eastAsia="Palatino Linotype" w:hAnsi="Palatino Linotype" w:cs="Palatino Linotype"/>
          <w:sz w:val="22"/>
          <w:szCs w:val="22"/>
        </w:rPr>
        <w:t xml:space="preserve">NEZ, LUIS GUSTAVO PARRA NORIEGA </w:t>
      </w:r>
      <w:bookmarkStart w:id="25" w:name="_GoBack"/>
      <w:bookmarkEnd w:id="25"/>
      <w:r>
        <w:rPr>
          <w:rFonts w:ascii="Palatino Linotype" w:eastAsia="Palatino Linotype" w:hAnsi="Palatino Linotype" w:cs="Palatino Linotype"/>
          <w:sz w:val="22"/>
          <w:szCs w:val="22"/>
        </w:rPr>
        <w:t xml:space="preserve">Y GUADALUPE RAMÍREZ PEÑA, EN LA </w:t>
      </w:r>
      <w:r w:rsidR="00A71FB8">
        <w:rPr>
          <w:rFonts w:ascii="Palatino Linotype" w:eastAsia="Palatino Linotype" w:hAnsi="Palatino Linotype" w:cs="Palatino Linotype"/>
          <w:sz w:val="22"/>
          <w:szCs w:val="22"/>
        </w:rPr>
        <w:t>QUIN</w:t>
      </w:r>
      <w:r>
        <w:rPr>
          <w:rFonts w:ascii="Palatino Linotype" w:eastAsia="Palatino Linotype" w:hAnsi="Palatino Linotype" w:cs="Palatino Linotype"/>
          <w:sz w:val="22"/>
          <w:szCs w:val="22"/>
        </w:rPr>
        <w:t xml:space="preserve">TA SESIÓN ORDINARIA, CELEBRADA EL </w:t>
      </w:r>
      <w:r w:rsidR="00A71FB8">
        <w:rPr>
          <w:rFonts w:ascii="Palatino Linotype" w:eastAsia="Palatino Linotype" w:hAnsi="Palatino Linotype" w:cs="Palatino Linotype"/>
          <w:sz w:val="22"/>
          <w:szCs w:val="22"/>
        </w:rPr>
        <w:t xml:space="preserve">ONCE </w:t>
      </w:r>
      <w:r>
        <w:rPr>
          <w:rFonts w:ascii="Palatino Linotype" w:eastAsia="Palatino Linotype" w:hAnsi="Palatino Linotype" w:cs="Palatino Linotype"/>
          <w:sz w:val="22"/>
          <w:szCs w:val="22"/>
        </w:rPr>
        <w:t>DE FEBRERO DE DOS MIL VEINTISÉIS, ANTE EL SECRETARIO TÉCNICO DEL PLENO, ALEXIS TAPIA RAMÍREZ.</w:t>
      </w:r>
    </w:p>
    <w:p w14:paraId="053DF267"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34890C4C"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08A97FE7" w14:textId="77777777" w:rsidR="001C0810" w:rsidRDefault="001C0810" w:rsidP="00A71FB8">
      <w:pPr>
        <w:spacing w:line="360" w:lineRule="auto"/>
        <w:contextualSpacing/>
        <w:jc w:val="both"/>
        <w:rPr>
          <w:rFonts w:ascii="Palatino Linotype" w:eastAsia="Palatino Linotype" w:hAnsi="Palatino Linotype" w:cs="Palatino Linotype"/>
          <w:sz w:val="22"/>
          <w:szCs w:val="22"/>
        </w:rPr>
      </w:pPr>
    </w:p>
    <w:p w14:paraId="699C6E8C" w14:textId="77777777" w:rsidR="001C0810" w:rsidRDefault="001C0810" w:rsidP="00A71FB8">
      <w:pPr>
        <w:spacing w:line="360" w:lineRule="auto"/>
        <w:contextualSpacing/>
        <w:rPr>
          <w:rFonts w:ascii="Palatino Linotype" w:eastAsia="Palatino Linotype" w:hAnsi="Palatino Linotype" w:cs="Palatino Linotype"/>
        </w:rPr>
      </w:pPr>
    </w:p>
    <w:p w14:paraId="3149E274" w14:textId="77777777" w:rsidR="001C0810" w:rsidRDefault="001C0810" w:rsidP="00A71FB8">
      <w:pPr>
        <w:spacing w:line="360" w:lineRule="auto"/>
        <w:contextualSpacing/>
        <w:rPr>
          <w:rFonts w:ascii="Palatino Linotype" w:eastAsia="Palatino Linotype" w:hAnsi="Palatino Linotype" w:cs="Palatino Linotype"/>
        </w:rPr>
      </w:pPr>
    </w:p>
    <w:p w14:paraId="7A813DB3" w14:textId="77777777" w:rsidR="001C0810" w:rsidRDefault="001C0810" w:rsidP="00A71FB8">
      <w:pPr>
        <w:spacing w:line="360" w:lineRule="auto"/>
        <w:contextualSpacing/>
        <w:rPr>
          <w:rFonts w:ascii="Palatino Linotype" w:eastAsia="Palatino Linotype" w:hAnsi="Palatino Linotype" w:cs="Palatino Linotype"/>
        </w:rPr>
      </w:pPr>
    </w:p>
    <w:p w14:paraId="4B28F9C2" w14:textId="77777777" w:rsidR="001C0810" w:rsidRDefault="001C0810" w:rsidP="00A71FB8">
      <w:pPr>
        <w:spacing w:line="360" w:lineRule="auto"/>
        <w:contextualSpacing/>
        <w:rPr>
          <w:rFonts w:ascii="Palatino Linotype" w:eastAsia="Palatino Linotype" w:hAnsi="Palatino Linotype" w:cs="Palatino Linotype"/>
        </w:rPr>
      </w:pPr>
    </w:p>
    <w:p w14:paraId="7E025985" w14:textId="77777777" w:rsidR="001C0810" w:rsidRDefault="001C0810" w:rsidP="00A71FB8">
      <w:pPr>
        <w:spacing w:line="360" w:lineRule="auto"/>
        <w:contextualSpacing/>
        <w:rPr>
          <w:rFonts w:ascii="Palatino Linotype" w:eastAsia="Palatino Linotype" w:hAnsi="Palatino Linotype" w:cs="Palatino Linotype"/>
        </w:rPr>
      </w:pPr>
    </w:p>
    <w:p w14:paraId="3B313F8C" w14:textId="77777777" w:rsidR="001C0810" w:rsidRDefault="001C0810" w:rsidP="00A71FB8">
      <w:pPr>
        <w:spacing w:line="360" w:lineRule="auto"/>
        <w:contextualSpacing/>
        <w:rPr>
          <w:rFonts w:ascii="Palatino Linotype" w:eastAsia="Palatino Linotype" w:hAnsi="Palatino Linotype" w:cs="Palatino Linotype"/>
        </w:rPr>
      </w:pPr>
    </w:p>
    <w:p w14:paraId="6B5FBDFD" w14:textId="77777777" w:rsidR="001C0810" w:rsidRDefault="001C0810" w:rsidP="00A71FB8">
      <w:pPr>
        <w:spacing w:line="360" w:lineRule="auto"/>
        <w:contextualSpacing/>
        <w:rPr>
          <w:rFonts w:ascii="Palatino Linotype" w:eastAsia="Palatino Linotype" w:hAnsi="Palatino Linotype" w:cs="Palatino Linotype"/>
        </w:rPr>
      </w:pPr>
    </w:p>
    <w:p w14:paraId="530894D6" w14:textId="77777777" w:rsidR="001C0810" w:rsidRDefault="001C0810" w:rsidP="00A71FB8">
      <w:pPr>
        <w:spacing w:line="360" w:lineRule="auto"/>
        <w:contextualSpacing/>
        <w:rPr>
          <w:rFonts w:ascii="Palatino Linotype" w:eastAsia="Palatino Linotype" w:hAnsi="Palatino Linotype" w:cs="Palatino Linotype"/>
        </w:rPr>
      </w:pPr>
    </w:p>
    <w:p w14:paraId="0B42AE63" w14:textId="77777777" w:rsidR="001C0810" w:rsidRDefault="001C0810" w:rsidP="00A71FB8">
      <w:pPr>
        <w:spacing w:line="360" w:lineRule="auto"/>
        <w:contextualSpacing/>
        <w:rPr>
          <w:rFonts w:ascii="Palatino Linotype" w:eastAsia="Palatino Linotype" w:hAnsi="Palatino Linotype" w:cs="Palatino Linotype"/>
        </w:rPr>
      </w:pPr>
    </w:p>
    <w:p w14:paraId="1828BADF" w14:textId="77777777" w:rsidR="001C0810" w:rsidRDefault="001C0810" w:rsidP="00A71FB8">
      <w:pPr>
        <w:spacing w:line="360" w:lineRule="auto"/>
        <w:contextualSpacing/>
        <w:rPr>
          <w:rFonts w:ascii="Palatino Linotype" w:eastAsia="Palatino Linotype" w:hAnsi="Palatino Linotype" w:cs="Palatino Linotype"/>
        </w:rPr>
      </w:pPr>
    </w:p>
    <w:p w14:paraId="6D95CB9C" w14:textId="77777777" w:rsidR="001C0810" w:rsidRDefault="001C0810" w:rsidP="00A71FB8">
      <w:pPr>
        <w:spacing w:line="360" w:lineRule="auto"/>
        <w:contextualSpacing/>
        <w:rPr>
          <w:rFonts w:ascii="Palatino Linotype" w:eastAsia="Palatino Linotype" w:hAnsi="Palatino Linotype" w:cs="Palatino Linotype"/>
        </w:rPr>
      </w:pPr>
    </w:p>
    <w:p w14:paraId="26B10E45" w14:textId="77777777" w:rsidR="001C0810" w:rsidRDefault="001C0810" w:rsidP="00A71FB8">
      <w:pPr>
        <w:spacing w:line="360" w:lineRule="auto"/>
        <w:contextualSpacing/>
        <w:rPr>
          <w:rFonts w:ascii="Palatino Linotype" w:eastAsia="Palatino Linotype" w:hAnsi="Palatino Linotype" w:cs="Palatino Linotype"/>
        </w:rPr>
      </w:pPr>
    </w:p>
    <w:p w14:paraId="717D2470" w14:textId="77777777" w:rsidR="001C0810" w:rsidRDefault="001C0810" w:rsidP="00A71FB8">
      <w:pPr>
        <w:spacing w:line="360" w:lineRule="auto"/>
        <w:contextualSpacing/>
        <w:rPr>
          <w:rFonts w:ascii="Palatino Linotype" w:eastAsia="Palatino Linotype" w:hAnsi="Palatino Linotype" w:cs="Palatino Linotype"/>
        </w:rPr>
      </w:pPr>
    </w:p>
    <w:p w14:paraId="68EBBF71" w14:textId="77777777" w:rsidR="001C0810" w:rsidRDefault="001C0810" w:rsidP="00A71FB8">
      <w:pPr>
        <w:spacing w:line="360" w:lineRule="auto"/>
        <w:contextualSpacing/>
        <w:rPr>
          <w:rFonts w:ascii="Palatino Linotype" w:eastAsia="Palatino Linotype" w:hAnsi="Palatino Linotype" w:cs="Palatino Linotype"/>
        </w:rPr>
      </w:pPr>
    </w:p>
    <w:p w14:paraId="371C3B7A" w14:textId="77777777" w:rsidR="001C0810" w:rsidRDefault="001C0810" w:rsidP="00A71FB8">
      <w:pPr>
        <w:spacing w:line="360" w:lineRule="auto"/>
        <w:contextualSpacing/>
      </w:pPr>
    </w:p>
    <w:p w14:paraId="51228099" w14:textId="77777777" w:rsidR="001C0810" w:rsidRDefault="001C0810" w:rsidP="00A71FB8">
      <w:pPr>
        <w:spacing w:line="360" w:lineRule="auto"/>
        <w:contextualSpacing/>
      </w:pPr>
    </w:p>
    <w:p w14:paraId="33AC6026" w14:textId="77777777" w:rsidR="001C0810" w:rsidRDefault="001C0810" w:rsidP="00A71FB8">
      <w:pPr>
        <w:spacing w:line="360" w:lineRule="auto"/>
        <w:contextualSpacing/>
      </w:pPr>
    </w:p>
    <w:p w14:paraId="76F1613A" w14:textId="77777777" w:rsidR="001C0810" w:rsidRDefault="001C0810" w:rsidP="00A71FB8">
      <w:pPr>
        <w:spacing w:line="360" w:lineRule="auto"/>
        <w:contextualSpacing/>
      </w:pPr>
    </w:p>
    <w:p w14:paraId="252BDC97" w14:textId="77777777" w:rsidR="001C0810" w:rsidRDefault="001C0810" w:rsidP="00A71FB8">
      <w:pPr>
        <w:spacing w:line="360" w:lineRule="auto"/>
        <w:contextualSpacing/>
      </w:pPr>
    </w:p>
    <w:p w14:paraId="1EBA63B3" w14:textId="77777777" w:rsidR="001C0810" w:rsidRDefault="001C0810" w:rsidP="00A71FB8">
      <w:pPr>
        <w:spacing w:line="360" w:lineRule="auto"/>
        <w:contextualSpacing/>
      </w:pPr>
    </w:p>
    <w:bookmarkEnd w:id="0"/>
    <w:p w14:paraId="6F8F9182" w14:textId="77777777" w:rsidR="001C0810" w:rsidRDefault="001C0810" w:rsidP="00A71FB8">
      <w:pPr>
        <w:spacing w:line="360" w:lineRule="auto"/>
        <w:contextualSpacing/>
      </w:pPr>
    </w:p>
    <w:p w14:paraId="71CE0D01" w14:textId="77777777" w:rsidR="001C0810" w:rsidRDefault="001C0810" w:rsidP="00A71FB8">
      <w:pPr>
        <w:spacing w:line="360" w:lineRule="auto"/>
        <w:contextualSpacing/>
      </w:pPr>
    </w:p>
    <w:p w14:paraId="08D5C50B" w14:textId="77777777" w:rsidR="001C0810" w:rsidRDefault="001C0810" w:rsidP="00A71FB8">
      <w:pPr>
        <w:spacing w:line="360" w:lineRule="auto"/>
        <w:contextualSpacing/>
      </w:pPr>
    </w:p>
    <w:p w14:paraId="0BF4FD35" w14:textId="77777777" w:rsidR="001C0810" w:rsidRDefault="001C0810" w:rsidP="00A71FB8">
      <w:pPr>
        <w:spacing w:line="360" w:lineRule="auto"/>
        <w:contextualSpacing/>
      </w:pPr>
    </w:p>
    <w:p w14:paraId="50A2954C" w14:textId="77777777" w:rsidR="001C0810" w:rsidRDefault="001C0810" w:rsidP="00A71FB8">
      <w:pPr>
        <w:spacing w:line="360" w:lineRule="auto"/>
        <w:contextualSpacing/>
      </w:pPr>
    </w:p>
    <w:p w14:paraId="0846638C" w14:textId="77777777" w:rsidR="001C0810" w:rsidRDefault="001C0810" w:rsidP="00A71FB8">
      <w:pPr>
        <w:spacing w:line="360" w:lineRule="auto"/>
        <w:contextualSpacing/>
      </w:pPr>
    </w:p>
    <w:p w14:paraId="0F65AAA9" w14:textId="77777777" w:rsidR="001C0810" w:rsidRDefault="001C0810" w:rsidP="00A71FB8">
      <w:pPr>
        <w:spacing w:line="360" w:lineRule="auto"/>
        <w:contextualSpacing/>
      </w:pPr>
    </w:p>
    <w:p w14:paraId="4A50BCBB" w14:textId="77777777" w:rsidR="001C0810" w:rsidRDefault="001C0810" w:rsidP="00A71FB8">
      <w:pPr>
        <w:spacing w:line="360" w:lineRule="auto"/>
        <w:contextualSpacing/>
      </w:pPr>
    </w:p>
    <w:p w14:paraId="018BFA9E" w14:textId="77777777" w:rsidR="00B01980" w:rsidRDefault="00B01980" w:rsidP="00A71FB8">
      <w:pPr>
        <w:spacing w:line="360" w:lineRule="auto"/>
        <w:contextualSpacing/>
      </w:pPr>
    </w:p>
    <w:sectPr w:rsidR="00B01980" w:rsidSect="001C0810">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D6EA9" w14:textId="77777777" w:rsidR="00704261" w:rsidRDefault="00704261" w:rsidP="001C0810">
      <w:r>
        <w:separator/>
      </w:r>
    </w:p>
  </w:endnote>
  <w:endnote w:type="continuationSeparator" w:id="0">
    <w:p w14:paraId="42ED39CC" w14:textId="77777777" w:rsidR="00704261" w:rsidRDefault="00704261" w:rsidP="001C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687E5" w14:textId="77777777" w:rsidR="001C0810" w:rsidRDefault="001C081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6258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55485101" w14:textId="77777777" w:rsidR="001C0810" w:rsidRDefault="001C081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7C9CC" w14:textId="77777777" w:rsidR="001C0810" w:rsidRDefault="001C081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6258E">
      <w:rPr>
        <w:rFonts w:ascii="Palatino Linotype" w:eastAsia="Palatino Linotype" w:hAnsi="Palatino Linotype" w:cs="Palatino Linotype"/>
        <w:b/>
        <w:noProof/>
        <w:color w:val="000000"/>
        <w:sz w:val="22"/>
        <w:szCs w:val="22"/>
      </w:rPr>
      <w:t>31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6258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76B552C0" w14:textId="77777777" w:rsidR="001C0810" w:rsidRDefault="001C081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8E3A" w14:textId="77777777" w:rsidR="001C0810" w:rsidRDefault="001C081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6258E">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6258E">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374E033D" w14:textId="77777777" w:rsidR="001C0810" w:rsidRDefault="001C081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4976" w14:textId="77777777" w:rsidR="00704261" w:rsidRDefault="00704261" w:rsidP="001C0810">
      <w:r>
        <w:separator/>
      </w:r>
    </w:p>
  </w:footnote>
  <w:footnote w:type="continuationSeparator" w:id="0">
    <w:p w14:paraId="4A44D1DB" w14:textId="77777777" w:rsidR="00704261" w:rsidRDefault="00704261" w:rsidP="001C0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5589C" w14:textId="77777777" w:rsidR="001C0810" w:rsidRDefault="001C0810">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1C0810" w14:paraId="215C0EFD" w14:textId="77777777">
      <w:trPr>
        <w:trHeight w:val="1435"/>
      </w:trPr>
      <w:tc>
        <w:tcPr>
          <w:tcW w:w="2972" w:type="dxa"/>
        </w:tcPr>
        <w:p w14:paraId="3DA53D00" w14:textId="77777777" w:rsidR="001C0810" w:rsidRDefault="001C0810">
          <w:pPr>
            <w:tabs>
              <w:tab w:val="right" w:pos="4273"/>
            </w:tabs>
            <w:spacing w:line="256" w:lineRule="auto"/>
            <w:rPr>
              <w:rFonts w:ascii="Garamond" w:eastAsia="Garamond" w:hAnsi="Garamond" w:cs="Garamond"/>
              <w:sz w:val="22"/>
              <w:szCs w:val="22"/>
            </w:rPr>
          </w:pPr>
        </w:p>
      </w:tc>
      <w:tc>
        <w:tcPr>
          <w:tcW w:w="6733" w:type="dxa"/>
        </w:tcPr>
        <w:p w14:paraId="07220B29" w14:textId="77777777" w:rsidR="001C0810" w:rsidRDefault="001C0810">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1C0810" w14:paraId="655B084E" w14:textId="77777777">
            <w:trPr>
              <w:trHeight w:val="144"/>
            </w:trPr>
            <w:tc>
              <w:tcPr>
                <w:tcW w:w="2447" w:type="dxa"/>
              </w:tcPr>
              <w:p w14:paraId="4012D56C" w14:textId="77777777" w:rsidR="001C0810" w:rsidRDefault="001C0810">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2D926C8C" w14:textId="77777777" w:rsidR="001C0810" w:rsidRDefault="001C081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1C0810" w14:paraId="2C265076" w14:textId="77777777">
            <w:trPr>
              <w:trHeight w:val="283"/>
            </w:trPr>
            <w:tc>
              <w:tcPr>
                <w:tcW w:w="2447" w:type="dxa"/>
              </w:tcPr>
              <w:p w14:paraId="705A832E" w14:textId="77777777" w:rsidR="001C0810" w:rsidRDefault="001C081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5B677CA9" w14:textId="77777777" w:rsidR="001C0810" w:rsidRDefault="001C0810">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1C0810" w14:paraId="78D4F911" w14:textId="77777777">
            <w:trPr>
              <w:trHeight w:val="283"/>
            </w:trPr>
            <w:tc>
              <w:tcPr>
                <w:tcW w:w="2447" w:type="dxa"/>
              </w:tcPr>
              <w:p w14:paraId="54E99C60" w14:textId="77777777" w:rsidR="001C0810" w:rsidRDefault="001C081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21210317" w14:textId="77777777" w:rsidR="001C0810" w:rsidRDefault="001C081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A8058A2" w14:textId="77777777" w:rsidR="001C0810" w:rsidRDefault="001C0810">
                <w:pPr>
                  <w:tabs>
                    <w:tab w:val="right" w:pos="8838"/>
                  </w:tabs>
                  <w:ind w:left="-74" w:right="-105"/>
                  <w:jc w:val="both"/>
                  <w:rPr>
                    <w:rFonts w:ascii="Palatino Linotype" w:eastAsia="Palatino Linotype" w:hAnsi="Palatino Linotype" w:cs="Palatino Linotype"/>
                    <w:b/>
                    <w:sz w:val="22"/>
                    <w:szCs w:val="22"/>
                  </w:rPr>
                </w:pPr>
              </w:p>
            </w:tc>
          </w:tr>
        </w:tbl>
        <w:p w14:paraId="1D64068D" w14:textId="77777777" w:rsidR="001C0810" w:rsidRDefault="001C0810">
          <w:pPr>
            <w:tabs>
              <w:tab w:val="right" w:pos="8838"/>
            </w:tabs>
            <w:spacing w:line="256" w:lineRule="auto"/>
            <w:ind w:left="-28"/>
            <w:jc w:val="both"/>
            <w:rPr>
              <w:rFonts w:ascii="Arial" w:eastAsia="Arial" w:hAnsi="Arial" w:cs="Arial"/>
              <w:b/>
              <w:sz w:val="22"/>
              <w:szCs w:val="22"/>
            </w:rPr>
          </w:pPr>
        </w:p>
      </w:tc>
    </w:tr>
  </w:tbl>
  <w:p w14:paraId="63B7C97D" w14:textId="77777777" w:rsidR="001C0810" w:rsidRDefault="001C081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1981825A" wp14:editId="1872805A">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2C55F" w14:textId="77777777" w:rsidR="001C0810" w:rsidRDefault="001C0810">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1C0810" w14:paraId="797496F2" w14:textId="77777777">
      <w:trPr>
        <w:trHeight w:val="1435"/>
      </w:trPr>
      <w:tc>
        <w:tcPr>
          <w:tcW w:w="1985" w:type="dxa"/>
        </w:tcPr>
        <w:p w14:paraId="144AD50F" w14:textId="77777777" w:rsidR="001C0810" w:rsidRDefault="001C0810">
          <w:pPr>
            <w:tabs>
              <w:tab w:val="right" w:pos="4273"/>
            </w:tabs>
            <w:spacing w:line="256" w:lineRule="auto"/>
            <w:rPr>
              <w:rFonts w:ascii="Garamond" w:eastAsia="Garamond" w:hAnsi="Garamond" w:cs="Garamond"/>
              <w:sz w:val="22"/>
              <w:szCs w:val="22"/>
            </w:rPr>
          </w:pPr>
        </w:p>
      </w:tc>
      <w:tc>
        <w:tcPr>
          <w:tcW w:w="7371" w:type="dxa"/>
        </w:tcPr>
        <w:p w14:paraId="15DC6A8E" w14:textId="77777777" w:rsidR="001C0810" w:rsidRDefault="001C0810">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558"/>
            <w:gridCol w:w="3260"/>
            <w:gridCol w:w="2254"/>
          </w:tblGrid>
          <w:tr w:rsidR="001C0810" w14:paraId="1CD73FC6" w14:textId="77777777" w:rsidTr="001C0810">
            <w:trPr>
              <w:trHeight w:val="194"/>
            </w:trPr>
            <w:tc>
              <w:tcPr>
                <w:tcW w:w="2558" w:type="dxa"/>
              </w:tcPr>
              <w:p w14:paraId="43F095B7" w14:textId="3AFE39B7" w:rsidR="001C0810" w:rsidRDefault="001C081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0" w:type="dxa"/>
              </w:tcPr>
              <w:p w14:paraId="7FAC55EF" w14:textId="1E804554" w:rsidR="001C0810" w:rsidRDefault="001C0810">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07256/INFOEM/IP/RR/2025</w:t>
                </w:r>
              </w:p>
            </w:tc>
            <w:tc>
              <w:tcPr>
                <w:tcW w:w="2254" w:type="dxa"/>
              </w:tcPr>
              <w:p w14:paraId="1169A478" w14:textId="77777777" w:rsidR="001C0810" w:rsidRDefault="001C0810">
                <w:pPr>
                  <w:tabs>
                    <w:tab w:val="right" w:pos="8838"/>
                  </w:tabs>
                  <w:ind w:left="-114" w:right="-105"/>
                  <w:jc w:val="both"/>
                  <w:rPr>
                    <w:rFonts w:ascii="Palatino Linotype" w:eastAsia="Palatino Linotype" w:hAnsi="Palatino Linotype" w:cs="Palatino Linotype"/>
                    <w:sz w:val="22"/>
                    <w:szCs w:val="22"/>
                  </w:rPr>
                </w:pPr>
              </w:p>
            </w:tc>
          </w:tr>
          <w:tr w:rsidR="001C0810" w14:paraId="3FA94A28" w14:textId="77777777" w:rsidTr="001C0810">
            <w:trPr>
              <w:trHeight w:val="88"/>
            </w:trPr>
            <w:tc>
              <w:tcPr>
                <w:tcW w:w="2558" w:type="dxa"/>
              </w:tcPr>
              <w:p w14:paraId="08B660E8" w14:textId="4DC1F10F" w:rsidR="001C0810" w:rsidRDefault="001C081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0" w:type="dxa"/>
              </w:tcPr>
              <w:p w14:paraId="57B04CD1" w14:textId="11F9A60A" w:rsidR="001C0810" w:rsidRPr="00FE651E" w:rsidRDefault="001C0810">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Zinacantepec</w:t>
                </w:r>
              </w:p>
            </w:tc>
            <w:tc>
              <w:tcPr>
                <w:tcW w:w="2254" w:type="dxa"/>
              </w:tcPr>
              <w:p w14:paraId="217FD208" w14:textId="77777777" w:rsidR="001C0810" w:rsidRDefault="001C0810">
                <w:pPr>
                  <w:tabs>
                    <w:tab w:val="left" w:pos="2834"/>
                    <w:tab w:val="right" w:pos="8838"/>
                  </w:tabs>
                  <w:ind w:left="-114"/>
                  <w:jc w:val="both"/>
                  <w:rPr>
                    <w:rFonts w:ascii="Palatino Linotype" w:eastAsia="Palatino Linotype" w:hAnsi="Palatino Linotype" w:cs="Palatino Linotype"/>
                    <w:sz w:val="22"/>
                    <w:szCs w:val="22"/>
                  </w:rPr>
                </w:pPr>
              </w:p>
            </w:tc>
          </w:tr>
          <w:tr w:rsidR="001C0810" w14:paraId="014DA3A5" w14:textId="77777777" w:rsidTr="001C0810">
            <w:trPr>
              <w:trHeight w:val="383"/>
            </w:trPr>
            <w:tc>
              <w:tcPr>
                <w:tcW w:w="2558" w:type="dxa"/>
              </w:tcPr>
              <w:p w14:paraId="5C8EC4C9" w14:textId="40548ECC" w:rsidR="001C0810" w:rsidRDefault="001C081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60" w:type="dxa"/>
              </w:tcPr>
              <w:p w14:paraId="6C202E34" w14:textId="77777777" w:rsidR="001C0810" w:rsidRDefault="001C0810">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14:paraId="29998344" w14:textId="77777777" w:rsidR="001C0810" w:rsidRDefault="001C0810">
                <w:pPr>
                  <w:tabs>
                    <w:tab w:val="right" w:pos="8838"/>
                  </w:tabs>
                  <w:ind w:left="-114" w:right="-105"/>
                  <w:jc w:val="both"/>
                  <w:rPr>
                    <w:rFonts w:ascii="Palatino Linotype" w:eastAsia="Palatino Linotype" w:hAnsi="Palatino Linotype" w:cs="Palatino Linotype"/>
                    <w:sz w:val="22"/>
                    <w:szCs w:val="22"/>
                  </w:rPr>
                </w:pPr>
              </w:p>
            </w:tc>
          </w:tr>
        </w:tbl>
        <w:p w14:paraId="1A8B9F8D" w14:textId="77777777" w:rsidR="001C0810" w:rsidRDefault="001C0810">
          <w:pPr>
            <w:tabs>
              <w:tab w:val="right" w:pos="8838"/>
            </w:tabs>
            <w:spacing w:line="256" w:lineRule="auto"/>
            <w:ind w:left="-28"/>
            <w:jc w:val="both"/>
            <w:rPr>
              <w:rFonts w:ascii="Arial" w:eastAsia="Arial" w:hAnsi="Arial" w:cs="Arial"/>
              <w:b/>
              <w:sz w:val="22"/>
              <w:szCs w:val="22"/>
            </w:rPr>
          </w:pPr>
        </w:p>
      </w:tc>
    </w:tr>
  </w:tbl>
  <w:p w14:paraId="08CFCC7F" w14:textId="77777777" w:rsidR="001C0810" w:rsidRDefault="001C081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6BFD639" wp14:editId="788A0F36">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E681" w14:textId="77777777" w:rsidR="001C0810" w:rsidRDefault="001C0810">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1C0810" w14:paraId="07C1F22D" w14:textId="77777777">
      <w:trPr>
        <w:trHeight w:val="1435"/>
      </w:trPr>
      <w:tc>
        <w:tcPr>
          <w:tcW w:w="1560" w:type="dxa"/>
        </w:tcPr>
        <w:p w14:paraId="69DAAA45" w14:textId="77777777" w:rsidR="001C0810" w:rsidRDefault="001C0810">
          <w:pPr>
            <w:tabs>
              <w:tab w:val="right" w:pos="4273"/>
            </w:tabs>
            <w:spacing w:line="256" w:lineRule="auto"/>
            <w:rPr>
              <w:rFonts w:ascii="Garamond" w:eastAsia="Garamond" w:hAnsi="Garamond" w:cs="Garamond"/>
              <w:sz w:val="22"/>
              <w:szCs w:val="22"/>
            </w:rPr>
          </w:pPr>
        </w:p>
      </w:tc>
      <w:tc>
        <w:tcPr>
          <w:tcW w:w="7654" w:type="dxa"/>
        </w:tcPr>
        <w:p w14:paraId="04C2F6E1" w14:textId="77777777" w:rsidR="001C0810" w:rsidRDefault="001C0810">
          <w:pPr>
            <w:widowControl w:val="0"/>
            <w:pBdr>
              <w:top w:val="nil"/>
              <w:left w:val="nil"/>
              <w:bottom w:val="nil"/>
              <w:right w:val="nil"/>
              <w:between w:val="nil"/>
            </w:pBdr>
            <w:spacing w:line="276" w:lineRule="auto"/>
            <w:rPr>
              <w:rFonts w:ascii="Garamond" w:eastAsia="Garamond" w:hAnsi="Garamond" w:cs="Garamond"/>
              <w:sz w:val="22"/>
              <w:szCs w:val="22"/>
            </w:rPr>
          </w:pPr>
        </w:p>
        <w:tbl>
          <w:tblPr>
            <w:tblW w:w="679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531"/>
            <w:gridCol w:w="3260"/>
          </w:tblGrid>
          <w:tr w:rsidR="001C0810" w14:paraId="7FC5D4E0" w14:textId="77777777" w:rsidTr="001C0810">
            <w:trPr>
              <w:trHeight w:val="155"/>
            </w:trPr>
            <w:tc>
              <w:tcPr>
                <w:tcW w:w="3531" w:type="dxa"/>
              </w:tcPr>
              <w:p w14:paraId="4685D919" w14:textId="29D32C38" w:rsidR="001C0810" w:rsidRDefault="001C0810">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0" w:type="dxa"/>
              </w:tcPr>
              <w:p w14:paraId="17E6793D" w14:textId="14C78B39" w:rsidR="001C0810" w:rsidRDefault="001C081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07256/INFOEM/IP/RR/2025 </w:t>
                </w:r>
              </w:p>
            </w:tc>
          </w:tr>
          <w:tr w:rsidR="001C0810" w14:paraId="160D0917" w14:textId="77777777" w:rsidTr="001C0810">
            <w:trPr>
              <w:trHeight w:val="155"/>
            </w:trPr>
            <w:tc>
              <w:tcPr>
                <w:tcW w:w="3531" w:type="dxa"/>
              </w:tcPr>
              <w:p w14:paraId="63848CA9" w14:textId="604E3D99" w:rsidR="001C0810" w:rsidRDefault="001C081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0" w:type="dxa"/>
              </w:tcPr>
              <w:p w14:paraId="6F150FD3" w14:textId="4634C7F9" w:rsidR="001C0810" w:rsidRDefault="001C0810">
                <w:pPr>
                  <w:tabs>
                    <w:tab w:val="left" w:pos="3122"/>
                    <w:tab w:val="right" w:pos="8838"/>
                  </w:tabs>
                  <w:ind w:left="-74" w:right="-105"/>
                  <w:jc w:val="both"/>
                  <w:rPr>
                    <w:rFonts w:ascii="Palatino Linotype" w:eastAsia="Palatino Linotype" w:hAnsi="Palatino Linotype" w:cs="Palatino Linotype"/>
                    <w:sz w:val="22"/>
                    <w:szCs w:val="22"/>
                  </w:rPr>
                </w:pPr>
              </w:p>
            </w:tc>
          </w:tr>
          <w:tr w:rsidR="001C0810" w14:paraId="508ED8EF" w14:textId="77777777" w:rsidTr="001C0810">
            <w:trPr>
              <w:trHeight w:val="309"/>
            </w:trPr>
            <w:tc>
              <w:tcPr>
                <w:tcW w:w="3531" w:type="dxa"/>
              </w:tcPr>
              <w:p w14:paraId="0D227F84" w14:textId="01DCB705" w:rsidR="001C0810" w:rsidRDefault="001C081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0" w:type="dxa"/>
              </w:tcPr>
              <w:p w14:paraId="7F829B5A" w14:textId="494226B9" w:rsidR="001C0810" w:rsidRPr="00FE651E" w:rsidRDefault="001C0810">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Zinacantepec</w:t>
                </w:r>
              </w:p>
            </w:tc>
          </w:tr>
          <w:tr w:rsidR="001C0810" w14:paraId="7AF9D443" w14:textId="77777777" w:rsidTr="001C0810">
            <w:trPr>
              <w:trHeight w:val="309"/>
            </w:trPr>
            <w:tc>
              <w:tcPr>
                <w:tcW w:w="3531" w:type="dxa"/>
              </w:tcPr>
              <w:p w14:paraId="132531CD" w14:textId="2195929A" w:rsidR="001C0810" w:rsidRDefault="001C081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60" w:type="dxa"/>
              </w:tcPr>
              <w:p w14:paraId="14F44B4F" w14:textId="77777777" w:rsidR="001C0810" w:rsidRDefault="001C081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D5101E1" w14:textId="77777777" w:rsidR="001C0810" w:rsidRDefault="001C0810">
          <w:pPr>
            <w:tabs>
              <w:tab w:val="right" w:pos="8838"/>
            </w:tabs>
            <w:spacing w:line="256" w:lineRule="auto"/>
            <w:ind w:left="-28"/>
            <w:jc w:val="both"/>
            <w:rPr>
              <w:rFonts w:ascii="Arial" w:eastAsia="Arial" w:hAnsi="Arial" w:cs="Arial"/>
              <w:b/>
              <w:sz w:val="22"/>
              <w:szCs w:val="22"/>
            </w:rPr>
          </w:pPr>
        </w:p>
      </w:tc>
    </w:tr>
  </w:tbl>
  <w:p w14:paraId="36746F3B" w14:textId="77777777" w:rsidR="001C0810" w:rsidRDefault="00704261">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7AB9E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0760D"/>
    <w:multiLevelType w:val="hybridMultilevel"/>
    <w:tmpl w:val="661CB91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E3BFD"/>
    <w:multiLevelType w:val="hybridMultilevel"/>
    <w:tmpl w:val="2EC4A2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66FCD"/>
    <w:multiLevelType w:val="multilevel"/>
    <w:tmpl w:val="C97E6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1837D5"/>
    <w:multiLevelType w:val="hybridMultilevel"/>
    <w:tmpl w:val="2C0C5812"/>
    <w:lvl w:ilvl="0" w:tplc="78E0C78E">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4A20B7"/>
    <w:multiLevelType w:val="multilevel"/>
    <w:tmpl w:val="9DC28E2A"/>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74777D6"/>
    <w:multiLevelType w:val="hybridMultilevel"/>
    <w:tmpl w:val="4A6C9A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93E7C1D"/>
    <w:multiLevelType w:val="hybridMultilevel"/>
    <w:tmpl w:val="85022C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F3B2028"/>
    <w:multiLevelType w:val="hybridMultilevel"/>
    <w:tmpl w:val="A03CC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AA63839"/>
    <w:multiLevelType w:val="hybridMultilevel"/>
    <w:tmpl w:val="2C8668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AF34ED2"/>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7A66B5"/>
    <w:multiLevelType w:val="hybridMultilevel"/>
    <w:tmpl w:val="83BA0DB2"/>
    <w:lvl w:ilvl="0" w:tplc="D8560B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2D313D"/>
    <w:multiLevelType w:val="multilevel"/>
    <w:tmpl w:val="72C8F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F57F3A"/>
    <w:multiLevelType w:val="multilevel"/>
    <w:tmpl w:val="3A2AC8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896904"/>
    <w:multiLevelType w:val="multilevel"/>
    <w:tmpl w:val="F5F2CC9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45F0B"/>
    <w:multiLevelType w:val="hybridMultilevel"/>
    <w:tmpl w:val="DEB2E1CA"/>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8F139A"/>
    <w:multiLevelType w:val="hybridMultilevel"/>
    <w:tmpl w:val="3C0E36D6"/>
    <w:lvl w:ilvl="0" w:tplc="C59A3416">
      <w:start w:val="6"/>
      <w:numFmt w:val="bullet"/>
      <w:lvlText w:val="-"/>
      <w:lvlJc w:val="left"/>
      <w:pPr>
        <w:ind w:left="720" w:hanging="360"/>
      </w:pPr>
      <w:rPr>
        <w:rFonts w:ascii="Palatino Linotype" w:eastAsia="Times New Roman" w:hAnsi="Palatino Linotyp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4"/>
  </w:num>
  <w:num w:numId="3">
    <w:abstractNumId w:val="20"/>
  </w:num>
  <w:num w:numId="4">
    <w:abstractNumId w:val="24"/>
  </w:num>
  <w:num w:numId="5">
    <w:abstractNumId w:val="7"/>
  </w:num>
  <w:num w:numId="6">
    <w:abstractNumId w:val="19"/>
  </w:num>
  <w:num w:numId="7">
    <w:abstractNumId w:val="0"/>
  </w:num>
  <w:num w:numId="8">
    <w:abstractNumId w:val="12"/>
  </w:num>
  <w:num w:numId="9">
    <w:abstractNumId w:val="4"/>
  </w:num>
  <w:num w:numId="10">
    <w:abstractNumId w:val="23"/>
  </w:num>
  <w:num w:numId="11">
    <w:abstractNumId w:val="1"/>
  </w:num>
  <w:num w:numId="12">
    <w:abstractNumId w:val="3"/>
  </w:num>
  <w:num w:numId="13">
    <w:abstractNumId w:val="18"/>
  </w:num>
  <w:num w:numId="14">
    <w:abstractNumId w:val="6"/>
  </w:num>
  <w:num w:numId="15">
    <w:abstractNumId w:val="15"/>
  </w:num>
  <w:num w:numId="16">
    <w:abstractNumId w:val="2"/>
  </w:num>
  <w:num w:numId="17">
    <w:abstractNumId w:val="13"/>
  </w:num>
  <w:num w:numId="18">
    <w:abstractNumId w:val="10"/>
  </w:num>
  <w:num w:numId="19">
    <w:abstractNumId w:val="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5"/>
  </w:num>
  <w:num w:numId="23">
    <w:abstractNumId w:val="16"/>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10"/>
    <w:rsid w:val="00021ACF"/>
    <w:rsid w:val="00041C1C"/>
    <w:rsid w:val="000573B1"/>
    <w:rsid w:val="0005752E"/>
    <w:rsid w:val="00163CC5"/>
    <w:rsid w:val="00183EE3"/>
    <w:rsid w:val="001873C0"/>
    <w:rsid w:val="001C0810"/>
    <w:rsid w:val="00217A7D"/>
    <w:rsid w:val="0022082C"/>
    <w:rsid w:val="002C7835"/>
    <w:rsid w:val="00394C67"/>
    <w:rsid w:val="003A33FB"/>
    <w:rsid w:val="003B196B"/>
    <w:rsid w:val="003C5280"/>
    <w:rsid w:val="00543563"/>
    <w:rsid w:val="00594F92"/>
    <w:rsid w:val="005C484F"/>
    <w:rsid w:val="00637D6C"/>
    <w:rsid w:val="00704261"/>
    <w:rsid w:val="00847D13"/>
    <w:rsid w:val="0086258E"/>
    <w:rsid w:val="009C371D"/>
    <w:rsid w:val="00A23783"/>
    <w:rsid w:val="00A607BF"/>
    <w:rsid w:val="00A71FB8"/>
    <w:rsid w:val="00AA29F7"/>
    <w:rsid w:val="00B01980"/>
    <w:rsid w:val="00B63510"/>
    <w:rsid w:val="00C11FF6"/>
    <w:rsid w:val="00EC5BE0"/>
    <w:rsid w:val="00EE1F09"/>
    <w:rsid w:val="00F2300B"/>
    <w:rsid w:val="00F23B11"/>
    <w:rsid w:val="00F25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1DCDD6"/>
  <w15:chartTrackingRefBased/>
  <w15:docId w15:val="{6CF65415-4ED0-4552-A67D-9CF1B75E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0810"/>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1C0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C0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C08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08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08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081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081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081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081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08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C08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C08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C08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C08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C08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08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08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0810"/>
    <w:rPr>
      <w:rFonts w:eastAsiaTheme="majorEastAsia" w:cstheme="majorBidi"/>
      <w:color w:val="272727" w:themeColor="text1" w:themeTint="D8"/>
    </w:rPr>
  </w:style>
  <w:style w:type="paragraph" w:styleId="Puesto">
    <w:name w:val="Title"/>
    <w:basedOn w:val="Normal"/>
    <w:next w:val="Normal"/>
    <w:link w:val="PuestoCar"/>
    <w:uiPriority w:val="10"/>
    <w:qFormat/>
    <w:rsid w:val="001C0810"/>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C08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08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08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0810"/>
    <w:pPr>
      <w:spacing w:before="160"/>
      <w:jc w:val="center"/>
    </w:pPr>
    <w:rPr>
      <w:i/>
      <w:iCs/>
      <w:color w:val="404040" w:themeColor="text1" w:themeTint="BF"/>
    </w:rPr>
  </w:style>
  <w:style w:type="character" w:customStyle="1" w:styleId="CitaCar">
    <w:name w:val="Cita Car"/>
    <w:basedOn w:val="Fuentedeprrafopredeter"/>
    <w:link w:val="Cita"/>
    <w:uiPriority w:val="29"/>
    <w:rsid w:val="001C081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0810"/>
    <w:pPr>
      <w:ind w:left="720"/>
      <w:contextualSpacing/>
    </w:pPr>
  </w:style>
  <w:style w:type="character" w:styleId="nfasisintenso">
    <w:name w:val="Intense Emphasis"/>
    <w:basedOn w:val="Fuentedeprrafopredeter"/>
    <w:uiPriority w:val="21"/>
    <w:qFormat/>
    <w:rsid w:val="001C0810"/>
    <w:rPr>
      <w:i/>
      <w:iCs/>
      <w:color w:val="2F5496" w:themeColor="accent1" w:themeShade="BF"/>
    </w:rPr>
  </w:style>
  <w:style w:type="paragraph" w:styleId="Citadestacada">
    <w:name w:val="Intense Quote"/>
    <w:basedOn w:val="Normal"/>
    <w:next w:val="Normal"/>
    <w:link w:val="CitadestacadaCar"/>
    <w:uiPriority w:val="30"/>
    <w:qFormat/>
    <w:rsid w:val="001C0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0810"/>
    <w:rPr>
      <w:i/>
      <w:iCs/>
      <w:color w:val="2F5496" w:themeColor="accent1" w:themeShade="BF"/>
    </w:rPr>
  </w:style>
  <w:style w:type="character" w:styleId="Referenciaintensa">
    <w:name w:val="Intense Reference"/>
    <w:basedOn w:val="Fuentedeprrafopredeter"/>
    <w:uiPriority w:val="32"/>
    <w:qFormat/>
    <w:rsid w:val="001C0810"/>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1C0810"/>
    <w:rPr>
      <w:color w:val="0563C1" w:themeColor="hyperlink"/>
      <w:u w:val="single"/>
    </w:rPr>
  </w:style>
  <w:style w:type="paragraph" w:styleId="TtulodeTDC">
    <w:name w:val="TOC Heading"/>
    <w:basedOn w:val="Ttulo1"/>
    <w:next w:val="Normal"/>
    <w:uiPriority w:val="39"/>
    <w:unhideWhenUsed/>
    <w:qFormat/>
    <w:rsid w:val="001C0810"/>
    <w:pPr>
      <w:spacing w:before="240" w:after="0"/>
      <w:outlineLvl w:val="9"/>
    </w:pPr>
    <w:rPr>
      <w:sz w:val="32"/>
      <w:szCs w:val="32"/>
    </w:rPr>
  </w:style>
  <w:style w:type="paragraph" w:styleId="TDC1">
    <w:name w:val="toc 1"/>
    <w:basedOn w:val="Normal"/>
    <w:next w:val="Normal"/>
    <w:autoRedefine/>
    <w:uiPriority w:val="39"/>
    <w:unhideWhenUsed/>
    <w:rsid w:val="001C0810"/>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C0810"/>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C0810"/>
  </w:style>
  <w:style w:type="character" w:customStyle="1" w:styleId="UnresolvedMention">
    <w:name w:val="Unresolved Mention"/>
    <w:basedOn w:val="Fuentedeprrafopredeter"/>
    <w:uiPriority w:val="99"/>
    <w:semiHidden/>
    <w:unhideWhenUsed/>
    <w:rsid w:val="00217A7D"/>
    <w:rPr>
      <w:color w:val="605E5C"/>
      <w:shd w:val="clear" w:color="auto" w:fill="E1DFDD"/>
    </w:rPr>
  </w:style>
  <w:style w:type="table" w:customStyle="1" w:styleId="Tablaconcuadrcula1">
    <w:name w:val="Tabla con cuadrícula1"/>
    <w:basedOn w:val="Tablanormal"/>
    <w:next w:val="Tablaconcuadrcula"/>
    <w:uiPriority w:val="59"/>
    <w:qFormat/>
    <w:rsid w:val="00A23783"/>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2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57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0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7717</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2026-02-13T16:50:00Z</cp:lastPrinted>
  <dcterms:created xsi:type="dcterms:W3CDTF">2026-02-13T16:49:00Z</dcterms:created>
  <dcterms:modified xsi:type="dcterms:W3CDTF">2026-02-13T16:50:00Z</dcterms:modified>
</cp:coreProperties>
</file>