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AAE" w:rsidRPr="00575B7A" w:rsidRDefault="00785AAE" w:rsidP="00966B7A">
      <w:pPr>
        <w:tabs>
          <w:tab w:val="left" w:pos="3465"/>
        </w:tabs>
        <w:spacing w:line="360" w:lineRule="auto"/>
        <w:ind w:right="-518"/>
        <w:jc w:val="both"/>
        <w:rPr>
          <w:rFonts w:ascii="Palatino Linotype" w:hAnsi="Palatino Linotype"/>
          <w:color w:val="000000" w:themeColor="text1"/>
        </w:rPr>
      </w:pPr>
      <w:r w:rsidRPr="00575B7A">
        <w:rPr>
          <w:rFonts w:ascii="Palatino Linotype" w:hAnsi="Palatino Linotype"/>
          <w:color w:val="000000" w:themeColor="text1"/>
        </w:rPr>
        <w:t xml:space="preserve">Resolución del Pleno del Instituto de Transparencia, Acceso a la Información Pública y Protección de Datos Personales del Estado de México y Municipios, con domicilio en Metepec, Estado de México; </w:t>
      </w:r>
      <w:r w:rsidR="00575B7A">
        <w:rPr>
          <w:rFonts w:ascii="Palatino Linotype" w:hAnsi="Palatino Linotype"/>
          <w:color w:val="000000" w:themeColor="text1"/>
        </w:rPr>
        <w:t xml:space="preserve">de fecha </w:t>
      </w:r>
      <w:r w:rsidR="00E95C47" w:rsidRPr="00575B7A">
        <w:rPr>
          <w:rFonts w:ascii="Palatino Linotype" w:hAnsi="Palatino Linotype"/>
          <w:b/>
          <w:color w:val="000000" w:themeColor="text1"/>
        </w:rPr>
        <w:t>trece</w:t>
      </w:r>
      <w:r w:rsidR="00575B7A">
        <w:rPr>
          <w:rFonts w:ascii="Palatino Linotype" w:hAnsi="Palatino Linotype"/>
          <w:b/>
          <w:color w:val="000000" w:themeColor="text1"/>
        </w:rPr>
        <w:t xml:space="preserve"> (13)</w:t>
      </w:r>
      <w:r w:rsidR="00E95C47" w:rsidRPr="00575B7A">
        <w:rPr>
          <w:rFonts w:ascii="Palatino Linotype" w:hAnsi="Palatino Linotype"/>
          <w:b/>
          <w:color w:val="000000" w:themeColor="text1"/>
        </w:rPr>
        <w:t xml:space="preserve"> </w:t>
      </w:r>
      <w:r w:rsidRPr="00575B7A">
        <w:rPr>
          <w:rFonts w:ascii="Palatino Linotype" w:hAnsi="Palatino Linotype"/>
          <w:b/>
          <w:color w:val="000000" w:themeColor="text1"/>
        </w:rPr>
        <w:t>de mayo de dos mil veintiséis.</w:t>
      </w:r>
    </w:p>
    <w:p w:rsidR="00785AAE" w:rsidRPr="00575B7A" w:rsidRDefault="00785AAE" w:rsidP="00966B7A">
      <w:pPr>
        <w:tabs>
          <w:tab w:val="left" w:pos="3465"/>
        </w:tabs>
        <w:spacing w:line="360" w:lineRule="auto"/>
        <w:ind w:right="-518"/>
        <w:jc w:val="both"/>
        <w:rPr>
          <w:rFonts w:ascii="Palatino Linotype" w:hAnsi="Palatino Linotype"/>
          <w:color w:val="000000" w:themeColor="text1"/>
        </w:rPr>
      </w:pPr>
    </w:p>
    <w:p w:rsidR="00785AAE" w:rsidRPr="00575B7A" w:rsidRDefault="00785AAE" w:rsidP="00966B7A">
      <w:pPr>
        <w:spacing w:line="360" w:lineRule="auto"/>
        <w:ind w:right="-518"/>
        <w:jc w:val="both"/>
        <w:rPr>
          <w:rFonts w:ascii="Palatino Linotype" w:eastAsia="Times New Roman" w:hAnsi="Palatino Linotype" w:cs="Times New Roman"/>
          <w:color w:val="000000" w:themeColor="text1"/>
        </w:rPr>
      </w:pPr>
      <w:r w:rsidRPr="00575B7A">
        <w:rPr>
          <w:rFonts w:ascii="Palatino Linotype" w:hAnsi="Palatino Linotype"/>
          <w:b/>
          <w:color w:val="000000" w:themeColor="text1"/>
        </w:rPr>
        <w:t>VISTO</w:t>
      </w:r>
      <w:r w:rsidRPr="00575B7A">
        <w:rPr>
          <w:rFonts w:ascii="Palatino Linotype" w:hAnsi="Palatino Linotype"/>
          <w:color w:val="000000" w:themeColor="text1"/>
        </w:rPr>
        <w:t xml:space="preserve"> el expediente electrónico formado con motivo del recurso de revisión </w:t>
      </w:r>
      <w:r w:rsidRPr="00575B7A">
        <w:rPr>
          <w:rFonts w:ascii="Palatino Linotype" w:hAnsi="Palatino Linotype"/>
          <w:b/>
          <w:bCs/>
        </w:rPr>
        <w:t xml:space="preserve">   00953/INFOEM/IP/RR/2026</w:t>
      </w:r>
      <w:r w:rsidRPr="00575B7A">
        <w:rPr>
          <w:rFonts w:ascii="Palatino Linotype" w:eastAsia="Times New Roman" w:hAnsi="Palatino Linotype" w:cs="Arial"/>
          <w:bCs/>
          <w:color w:val="000000" w:themeColor="text1"/>
        </w:rPr>
        <w:t xml:space="preserve">, </w:t>
      </w:r>
      <w:r w:rsidRPr="00575B7A">
        <w:rPr>
          <w:rFonts w:ascii="Palatino Linotype" w:eastAsia="Times New Roman" w:hAnsi="Palatino Linotype" w:cs="Times New Roman"/>
          <w:color w:val="000000" w:themeColor="text1"/>
        </w:rPr>
        <w:t xml:space="preserve">interpuesto por </w:t>
      </w:r>
      <w:r w:rsidR="008D57E4">
        <w:rPr>
          <w:rFonts w:ascii="Palatino Linotype" w:eastAsia="Times New Roman" w:hAnsi="Palatino Linotype" w:cs="Times New Roman"/>
          <w:b/>
          <w:color w:val="000000" w:themeColor="text1"/>
        </w:rPr>
        <w:t>XXXX</w:t>
      </w:r>
      <w:r w:rsidRPr="00575B7A">
        <w:rPr>
          <w:rFonts w:ascii="Palatino Linotype" w:eastAsia="Times New Roman" w:hAnsi="Palatino Linotype" w:cs="Times New Roman"/>
          <w:b/>
          <w:bCs/>
          <w:color w:val="000000" w:themeColor="text1"/>
        </w:rPr>
        <w:t xml:space="preserve">, </w:t>
      </w:r>
      <w:r w:rsidRPr="00575B7A">
        <w:rPr>
          <w:rFonts w:ascii="Palatino Linotype" w:eastAsia="Times New Roman" w:hAnsi="Palatino Linotype" w:cs="Times New Roman"/>
          <w:color w:val="000000" w:themeColor="text1"/>
        </w:rPr>
        <w:t xml:space="preserve">en su calidad de </w:t>
      </w:r>
      <w:r w:rsidRPr="00575B7A">
        <w:rPr>
          <w:rFonts w:ascii="Palatino Linotype" w:eastAsia="Times New Roman" w:hAnsi="Palatino Linotype" w:cs="Times New Roman"/>
          <w:b/>
          <w:bCs/>
          <w:color w:val="000000" w:themeColor="text1"/>
        </w:rPr>
        <w:t>RECURRENTE</w:t>
      </w:r>
      <w:r w:rsidRPr="00575B7A">
        <w:rPr>
          <w:rFonts w:ascii="Palatino Linotype" w:eastAsia="Times New Roman" w:hAnsi="Palatino Linotype" w:cs="Arial"/>
          <w:color w:val="000000" w:themeColor="text1"/>
        </w:rPr>
        <w:t xml:space="preserve">; en contra de la respuesta del </w:t>
      </w:r>
      <w:r w:rsidRPr="00575B7A">
        <w:rPr>
          <w:rFonts w:ascii="Palatino Linotype" w:eastAsia="Times New Roman" w:hAnsi="Palatino Linotype" w:cs="Arial"/>
          <w:b/>
          <w:bCs/>
          <w:color w:val="000000" w:themeColor="text1"/>
        </w:rPr>
        <w:t>Ayuntamiento de Tepotzotlán</w:t>
      </w:r>
      <w:r w:rsidRPr="00575B7A">
        <w:rPr>
          <w:rFonts w:ascii="Palatino Linotype" w:eastAsia="Calibri" w:hAnsi="Palatino Linotype" w:cs="Arial"/>
          <w:color w:val="000000" w:themeColor="text1"/>
          <w:lang w:val="es-ES"/>
        </w:rPr>
        <w:t xml:space="preserve">, </w:t>
      </w:r>
      <w:r w:rsidRPr="00575B7A">
        <w:rPr>
          <w:rFonts w:ascii="Palatino Linotype" w:eastAsia="Times New Roman" w:hAnsi="Palatino Linotype" w:cs="Times New Roman"/>
          <w:color w:val="000000" w:themeColor="text1"/>
        </w:rPr>
        <w:t>en lo sucesivo el</w:t>
      </w:r>
      <w:r w:rsidRPr="00575B7A">
        <w:rPr>
          <w:rFonts w:ascii="Palatino Linotype" w:eastAsia="Times New Roman" w:hAnsi="Palatino Linotype" w:cs="Times New Roman"/>
          <w:b/>
          <w:color w:val="000000" w:themeColor="text1"/>
        </w:rPr>
        <w:t xml:space="preserve"> SUJETO OBLIGADO, </w:t>
      </w:r>
      <w:r w:rsidRPr="00575B7A">
        <w:rPr>
          <w:rFonts w:ascii="Palatino Linotype" w:eastAsia="Times New Roman" w:hAnsi="Palatino Linotype" w:cs="Times New Roman"/>
          <w:color w:val="000000" w:themeColor="text1"/>
        </w:rPr>
        <w:t>se procede a dictar la presente resolución, con base en los siguientes:</w:t>
      </w:r>
    </w:p>
    <w:p w:rsidR="00785AAE" w:rsidRPr="00575B7A" w:rsidRDefault="00785AAE" w:rsidP="00966B7A">
      <w:pPr>
        <w:spacing w:line="360" w:lineRule="auto"/>
        <w:ind w:right="-518"/>
        <w:jc w:val="both"/>
        <w:rPr>
          <w:rFonts w:ascii="Palatino Linotype" w:eastAsia="Times New Roman" w:hAnsi="Palatino Linotype" w:cs="Times New Roman"/>
          <w:color w:val="000000" w:themeColor="text1"/>
        </w:rPr>
      </w:pPr>
    </w:p>
    <w:p w:rsidR="00785AAE" w:rsidRPr="00575B7A" w:rsidRDefault="00785AAE" w:rsidP="00966B7A">
      <w:pPr>
        <w:pStyle w:val="Ttulo1"/>
        <w:spacing w:before="0" w:line="360" w:lineRule="auto"/>
        <w:ind w:right="-518"/>
        <w:jc w:val="center"/>
        <w:rPr>
          <w:b/>
          <w:color w:val="000000" w:themeColor="text1"/>
          <w:szCs w:val="24"/>
        </w:rPr>
      </w:pPr>
      <w:bookmarkStart w:id="0" w:name="_Toc461555884"/>
      <w:bookmarkStart w:id="1" w:name="_Toc466371847"/>
      <w:bookmarkStart w:id="2" w:name="_Toc87456484"/>
      <w:r w:rsidRPr="00575B7A">
        <w:rPr>
          <w:b/>
          <w:color w:val="000000" w:themeColor="text1"/>
          <w:szCs w:val="24"/>
        </w:rPr>
        <w:t>A N T E C E D E N T E S</w:t>
      </w:r>
      <w:bookmarkEnd w:id="0"/>
      <w:bookmarkEnd w:id="1"/>
      <w:bookmarkEnd w:id="2"/>
    </w:p>
    <w:p w:rsidR="00785AAE" w:rsidRPr="00575B7A" w:rsidRDefault="00785AAE" w:rsidP="00966B7A">
      <w:pPr>
        <w:pStyle w:val="Ttulo1"/>
        <w:spacing w:before="0" w:line="360" w:lineRule="auto"/>
        <w:ind w:right="-518"/>
        <w:jc w:val="center"/>
        <w:rPr>
          <w:b/>
          <w:szCs w:val="24"/>
        </w:rPr>
      </w:pPr>
      <w:r w:rsidRPr="00575B7A">
        <w:rPr>
          <w:b/>
          <w:szCs w:val="24"/>
        </w:rPr>
        <w:t>SOLICITUD</w:t>
      </w:r>
    </w:p>
    <w:p w:rsidR="00785AAE" w:rsidRPr="00575B7A" w:rsidRDefault="00785AAE" w:rsidP="00966B7A">
      <w:pPr>
        <w:ind w:right="-518"/>
        <w:rPr>
          <w:lang w:eastAsia="en-US"/>
        </w:rPr>
      </w:pPr>
    </w:p>
    <w:p w:rsidR="00785AAE" w:rsidRPr="00575B7A" w:rsidRDefault="00785AAE" w:rsidP="00966B7A">
      <w:pPr>
        <w:pStyle w:val="Prrafodelista"/>
        <w:numPr>
          <w:ilvl w:val="0"/>
          <w:numId w:val="1"/>
        </w:numPr>
        <w:spacing w:line="360" w:lineRule="auto"/>
        <w:ind w:right="-518"/>
        <w:jc w:val="both"/>
        <w:rPr>
          <w:rFonts w:ascii="Palatino Linotype" w:hAnsi="Palatino Linotype"/>
          <w:i/>
          <w:color w:val="000000" w:themeColor="text1"/>
        </w:rPr>
      </w:pPr>
      <w:r w:rsidRPr="00575B7A">
        <w:rPr>
          <w:rFonts w:ascii="Palatino Linotype" w:eastAsia="Calibri" w:hAnsi="Palatino Linotype" w:cs="Arial"/>
          <w:color w:val="000000" w:themeColor="text1"/>
          <w:lang w:val="es-ES"/>
        </w:rPr>
        <w:t xml:space="preserve">El </w:t>
      </w:r>
      <w:r w:rsidRPr="00575B7A">
        <w:rPr>
          <w:rFonts w:ascii="Palatino Linotype" w:eastAsia="Calibri" w:hAnsi="Palatino Linotype" w:cs="Arial"/>
          <w:b/>
          <w:color w:val="000000" w:themeColor="text1"/>
          <w:lang w:val="es-ES"/>
        </w:rPr>
        <w:t>doce de enero de dos mil veintiséis</w:t>
      </w:r>
      <w:r w:rsidRPr="00575B7A">
        <w:rPr>
          <w:rFonts w:ascii="Palatino Linotype" w:eastAsia="Calibri" w:hAnsi="Palatino Linotype" w:cs="Arial"/>
          <w:color w:val="000000" w:themeColor="text1"/>
          <w:lang w:val="es-ES"/>
        </w:rPr>
        <w:t>, s</w:t>
      </w:r>
      <w:r w:rsidRPr="00575B7A">
        <w:rPr>
          <w:rFonts w:ascii="Palatino Linotype" w:hAnsi="Palatino Linotype"/>
          <w:bCs/>
          <w:color w:val="000000" w:themeColor="text1"/>
        </w:rPr>
        <w:t xml:space="preserve">e presento ante el </w:t>
      </w:r>
      <w:r w:rsidRPr="00575B7A">
        <w:rPr>
          <w:rFonts w:ascii="Palatino Linotype" w:hAnsi="Palatino Linotype"/>
          <w:b/>
          <w:bCs/>
          <w:color w:val="000000" w:themeColor="text1"/>
        </w:rPr>
        <w:t>SUJETO OBLIGADO</w:t>
      </w:r>
      <w:r w:rsidRPr="00575B7A">
        <w:rPr>
          <w:rFonts w:ascii="Palatino Linotype" w:hAnsi="Palatino Linotype"/>
          <w:bCs/>
          <w:color w:val="000000" w:themeColor="text1"/>
        </w:rPr>
        <w:t xml:space="preserve"> vía </w:t>
      </w:r>
      <w:r w:rsidRPr="00575B7A">
        <w:rPr>
          <w:rFonts w:ascii="Palatino Linotype" w:hAnsi="Palatino Linotype"/>
          <w:b/>
          <w:bCs/>
          <w:color w:val="000000" w:themeColor="text1"/>
        </w:rPr>
        <w:t>SAIMEX,</w:t>
      </w:r>
      <w:r w:rsidRPr="00575B7A">
        <w:rPr>
          <w:rFonts w:ascii="Palatino Linotype" w:hAnsi="Palatino Linotype"/>
          <w:bCs/>
          <w:color w:val="000000" w:themeColor="text1"/>
        </w:rPr>
        <w:t xml:space="preserve"> la solicitud de información pública registrada con el número </w:t>
      </w:r>
      <w:r w:rsidRPr="00575B7A">
        <w:rPr>
          <w:rFonts w:ascii="Palatino Linotype" w:hAnsi="Palatino Linotype"/>
          <w:b/>
          <w:bCs/>
          <w:color w:val="000000" w:themeColor="text1"/>
        </w:rPr>
        <w:t> 00085/TEPOTZOT/IP/2026</w:t>
      </w:r>
      <w:r w:rsidRPr="00575B7A">
        <w:rPr>
          <w:rFonts w:ascii="Palatino Linotype" w:hAnsi="Palatino Linotype"/>
          <w:b/>
          <w:bCs/>
          <w:color w:val="000000" w:themeColor="text1"/>
          <w:lang w:val="es-ES"/>
        </w:rPr>
        <w:t>,</w:t>
      </w:r>
      <w:r w:rsidRPr="00575B7A">
        <w:rPr>
          <w:rFonts w:ascii="Palatino Linotype" w:hAnsi="Palatino Linotype"/>
          <w:bCs/>
          <w:color w:val="000000" w:themeColor="text1"/>
        </w:rPr>
        <w:t xml:space="preserve"> solicitando la siguiente información:</w:t>
      </w:r>
      <w:r w:rsidRPr="00575B7A">
        <w:rPr>
          <w:rFonts w:ascii="Palatino Linotype" w:hAnsi="Palatino Linotype"/>
          <w:b/>
          <w:bCs/>
          <w:color w:val="000000" w:themeColor="text1"/>
          <w:lang w:val="es-ES"/>
        </w:rPr>
        <w:t xml:space="preserve"> </w:t>
      </w:r>
    </w:p>
    <w:p w:rsidR="00785AAE" w:rsidRPr="00575B7A" w:rsidRDefault="00785AAE" w:rsidP="00966B7A">
      <w:pPr>
        <w:pStyle w:val="Prrafodelista"/>
        <w:spacing w:line="360" w:lineRule="auto"/>
        <w:ind w:left="0" w:right="-518"/>
        <w:jc w:val="both"/>
        <w:rPr>
          <w:rFonts w:ascii="Palatino Linotype" w:hAnsi="Palatino Linotype"/>
          <w:i/>
          <w:color w:val="000000" w:themeColor="text1"/>
        </w:rPr>
      </w:pPr>
    </w:p>
    <w:p w:rsidR="00785AAE" w:rsidRPr="00575B7A" w:rsidRDefault="00785AAE" w:rsidP="00F42621">
      <w:pPr>
        <w:ind w:left="567" w:right="49"/>
        <w:jc w:val="both"/>
        <w:rPr>
          <w:rFonts w:ascii="Palatino Linotype" w:eastAsia="Times New Roman" w:hAnsi="Palatino Linotype" w:cs="Times New Roman"/>
          <w:i/>
          <w:color w:val="000000"/>
          <w:lang w:eastAsia="es-MX"/>
        </w:rPr>
      </w:pPr>
      <w:r w:rsidRPr="00575B7A">
        <w:rPr>
          <w:rFonts w:ascii="Palatino Linotype" w:eastAsia="Times New Roman" w:hAnsi="Palatino Linotype" w:cs="Times New Roman"/>
          <w:i/>
          <w:color w:val="000000"/>
          <w:lang w:eastAsia="es-MX"/>
        </w:rPr>
        <w:t xml:space="preserve"> “Relación de concesiones, permisos y asignación de espacios públicos otorgados durante 2025, indicando: Beneficiario Objeto Vigencia Monto pagado Fundamento legal Autorización correspondiente (Sic)</w:t>
      </w:r>
      <w:bookmarkStart w:id="3" w:name="_GoBack"/>
      <w:bookmarkEnd w:id="3"/>
    </w:p>
    <w:p w:rsidR="00785AAE" w:rsidRPr="00575B7A" w:rsidRDefault="00785AAE" w:rsidP="00966B7A">
      <w:pPr>
        <w:pStyle w:val="Prrafodelista"/>
        <w:spacing w:line="360" w:lineRule="auto"/>
        <w:ind w:left="567" w:right="-518"/>
        <w:jc w:val="both"/>
        <w:rPr>
          <w:rFonts w:ascii="Palatino Linotype" w:eastAsia="Times New Roman" w:hAnsi="Palatino Linotype" w:cs="Times New Roman"/>
          <w:i/>
          <w:color w:val="000000"/>
          <w:lang w:eastAsia="es-MX"/>
        </w:rPr>
      </w:pPr>
    </w:p>
    <w:p w:rsidR="00785AAE" w:rsidRPr="00575B7A" w:rsidRDefault="00785AAE" w:rsidP="00966B7A">
      <w:pPr>
        <w:pStyle w:val="Prrafodelista"/>
        <w:numPr>
          <w:ilvl w:val="0"/>
          <w:numId w:val="2"/>
        </w:numPr>
        <w:tabs>
          <w:tab w:val="left" w:pos="426"/>
        </w:tabs>
        <w:spacing w:line="360" w:lineRule="auto"/>
        <w:ind w:right="-518"/>
        <w:jc w:val="both"/>
        <w:rPr>
          <w:rFonts w:ascii="Palatino Linotype" w:eastAsia="MS Mincho" w:hAnsi="Palatino Linotype" w:cs="Times New Roman"/>
          <w:color w:val="000000" w:themeColor="text1"/>
        </w:rPr>
      </w:pPr>
      <w:r w:rsidRPr="00575B7A">
        <w:rPr>
          <w:rFonts w:ascii="Palatino Linotype" w:hAnsi="Palatino Linotype" w:cs="Arial"/>
          <w:color w:val="000000" w:themeColor="text1"/>
        </w:rPr>
        <w:t xml:space="preserve">Se eligió como modalidad de entrega: A través del </w:t>
      </w:r>
      <w:r w:rsidRPr="00575B7A">
        <w:rPr>
          <w:rFonts w:ascii="Palatino Linotype" w:hAnsi="Palatino Linotype" w:cs="Arial"/>
          <w:b/>
          <w:bCs/>
          <w:color w:val="000000" w:themeColor="text1"/>
        </w:rPr>
        <w:t>SAIMEX.</w:t>
      </w:r>
    </w:p>
    <w:p w:rsidR="00785AAE" w:rsidRPr="00575B7A" w:rsidRDefault="00785AAE" w:rsidP="00966B7A">
      <w:pPr>
        <w:pStyle w:val="Prrafodelista"/>
        <w:tabs>
          <w:tab w:val="left" w:pos="426"/>
        </w:tabs>
        <w:spacing w:line="360" w:lineRule="auto"/>
        <w:ind w:right="-518"/>
        <w:jc w:val="both"/>
        <w:rPr>
          <w:rFonts w:ascii="Palatino Linotype" w:eastAsia="MS Mincho" w:hAnsi="Palatino Linotype" w:cs="Times New Roman"/>
          <w:color w:val="000000" w:themeColor="text1"/>
        </w:rPr>
      </w:pPr>
    </w:p>
    <w:p w:rsidR="00785AAE" w:rsidRPr="00575B7A" w:rsidRDefault="00785AAE" w:rsidP="00966B7A">
      <w:pPr>
        <w:pStyle w:val="Ttulo1"/>
        <w:spacing w:before="0" w:line="360" w:lineRule="auto"/>
        <w:ind w:right="-518"/>
        <w:jc w:val="center"/>
        <w:rPr>
          <w:b/>
          <w:szCs w:val="24"/>
        </w:rPr>
      </w:pPr>
      <w:r w:rsidRPr="00575B7A">
        <w:rPr>
          <w:b/>
          <w:szCs w:val="24"/>
        </w:rPr>
        <w:t>RESPUESTA</w:t>
      </w:r>
    </w:p>
    <w:p w:rsidR="00785AAE" w:rsidRPr="00575B7A" w:rsidRDefault="00785AAE" w:rsidP="00966B7A">
      <w:pPr>
        <w:pStyle w:val="Prrafodelista"/>
        <w:numPr>
          <w:ilvl w:val="0"/>
          <w:numId w:val="1"/>
        </w:numPr>
        <w:tabs>
          <w:tab w:val="left" w:pos="426"/>
        </w:tabs>
        <w:spacing w:line="360" w:lineRule="auto"/>
        <w:ind w:right="-518"/>
        <w:jc w:val="both"/>
        <w:rPr>
          <w:rFonts w:ascii="Palatino Linotype" w:hAnsi="Palatino Linotype"/>
          <w:color w:val="000000" w:themeColor="text1"/>
        </w:rPr>
      </w:pPr>
      <w:r w:rsidRPr="00575B7A">
        <w:rPr>
          <w:rFonts w:ascii="Palatino Linotype" w:eastAsia="MS Mincho" w:hAnsi="Palatino Linotype" w:cs="Times New Roman"/>
          <w:color w:val="000000" w:themeColor="text1"/>
        </w:rPr>
        <w:t xml:space="preserve">El </w:t>
      </w:r>
      <w:r w:rsidRPr="00575B7A">
        <w:rPr>
          <w:rFonts w:ascii="Palatino Linotype" w:eastAsia="MS Mincho" w:hAnsi="Palatino Linotype" w:cs="Times New Roman"/>
          <w:b/>
          <w:color w:val="000000" w:themeColor="text1"/>
        </w:rPr>
        <w:t xml:space="preserve">diecinueve de enero de dos mil veintiséis, </w:t>
      </w:r>
      <w:r w:rsidRPr="00575B7A">
        <w:rPr>
          <w:rFonts w:ascii="Palatino Linotype" w:eastAsia="MS Mincho" w:hAnsi="Palatino Linotype" w:cs="Times New Roman"/>
          <w:color w:val="000000" w:themeColor="text1"/>
        </w:rPr>
        <w:t xml:space="preserve">el </w:t>
      </w:r>
      <w:r w:rsidRPr="00575B7A">
        <w:rPr>
          <w:rFonts w:ascii="Palatino Linotype" w:eastAsia="MS Mincho" w:hAnsi="Palatino Linotype" w:cs="Times New Roman"/>
          <w:b/>
          <w:color w:val="000000" w:themeColor="text1"/>
        </w:rPr>
        <w:t xml:space="preserve">SUJETO OBLIGADO </w:t>
      </w:r>
      <w:r w:rsidRPr="00575B7A">
        <w:rPr>
          <w:rFonts w:ascii="Palatino Linotype" w:eastAsia="MS Mincho" w:hAnsi="Palatino Linotype" w:cs="Times New Roman"/>
          <w:color w:val="000000" w:themeColor="text1"/>
        </w:rPr>
        <w:t xml:space="preserve">dio respuesta a través del archivo DDUYM-31-2026.pdf, del que se desprende el oficio firmado por el Director de Desarrollo Urbano y Metropolitano, por el que informo que, después de haberse realizado </w:t>
      </w:r>
      <w:r w:rsidRPr="00575B7A">
        <w:rPr>
          <w:rFonts w:ascii="Palatino Linotype" w:eastAsia="MS Mincho" w:hAnsi="Palatino Linotype" w:cs="Times New Roman"/>
          <w:color w:val="000000" w:themeColor="text1"/>
        </w:rPr>
        <w:lastRenderedPageBreak/>
        <w:t>una búsqueda exhaustiva y razonable en esa Dirección, no se encontró la información solicitada.</w:t>
      </w:r>
    </w:p>
    <w:p w:rsidR="00785AAE" w:rsidRPr="00575B7A" w:rsidRDefault="00785AAE" w:rsidP="00966B7A">
      <w:pPr>
        <w:pStyle w:val="Sinespaciado"/>
        <w:ind w:right="-518"/>
        <w:jc w:val="both"/>
        <w:rPr>
          <w:rFonts w:ascii="Palatino Linotype" w:hAnsi="Palatino Linotype"/>
          <w:i/>
          <w:noProof/>
          <w:color w:val="000000" w:themeColor="text1"/>
          <w:lang w:val="es-MX" w:eastAsia="es-MX"/>
        </w:rPr>
      </w:pPr>
    </w:p>
    <w:p w:rsidR="00785AAE" w:rsidRPr="00575B7A" w:rsidRDefault="00785AAE" w:rsidP="00966B7A">
      <w:pPr>
        <w:pStyle w:val="Ttulo1"/>
        <w:spacing w:before="0" w:line="360" w:lineRule="auto"/>
        <w:ind w:right="-518"/>
        <w:jc w:val="center"/>
        <w:rPr>
          <w:b/>
          <w:noProof/>
          <w:color w:val="000000" w:themeColor="text1"/>
          <w:szCs w:val="24"/>
          <w:lang w:eastAsia="es-MX"/>
        </w:rPr>
      </w:pPr>
      <w:r w:rsidRPr="00575B7A">
        <w:rPr>
          <w:b/>
          <w:noProof/>
          <w:color w:val="000000" w:themeColor="text1"/>
          <w:szCs w:val="24"/>
          <w:lang w:eastAsia="es-MX"/>
        </w:rPr>
        <w:t xml:space="preserve">INCONFORMIDAD </w:t>
      </w:r>
    </w:p>
    <w:p w:rsidR="00785AAE" w:rsidRPr="00575B7A" w:rsidRDefault="00785AAE" w:rsidP="00966B7A">
      <w:pPr>
        <w:pStyle w:val="Sinespaciado"/>
        <w:ind w:right="-518"/>
        <w:jc w:val="both"/>
        <w:rPr>
          <w:rFonts w:ascii="Palatino Linotype" w:hAnsi="Palatino Linotype"/>
          <w:i/>
          <w:noProof/>
          <w:color w:val="000000" w:themeColor="text1"/>
          <w:lang w:val="es-MX" w:eastAsia="es-MX"/>
        </w:rPr>
      </w:pPr>
    </w:p>
    <w:p w:rsidR="00785AAE" w:rsidRPr="00575B7A" w:rsidRDefault="00785AAE" w:rsidP="00966B7A">
      <w:pPr>
        <w:pStyle w:val="Prrafodelista"/>
        <w:numPr>
          <w:ilvl w:val="0"/>
          <w:numId w:val="1"/>
        </w:numPr>
        <w:tabs>
          <w:tab w:val="left" w:pos="426"/>
        </w:tabs>
        <w:spacing w:line="360" w:lineRule="auto"/>
        <w:ind w:right="-518"/>
        <w:jc w:val="both"/>
        <w:rPr>
          <w:rFonts w:ascii="Palatino Linotype" w:hAnsi="Palatino Linotype"/>
          <w:b/>
          <w:lang w:val="es-ES"/>
        </w:rPr>
      </w:pPr>
      <w:r w:rsidRPr="00575B7A">
        <w:rPr>
          <w:rFonts w:ascii="Palatino Linotype" w:eastAsia="Times New Roman" w:hAnsi="Palatino Linotype" w:cs="Arial"/>
          <w:b/>
          <w:color w:val="000000" w:themeColor="text1"/>
          <w:lang w:val="es-ES"/>
        </w:rPr>
        <w:t>EL PARTICULAR</w:t>
      </w:r>
      <w:r w:rsidRPr="00575B7A">
        <w:rPr>
          <w:rFonts w:ascii="Palatino Linotype" w:eastAsia="Times New Roman" w:hAnsi="Palatino Linotype" w:cs="Arial"/>
          <w:color w:val="000000" w:themeColor="text1"/>
          <w:lang w:val="es-ES"/>
        </w:rPr>
        <w:t xml:space="preserve">, en fecha </w:t>
      </w:r>
      <w:r w:rsidRPr="00575B7A">
        <w:rPr>
          <w:rFonts w:ascii="Palatino Linotype" w:eastAsia="Times New Roman" w:hAnsi="Palatino Linotype" w:cs="Arial"/>
          <w:b/>
          <w:color w:val="000000" w:themeColor="text1"/>
          <w:lang w:val="es-ES"/>
        </w:rPr>
        <w:t>veintidós de enero de dos mil veintiséis,</w:t>
      </w:r>
      <w:r w:rsidRPr="00575B7A">
        <w:rPr>
          <w:rFonts w:ascii="Palatino Linotype" w:eastAsia="Times New Roman" w:hAnsi="Palatino Linotype" w:cs="Arial"/>
          <w:color w:val="000000" w:themeColor="text1"/>
          <w:lang w:val="es-ES"/>
        </w:rPr>
        <w:t xml:space="preserve"> interpuso el Recurso de Revisión </w:t>
      </w:r>
      <w:r w:rsidRPr="00575B7A">
        <w:rPr>
          <w:rFonts w:ascii="Palatino Linotype" w:hAnsi="Palatino Linotype"/>
          <w:b/>
          <w:lang w:val="es-ES"/>
        </w:rPr>
        <w:t>00953/INFOEM/IP/RR/2026</w:t>
      </w:r>
      <w:r w:rsidRPr="00575B7A">
        <w:rPr>
          <w:rFonts w:ascii="Palatino Linotype" w:hAnsi="Palatino Linotype"/>
          <w:lang w:val="es-ES"/>
        </w:rPr>
        <w:t xml:space="preserve">señalando </w:t>
      </w:r>
      <w:r w:rsidRPr="00575B7A">
        <w:rPr>
          <w:rFonts w:ascii="Palatino Linotype" w:hAnsi="Palatino Linotype" w:cs="Arial"/>
          <w:lang w:val="es-ES"/>
        </w:rPr>
        <w:t>como:</w:t>
      </w:r>
    </w:p>
    <w:p w:rsidR="00785AAE" w:rsidRPr="00575B7A" w:rsidRDefault="00785AAE" w:rsidP="00966B7A">
      <w:pPr>
        <w:spacing w:line="360" w:lineRule="auto"/>
        <w:ind w:right="-518"/>
        <w:contextualSpacing/>
        <w:jc w:val="both"/>
        <w:rPr>
          <w:rFonts w:ascii="Palatino Linotype" w:hAnsi="Palatino Linotype" w:cs="Arial"/>
          <w:i/>
          <w:lang w:val="es-ES_tradnl"/>
        </w:rPr>
      </w:pPr>
    </w:p>
    <w:p w:rsidR="00785AAE" w:rsidRPr="00575B7A" w:rsidRDefault="00785AAE" w:rsidP="00F42621">
      <w:pPr>
        <w:pStyle w:val="Prrafodelista"/>
        <w:numPr>
          <w:ilvl w:val="0"/>
          <w:numId w:val="2"/>
        </w:numPr>
        <w:ind w:right="474"/>
        <w:jc w:val="both"/>
        <w:rPr>
          <w:rFonts w:ascii="Palatino Linotype" w:eastAsia="Times New Roman" w:hAnsi="Palatino Linotype" w:cs="Arial"/>
          <w:i/>
          <w:iCs/>
          <w:color w:val="000000" w:themeColor="text1"/>
          <w:lang w:val="es-ES"/>
        </w:rPr>
      </w:pPr>
      <w:r w:rsidRPr="00575B7A">
        <w:rPr>
          <w:rFonts w:ascii="Palatino Linotype" w:eastAsia="Times New Roman" w:hAnsi="Palatino Linotype" w:cs="Arial"/>
          <w:b/>
          <w:iCs/>
          <w:color w:val="000000" w:themeColor="text1"/>
          <w:lang w:val="es-ES"/>
        </w:rPr>
        <w:t>Acto impugnado:</w:t>
      </w:r>
      <w:r w:rsidRPr="00575B7A">
        <w:rPr>
          <w:rFonts w:ascii="Palatino Linotype" w:eastAsia="Times New Roman" w:hAnsi="Palatino Linotype" w:cs="Arial"/>
          <w:i/>
          <w:iCs/>
          <w:color w:val="000000" w:themeColor="text1"/>
          <w:lang w:val="es-ES"/>
        </w:rPr>
        <w:t xml:space="preserve"> “</w:t>
      </w:r>
      <w:r w:rsidRPr="00575B7A">
        <w:rPr>
          <w:rFonts w:ascii="Palatino Linotype" w:eastAsia="Times New Roman" w:hAnsi="Palatino Linotype" w:cs="Arial"/>
          <w:i/>
          <w:iCs/>
          <w:color w:val="000000" w:themeColor="text1"/>
        </w:rPr>
        <w:t>La respuesta emitida por la Dirección de Desarrollo Urbano y Metropolitano del H. Ayuntamiento de Tepotzotlán, mediante la cual se declara la inexistencia de la información solicitada, relativa a: “Relación de concesiones, permisos y asignación de espacios públicos otorgados durante el año 2025, indicando: Beneficiario, Objeto, Vigencia, Monto pagado, Fundamento legal y Autorización correspondiente”.</w:t>
      </w:r>
      <w:r w:rsidRPr="00575B7A">
        <w:rPr>
          <w:rFonts w:ascii="Palatino Linotype" w:eastAsia="Times New Roman" w:hAnsi="Palatino Linotype" w:cs="Arial"/>
          <w:i/>
          <w:iCs/>
          <w:color w:val="000000" w:themeColor="text1"/>
          <w:lang w:val="es-ES"/>
        </w:rPr>
        <w:t>” (Sic).</w:t>
      </w:r>
    </w:p>
    <w:p w:rsidR="00785AAE" w:rsidRPr="00575B7A" w:rsidRDefault="00785AAE" w:rsidP="00F42621">
      <w:pPr>
        <w:ind w:left="567" w:right="474" w:firstLine="708"/>
        <w:jc w:val="both"/>
        <w:rPr>
          <w:rFonts w:ascii="Palatino Linotype" w:eastAsia="Times New Roman" w:hAnsi="Palatino Linotype" w:cs="Times New Roman"/>
          <w:i/>
          <w:iCs/>
          <w:lang w:eastAsia="es-MX"/>
        </w:rPr>
      </w:pPr>
    </w:p>
    <w:p w:rsidR="00785AAE" w:rsidRPr="00575B7A" w:rsidRDefault="00785AAE" w:rsidP="00F42621">
      <w:pPr>
        <w:pStyle w:val="Prrafodelista"/>
        <w:numPr>
          <w:ilvl w:val="0"/>
          <w:numId w:val="2"/>
        </w:numPr>
        <w:tabs>
          <w:tab w:val="left" w:pos="426"/>
        </w:tabs>
        <w:ind w:right="474"/>
        <w:jc w:val="both"/>
        <w:rPr>
          <w:rFonts w:ascii="Palatino Linotype" w:eastAsia="Times New Roman" w:hAnsi="Palatino Linotype" w:cs="Arial"/>
          <w:i/>
          <w:iCs/>
          <w:color w:val="000000" w:themeColor="text1"/>
        </w:rPr>
      </w:pPr>
      <w:r w:rsidRPr="00575B7A">
        <w:rPr>
          <w:rFonts w:ascii="Palatino Linotype" w:eastAsia="Times New Roman" w:hAnsi="Palatino Linotype" w:cs="Arial"/>
          <w:b/>
          <w:iCs/>
          <w:color w:val="000000" w:themeColor="text1"/>
          <w:lang w:val="es-ES"/>
        </w:rPr>
        <w:t>Motivos o razones de inconformidad</w:t>
      </w:r>
      <w:r w:rsidRPr="00575B7A">
        <w:rPr>
          <w:rFonts w:ascii="Palatino Linotype" w:eastAsia="Times New Roman" w:hAnsi="Palatino Linotype" w:cs="Arial"/>
          <w:b/>
          <w:i/>
          <w:iCs/>
          <w:color w:val="000000" w:themeColor="text1"/>
          <w:lang w:val="es-ES"/>
        </w:rPr>
        <w:t>:</w:t>
      </w:r>
      <w:r w:rsidRPr="00575B7A">
        <w:rPr>
          <w:rFonts w:ascii="Palatino Linotype" w:eastAsia="Times New Roman" w:hAnsi="Palatino Linotype" w:cs="Arial"/>
          <w:i/>
          <w:iCs/>
          <w:color w:val="000000" w:themeColor="text1"/>
          <w:lang w:val="es-ES"/>
        </w:rPr>
        <w:t xml:space="preserve"> “</w:t>
      </w:r>
      <w:r w:rsidRPr="00575B7A">
        <w:rPr>
          <w:rFonts w:ascii="Palatino Linotype" w:eastAsia="Times New Roman" w:hAnsi="Palatino Linotype" w:cs="Arial"/>
          <w:i/>
          <w:iCs/>
          <w:color w:val="000000" w:themeColor="text1"/>
        </w:rPr>
        <w:t xml:space="preserve">PRIMERO. Inexistencia indebidamente declarada y no acreditada El sujeto obligado no acreditó debidamente la inexistencia de la información solicitada, limitándose a afirmar que no se localizó en los archivos de una sola área administrativa, sin cumplir con los requisitos legales para declarar la inexistencia. No se anexó: Acta del Comité de Transparencia. Fundamentación y motivación de la inexistencia. Evidencia de una búsqueda exhaustiva. Lo anterior contraviene los artículos 11, 12, 23 y 24 de la Ley de Transparencia y Acceso a la Información Pública del Estado de México y Municipios. SEGUNDO. Búsqueda deficiente y limitada La autoridad restringió indebidamente la búsqueda únicamente a la Dirección de Desarrollo Urbano y Metropolitano, cuando la información solicitada necesariamente debe obrar también en otras unidades administrativas, tales como: Tesorería Municipal Secretaría del Ayuntamiento Dirección Jurídica Área de Ingresos Catastro Municipal Archivo Municipal La omisión de búsqueda en dichas áreas viola el principio de máxima publicidad y el deber de exhaustividad. TERCERO. Violación al principio de obligación de documentar De conformidad con el artículo 12 de la Ley, los sujetos obligados tienen la obligación de documentar todo acto que derive del ejercicio de sus atribuciones, especialmente aquellos relacionados con: Otorgamiento de concesiones Permisos administrativos Uso y aprovechamiento de bienes del dominio público Ingresos municipales Aceptar la inexistencia implicaría </w:t>
      </w:r>
      <w:r w:rsidRPr="00575B7A">
        <w:rPr>
          <w:rFonts w:ascii="Palatino Linotype" w:eastAsia="Times New Roman" w:hAnsi="Palatino Linotype" w:cs="Arial"/>
          <w:i/>
          <w:iCs/>
          <w:color w:val="000000" w:themeColor="text1"/>
        </w:rPr>
        <w:lastRenderedPageBreak/>
        <w:t>reconocer que el Ayuntamiento otorgó concesiones o permisos sin documentarlos, lo cual es jurídicamente inadmisible y no puede utilizarse como argumento para negar el acceso a la información. CUARTO. Información pública por su naturaleza La información solicitada no requiere elaboración, interpretación ni generación de documentos nuevos, sino únicamente la entrega de registros administrativos existentes, tales como padrones, autorizaciones, contratos o permisos. Por tanto, no resulta aplicable el argumento relativo a que el sujeto obligado no está obligado a crear información. QUINTO. Uso indebido del artículo 12 de la Ley El sujeto obligado cita de manera incorrecta y descontextualizada el artículo 12 de la Ley de Transparencia, ya que dicho precepto no faculta a negar información existente, sino únicamente exime de generar información nueva, lo cual no fue solicitado. PETICIÓN Por lo anteriormente expuesto, solicito respetuosamente a ese Órgano Garante: Se revoque la respuesta impugnada emitida por el H. Ayuntamiento de Tepotzotlán. Se ordene la realización de una búsqueda exhaustiva, razonable y documentada en todas las unidades administrativas competentes. Se entregue la información solicitada, consistente en la relación de concesiones, permisos y asignación de espacios públicos otorgados durante el año 2025, indicando: Beneficiario Objeto Vigencia Monto pagado Fundamento legal Autorización correspondiente En caso de persistir la inexistencia, se ordene la emisión del acta correspondiente del Comité de Transparencia, debidamente fundada y motivada..” (Sic)</w:t>
      </w:r>
    </w:p>
    <w:p w:rsidR="00785AAE" w:rsidRPr="00575B7A" w:rsidRDefault="00785AAE" w:rsidP="00F42621">
      <w:pPr>
        <w:tabs>
          <w:tab w:val="left" w:pos="426"/>
        </w:tabs>
        <w:ind w:left="567" w:right="474"/>
        <w:jc w:val="both"/>
        <w:rPr>
          <w:rFonts w:ascii="Palatino Linotype" w:eastAsia="Times New Roman" w:hAnsi="Palatino Linotype" w:cs="Arial"/>
          <w:i/>
          <w:iCs/>
          <w:color w:val="000000" w:themeColor="text1"/>
        </w:rPr>
      </w:pPr>
    </w:p>
    <w:p w:rsidR="00785AAE" w:rsidRPr="00575B7A" w:rsidRDefault="00785AAE" w:rsidP="00966B7A">
      <w:pPr>
        <w:tabs>
          <w:tab w:val="left" w:pos="426"/>
        </w:tabs>
        <w:ind w:left="567" w:right="-518"/>
        <w:jc w:val="both"/>
        <w:rPr>
          <w:rFonts w:ascii="Palatino Linotype" w:eastAsia="Times New Roman" w:hAnsi="Palatino Linotype" w:cs="Arial"/>
          <w:i/>
          <w:iCs/>
          <w:color w:val="000000" w:themeColor="text1"/>
        </w:rPr>
      </w:pPr>
    </w:p>
    <w:p w:rsidR="00785AAE" w:rsidRPr="00575B7A" w:rsidRDefault="00785AAE" w:rsidP="00966B7A">
      <w:pPr>
        <w:pStyle w:val="Ttulo1"/>
        <w:spacing w:before="0" w:line="360" w:lineRule="auto"/>
        <w:ind w:right="-518"/>
        <w:jc w:val="center"/>
        <w:rPr>
          <w:rFonts w:eastAsia="Times New Roman" w:cs="Arial"/>
          <w:b/>
          <w:iCs/>
          <w:color w:val="000000" w:themeColor="text1"/>
          <w:szCs w:val="24"/>
        </w:rPr>
      </w:pPr>
      <w:r w:rsidRPr="00575B7A">
        <w:rPr>
          <w:rFonts w:eastAsia="Times New Roman" w:cs="Arial"/>
          <w:b/>
          <w:iCs/>
          <w:color w:val="000000" w:themeColor="text1"/>
          <w:szCs w:val="24"/>
        </w:rPr>
        <w:t>ADMISIÓN</w:t>
      </w:r>
    </w:p>
    <w:p w:rsidR="00785AAE" w:rsidRPr="00575B7A" w:rsidRDefault="00785AAE" w:rsidP="00966B7A">
      <w:pPr>
        <w:tabs>
          <w:tab w:val="left" w:pos="426"/>
        </w:tabs>
        <w:ind w:left="567" w:right="-518"/>
        <w:jc w:val="both"/>
        <w:rPr>
          <w:rFonts w:ascii="Palatino Linotype" w:eastAsia="Times New Roman" w:hAnsi="Palatino Linotype" w:cs="Arial"/>
          <w:i/>
          <w:iCs/>
          <w:color w:val="000000" w:themeColor="text1"/>
        </w:rPr>
      </w:pPr>
    </w:p>
    <w:p w:rsidR="00785AAE" w:rsidRPr="00575B7A" w:rsidRDefault="00785AAE" w:rsidP="00966B7A">
      <w:pPr>
        <w:numPr>
          <w:ilvl w:val="0"/>
          <w:numId w:val="1"/>
        </w:numPr>
        <w:spacing w:line="360" w:lineRule="auto"/>
        <w:ind w:right="-518"/>
        <w:contextualSpacing/>
        <w:jc w:val="both"/>
        <w:rPr>
          <w:rFonts w:ascii="Palatino Linotype" w:eastAsia="Times New Roman" w:hAnsi="Palatino Linotype" w:cs="Arial"/>
          <w:color w:val="000000" w:themeColor="text1"/>
          <w:lang w:val="es-ES"/>
        </w:rPr>
      </w:pPr>
      <w:r w:rsidRPr="00575B7A">
        <w:rPr>
          <w:rFonts w:ascii="Palatino Linotype" w:hAnsi="Palatino Linotype" w:cs="Arial"/>
          <w:bCs/>
          <w:lang w:val="es-ES_tradnl"/>
        </w:rPr>
        <w:t xml:space="preserve">Con fundamento en lo dispuesto por el </w:t>
      </w:r>
      <w:r w:rsidRPr="00575B7A">
        <w:rPr>
          <w:rFonts w:ascii="Palatino Linotype" w:eastAsia="Calibri" w:hAnsi="Palatino Linotype" w:cs="Arial"/>
          <w:lang w:val="es-ES"/>
        </w:rPr>
        <w:t xml:space="preserve">artículo 185 fracción I de la </w:t>
      </w:r>
      <w:r w:rsidRPr="00575B7A">
        <w:rPr>
          <w:rFonts w:ascii="Palatino Linotype" w:eastAsia="Calibri" w:hAnsi="Palatino Linotype" w:cs="Arial"/>
          <w:b/>
          <w:lang w:val="es-ES"/>
        </w:rPr>
        <w:t xml:space="preserve">Ley de Transparencia y Acceso a la Información Pública del Estado de México y Municipios, </w:t>
      </w:r>
      <w:r w:rsidRPr="00575B7A">
        <w:rPr>
          <w:rFonts w:ascii="Palatino Linotype" w:eastAsia="Calibri" w:hAnsi="Palatino Linotype" w:cs="Arial"/>
          <w:lang w:val="es-ES"/>
        </w:rPr>
        <w:t>el presente recurso se turnó a la</w:t>
      </w:r>
      <w:r w:rsidRPr="00575B7A">
        <w:rPr>
          <w:rFonts w:ascii="Palatino Linotype" w:hAnsi="Palatino Linotype" w:cs="Arial"/>
          <w:lang w:val="es-ES"/>
        </w:rPr>
        <w:t xml:space="preserve"> </w:t>
      </w:r>
      <w:r w:rsidRPr="00575B7A">
        <w:rPr>
          <w:rFonts w:ascii="Palatino Linotype" w:hAnsi="Palatino Linotype" w:cs="Arial"/>
          <w:b/>
          <w:lang w:val="es-ES"/>
        </w:rPr>
        <w:t>Comisionadas María del Rosario Mejía Ayala.</w:t>
      </w:r>
    </w:p>
    <w:p w:rsidR="00785AAE" w:rsidRPr="00575B7A" w:rsidRDefault="00785AAE" w:rsidP="00966B7A">
      <w:pPr>
        <w:spacing w:line="360" w:lineRule="auto"/>
        <w:ind w:right="-518"/>
        <w:contextualSpacing/>
        <w:jc w:val="both"/>
        <w:rPr>
          <w:rFonts w:ascii="Palatino Linotype" w:eastAsia="Times New Roman" w:hAnsi="Palatino Linotype" w:cs="Arial"/>
          <w:color w:val="000000" w:themeColor="text1"/>
          <w:lang w:val="es-ES"/>
        </w:rPr>
      </w:pPr>
    </w:p>
    <w:p w:rsidR="00785AAE" w:rsidRPr="00575B7A" w:rsidRDefault="00785AAE" w:rsidP="00966B7A">
      <w:pPr>
        <w:pStyle w:val="Prrafodelista"/>
        <w:numPr>
          <w:ilvl w:val="0"/>
          <w:numId w:val="1"/>
        </w:numPr>
        <w:tabs>
          <w:tab w:val="left" w:pos="426"/>
        </w:tabs>
        <w:spacing w:line="360" w:lineRule="auto"/>
        <w:ind w:right="-518"/>
        <w:jc w:val="both"/>
        <w:rPr>
          <w:rFonts w:ascii="Palatino Linotype" w:eastAsia="Calibri" w:hAnsi="Palatino Linotype" w:cs="Arial"/>
          <w:color w:val="000000" w:themeColor="text1"/>
          <w:lang w:val="es-ES"/>
        </w:rPr>
      </w:pPr>
      <w:r w:rsidRPr="00575B7A">
        <w:rPr>
          <w:rFonts w:ascii="Palatino Linotype" w:eastAsia="Times New Roman" w:hAnsi="Palatino Linotype" w:cs="Arial"/>
          <w:color w:val="000000" w:themeColor="text1"/>
          <w:lang w:val="es-ES"/>
        </w:rPr>
        <w:t xml:space="preserve">La </w:t>
      </w:r>
      <w:r w:rsidRPr="00575B7A">
        <w:rPr>
          <w:rFonts w:ascii="Palatino Linotype" w:eastAsia="Calibri" w:hAnsi="Palatino Linotype" w:cs="Arial"/>
          <w:color w:val="000000" w:themeColor="text1"/>
          <w:lang w:val="es-ES"/>
        </w:rPr>
        <w:t xml:space="preserve">Comisionada Ponente, con fundamento en lo dispuesto por el artículo 185 fracción II de la Ley de Transparencia y Acceso a la Información Pública del Estado de México y Municipios, a través del acuerdo de admisión de fecha </w:t>
      </w:r>
      <w:r w:rsidRPr="00575B7A">
        <w:rPr>
          <w:rFonts w:ascii="Palatino Linotype" w:eastAsia="Calibri" w:hAnsi="Palatino Linotype" w:cs="Arial"/>
          <w:b/>
          <w:color w:val="000000" w:themeColor="text1"/>
          <w:lang w:val="es-ES"/>
        </w:rPr>
        <w:t>veintiséis de enero de dos mil veintiséis</w:t>
      </w:r>
      <w:r w:rsidRPr="00575B7A">
        <w:rPr>
          <w:rFonts w:ascii="Palatino Linotype" w:eastAsia="Calibri" w:hAnsi="Palatino Linotype" w:cs="Arial"/>
          <w:color w:val="000000" w:themeColor="text1"/>
          <w:lang w:val="es-ES"/>
        </w:rPr>
        <w:t xml:space="preserve">, puso a disposición de las partes el expediente electrónico </w:t>
      </w:r>
      <w:r w:rsidRPr="00575B7A">
        <w:rPr>
          <w:rFonts w:ascii="Palatino Linotype" w:eastAsia="Calibri" w:hAnsi="Palatino Linotype" w:cs="Arial"/>
          <w:color w:val="000000" w:themeColor="text1"/>
        </w:rPr>
        <w:t xml:space="preserve">vía </w:t>
      </w:r>
      <w:r w:rsidRPr="00575B7A">
        <w:rPr>
          <w:rFonts w:ascii="Palatino Linotype" w:eastAsia="Calibri" w:hAnsi="Palatino Linotype" w:cs="Arial"/>
          <w:color w:val="000000" w:themeColor="text1"/>
          <w:lang w:val="es-ES"/>
        </w:rPr>
        <w:t xml:space="preserve">Sistema de Acceso a </w:t>
      </w:r>
      <w:r w:rsidRPr="00575B7A">
        <w:rPr>
          <w:rFonts w:ascii="Palatino Linotype" w:eastAsia="Calibri" w:hAnsi="Palatino Linotype" w:cs="Arial"/>
          <w:color w:val="000000" w:themeColor="text1"/>
          <w:lang w:val="es-ES"/>
        </w:rPr>
        <w:lastRenderedPageBreak/>
        <w:t>la Información Mexiquense (</w:t>
      </w:r>
      <w:r w:rsidRPr="00575B7A">
        <w:rPr>
          <w:rFonts w:ascii="Palatino Linotype" w:eastAsia="Calibri" w:hAnsi="Palatino Linotype" w:cs="Arial"/>
          <w:b/>
          <w:i/>
          <w:color w:val="000000" w:themeColor="text1"/>
          <w:lang w:val="es-ES"/>
        </w:rPr>
        <w:t>SAIMEX)</w:t>
      </w:r>
      <w:r w:rsidRPr="00575B7A">
        <w:rPr>
          <w:rFonts w:ascii="Palatino Linotype" w:eastAsia="Calibri" w:hAnsi="Palatino Linotype" w:cs="Arial"/>
          <w:b/>
          <w:color w:val="000000" w:themeColor="text1"/>
          <w:lang w:val="es-ES"/>
        </w:rPr>
        <w:t xml:space="preserve"> </w:t>
      </w:r>
      <w:r w:rsidRPr="00575B7A">
        <w:rPr>
          <w:rFonts w:ascii="Palatino Linotype" w:eastAsia="Calibri" w:hAnsi="Palatino Linotype" w:cs="Arial"/>
          <w:color w:val="000000" w:themeColor="text1"/>
          <w:lang w:val="es-ES"/>
        </w:rPr>
        <w:t xml:space="preserve">a efecto de que en un plazo máximo de siete días manifestaran lo que a su derecho convinieran, ofrecieran pruebas y alegatos según corresponda a los casos concretos, de esta forma para que el </w:t>
      </w:r>
      <w:r w:rsidRPr="00575B7A">
        <w:rPr>
          <w:rFonts w:ascii="Palatino Linotype" w:eastAsia="Calibri" w:hAnsi="Palatino Linotype" w:cs="Arial"/>
          <w:b/>
          <w:color w:val="000000" w:themeColor="text1"/>
          <w:lang w:val="es-ES"/>
        </w:rPr>
        <w:t>SUJETO OBLIGADO</w:t>
      </w:r>
      <w:r w:rsidRPr="00575B7A">
        <w:rPr>
          <w:rFonts w:ascii="Palatino Linotype" w:eastAsia="Calibri" w:hAnsi="Palatino Linotype" w:cs="Arial"/>
          <w:color w:val="000000" w:themeColor="text1"/>
          <w:lang w:val="es-ES"/>
        </w:rPr>
        <w:t xml:space="preserve"> presentara el informe justificado procedente.</w:t>
      </w:r>
    </w:p>
    <w:p w:rsidR="00F42621" w:rsidRPr="00575B7A" w:rsidRDefault="00F42621" w:rsidP="00F42621">
      <w:pPr>
        <w:pStyle w:val="Prrafodelista"/>
        <w:tabs>
          <w:tab w:val="left" w:pos="426"/>
        </w:tabs>
        <w:spacing w:line="360" w:lineRule="auto"/>
        <w:ind w:left="0" w:right="-518"/>
        <w:jc w:val="both"/>
        <w:rPr>
          <w:rFonts w:ascii="Palatino Linotype" w:eastAsia="Calibri" w:hAnsi="Palatino Linotype" w:cs="Arial"/>
          <w:color w:val="000000" w:themeColor="text1"/>
          <w:lang w:val="es-ES"/>
        </w:rPr>
      </w:pPr>
    </w:p>
    <w:p w:rsidR="00785AAE" w:rsidRPr="00575B7A" w:rsidRDefault="00785AAE" w:rsidP="00966B7A">
      <w:pPr>
        <w:pStyle w:val="Ttulo1"/>
        <w:spacing w:before="0" w:line="360" w:lineRule="auto"/>
        <w:ind w:right="-518"/>
        <w:jc w:val="center"/>
        <w:rPr>
          <w:rFonts w:eastAsia="Calibri" w:cs="Arial"/>
          <w:b/>
          <w:color w:val="000000" w:themeColor="text1"/>
          <w:szCs w:val="24"/>
          <w:lang w:val="es-ES"/>
        </w:rPr>
      </w:pPr>
      <w:r w:rsidRPr="00575B7A">
        <w:rPr>
          <w:rFonts w:eastAsia="Calibri" w:cs="Arial"/>
          <w:b/>
          <w:color w:val="000000" w:themeColor="text1"/>
          <w:szCs w:val="24"/>
          <w:lang w:val="es-ES"/>
        </w:rPr>
        <w:t xml:space="preserve">MANIFESTACIONES </w:t>
      </w:r>
      <w:bookmarkStart w:id="4" w:name="_Toc461555889"/>
      <w:bookmarkStart w:id="5" w:name="_Toc466371858"/>
    </w:p>
    <w:p w:rsidR="00785AAE" w:rsidRPr="00575B7A" w:rsidRDefault="00785AAE" w:rsidP="00966B7A">
      <w:pPr>
        <w:pStyle w:val="Prrafodelista"/>
        <w:numPr>
          <w:ilvl w:val="0"/>
          <w:numId w:val="1"/>
        </w:numPr>
        <w:tabs>
          <w:tab w:val="left" w:pos="426"/>
        </w:tabs>
        <w:spacing w:line="360" w:lineRule="auto"/>
        <w:ind w:right="-518"/>
        <w:jc w:val="both"/>
        <w:rPr>
          <w:rFonts w:ascii="Palatino Linotype" w:eastAsia="Calibri" w:hAnsi="Palatino Linotype" w:cs="Arial"/>
          <w:b/>
          <w:color w:val="000000" w:themeColor="text1"/>
          <w:lang w:val="es-ES"/>
        </w:rPr>
      </w:pPr>
      <w:r w:rsidRPr="00575B7A">
        <w:rPr>
          <w:rFonts w:ascii="Palatino Linotype" w:hAnsi="Palatino Linotype"/>
          <w:color w:val="000000" w:themeColor="text1"/>
        </w:rPr>
        <w:t>Las partes fueron omisas en realizar manifestaciones o presentar alegatos que a su derecho convinieran.</w:t>
      </w:r>
    </w:p>
    <w:p w:rsidR="00785AAE" w:rsidRPr="00575B7A" w:rsidRDefault="00785AAE" w:rsidP="00966B7A">
      <w:pPr>
        <w:pStyle w:val="Prrafodelista"/>
        <w:tabs>
          <w:tab w:val="left" w:pos="426"/>
        </w:tabs>
        <w:spacing w:line="360" w:lineRule="auto"/>
        <w:ind w:left="0" w:right="-518"/>
        <w:jc w:val="both"/>
        <w:rPr>
          <w:rFonts w:ascii="Palatino Linotype" w:hAnsi="Palatino Linotype"/>
          <w:color w:val="000000" w:themeColor="text1"/>
        </w:rPr>
      </w:pPr>
    </w:p>
    <w:p w:rsidR="00785AAE" w:rsidRPr="00575B7A" w:rsidRDefault="00785AAE" w:rsidP="00966B7A">
      <w:pPr>
        <w:pStyle w:val="Ttulo1"/>
        <w:spacing w:before="0" w:line="360" w:lineRule="auto"/>
        <w:ind w:right="-518"/>
        <w:jc w:val="center"/>
        <w:rPr>
          <w:rFonts w:eastAsia="Calibri" w:cs="Arial"/>
          <w:b/>
          <w:color w:val="000000" w:themeColor="text1"/>
          <w:szCs w:val="24"/>
          <w:lang w:val="es-ES"/>
        </w:rPr>
      </w:pPr>
      <w:r w:rsidRPr="00575B7A">
        <w:rPr>
          <w:rFonts w:eastAsia="Calibri" w:cs="Arial"/>
          <w:b/>
          <w:color w:val="000000" w:themeColor="text1"/>
          <w:szCs w:val="24"/>
          <w:lang w:val="es-ES"/>
        </w:rPr>
        <w:t>AMPLIACION</w:t>
      </w:r>
    </w:p>
    <w:p w:rsidR="00785AAE" w:rsidRPr="00575B7A" w:rsidRDefault="00785AAE" w:rsidP="00966B7A">
      <w:pPr>
        <w:numPr>
          <w:ilvl w:val="0"/>
          <w:numId w:val="1"/>
        </w:numPr>
        <w:spacing w:line="360" w:lineRule="auto"/>
        <w:ind w:right="-518"/>
        <w:contextualSpacing/>
        <w:jc w:val="both"/>
        <w:rPr>
          <w:rFonts w:ascii="Palatino Linotype" w:hAnsi="Palatino Linotype"/>
          <w:lang w:val="es-ES_tradnl"/>
        </w:rPr>
      </w:pPr>
      <w:r w:rsidRPr="00575B7A">
        <w:rPr>
          <w:rFonts w:ascii="Palatino Linotype" w:hAnsi="Palatino Linotype"/>
          <w:lang w:val="es-ES_tradnl"/>
        </w:rPr>
        <w:t xml:space="preserve">En fecha </w:t>
      </w:r>
      <w:r w:rsidRPr="00575B7A">
        <w:rPr>
          <w:rFonts w:ascii="Palatino Linotype" w:hAnsi="Palatino Linotype"/>
          <w:b/>
          <w:lang w:val="es-ES_tradnl"/>
        </w:rPr>
        <w:t>veintinueve de abril de dos mil veintiséis,</w:t>
      </w:r>
      <w:r w:rsidRPr="00575B7A">
        <w:rPr>
          <w:rFonts w:ascii="Palatino Linotype" w:hAnsi="Palatino Linotype"/>
          <w:lang w:val="es-ES_tradnl"/>
        </w:rPr>
        <w:t xml:space="preserve"> se notificó el acuerdo mediante el cual se aprobó la ampliación de plazo para emitir resolución, dentro del recurso de revisión que nos ocupa.</w:t>
      </w:r>
    </w:p>
    <w:p w:rsidR="00785AAE" w:rsidRPr="00575B7A" w:rsidRDefault="00785AAE" w:rsidP="00966B7A">
      <w:pPr>
        <w:spacing w:line="360" w:lineRule="auto"/>
        <w:ind w:right="-518"/>
        <w:contextualSpacing/>
        <w:jc w:val="both"/>
        <w:rPr>
          <w:rFonts w:ascii="Palatino Linotype" w:hAnsi="Palatino Linotype"/>
          <w:lang w:val="es-ES_tradnl"/>
        </w:rPr>
      </w:pPr>
    </w:p>
    <w:p w:rsidR="00785AAE" w:rsidRPr="00575B7A" w:rsidRDefault="00785AAE" w:rsidP="00966B7A">
      <w:pPr>
        <w:pStyle w:val="Ttulo1"/>
        <w:spacing w:before="0" w:line="360" w:lineRule="auto"/>
        <w:ind w:right="-518"/>
        <w:jc w:val="center"/>
        <w:rPr>
          <w:b/>
          <w:color w:val="000000" w:themeColor="text1"/>
          <w:szCs w:val="24"/>
        </w:rPr>
      </w:pPr>
      <w:r w:rsidRPr="00575B7A">
        <w:rPr>
          <w:b/>
          <w:color w:val="000000" w:themeColor="text1"/>
          <w:szCs w:val="24"/>
        </w:rPr>
        <w:t>CIERRE DE INSTRUCCIÓN</w:t>
      </w:r>
    </w:p>
    <w:p w:rsidR="00785AAE" w:rsidRPr="00575B7A" w:rsidRDefault="00785AAE" w:rsidP="00966B7A">
      <w:pPr>
        <w:pStyle w:val="Prrafodelista"/>
        <w:numPr>
          <w:ilvl w:val="0"/>
          <w:numId w:val="1"/>
        </w:numPr>
        <w:tabs>
          <w:tab w:val="left" w:pos="426"/>
        </w:tabs>
        <w:spacing w:line="360" w:lineRule="auto"/>
        <w:ind w:right="-518"/>
        <w:jc w:val="both"/>
        <w:rPr>
          <w:rFonts w:ascii="Palatino Linotype" w:hAnsi="Palatino Linotype"/>
          <w:color w:val="000000" w:themeColor="text1"/>
        </w:rPr>
      </w:pPr>
      <w:r w:rsidRPr="00575B7A">
        <w:rPr>
          <w:rFonts w:ascii="Palatino Linotype" w:hAnsi="Palatino Linotype"/>
          <w:color w:val="000000" w:themeColor="text1"/>
        </w:rPr>
        <w:t xml:space="preserve">El día </w:t>
      </w:r>
      <w:r w:rsidRPr="00575B7A">
        <w:rPr>
          <w:rFonts w:ascii="Palatino Linotype" w:hAnsi="Palatino Linotype"/>
          <w:b/>
          <w:color w:val="000000" w:themeColor="text1"/>
          <w:lang w:val="es-ES_tradnl"/>
        </w:rPr>
        <w:t>nueve de abril de dos mil veintiséis</w:t>
      </w:r>
      <w:r w:rsidRPr="00575B7A">
        <w:rPr>
          <w:rFonts w:ascii="Palatino Linotype" w:hAnsi="Palatino Linotype"/>
          <w:color w:val="000000" w:themeColor="text1"/>
        </w:rPr>
        <w:t xml:space="preserve">, la </w:t>
      </w:r>
      <w:r w:rsidRPr="00575B7A">
        <w:rPr>
          <w:rFonts w:ascii="Palatino Linotype" w:eastAsia="Calibri" w:hAnsi="Palatino Linotype" w:cs="Arial"/>
          <w:color w:val="000000" w:themeColor="text1"/>
          <w:lang w:val="es-ES"/>
        </w:rPr>
        <w:t>Comisionada Ponente decretó</w:t>
      </w:r>
      <w:r w:rsidRPr="00575B7A">
        <w:rPr>
          <w:rFonts w:ascii="Palatino Linotype" w:hAnsi="Palatino Linotype" w:cs="Arial"/>
          <w:color w:val="000000" w:themeColor="text1"/>
        </w:rPr>
        <w:t xml:space="preserve"> el </w:t>
      </w:r>
      <w:r w:rsidRPr="00575B7A">
        <w:rPr>
          <w:rFonts w:ascii="Palatino Linotype" w:hAnsi="Palatino Linotype" w:cs="Arial"/>
          <w:b/>
          <w:color w:val="000000" w:themeColor="text1"/>
        </w:rPr>
        <w:t>cierre del periodo de instrucción</w:t>
      </w:r>
      <w:r w:rsidRPr="00575B7A">
        <w:rPr>
          <w:rFonts w:ascii="Palatino Linotype" w:hAnsi="Palatino Linotype" w:cs="Arial"/>
          <w:color w:val="000000" w:themeColor="text1"/>
        </w:rPr>
        <w:t xml:space="preserve"> del Recurso, ordenando turnar el expediente para su resolución, por lo que no más habiendo más que hacer constar, y </w:t>
      </w:r>
    </w:p>
    <w:p w:rsidR="00785AAE" w:rsidRPr="00575B7A" w:rsidRDefault="00785AAE" w:rsidP="00966B7A">
      <w:pPr>
        <w:pStyle w:val="Prrafodelista"/>
        <w:tabs>
          <w:tab w:val="left" w:pos="426"/>
        </w:tabs>
        <w:spacing w:line="360" w:lineRule="auto"/>
        <w:ind w:left="0" w:right="-518"/>
        <w:jc w:val="both"/>
        <w:rPr>
          <w:rFonts w:ascii="Palatino Linotype" w:hAnsi="Palatino Linotype"/>
          <w:color w:val="000000" w:themeColor="text1"/>
        </w:rPr>
      </w:pPr>
    </w:p>
    <w:p w:rsidR="00785AAE" w:rsidRPr="00575B7A" w:rsidRDefault="00785AAE" w:rsidP="00966B7A">
      <w:pPr>
        <w:pStyle w:val="Prrafodelista"/>
        <w:spacing w:line="360" w:lineRule="auto"/>
        <w:ind w:left="0" w:right="-518"/>
        <w:jc w:val="center"/>
        <w:rPr>
          <w:rFonts w:ascii="Palatino Linotype" w:hAnsi="Palatino Linotype"/>
          <w:b/>
          <w:color w:val="000000" w:themeColor="text1"/>
        </w:rPr>
      </w:pPr>
      <w:r w:rsidRPr="00575B7A">
        <w:rPr>
          <w:rFonts w:ascii="Palatino Linotype" w:hAnsi="Palatino Linotype"/>
          <w:b/>
          <w:color w:val="000000" w:themeColor="text1"/>
        </w:rPr>
        <w:t>C</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O</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N</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S</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I</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D</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E</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R</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A</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N</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D</w:t>
      </w:r>
      <w:r w:rsidR="00575B7A">
        <w:rPr>
          <w:rFonts w:ascii="Palatino Linotype" w:hAnsi="Palatino Linotype"/>
          <w:b/>
          <w:color w:val="000000" w:themeColor="text1"/>
        </w:rPr>
        <w:t xml:space="preserve"> </w:t>
      </w:r>
      <w:r w:rsidRPr="00575B7A">
        <w:rPr>
          <w:rFonts w:ascii="Palatino Linotype" w:hAnsi="Palatino Linotype"/>
          <w:b/>
          <w:color w:val="000000" w:themeColor="text1"/>
        </w:rPr>
        <w:t>O</w:t>
      </w:r>
    </w:p>
    <w:p w:rsidR="00785AAE" w:rsidRPr="00575B7A" w:rsidRDefault="00785AAE" w:rsidP="00966B7A">
      <w:pPr>
        <w:pStyle w:val="Prrafodelista"/>
        <w:spacing w:line="360" w:lineRule="auto"/>
        <w:ind w:left="0" w:right="-518"/>
        <w:jc w:val="center"/>
        <w:rPr>
          <w:rFonts w:ascii="Palatino Linotype" w:hAnsi="Palatino Linotype"/>
          <w:b/>
          <w:color w:val="000000" w:themeColor="text1"/>
        </w:rPr>
      </w:pPr>
    </w:p>
    <w:p w:rsidR="00785AAE" w:rsidRPr="00575B7A" w:rsidRDefault="00785AAE" w:rsidP="00966B7A">
      <w:pPr>
        <w:pStyle w:val="Ttulo2"/>
        <w:spacing w:before="0" w:line="360" w:lineRule="auto"/>
        <w:ind w:right="-518"/>
        <w:rPr>
          <w:rFonts w:ascii="Palatino Linotype" w:hAnsi="Palatino Linotype"/>
          <w:b/>
          <w:color w:val="auto"/>
          <w:sz w:val="24"/>
          <w:szCs w:val="24"/>
        </w:rPr>
      </w:pPr>
      <w:bookmarkStart w:id="6" w:name="_Toc491791303"/>
      <w:bookmarkStart w:id="7" w:name="_Toc83128579"/>
      <w:r w:rsidRPr="00575B7A">
        <w:rPr>
          <w:rFonts w:ascii="Palatino Linotype" w:hAnsi="Palatino Linotype"/>
          <w:b/>
          <w:color w:val="auto"/>
          <w:sz w:val="24"/>
          <w:szCs w:val="24"/>
        </w:rPr>
        <w:t>PRIMERO. De la competencia</w:t>
      </w:r>
      <w:bookmarkEnd w:id="6"/>
      <w:bookmarkEnd w:id="7"/>
    </w:p>
    <w:p w:rsidR="00785AAE" w:rsidRPr="00575B7A" w:rsidRDefault="00785AAE" w:rsidP="00966B7A">
      <w:pPr>
        <w:pStyle w:val="Prrafodelista"/>
        <w:numPr>
          <w:ilvl w:val="0"/>
          <w:numId w:val="1"/>
        </w:numPr>
        <w:spacing w:line="360" w:lineRule="auto"/>
        <w:ind w:right="-518"/>
        <w:jc w:val="both"/>
        <w:rPr>
          <w:rFonts w:ascii="Palatino Linotype" w:hAnsi="Palatino Linotype"/>
        </w:rPr>
      </w:pPr>
      <w:r w:rsidRPr="00575B7A">
        <w:rPr>
          <w:rFonts w:ascii="Palatino Linotype" w:hAnsi="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w:t>
      </w:r>
      <w:r w:rsidRPr="00575B7A">
        <w:rPr>
          <w:rFonts w:ascii="Palatino Linotype" w:hAnsi="Palatino Linotype"/>
        </w:rPr>
        <w:lastRenderedPageBreak/>
        <w:t>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785AAE" w:rsidRPr="00575B7A" w:rsidRDefault="00785AAE" w:rsidP="00966B7A">
      <w:pPr>
        <w:pStyle w:val="Prrafodelista"/>
        <w:spacing w:line="360" w:lineRule="auto"/>
        <w:ind w:left="0" w:right="-518"/>
        <w:jc w:val="both"/>
        <w:rPr>
          <w:rFonts w:ascii="Palatino Linotype" w:hAnsi="Palatino Linotype"/>
        </w:rPr>
      </w:pPr>
    </w:p>
    <w:p w:rsidR="00785AAE" w:rsidRPr="00575B7A" w:rsidRDefault="00785AAE" w:rsidP="00966B7A">
      <w:pPr>
        <w:pStyle w:val="Ttulo2"/>
        <w:spacing w:before="0" w:line="360" w:lineRule="auto"/>
        <w:ind w:right="-518"/>
        <w:rPr>
          <w:rFonts w:ascii="Palatino Linotype" w:hAnsi="Palatino Linotype"/>
          <w:b/>
          <w:color w:val="auto"/>
          <w:sz w:val="24"/>
          <w:szCs w:val="24"/>
        </w:rPr>
      </w:pPr>
      <w:bookmarkStart w:id="8" w:name="_Toc491791304"/>
      <w:bookmarkStart w:id="9" w:name="_Toc83128580"/>
      <w:r w:rsidRPr="00575B7A">
        <w:rPr>
          <w:rFonts w:ascii="Palatino Linotype" w:hAnsi="Palatino Linotype"/>
          <w:b/>
          <w:color w:val="auto"/>
          <w:sz w:val="24"/>
          <w:szCs w:val="24"/>
        </w:rPr>
        <w:t>SEGUNDO. De la oportunidad y procedencia.</w:t>
      </w:r>
      <w:bookmarkEnd w:id="8"/>
      <w:bookmarkEnd w:id="9"/>
    </w:p>
    <w:p w:rsidR="00785AAE" w:rsidRPr="00575B7A" w:rsidRDefault="00785AAE" w:rsidP="00966B7A">
      <w:pPr>
        <w:pStyle w:val="Prrafodelista"/>
        <w:numPr>
          <w:ilvl w:val="0"/>
          <w:numId w:val="1"/>
        </w:numPr>
        <w:spacing w:line="360" w:lineRule="auto"/>
        <w:ind w:right="-518"/>
        <w:jc w:val="both"/>
        <w:rPr>
          <w:rFonts w:ascii="Palatino Linotype" w:hAnsi="Palatino Linotype"/>
        </w:rPr>
      </w:pPr>
      <w:r w:rsidRPr="00575B7A">
        <w:rPr>
          <w:rFonts w:ascii="Palatino Linotype" w:eastAsia="Calibri" w:hAnsi="Palatino Linotype" w:cs="Arial"/>
        </w:rPr>
        <w:t xml:space="preserve">El medio de impugnación fue presentado a través del </w:t>
      </w:r>
      <w:r w:rsidRPr="00575B7A">
        <w:rPr>
          <w:rFonts w:ascii="Palatino Linotype" w:eastAsia="Calibri" w:hAnsi="Palatino Linotype" w:cs="Arial"/>
          <w:b/>
        </w:rPr>
        <w:t>SAIMEX,</w:t>
      </w:r>
      <w:r w:rsidRPr="00575B7A">
        <w:rPr>
          <w:rFonts w:ascii="Palatino Linotype" w:eastAsia="Calibri" w:hAnsi="Palatino Linotype" w:cs="Arial"/>
        </w:rPr>
        <w:t xml:space="preserve"> en el formato previamente aprobado para tal efecto y dentro del plazo legal de quince días hábiles otorgados; para el caso en particular es de señalar que el </w:t>
      </w:r>
      <w:r w:rsidRPr="00575B7A">
        <w:rPr>
          <w:rFonts w:ascii="Palatino Linotype" w:eastAsia="Calibri" w:hAnsi="Palatino Linotype" w:cs="Arial"/>
          <w:b/>
        </w:rPr>
        <w:t>SUJETO OBLIGADO</w:t>
      </w:r>
      <w:r w:rsidRPr="00575B7A">
        <w:rPr>
          <w:rFonts w:ascii="Palatino Linotype" w:eastAsia="Calibri" w:hAnsi="Palatino Linotype" w:cs="Arial"/>
        </w:rPr>
        <w:t xml:space="preserve"> entregó su respuesta el </w:t>
      </w:r>
      <w:r w:rsidRPr="00575B7A">
        <w:rPr>
          <w:rFonts w:ascii="Palatino Linotype" w:eastAsia="Calibri" w:hAnsi="Palatino Linotype" w:cs="Arial"/>
          <w:b/>
        </w:rPr>
        <w:t>diecinueve de enero de dos mil veintiséis</w:t>
      </w:r>
      <w:r w:rsidRPr="00575B7A">
        <w:rPr>
          <w:rFonts w:ascii="Palatino Linotype" w:eastAsia="Calibri" w:hAnsi="Palatino Linotype" w:cs="Arial"/>
        </w:rPr>
        <w:t xml:space="preserve">, </w:t>
      </w:r>
      <w:r w:rsidRPr="00575B7A">
        <w:rPr>
          <w:rFonts w:ascii="Palatino Linotype" w:hAnsi="Palatino Linotype" w:cs="Arial"/>
        </w:rPr>
        <w:t>de tal forma que el plazo para interponer el recurso de revisión transcurrió del</w:t>
      </w:r>
      <w:r w:rsidRPr="00575B7A">
        <w:rPr>
          <w:rFonts w:ascii="Palatino Linotype" w:hAnsi="Palatino Linotype" w:cs="Arial"/>
          <w:b/>
        </w:rPr>
        <w:t xml:space="preserve"> veinte de enero al doce de febrero de dos mil veintiséis,</w:t>
      </w:r>
      <w:r w:rsidRPr="00575B7A">
        <w:rPr>
          <w:rFonts w:ascii="Palatino Linotype" w:hAnsi="Palatino Linotype" w:cs="Arial"/>
        </w:rPr>
        <w:t xml:space="preserve"> en consecuencia, el ahora </w:t>
      </w:r>
      <w:r w:rsidRPr="00575B7A">
        <w:rPr>
          <w:rFonts w:ascii="Palatino Linotype" w:hAnsi="Palatino Linotype" w:cs="Arial"/>
          <w:b/>
        </w:rPr>
        <w:t>RECURRENTE</w:t>
      </w:r>
      <w:r w:rsidRPr="00575B7A">
        <w:rPr>
          <w:rFonts w:ascii="Palatino Linotype" w:hAnsi="Palatino Linotype" w:cs="Arial"/>
        </w:rPr>
        <w:t xml:space="preserve"> presentó su inconformidad el </w:t>
      </w:r>
      <w:r w:rsidRPr="00575B7A">
        <w:rPr>
          <w:rFonts w:ascii="Palatino Linotype" w:hAnsi="Palatino Linotype" w:cs="Arial"/>
          <w:b/>
        </w:rPr>
        <w:t>veintidós de enero de dos mil veintiséis</w:t>
      </w:r>
      <w:r w:rsidRPr="00575B7A">
        <w:rPr>
          <w:rFonts w:ascii="Palatino Linotype" w:hAnsi="Palatino Linotype" w:cs="Arial"/>
        </w:rPr>
        <w:t>, por lo que se estima que la inconformidad se presentó dentro del lapso legalmente establecido para tal efecto.</w:t>
      </w:r>
    </w:p>
    <w:p w:rsidR="00785AAE" w:rsidRPr="00575B7A" w:rsidRDefault="00785AAE" w:rsidP="00966B7A">
      <w:pPr>
        <w:pStyle w:val="Prrafodelista"/>
        <w:spacing w:line="360" w:lineRule="auto"/>
        <w:ind w:left="0" w:right="-518"/>
        <w:jc w:val="both"/>
        <w:rPr>
          <w:rFonts w:ascii="Palatino Linotype" w:hAnsi="Palatino Linotype"/>
        </w:rPr>
      </w:pPr>
    </w:p>
    <w:p w:rsidR="00785AAE" w:rsidRPr="00575B7A" w:rsidRDefault="00785AAE" w:rsidP="00966B7A">
      <w:pPr>
        <w:numPr>
          <w:ilvl w:val="0"/>
          <w:numId w:val="1"/>
        </w:numPr>
        <w:spacing w:before="240" w:after="240" w:line="360" w:lineRule="auto"/>
        <w:ind w:right="-518"/>
        <w:contextualSpacing/>
        <w:jc w:val="both"/>
        <w:rPr>
          <w:rFonts w:ascii="Palatino Linotype" w:hAnsi="Palatino Linotype"/>
        </w:rPr>
      </w:pPr>
      <w:r w:rsidRPr="00575B7A">
        <w:rPr>
          <w:rFonts w:ascii="Palatino Linotype" w:hAnsi="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85AAE" w:rsidRPr="00575B7A" w:rsidRDefault="00785AAE" w:rsidP="00966B7A">
      <w:pPr>
        <w:pStyle w:val="Ttulo1"/>
        <w:spacing w:before="0" w:line="360" w:lineRule="auto"/>
        <w:ind w:right="-518"/>
        <w:rPr>
          <w:b/>
          <w:color w:val="000000" w:themeColor="text1"/>
          <w:szCs w:val="24"/>
        </w:rPr>
      </w:pPr>
      <w:bookmarkStart w:id="10" w:name="_Toc66998086"/>
      <w:bookmarkStart w:id="11" w:name="_Toc70526130"/>
      <w:r w:rsidRPr="00575B7A">
        <w:rPr>
          <w:b/>
          <w:szCs w:val="24"/>
        </w:rPr>
        <w:t xml:space="preserve">TERCERO. </w:t>
      </w:r>
      <w:bookmarkStart w:id="12" w:name="_Toc34246179"/>
      <w:bookmarkStart w:id="13" w:name="_Toc50033991"/>
      <w:bookmarkStart w:id="14" w:name="_Toc51259588"/>
      <w:bookmarkStart w:id="15" w:name="_Toc83128581"/>
      <w:bookmarkStart w:id="16" w:name="_Toc501021589"/>
      <w:bookmarkEnd w:id="10"/>
      <w:bookmarkEnd w:id="11"/>
      <w:r w:rsidRPr="00575B7A">
        <w:rPr>
          <w:b/>
          <w:color w:val="000000" w:themeColor="text1"/>
          <w:szCs w:val="24"/>
        </w:rPr>
        <w:t xml:space="preserve">Del planteamiento de la </w:t>
      </w:r>
      <w:r w:rsidRPr="00575B7A">
        <w:rPr>
          <w:b/>
          <w:i/>
          <w:color w:val="000000" w:themeColor="text1"/>
          <w:szCs w:val="24"/>
        </w:rPr>
        <w:t>Litis</w:t>
      </w:r>
      <w:r w:rsidRPr="00575B7A">
        <w:rPr>
          <w:b/>
          <w:color w:val="000000" w:themeColor="text1"/>
          <w:szCs w:val="24"/>
        </w:rPr>
        <w:t>.</w:t>
      </w:r>
      <w:bookmarkEnd w:id="12"/>
      <w:bookmarkEnd w:id="13"/>
      <w:bookmarkEnd w:id="14"/>
      <w:bookmarkEnd w:id="15"/>
      <w:bookmarkEnd w:id="16"/>
    </w:p>
    <w:p w:rsidR="00785AAE" w:rsidRPr="00575B7A" w:rsidRDefault="00785AAE" w:rsidP="00966B7A">
      <w:pPr>
        <w:pStyle w:val="Prrafodelista"/>
        <w:numPr>
          <w:ilvl w:val="0"/>
          <w:numId w:val="1"/>
        </w:numPr>
        <w:spacing w:line="360" w:lineRule="auto"/>
        <w:ind w:right="-518"/>
        <w:jc w:val="both"/>
        <w:rPr>
          <w:rFonts w:ascii="Palatino Linotype" w:hAnsi="Palatino Linotype" w:cs="Arial"/>
        </w:rPr>
      </w:pPr>
      <w:r w:rsidRPr="00575B7A">
        <w:rPr>
          <w:rFonts w:ascii="Palatino Linotype" w:hAnsi="Palatino Linotype" w:cs="Arial"/>
        </w:rPr>
        <w:t xml:space="preserve">Se </w:t>
      </w:r>
      <w:r w:rsidRPr="00575B7A">
        <w:rPr>
          <w:rFonts w:ascii="Palatino Linotype" w:eastAsia="Calibri" w:hAnsi="Palatino Linotype" w:cs="Arial"/>
        </w:rPr>
        <w:t>solicitó</w:t>
      </w:r>
      <w:r w:rsidRPr="00575B7A">
        <w:rPr>
          <w:rFonts w:ascii="Palatino Linotype" w:hAnsi="Palatino Linotype" w:cs="Arial"/>
        </w:rPr>
        <w:t xml:space="preserve"> tener acceso, a la información que a continuación se desagrega:</w:t>
      </w:r>
    </w:p>
    <w:p w:rsidR="00785AAE" w:rsidRPr="00575B7A" w:rsidRDefault="00785AAE" w:rsidP="00F42621">
      <w:pPr>
        <w:pStyle w:val="Prrafodelista"/>
        <w:ind w:left="778" w:right="49"/>
        <w:jc w:val="both"/>
        <w:rPr>
          <w:rFonts w:ascii="Palatino Linotype" w:hAnsi="Palatino Linotype" w:cs="Arial"/>
          <w:i/>
        </w:rPr>
      </w:pPr>
      <w:r w:rsidRPr="00575B7A">
        <w:rPr>
          <w:rFonts w:ascii="Palatino Linotype" w:hAnsi="Palatino Linotype" w:cs="Arial"/>
          <w:i/>
        </w:rPr>
        <w:lastRenderedPageBreak/>
        <w:t>“Relación de concesiones, permisos y asignación de espacios públicos otorgados durante 2025, indicando: Beneficiario Objeto Vigencia Monto pagado Fundamento legal Autorización correspondiente.”</w:t>
      </w:r>
    </w:p>
    <w:p w:rsidR="00785AAE" w:rsidRPr="00575B7A" w:rsidRDefault="00785AAE" w:rsidP="00966B7A">
      <w:pPr>
        <w:pStyle w:val="Prrafodelista"/>
        <w:spacing w:line="360" w:lineRule="auto"/>
        <w:ind w:left="778" w:right="-518"/>
        <w:jc w:val="both"/>
        <w:rPr>
          <w:rFonts w:ascii="Palatino Linotype" w:hAnsi="Palatino Linotype" w:cs="Arial"/>
          <w:i/>
        </w:rPr>
      </w:pPr>
    </w:p>
    <w:p w:rsidR="00785AAE" w:rsidRPr="00575B7A" w:rsidRDefault="00785AAE" w:rsidP="00966B7A">
      <w:pPr>
        <w:pStyle w:val="Prrafodelista"/>
        <w:numPr>
          <w:ilvl w:val="0"/>
          <w:numId w:val="1"/>
        </w:numPr>
        <w:spacing w:line="360" w:lineRule="auto"/>
        <w:ind w:right="-518"/>
        <w:jc w:val="both"/>
        <w:rPr>
          <w:rFonts w:ascii="Palatino Linotype" w:eastAsia="Calibri" w:hAnsi="Palatino Linotype" w:cs="Arial"/>
        </w:rPr>
      </w:pPr>
      <w:r w:rsidRPr="00575B7A">
        <w:rPr>
          <w:rFonts w:ascii="Palatino Linotype" w:eastAsia="Calibri" w:hAnsi="Palatino Linotype" w:cs="Arial"/>
        </w:rPr>
        <w:t xml:space="preserve">En respuesta, el </w:t>
      </w:r>
      <w:r w:rsidRPr="00575B7A">
        <w:rPr>
          <w:rFonts w:ascii="Palatino Linotype" w:eastAsia="Calibri" w:hAnsi="Palatino Linotype" w:cs="Arial"/>
          <w:b/>
        </w:rPr>
        <w:t>SUJETO OBLIGADO</w:t>
      </w:r>
      <w:r w:rsidRPr="00575B7A">
        <w:rPr>
          <w:rFonts w:ascii="Palatino Linotype" w:eastAsia="Calibri" w:hAnsi="Palatino Linotype" w:cs="Arial"/>
        </w:rPr>
        <w:t>, a través del Director de Desarrollo Urbano y Metropolitano, por el que informo que, después de haberse realizado una búsqueda exhaustiva y razonable en esa Dirección, no se encontró la información solicitada.</w:t>
      </w:r>
    </w:p>
    <w:p w:rsidR="00F42621" w:rsidRPr="00575B7A" w:rsidRDefault="00F42621" w:rsidP="00F42621">
      <w:pPr>
        <w:pStyle w:val="Prrafodelista"/>
        <w:spacing w:line="360" w:lineRule="auto"/>
        <w:ind w:left="0" w:right="-518"/>
        <w:jc w:val="both"/>
        <w:rPr>
          <w:rFonts w:ascii="Palatino Linotype" w:eastAsia="Calibri" w:hAnsi="Palatino Linotype" w:cs="Arial"/>
        </w:rPr>
      </w:pPr>
    </w:p>
    <w:p w:rsidR="00E01427" w:rsidRPr="00575B7A" w:rsidRDefault="00785AAE" w:rsidP="00966B7A">
      <w:pPr>
        <w:pStyle w:val="Prrafodelista"/>
        <w:numPr>
          <w:ilvl w:val="0"/>
          <w:numId w:val="1"/>
        </w:numPr>
        <w:spacing w:line="360" w:lineRule="auto"/>
        <w:ind w:right="-518"/>
        <w:jc w:val="both"/>
        <w:rPr>
          <w:rFonts w:ascii="Palatino Linotype" w:eastAsia="MS Mincho" w:hAnsi="Palatino Linotype" w:cs="Arial"/>
        </w:rPr>
      </w:pPr>
      <w:r w:rsidRPr="00575B7A">
        <w:rPr>
          <w:rFonts w:ascii="Palatino Linotype" w:eastAsia="Calibri" w:hAnsi="Palatino Linotype" w:cs="Arial"/>
        </w:rPr>
        <w:t xml:space="preserve"> </w:t>
      </w:r>
      <w:r w:rsidR="00E01427" w:rsidRPr="00575B7A">
        <w:rPr>
          <w:rFonts w:ascii="Palatino Linotype" w:eastAsia="Calibri" w:hAnsi="Palatino Linotype" w:cs="Arial"/>
        </w:rPr>
        <w:t xml:space="preserve">Inconforme con la respuesta proporcionada, el </w:t>
      </w:r>
      <w:r w:rsidR="00E01427" w:rsidRPr="00575B7A">
        <w:rPr>
          <w:rFonts w:ascii="Palatino Linotype" w:eastAsia="Calibri" w:hAnsi="Palatino Linotype" w:cs="Arial"/>
          <w:b/>
        </w:rPr>
        <w:t xml:space="preserve">PARTICULAR, </w:t>
      </w:r>
      <w:r w:rsidR="00E01427" w:rsidRPr="00575B7A">
        <w:rPr>
          <w:rFonts w:ascii="Palatino Linotype" w:eastAsia="Calibri" w:hAnsi="Palatino Linotype" w:cs="Arial"/>
        </w:rPr>
        <w:t>interpuso recurso de revisión arguyendo medularmente la negativa de la entrega de la información.</w:t>
      </w:r>
    </w:p>
    <w:p w:rsidR="00E01427" w:rsidRPr="00575B7A" w:rsidRDefault="00E01427" w:rsidP="00966B7A">
      <w:pPr>
        <w:pStyle w:val="Prrafodelista"/>
        <w:spacing w:line="360" w:lineRule="auto"/>
        <w:ind w:left="0" w:right="-518"/>
        <w:jc w:val="both"/>
        <w:rPr>
          <w:rFonts w:ascii="Palatino Linotype" w:eastAsia="MS Mincho" w:hAnsi="Palatino Linotype" w:cs="Arial"/>
        </w:rPr>
      </w:pPr>
    </w:p>
    <w:p w:rsidR="00E01427" w:rsidRPr="00575B7A" w:rsidRDefault="00785AAE" w:rsidP="00966B7A">
      <w:pPr>
        <w:pStyle w:val="Prrafodelista"/>
        <w:numPr>
          <w:ilvl w:val="0"/>
          <w:numId w:val="1"/>
        </w:numPr>
        <w:spacing w:line="360" w:lineRule="auto"/>
        <w:ind w:right="-518"/>
        <w:jc w:val="both"/>
        <w:rPr>
          <w:rFonts w:ascii="Palatino Linotype" w:eastAsia="MS Mincho" w:hAnsi="Palatino Linotype" w:cs="Arial"/>
        </w:rPr>
      </w:pPr>
      <w:r w:rsidRPr="00575B7A">
        <w:rPr>
          <w:rFonts w:ascii="Palatino Linotype" w:eastAsia="Calibri" w:hAnsi="Palatino Linotype" w:cs="Arial"/>
        </w:rPr>
        <w:t>En</w:t>
      </w:r>
      <w:r w:rsidR="00E01427" w:rsidRPr="00575B7A">
        <w:rPr>
          <w:rFonts w:ascii="Palatino Linotype" w:eastAsia="Calibri" w:hAnsi="Palatino Linotype" w:cs="Arial"/>
        </w:rPr>
        <w:t xml:space="preserve"> la etapa de manifestaciones no hubo pronunciamiento de las partes.</w:t>
      </w:r>
    </w:p>
    <w:p w:rsidR="00785AAE" w:rsidRPr="00575B7A" w:rsidRDefault="00785AAE" w:rsidP="00966B7A">
      <w:pPr>
        <w:pStyle w:val="Prrafodelista"/>
        <w:spacing w:line="360" w:lineRule="auto"/>
        <w:ind w:left="0" w:right="-518"/>
        <w:jc w:val="both"/>
        <w:rPr>
          <w:rFonts w:ascii="Palatino Linotype" w:eastAsia="MS Mincho" w:hAnsi="Palatino Linotype" w:cs="Arial"/>
        </w:rPr>
      </w:pPr>
      <w:r w:rsidRPr="00575B7A">
        <w:rPr>
          <w:rFonts w:ascii="Palatino Linotype" w:eastAsia="MS Mincho" w:hAnsi="Palatino Linotype" w:cs="Arial"/>
        </w:rPr>
        <w:tab/>
      </w:r>
    </w:p>
    <w:p w:rsidR="00785AAE" w:rsidRPr="00575B7A" w:rsidRDefault="00785AAE" w:rsidP="00966B7A">
      <w:pPr>
        <w:numPr>
          <w:ilvl w:val="0"/>
          <w:numId w:val="1"/>
        </w:numPr>
        <w:spacing w:line="360" w:lineRule="auto"/>
        <w:ind w:right="-518"/>
        <w:contextualSpacing/>
        <w:jc w:val="both"/>
        <w:rPr>
          <w:rFonts w:ascii="Palatino Linotype" w:eastAsia="MS Mincho" w:hAnsi="Palatino Linotype" w:cs="Arial"/>
        </w:rPr>
      </w:pPr>
      <w:r w:rsidRPr="00575B7A">
        <w:rPr>
          <w:rFonts w:ascii="Palatino Linotype" w:eastAsia="MS Mincho" w:hAnsi="Palatino Linotype" w:cs="Arial"/>
        </w:rPr>
        <w:t xml:space="preserve">En </w:t>
      </w:r>
      <w:r w:rsidRPr="00575B7A">
        <w:rPr>
          <w:rFonts w:ascii="Palatino Linotype" w:hAnsi="Palatino Linotype" w:cs="Arial"/>
          <w:lang w:eastAsia="es-MX"/>
        </w:rPr>
        <w:t>dichas</w:t>
      </w:r>
      <w:r w:rsidRPr="00575B7A">
        <w:rPr>
          <w:rFonts w:ascii="Palatino Linotype" w:eastAsia="Times New Roman" w:hAnsi="Palatino Linotype" w:cs="Arial"/>
        </w:rPr>
        <w:t xml:space="preserve"> condiciones, la </w:t>
      </w:r>
      <w:r w:rsidRPr="00575B7A">
        <w:rPr>
          <w:rFonts w:ascii="Palatino Linotype" w:eastAsia="Times New Roman" w:hAnsi="Palatino Linotype" w:cs="Arial"/>
          <w:i/>
        </w:rPr>
        <w:t>Litis</w:t>
      </w:r>
      <w:r w:rsidRPr="00575B7A">
        <w:rPr>
          <w:rFonts w:ascii="Palatino Linotype" w:eastAsia="Times New Roman" w:hAnsi="Palatino Linotype" w:cs="Arial"/>
        </w:rPr>
        <w:t xml:space="preserve"> a resolver en este recurso se circunscribe a determinar si </w:t>
      </w:r>
      <w:r w:rsidRPr="00575B7A">
        <w:rPr>
          <w:rFonts w:ascii="Palatino Linotype" w:eastAsia="MS Mincho" w:hAnsi="Palatino Linotype" w:cs="Arial"/>
        </w:rPr>
        <w:t xml:space="preserve">se actualiza la causal de procedencia prevista en el artículo 179, </w:t>
      </w:r>
      <w:r w:rsidR="00E01427" w:rsidRPr="00575B7A">
        <w:rPr>
          <w:rFonts w:ascii="Palatino Linotype" w:eastAsia="MS Mincho" w:hAnsi="Palatino Linotype" w:cs="Arial"/>
          <w:b/>
        </w:rPr>
        <w:t>fracción I</w:t>
      </w:r>
      <w:r w:rsidRPr="00575B7A">
        <w:rPr>
          <w:rFonts w:ascii="Palatino Linotype" w:eastAsia="MS Mincho" w:hAnsi="Palatino Linotype" w:cs="Arial"/>
          <w:b/>
        </w:rPr>
        <w:t xml:space="preserve"> </w:t>
      </w:r>
      <w:r w:rsidRPr="00575B7A">
        <w:rPr>
          <w:rFonts w:ascii="Palatino Linotype" w:eastAsia="MS Mincho" w:hAnsi="Palatino Linotype" w:cs="Arial"/>
        </w:rPr>
        <w:t xml:space="preserve">de la </w:t>
      </w:r>
      <w:r w:rsidRPr="00575B7A">
        <w:rPr>
          <w:rFonts w:ascii="Palatino Linotype" w:eastAsia="MS Mincho" w:hAnsi="Palatino Linotype" w:cs="Arial"/>
          <w:b/>
        </w:rPr>
        <w:t xml:space="preserve">Ley de Transparencia y Acceso a la Información Pública del Estado de </w:t>
      </w:r>
      <w:r w:rsidRPr="00575B7A">
        <w:rPr>
          <w:rFonts w:ascii="Palatino Linotype" w:hAnsi="Palatino Linotype" w:cs="Arial"/>
        </w:rPr>
        <w:t>México</w:t>
      </w:r>
      <w:r w:rsidRPr="00575B7A">
        <w:rPr>
          <w:rFonts w:ascii="Palatino Linotype" w:eastAsia="MS Mincho" w:hAnsi="Palatino Linotype" w:cs="Arial"/>
          <w:b/>
        </w:rPr>
        <w:t xml:space="preserve"> y </w:t>
      </w:r>
      <w:r w:rsidRPr="00575B7A">
        <w:rPr>
          <w:rFonts w:ascii="Palatino Linotype" w:hAnsi="Palatino Linotype" w:cs="Arial"/>
        </w:rPr>
        <w:t>Municipios</w:t>
      </w:r>
      <w:r w:rsidRPr="00575B7A">
        <w:rPr>
          <w:rFonts w:ascii="Palatino Linotype" w:eastAsia="MS Mincho" w:hAnsi="Palatino Linotype" w:cs="Arial"/>
        </w:rPr>
        <w:t xml:space="preserve">; </w:t>
      </w:r>
      <w:r w:rsidRPr="00575B7A">
        <w:rPr>
          <w:rFonts w:ascii="Palatino Linotype" w:eastAsia="Times New Roman" w:hAnsi="Palatino Linotype" w:cs="Arial"/>
          <w:color w:val="000000" w:themeColor="text1"/>
          <w:lang w:val="es-ES" w:eastAsia="es-MX"/>
        </w:rPr>
        <w:t xml:space="preserve">fracción que determina la hipótesis jurídica relativa </w:t>
      </w:r>
      <w:r w:rsidRPr="00575B7A">
        <w:rPr>
          <w:rFonts w:ascii="Palatino Linotype" w:eastAsia="Times New Roman" w:hAnsi="Palatino Linotype" w:cs="Arial"/>
          <w:color w:val="000000" w:themeColor="text1"/>
          <w:lang w:eastAsia="es-MX"/>
        </w:rPr>
        <w:t xml:space="preserve">a </w:t>
      </w:r>
      <w:r w:rsidR="00E01427" w:rsidRPr="00575B7A">
        <w:rPr>
          <w:rFonts w:ascii="Palatino Linotype" w:eastAsia="Times New Roman" w:hAnsi="Palatino Linotype" w:cs="Arial"/>
          <w:color w:val="000000" w:themeColor="text1"/>
          <w:lang w:eastAsia="es-MX"/>
        </w:rPr>
        <w:t>la negativa a la información solicitada;</w:t>
      </w:r>
      <w:r w:rsidRPr="00575B7A">
        <w:rPr>
          <w:rFonts w:ascii="Palatino Linotype" w:eastAsia="Times New Roman" w:hAnsi="Palatino Linotype" w:cs="Arial"/>
          <w:color w:val="000000" w:themeColor="text1"/>
          <w:lang w:eastAsia="es-MX"/>
        </w:rPr>
        <w:t>;</w:t>
      </w:r>
      <w:r w:rsidRPr="00575B7A">
        <w:rPr>
          <w:rFonts w:ascii="Palatino Linotype" w:eastAsia="Times New Roman" w:hAnsi="Palatino Linotype" w:cs="Arial"/>
          <w:color w:val="000000" w:themeColor="text1"/>
          <w:lang w:val="es-ES" w:eastAsia="es-MX"/>
        </w:rPr>
        <w:t xml:space="preserve"> </w:t>
      </w:r>
      <w:r w:rsidRPr="00575B7A">
        <w:rPr>
          <w:rFonts w:ascii="Palatino Linotype" w:eastAsia="MS Mincho" w:hAnsi="Palatino Linotype" w:cs="Arial"/>
        </w:rPr>
        <w:t xml:space="preserve">contexto del cual se dolió </w:t>
      </w:r>
      <w:r w:rsidRPr="00575B7A">
        <w:rPr>
          <w:rFonts w:ascii="Palatino Linotype" w:eastAsia="MS Mincho" w:hAnsi="Palatino Linotype" w:cs="Arial"/>
          <w:b/>
        </w:rPr>
        <w:t xml:space="preserve">EL RECURRENTE </w:t>
      </w:r>
      <w:r w:rsidRPr="00575B7A">
        <w:rPr>
          <w:rFonts w:ascii="Palatino Linotype" w:eastAsia="MS Mincho" w:hAnsi="Palatino Linotype" w:cs="Arial"/>
        </w:rPr>
        <w:t>al momento de interponer su inconformidad.</w:t>
      </w:r>
      <w:r w:rsidRPr="00575B7A">
        <w:rPr>
          <w:rFonts w:ascii="Palatino Linotype" w:eastAsia="Times New Roman" w:hAnsi="Palatino Linotype" w:cs="Arial"/>
          <w:color w:val="000000" w:themeColor="text1"/>
          <w:lang w:val="es-ES" w:eastAsia="es-MX"/>
        </w:rPr>
        <w:t xml:space="preserve"> </w:t>
      </w:r>
    </w:p>
    <w:p w:rsidR="00785AAE" w:rsidRPr="00575B7A" w:rsidRDefault="00785AAE" w:rsidP="00966B7A">
      <w:pPr>
        <w:pStyle w:val="Prrafodelista"/>
        <w:ind w:right="-518"/>
        <w:rPr>
          <w:rFonts w:ascii="Palatino Linotype" w:eastAsia="Times New Roman" w:hAnsi="Palatino Linotype" w:cs="Arial"/>
          <w:color w:val="000000" w:themeColor="text1"/>
          <w:lang w:val="es-ES" w:eastAsia="es-MX"/>
        </w:rPr>
      </w:pPr>
    </w:p>
    <w:p w:rsidR="00785AAE" w:rsidRPr="00575B7A" w:rsidRDefault="00785AAE" w:rsidP="00966B7A">
      <w:pPr>
        <w:numPr>
          <w:ilvl w:val="0"/>
          <w:numId w:val="1"/>
        </w:numPr>
        <w:spacing w:line="360" w:lineRule="auto"/>
        <w:ind w:right="-518"/>
        <w:contextualSpacing/>
        <w:jc w:val="both"/>
        <w:rPr>
          <w:rFonts w:ascii="Palatino Linotype" w:eastAsia="MS Mincho" w:hAnsi="Palatino Linotype" w:cs="Arial"/>
        </w:rPr>
      </w:pPr>
      <w:r w:rsidRPr="00575B7A">
        <w:rPr>
          <w:rFonts w:ascii="Palatino Linotype" w:eastAsia="Times New Roman" w:hAnsi="Palatino Linotype" w:cs="Arial"/>
          <w:color w:val="000000" w:themeColor="text1"/>
          <w:lang w:val="es-ES" w:eastAsia="es-MX"/>
        </w:rPr>
        <w:t xml:space="preserve">De modo tal </w:t>
      </w:r>
      <w:r w:rsidRPr="00575B7A">
        <w:rPr>
          <w:rFonts w:ascii="Palatino Linotype" w:hAnsi="Palatino Linotype" w:cs="Arial"/>
          <w:color w:val="000000" w:themeColor="text1"/>
        </w:rPr>
        <w:t xml:space="preserve">que el presente recurso de revisión se abocara en determinar si el </w:t>
      </w:r>
      <w:r w:rsidRPr="00575B7A">
        <w:rPr>
          <w:rFonts w:ascii="Palatino Linotype" w:hAnsi="Palatino Linotype" w:cs="Arial"/>
          <w:b/>
          <w:color w:val="000000" w:themeColor="text1"/>
        </w:rPr>
        <w:t>SUJETO</w:t>
      </w:r>
      <w:r w:rsidRPr="00575B7A">
        <w:rPr>
          <w:rFonts w:ascii="Palatino Linotype" w:hAnsi="Palatino Linotype" w:cs="Arial"/>
          <w:color w:val="000000" w:themeColor="text1"/>
        </w:rPr>
        <w:t xml:space="preserve"> </w:t>
      </w:r>
      <w:r w:rsidRPr="00575B7A">
        <w:rPr>
          <w:rFonts w:ascii="Palatino Linotype" w:hAnsi="Palatino Linotype" w:cs="Arial"/>
          <w:b/>
          <w:color w:val="000000" w:themeColor="text1"/>
        </w:rPr>
        <w:t>OBLIGADO</w:t>
      </w:r>
      <w:r w:rsidRPr="00575B7A">
        <w:rPr>
          <w:rFonts w:ascii="Palatino Linotype" w:hAnsi="Palatino Linotype" w:cs="Arial"/>
          <w:color w:val="000000" w:themeColor="text1"/>
        </w:rPr>
        <w:t xml:space="preserve"> con su respuesta ciertamente </w:t>
      </w:r>
      <w:r w:rsidRPr="00575B7A">
        <w:rPr>
          <w:rFonts w:ascii="Palatino Linotype" w:eastAsia="Times New Roman" w:hAnsi="Palatino Linotype"/>
          <w:color w:val="000000" w:themeColor="text1"/>
        </w:rPr>
        <w:t>actualiza la causal de procedencia</w:t>
      </w:r>
      <w:r w:rsidRPr="00575B7A">
        <w:rPr>
          <w:rFonts w:ascii="Palatino Linotype" w:eastAsia="Times New Roman" w:hAnsi="Palatino Linotype"/>
          <w:b/>
          <w:color w:val="000000" w:themeColor="text1"/>
        </w:rPr>
        <w:t xml:space="preserve"> </w:t>
      </w:r>
      <w:r w:rsidRPr="00575B7A">
        <w:rPr>
          <w:rFonts w:ascii="Palatino Linotype" w:eastAsia="Times New Roman" w:hAnsi="Palatino Linotype" w:cs="Arial"/>
          <w:color w:val="000000" w:themeColor="text1"/>
          <w:lang w:eastAsia="es-MX"/>
        </w:rPr>
        <w:t xml:space="preserve">antes señalada. </w:t>
      </w:r>
    </w:p>
    <w:p w:rsidR="00785AAE" w:rsidRPr="00575B7A" w:rsidRDefault="00785AAE" w:rsidP="00966B7A">
      <w:pPr>
        <w:spacing w:line="360" w:lineRule="auto"/>
        <w:ind w:right="-518"/>
        <w:contextualSpacing/>
        <w:jc w:val="both"/>
        <w:rPr>
          <w:rFonts w:ascii="Palatino Linotype" w:eastAsia="MS Mincho" w:hAnsi="Palatino Linotype" w:cs="Arial"/>
        </w:rPr>
      </w:pPr>
    </w:p>
    <w:p w:rsidR="00785AAE" w:rsidRPr="00575B7A" w:rsidRDefault="00785AAE" w:rsidP="00966B7A">
      <w:pPr>
        <w:pStyle w:val="Ttulo2"/>
        <w:spacing w:before="0" w:line="360" w:lineRule="auto"/>
        <w:ind w:right="-518"/>
        <w:rPr>
          <w:rFonts w:ascii="Palatino Linotype" w:hAnsi="Palatino Linotype"/>
          <w:b/>
          <w:color w:val="000000" w:themeColor="text1"/>
          <w:sz w:val="24"/>
          <w:szCs w:val="24"/>
        </w:rPr>
      </w:pPr>
      <w:bookmarkStart w:id="17" w:name="_Toc495427545"/>
      <w:bookmarkStart w:id="18" w:name="_Toc23414596"/>
      <w:bookmarkStart w:id="19" w:name="_Toc34819433"/>
      <w:bookmarkStart w:id="20" w:name="_Toc51259589"/>
      <w:bookmarkStart w:id="21" w:name="_Toc83128582"/>
      <w:r w:rsidRPr="00575B7A">
        <w:rPr>
          <w:rFonts w:ascii="Palatino Linotype" w:hAnsi="Palatino Linotype"/>
          <w:b/>
          <w:color w:val="000000" w:themeColor="text1"/>
          <w:sz w:val="24"/>
          <w:szCs w:val="24"/>
        </w:rPr>
        <w:t>CUARTO. Del estudio y resolución del asunto.</w:t>
      </w:r>
      <w:bookmarkEnd w:id="17"/>
      <w:bookmarkEnd w:id="18"/>
      <w:bookmarkEnd w:id="19"/>
      <w:bookmarkEnd w:id="20"/>
      <w:bookmarkEnd w:id="21"/>
    </w:p>
    <w:p w:rsidR="00785AAE" w:rsidRPr="00575B7A" w:rsidRDefault="00785AAE" w:rsidP="00575B7A">
      <w:pPr>
        <w:pStyle w:val="Prrafodelista"/>
        <w:numPr>
          <w:ilvl w:val="0"/>
          <w:numId w:val="1"/>
        </w:numPr>
        <w:tabs>
          <w:tab w:val="left" w:pos="0"/>
        </w:tabs>
        <w:spacing w:line="360" w:lineRule="auto"/>
        <w:ind w:right="-518"/>
        <w:jc w:val="both"/>
        <w:rPr>
          <w:rFonts w:ascii="Palatino Linotype" w:hAnsi="Palatino Linotype"/>
          <w:color w:val="000000" w:themeColor="text1"/>
        </w:rPr>
      </w:pPr>
      <w:r w:rsidRPr="00575B7A">
        <w:rPr>
          <w:rFonts w:ascii="Palatino Linotype" w:hAnsi="Palatino Linotype"/>
          <w:color w:val="000000" w:themeColor="text1"/>
        </w:rPr>
        <w:t xml:space="preserve">Acotada la </w:t>
      </w:r>
      <w:r w:rsidRPr="00575B7A">
        <w:rPr>
          <w:rFonts w:ascii="Palatino Linotype" w:hAnsi="Palatino Linotype"/>
          <w:i/>
          <w:color w:val="000000" w:themeColor="text1"/>
        </w:rPr>
        <w:t>Litis</w:t>
      </w:r>
      <w:r w:rsidRPr="00575B7A">
        <w:rPr>
          <w:rFonts w:ascii="Palatino Linotype" w:hAnsi="Palatino Linotype"/>
          <w:color w:val="000000" w:themeColor="text1"/>
        </w:rPr>
        <w:t xml:space="preserve"> del presente asunto, respecto</w:t>
      </w:r>
      <w:r w:rsidR="00E01427" w:rsidRPr="00575B7A">
        <w:rPr>
          <w:rFonts w:ascii="Palatino Linotype" w:hAnsi="Palatino Linotype"/>
          <w:color w:val="000000" w:themeColor="text1"/>
        </w:rPr>
        <w:t xml:space="preserve"> la fuente obligacional, el Bando Municipal, norma lo siguiente:</w:t>
      </w:r>
    </w:p>
    <w:p w:rsidR="00E01427" w:rsidRPr="00575B7A" w:rsidRDefault="00E01427" w:rsidP="00966B7A">
      <w:pPr>
        <w:pStyle w:val="Prrafodelista"/>
        <w:tabs>
          <w:tab w:val="left" w:pos="0"/>
        </w:tabs>
        <w:spacing w:line="360" w:lineRule="auto"/>
        <w:ind w:left="0" w:right="-518"/>
        <w:jc w:val="both"/>
        <w:rPr>
          <w:rFonts w:ascii="Palatino Linotype" w:hAnsi="Palatino Linotype"/>
          <w:color w:val="000000" w:themeColor="text1"/>
        </w:rPr>
      </w:pP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lastRenderedPageBreak/>
        <w:t xml:space="preserve">DE LA ORGANIZACIÓN Y FUNCIONAMIENTO DE GOBIERNO MUNICIPAL </w:t>
      </w: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CAPÍTULO III</w:t>
      </w: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DE LAS DEPENDENCIAS ADMINISTRATIVAS</w:t>
      </w:r>
    </w:p>
    <w:p w:rsidR="00E01427" w:rsidRPr="00575B7A" w:rsidRDefault="00E01427" w:rsidP="00F42621">
      <w:pPr>
        <w:spacing w:line="276" w:lineRule="auto"/>
        <w:ind w:right="49"/>
        <w:jc w:val="both"/>
        <w:rPr>
          <w:rFonts w:ascii="Palatino Linotype" w:hAnsi="Palatino Linotype"/>
          <w:b/>
          <w:i/>
          <w:color w:val="000000" w:themeColor="text1"/>
        </w:rPr>
      </w:pPr>
    </w:p>
    <w:p w:rsidR="00E01427" w:rsidRPr="00575B7A" w:rsidRDefault="00E01427" w:rsidP="00F42621">
      <w:pPr>
        <w:pStyle w:val="Prrafodelista"/>
        <w:spacing w:line="276" w:lineRule="auto"/>
        <w:ind w:left="993" w:right="49"/>
        <w:jc w:val="both"/>
        <w:rPr>
          <w:rFonts w:ascii="Palatino Linotype" w:hAnsi="Palatino Linotype"/>
          <w:i/>
        </w:rPr>
      </w:pPr>
      <w:r w:rsidRPr="00575B7A">
        <w:rPr>
          <w:rFonts w:ascii="Palatino Linotype" w:hAnsi="Palatino Linotype"/>
          <w:b/>
          <w:i/>
        </w:rPr>
        <w:t>ARTÍCULO 37.-</w:t>
      </w:r>
      <w:r w:rsidRPr="00575B7A">
        <w:rPr>
          <w:rFonts w:ascii="Palatino Linotype" w:hAnsi="Palatino Linotype"/>
          <w:i/>
        </w:rPr>
        <w:t xml:space="preserve"> Para el despacho de los asuntos de la Administración Pública Municipal, la Presidenta Municipal se auxiliará de las direcciones administrativas, mismas que llevarán a cabo sus actividades de manera programada para el cumplimiento de los objetivos y metas establecidas en el plan de desarrollo municipal; contando para ello con la estructura orgánica que disponen las leyes aplicables y la que se establece en su respectivas reglamentaciones orgánicas internas, que les permita su suficiencia presupuestaria. </w:t>
      </w:r>
    </w:p>
    <w:p w:rsidR="00E01427" w:rsidRPr="00575B7A" w:rsidRDefault="00E01427" w:rsidP="00F42621">
      <w:pPr>
        <w:pStyle w:val="Prrafodelista"/>
        <w:spacing w:line="276" w:lineRule="auto"/>
        <w:ind w:left="993" w:right="49"/>
        <w:jc w:val="both"/>
        <w:rPr>
          <w:rFonts w:ascii="Palatino Linotype" w:hAnsi="Palatino Linotype"/>
          <w:i/>
        </w:rPr>
      </w:pPr>
    </w:p>
    <w:p w:rsidR="00E01427" w:rsidRPr="00575B7A" w:rsidRDefault="00E01427" w:rsidP="00F42621">
      <w:pPr>
        <w:pStyle w:val="Prrafodelista"/>
        <w:spacing w:line="276" w:lineRule="auto"/>
        <w:ind w:left="993" w:right="49"/>
        <w:jc w:val="both"/>
        <w:rPr>
          <w:rFonts w:ascii="Palatino Linotype" w:hAnsi="Palatino Linotype"/>
          <w:i/>
        </w:rPr>
      </w:pPr>
      <w:r w:rsidRPr="00575B7A">
        <w:rPr>
          <w:rFonts w:ascii="Palatino Linotype" w:hAnsi="Palatino Linotype"/>
          <w:i/>
        </w:rPr>
        <w:t xml:space="preserve">El Ayuntamiento, por sí y a través de las diversas Direcciones y áreas administrativas que lo conforman, aplicarán, en lo no previsto por las Leyes y por el presente Bando Municipal, lo dispuesto por los Reglamentos Internos de cada Dirección y área administrativa, para lo cual deberán estar armonizados con la Constitución Política de los Estados Unidos Mexicanos, la Constitución Política del Estado Libre y Soberano de México y las leyes que se derivan de éstas. </w:t>
      </w:r>
    </w:p>
    <w:p w:rsidR="00E01427" w:rsidRPr="00575B7A" w:rsidRDefault="00E01427" w:rsidP="00F42621">
      <w:pPr>
        <w:pStyle w:val="Prrafodelista"/>
        <w:spacing w:line="276" w:lineRule="auto"/>
        <w:ind w:left="993" w:right="49"/>
        <w:jc w:val="both"/>
        <w:rPr>
          <w:rFonts w:ascii="Palatino Linotype" w:hAnsi="Palatino Linotype"/>
          <w:i/>
        </w:rPr>
      </w:pPr>
    </w:p>
    <w:p w:rsidR="00E01427" w:rsidRPr="00575B7A" w:rsidRDefault="00E01427" w:rsidP="00F42621">
      <w:pPr>
        <w:pStyle w:val="Prrafodelista"/>
        <w:spacing w:line="276" w:lineRule="auto"/>
        <w:ind w:left="993" w:right="49"/>
        <w:jc w:val="both"/>
        <w:rPr>
          <w:rFonts w:ascii="Palatino Linotype" w:hAnsi="Palatino Linotype"/>
          <w:i/>
        </w:rPr>
      </w:pPr>
      <w:r w:rsidRPr="00575B7A">
        <w:rPr>
          <w:rFonts w:ascii="Palatino Linotype" w:hAnsi="Palatino Linotype"/>
          <w:b/>
          <w:i/>
        </w:rPr>
        <w:t>ARTÍCULO 38</w:t>
      </w:r>
      <w:r w:rsidRPr="00575B7A">
        <w:rPr>
          <w:rFonts w:ascii="Palatino Linotype" w:hAnsi="Palatino Linotype"/>
          <w:i/>
        </w:rPr>
        <w:t>.- La Presidenta Municipal se auxiliará en el ejercicio de sus facultades establecidas en las leyes correspondientes, ejecutando las mismas a través de las siguientes direcciones y áreas de la Administración Pública Municipal, mismas que estarán bajo su subordinación:</w:t>
      </w: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I. DEPENDENCIAS ADMINISTRATIVAS</w:t>
      </w: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w:t>
      </w: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10. Dirección de Desarrollo y Fomento Económico;</w:t>
      </w: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w:t>
      </w:r>
    </w:p>
    <w:p w:rsidR="00E01427" w:rsidRPr="00575B7A" w:rsidRDefault="00E01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12. Dirección de Desarrollo Urbano y Metropolitano</w:t>
      </w:r>
    </w:p>
    <w:p w:rsidR="00163427" w:rsidRPr="00575B7A" w:rsidRDefault="00163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w:t>
      </w:r>
    </w:p>
    <w:p w:rsidR="00163427" w:rsidRPr="00575B7A" w:rsidRDefault="00163427" w:rsidP="00F42621">
      <w:pPr>
        <w:pStyle w:val="Prrafodelista"/>
        <w:spacing w:line="276" w:lineRule="auto"/>
        <w:ind w:left="993" w:right="49"/>
        <w:jc w:val="both"/>
        <w:rPr>
          <w:rFonts w:ascii="Palatino Linotype" w:hAnsi="Palatino Linotype"/>
          <w:b/>
          <w:i/>
          <w:color w:val="000000" w:themeColor="text1"/>
        </w:rPr>
      </w:pPr>
    </w:p>
    <w:p w:rsidR="00163427" w:rsidRPr="00575B7A" w:rsidRDefault="00163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 xml:space="preserve">TÍTULO DÉCIMO SEXTO DE LA DIRECCIÓN DE DESARROLLO Y FOMENTO ECONÓMICO </w:t>
      </w:r>
    </w:p>
    <w:p w:rsidR="00163427" w:rsidRPr="00575B7A" w:rsidRDefault="00163427" w:rsidP="00F42621">
      <w:pPr>
        <w:pStyle w:val="Prrafodelista"/>
        <w:spacing w:line="276" w:lineRule="auto"/>
        <w:ind w:left="993" w:right="49"/>
        <w:jc w:val="both"/>
        <w:rPr>
          <w:rFonts w:ascii="Palatino Linotype" w:hAnsi="Palatino Linotype"/>
          <w:b/>
          <w:i/>
          <w:color w:val="000000" w:themeColor="text1"/>
        </w:rPr>
      </w:pPr>
    </w:p>
    <w:p w:rsidR="00163427" w:rsidRPr="00575B7A" w:rsidRDefault="00163427" w:rsidP="00F42621">
      <w:pPr>
        <w:pStyle w:val="Prrafodelista"/>
        <w:spacing w:line="276" w:lineRule="auto"/>
        <w:ind w:left="993" w:right="49"/>
        <w:jc w:val="both"/>
        <w:rPr>
          <w:rFonts w:ascii="Palatino Linotype" w:hAnsi="Palatino Linotype"/>
          <w:b/>
          <w:i/>
          <w:color w:val="000000" w:themeColor="text1"/>
        </w:rPr>
      </w:pPr>
      <w:r w:rsidRPr="00575B7A">
        <w:rPr>
          <w:rFonts w:ascii="Palatino Linotype" w:hAnsi="Palatino Linotype"/>
          <w:b/>
          <w:i/>
          <w:color w:val="000000" w:themeColor="text1"/>
        </w:rPr>
        <w:t>CAPÍTULO I DE LAS ATRIBUCIONES DEL AYUNTAMIENTO EN LAS ACTIVIDADES ECONÓMICAS</w:t>
      </w:r>
    </w:p>
    <w:p w:rsidR="00163427" w:rsidRPr="00575B7A" w:rsidRDefault="00163427" w:rsidP="00F42621">
      <w:pPr>
        <w:pStyle w:val="Prrafodelista"/>
        <w:spacing w:line="276" w:lineRule="auto"/>
        <w:ind w:left="993" w:right="49"/>
        <w:jc w:val="both"/>
        <w:rPr>
          <w:rFonts w:ascii="Palatino Linotype" w:hAnsi="Palatino Linotype"/>
          <w:b/>
          <w:i/>
          <w:color w:val="000000" w:themeColor="text1"/>
        </w:rPr>
      </w:pPr>
    </w:p>
    <w:p w:rsidR="00163427" w:rsidRPr="00575B7A" w:rsidRDefault="00163427"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ARTÍCULO 75.- Corresponde al Ayuntamiento, a través de la Dirección de Desarrollo y Fomento Económico, regular, promover y fomentar el desarrollo económico del municipio, cuya función regular, consistirá en:</w:t>
      </w:r>
    </w:p>
    <w:p w:rsidR="00163427" w:rsidRPr="00575B7A" w:rsidRDefault="00163427" w:rsidP="00F42621">
      <w:pPr>
        <w:pStyle w:val="Prrafodelista"/>
        <w:spacing w:line="276" w:lineRule="auto"/>
        <w:ind w:left="993" w:right="49"/>
        <w:jc w:val="both"/>
        <w:rPr>
          <w:rFonts w:ascii="Palatino Linotype" w:hAnsi="Palatino Linotype"/>
          <w:i/>
          <w:color w:val="000000" w:themeColor="text1"/>
        </w:rPr>
      </w:pPr>
    </w:p>
    <w:p w:rsidR="00163427" w:rsidRPr="00575B7A" w:rsidRDefault="00163427"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I. Fomentar y promover el desarrollo económico sustentable del Municipio; </w:t>
      </w:r>
    </w:p>
    <w:p w:rsidR="00163427" w:rsidRPr="00575B7A" w:rsidRDefault="00163427"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II. Motivar la inversión privada en actividades productivas para fomentar la generación de empleos; </w:t>
      </w:r>
    </w:p>
    <w:p w:rsidR="00EB2F95" w:rsidRPr="00575B7A" w:rsidRDefault="00163427"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III. Promover programas e instrumentos de apoyo empresarial, con el objeto de facilitar y agilizar los trámites ante las dependencias y Organismos Auxiliares de la Administración Pública Municipal; IV. Promover y difundir, dentro y fuera del Municipio, las ventajas competitivas que se ofrecen en la localidad a la inversión productiva; </w:t>
      </w:r>
    </w:p>
    <w:p w:rsidR="00EB2F95" w:rsidRPr="00575B7A" w:rsidRDefault="00163427"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V. Promover la vinculación del sector educativo con el aparato productivo, como factor para la creación de empleos y de financiamiento y vinculación de la investigación académica con el sector empresarial;</w:t>
      </w:r>
    </w:p>
    <w:p w:rsidR="00163427"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 VI. </w:t>
      </w:r>
      <w:r w:rsidR="00163427" w:rsidRPr="00575B7A">
        <w:rPr>
          <w:rFonts w:ascii="Palatino Linotype" w:hAnsi="Palatino Linotype"/>
          <w:i/>
          <w:color w:val="000000" w:themeColor="text1"/>
        </w:rPr>
        <w:t>Gestionar y promover los acuerdos necesarios en los distintos niveles de gobierno en el que deberá preservar su valor ambiental, cultural e histórico para impulsar el desarrollo económico municipal</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VII. Desarrollar y difundir un sistema de información y promoción del sector productivo del Municipio;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VIII. Fomentar y promover la actividad comercial, incentivando su desarrollo ordenado y equilibrado;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IX. Impulsar la participación del sector privado en el desarrollo ambiental, turístico, comercial, agropecuario, forestal e industrial; X. Promover el desarrollo de proyectos </w:t>
      </w:r>
      <w:r w:rsidRPr="00575B7A">
        <w:rPr>
          <w:rFonts w:ascii="Palatino Linotype" w:hAnsi="Palatino Linotype"/>
          <w:i/>
          <w:color w:val="000000" w:themeColor="text1"/>
        </w:rPr>
        <w:lastRenderedPageBreak/>
        <w:t xml:space="preserve">productivos en diversas comunidades del Municipio, para el fomento del empleo en estas zonas;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XI. Fomentar el empleo a favor de los habitantes y vecinos del Municipio gestionando ante las empresas, industrias y comercios establecidos en el territorio municipal su contratación;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XII. Generar programas de empleo emergente;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XIII. Mantener contacto regular con comerciantes del municipio, empresarios e industria del Municipio;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XIV. Proveer lo necesario para la generación de oportunidades de negocios para la planta productiva y la ampliación de servicios y empleos para la comunidad;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XV. Coadyuvar para generar la competitividad empresarial; generando capacitaciones y atracción de inversiones;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XVI. Verificar, supervisar, inspeccionar, regular y en su caso sancionar a los comerciantes y prestadores de servicios que entreguen bajo cualquier causa, contenedores desechables o bolsas de plástico en el desarrollo de su actividad, y que sean diferentes a aquellos contenedores y bolsas biodegradables permitidas por las leyes y reglamentos aplicables;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XVII. Promover el desarrollo rural sustentable, así como promover, organizar y planear la producción agropecuaria, forestal, su industrialización y comercialización y aquellas actividades tendientes a elevar la calidad de vida de la población rural dentro del ámbito de competencia municipal; para lo cual se expedirá un permiso para la venta de elote fresco a partir de doscientas piezas;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 xml:space="preserve">XVIII. Operar, supervisar y coordinar la Ventanilla Única a través de disposición por escrito que emita la Presidenta Municipal; </w:t>
      </w:r>
    </w:p>
    <w:p w:rsidR="00EB2F95" w:rsidRPr="00575B7A" w:rsidRDefault="00EB2F95" w:rsidP="00F42621">
      <w:pPr>
        <w:pStyle w:val="Prrafodelista"/>
        <w:spacing w:line="276" w:lineRule="auto"/>
        <w:ind w:left="993" w:right="49"/>
        <w:jc w:val="both"/>
        <w:rPr>
          <w:rFonts w:ascii="Palatino Linotype" w:hAnsi="Palatino Linotype"/>
          <w:i/>
          <w:color w:val="000000" w:themeColor="text1"/>
        </w:rPr>
      </w:pPr>
      <w:r w:rsidRPr="00575B7A">
        <w:rPr>
          <w:rFonts w:ascii="Palatino Linotype" w:hAnsi="Palatino Linotype"/>
          <w:i/>
          <w:color w:val="000000" w:themeColor="text1"/>
        </w:rPr>
        <w:t>XIX. Las demás que le señalen otras disposiciones legales y reglamentarias.</w:t>
      </w:r>
    </w:p>
    <w:p w:rsidR="00966B7A" w:rsidRPr="00575B7A" w:rsidRDefault="00966B7A" w:rsidP="00F42621">
      <w:pPr>
        <w:pStyle w:val="Prrafodelista"/>
        <w:spacing w:line="276" w:lineRule="auto"/>
        <w:ind w:left="993" w:right="49"/>
        <w:jc w:val="both"/>
        <w:rPr>
          <w:rFonts w:ascii="Palatino Linotype" w:hAnsi="Palatino Linotype"/>
          <w:i/>
          <w:color w:val="000000" w:themeColor="text1"/>
        </w:rPr>
      </w:pPr>
    </w:p>
    <w:p w:rsidR="00966B7A" w:rsidRPr="00575B7A" w:rsidRDefault="00966B7A" w:rsidP="00F42621">
      <w:pPr>
        <w:pStyle w:val="Prrafodelista"/>
        <w:spacing w:line="276" w:lineRule="auto"/>
        <w:ind w:left="993" w:right="49"/>
        <w:jc w:val="both"/>
        <w:rPr>
          <w:rFonts w:ascii="Palatino Linotype" w:hAnsi="Palatino Linotype"/>
          <w:i/>
          <w:color w:val="000000" w:themeColor="text1"/>
          <w:u w:val="single"/>
        </w:rPr>
      </w:pPr>
      <w:r w:rsidRPr="00575B7A">
        <w:rPr>
          <w:rFonts w:ascii="Palatino Linotype" w:hAnsi="Palatino Linotype"/>
          <w:b/>
          <w:i/>
          <w:color w:val="000000" w:themeColor="text1"/>
        </w:rPr>
        <w:t>ARTÍCULO 77</w:t>
      </w:r>
      <w:r w:rsidRPr="00575B7A">
        <w:rPr>
          <w:rFonts w:ascii="Palatino Linotype" w:hAnsi="Palatino Linotype"/>
          <w:i/>
          <w:color w:val="000000" w:themeColor="text1"/>
        </w:rPr>
        <w:t xml:space="preserve">.- </w:t>
      </w:r>
      <w:r w:rsidRPr="00575B7A">
        <w:rPr>
          <w:rFonts w:ascii="Palatino Linotype" w:hAnsi="Palatino Linotype"/>
          <w:i/>
          <w:color w:val="000000" w:themeColor="text1"/>
          <w:u w:val="single"/>
        </w:rPr>
        <w:t>El Ayuntamiento, a través de la Dirección de Desarrollo y Fomento Económico, regulará toda actividad comercial, industrial y de servicio realizada en establecimientos fijos, espectáculos y diversiones, el comercio en mercados públicos municipales</w:t>
      </w:r>
      <w:r w:rsidRPr="00575B7A">
        <w:rPr>
          <w:rFonts w:ascii="Palatino Linotype" w:hAnsi="Palatino Linotype"/>
          <w:b/>
          <w:i/>
          <w:color w:val="000000" w:themeColor="text1"/>
          <w:u w:val="single"/>
        </w:rPr>
        <w:t>, vías públicas</w:t>
      </w:r>
      <w:r w:rsidRPr="00575B7A">
        <w:rPr>
          <w:rFonts w:ascii="Palatino Linotype" w:hAnsi="Palatino Linotype"/>
          <w:i/>
          <w:color w:val="000000" w:themeColor="text1"/>
          <w:u w:val="single"/>
        </w:rPr>
        <w:t xml:space="preserve"> y áreas de uso común; de la misma manera regulará el comercio que se realiza en puestos fijos y semifijos, así como los tianguis, vendedoras o vendedores ambulantes, expendedores de periódicos y revistas y el que se realice a través </w:t>
      </w:r>
      <w:r w:rsidRPr="00575B7A">
        <w:rPr>
          <w:rFonts w:ascii="Palatino Linotype" w:hAnsi="Palatino Linotype"/>
          <w:i/>
          <w:color w:val="000000" w:themeColor="text1"/>
          <w:u w:val="single"/>
        </w:rPr>
        <w:lastRenderedPageBreak/>
        <w:t xml:space="preserve">de vehículos automotores, que para su funcionamiento </w:t>
      </w:r>
      <w:r w:rsidRPr="00575B7A">
        <w:rPr>
          <w:rFonts w:ascii="Palatino Linotype" w:hAnsi="Palatino Linotype"/>
          <w:b/>
          <w:i/>
          <w:color w:val="000000" w:themeColor="text1"/>
          <w:u w:val="single"/>
        </w:rPr>
        <w:t>requieran licencia, permiso o autorización correspondiente.</w:t>
      </w:r>
    </w:p>
    <w:p w:rsidR="00966B7A" w:rsidRPr="00575B7A" w:rsidRDefault="00966B7A" w:rsidP="00F42621">
      <w:pPr>
        <w:pStyle w:val="Prrafodelista"/>
        <w:spacing w:line="276" w:lineRule="auto"/>
        <w:ind w:left="993" w:right="49"/>
        <w:jc w:val="both"/>
        <w:rPr>
          <w:rFonts w:ascii="Palatino Linotype" w:hAnsi="Palatino Linotype"/>
          <w:i/>
          <w:color w:val="000000" w:themeColor="text1"/>
          <w:u w:val="single"/>
        </w:rPr>
      </w:pPr>
    </w:p>
    <w:p w:rsidR="00E01427" w:rsidRPr="00575B7A" w:rsidRDefault="00E01427" w:rsidP="00966B7A">
      <w:pPr>
        <w:pStyle w:val="Prrafodelista"/>
        <w:tabs>
          <w:tab w:val="left" w:pos="0"/>
        </w:tabs>
        <w:spacing w:line="360" w:lineRule="auto"/>
        <w:ind w:left="0" w:right="-518"/>
        <w:jc w:val="both"/>
        <w:rPr>
          <w:rFonts w:ascii="Palatino Linotype" w:hAnsi="Palatino Linotype"/>
          <w:b/>
          <w:color w:val="000000" w:themeColor="text1"/>
        </w:rPr>
      </w:pPr>
    </w:p>
    <w:p w:rsidR="00163427" w:rsidRPr="00575B7A" w:rsidRDefault="00EB2F95" w:rsidP="00575B7A">
      <w:pPr>
        <w:pStyle w:val="Prrafodelista"/>
        <w:numPr>
          <w:ilvl w:val="0"/>
          <w:numId w:val="1"/>
        </w:numPr>
        <w:tabs>
          <w:tab w:val="left" w:pos="0"/>
        </w:tabs>
        <w:spacing w:line="360" w:lineRule="auto"/>
        <w:ind w:right="-518"/>
        <w:jc w:val="both"/>
        <w:rPr>
          <w:rFonts w:ascii="Palatino Linotype" w:hAnsi="Palatino Linotype"/>
          <w:b/>
          <w:color w:val="000000" w:themeColor="text1"/>
        </w:rPr>
      </w:pPr>
      <w:r w:rsidRPr="00575B7A">
        <w:rPr>
          <w:rFonts w:ascii="Palatino Linotype" w:hAnsi="Palatino Linotype"/>
          <w:color w:val="000000" w:themeColor="text1"/>
        </w:rPr>
        <w:t>De lo anterior, se advierte que dada la naturaleza de la información, el área encargada de generar, poseer y/o administrar la información solicitada es la Dirección de</w:t>
      </w:r>
      <w:r w:rsidR="006506CA" w:rsidRPr="00575B7A">
        <w:rPr>
          <w:rFonts w:ascii="Palatino Linotype" w:hAnsi="Palatino Linotype"/>
          <w:color w:val="000000" w:themeColor="text1"/>
        </w:rPr>
        <w:t xml:space="preserve"> Desarrollo y Fomento Económico;</w:t>
      </w:r>
      <w:r w:rsidRPr="00575B7A">
        <w:rPr>
          <w:rFonts w:ascii="Palatino Linotype" w:hAnsi="Palatino Linotype"/>
          <w:color w:val="000000" w:themeColor="text1"/>
        </w:rPr>
        <w:t xml:space="preserve"> luego entonces, </w:t>
      </w:r>
      <w:r w:rsidR="006506CA" w:rsidRPr="00575B7A">
        <w:rPr>
          <w:rFonts w:ascii="Palatino Linotype" w:hAnsi="Palatino Linotype"/>
          <w:color w:val="000000" w:themeColor="text1"/>
        </w:rPr>
        <w:t xml:space="preserve"> al haberse turnado a un área diversa, es decir a la  Dirección de Desarrollo Urbano y Metropolitano y no así a la Dirección correspondiente, </w:t>
      </w:r>
      <w:r w:rsidRPr="00575B7A">
        <w:rPr>
          <w:rFonts w:ascii="Palatino Linotype" w:hAnsi="Palatino Linotype"/>
          <w:color w:val="000000" w:themeColor="text1"/>
        </w:rPr>
        <w:t xml:space="preserve">se arriba a la conclusión de no tenerse por colmada la solicitud de información que nos ocupa, </w:t>
      </w:r>
      <w:r w:rsidR="006506CA" w:rsidRPr="00575B7A">
        <w:rPr>
          <w:rFonts w:ascii="Palatino Linotype" w:hAnsi="Palatino Linotype"/>
          <w:color w:val="000000" w:themeColor="text1"/>
        </w:rPr>
        <w:t xml:space="preserve">pues –se insiste- el </w:t>
      </w:r>
      <w:r w:rsidR="006506CA" w:rsidRPr="00575B7A">
        <w:rPr>
          <w:rFonts w:ascii="Palatino Linotype" w:hAnsi="Palatino Linotype"/>
          <w:b/>
          <w:color w:val="000000" w:themeColor="text1"/>
        </w:rPr>
        <w:t xml:space="preserve">SUJETO OBLIGADO, </w:t>
      </w:r>
      <w:r w:rsidR="009A00E8" w:rsidRPr="00575B7A">
        <w:rPr>
          <w:rFonts w:ascii="Palatino Linotype" w:hAnsi="Palatino Linotype"/>
          <w:color w:val="000000" w:themeColor="text1"/>
        </w:rPr>
        <w:t>no turnó</w:t>
      </w:r>
      <w:r w:rsidR="006506CA" w:rsidRPr="00575B7A">
        <w:rPr>
          <w:rFonts w:ascii="Palatino Linotype" w:hAnsi="Palatino Linotype"/>
          <w:color w:val="000000" w:themeColor="text1"/>
        </w:rPr>
        <w:t xml:space="preserve"> la solicitud de información a la Dirección de Desarrollo y Fomento Económico, como se observa a continuación:</w:t>
      </w:r>
    </w:p>
    <w:p w:rsidR="00E01427" w:rsidRPr="00575B7A" w:rsidRDefault="00E01427" w:rsidP="00966B7A">
      <w:pPr>
        <w:pStyle w:val="Prrafodelista"/>
        <w:tabs>
          <w:tab w:val="left" w:pos="0"/>
        </w:tabs>
        <w:spacing w:line="360" w:lineRule="auto"/>
        <w:ind w:left="0" w:right="-518"/>
        <w:jc w:val="both"/>
        <w:rPr>
          <w:rFonts w:ascii="Palatino Linotype" w:hAnsi="Palatino Linotype"/>
          <w:color w:val="000000" w:themeColor="text1"/>
        </w:rPr>
      </w:pPr>
    </w:p>
    <w:p w:rsidR="00EB2F95" w:rsidRPr="00575B7A" w:rsidRDefault="00EB2F95" w:rsidP="00966B7A">
      <w:pPr>
        <w:spacing w:line="360" w:lineRule="auto"/>
        <w:ind w:right="-518"/>
        <w:contextualSpacing/>
        <w:jc w:val="both"/>
        <w:rPr>
          <w:rFonts w:ascii="Palatino Linotype" w:eastAsia="MS Mincho" w:hAnsi="Palatino Linotype" w:cs="Arial"/>
        </w:rPr>
      </w:pPr>
      <w:r w:rsidRPr="00575B7A">
        <w:rPr>
          <w:rFonts w:ascii="Palatino Linotype" w:eastAsia="MS Mincho" w:hAnsi="Palatino Linotype" w:cs="Arial"/>
          <w:noProof/>
          <w:lang w:eastAsia="es-MX"/>
        </w:rPr>
        <w:drawing>
          <wp:inline distT="0" distB="0" distL="0" distR="0" wp14:anchorId="4B208490" wp14:editId="78A9E826">
            <wp:extent cx="5612130" cy="970915"/>
            <wp:effectExtent l="152400" t="152400" r="369570" b="3625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970915"/>
                    </a:xfrm>
                    <a:prstGeom prst="rect">
                      <a:avLst/>
                    </a:prstGeom>
                    <a:ln>
                      <a:noFill/>
                    </a:ln>
                    <a:effectLst>
                      <a:outerShdw blurRad="292100" dist="139700" dir="2700000" algn="tl" rotWithShape="0">
                        <a:srgbClr val="333333">
                          <a:alpha val="65000"/>
                        </a:srgbClr>
                      </a:outerShdw>
                    </a:effectLst>
                  </pic:spPr>
                </pic:pic>
              </a:graphicData>
            </a:graphic>
          </wp:inline>
        </w:drawing>
      </w:r>
    </w:p>
    <w:p w:rsidR="00EB2F95" w:rsidRPr="00575B7A" w:rsidRDefault="00EB2F95" w:rsidP="00966B7A">
      <w:pPr>
        <w:spacing w:line="360" w:lineRule="auto"/>
        <w:ind w:right="-518"/>
        <w:contextualSpacing/>
        <w:jc w:val="both"/>
        <w:rPr>
          <w:rFonts w:ascii="Palatino Linotype" w:eastAsia="MS Mincho" w:hAnsi="Palatino Linotype" w:cs="Arial"/>
        </w:rPr>
      </w:pPr>
    </w:p>
    <w:p w:rsidR="00EB2F95" w:rsidRPr="00575B7A" w:rsidRDefault="00EB2F95" w:rsidP="00575B7A">
      <w:pPr>
        <w:pStyle w:val="Prrafodelista"/>
        <w:numPr>
          <w:ilvl w:val="0"/>
          <w:numId w:val="1"/>
        </w:numPr>
        <w:tabs>
          <w:tab w:val="left" w:pos="0"/>
        </w:tabs>
        <w:spacing w:line="360" w:lineRule="auto"/>
        <w:ind w:right="-518"/>
        <w:jc w:val="both"/>
        <w:rPr>
          <w:rFonts w:ascii="Palatino Linotype" w:eastAsia="MS Mincho" w:hAnsi="Palatino Linotype" w:cs="Arial"/>
        </w:rPr>
      </w:pPr>
      <w:r w:rsidRPr="00575B7A">
        <w:rPr>
          <w:rFonts w:ascii="Palatino Linotype" w:eastAsia="MS Mincho" w:hAnsi="Palatino Linotype" w:cs="Arial"/>
        </w:rPr>
        <w:t>Al respecto, e</w:t>
      </w:r>
      <w:r w:rsidRPr="00575B7A">
        <w:rPr>
          <w:rFonts w:ascii="Palatino Linotype" w:eastAsia="Times New Roman" w:hAnsi="Palatino Linotype"/>
        </w:rPr>
        <w:t xml:space="preserve">l derecho de acceso a la información pública es un derecho humano constitucionalmente reconocido en consecuencia todas las autoridades en el ámbito de sus competencias, funciones y atribuciones tienen la obligación de respetarlo, protegerlo y garantizarlo, así también </w:t>
      </w:r>
      <w:r w:rsidRPr="00575B7A">
        <w:rPr>
          <w:rFonts w:ascii="Palatino Linotype" w:eastAsia="Times New Roman" w:hAnsi="Palatino Linotype"/>
          <w:b/>
        </w:rPr>
        <w:t>es su deber turnar la solicitud de información a todas las áreas dentro de su estructura orgánica que pudieran contar con lo solicitado</w:t>
      </w:r>
      <w:r w:rsidRPr="00575B7A">
        <w:rPr>
          <w:rFonts w:ascii="Palatino Linotype" w:eastAsia="Times New Roman" w:hAnsi="Palatino Linotype"/>
        </w:rPr>
        <w:t>, a fin de dar cabal cumplimiento al derecho humano constitucionalmente reconocido.</w:t>
      </w:r>
    </w:p>
    <w:p w:rsidR="00EB2F95" w:rsidRPr="00575B7A" w:rsidRDefault="00EB2F95" w:rsidP="00966B7A">
      <w:pPr>
        <w:spacing w:line="360" w:lineRule="auto"/>
        <w:ind w:right="-518"/>
        <w:contextualSpacing/>
        <w:jc w:val="both"/>
        <w:rPr>
          <w:rFonts w:ascii="Palatino Linotype" w:eastAsia="MS Mincho" w:hAnsi="Palatino Linotype" w:cs="Arial"/>
        </w:rPr>
      </w:pPr>
    </w:p>
    <w:p w:rsidR="00EB2F95" w:rsidRPr="00575B7A" w:rsidRDefault="00EB2F95" w:rsidP="00575B7A">
      <w:pPr>
        <w:pStyle w:val="Prrafodelista"/>
        <w:numPr>
          <w:ilvl w:val="0"/>
          <w:numId w:val="1"/>
        </w:numPr>
        <w:tabs>
          <w:tab w:val="left" w:pos="0"/>
        </w:tabs>
        <w:spacing w:line="360" w:lineRule="auto"/>
        <w:ind w:right="-518"/>
        <w:jc w:val="both"/>
        <w:rPr>
          <w:rFonts w:ascii="Palatino Linotype" w:eastAsia="MS Mincho" w:hAnsi="Palatino Linotype" w:cs="Arial"/>
          <w:b/>
        </w:rPr>
      </w:pPr>
      <w:r w:rsidRPr="00575B7A">
        <w:rPr>
          <w:rFonts w:ascii="Palatino Linotype" w:eastAsia="MS Mincho" w:hAnsi="Palatino Linotype" w:cs="Arial"/>
        </w:rPr>
        <w:lastRenderedPageBreak/>
        <w:t>En esa tesitura, e</w:t>
      </w:r>
      <w:r w:rsidRPr="00575B7A">
        <w:rPr>
          <w:rFonts w:ascii="Palatino Linotype" w:eastAsia="Times New Roman" w:hAnsi="Palatino Linotype" w:cs="Arial"/>
        </w:rPr>
        <w:t xml:space="preserve">l procedimiento de acceso a la información pública, descrito en el Título Séptimo de la Ley de Transparencia describe los pasos que debe seguir la autoridad para atender </w:t>
      </w:r>
      <w:r w:rsidRPr="00575B7A">
        <w:rPr>
          <w:rFonts w:ascii="Palatino Linotype" w:eastAsia="MS Mincho" w:hAnsi="Palatino Linotype" w:cs="Arial"/>
        </w:rPr>
        <w:t>las</w:t>
      </w:r>
      <w:r w:rsidRPr="00575B7A">
        <w:rPr>
          <w:rFonts w:ascii="Palatino Linotype" w:eastAsia="Times New Roman" w:hAnsi="Palatino Linotype" w:cs="Arial"/>
        </w:rPr>
        <w:t xml:space="preserve">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rsidR="00EB2F95" w:rsidRPr="00575B7A" w:rsidRDefault="00EB2F95" w:rsidP="00966B7A">
      <w:pPr>
        <w:pStyle w:val="Prrafodelista"/>
        <w:ind w:right="-518"/>
        <w:rPr>
          <w:rFonts w:ascii="Palatino Linotype" w:eastAsia="MS Mincho" w:hAnsi="Palatino Linotype" w:cs="Arial"/>
          <w:b/>
        </w:rPr>
      </w:pPr>
    </w:p>
    <w:p w:rsidR="00EB2F95" w:rsidRPr="00575B7A" w:rsidRDefault="00EB2F95" w:rsidP="00F42621">
      <w:pPr>
        <w:spacing w:line="360" w:lineRule="auto"/>
        <w:ind w:left="567" w:right="333"/>
        <w:contextualSpacing/>
        <w:jc w:val="both"/>
        <w:rPr>
          <w:rFonts w:ascii="Palatino Linotype" w:eastAsia="MS Mincho" w:hAnsi="Palatino Linotype" w:cs="Arial"/>
          <w:i/>
          <w:u w:val="single"/>
        </w:rPr>
      </w:pPr>
      <w:r w:rsidRPr="00575B7A">
        <w:rPr>
          <w:rFonts w:ascii="Palatino Linotype" w:eastAsia="MS Mincho" w:hAnsi="Palatino Linotype" w:cs="Arial"/>
          <w:b/>
          <w:i/>
        </w:rPr>
        <w:t>“Artículo 162.</w:t>
      </w:r>
      <w:r w:rsidRPr="00575B7A">
        <w:rPr>
          <w:rFonts w:ascii="Palatino Linotype" w:eastAsia="MS Mincho" w:hAnsi="Palatino Linotype" w:cs="Arial"/>
          <w:i/>
        </w:rPr>
        <w:t xml:space="preserve"> </w:t>
      </w:r>
      <w:r w:rsidRPr="00575B7A">
        <w:rPr>
          <w:rFonts w:ascii="Palatino Linotype" w:eastAsia="MS Mincho" w:hAnsi="Palatino Linotype" w:cs="Arial"/>
          <w:i/>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EB2F95" w:rsidRPr="00575B7A" w:rsidRDefault="00EB2F95" w:rsidP="00966B7A">
      <w:pPr>
        <w:spacing w:line="360" w:lineRule="auto"/>
        <w:ind w:left="567" w:right="-518"/>
        <w:contextualSpacing/>
        <w:jc w:val="both"/>
        <w:rPr>
          <w:rFonts w:ascii="Palatino Linotype" w:eastAsia="MS Mincho" w:hAnsi="Palatino Linotype" w:cs="Arial"/>
          <w:i/>
        </w:rPr>
      </w:pPr>
    </w:p>
    <w:p w:rsidR="00EB2F95" w:rsidRPr="00575B7A" w:rsidRDefault="00EB2F95" w:rsidP="00575B7A">
      <w:pPr>
        <w:pStyle w:val="Prrafodelista"/>
        <w:numPr>
          <w:ilvl w:val="0"/>
          <w:numId w:val="1"/>
        </w:numPr>
        <w:tabs>
          <w:tab w:val="left" w:pos="0"/>
        </w:tabs>
        <w:spacing w:line="360" w:lineRule="auto"/>
        <w:ind w:right="-518"/>
        <w:jc w:val="both"/>
        <w:rPr>
          <w:rFonts w:ascii="Palatino Linotype" w:eastAsia="MS Mincho" w:hAnsi="Palatino Linotype" w:cs="Arial"/>
        </w:rPr>
      </w:pPr>
      <w:r w:rsidRPr="00575B7A">
        <w:rPr>
          <w:rFonts w:ascii="Palatino Linotype" w:eastAsia="Times New Roman" w:hAnsi="Palatino Linotype" w:cs="Arial"/>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local.</w:t>
      </w:r>
    </w:p>
    <w:p w:rsidR="00EB2F95" w:rsidRPr="00575B7A" w:rsidRDefault="00EB2F95" w:rsidP="00966B7A">
      <w:pPr>
        <w:spacing w:line="360" w:lineRule="auto"/>
        <w:ind w:right="-518"/>
        <w:contextualSpacing/>
        <w:jc w:val="both"/>
        <w:rPr>
          <w:rFonts w:ascii="Palatino Linotype" w:eastAsia="MS Mincho" w:hAnsi="Palatino Linotype" w:cs="Arial"/>
        </w:rPr>
      </w:pPr>
    </w:p>
    <w:p w:rsidR="00EB2F95" w:rsidRPr="00575B7A" w:rsidRDefault="00EB2F95" w:rsidP="00575B7A">
      <w:pPr>
        <w:pStyle w:val="Prrafodelista"/>
        <w:numPr>
          <w:ilvl w:val="0"/>
          <w:numId w:val="1"/>
        </w:numPr>
        <w:tabs>
          <w:tab w:val="left" w:pos="0"/>
        </w:tabs>
        <w:spacing w:line="360" w:lineRule="auto"/>
        <w:ind w:right="-518"/>
        <w:jc w:val="both"/>
        <w:rPr>
          <w:rFonts w:ascii="Palatino Linotype" w:eastAsia="Calibri" w:hAnsi="Palatino Linotype"/>
        </w:rPr>
      </w:pPr>
      <w:r w:rsidRPr="00575B7A">
        <w:rPr>
          <w:rFonts w:ascii="Palatino Linotype" w:eastAsia="Calibri" w:hAnsi="Palatino Linotype"/>
        </w:rPr>
        <w:t xml:space="preserve">De la </w:t>
      </w:r>
      <w:r w:rsidRPr="00575B7A">
        <w:rPr>
          <w:rFonts w:ascii="Palatino Linotype" w:eastAsia="Times New Roman" w:hAnsi="Palatino Linotype" w:cs="Arial"/>
        </w:rPr>
        <w:t>normatividad</w:t>
      </w:r>
      <w:r w:rsidRPr="00575B7A">
        <w:rPr>
          <w:rFonts w:ascii="Palatino Linotype" w:eastAsia="Calibri" w:hAnsi="Palatino Linotype"/>
        </w:rPr>
        <w:t xml:space="preserve"> en cita, se desprende que las Unidades de Transparencia, se erigen como el área responsable en cada Sujeto Obligado que tiene a su cargo la atención de las solicitudes de información que se realicen al amparo de la Ley. </w:t>
      </w:r>
    </w:p>
    <w:p w:rsidR="00EB2F95" w:rsidRPr="00575B7A" w:rsidRDefault="00EB2F95" w:rsidP="00966B7A">
      <w:pPr>
        <w:pStyle w:val="Prrafodelista"/>
        <w:spacing w:line="360" w:lineRule="auto"/>
        <w:ind w:left="360" w:right="-518"/>
        <w:jc w:val="both"/>
        <w:rPr>
          <w:rFonts w:ascii="Palatino Linotype" w:eastAsia="Calibri" w:hAnsi="Palatino Linotype"/>
        </w:rPr>
      </w:pPr>
    </w:p>
    <w:p w:rsidR="00EB2F95" w:rsidRPr="00575B7A" w:rsidRDefault="00EB2F95" w:rsidP="00575B7A">
      <w:pPr>
        <w:pStyle w:val="Prrafodelista"/>
        <w:numPr>
          <w:ilvl w:val="0"/>
          <w:numId w:val="1"/>
        </w:numPr>
        <w:tabs>
          <w:tab w:val="left" w:pos="0"/>
        </w:tabs>
        <w:spacing w:line="360" w:lineRule="auto"/>
        <w:ind w:right="-518"/>
        <w:jc w:val="both"/>
        <w:rPr>
          <w:rFonts w:ascii="Palatino Linotype" w:eastAsia="Calibri" w:hAnsi="Palatino Linotype"/>
        </w:rPr>
      </w:pPr>
      <w:r w:rsidRPr="00575B7A">
        <w:rPr>
          <w:rFonts w:ascii="Palatino Linotype" w:eastAsia="Calibri" w:hAnsi="Palatino Linotype"/>
        </w:rPr>
        <w:t xml:space="preserve">El responsable de dicha área funge como enlace entre </w:t>
      </w:r>
      <w:r w:rsidRPr="00575B7A">
        <w:rPr>
          <w:rFonts w:ascii="Palatino Linotype" w:eastAsia="Calibri" w:hAnsi="Palatino Linotype"/>
          <w:b/>
        </w:rPr>
        <w:t>EL SUJETO OBLIGADO</w:t>
      </w:r>
      <w:r w:rsidRPr="00575B7A">
        <w:rPr>
          <w:rFonts w:ascii="Palatino Linotype" w:eastAsia="Calibri" w:hAnsi="Palatino Linotype"/>
        </w:rPr>
        <w:t xml:space="preserve"> y los solicitantes, y tiene bajo su responsabilidad el tramitar internamente la solicitud de información.</w:t>
      </w:r>
    </w:p>
    <w:p w:rsidR="00EB2F95" w:rsidRPr="00575B7A" w:rsidRDefault="00EB2F95" w:rsidP="00575B7A">
      <w:pPr>
        <w:pStyle w:val="Prrafodelista"/>
        <w:numPr>
          <w:ilvl w:val="0"/>
          <w:numId w:val="1"/>
        </w:numPr>
        <w:tabs>
          <w:tab w:val="left" w:pos="0"/>
        </w:tabs>
        <w:spacing w:line="360" w:lineRule="auto"/>
        <w:ind w:right="-518"/>
        <w:jc w:val="both"/>
        <w:rPr>
          <w:rFonts w:ascii="Palatino Linotype" w:eastAsia="Calibri" w:hAnsi="Palatino Linotype"/>
        </w:rPr>
      </w:pPr>
      <w:r w:rsidRPr="00575B7A">
        <w:rPr>
          <w:rFonts w:ascii="Palatino Linotype" w:eastAsia="Calibri" w:hAnsi="Palatino Linotype"/>
        </w:rPr>
        <w:lastRenderedPageBreak/>
        <w:t xml:space="preserve">De tal manera que, si bien, el Titular de la Unidad de Transparencia no tiene bajo su resguardo el archivo que contiene la documentación en donde consta la información solicitada, sino que pudiera obrar en las distintas áreas que conforman la estructura del </w:t>
      </w:r>
      <w:r w:rsidRPr="00575B7A">
        <w:rPr>
          <w:rFonts w:ascii="Palatino Linotype" w:eastAsia="Calibri" w:hAnsi="Palatino Linotype"/>
          <w:b/>
        </w:rPr>
        <w:t xml:space="preserve">SUJETO OBLIGADO; </w:t>
      </w:r>
      <w:r w:rsidRPr="00575B7A">
        <w:rPr>
          <w:rFonts w:ascii="Palatino Linotype" w:eastAsia="Calibri" w:hAnsi="Palatino Linotype"/>
        </w:rPr>
        <w:t xml:space="preserve">es por ello que, debe turnar la solicitud a </w:t>
      </w:r>
      <w:r w:rsidRPr="00575B7A">
        <w:rPr>
          <w:rFonts w:ascii="Palatino Linotype" w:hAnsi="Palatino Linotype" w:cs="Arial"/>
        </w:rPr>
        <w:t xml:space="preserve">todas las áreas que </w:t>
      </w:r>
      <w:r w:rsidRPr="00575B7A">
        <w:rPr>
          <w:rFonts w:ascii="Palatino Linotype" w:eastAsia="Calibri" w:hAnsi="Palatino Linotype"/>
        </w:rPr>
        <w:t>conforme a sus atribuciones y funciones generen, administren o posean la información requerida por la particular; pues tienen como función, buscar, localizar y poseer la información, así como entregarla.</w:t>
      </w:r>
    </w:p>
    <w:p w:rsidR="00EB2F95" w:rsidRPr="00575B7A" w:rsidRDefault="00EB2F95" w:rsidP="00966B7A">
      <w:pPr>
        <w:pStyle w:val="Prrafodelista"/>
        <w:spacing w:line="360" w:lineRule="auto"/>
        <w:ind w:left="360" w:right="-518"/>
        <w:jc w:val="both"/>
        <w:rPr>
          <w:rFonts w:ascii="Palatino Linotype" w:hAnsi="Palatino Linotype" w:cs="Arial"/>
        </w:rPr>
      </w:pPr>
    </w:p>
    <w:p w:rsidR="00EB2F95" w:rsidRPr="00575B7A" w:rsidRDefault="00EB2F95" w:rsidP="00575B7A">
      <w:pPr>
        <w:pStyle w:val="Prrafodelista"/>
        <w:numPr>
          <w:ilvl w:val="0"/>
          <w:numId w:val="1"/>
        </w:numPr>
        <w:tabs>
          <w:tab w:val="left" w:pos="0"/>
        </w:tabs>
        <w:spacing w:line="360" w:lineRule="auto"/>
        <w:ind w:right="-518"/>
        <w:jc w:val="both"/>
        <w:rPr>
          <w:rFonts w:ascii="Palatino Linotype" w:eastAsia="Calibri" w:hAnsi="Palatino Linotype"/>
        </w:rPr>
      </w:pPr>
      <w:r w:rsidRPr="00575B7A">
        <w:rPr>
          <w:rFonts w:ascii="Palatino Linotype" w:eastAsia="Calibri" w:hAnsi="Palatino Linotype"/>
        </w:rPr>
        <w:t xml:space="preserve">Es así que, le corresponde al Titular de la Unidad de Transparencia el garantizar que las solicitudes se turnen a las áreas competentes que puedan contar con la información, con el objeto de que se realice una búsqueda exhaustiva y razonable de la misma. </w:t>
      </w:r>
    </w:p>
    <w:p w:rsidR="00EB2F95" w:rsidRPr="00575B7A" w:rsidRDefault="00EB2F95" w:rsidP="00966B7A">
      <w:pPr>
        <w:pStyle w:val="Prrafodelista"/>
        <w:tabs>
          <w:tab w:val="left" w:pos="0"/>
        </w:tabs>
        <w:spacing w:line="360" w:lineRule="auto"/>
        <w:ind w:left="0" w:right="-518"/>
        <w:jc w:val="both"/>
        <w:rPr>
          <w:rFonts w:ascii="Palatino Linotype" w:eastAsia="Calibri" w:hAnsi="Palatino Linotype"/>
        </w:rPr>
      </w:pPr>
    </w:p>
    <w:p w:rsidR="00EB2F95" w:rsidRPr="00575B7A" w:rsidRDefault="00EB2F95" w:rsidP="00575B7A">
      <w:pPr>
        <w:pStyle w:val="Prrafodelista"/>
        <w:numPr>
          <w:ilvl w:val="0"/>
          <w:numId w:val="1"/>
        </w:numPr>
        <w:tabs>
          <w:tab w:val="left" w:pos="0"/>
        </w:tabs>
        <w:spacing w:line="360" w:lineRule="auto"/>
        <w:ind w:right="-518"/>
        <w:jc w:val="both"/>
        <w:rPr>
          <w:rFonts w:ascii="Palatino Linotype" w:hAnsi="Palatino Linotype"/>
          <w:color w:val="000000" w:themeColor="text1"/>
        </w:rPr>
      </w:pPr>
      <w:r w:rsidRPr="00575B7A">
        <w:rPr>
          <w:rFonts w:ascii="Palatino Linotype" w:eastAsia="Calibri" w:hAnsi="Palatino Linotype"/>
        </w:rPr>
        <w:t xml:space="preserve">Ahora bien, respecto la información solicitada, se advierte que la información radica en querer obtener una relación de concesiones, permisos y asignación de espacios públicos, </w:t>
      </w:r>
      <w:r w:rsidRPr="00575B7A">
        <w:rPr>
          <w:rFonts w:ascii="Palatino Linotype" w:hAnsi="Palatino Linotype"/>
          <w:color w:val="000000" w:themeColor="text1"/>
        </w:rPr>
        <w:t>en donde se indique beneficiario, objeto, vigencia, monto pagado, fundamento legal y autorización correspondiente, sin embargo, resulta necesario referir que</w:t>
      </w:r>
      <w:r w:rsidRPr="00575B7A">
        <w:rPr>
          <w:rFonts w:ascii="Palatino Linotype" w:hAnsi="Palatino Linotype"/>
          <w:color w:val="000000" w:themeColor="text1"/>
          <w:u w:val="single"/>
        </w:rPr>
        <w:t xml:space="preserve">, los sujetos obligados tampoco no </w:t>
      </w:r>
      <w:r w:rsidRPr="00575B7A">
        <w:rPr>
          <w:rFonts w:ascii="Palatino Linotype" w:hAnsi="Palatino Linotype" w:cs="Arial"/>
          <w:color w:val="000000" w:themeColor="text1"/>
          <w:u w:val="single"/>
        </w:rPr>
        <w:t>se</w:t>
      </w:r>
      <w:r w:rsidRPr="00575B7A">
        <w:rPr>
          <w:rFonts w:ascii="Palatino Linotype" w:hAnsi="Palatino Linotype"/>
          <w:color w:val="000000" w:themeColor="text1"/>
          <w:u w:val="single"/>
        </w:rPr>
        <w:t xml:space="preserve"> encuentran compelidos a generar documentos </w:t>
      </w:r>
      <w:r w:rsidRPr="00575B7A">
        <w:rPr>
          <w:rFonts w:ascii="Palatino Linotype" w:hAnsi="Palatino Linotype"/>
          <w:i/>
          <w:color w:val="000000" w:themeColor="text1"/>
          <w:u w:val="single"/>
        </w:rPr>
        <w:t>Ad hoc</w:t>
      </w:r>
      <w:r w:rsidRPr="00575B7A">
        <w:rPr>
          <w:rFonts w:ascii="Palatino Linotype" w:hAnsi="Palatino Linotype"/>
          <w:color w:val="000000" w:themeColor="text1"/>
        </w:rPr>
        <w:t>, pues se reitera que el derecho de acceso a la información, es un derecho que versa sobre documentos que los sujetos obligados, generen, posean o administren,</w:t>
      </w:r>
      <w:r w:rsidRPr="00575B7A">
        <w:rPr>
          <w:rFonts w:ascii="Palatino Linotype" w:hAnsi="Palatino Linotype"/>
          <w:b/>
          <w:color w:val="000000" w:themeColor="text1"/>
        </w:rPr>
        <w:t xml:space="preserve"> </w:t>
      </w:r>
      <w:r w:rsidRPr="00575B7A">
        <w:rPr>
          <w:rFonts w:ascii="Palatino Linotype" w:hAnsi="Palatino Linotype"/>
          <w:b/>
          <w:color w:val="000000" w:themeColor="text1"/>
          <w:u w:val="single"/>
        </w:rPr>
        <w:t>previo a la interposición de la solicitud de información,</w:t>
      </w:r>
      <w:r w:rsidRPr="00575B7A">
        <w:rPr>
          <w:rFonts w:ascii="Palatino Linotype" w:hAnsi="Palatino Linotype"/>
          <w:b/>
          <w:color w:val="000000" w:themeColor="text1"/>
        </w:rPr>
        <w:t xml:space="preserve"> </w:t>
      </w:r>
      <w:r w:rsidRPr="00575B7A">
        <w:rPr>
          <w:rFonts w:ascii="Palatino Linotype" w:hAnsi="Palatino Linotype"/>
          <w:b/>
          <w:color w:val="000000" w:themeColor="text1"/>
          <w:u w:val="single"/>
        </w:rPr>
        <w:t>no así a generar nuevos documentos con la finalidad de satisfacer las pretensiones particulares de los solicitantes</w:t>
      </w:r>
      <w:r w:rsidRPr="00575B7A">
        <w:rPr>
          <w:rFonts w:ascii="Palatino Linotype" w:hAnsi="Palatino Linotype"/>
          <w:color w:val="000000" w:themeColor="text1"/>
        </w:rPr>
        <w:t xml:space="preserve">, </w:t>
      </w:r>
      <w:r w:rsidRPr="00575B7A">
        <w:rPr>
          <w:rFonts w:ascii="Palatino Linotype" w:eastAsia="MS Mincho" w:hAnsi="Palatino Linotype" w:cs="Arial"/>
        </w:rPr>
        <w:t>c</w:t>
      </w:r>
      <w:r w:rsidRPr="00575B7A">
        <w:rPr>
          <w:rFonts w:ascii="Palatino Linotype" w:hAnsi="Palatino Linotype" w:cs="Arial"/>
        </w:rPr>
        <w:t xml:space="preserve">omo apoyo a lo anterior, es aplicable por analogía el </w:t>
      </w:r>
      <w:r w:rsidRPr="00575B7A">
        <w:rPr>
          <w:rFonts w:ascii="Palatino Linotype" w:hAnsi="Palatino Linotype" w:cs="Arial"/>
          <w:b/>
        </w:rPr>
        <w:t>Criterio 03/17</w:t>
      </w:r>
      <w:r w:rsidRPr="00575B7A">
        <w:rPr>
          <w:rFonts w:ascii="Palatino Linotype" w:hAnsi="Palatino Linotype" w:cs="Arial"/>
        </w:rPr>
        <w:t>, emitido por el Pleno del Instituto Nacional de Transparencia, Acceso a la Información y Protección de Datos Personales (INAI)</w:t>
      </w:r>
      <w:r w:rsidRPr="00575B7A">
        <w:rPr>
          <w:rFonts w:ascii="Palatino Linotype" w:hAnsi="Palatino Linotype" w:cs="Arial"/>
          <w:bCs/>
        </w:rPr>
        <w:t>, que a la letra dice:</w:t>
      </w:r>
    </w:p>
    <w:p w:rsidR="00EB2F95" w:rsidRPr="00575B7A" w:rsidRDefault="00EB2F95" w:rsidP="00966B7A">
      <w:pPr>
        <w:pStyle w:val="Prrafodelista"/>
        <w:spacing w:line="360" w:lineRule="auto"/>
        <w:ind w:right="-518"/>
        <w:rPr>
          <w:rFonts w:ascii="Palatino Linotype" w:hAnsi="Palatino Linotype" w:cs="Arial"/>
          <w:i/>
          <w:lang w:eastAsia="es-MX"/>
        </w:rPr>
      </w:pPr>
    </w:p>
    <w:p w:rsidR="00EB2F95" w:rsidRPr="00575B7A" w:rsidRDefault="00EB2F95" w:rsidP="00F42621">
      <w:pPr>
        <w:pStyle w:val="Prrafodelista"/>
        <w:ind w:left="567" w:right="49"/>
        <w:jc w:val="both"/>
        <w:rPr>
          <w:rFonts w:ascii="Palatino Linotype" w:hAnsi="Palatino Linotype" w:cs="Arial"/>
          <w:bCs/>
          <w:i/>
        </w:rPr>
      </w:pPr>
      <w:r w:rsidRPr="00575B7A">
        <w:rPr>
          <w:rFonts w:ascii="Palatino Linotype" w:hAnsi="Palatino Linotype" w:cs="Arial"/>
          <w:b/>
          <w:bCs/>
          <w:i/>
        </w:rPr>
        <w:lastRenderedPageBreak/>
        <w:t xml:space="preserve">“No existe obligación de elaborar documentos ad hoc para atender las solicitudes de acceso a la información. </w:t>
      </w:r>
      <w:r w:rsidRPr="00575B7A">
        <w:rPr>
          <w:rFonts w:ascii="Palatino Linotype" w:hAnsi="Palatino Linotype" w:cs="Arial"/>
          <w:bCs/>
          <w:i/>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EB2F95" w:rsidRPr="00575B7A" w:rsidRDefault="00EB2F95" w:rsidP="00966B7A">
      <w:pPr>
        <w:pStyle w:val="Prrafodelista"/>
        <w:spacing w:line="360" w:lineRule="auto"/>
        <w:ind w:left="567" w:right="-518"/>
        <w:jc w:val="both"/>
        <w:rPr>
          <w:rFonts w:ascii="Palatino Linotype" w:hAnsi="Palatino Linotype" w:cs="Arial"/>
          <w:bCs/>
          <w:i/>
        </w:rPr>
      </w:pPr>
    </w:p>
    <w:p w:rsidR="00EB2F95" w:rsidRPr="00575B7A" w:rsidRDefault="00EB2F95" w:rsidP="00575B7A">
      <w:pPr>
        <w:pStyle w:val="Prrafodelista"/>
        <w:numPr>
          <w:ilvl w:val="0"/>
          <w:numId w:val="1"/>
        </w:numPr>
        <w:tabs>
          <w:tab w:val="left" w:pos="0"/>
        </w:tabs>
        <w:spacing w:line="360" w:lineRule="auto"/>
        <w:ind w:right="-518"/>
        <w:jc w:val="both"/>
      </w:pPr>
      <w:r w:rsidRPr="00575B7A">
        <w:rPr>
          <w:rFonts w:ascii="Palatino Linotype" w:hAnsi="Palatino Linotype"/>
        </w:rPr>
        <w:t xml:space="preserve">Consecuencia de lo anterior, el </w:t>
      </w:r>
      <w:r w:rsidRPr="00575B7A">
        <w:rPr>
          <w:rFonts w:ascii="Palatino Linotype" w:hAnsi="Palatino Linotype"/>
          <w:b/>
        </w:rPr>
        <w:t xml:space="preserve">SUJETO OBLIGADO, </w:t>
      </w:r>
      <w:r w:rsidRPr="00575B7A">
        <w:rPr>
          <w:rFonts w:ascii="Palatino Linotype" w:hAnsi="Palatino Linotype"/>
        </w:rPr>
        <w:t>deberá de hacer entrega del documento en donde consten o se adviertan las concesiones, permisos y asignaciones de espacios públicos del uno de enero al treinta uno de diciembre de dos mil veinticinco,</w:t>
      </w:r>
      <w:r w:rsidR="00966B7A" w:rsidRPr="00575B7A">
        <w:rPr>
          <w:rFonts w:ascii="Palatino Linotype" w:hAnsi="Palatino Linotype"/>
        </w:rPr>
        <w:t xml:space="preserve"> incluidos beneficiario, objeto, vigencia, monto pagado y fundamento legal, de ser procedente en versión pública, a través del SAIMEX.</w:t>
      </w:r>
    </w:p>
    <w:p w:rsidR="00966B7A" w:rsidRPr="00575B7A" w:rsidRDefault="00966B7A" w:rsidP="00966B7A">
      <w:pPr>
        <w:pStyle w:val="Prrafodelista"/>
        <w:tabs>
          <w:tab w:val="left" w:pos="0"/>
        </w:tabs>
        <w:spacing w:line="360" w:lineRule="auto"/>
        <w:ind w:left="0" w:right="-518"/>
        <w:jc w:val="both"/>
      </w:pPr>
    </w:p>
    <w:p w:rsidR="00966B7A" w:rsidRPr="00575B7A" w:rsidRDefault="00966B7A" w:rsidP="00966B7A">
      <w:pPr>
        <w:numPr>
          <w:ilvl w:val="0"/>
          <w:numId w:val="1"/>
        </w:numPr>
        <w:spacing w:line="360" w:lineRule="auto"/>
        <w:ind w:right="-518"/>
        <w:contextualSpacing/>
        <w:jc w:val="both"/>
        <w:rPr>
          <w:rFonts w:ascii="Palatino Linotype" w:eastAsia="Palatino Linotype" w:hAnsi="Palatino Linotype" w:cs="Palatino Linotype"/>
        </w:rPr>
      </w:pPr>
      <w:r w:rsidRPr="00575B7A">
        <w:rPr>
          <w:rFonts w:ascii="Palatino Linotype" w:eastAsia="Palatino Linotype" w:hAnsi="Palatino Linotype" w:cs="Palatino Linotype"/>
        </w:rPr>
        <w:t xml:space="preserve">Ahora bien, por lo que hace a la información que se ordena entregar, y de la cual se refirió que </w:t>
      </w:r>
      <w:r w:rsidRPr="00575B7A">
        <w:rPr>
          <w:rFonts w:ascii="Palatino Linotype" w:eastAsia="Palatino Linotype" w:hAnsi="Palatino Linotype" w:cs="Palatino Linotype"/>
          <w:u w:val="single"/>
        </w:rPr>
        <w:t>de manera enunciativa más no limitativa</w:t>
      </w:r>
      <w:r w:rsidRPr="00575B7A">
        <w:rPr>
          <w:rFonts w:ascii="Palatino Linotype" w:eastAsia="Palatino Linotype" w:hAnsi="Palatino Linotype" w:cs="Palatino Linotype"/>
        </w:rPr>
        <w:t xml:space="preserve"> </w:t>
      </w:r>
      <w:r w:rsidRPr="00575B7A">
        <w:rPr>
          <w:rFonts w:ascii="Palatino Linotype" w:eastAsia="Palatino Linotype" w:hAnsi="Palatino Linotype" w:cs="Palatino Linotype"/>
          <w:u w:val="single"/>
        </w:rPr>
        <w:t xml:space="preserve">pudiera dar cuenta de lo solicitado, </w:t>
      </w:r>
      <w:r w:rsidRPr="00575B7A">
        <w:rPr>
          <w:rFonts w:ascii="Palatino Linotype" w:eastAsia="Palatino Linotype" w:hAnsi="Palatino Linotype" w:cs="Palatino Linotype"/>
        </w:rPr>
        <w:t>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XXXII, dispone lo siguiente:</w:t>
      </w:r>
    </w:p>
    <w:p w:rsidR="00966B7A" w:rsidRPr="00575B7A" w:rsidRDefault="00966B7A" w:rsidP="00966B7A">
      <w:pPr>
        <w:spacing w:line="360" w:lineRule="auto"/>
        <w:ind w:right="-518"/>
        <w:contextualSpacing/>
        <w:jc w:val="both"/>
        <w:rPr>
          <w:rFonts w:ascii="Palatino Linotype" w:eastAsia="Palatino Linotype" w:hAnsi="Palatino Linotype" w:cs="Palatino Linotype"/>
          <w:b/>
        </w:rPr>
      </w:pPr>
    </w:p>
    <w:p w:rsidR="00966B7A" w:rsidRPr="00575B7A" w:rsidRDefault="00966B7A" w:rsidP="00F42621">
      <w:pPr>
        <w:spacing w:line="276" w:lineRule="auto"/>
        <w:ind w:left="709" w:right="49"/>
        <w:contextualSpacing/>
        <w:jc w:val="both"/>
        <w:rPr>
          <w:rFonts w:ascii="Palatino Linotype" w:eastAsia="Palatino Linotype" w:hAnsi="Palatino Linotype" w:cs="Palatino Linotype"/>
          <w:b/>
          <w:i/>
        </w:rPr>
      </w:pPr>
      <w:r w:rsidRPr="00575B7A">
        <w:rPr>
          <w:rFonts w:ascii="Palatino Linotype" w:eastAsia="Palatino Linotype" w:hAnsi="Palatino Linotype" w:cs="Palatino Linotype"/>
          <w:b/>
          <w:i/>
        </w:rPr>
        <w:lastRenderedPageBreak/>
        <w:t xml:space="preserve">“Artículo 92. </w:t>
      </w:r>
      <w:r w:rsidRPr="00575B7A">
        <w:rPr>
          <w:rFonts w:ascii="Palatino Linotype" w:eastAsia="Palatino Linotype" w:hAnsi="Palatino Linotype" w:cs="Palatino Linotype"/>
          <w:i/>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966B7A" w:rsidRPr="00575B7A" w:rsidRDefault="00966B7A" w:rsidP="00F42621">
      <w:pPr>
        <w:spacing w:line="276" w:lineRule="auto"/>
        <w:ind w:left="709" w:right="49"/>
        <w:contextualSpacing/>
        <w:jc w:val="both"/>
        <w:rPr>
          <w:rFonts w:ascii="Palatino Linotype" w:eastAsia="Palatino Linotype" w:hAnsi="Palatino Linotype" w:cs="Palatino Linotype"/>
          <w:b/>
          <w:i/>
        </w:rPr>
      </w:pPr>
      <w:r w:rsidRPr="00575B7A">
        <w:rPr>
          <w:rFonts w:ascii="Palatino Linotype" w:eastAsia="Palatino Linotype" w:hAnsi="Palatino Linotype" w:cs="Palatino Linotype"/>
          <w:b/>
          <w:i/>
        </w:rPr>
        <w:t xml:space="preserve"> (…) </w:t>
      </w:r>
    </w:p>
    <w:p w:rsidR="00966B7A" w:rsidRPr="00575B7A" w:rsidRDefault="00966B7A" w:rsidP="00F42621">
      <w:pPr>
        <w:spacing w:line="276" w:lineRule="auto"/>
        <w:ind w:left="709" w:right="49"/>
        <w:contextualSpacing/>
        <w:jc w:val="both"/>
        <w:rPr>
          <w:rFonts w:ascii="Palatino Linotype" w:eastAsia="Palatino Linotype" w:hAnsi="Palatino Linotype" w:cs="Palatino Linotype"/>
          <w:b/>
          <w:i/>
        </w:rPr>
      </w:pPr>
      <w:r w:rsidRPr="00575B7A">
        <w:rPr>
          <w:rFonts w:ascii="Palatino Linotype" w:eastAsia="Palatino Linotype" w:hAnsi="Palatino Linotype" w:cs="Palatino Linotype"/>
          <w:b/>
          <w:i/>
        </w:rPr>
        <w:t xml:space="preserve">XXXII. </w:t>
      </w:r>
      <w:r w:rsidRPr="00575B7A">
        <w:rPr>
          <w:rFonts w:ascii="Palatino Linotype" w:eastAsia="Palatino Linotype" w:hAnsi="Palatino Linotype" w:cs="Palatino Linotype"/>
          <w:i/>
        </w:rPr>
        <w:t>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rsidR="00966B7A" w:rsidRPr="00575B7A" w:rsidRDefault="00966B7A" w:rsidP="00F42621">
      <w:pPr>
        <w:spacing w:line="360" w:lineRule="auto"/>
        <w:ind w:right="49"/>
        <w:contextualSpacing/>
        <w:jc w:val="both"/>
        <w:rPr>
          <w:rFonts w:ascii="Palatino Linotype" w:eastAsia="Palatino Linotype" w:hAnsi="Palatino Linotype" w:cs="Palatino Linotype"/>
          <w:b/>
        </w:rPr>
      </w:pPr>
    </w:p>
    <w:p w:rsidR="00966B7A" w:rsidRPr="00575B7A" w:rsidRDefault="00966B7A" w:rsidP="00966B7A">
      <w:pPr>
        <w:numPr>
          <w:ilvl w:val="0"/>
          <w:numId w:val="1"/>
        </w:numPr>
        <w:spacing w:line="360" w:lineRule="auto"/>
        <w:ind w:right="-518"/>
        <w:contextualSpacing/>
        <w:jc w:val="both"/>
        <w:rPr>
          <w:rFonts w:ascii="Palatino Linotype" w:eastAsia="Palatino Linotype" w:hAnsi="Palatino Linotype" w:cs="Palatino Linotype"/>
          <w:b/>
        </w:rPr>
      </w:pPr>
      <w:r w:rsidRPr="00575B7A">
        <w:rPr>
          <w:rFonts w:ascii="Palatino Linotype" w:hAnsi="Palatino Linotype"/>
        </w:rPr>
        <w:t xml:space="preserve">De lo anterior, se desprende que los Sujetos Obligados están obligados a poner a disposición del público de manera constante y actualizada, de forma sencilla, precisa y entendible, en los respectivos medios electrónicos, la información referente a las licencias, el cual debe contener entre otros requisitos, lo solicitado por el </w:t>
      </w:r>
      <w:r w:rsidRPr="00575B7A">
        <w:rPr>
          <w:rFonts w:ascii="Palatino Linotype" w:hAnsi="Palatino Linotype"/>
          <w:b/>
        </w:rPr>
        <w:t>PARTICULAR.</w:t>
      </w:r>
    </w:p>
    <w:p w:rsidR="00966B7A" w:rsidRPr="00575B7A" w:rsidRDefault="00966B7A" w:rsidP="00966B7A">
      <w:pPr>
        <w:spacing w:line="360" w:lineRule="auto"/>
        <w:ind w:right="-518"/>
        <w:contextualSpacing/>
        <w:jc w:val="both"/>
        <w:rPr>
          <w:rFonts w:ascii="Palatino Linotype" w:eastAsia="Palatino Linotype" w:hAnsi="Palatino Linotype" w:cs="Palatino Linotype"/>
          <w:b/>
        </w:rPr>
      </w:pPr>
    </w:p>
    <w:p w:rsidR="00966B7A" w:rsidRPr="00575B7A" w:rsidRDefault="00966B7A" w:rsidP="00966B7A">
      <w:pPr>
        <w:numPr>
          <w:ilvl w:val="0"/>
          <w:numId w:val="1"/>
        </w:numPr>
        <w:spacing w:line="360" w:lineRule="auto"/>
        <w:ind w:right="-518"/>
        <w:contextualSpacing/>
        <w:jc w:val="both"/>
        <w:rPr>
          <w:rFonts w:ascii="Palatino Linotype" w:eastAsia="Palatino Linotype" w:hAnsi="Palatino Linotype" w:cs="Palatino Linotype"/>
          <w:b/>
        </w:rPr>
      </w:pPr>
      <w:r w:rsidRPr="00575B7A">
        <w:rPr>
          <w:rFonts w:ascii="Palatino Linotype" w:hAnsi="Palatino Linotype"/>
        </w:rPr>
        <w:t>En esa tesitura y respecto de la información que de manera enunciativa más no limitativa podría obrar en la información solicitada, se encuentra lo siguiente:</w:t>
      </w:r>
    </w:p>
    <w:p w:rsidR="00966B7A" w:rsidRPr="00575B7A" w:rsidRDefault="00966B7A" w:rsidP="00966B7A">
      <w:pPr>
        <w:spacing w:line="360" w:lineRule="auto"/>
        <w:ind w:right="-518"/>
        <w:contextualSpacing/>
        <w:jc w:val="both"/>
        <w:rPr>
          <w:rFonts w:ascii="Palatino Linotype" w:eastAsia="Palatino Linotype" w:hAnsi="Palatino Linotype" w:cs="Palatino Linotype"/>
          <w:b/>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 xml:space="preserve">Relativo al </w:t>
      </w:r>
      <w:r w:rsidRPr="00575B7A">
        <w:rPr>
          <w:rFonts w:ascii="Palatino Linotype" w:hAnsi="Palatino Linotype"/>
          <w:b/>
        </w:rPr>
        <w:t>Registro Federal de Contribuyentes</w:t>
      </w:r>
      <w:r w:rsidRPr="00575B7A">
        <w:rPr>
          <w:rFonts w:ascii="Palatino Linotype" w:hAnsi="Palatino Linotype"/>
        </w:rPr>
        <w:t xml:space="preserve"> </w:t>
      </w:r>
      <w:r w:rsidRPr="00575B7A">
        <w:rPr>
          <w:rFonts w:ascii="Palatino Linotype" w:hAnsi="Palatino Linotype"/>
          <w:b/>
        </w:rPr>
        <w:t>de las personas físicas</w:t>
      </w:r>
      <w:r w:rsidRPr="00575B7A">
        <w:rPr>
          <w:rFonts w:ascii="Palatino Linotype" w:hAnsi="Palatino Linotype"/>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w:t>
      </w:r>
      <w:r w:rsidRPr="00575B7A">
        <w:rPr>
          <w:rFonts w:ascii="Palatino Linotype" w:hAnsi="Palatino Linotype"/>
        </w:rPr>
        <w:lastRenderedPageBreak/>
        <w:t>obtención es necesario acreditar personalidad, fecha de nacimiento entre otros con documentos oficiales.</w:t>
      </w:r>
    </w:p>
    <w:p w:rsidR="00966B7A" w:rsidRPr="00575B7A" w:rsidRDefault="00966B7A" w:rsidP="00966B7A">
      <w:pPr>
        <w:ind w:right="-518"/>
        <w:rPr>
          <w:rFonts w:ascii="Palatino Linotype" w:hAnsi="Palatino Linotype"/>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cs="Arial"/>
        </w:rPr>
        <w:t>Al</w:t>
      </w:r>
      <w:r w:rsidRPr="00575B7A">
        <w:rPr>
          <w:rFonts w:ascii="Palatino Linotype" w:hAnsi="Palatino Linotype"/>
        </w:rPr>
        <w:t xml:space="preserve"> respecto, el Instituto Nacional Transparencia, Acceso a la Información y Protección de Datos Personales (INAI) a través del Criterio 19/17, señala literalmente lo siguiente:</w:t>
      </w:r>
    </w:p>
    <w:p w:rsidR="00966B7A" w:rsidRPr="00575B7A" w:rsidRDefault="00966B7A" w:rsidP="00F42621">
      <w:pPr>
        <w:ind w:left="567" w:right="191"/>
        <w:jc w:val="both"/>
        <w:rPr>
          <w:rFonts w:ascii="Palatino Linotype" w:hAnsi="Palatino Linotype"/>
          <w:i/>
        </w:rPr>
      </w:pPr>
      <w:r w:rsidRPr="00575B7A">
        <w:rPr>
          <w:rFonts w:ascii="Palatino Linotype" w:hAnsi="Palatino Linotype"/>
          <w:i/>
        </w:rPr>
        <w:t>“</w:t>
      </w:r>
      <w:r w:rsidRPr="00575B7A">
        <w:rPr>
          <w:rFonts w:ascii="Palatino Linotype" w:hAnsi="Palatino Linotype"/>
          <w:b/>
          <w:i/>
        </w:rPr>
        <w:t>Registro Federal de Contribuyentes (RFC) de personas físicas</w:t>
      </w:r>
      <w:r w:rsidRPr="00575B7A">
        <w:rPr>
          <w:rFonts w:ascii="Palatino Linotype" w:hAnsi="Palatino Linotype"/>
          <w:i/>
        </w:rPr>
        <w:t>. El RFC es una clave de carácter fiscal, única e irrepetible, que permite identificar al titular, su edad y fecha de nacimiento, por lo que es un dato personal de carácter confidencial.</w:t>
      </w:r>
    </w:p>
    <w:p w:rsidR="00966B7A" w:rsidRPr="00575B7A" w:rsidRDefault="00966B7A" w:rsidP="00F42621">
      <w:pPr>
        <w:ind w:right="191"/>
        <w:rPr>
          <w:rFonts w:ascii="Palatino Linotype" w:hAnsi="Palatino Linotype"/>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575B7A">
        <w:rPr>
          <w:rFonts w:ascii="Palatino Linotype" w:eastAsia="Arial Unicode MS" w:hAnsi="Palatino Linotype"/>
        </w:rPr>
        <w:t>4 fracción XI de la Ley de Protección de Datos Personales en Posesión de los Sujetos Obligados del Estado de México y Municipios</w:t>
      </w:r>
      <w:r w:rsidRPr="00575B7A">
        <w:rPr>
          <w:rFonts w:ascii="Palatino Linotype" w:hAnsi="Palatino Linotype"/>
        </w:rPr>
        <w:t>.</w:t>
      </w:r>
    </w:p>
    <w:p w:rsidR="00966B7A" w:rsidRPr="00575B7A" w:rsidRDefault="00966B7A" w:rsidP="00966B7A">
      <w:pPr>
        <w:spacing w:line="360" w:lineRule="auto"/>
        <w:ind w:right="-518"/>
        <w:jc w:val="both"/>
        <w:rPr>
          <w:rFonts w:ascii="Palatino Linotype" w:hAnsi="Palatino Linotype"/>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 xml:space="preserve">Por cuanto hace a la </w:t>
      </w:r>
      <w:r w:rsidRPr="00575B7A">
        <w:rPr>
          <w:rFonts w:ascii="Palatino Linotype" w:hAnsi="Palatino Linotype"/>
          <w:b/>
        </w:rPr>
        <w:t xml:space="preserve">Clave Única de Registro de Población, </w:t>
      </w:r>
      <w:r w:rsidRPr="00575B7A">
        <w:rPr>
          <w:rFonts w:ascii="Palatino Linotype" w:hAnsi="Palatino Linotype"/>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966B7A" w:rsidRPr="00575B7A" w:rsidRDefault="00966B7A" w:rsidP="00966B7A">
      <w:pPr>
        <w:ind w:right="-518"/>
        <w:jc w:val="both"/>
        <w:rPr>
          <w:rFonts w:ascii="Palatino Linotype" w:hAnsi="Palatino Linotype"/>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Lo anterior, tiene sustento en los artículos 86 y 91, de la Ley General de Población, la cual señala lo siguiente:</w:t>
      </w:r>
    </w:p>
    <w:p w:rsidR="00966B7A" w:rsidRPr="00575B7A" w:rsidRDefault="00966B7A" w:rsidP="00F42621">
      <w:pPr>
        <w:ind w:left="709" w:right="191"/>
        <w:jc w:val="both"/>
        <w:rPr>
          <w:rFonts w:ascii="Palatino Linotype" w:hAnsi="Palatino Linotype" w:cs="Arial"/>
          <w:i/>
        </w:rPr>
      </w:pPr>
      <w:r w:rsidRPr="00575B7A">
        <w:rPr>
          <w:rFonts w:ascii="Palatino Linotype" w:hAnsi="Palatino Linotype" w:cs="Arial,Bold"/>
          <w:b/>
          <w:bCs/>
          <w:i/>
        </w:rPr>
        <w:t xml:space="preserve">“Artículo 86. </w:t>
      </w:r>
      <w:r w:rsidRPr="00575B7A">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rsidR="00966B7A" w:rsidRPr="00575B7A" w:rsidRDefault="00966B7A" w:rsidP="00F42621">
      <w:pPr>
        <w:ind w:left="709" w:right="191"/>
        <w:jc w:val="both"/>
        <w:rPr>
          <w:rFonts w:ascii="Palatino Linotype" w:hAnsi="Palatino Linotype" w:cs="Arial"/>
          <w:i/>
        </w:rPr>
      </w:pPr>
    </w:p>
    <w:p w:rsidR="00966B7A" w:rsidRPr="00575B7A" w:rsidRDefault="00966B7A" w:rsidP="00F42621">
      <w:pPr>
        <w:ind w:left="709" w:right="191"/>
        <w:jc w:val="both"/>
        <w:rPr>
          <w:rFonts w:ascii="Palatino Linotype" w:hAnsi="Palatino Linotype" w:cs="Arial"/>
          <w:i/>
        </w:rPr>
      </w:pPr>
      <w:r w:rsidRPr="00575B7A">
        <w:rPr>
          <w:rFonts w:ascii="Palatino Linotype" w:hAnsi="Palatino Linotype" w:cs="Arial,Bold"/>
          <w:b/>
          <w:bCs/>
          <w:i/>
        </w:rPr>
        <w:lastRenderedPageBreak/>
        <w:t xml:space="preserve">Artículo 91. </w:t>
      </w:r>
      <w:r w:rsidRPr="00575B7A">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rsidR="00966B7A" w:rsidRPr="00575B7A" w:rsidRDefault="00966B7A" w:rsidP="00966B7A">
      <w:pPr>
        <w:ind w:right="-518"/>
        <w:jc w:val="both"/>
        <w:rPr>
          <w:rFonts w:ascii="Palatino Linotype" w:hAnsi="Palatino Linotype"/>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966B7A" w:rsidRPr="00575B7A" w:rsidRDefault="00966B7A" w:rsidP="00966B7A">
      <w:pPr>
        <w:ind w:right="-518"/>
        <w:jc w:val="both"/>
        <w:rPr>
          <w:rFonts w:ascii="Palatino Linotype" w:hAnsi="Palatino Linotype"/>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Al respecto, el Instituto Nacional de Transparencia, Acceso a la Información y Protección de Datos Personales (INAI) a través del Criterio 18/17, señala literalmente lo siguiente:</w:t>
      </w:r>
    </w:p>
    <w:p w:rsidR="00966B7A" w:rsidRPr="00575B7A" w:rsidRDefault="00966B7A" w:rsidP="00F42621">
      <w:pPr>
        <w:ind w:left="567" w:right="191"/>
        <w:jc w:val="both"/>
        <w:rPr>
          <w:rFonts w:ascii="Palatino Linotype" w:hAnsi="Palatino Linotype"/>
          <w:i/>
        </w:rPr>
      </w:pPr>
      <w:r w:rsidRPr="00575B7A">
        <w:rPr>
          <w:rFonts w:ascii="Palatino Linotype" w:hAnsi="Palatino Linotype"/>
          <w:b/>
          <w:i/>
        </w:rPr>
        <w:t>Clave Única de Registro de Población (CURP)</w:t>
      </w:r>
      <w:r w:rsidRPr="00575B7A">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966B7A" w:rsidRPr="00575B7A" w:rsidRDefault="00966B7A" w:rsidP="00966B7A">
      <w:pPr>
        <w:ind w:left="567" w:right="-518"/>
        <w:jc w:val="both"/>
        <w:rPr>
          <w:rFonts w:ascii="Palatino Linotype" w:hAnsi="Palatino Linotype" w:cs="Arial"/>
          <w:bCs/>
          <w:i/>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 xml:space="preserve">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w:t>
      </w:r>
      <w:r w:rsidRPr="00575B7A">
        <w:rPr>
          <w:rFonts w:ascii="Palatino Linotype" w:hAnsi="Palatino Linotype"/>
        </w:rPr>
        <w:lastRenderedPageBreak/>
        <w:t>y Acceso a la Información Pública del Estado de México y Municipios y  4 fracción XI de la Ley de Protección de Datos Personales en Posesión de Sujetos Obligados del Estado de México y Municipios.</w:t>
      </w:r>
    </w:p>
    <w:p w:rsidR="00966B7A" w:rsidRPr="00575B7A" w:rsidRDefault="00966B7A" w:rsidP="00966B7A">
      <w:pPr>
        <w:pBdr>
          <w:top w:val="nil"/>
          <w:left w:val="nil"/>
          <w:bottom w:val="nil"/>
          <w:right w:val="nil"/>
          <w:between w:val="nil"/>
        </w:pBdr>
        <w:spacing w:line="360" w:lineRule="auto"/>
        <w:ind w:right="-518"/>
        <w:jc w:val="both"/>
        <w:rPr>
          <w:rFonts w:ascii="Palatino Linotype" w:hAnsi="Palatino Linotype"/>
        </w:rPr>
      </w:pPr>
    </w:p>
    <w:p w:rsidR="00966B7A" w:rsidRPr="00575B7A" w:rsidRDefault="00966B7A" w:rsidP="00966B7A">
      <w:pPr>
        <w:pStyle w:val="Prrafodelista"/>
        <w:numPr>
          <w:ilvl w:val="0"/>
          <w:numId w:val="7"/>
        </w:numPr>
        <w:spacing w:line="360" w:lineRule="auto"/>
        <w:ind w:right="-518"/>
        <w:jc w:val="both"/>
        <w:rPr>
          <w:rFonts w:ascii="Palatino Linotype" w:hAnsi="Palatino Linotype"/>
          <w:b/>
        </w:rPr>
      </w:pPr>
      <w:r w:rsidRPr="00575B7A">
        <w:rPr>
          <w:rFonts w:ascii="Palatino Linotype" w:hAnsi="Palatino Linotype"/>
          <w:b/>
        </w:rPr>
        <w:t xml:space="preserve">Nombres de personas que no son servidores públicos </w:t>
      </w:r>
    </w:p>
    <w:p w:rsidR="00966B7A" w:rsidRPr="00575B7A" w:rsidRDefault="00966B7A" w:rsidP="00966B7A">
      <w:pPr>
        <w:numPr>
          <w:ilvl w:val="0"/>
          <w:numId w:val="1"/>
        </w:numPr>
        <w:spacing w:line="360" w:lineRule="auto"/>
        <w:ind w:right="-518"/>
        <w:contextualSpacing/>
        <w:jc w:val="both"/>
        <w:rPr>
          <w:rFonts w:ascii="Palatino Linotype" w:eastAsia="Palatino Linotype" w:hAnsi="Palatino Linotype" w:cs="Palatino Linotype"/>
          <w:b/>
        </w:rPr>
      </w:pPr>
      <w:r w:rsidRPr="00575B7A">
        <w:rPr>
          <w:rFonts w:ascii="Palatino Linotype" w:hAnsi="Palatino Linotype"/>
        </w:rPr>
        <w:t xml:space="preserve">Al respecto, se considera que el </w:t>
      </w:r>
      <w:r w:rsidRPr="00575B7A">
        <w:rPr>
          <w:rFonts w:ascii="Palatino Linotype" w:eastAsia="Palatino Linotype" w:hAnsi="Palatino Linotype" w:cs="Palatino Linotype"/>
          <w:color w:val="000000"/>
        </w:rPr>
        <w:t>nombre</w:t>
      </w:r>
      <w:r w:rsidRPr="00575B7A">
        <w:rPr>
          <w:rFonts w:ascii="Palatino Linotype" w:hAnsi="Palatino Linotype"/>
        </w:rPr>
        <w:t xml:space="preserv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 </w:t>
      </w:r>
    </w:p>
    <w:p w:rsidR="00966B7A" w:rsidRPr="00575B7A" w:rsidRDefault="00966B7A" w:rsidP="00966B7A">
      <w:pPr>
        <w:pStyle w:val="Prrafodelista"/>
        <w:spacing w:line="360" w:lineRule="auto"/>
        <w:ind w:left="0" w:right="-518"/>
        <w:jc w:val="both"/>
        <w:rPr>
          <w:rFonts w:ascii="Palatino Linotype" w:eastAsia="Palatino Linotype" w:hAnsi="Palatino Linotype" w:cs="Palatino Linotype"/>
          <w:b/>
        </w:rPr>
      </w:pPr>
    </w:p>
    <w:p w:rsidR="00966B7A" w:rsidRPr="00575B7A" w:rsidRDefault="00966B7A" w:rsidP="00966B7A">
      <w:pPr>
        <w:numPr>
          <w:ilvl w:val="0"/>
          <w:numId w:val="1"/>
        </w:numPr>
        <w:spacing w:line="360" w:lineRule="auto"/>
        <w:ind w:right="-518"/>
        <w:contextualSpacing/>
        <w:jc w:val="both"/>
        <w:rPr>
          <w:rFonts w:ascii="Palatino Linotype" w:eastAsia="Palatino Linotype" w:hAnsi="Palatino Linotype" w:cs="Palatino Linotype"/>
          <w:b/>
        </w:rPr>
      </w:pPr>
      <w:r w:rsidRPr="00575B7A">
        <w:rPr>
          <w:rFonts w:ascii="Palatino Linotype" w:hAnsi="Palatino Linotype"/>
        </w:rPr>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rsidR="00966B7A" w:rsidRPr="00575B7A" w:rsidRDefault="00966B7A" w:rsidP="00F42621">
      <w:pPr>
        <w:pStyle w:val="Prrafodelista"/>
        <w:spacing w:line="360" w:lineRule="auto"/>
        <w:ind w:left="426" w:right="191"/>
        <w:jc w:val="both"/>
        <w:rPr>
          <w:rFonts w:ascii="Palatino Linotype" w:hAnsi="Palatino Linotype"/>
          <w:i/>
          <w:lang w:val="es-419"/>
        </w:rPr>
      </w:pPr>
      <w:r w:rsidRPr="00575B7A">
        <w:rPr>
          <w:rFonts w:ascii="Palatino Linotype" w:hAnsi="Palatino Linotype"/>
          <w:i/>
        </w:rPr>
        <w:t xml:space="preserve"> “</w:t>
      </w:r>
      <w:r w:rsidRPr="00575B7A">
        <w:rPr>
          <w:rFonts w:ascii="Palatino Linotype" w:hAnsi="Palatino Linotype"/>
          <w:b/>
          <w:i/>
        </w:rPr>
        <w:t>Nombre del titular de una licencia que no involucre el aprovechamiento de bienes, servicios y/o recursos públicos, constituye un dato personal susceptible de clasificar como confidencial</w:t>
      </w:r>
      <w:r w:rsidRPr="00575B7A">
        <w:rPr>
          <w:rFonts w:ascii="Palatino Linotype" w:hAnsi="Palatino Linotype"/>
          <w:i/>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w:t>
      </w:r>
      <w:r w:rsidRPr="00575B7A">
        <w:rPr>
          <w:rFonts w:ascii="Palatino Linotype" w:hAnsi="Palatino Linotype"/>
          <w:i/>
          <w:lang w:val="es-419"/>
        </w:rPr>
        <w:t xml:space="preserve">establece que toda información en posesión de los sujetos obligados es pública y sólo podrá limitarse de manera justificada por razones de interés público, seguridad nacional, y para proteger la vida privada y datos personales en los términos precisados por las Leyes </w:t>
      </w:r>
      <w:r w:rsidRPr="00575B7A">
        <w:rPr>
          <w:rFonts w:ascii="Palatino Linotype" w:hAnsi="Palatino Linotype"/>
          <w:i/>
          <w:lang w:val="es-419"/>
        </w:rPr>
        <w:lastRenderedPageBreak/>
        <w:t>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rsidR="00966B7A" w:rsidRPr="00575B7A" w:rsidRDefault="00966B7A" w:rsidP="00966B7A">
      <w:pPr>
        <w:spacing w:line="360" w:lineRule="auto"/>
        <w:ind w:right="-518"/>
        <w:jc w:val="both"/>
        <w:rPr>
          <w:rFonts w:ascii="Palatino Linotype" w:eastAsia="Palatino Linotype" w:hAnsi="Palatino Linotype" w:cs="Palatino Linotype"/>
          <w:b/>
        </w:rPr>
      </w:pPr>
    </w:p>
    <w:p w:rsidR="00966B7A" w:rsidRPr="00575B7A" w:rsidRDefault="00966B7A" w:rsidP="00966B7A">
      <w:pPr>
        <w:numPr>
          <w:ilvl w:val="0"/>
          <w:numId w:val="1"/>
        </w:numPr>
        <w:spacing w:line="360" w:lineRule="auto"/>
        <w:ind w:right="-518"/>
        <w:contextualSpacing/>
        <w:jc w:val="both"/>
        <w:rPr>
          <w:rFonts w:ascii="Palatino Linotype" w:hAnsi="Palatino Linotype"/>
          <w:lang w:val="es-419"/>
        </w:rPr>
      </w:pPr>
      <w:r w:rsidRPr="00575B7A">
        <w:rPr>
          <w:rFonts w:ascii="Palatino Linotype" w:eastAsia="Palatino Linotype" w:hAnsi="Palatino Linotype" w:cs="Palatino Linotype"/>
        </w:rPr>
        <w:t xml:space="preserve">Sin embargo, en el caso que nos ocupa, el nombre de personas, ya sea físicas o morales, se considera de carácter público, pues es información que abona a la </w:t>
      </w:r>
      <w:r w:rsidRPr="00575B7A">
        <w:rPr>
          <w:rFonts w:ascii="Palatino Linotype" w:hAnsi="Palatino Linotype"/>
        </w:rPr>
        <w:t>transparencia</w:t>
      </w:r>
      <w:r w:rsidRPr="00575B7A">
        <w:rPr>
          <w:rFonts w:ascii="Palatino Linotype" w:eastAsia="Palatino Linotype" w:hAnsi="Palatino Linotype" w:cs="Palatino Linotype"/>
        </w:rPr>
        <w:t xml:space="preserve"> y rendición de cuentas, sin que se advierta que la divulgación de la misma represente una transgresión y/o violación, pues fueron emitidos como parte de un acto administrativo en ejercicio de las funciones del </w:t>
      </w:r>
      <w:r w:rsidRPr="00575B7A">
        <w:rPr>
          <w:rFonts w:ascii="Palatino Linotype" w:eastAsia="Palatino Linotype" w:hAnsi="Palatino Linotype" w:cs="Palatino Linotype"/>
          <w:b/>
        </w:rPr>
        <w:t>SUJETO OBLIGADO</w:t>
      </w:r>
      <w:r w:rsidRPr="00575B7A">
        <w:rPr>
          <w:rFonts w:ascii="Palatino Linotype" w:eastAsia="Palatino Linotype" w:hAnsi="Palatino Linotype" w:cs="Palatino Linotype"/>
        </w:rPr>
        <w:t>, por lo que se considera que son datos que cobran relevancia al permitir tener certeza de las personas que el acto intervienen.</w:t>
      </w:r>
    </w:p>
    <w:p w:rsidR="00966B7A" w:rsidRPr="00575B7A" w:rsidRDefault="00966B7A" w:rsidP="00966B7A">
      <w:pPr>
        <w:spacing w:line="360" w:lineRule="auto"/>
        <w:ind w:right="-518"/>
        <w:contextualSpacing/>
        <w:jc w:val="both"/>
        <w:rPr>
          <w:rFonts w:ascii="Palatino Linotype" w:hAnsi="Palatino Linotype"/>
          <w:lang w:val="es-419"/>
        </w:rPr>
      </w:pPr>
    </w:p>
    <w:p w:rsidR="00966B7A" w:rsidRPr="00575B7A" w:rsidRDefault="00966B7A" w:rsidP="00966B7A">
      <w:pPr>
        <w:numPr>
          <w:ilvl w:val="0"/>
          <w:numId w:val="1"/>
        </w:numPr>
        <w:spacing w:line="360" w:lineRule="auto"/>
        <w:ind w:right="-518"/>
        <w:contextualSpacing/>
        <w:jc w:val="both"/>
        <w:rPr>
          <w:rFonts w:ascii="Palatino Linotype" w:eastAsia="Palatino Linotype" w:hAnsi="Palatino Linotype" w:cs="Palatino Linotype"/>
          <w:b/>
        </w:rPr>
      </w:pPr>
      <w:r w:rsidRPr="00575B7A">
        <w:rPr>
          <w:rFonts w:ascii="Palatino Linotype" w:hAnsi="Palatino Linotype"/>
        </w:rPr>
        <w:lastRenderedPageBreak/>
        <w:t>Con base en lo anterior, procede su eliminación de las versiones públicas, pues actualiza el supuesto previsto en el artículo 143 fracción I de la Ley de Transparencia y Acceso a la Información Pública del Estado de México y Municipios.</w:t>
      </w:r>
    </w:p>
    <w:p w:rsidR="00966B7A" w:rsidRPr="00575B7A" w:rsidRDefault="00966B7A" w:rsidP="00F42621">
      <w:pPr>
        <w:pStyle w:val="Prrafodelista"/>
        <w:spacing w:line="276" w:lineRule="auto"/>
        <w:ind w:left="567" w:right="333"/>
        <w:jc w:val="both"/>
        <w:rPr>
          <w:rFonts w:ascii="Palatino Linotype" w:eastAsia="Palatino Linotype" w:hAnsi="Palatino Linotype" w:cs="Palatino Linotype"/>
          <w:i/>
          <w:color w:val="000000"/>
        </w:rPr>
      </w:pPr>
      <w:r w:rsidRPr="00575B7A">
        <w:rPr>
          <w:rFonts w:ascii="Palatino Linotype" w:eastAsia="Palatino Linotype" w:hAnsi="Palatino Linotype" w:cs="Palatino Linotype"/>
          <w:b/>
          <w:i/>
          <w:color w:val="000000"/>
        </w:rPr>
        <w:t xml:space="preserve">Firma del titular: </w:t>
      </w:r>
      <w:r w:rsidRPr="00575B7A">
        <w:rPr>
          <w:rFonts w:ascii="Palatino Linotype" w:eastAsia="Palatino Linotype" w:hAnsi="Palatino Linotype" w:cs="Palatino Linotype"/>
          <w:i/>
          <w:color w:val="000000"/>
        </w:rPr>
        <w:t xml:space="preserve">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rsidR="00966B7A" w:rsidRPr="00575B7A" w:rsidRDefault="00966B7A" w:rsidP="00F42621">
      <w:pPr>
        <w:pStyle w:val="Prrafodelista"/>
        <w:spacing w:line="276" w:lineRule="auto"/>
        <w:ind w:left="567" w:right="333"/>
        <w:jc w:val="both"/>
        <w:rPr>
          <w:rFonts w:ascii="Palatino Linotype" w:eastAsia="Palatino Linotype" w:hAnsi="Palatino Linotype" w:cs="Palatino Linotype"/>
          <w:i/>
          <w:color w:val="000000"/>
        </w:rPr>
      </w:pPr>
    </w:p>
    <w:p w:rsidR="00966B7A" w:rsidRPr="00575B7A" w:rsidRDefault="00966B7A" w:rsidP="00F42621">
      <w:pPr>
        <w:pStyle w:val="Prrafodelista"/>
        <w:spacing w:line="276" w:lineRule="auto"/>
        <w:ind w:left="567" w:right="333"/>
        <w:jc w:val="both"/>
        <w:rPr>
          <w:rFonts w:ascii="Palatino Linotype" w:eastAsia="Palatino Linotype" w:hAnsi="Palatino Linotype" w:cs="Palatino Linotype"/>
          <w:i/>
          <w:color w:val="000000"/>
        </w:rPr>
      </w:pPr>
      <w:r w:rsidRPr="00575B7A">
        <w:rPr>
          <w:rFonts w:ascii="Palatino Linotype" w:eastAsia="Palatino Linotype" w:hAnsi="Palatino Linotype" w:cs="Palatino Linotype"/>
          <w:i/>
          <w:color w:val="000000"/>
        </w:rPr>
        <w:t xml:space="preserve">En contraste, tratándose de </w:t>
      </w:r>
      <w:r w:rsidRPr="00575B7A">
        <w:rPr>
          <w:rFonts w:ascii="Palatino Linotype" w:eastAsia="Palatino Linotype" w:hAnsi="Palatino Linotype" w:cs="Palatino Linotype"/>
          <w:b/>
          <w:i/>
          <w:color w:val="000000"/>
          <w:u w:val="single"/>
        </w:rPr>
        <w:t>servidores públicos</w:t>
      </w:r>
      <w:r w:rsidRPr="00575B7A">
        <w:rPr>
          <w:rFonts w:ascii="Palatino Linotype" w:eastAsia="Palatino Linotype" w:hAnsi="Palatino Linotype" w:cs="Palatino Linotype"/>
          <w:i/>
          <w:color w:val="000000"/>
        </w:rPr>
        <w:t xml:space="preserve">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rsidR="00966B7A" w:rsidRPr="00575B7A" w:rsidRDefault="00966B7A" w:rsidP="00966B7A">
      <w:pPr>
        <w:pBdr>
          <w:top w:val="nil"/>
          <w:left w:val="nil"/>
          <w:bottom w:val="nil"/>
          <w:right w:val="nil"/>
          <w:between w:val="nil"/>
        </w:pBdr>
        <w:spacing w:line="360" w:lineRule="auto"/>
        <w:ind w:right="-518"/>
        <w:jc w:val="both"/>
        <w:rPr>
          <w:rFonts w:ascii="Palatino Linotype" w:hAnsi="Palatino Linotype" w:cs="Arial"/>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eastAsia="Palatino Linotype" w:hAnsi="Palatino Linotype" w:cs="Palatino Linotype"/>
          <w:color w:val="000000"/>
        </w:rPr>
        <w:t xml:space="preserve">Ahora bien, </w:t>
      </w:r>
      <w:r w:rsidRPr="00575B7A">
        <w:rPr>
          <w:rFonts w:ascii="Palatino Linotype" w:hAnsi="Palatino Linotype"/>
        </w:rPr>
        <w:t xml:space="preserve">Ahora bien, respecto de la </w:t>
      </w:r>
      <w:r w:rsidRPr="00575B7A">
        <w:rPr>
          <w:rFonts w:ascii="Palatino Linotype" w:hAnsi="Palatino Linotype"/>
          <w:b/>
        </w:rPr>
        <w:t>clave catastral</w:t>
      </w:r>
      <w:r w:rsidRPr="00575B7A">
        <w:rPr>
          <w:rFonts w:ascii="Palatino Linotype" w:hAnsi="Palatino Linotype"/>
        </w:rPr>
        <w:t>, es un criterio mayoritario de este Pleno que ese elemento debe ser testado tomando en cuenta que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el cual está integrado de dieciséis caracteres: los primeros tres identifican el código del municipio, los dos siguientes a la zona catastral, los subsecuentes tres a la manzana y las últimas dos posiciones identifican el número de lote o predio; en ese sentido, se advierte que el dato en comento, hace referencia a un predio determinado, en el presente caso, a un baldío destinado a casa habitación.</w:t>
      </w:r>
    </w:p>
    <w:p w:rsidR="00966B7A" w:rsidRPr="00575B7A" w:rsidRDefault="00966B7A" w:rsidP="00966B7A">
      <w:pPr>
        <w:pBdr>
          <w:top w:val="nil"/>
          <w:left w:val="nil"/>
          <w:bottom w:val="nil"/>
          <w:right w:val="nil"/>
          <w:between w:val="nil"/>
        </w:pBdr>
        <w:spacing w:line="360" w:lineRule="auto"/>
        <w:ind w:right="-518"/>
        <w:jc w:val="both"/>
        <w:rPr>
          <w:rFonts w:ascii="Palatino Linotype" w:hAnsi="Palatino Linotype"/>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eastAsia="Palatino Linotype" w:hAnsi="Palatino Linotype" w:cs="Palatino Linotype"/>
          <w:color w:val="000000"/>
        </w:rPr>
        <w:lastRenderedPageBreak/>
        <w:t>El</w:t>
      </w:r>
      <w:r w:rsidRPr="00575B7A">
        <w:rPr>
          <w:rFonts w:ascii="Palatino Linotype" w:hAnsi="Palatino Linotype"/>
        </w:rPr>
        <w:t xml:space="preserve"> “Diccionario de Datos catastrales Escala 1:1000” el Instituto Nacional de Estadística y Geografía (INEGI), contempla en su Glosario la definición de la Clave Catastral, la cual, apunta lo siguiente:</w:t>
      </w:r>
    </w:p>
    <w:p w:rsidR="00966B7A" w:rsidRPr="00575B7A" w:rsidRDefault="00966B7A" w:rsidP="00F42621">
      <w:pPr>
        <w:ind w:left="709" w:right="333"/>
        <w:jc w:val="both"/>
        <w:rPr>
          <w:rFonts w:ascii="Palatino Linotype" w:hAnsi="Palatino Linotype"/>
          <w:i/>
          <w:iCs/>
        </w:rPr>
      </w:pPr>
      <w:r w:rsidRPr="00575B7A">
        <w:rPr>
          <w:rFonts w:ascii="Palatino Linotype" w:hAnsi="Palatino Linotype"/>
          <w:b/>
          <w:bCs/>
          <w:i/>
          <w:iCs/>
        </w:rPr>
        <w:t>Clave Catastral:</w:t>
      </w:r>
      <w:r w:rsidRPr="00575B7A">
        <w:rPr>
          <w:rFonts w:ascii="Palatino Linotype" w:hAnsi="Palatino Linotype"/>
          <w:i/>
          <w:iCs/>
        </w:rPr>
        <w:t xml:space="preserve"> El código que identifica al predio de forma única para su localización geográfica, mismo que es asignado a cada uno de ellos en el momento de su inscripción en el padrón catastral por las Unidades del Estado con atribuciones catastrales.</w:t>
      </w:r>
    </w:p>
    <w:p w:rsidR="00966B7A" w:rsidRPr="00575B7A" w:rsidRDefault="00966B7A" w:rsidP="00F42621">
      <w:pPr>
        <w:ind w:right="333"/>
        <w:jc w:val="both"/>
        <w:rPr>
          <w:rFonts w:ascii="Palatino Linotype" w:hAnsi="Palatino Linotype"/>
          <w:i/>
          <w:iCs/>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eastAsia="Palatino Linotype" w:hAnsi="Palatino Linotype" w:cs="Palatino Linotype"/>
          <w:color w:val="000000"/>
        </w:rPr>
        <w:t>Asimismo</w:t>
      </w:r>
      <w:r w:rsidRPr="00575B7A">
        <w:rPr>
          <w:rFonts w:ascii="Palatino Linotype" w:hAnsi="Palatino Linotype"/>
        </w:rPr>
        <w:t xml:space="preserve">, dicho diccionario hace referencia a dos tipos de Claves Catastrales, siendo éstas la Estándar y la Original, que se definen como se observa a continuación: </w:t>
      </w:r>
    </w:p>
    <w:p w:rsidR="00966B7A" w:rsidRPr="00575B7A" w:rsidRDefault="00966B7A" w:rsidP="00F42621">
      <w:pPr>
        <w:ind w:left="709" w:right="333"/>
        <w:jc w:val="both"/>
        <w:rPr>
          <w:rFonts w:ascii="Palatino Linotype" w:hAnsi="Palatino Linotype"/>
          <w:i/>
          <w:iCs/>
        </w:rPr>
      </w:pPr>
      <w:r w:rsidRPr="00575B7A">
        <w:rPr>
          <w:rFonts w:ascii="Palatino Linotype" w:hAnsi="Palatino Linotype"/>
          <w:b/>
          <w:bCs/>
          <w:i/>
          <w:iCs/>
        </w:rPr>
        <w:t>CLAVE CATASTRAL ESTÁNDAR:</w:t>
      </w:r>
      <w:r w:rsidRPr="00575B7A">
        <w:rPr>
          <w:rFonts w:ascii="Palatino Linotype" w:hAnsi="Palatino Linotype"/>
          <w:i/>
          <w:iCs/>
        </w:rPr>
        <w:t xml:space="preserve"> Código de 31 caracteres conformado por elementos administrativos y que identifica al objeto espacial en forma única para su localización, compuesto por: Estado (2) + Región Catastral (3) + Municipio (3) + Zona Catastral (2) + Localidad (4) + Sector Catastral (3) + Manzana (3) + Predio (5) + Condominio: edificio (2) y unidad (4).</w:t>
      </w:r>
    </w:p>
    <w:p w:rsidR="00966B7A" w:rsidRPr="00575B7A" w:rsidRDefault="00966B7A" w:rsidP="00F42621">
      <w:pPr>
        <w:ind w:left="709" w:right="333"/>
        <w:jc w:val="both"/>
        <w:rPr>
          <w:rFonts w:ascii="Palatino Linotype" w:hAnsi="Palatino Linotype"/>
          <w:i/>
          <w:iCs/>
        </w:rPr>
      </w:pPr>
    </w:p>
    <w:p w:rsidR="00966B7A" w:rsidRPr="00575B7A" w:rsidRDefault="00966B7A" w:rsidP="00F42621">
      <w:pPr>
        <w:ind w:left="709" w:right="333"/>
        <w:jc w:val="both"/>
        <w:rPr>
          <w:rFonts w:ascii="Palatino Linotype" w:hAnsi="Palatino Linotype"/>
          <w:i/>
          <w:iCs/>
        </w:rPr>
      </w:pPr>
      <w:r w:rsidRPr="00575B7A">
        <w:rPr>
          <w:rFonts w:ascii="Palatino Linotype" w:hAnsi="Palatino Linotype"/>
          <w:b/>
          <w:bCs/>
          <w:i/>
          <w:iCs/>
        </w:rPr>
        <w:t>CLAVE CATASTRAL ORIGINAL:</w:t>
      </w:r>
      <w:r w:rsidRPr="00575B7A">
        <w:rPr>
          <w:rFonts w:ascii="Palatino Linotype" w:hAnsi="Palatino Linotype"/>
          <w:i/>
          <w:iCs/>
        </w:rPr>
        <w:t xml:space="preserve"> Código que identifica al objeto espacial, el cual es asignado por el Catastro Estatal, Municipal o por el Registro Agrario Nacional.</w:t>
      </w:r>
    </w:p>
    <w:p w:rsidR="00966B7A" w:rsidRPr="00575B7A" w:rsidRDefault="00966B7A" w:rsidP="00966B7A">
      <w:pPr>
        <w:ind w:left="709" w:right="-518"/>
        <w:jc w:val="both"/>
        <w:rPr>
          <w:rFonts w:ascii="Palatino Linotype" w:hAnsi="Palatino Linotype"/>
          <w:i/>
          <w:iCs/>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En ese orden de ideas, la Ley de Transparencia y Acceso a la Información Pública del Estado de México y Municipios, en el ya citada fracción IX del artículo 3, establece que se debe entender como datos personales a la información concerniente a una persona, identificada o identificable según lo dispuesto por la también referida Ley de Protección de Datos Personales del Estado de México. Tiene apoyo a lo expresado, lo contemplado en la siguiente tesis jurisprudencial.</w:t>
      </w:r>
    </w:p>
    <w:p w:rsidR="00966B7A" w:rsidRPr="00575B7A" w:rsidRDefault="00966B7A" w:rsidP="00F42621">
      <w:pPr>
        <w:ind w:left="709" w:right="474"/>
        <w:jc w:val="both"/>
        <w:rPr>
          <w:rFonts w:ascii="Palatino Linotype" w:hAnsi="Palatino Linotype"/>
          <w:b/>
          <w:bCs/>
          <w:i/>
          <w:iCs/>
        </w:rPr>
      </w:pPr>
      <w:r w:rsidRPr="00575B7A">
        <w:rPr>
          <w:rFonts w:ascii="Palatino Linotype" w:hAnsi="Palatino Linotype"/>
          <w:b/>
          <w:bCs/>
          <w:i/>
          <w:iCs/>
        </w:rPr>
        <w:t xml:space="preserve">DERECHO A LA VIDA PRIVADA. ALCANCE DE SU PROTECCIÓN POR EL ESTADO. </w:t>
      </w:r>
    </w:p>
    <w:p w:rsidR="00966B7A" w:rsidRPr="00575B7A" w:rsidRDefault="00966B7A" w:rsidP="00F42621">
      <w:pPr>
        <w:ind w:left="709" w:right="474"/>
        <w:jc w:val="both"/>
        <w:rPr>
          <w:rFonts w:ascii="Palatino Linotype" w:hAnsi="Palatino Linotype"/>
          <w:i/>
          <w:iCs/>
        </w:rPr>
      </w:pPr>
      <w:r w:rsidRPr="00575B7A">
        <w:rPr>
          <w:rFonts w:ascii="Palatino Linotype" w:hAnsi="Palatino Linotype"/>
          <w:i/>
          <w:iCs/>
        </w:rPr>
        <w:t xml:space="preserve">Al igual que otros derechos fundamentales, el derecho a la vida privada no es absoluto, sino que puede restringirse en la medida en que las injerencias en éste no sean abusivas o arbitrarias. Así, la Corte Interamericana de Derechos Humanos ha sostenido que el ámbito de la privacidad se caracteriza por quedar exento e inmune a las invasiones o agresiones abusivas o arbitrarias de terceros o de la autoridad pública, y prohíbe ese </w:t>
      </w:r>
      <w:r w:rsidRPr="00575B7A">
        <w:rPr>
          <w:rFonts w:ascii="Palatino Linotype" w:hAnsi="Palatino Linotype"/>
          <w:i/>
          <w:iCs/>
        </w:rPr>
        <w:lastRenderedPageBreak/>
        <w:t>tipo de injerencias en la vida privada de las personas, enunciando diversos ámbitos de ésta,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rsidR="00966B7A" w:rsidRPr="00575B7A" w:rsidRDefault="00966B7A" w:rsidP="00F42621">
      <w:pPr>
        <w:ind w:left="709" w:right="474"/>
        <w:jc w:val="both"/>
        <w:rPr>
          <w:rFonts w:ascii="Palatino Linotype" w:hAnsi="Palatino Linotype"/>
          <w:i/>
          <w:iCs/>
        </w:rPr>
      </w:pPr>
    </w:p>
    <w:p w:rsidR="00966B7A" w:rsidRPr="00575B7A" w:rsidRDefault="00966B7A" w:rsidP="00F42621">
      <w:pPr>
        <w:ind w:left="709" w:right="474"/>
        <w:jc w:val="both"/>
        <w:rPr>
          <w:rFonts w:ascii="Palatino Linotype" w:hAnsi="Palatino Linotype"/>
          <w:b/>
          <w:bCs/>
          <w:i/>
          <w:iCs/>
        </w:rPr>
      </w:pPr>
      <w:r w:rsidRPr="00575B7A">
        <w:rPr>
          <w:rFonts w:ascii="Palatino Linotype" w:hAnsi="Palatino Linotype"/>
          <w:b/>
          <w:bCs/>
          <w:i/>
          <w:iCs/>
        </w:rPr>
        <w:t>INFORMACIÓN CONFIDENCIAL. LÍMITE AL DERECHO DE ACCESO A LA INFORMACIÓN (LEY FEDERAL DE TRANSPARENCIA Y ACCESO A LA INFORMACIÓN PÚBLICA GUBERNAMENTAL).</w:t>
      </w:r>
    </w:p>
    <w:p w:rsidR="00966B7A" w:rsidRPr="00575B7A" w:rsidRDefault="00966B7A" w:rsidP="00F42621">
      <w:pPr>
        <w:ind w:left="709" w:right="474"/>
        <w:jc w:val="both"/>
        <w:rPr>
          <w:rFonts w:ascii="Palatino Linotype" w:hAnsi="Palatino Linotype"/>
          <w:i/>
          <w:iCs/>
        </w:rPr>
      </w:pPr>
      <w:r w:rsidRPr="00575B7A">
        <w:rPr>
          <w:rFonts w:ascii="Palatino Linotype" w:hAnsi="Palatino Linotype"/>
          <w:i/>
          <w:iCs/>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w:t>
      </w:r>
      <w:r w:rsidRPr="00575B7A">
        <w:rPr>
          <w:rFonts w:ascii="Palatino Linotype" w:hAnsi="Palatino Linotype"/>
          <w:i/>
          <w:iCs/>
        </w:rPr>
        <w:lastRenderedPageBreak/>
        <w:t>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como en la fracción V, del apartado C, del artículo 20 constitucional, que protege la identidad y datos personales de las víctimas y ofendidos que sean parte en procedimientos penales. 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en el artículo 21 de la ley, la restricción de acceso a la información confidencial no es absoluta, pues puede permitirse su difusión, distribución o comercialización si se obtiene el consentimiento expreso de la persona a que haga referencia la información.</w:t>
      </w:r>
    </w:p>
    <w:p w:rsidR="00966B7A" w:rsidRPr="00575B7A" w:rsidRDefault="00966B7A" w:rsidP="00966B7A">
      <w:pPr>
        <w:ind w:right="-518"/>
        <w:jc w:val="both"/>
        <w:rPr>
          <w:rFonts w:ascii="Palatino Linotype" w:hAnsi="Palatino Linotype"/>
          <w:i/>
          <w:iCs/>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De los conceptos antepuestos, se llega a la conclusión que la clave catastral es una serie de elementos que hacen identificable un inmueble para su localización geográfica y posterior inscripción al padrón catastral de cada Entidad Federativa, existiendo la posibilidad, incluso, de revelar información inherente al patrimonio del propietario de dicho predio o inmueble, lo que no otorga ni certeza jurídica ni abona a la transparencia, ya que no se trata de actos de autoridad que ayuden a hacer público el quehacer de los servidores, por lo cual se considera que no es procedente la entrega de dicho dato.</w:t>
      </w:r>
    </w:p>
    <w:p w:rsidR="00966B7A" w:rsidRPr="00575B7A" w:rsidRDefault="00966B7A" w:rsidP="00966B7A">
      <w:pPr>
        <w:pBdr>
          <w:top w:val="nil"/>
          <w:left w:val="nil"/>
          <w:bottom w:val="nil"/>
          <w:right w:val="nil"/>
          <w:between w:val="nil"/>
        </w:pBdr>
        <w:spacing w:line="360" w:lineRule="auto"/>
        <w:ind w:right="-518"/>
        <w:jc w:val="both"/>
        <w:rPr>
          <w:rFonts w:ascii="Palatino Linotype" w:hAnsi="Palatino Linotype"/>
        </w:rPr>
      </w:pPr>
    </w:p>
    <w:p w:rsidR="00966B7A" w:rsidRPr="00575B7A" w:rsidRDefault="00966B7A" w:rsidP="00966B7A">
      <w:pPr>
        <w:numPr>
          <w:ilvl w:val="0"/>
          <w:numId w:val="1"/>
        </w:numPr>
        <w:spacing w:line="360" w:lineRule="auto"/>
        <w:ind w:right="-518"/>
        <w:contextualSpacing/>
        <w:jc w:val="both"/>
        <w:rPr>
          <w:rFonts w:ascii="Palatino Linotype" w:hAnsi="Palatino Linotype"/>
        </w:rPr>
      </w:pPr>
      <w:r w:rsidRPr="00575B7A">
        <w:rPr>
          <w:rFonts w:ascii="Palatino Linotype" w:hAnsi="Palatino Linotype"/>
        </w:rPr>
        <w:t>Por lo anterior, la clave catastral deberá ser suprimida de los documentos, en los que se localice.</w:t>
      </w:r>
    </w:p>
    <w:p w:rsidR="00966B7A" w:rsidRPr="00575B7A" w:rsidRDefault="00966B7A" w:rsidP="00966B7A">
      <w:pPr>
        <w:spacing w:line="360" w:lineRule="auto"/>
        <w:ind w:right="-518"/>
        <w:contextualSpacing/>
        <w:jc w:val="both"/>
        <w:rPr>
          <w:rFonts w:ascii="Palatino Linotype" w:eastAsia="Palatino Linotype" w:hAnsi="Palatino Linotype" w:cs="Palatino Linotype"/>
          <w:b/>
        </w:rPr>
      </w:pPr>
    </w:p>
    <w:p w:rsidR="00F42621" w:rsidRPr="00575B7A" w:rsidRDefault="00966B7A" w:rsidP="00F42621">
      <w:pPr>
        <w:numPr>
          <w:ilvl w:val="0"/>
          <w:numId w:val="1"/>
        </w:numPr>
        <w:spacing w:line="360" w:lineRule="auto"/>
        <w:ind w:right="-518"/>
        <w:contextualSpacing/>
        <w:jc w:val="both"/>
        <w:rPr>
          <w:rFonts w:ascii="Palatino Linotype" w:eastAsia="Palatino Linotype" w:hAnsi="Palatino Linotype" w:cs="Palatino Linotype"/>
          <w:b/>
          <w:bCs/>
          <w:color w:val="000000"/>
        </w:rPr>
      </w:pPr>
      <w:r w:rsidRPr="00575B7A">
        <w:rPr>
          <w:rFonts w:ascii="Palatino Linotype" w:eastAsia="Palatino Linotype" w:hAnsi="Palatino Linotype" w:cs="Palatino Linotype"/>
          <w:color w:val="000000"/>
        </w:rPr>
        <w:lastRenderedPageBreak/>
        <w:t xml:space="preserve">Es por lo anterior, se arriba a la conclusión de no tenerse por colmada en su totalidad la solicitud de información </w:t>
      </w:r>
      <w:r w:rsidRPr="00575B7A">
        <w:rPr>
          <w:rFonts w:ascii="Palatino Linotype" w:eastAsia="Palatino Linotype" w:hAnsi="Palatino Linotype" w:cs="Palatino Linotype"/>
          <w:b/>
          <w:bCs/>
          <w:color w:val="000000"/>
        </w:rPr>
        <w:t xml:space="preserve">00085/TEPOTZOT/IP/2026, </w:t>
      </w:r>
      <w:r w:rsidRPr="00575B7A">
        <w:rPr>
          <w:rFonts w:ascii="Palatino Linotype" w:eastAsia="Palatino Linotype" w:hAnsi="Palatino Linotype" w:cs="Palatino Linotype"/>
          <w:color w:val="000000"/>
        </w:rPr>
        <w:t xml:space="preserve">siendo procedentes los recursos de inconformidad hecho valer por el </w:t>
      </w:r>
      <w:r w:rsidR="00F42621" w:rsidRPr="00575B7A">
        <w:rPr>
          <w:rFonts w:ascii="Palatino Linotype" w:eastAsia="Palatino Linotype" w:hAnsi="Palatino Linotype" w:cs="Palatino Linotype"/>
          <w:b/>
          <w:color w:val="000000"/>
        </w:rPr>
        <w:t>RE</w:t>
      </w:r>
      <w:r w:rsidRPr="00575B7A">
        <w:rPr>
          <w:rFonts w:ascii="Palatino Linotype" w:eastAsia="Palatino Linotype" w:hAnsi="Palatino Linotype" w:cs="Palatino Linotype"/>
          <w:b/>
          <w:color w:val="000000"/>
        </w:rPr>
        <w:t xml:space="preserve">CURRENTE, </w:t>
      </w:r>
      <w:r w:rsidRPr="00575B7A">
        <w:rPr>
          <w:rFonts w:ascii="Palatino Linotype" w:eastAsia="Palatino Linotype" w:hAnsi="Palatino Linotype" w:cs="Palatino Linotype"/>
          <w:color w:val="000000"/>
        </w:rPr>
        <w:t xml:space="preserve">resultando dable ordenar al </w:t>
      </w:r>
      <w:r w:rsidRPr="00575B7A">
        <w:rPr>
          <w:rFonts w:ascii="Palatino Linotype" w:eastAsia="Palatino Linotype" w:hAnsi="Palatino Linotype" w:cs="Palatino Linotype"/>
          <w:b/>
          <w:color w:val="000000"/>
        </w:rPr>
        <w:t xml:space="preserve">SUJETO OBLIGADO, </w:t>
      </w:r>
      <w:r w:rsidRPr="00575B7A">
        <w:rPr>
          <w:rFonts w:ascii="Palatino Linotype" w:eastAsia="Palatino Linotype" w:hAnsi="Palatino Linotype" w:cs="Palatino Linotype"/>
          <w:color w:val="000000"/>
        </w:rPr>
        <w:t xml:space="preserve"> a efecto de que realice una búsqueda exhaustiva y razonable y haga entrega del </w:t>
      </w:r>
      <w:r w:rsidR="00F42621" w:rsidRPr="00575B7A">
        <w:rPr>
          <w:rFonts w:ascii="Palatino Linotype" w:eastAsia="Palatino Linotype" w:hAnsi="Palatino Linotype" w:cs="Palatino Linotype"/>
          <w:color w:val="000000"/>
        </w:rPr>
        <w:t xml:space="preserve">soporte documental en consten o se adviertan las concesiones, permisos y asignaciones de espacios públicos del uno de enero al treinta uno de diciembre de dos mil veinticinco, incluidos beneficiario, objeto, vigencia, monto pagado y fundamento legal, de ser procedente en versión pública. </w:t>
      </w:r>
    </w:p>
    <w:p w:rsidR="00966B7A" w:rsidRPr="00575B7A" w:rsidRDefault="00966B7A" w:rsidP="00F42621">
      <w:pPr>
        <w:spacing w:line="360" w:lineRule="auto"/>
        <w:ind w:right="-518"/>
        <w:contextualSpacing/>
        <w:jc w:val="both"/>
        <w:rPr>
          <w:rFonts w:ascii="Palatino Linotype" w:eastAsia="Palatino Linotype" w:hAnsi="Palatino Linotype" w:cs="Palatino Linotype"/>
          <w:color w:val="000000"/>
        </w:rPr>
      </w:pPr>
    </w:p>
    <w:p w:rsidR="00966B7A" w:rsidRPr="00575B7A" w:rsidRDefault="00966B7A" w:rsidP="00966B7A">
      <w:pPr>
        <w:spacing w:line="360" w:lineRule="auto"/>
        <w:ind w:right="-518"/>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b/>
          <w:bCs/>
          <w:color w:val="000000"/>
        </w:rPr>
        <w:t>QUINTO. De la versión pública.</w:t>
      </w:r>
    </w:p>
    <w:p w:rsidR="00966B7A" w:rsidRPr="00575B7A" w:rsidRDefault="00966B7A" w:rsidP="00966B7A">
      <w:pPr>
        <w:numPr>
          <w:ilvl w:val="0"/>
          <w:numId w:val="14"/>
        </w:numPr>
        <w:pBdr>
          <w:top w:val="nil"/>
          <w:left w:val="nil"/>
          <w:bottom w:val="nil"/>
          <w:right w:val="nil"/>
          <w:between w:val="nil"/>
        </w:pBdr>
        <w:tabs>
          <w:tab w:val="left" w:pos="851"/>
        </w:tabs>
        <w:spacing w:after="160" w:line="360" w:lineRule="auto"/>
        <w:ind w:right="-518"/>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b/>
          <w:bCs/>
          <w:color w:val="000000"/>
        </w:rPr>
        <w:t xml:space="preserve">Nociones generales. </w:t>
      </w:r>
    </w:p>
    <w:p w:rsidR="00966B7A" w:rsidRPr="00575B7A" w:rsidRDefault="00966B7A" w:rsidP="00966B7A">
      <w:pPr>
        <w:numPr>
          <w:ilvl w:val="0"/>
          <w:numId w:val="1"/>
        </w:numPr>
        <w:spacing w:line="360" w:lineRule="auto"/>
        <w:ind w:right="-518"/>
        <w:contextualSpacing/>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Debe destacarse que, debido a la naturaleza de la información solicitada</w:t>
      </w:r>
      <w:r w:rsidRPr="00575B7A">
        <w:rPr>
          <w:rFonts w:ascii="Palatino Linotype" w:eastAsia="Palatino Linotype" w:hAnsi="Palatino Linotype" w:cs="Palatino Linotype"/>
          <w:b/>
          <w:bCs/>
          <w:color w:val="000000"/>
        </w:rPr>
        <w:t xml:space="preserve">, </w:t>
      </w:r>
      <w:r w:rsidRPr="00575B7A">
        <w:rPr>
          <w:rFonts w:ascii="Palatino Linotype" w:eastAsia="Palatino Linotype" w:hAnsi="Palatino Linotype" w:cs="Palatino Linotype"/>
          <w:color w:val="000000"/>
        </w:rPr>
        <w:t xml:space="preserve">eventualmente pudiera obrar datos personales susceptibles de protegerse, el </w:t>
      </w:r>
      <w:r w:rsidRPr="00575B7A">
        <w:rPr>
          <w:rFonts w:ascii="Palatino Linotype" w:eastAsia="Palatino Linotype" w:hAnsi="Palatino Linotype" w:cs="Palatino Linotype"/>
          <w:b/>
          <w:bCs/>
          <w:color w:val="000000"/>
        </w:rPr>
        <w:t xml:space="preserve">SUJETO OBLIGADO </w:t>
      </w:r>
      <w:r w:rsidRPr="00575B7A">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966B7A" w:rsidRPr="00575B7A" w:rsidRDefault="00966B7A" w:rsidP="00966B7A">
      <w:pPr>
        <w:pBdr>
          <w:top w:val="nil"/>
          <w:left w:val="nil"/>
          <w:bottom w:val="nil"/>
          <w:right w:val="nil"/>
          <w:between w:val="nil"/>
        </w:pBdr>
        <w:spacing w:line="360" w:lineRule="auto"/>
        <w:ind w:right="-518"/>
        <w:jc w:val="both"/>
        <w:rPr>
          <w:rFonts w:ascii="Palatino Linotype" w:eastAsia="Palatino Linotype" w:hAnsi="Palatino Linotype" w:cs="Palatino Linotype"/>
          <w:color w:val="000000"/>
        </w:rPr>
      </w:pPr>
    </w:p>
    <w:p w:rsidR="00966B7A" w:rsidRPr="00575B7A" w:rsidRDefault="00966B7A" w:rsidP="00966B7A">
      <w:pPr>
        <w:numPr>
          <w:ilvl w:val="0"/>
          <w:numId w:val="1"/>
        </w:numPr>
        <w:spacing w:line="360" w:lineRule="auto"/>
        <w:ind w:right="-518"/>
        <w:contextualSpacing/>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66B7A" w:rsidRPr="00575B7A" w:rsidRDefault="00966B7A" w:rsidP="00966B7A">
      <w:pPr>
        <w:pBdr>
          <w:top w:val="nil"/>
          <w:left w:val="nil"/>
          <w:bottom w:val="nil"/>
          <w:right w:val="nil"/>
          <w:between w:val="nil"/>
        </w:pBdr>
        <w:tabs>
          <w:tab w:val="left" w:pos="851"/>
        </w:tabs>
        <w:spacing w:line="360" w:lineRule="auto"/>
        <w:ind w:right="-518"/>
        <w:jc w:val="both"/>
        <w:rPr>
          <w:rFonts w:ascii="Palatino Linotype" w:eastAsia="Palatino Linotype" w:hAnsi="Palatino Linotype" w:cs="Palatino Linotype"/>
          <w:color w:val="000000"/>
        </w:rPr>
      </w:pPr>
    </w:p>
    <w:tbl>
      <w:tblPr>
        <w:tblW w:w="1003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5"/>
        <w:gridCol w:w="7513"/>
      </w:tblGrid>
      <w:tr w:rsidR="00966B7A" w:rsidRPr="00575B7A" w:rsidTr="00575B7A">
        <w:tc>
          <w:tcPr>
            <w:tcW w:w="2525" w:type="dxa"/>
          </w:tcPr>
          <w:p w:rsidR="00966B7A" w:rsidRPr="00575B7A" w:rsidRDefault="00966B7A" w:rsidP="00F42621">
            <w:pPr>
              <w:pBdr>
                <w:top w:val="nil"/>
                <w:left w:val="nil"/>
                <w:bottom w:val="nil"/>
                <w:right w:val="nil"/>
                <w:between w:val="nil"/>
              </w:pBdr>
              <w:tabs>
                <w:tab w:val="left" w:pos="851"/>
              </w:tabs>
              <w:spacing w:line="360" w:lineRule="auto"/>
              <w:ind w:right="55"/>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a) Requisitos previos.</w:t>
            </w:r>
          </w:p>
        </w:tc>
        <w:tc>
          <w:tcPr>
            <w:tcW w:w="7513" w:type="dxa"/>
          </w:tcPr>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Los artículos 100 y 122 de la Ley Estatal y de la Ley General, vigente al momento de interponer la solicitud de información, </w:t>
            </w:r>
            <w:r w:rsidRPr="00575B7A">
              <w:rPr>
                <w:rFonts w:ascii="Palatino Linotype" w:eastAsia="Palatino Linotype" w:hAnsi="Palatino Linotype" w:cs="Palatino Linotype"/>
                <w:color w:val="000000"/>
              </w:rPr>
              <w:lastRenderedPageBreak/>
              <w:t xml:space="preserve">respectivamente, señalan que si los Sujetos Obligados determinan que la información actualiza alguno de los supuestos de clasificación, es deber de los titulares de las áreas proponer su clasificación y no del Comité de Transparencia. </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Además, se debe señalar el procedimiento, de los tres que establecen los artículos 132 y 106 de la Ley Estatal y General vigente al momento de interponer la solicitud de información, respectivamente.</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575B7A">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575B7A">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966B7A" w:rsidRPr="00575B7A" w:rsidTr="00575B7A">
        <w:tc>
          <w:tcPr>
            <w:tcW w:w="2525" w:type="dxa"/>
          </w:tcPr>
          <w:p w:rsidR="00966B7A" w:rsidRPr="00575B7A" w:rsidRDefault="00966B7A" w:rsidP="00F42621">
            <w:pPr>
              <w:pBdr>
                <w:top w:val="nil"/>
                <w:left w:val="nil"/>
                <w:bottom w:val="nil"/>
                <w:right w:val="nil"/>
                <w:between w:val="nil"/>
              </w:pBdr>
              <w:tabs>
                <w:tab w:val="left" w:pos="851"/>
              </w:tabs>
              <w:spacing w:line="360" w:lineRule="auto"/>
              <w:ind w:right="55"/>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lastRenderedPageBreak/>
              <w:t>b) Supuestos de clasificación.</w:t>
            </w:r>
          </w:p>
        </w:tc>
        <w:tc>
          <w:tcPr>
            <w:tcW w:w="7513" w:type="dxa"/>
          </w:tcPr>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Los artículos 116 y 143 de la Ley Estatal y de la Ley General, vigente al momento de interponer la solicitud de información, respectivamente, señalan los supuestos para que la información pueda ser clasificada como confidencial. Mientras que los artículos </w:t>
            </w:r>
            <w:r w:rsidRPr="00575B7A">
              <w:rPr>
                <w:rFonts w:ascii="Palatino Linotype" w:eastAsia="Palatino Linotype" w:hAnsi="Palatino Linotype" w:cs="Palatino Linotype"/>
                <w:color w:val="000000"/>
              </w:rPr>
              <w:lastRenderedPageBreak/>
              <w:t>105 y 130 de la Ley Estatal y de la Ley General, vigente 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El </w:t>
            </w:r>
            <w:r w:rsidRPr="00575B7A">
              <w:rPr>
                <w:rFonts w:ascii="Palatino Linotype" w:eastAsia="Palatino Linotype" w:hAnsi="Palatino Linotype" w:cs="Palatino Linotype"/>
                <w:b/>
                <w:bCs/>
                <w:color w:val="000000"/>
              </w:rPr>
              <w:t>Sujeto Obligado</w:t>
            </w:r>
            <w:r w:rsidRPr="00575B7A">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66B7A" w:rsidRPr="00575B7A" w:rsidTr="00575B7A">
        <w:tc>
          <w:tcPr>
            <w:tcW w:w="2525" w:type="dxa"/>
          </w:tcPr>
          <w:p w:rsidR="00966B7A" w:rsidRPr="00575B7A" w:rsidRDefault="00966B7A" w:rsidP="00F42621">
            <w:pPr>
              <w:pBdr>
                <w:top w:val="nil"/>
                <w:left w:val="nil"/>
                <w:bottom w:val="nil"/>
                <w:right w:val="nil"/>
                <w:between w:val="nil"/>
              </w:pBdr>
              <w:tabs>
                <w:tab w:val="left" w:pos="851"/>
              </w:tabs>
              <w:spacing w:line="360" w:lineRule="auto"/>
              <w:ind w:right="55"/>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lastRenderedPageBreak/>
              <w:t>c) Formalidades para emitir el acuerdo de clasificación.</w:t>
            </w:r>
          </w:p>
        </w:tc>
        <w:tc>
          <w:tcPr>
            <w:tcW w:w="7513" w:type="dxa"/>
          </w:tcPr>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Es necesario que </w:t>
            </w:r>
            <w:r w:rsidRPr="00575B7A">
              <w:rPr>
                <w:rFonts w:ascii="Palatino Linotype" w:eastAsia="Palatino Linotype" w:hAnsi="Palatino Linotype" w:cs="Palatino Linotype"/>
                <w:b/>
                <w:bCs/>
                <w:color w:val="000000"/>
                <w:u w:val="single"/>
              </w:rPr>
              <w:t>el acto reúna con los requisitos elementales</w:t>
            </w:r>
            <w:r w:rsidRPr="00575B7A">
              <w:rPr>
                <w:rFonts w:ascii="Palatino Linotype" w:eastAsia="Palatino Linotype" w:hAnsi="Palatino Linotype" w:cs="Palatino Linotype"/>
                <w:color w:val="000000"/>
              </w:rPr>
              <w:t>, entre ellos, que la autoridad que va a emitir el acto de autoridad sea la legalmente facultada para ello.</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w:t>
            </w:r>
            <w:r w:rsidRPr="00575B7A">
              <w:rPr>
                <w:rFonts w:ascii="Palatino Linotype" w:eastAsia="Palatino Linotype" w:hAnsi="Palatino Linotype" w:cs="Palatino Linotype"/>
                <w:color w:val="000000"/>
              </w:rPr>
              <w:lastRenderedPageBreak/>
              <w:t>titulares de áreas y que son sujetas a control, en primera instancia, por el Comité de Transparencia.</w:t>
            </w:r>
          </w:p>
        </w:tc>
      </w:tr>
      <w:tr w:rsidR="00966B7A" w:rsidRPr="00575B7A" w:rsidTr="00575B7A">
        <w:tc>
          <w:tcPr>
            <w:tcW w:w="2525" w:type="dxa"/>
          </w:tcPr>
          <w:p w:rsidR="00966B7A" w:rsidRPr="00575B7A" w:rsidRDefault="00966B7A" w:rsidP="00F42621">
            <w:pPr>
              <w:pBdr>
                <w:top w:val="nil"/>
                <w:left w:val="nil"/>
                <w:bottom w:val="nil"/>
                <w:right w:val="nil"/>
                <w:between w:val="nil"/>
              </w:pBdr>
              <w:tabs>
                <w:tab w:val="left" w:pos="851"/>
              </w:tabs>
              <w:spacing w:line="360" w:lineRule="auto"/>
              <w:ind w:right="55"/>
              <w:jc w:val="both"/>
              <w:rPr>
                <w:rFonts w:ascii="Palatino Linotype" w:eastAsia="Palatino Linotype" w:hAnsi="Palatino Linotype" w:cs="Palatino Linotype"/>
                <w:color w:val="000000"/>
              </w:rPr>
            </w:pPr>
          </w:p>
          <w:p w:rsidR="00966B7A" w:rsidRPr="00575B7A" w:rsidRDefault="00966B7A" w:rsidP="00F42621">
            <w:pPr>
              <w:pBdr>
                <w:top w:val="nil"/>
                <w:left w:val="nil"/>
                <w:bottom w:val="nil"/>
                <w:right w:val="nil"/>
                <w:between w:val="nil"/>
              </w:pBdr>
              <w:tabs>
                <w:tab w:val="left" w:pos="851"/>
              </w:tabs>
              <w:spacing w:line="360" w:lineRule="auto"/>
              <w:ind w:right="55"/>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d) Requisitos de fondo del acuerdo de clasificación. </w:t>
            </w:r>
          </w:p>
        </w:tc>
        <w:tc>
          <w:tcPr>
            <w:tcW w:w="7513" w:type="dxa"/>
          </w:tcPr>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75B7A">
              <w:rPr>
                <w:rFonts w:ascii="Palatino Linotype" w:eastAsia="Palatino Linotype" w:hAnsi="Palatino Linotype" w:cs="Palatino Linotype"/>
                <w:b/>
                <w:bCs/>
                <w:color w:val="000000"/>
              </w:rPr>
              <w:t>Sujetos Obligados</w:t>
            </w:r>
            <w:r w:rsidRPr="00575B7A">
              <w:rPr>
                <w:rFonts w:ascii="Palatino Linotype" w:eastAsia="Palatino Linotype" w:hAnsi="Palatino Linotype" w:cs="Palatino Linotype"/>
                <w:color w:val="000000"/>
              </w:rPr>
              <w:t xml:space="preserve">, por lo que deberán fundar y motivar debidamente la clasificación. </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De lo anterior, se desprende que para una correcta </w:t>
            </w:r>
            <w:r w:rsidRPr="00575B7A">
              <w:rPr>
                <w:rFonts w:ascii="Palatino Linotype" w:eastAsia="Palatino Linotype" w:hAnsi="Palatino Linotype" w:cs="Palatino Linotype"/>
                <w:b/>
                <w:bCs/>
                <w:color w:val="000000"/>
              </w:rPr>
              <w:t>clasificación total o parcial</w:t>
            </w:r>
            <w:r w:rsidRPr="00575B7A">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lastRenderedPageBreak/>
              <w:t>En ese mismo sentido, el numeral trigésimo tercero fracción V de los Lineamientos Generales, precisa que para motivar la clasificación se deben acreditar las circunstancias de tiempo, modo y lugar.</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Ahora bien, </w:t>
            </w:r>
            <w:r w:rsidRPr="00575B7A">
              <w:rPr>
                <w:rFonts w:ascii="Palatino Linotype" w:eastAsia="Palatino Linotype" w:hAnsi="Palatino Linotype" w:cs="Palatino Linotype"/>
                <w:b/>
                <w:bCs/>
                <w:color w:val="000000"/>
                <w:u w:val="single"/>
              </w:rPr>
              <w:t>para cada caso además de fundar y motivar</w:t>
            </w:r>
            <w:r w:rsidRPr="00575B7A">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66B7A" w:rsidRPr="00575B7A" w:rsidTr="00575B7A">
        <w:tc>
          <w:tcPr>
            <w:tcW w:w="2525" w:type="dxa"/>
          </w:tcPr>
          <w:p w:rsidR="00966B7A" w:rsidRPr="00575B7A" w:rsidRDefault="00966B7A" w:rsidP="00F42621">
            <w:pPr>
              <w:pBdr>
                <w:top w:val="nil"/>
                <w:left w:val="nil"/>
                <w:bottom w:val="nil"/>
                <w:right w:val="nil"/>
                <w:between w:val="nil"/>
              </w:pBdr>
              <w:tabs>
                <w:tab w:val="left" w:pos="851"/>
              </w:tabs>
              <w:spacing w:line="360" w:lineRule="auto"/>
              <w:ind w:right="55"/>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lastRenderedPageBreak/>
              <w:t xml:space="preserve">e) Condiciones especiales de la clasificación de la información como confidencial. </w:t>
            </w:r>
          </w:p>
        </w:tc>
        <w:tc>
          <w:tcPr>
            <w:tcW w:w="7513" w:type="dxa"/>
          </w:tcPr>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66B7A" w:rsidRPr="00575B7A" w:rsidRDefault="00966B7A" w:rsidP="00F42621">
            <w:pPr>
              <w:pBdr>
                <w:top w:val="nil"/>
                <w:left w:val="nil"/>
                <w:bottom w:val="nil"/>
                <w:right w:val="nil"/>
                <w:between w:val="nil"/>
              </w:pBdr>
              <w:tabs>
                <w:tab w:val="left" w:pos="851"/>
              </w:tabs>
              <w:spacing w:line="360" w:lineRule="auto"/>
              <w:ind w:right="34"/>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si permite o no el </w:t>
            </w:r>
            <w:r w:rsidRPr="00575B7A">
              <w:rPr>
                <w:rFonts w:ascii="Palatino Linotype" w:eastAsia="Palatino Linotype" w:hAnsi="Palatino Linotype" w:cs="Palatino Linotype"/>
                <w:color w:val="000000"/>
              </w:rPr>
              <w:lastRenderedPageBreak/>
              <w:t>acceso. De no ser posible, la realización de la consulta, procede, fundando y motivando, la clasificación.</w:t>
            </w:r>
          </w:p>
        </w:tc>
      </w:tr>
    </w:tbl>
    <w:p w:rsidR="00966B7A" w:rsidRPr="00575B7A" w:rsidRDefault="00966B7A" w:rsidP="00966B7A">
      <w:pPr>
        <w:spacing w:line="360" w:lineRule="auto"/>
        <w:ind w:right="-518"/>
        <w:jc w:val="both"/>
        <w:rPr>
          <w:rFonts w:ascii="Palatino Linotype" w:eastAsia="Palatino Linotype" w:hAnsi="Palatino Linotype" w:cs="Palatino Linotype"/>
          <w:color w:val="000000"/>
        </w:rPr>
      </w:pPr>
      <w:bookmarkStart w:id="22" w:name="_heading=h.4d34og8" w:colFirst="0" w:colLast="0"/>
      <w:bookmarkEnd w:id="22"/>
    </w:p>
    <w:p w:rsidR="00966B7A" w:rsidRPr="00575B7A" w:rsidRDefault="00966B7A" w:rsidP="00966B7A">
      <w:pPr>
        <w:numPr>
          <w:ilvl w:val="0"/>
          <w:numId w:val="1"/>
        </w:numPr>
        <w:spacing w:line="360" w:lineRule="auto"/>
        <w:ind w:right="-518"/>
        <w:contextualSpacing/>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rPr>
        <w:t>Por lo anteriormente expuesto, este Órgano Garante considera parcialmente fundadas las razones o motivos de inconformidad que plantea el</w:t>
      </w:r>
      <w:r w:rsidRPr="00575B7A">
        <w:rPr>
          <w:rFonts w:ascii="Palatino Linotype" w:eastAsia="Palatino Linotype" w:hAnsi="Palatino Linotype" w:cs="Palatino Linotype"/>
          <w:b/>
          <w:bCs/>
        </w:rPr>
        <w:t xml:space="preserve"> RECURRENTE</w:t>
      </w:r>
      <w:r w:rsidRPr="00575B7A">
        <w:rPr>
          <w:rFonts w:ascii="Palatino Linotype" w:eastAsia="Palatino Linotype" w:hAnsi="Palatino Linotype" w:cs="Palatino Linotype"/>
        </w:rPr>
        <w:t xml:space="preserve">, determinando </w:t>
      </w:r>
      <w:r w:rsidRPr="00575B7A">
        <w:rPr>
          <w:rFonts w:ascii="Palatino Linotype" w:eastAsia="Palatino Linotype" w:hAnsi="Palatino Linotype" w:cs="Palatino Linotype"/>
          <w:b/>
          <w:bCs/>
          <w:smallCaps/>
        </w:rPr>
        <w:t xml:space="preserve">REVOCAR  </w:t>
      </w:r>
      <w:r w:rsidRPr="00575B7A">
        <w:rPr>
          <w:rFonts w:ascii="Palatino Linotype" w:eastAsia="Palatino Linotype" w:hAnsi="Palatino Linotype" w:cs="Palatino Linotype"/>
        </w:rPr>
        <w:t xml:space="preserve">la respuesta del </w:t>
      </w:r>
      <w:r w:rsidRPr="00575B7A">
        <w:rPr>
          <w:rFonts w:ascii="Palatino Linotype" w:eastAsia="Palatino Linotype" w:hAnsi="Palatino Linotype" w:cs="Palatino Linotype"/>
          <w:b/>
          <w:bCs/>
        </w:rPr>
        <w:t>SUJETO OBLIGADO</w:t>
      </w:r>
      <w:r w:rsidRPr="00575B7A">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575B7A">
        <w:rPr>
          <w:rFonts w:ascii="Palatino Linotype" w:eastAsia="Palatino Linotype" w:hAnsi="Palatino Linotype" w:cs="Palatino Linotype"/>
          <w:color w:val="000000"/>
        </w:rPr>
        <w:t xml:space="preserve">este </w:t>
      </w:r>
      <w:r w:rsidRPr="00575B7A">
        <w:rPr>
          <w:rFonts w:ascii="Palatino Linotype" w:eastAsia="Palatino Linotype" w:hAnsi="Palatino Linotype" w:cs="Palatino Linotype"/>
          <w:b/>
          <w:bCs/>
          <w:color w:val="000000"/>
        </w:rPr>
        <w:t>ÓRGANO GARANTE</w:t>
      </w:r>
      <w:r w:rsidRPr="00575B7A">
        <w:rPr>
          <w:rFonts w:ascii="Palatino Linotype" w:eastAsia="Palatino Linotype" w:hAnsi="Palatino Linotype" w:cs="Palatino Linotype"/>
          <w:color w:val="000000"/>
        </w:rPr>
        <w:t xml:space="preserve"> emite los siguientes.</w:t>
      </w:r>
    </w:p>
    <w:p w:rsidR="00966B7A" w:rsidRPr="00575B7A" w:rsidRDefault="00966B7A" w:rsidP="00966B7A">
      <w:pPr>
        <w:spacing w:line="360" w:lineRule="auto"/>
        <w:ind w:right="-518"/>
        <w:jc w:val="both"/>
        <w:rPr>
          <w:rFonts w:ascii="Palatino Linotype" w:eastAsia="Palatino Linotype" w:hAnsi="Palatino Linotype" w:cs="Palatino Linotype"/>
          <w:i/>
          <w:iCs/>
          <w:color w:val="000000"/>
        </w:rPr>
      </w:pPr>
    </w:p>
    <w:p w:rsidR="00966B7A" w:rsidRPr="00575B7A" w:rsidRDefault="00966B7A" w:rsidP="00966B7A">
      <w:pPr>
        <w:pBdr>
          <w:top w:val="nil"/>
          <w:left w:val="nil"/>
          <w:bottom w:val="nil"/>
          <w:right w:val="nil"/>
          <w:between w:val="nil"/>
        </w:pBdr>
        <w:ind w:left="720" w:right="-518"/>
        <w:rPr>
          <w:rFonts w:ascii="Palatino Linotype" w:eastAsia="Palatino Linotype" w:hAnsi="Palatino Linotype" w:cs="Palatino Linotype"/>
          <w:color w:val="000000"/>
        </w:rPr>
      </w:pPr>
    </w:p>
    <w:p w:rsidR="00966B7A" w:rsidRPr="00575B7A" w:rsidRDefault="00966B7A" w:rsidP="00966B7A">
      <w:pPr>
        <w:pStyle w:val="Ttulo1"/>
        <w:spacing w:before="0" w:line="360" w:lineRule="auto"/>
        <w:ind w:right="-518"/>
        <w:jc w:val="center"/>
        <w:rPr>
          <w:rFonts w:eastAsia="Palatino Linotype" w:cs="Palatino Linotype"/>
          <w:b/>
          <w:bCs/>
          <w:color w:val="000000"/>
          <w:szCs w:val="24"/>
        </w:rPr>
      </w:pPr>
      <w:r w:rsidRPr="00575B7A">
        <w:rPr>
          <w:rFonts w:eastAsia="Palatino Linotype" w:cs="Palatino Linotype"/>
          <w:b/>
          <w:bCs/>
          <w:color w:val="000000"/>
          <w:szCs w:val="24"/>
        </w:rPr>
        <w:t>R E S O L U T I V O S</w:t>
      </w:r>
    </w:p>
    <w:p w:rsidR="00966B7A" w:rsidRPr="00575B7A" w:rsidRDefault="00966B7A" w:rsidP="00966B7A">
      <w:pPr>
        <w:spacing w:line="360" w:lineRule="auto"/>
        <w:ind w:right="-518"/>
        <w:rPr>
          <w:rFonts w:ascii="Palatino Linotype" w:eastAsia="Palatino Linotype" w:hAnsi="Palatino Linotype" w:cs="Palatino Linotype"/>
        </w:rPr>
      </w:pPr>
    </w:p>
    <w:p w:rsidR="00966B7A" w:rsidRPr="00575B7A" w:rsidRDefault="00966B7A" w:rsidP="00966B7A">
      <w:pPr>
        <w:spacing w:line="360" w:lineRule="auto"/>
        <w:ind w:right="-518"/>
        <w:jc w:val="both"/>
        <w:rPr>
          <w:rFonts w:ascii="Palatino Linotype" w:eastAsia="Palatino Linotype" w:hAnsi="Palatino Linotype" w:cs="Palatino Linotype"/>
        </w:rPr>
      </w:pPr>
      <w:r w:rsidRPr="00575B7A">
        <w:rPr>
          <w:rFonts w:ascii="Palatino Linotype" w:eastAsia="Palatino Linotype" w:hAnsi="Palatino Linotype" w:cs="Palatino Linotype"/>
          <w:b/>
          <w:bCs/>
        </w:rPr>
        <w:t>PRIMERO</w:t>
      </w:r>
      <w:r w:rsidRPr="00575B7A">
        <w:rPr>
          <w:rFonts w:ascii="Palatino Linotype" w:eastAsia="Palatino Linotype" w:hAnsi="Palatino Linotype" w:cs="Palatino Linotype"/>
        </w:rPr>
        <w:t>. Resultan fundadas las</w:t>
      </w:r>
      <w:r w:rsidRPr="00575B7A">
        <w:rPr>
          <w:rFonts w:ascii="Palatino Linotype" w:eastAsia="Palatino Linotype" w:hAnsi="Palatino Linotype" w:cs="Palatino Linotype"/>
          <w:b/>
          <w:bCs/>
        </w:rPr>
        <w:t xml:space="preserve"> </w:t>
      </w:r>
      <w:r w:rsidRPr="00575B7A">
        <w:rPr>
          <w:rFonts w:ascii="Palatino Linotype" w:eastAsia="Palatino Linotype" w:hAnsi="Palatino Linotype" w:cs="Palatino Linotype"/>
        </w:rPr>
        <w:t>razones o motivos de inconformidad hechos valer en el Recurso de Revisión</w:t>
      </w:r>
      <w:r w:rsidRPr="00575B7A">
        <w:rPr>
          <w:rFonts w:ascii="Palatino Linotype" w:eastAsia="Palatino Linotype" w:hAnsi="Palatino Linotype" w:cs="Palatino Linotype"/>
          <w:b/>
          <w:bCs/>
        </w:rPr>
        <w:t xml:space="preserve"> 00953/INFOEM/IP/RR/2026, </w:t>
      </w:r>
      <w:r w:rsidRPr="00575B7A">
        <w:rPr>
          <w:rFonts w:ascii="Palatino Linotype" w:eastAsia="Palatino Linotype" w:hAnsi="Palatino Linotype" w:cs="Palatino Linotype"/>
        </w:rPr>
        <w:t xml:space="preserve">en términos del </w:t>
      </w:r>
      <w:r w:rsidRPr="00575B7A">
        <w:rPr>
          <w:rFonts w:ascii="Palatino Linotype" w:eastAsia="Palatino Linotype" w:hAnsi="Palatino Linotype" w:cs="Palatino Linotype"/>
          <w:b/>
          <w:bCs/>
        </w:rPr>
        <w:t xml:space="preserve">Considerando Cuarto y Quinto </w:t>
      </w:r>
      <w:r w:rsidRPr="00575B7A">
        <w:rPr>
          <w:rFonts w:ascii="Palatino Linotype" w:eastAsia="Palatino Linotype" w:hAnsi="Palatino Linotype" w:cs="Palatino Linotype"/>
        </w:rPr>
        <w:t>de la presente resolución.</w:t>
      </w:r>
    </w:p>
    <w:p w:rsidR="00966B7A" w:rsidRPr="00575B7A" w:rsidRDefault="00966B7A" w:rsidP="00966B7A">
      <w:pPr>
        <w:spacing w:line="360" w:lineRule="auto"/>
        <w:ind w:right="-518"/>
        <w:jc w:val="both"/>
        <w:rPr>
          <w:rFonts w:ascii="Palatino Linotype" w:eastAsia="Palatino Linotype" w:hAnsi="Palatino Linotype" w:cs="Palatino Linotype"/>
        </w:rPr>
      </w:pPr>
    </w:p>
    <w:p w:rsidR="00966B7A" w:rsidRPr="00575B7A" w:rsidRDefault="00966B7A" w:rsidP="00966B7A">
      <w:pPr>
        <w:spacing w:line="360" w:lineRule="auto"/>
        <w:ind w:right="-518"/>
        <w:jc w:val="both"/>
        <w:rPr>
          <w:rFonts w:ascii="Palatino Linotype" w:eastAsia="Palatino Linotype" w:hAnsi="Palatino Linotype" w:cs="Palatino Linotype"/>
          <w:color w:val="000000"/>
        </w:rPr>
      </w:pPr>
      <w:r w:rsidRPr="00575B7A">
        <w:rPr>
          <w:rFonts w:ascii="Palatino Linotype" w:eastAsia="Palatino Linotype" w:hAnsi="Palatino Linotype" w:cs="Palatino Linotype"/>
          <w:b/>
          <w:bCs/>
        </w:rPr>
        <w:t>SEGUNDO.</w:t>
      </w:r>
      <w:r w:rsidRPr="00575B7A">
        <w:rPr>
          <w:rFonts w:ascii="Palatino Linotype" w:eastAsia="Palatino Linotype" w:hAnsi="Palatino Linotype" w:cs="Palatino Linotype"/>
          <w:color w:val="2E75B5"/>
        </w:rPr>
        <w:t xml:space="preserve"> </w:t>
      </w:r>
      <w:r w:rsidRPr="00575B7A">
        <w:rPr>
          <w:rFonts w:ascii="Palatino Linotype" w:eastAsia="Palatino Linotype" w:hAnsi="Palatino Linotype" w:cs="Palatino Linotype"/>
          <w:color w:val="000000"/>
        </w:rPr>
        <w:t xml:space="preserve">Se </w:t>
      </w:r>
      <w:r w:rsidRPr="00575B7A">
        <w:rPr>
          <w:rFonts w:ascii="Palatino Linotype" w:eastAsia="Palatino Linotype" w:hAnsi="Palatino Linotype" w:cs="Palatino Linotype"/>
          <w:b/>
          <w:bCs/>
          <w:color w:val="000000"/>
        </w:rPr>
        <w:t xml:space="preserve">REVOCA </w:t>
      </w:r>
      <w:r w:rsidRPr="00575B7A">
        <w:rPr>
          <w:rFonts w:ascii="Palatino Linotype" w:eastAsia="Palatino Linotype" w:hAnsi="Palatino Linotype" w:cs="Palatino Linotype"/>
          <w:color w:val="000000"/>
        </w:rPr>
        <w:t xml:space="preserve">la respuesta emitida por el </w:t>
      </w:r>
      <w:r w:rsidRPr="00575B7A">
        <w:rPr>
          <w:rFonts w:ascii="Palatino Linotype" w:eastAsia="Palatino Linotype" w:hAnsi="Palatino Linotype" w:cs="Palatino Linotype"/>
          <w:b/>
          <w:bCs/>
          <w:color w:val="000000"/>
        </w:rPr>
        <w:t>Ayuntamiento de Tepotzotlán</w:t>
      </w:r>
      <w:r w:rsidR="00F42621" w:rsidRPr="00575B7A">
        <w:rPr>
          <w:rFonts w:ascii="Palatino Linotype" w:eastAsia="Palatino Linotype" w:hAnsi="Palatino Linotype" w:cs="Palatino Linotype"/>
          <w:b/>
          <w:bCs/>
          <w:color w:val="000000"/>
        </w:rPr>
        <w:t xml:space="preserve"> </w:t>
      </w:r>
      <w:r w:rsidRPr="00575B7A">
        <w:rPr>
          <w:rFonts w:ascii="Palatino Linotype" w:eastAsia="Palatino Linotype" w:hAnsi="Palatino Linotype" w:cs="Palatino Linotype"/>
          <w:color w:val="000000"/>
        </w:rPr>
        <w:t xml:space="preserve">y se </w:t>
      </w:r>
      <w:r w:rsidRPr="00575B7A">
        <w:rPr>
          <w:rFonts w:ascii="Palatino Linotype" w:eastAsia="Palatino Linotype" w:hAnsi="Palatino Linotype" w:cs="Palatino Linotype"/>
          <w:b/>
          <w:bCs/>
          <w:color w:val="000000"/>
        </w:rPr>
        <w:t>ORDENA</w:t>
      </w:r>
      <w:r w:rsidRPr="00575B7A">
        <w:rPr>
          <w:rFonts w:ascii="Palatino Linotype" w:eastAsia="Palatino Linotype" w:hAnsi="Palatino Linotype" w:cs="Palatino Linotype"/>
          <w:color w:val="000000"/>
        </w:rPr>
        <w:t xml:space="preserve"> entregar vía Sistema de Acceso a la Información Mexiquense </w:t>
      </w:r>
      <w:r w:rsidRPr="00575B7A">
        <w:rPr>
          <w:rFonts w:ascii="Palatino Linotype" w:eastAsia="Palatino Linotype" w:hAnsi="Palatino Linotype" w:cs="Palatino Linotype"/>
          <w:b/>
          <w:bCs/>
          <w:color w:val="000000"/>
        </w:rPr>
        <w:t xml:space="preserve">(SAIMEX), </w:t>
      </w:r>
      <w:r w:rsidRPr="00575B7A">
        <w:rPr>
          <w:rFonts w:ascii="Palatino Linotype" w:eastAsia="Palatino Linotype" w:hAnsi="Palatino Linotype" w:cs="Palatino Linotype"/>
          <w:color w:val="000000"/>
        </w:rPr>
        <w:t>previa búsqueda exhaustiva y razonable, de ser procedente en versión pública, lo siguiente:</w:t>
      </w:r>
    </w:p>
    <w:p w:rsidR="00966B7A" w:rsidRPr="00575B7A" w:rsidRDefault="00966B7A" w:rsidP="00966B7A">
      <w:pPr>
        <w:spacing w:line="360" w:lineRule="auto"/>
        <w:ind w:right="-518"/>
        <w:jc w:val="both"/>
        <w:rPr>
          <w:rFonts w:ascii="Palatino Linotype" w:eastAsia="Palatino Linotype" w:hAnsi="Palatino Linotype" w:cs="Palatino Linotype"/>
          <w:color w:val="000000"/>
        </w:rPr>
      </w:pPr>
    </w:p>
    <w:p w:rsidR="00966B7A" w:rsidRPr="00575B7A" w:rsidRDefault="00966B7A" w:rsidP="00966B7A">
      <w:pPr>
        <w:pStyle w:val="Prrafodelista"/>
        <w:numPr>
          <w:ilvl w:val="0"/>
          <w:numId w:val="7"/>
        </w:numPr>
        <w:pBdr>
          <w:top w:val="nil"/>
          <w:left w:val="nil"/>
          <w:bottom w:val="nil"/>
          <w:right w:val="nil"/>
          <w:between w:val="nil"/>
        </w:pBdr>
        <w:spacing w:line="276" w:lineRule="auto"/>
        <w:ind w:right="474"/>
        <w:jc w:val="both"/>
        <w:rPr>
          <w:rFonts w:ascii="Palatino Linotype" w:eastAsia="Palatino Linotype" w:hAnsi="Palatino Linotype" w:cs="Palatino Linotype"/>
          <w:b/>
          <w:bCs/>
        </w:rPr>
      </w:pPr>
      <w:bookmarkStart w:id="23" w:name="_heading=h.crdv98bd31c8" w:colFirst="0" w:colLast="0"/>
      <w:bookmarkEnd w:id="23"/>
      <w:r w:rsidRPr="00575B7A">
        <w:rPr>
          <w:rFonts w:ascii="Palatino Linotype" w:eastAsia="Palatino Linotype" w:hAnsi="Palatino Linotype" w:cs="Palatino Linotype"/>
          <w:b/>
          <w:color w:val="000000"/>
        </w:rPr>
        <w:t>Documento en donde consten o se adviertan las concesiones, permisos y asignaciones de espacios públicos del uno de enero al treinta uno de diciembre de dos mil veinticinco, incluidos beneficiario, objeto, vigencia, monto pagado y fundamento legal.</w:t>
      </w:r>
    </w:p>
    <w:p w:rsidR="00F42621" w:rsidRPr="00575B7A" w:rsidRDefault="00F42621" w:rsidP="00F42621">
      <w:pPr>
        <w:pStyle w:val="Prrafodelista"/>
        <w:pBdr>
          <w:top w:val="nil"/>
          <w:left w:val="nil"/>
          <w:bottom w:val="nil"/>
          <w:right w:val="nil"/>
          <w:between w:val="nil"/>
        </w:pBdr>
        <w:spacing w:line="276" w:lineRule="auto"/>
        <w:ind w:right="474"/>
        <w:jc w:val="both"/>
        <w:rPr>
          <w:rFonts w:ascii="Palatino Linotype" w:eastAsia="Palatino Linotype" w:hAnsi="Palatino Linotype" w:cs="Palatino Linotype"/>
          <w:b/>
          <w:bCs/>
        </w:rPr>
      </w:pPr>
    </w:p>
    <w:p w:rsidR="00966B7A" w:rsidRPr="00575B7A" w:rsidRDefault="00966B7A" w:rsidP="00966B7A">
      <w:pPr>
        <w:pBdr>
          <w:top w:val="nil"/>
          <w:left w:val="nil"/>
          <w:bottom w:val="nil"/>
          <w:right w:val="nil"/>
          <w:between w:val="nil"/>
        </w:pBdr>
        <w:spacing w:line="360" w:lineRule="auto"/>
        <w:ind w:right="-518"/>
        <w:jc w:val="both"/>
        <w:rPr>
          <w:rFonts w:ascii="Palatino Linotype" w:eastAsia="Palatino Linotype" w:hAnsi="Palatino Linotype" w:cs="Palatino Linotype"/>
          <w:b/>
          <w:bCs/>
        </w:rPr>
      </w:pPr>
      <w:r w:rsidRPr="00575B7A">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575B7A">
        <w:rPr>
          <w:rFonts w:ascii="Palatino Linotype" w:eastAsia="Palatino Linotype" w:hAnsi="Palatino Linotype" w:cs="Palatino Linotype"/>
          <w:b/>
          <w:bCs/>
        </w:rPr>
        <w:t>RECURRENTE.</w:t>
      </w:r>
    </w:p>
    <w:p w:rsidR="00966B7A" w:rsidRPr="00575B7A" w:rsidRDefault="00966B7A" w:rsidP="00966B7A">
      <w:pPr>
        <w:tabs>
          <w:tab w:val="left" w:pos="2947"/>
        </w:tabs>
        <w:spacing w:line="360" w:lineRule="auto"/>
        <w:ind w:right="-518"/>
        <w:jc w:val="both"/>
        <w:rPr>
          <w:rFonts w:ascii="Palatino Linotype" w:eastAsia="Palatino Linotype" w:hAnsi="Palatino Linotype" w:cs="Palatino Linotype"/>
        </w:rPr>
      </w:pPr>
    </w:p>
    <w:p w:rsidR="00966B7A" w:rsidRPr="00575B7A" w:rsidRDefault="00966B7A" w:rsidP="00966B7A">
      <w:pPr>
        <w:tabs>
          <w:tab w:val="left" w:pos="8080"/>
        </w:tabs>
        <w:spacing w:line="360" w:lineRule="auto"/>
        <w:ind w:right="-518"/>
        <w:jc w:val="both"/>
        <w:rPr>
          <w:rFonts w:ascii="Palatino Linotype" w:eastAsia="Palatino Linotype" w:hAnsi="Palatino Linotype" w:cs="Palatino Linotype"/>
          <w:color w:val="222222"/>
        </w:rPr>
      </w:pPr>
      <w:r w:rsidRPr="00575B7A">
        <w:rPr>
          <w:rFonts w:ascii="Palatino Linotype" w:eastAsia="Palatino Linotype" w:hAnsi="Palatino Linotype" w:cs="Palatino Linotype"/>
          <w:b/>
          <w:bCs/>
        </w:rPr>
        <w:t xml:space="preserve">TERCERO. </w:t>
      </w:r>
      <w:r w:rsidRPr="00575B7A">
        <w:rPr>
          <w:rFonts w:ascii="Palatino Linotype" w:eastAsia="Palatino Linotype" w:hAnsi="Palatino Linotype" w:cs="Palatino Linotype"/>
          <w:b/>
          <w:bCs/>
          <w:color w:val="222222"/>
        </w:rPr>
        <w:t xml:space="preserve">NOTIFÍQUESE </w:t>
      </w:r>
      <w:r w:rsidRPr="00575B7A">
        <w:rPr>
          <w:rFonts w:ascii="Palatino Linotype" w:eastAsia="Palatino Linotype" w:hAnsi="Palatino Linotype" w:cs="Palatino Linotype"/>
          <w:color w:val="222222"/>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575B7A">
        <w:rPr>
          <w:rFonts w:ascii="Palatino Linotype" w:eastAsia="Palatino Linotype" w:hAnsi="Palatino Linotype" w:cs="Palatino Linotype"/>
          <w:b/>
          <w:bCs/>
          <w:color w:val="222222"/>
        </w:rPr>
        <w:t xml:space="preserve">dé cumplimiento a lo ordenado dentro del plazo de diez días hábiles, </w:t>
      </w:r>
      <w:r w:rsidRPr="00575B7A">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966B7A" w:rsidRPr="00575B7A" w:rsidRDefault="00966B7A" w:rsidP="00966B7A">
      <w:pPr>
        <w:spacing w:line="360" w:lineRule="auto"/>
        <w:ind w:right="-518"/>
        <w:jc w:val="both"/>
        <w:rPr>
          <w:rFonts w:ascii="Palatino Linotype" w:eastAsia="Palatino Linotype" w:hAnsi="Palatino Linotype" w:cs="Palatino Linotype"/>
        </w:rPr>
      </w:pPr>
    </w:p>
    <w:p w:rsidR="00966B7A" w:rsidRPr="00575B7A" w:rsidRDefault="00966B7A" w:rsidP="00966B7A">
      <w:pPr>
        <w:spacing w:line="360" w:lineRule="auto"/>
        <w:ind w:right="-518"/>
        <w:jc w:val="both"/>
        <w:rPr>
          <w:rFonts w:ascii="Palatino Linotype" w:eastAsia="Palatino Linotype" w:hAnsi="Palatino Linotype" w:cs="Palatino Linotype"/>
        </w:rPr>
      </w:pPr>
      <w:r w:rsidRPr="00575B7A">
        <w:rPr>
          <w:rFonts w:ascii="Palatino Linotype" w:eastAsia="Palatino Linotype" w:hAnsi="Palatino Linotype" w:cs="Palatino Linotype"/>
          <w:b/>
          <w:bCs/>
        </w:rPr>
        <w:t xml:space="preserve">CUARTO. </w:t>
      </w:r>
      <w:r w:rsidRPr="00575B7A">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966B7A" w:rsidRPr="00575B7A" w:rsidRDefault="00966B7A" w:rsidP="00966B7A">
      <w:pPr>
        <w:spacing w:line="360" w:lineRule="auto"/>
        <w:ind w:right="-518"/>
        <w:jc w:val="both"/>
        <w:rPr>
          <w:rFonts w:ascii="Palatino Linotype" w:eastAsia="Palatino Linotype" w:hAnsi="Palatino Linotype" w:cs="Palatino Linotype"/>
        </w:rPr>
      </w:pPr>
    </w:p>
    <w:p w:rsidR="00966B7A" w:rsidRPr="00575B7A" w:rsidRDefault="00966B7A" w:rsidP="00966B7A">
      <w:pPr>
        <w:spacing w:line="360" w:lineRule="auto"/>
        <w:ind w:right="-518"/>
        <w:jc w:val="both"/>
        <w:rPr>
          <w:rFonts w:ascii="Palatino Linotype" w:eastAsia="Palatino Linotype" w:hAnsi="Palatino Linotype" w:cs="Palatino Linotype"/>
        </w:rPr>
      </w:pPr>
      <w:r w:rsidRPr="00575B7A">
        <w:rPr>
          <w:rFonts w:ascii="Palatino Linotype" w:eastAsia="Palatino Linotype" w:hAnsi="Palatino Linotype" w:cs="Palatino Linotype"/>
          <w:b/>
          <w:bCs/>
        </w:rPr>
        <w:t xml:space="preserve">QUINTO. </w:t>
      </w:r>
      <w:r w:rsidRPr="00575B7A">
        <w:rPr>
          <w:rFonts w:ascii="Palatino Linotype" w:eastAsia="Palatino Linotype" w:hAnsi="Palatino Linotype" w:cs="Palatino Linotype"/>
          <w:b/>
          <w:bCs/>
          <w:color w:val="222222"/>
        </w:rPr>
        <w:t xml:space="preserve">Notifíquese </w:t>
      </w:r>
      <w:r w:rsidRPr="00575B7A">
        <w:rPr>
          <w:rFonts w:ascii="Palatino Linotype" w:eastAsia="Palatino Linotype" w:hAnsi="Palatino Linotype" w:cs="Palatino Linotype"/>
          <w:color w:val="222222"/>
        </w:rPr>
        <w:t xml:space="preserve">a </w:t>
      </w:r>
      <w:r w:rsidRPr="00575B7A">
        <w:rPr>
          <w:rFonts w:ascii="Palatino Linotype" w:eastAsia="Palatino Linotype" w:hAnsi="Palatino Linotype" w:cs="Palatino Linotype"/>
          <w:b/>
          <w:bCs/>
        </w:rPr>
        <w:t>LA RECURRENTE</w:t>
      </w:r>
      <w:r w:rsidRPr="00575B7A">
        <w:rPr>
          <w:rFonts w:ascii="Palatino Linotype" w:eastAsia="Palatino Linotype" w:hAnsi="Palatino Linotype" w:cs="Palatino Linotype"/>
        </w:rPr>
        <w:t xml:space="preserve"> la presente resolución, vía SAIMEX.</w:t>
      </w:r>
    </w:p>
    <w:p w:rsidR="00966B7A" w:rsidRPr="00575B7A" w:rsidRDefault="00966B7A" w:rsidP="00966B7A">
      <w:pPr>
        <w:spacing w:line="360" w:lineRule="auto"/>
        <w:ind w:right="-518"/>
        <w:jc w:val="both"/>
        <w:rPr>
          <w:rFonts w:ascii="Palatino Linotype" w:eastAsia="Palatino Linotype" w:hAnsi="Palatino Linotype" w:cs="Palatino Linotype"/>
        </w:rPr>
      </w:pPr>
    </w:p>
    <w:p w:rsidR="00966B7A" w:rsidRPr="00575B7A" w:rsidRDefault="00966B7A" w:rsidP="00966B7A">
      <w:pPr>
        <w:spacing w:line="360" w:lineRule="auto"/>
        <w:ind w:right="-518"/>
        <w:jc w:val="both"/>
        <w:rPr>
          <w:rFonts w:ascii="Palatino Linotype" w:eastAsia="Palatino Linotype" w:hAnsi="Palatino Linotype" w:cs="Palatino Linotype"/>
        </w:rPr>
      </w:pPr>
      <w:r w:rsidRPr="00575B7A">
        <w:rPr>
          <w:rFonts w:ascii="Palatino Linotype" w:eastAsia="Palatino Linotype" w:hAnsi="Palatino Linotype" w:cs="Palatino Linotype"/>
          <w:b/>
          <w:bCs/>
        </w:rPr>
        <w:lastRenderedPageBreak/>
        <w:t>SEXTO.</w:t>
      </w:r>
      <w:r w:rsidRPr="00575B7A">
        <w:rPr>
          <w:rFonts w:ascii="Palatino Linotype" w:eastAsia="Palatino Linotype" w:hAnsi="Palatino Linotype" w:cs="Palatino Linotype"/>
        </w:rPr>
        <w:t xml:space="preserve"> Se hace del conocimiento de </w:t>
      </w:r>
      <w:r w:rsidRPr="00575B7A">
        <w:rPr>
          <w:rFonts w:ascii="Palatino Linotype" w:eastAsia="Palatino Linotype" w:hAnsi="Palatino Linotype" w:cs="Palatino Linotype"/>
          <w:b/>
          <w:bCs/>
        </w:rPr>
        <w:t>LA RECURRENTE</w:t>
      </w:r>
      <w:r w:rsidRPr="00575B7A">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966B7A" w:rsidRPr="00575B7A" w:rsidRDefault="00966B7A" w:rsidP="00966B7A">
      <w:pPr>
        <w:spacing w:line="360" w:lineRule="auto"/>
        <w:ind w:right="-518"/>
        <w:jc w:val="both"/>
        <w:rPr>
          <w:rFonts w:ascii="Palatino Linotype" w:eastAsia="Palatino Linotype" w:hAnsi="Palatino Linotype" w:cs="Palatino Linotype"/>
        </w:rPr>
      </w:pPr>
    </w:p>
    <w:p w:rsidR="00730A73" w:rsidRPr="00575B7A" w:rsidRDefault="00730A73" w:rsidP="00730A73">
      <w:pPr>
        <w:spacing w:before="240" w:after="240" w:line="360" w:lineRule="auto"/>
        <w:ind w:right="-518" w:firstLine="1"/>
        <w:jc w:val="both"/>
        <w:rPr>
          <w:rFonts w:ascii="Palatino Linotype" w:hAnsi="Palatino Linotype"/>
        </w:rPr>
      </w:pPr>
      <w:bookmarkStart w:id="24" w:name="_Hlk99014733"/>
      <w:bookmarkEnd w:id="4"/>
      <w:bookmarkEnd w:id="5"/>
      <w:r w:rsidRPr="00575B7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575B7A">
        <w:rPr>
          <w:rFonts w:ascii="Palatino Linotype" w:hAnsi="Palatino Linotype" w:cs="Palatino Linotype"/>
          <w:color w:val="000000" w:themeColor="text1"/>
        </w:rPr>
        <w:t>ALEXIS TAPIA RAMÍREZ.</w:t>
      </w:r>
    </w:p>
    <w:bookmarkEnd w:id="24"/>
    <w:p w:rsidR="00785AAE" w:rsidRPr="00575B7A" w:rsidRDefault="00785AAE" w:rsidP="00730A73">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rPr>
          <w:rFonts w:ascii="Palatino Linotype" w:eastAsia="Palatino Linotype" w:hAnsi="Palatino Linotype" w:cs="Palatino Linotype"/>
        </w:rPr>
      </w:pPr>
    </w:p>
    <w:p w:rsidR="00785AAE" w:rsidRPr="00575B7A" w:rsidRDefault="00785AAE" w:rsidP="00966B7A">
      <w:pPr>
        <w:pStyle w:val="Prrafodelista"/>
        <w:tabs>
          <w:tab w:val="left" w:pos="567"/>
        </w:tabs>
        <w:spacing w:line="360" w:lineRule="auto"/>
        <w:ind w:left="0" w:right="-518"/>
        <w:jc w:val="both"/>
      </w:pPr>
    </w:p>
    <w:p w:rsidR="00785AAE" w:rsidRPr="00575B7A" w:rsidRDefault="00785AAE" w:rsidP="00966B7A">
      <w:pPr>
        <w:ind w:right="-518"/>
      </w:pPr>
    </w:p>
    <w:p w:rsidR="00B130FE" w:rsidRPr="00575B7A" w:rsidRDefault="00B130FE" w:rsidP="00966B7A">
      <w:pPr>
        <w:ind w:right="-518"/>
      </w:pPr>
    </w:p>
    <w:sectPr w:rsidR="00B130FE" w:rsidRPr="00575B7A" w:rsidSect="00575B7A">
      <w:headerReference w:type="default" r:id="rId8"/>
      <w:footerReference w:type="default" r:id="rId9"/>
      <w:headerReference w:type="first" r:id="rId10"/>
      <w:footerReference w:type="first" r:id="rId11"/>
      <w:pgSz w:w="12240" w:h="15840"/>
      <w:pgMar w:top="2268" w:right="1183" w:bottom="156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3A7" w:rsidRDefault="003113A7" w:rsidP="00785AAE">
      <w:r>
        <w:separator/>
      </w:r>
    </w:p>
  </w:endnote>
  <w:endnote w:type="continuationSeparator" w:id="0">
    <w:p w:rsidR="003113A7" w:rsidRDefault="003113A7" w:rsidP="0078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Bold">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8"/>
      </w:rPr>
      <w:id w:val="-733850643"/>
      <w:docPartObj>
        <w:docPartGallery w:val="Page Numbers (Bottom of Page)"/>
        <w:docPartUnique/>
      </w:docPartObj>
    </w:sdtPr>
    <w:sdtEndPr/>
    <w:sdtContent>
      <w:sdt>
        <w:sdtPr>
          <w:rPr>
            <w:rFonts w:ascii="Palatino Linotype" w:hAnsi="Palatino Linotype"/>
            <w:sz w:val="28"/>
          </w:rPr>
          <w:id w:val="284547370"/>
          <w:docPartObj>
            <w:docPartGallery w:val="Page Numbers (Top of Page)"/>
            <w:docPartUnique/>
          </w:docPartObj>
        </w:sdtPr>
        <w:sdtEndPr/>
        <w:sdtContent>
          <w:p w:rsidR="00EB2F95" w:rsidRPr="00883450" w:rsidRDefault="00EB2F95">
            <w:pPr>
              <w:pStyle w:val="Piedepgina"/>
              <w:jc w:val="right"/>
              <w:rPr>
                <w:rFonts w:ascii="Palatino Linotype" w:hAnsi="Palatino Linotype"/>
                <w:sz w:val="28"/>
              </w:rPr>
            </w:pPr>
            <w:r w:rsidRPr="00883450">
              <w:rPr>
                <w:rFonts w:ascii="Palatino Linotype" w:hAnsi="Palatino Linotype"/>
                <w:sz w:val="22"/>
                <w:szCs w:val="20"/>
                <w:lang w:val="es-ES"/>
              </w:rPr>
              <w:t xml:space="preserve">Página </w:t>
            </w:r>
            <w:r w:rsidRPr="00883450">
              <w:rPr>
                <w:rFonts w:ascii="Palatino Linotype" w:hAnsi="Palatino Linotype"/>
                <w:b/>
                <w:bCs/>
                <w:sz w:val="22"/>
                <w:szCs w:val="20"/>
              </w:rPr>
              <w:fldChar w:fldCharType="begin"/>
            </w:r>
            <w:r w:rsidRPr="00883450">
              <w:rPr>
                <w:rFonts w:ascii="Palatino Linotype" w:hAnsi="Palatino Linotype"/>
                <w:b/>
                <w:bCs/>
                <w:sz w:val="22"/>
                <w:szCs w:val="20"/>
              </w:rPr>
              <w:instrText>PAGE</w:instrText>
            </w:r>
            <w:r w:rsidRPr="00883450">
              <w:rPr>
                <w:rFonts w:ascii="Palatino Linotype" w:hAnsi="Palatino Linotype"/>
                <w:b/>
                <w:bCs/>
                <w:sz w:val="22"/>
                <w:szCs w:val="20"/>
              </w:rPr>
              <w:fldChar w:fldCharType="separate"/>
            </w:r>
            <w:r w:rsidR="008D57E4">
              <w:rPr>
                <w:rFonts w:ascii="Palatino Linotype" w:hAnsi="Palatino Linotype"/>
                <w:b/>
                <w:bCs/>
                <w:noProof/>
                <w:sz w:val="22"/>
                <w:szCs w:val="20"/>
              </w:rPr>
              <w:t>3</w:t>
            </w:r>
            <w:r w:rsidRPr="00883450">
              <w:rPr>
                <w:rFonts w:ascii="Palatino Linotype" w:hAnsi="Palatino Linotype"/>
                <w:b/>
                <w:bCs/>
                <w:sz w:val="22"/>
                <w:szCs w:val="20"/>
              </w:rPr>
              <w:fldChar w:fldCharType="end"/>
            </w:r>
            <w:r w:rsidRPr="00883450">
              <w:rPr>
                <w:rFonts w:ascii="Palatino Linotype" w:hAnsi="Palatino Linotype"/>
                <w:sz w:val="22"/>
                <w:szCs w:val="20"/>
                <w:lang w:val="es-ES"/>
              </w:rPr>
              <w:t xml:space="preserve"> de </w:t>
            </w:r>
            <w:r w:rsidRPr="00883450">
              <w:rPr>
                <w:rFonts w:ascii="Palatino Linotype" w:hAnsi="Palatino Linotype"/>
                <w:b/>
                <w:bCs/>
                <w:sz w:val="22"/>
                <w:szCs w:val="20"/>
              </w:rPr>
              <w:fldChar w:fldCharType="begin"/>
            </w:r>
            <w:r w:rsidRPr="00883450">
              <w:rPr>
                <w:rFonts w:ascii="Palatino Linotype" w:hAnsi="Palatino Linotype"/>
                <w:b/>
                <w:bCs/>
                <w:sz w:val="22"/>
                <w:szCs w:val="20"/>
              </w:rPr>
              <w:instrText>NUMPAGES</w:instrText>
            </w:r>
            <w:r w:rsidRPr="00883450">
              <w:rPr>
                <w:rFonts w:ascii="Palatino Linotype" w:hAnsi="Palatino Linotype"/>
                <w:b/>
                <w:bCs/>
                <w:sz w:val="22"/>
                <w:szCs w:val="20"/>
              </w:rPr>
              <w:fldChar w:fldCharType="separate"/>
            </w:r>
            <w:r w:rsidR="008D57E4">
              <w:rPr>
                <w:rFonts w:ascii="Palatino Linotype" w:hAnsi="Palatino Linotype"/>
                <w:b/>
                <w:bCs/>
                <w:noProof/>
                <w:sz w:val="22"/>
                <w:szCs w:val="20"/>
              </w:rPr>
              <w:t>31</w:t>
            </w:r>
            <w:r w:rsidRPr="00883450">
              <w:rPr>
                <w:rFonts w:ascii="Palatino Linotype" w:hAnsi="Palatino Linotype"/>
                <w:b/>
                <w:bCs/>
                <w:sz w:val="22"/>
                <w:szCs w:val="20"/>
              </w:rPr>
              <w:fldChar w:fldCharType="end"/>
            </w:r>
          </w:p>
        </w:sdtContent>
      </w:sdt>
    </w:sdtContent>
  </w:sdt>
  <w:p w:rsidR="00EB2F95" w:rsidRDefault="00EB2F9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F95" w:rsidRPr="00883450" w:rsidRDefault="00EB2F95" w:rsidP="00785AAE">
    <w:pPr>
      <w:pStyle w:val="Piedepgina"/>
      <w:jc w:val="right"/>
      <w:rPr>
        <w:rFonts w:ascii="Palatino Linotype" w:hAnsi="Palatino Linotype"/>
        <w:sz w:val="22"/>
        <w:szCs w:val="22"/>
      </w:rPr>
    </w:pPr>
    <w:r w:rsidRPr="00883450">
      <w:rPr>
        <w:rFonts w:ascii="Palatino Linotype" w:hAnsi="Palatino Linotype"/>
        <w:sz w:val="22"/>
        <w:szCs w:val="22"/>
        <w:lang w:val="es-ES"/>
      </w:rPr>
      <w:t xml:space="preserve">Página </w:t>
    </w:r>
    <w:r w:rsidRPr="00883450">
      <w:rPr>
        <w:rFonts w:ascii="Palatino Linotype" w:hAnsi="Palatino Linotype"/>
        <w:sz w:val="22"/>
        <w:szCs w:val="22"/>
      </w:rPr>
      <w:fldChar w:fldCharType="begin"/>
    </w:r>
    <w:r w:rsidRPr="00883450">
      <w:rPr>
        <w:rFonts w:ascii="Palatino Linotype" w:hAnsi="Palatino Linotype"/>
        <w:sz w:val="22"/>
        <w:szCs w:val="22"/>
      </w:rPr>
      <w:instrText>PAGE  \* Arabic  \* MERGEFORMAT</w:instrText>
    </w:r>
    <w:r w:rsidRPr="00883450">
      <w:rPr>
        <w:rFonts w:ascii="Palatino Linotype" w:hAnsi="Palatino Linotype"/>
        <w:sz w:val="22"/>
        <w:szCs w:val="22"/>
      </w:rPr>
      <w:fldChar w:fldCharType="separate"/>
    </w:r>
    <w:r w:rsidR="008D57E4" w:rsidRPr="008D57E4">
      <w:rPr>
        <w:rFonts w:ascii="Palatino Linotype" w:hAnsi="Palatino Linotype"/>
        <w:noProof/>
        <w:sz w:val="22"/>
        <w:szCs w:val="22"/>
        <w:lang w:val="es-ES"/>
      </w:rPr>
      <w:t>1</w:t>
    </w:r>
    <w:r w:rsidRPr="00883450">
      <w:rPr>
        <w:rFonts w:ascii="Palatino Linotype" w:hAnsi="Palatino Linotype"/>
        <w:sz w:val="22"/>
        <w:szCs w:val="22"/>
      </w:rPr>
      <w:fldChar w:fldCharType="end"/>
    </w:r>
    <w:r w:rsidRPr="00883450">
      <w:rPr>
        <w:rFonts w:ascii="Palatino Linotype" w:hAnsi="Palatino Linotype"/>
        <w:sz w:val="22"/>
        <w:szCs w:val="22"/>
        <w:lang w:val="es-ES"/>
      </w:rPr>
      <w:t xml:space="preserve"> de </w:t>
    </w:r>
    <w:r w:rsidRPr="00883450">
      <w:rPr>
        <w:rFonts w:ascii="Palatino Linotype" w:hAnsi="Palatino Linotype"/>
        <w:sz w:val="22"/>
        <w:szCs w:val="22"/>
      </w:rPr>
      <w:fldChar w:fldCharType="begin"/>
    </w:r>
    <w:r w:rsidRPr="00883450">
      <w:rPr>
        <w:rFonts w:ascii="Palatino Linotype" w:hAnsi="Palatino Linotype"/>
        <w:sz w:val="22"/>
        <w:szCs w:val="22"/>
      </w:rPr>
      <w:instrText>NUMPAGES  \* Arabic  \* MERGEFORMAT</w:instrText>
    </w:r>
    <w:r w:rsidRPr="00883450">
      <w:rPr>
        <w:rFonts w:ascii="Palatino Linotype" w:hAnsi="Palatino Linotype"/>
        <w:sz w:val="22"/>
        <w:szCs w:val="22"/>
      </w:rPr>
      <w:fldChar w:fldCharType="separate"/>
    </w:r>
    <w:r w:rsidR="008D57E4" w:rsidRPr="008D57E4">
      <w:rPr>
        <w:rFonts w:ascii="Palatino Linotype" w:hAnsi="Palatino Linotype"/>
        <w:noProof/>
        <w:sz w:val="22"/>
        <w:szCs w:val="22"/>
        <w:lang w:val="es-ES"/>
      </w:rPr>
      <w:t>31</w:t>
    </w:r>
    <w:r w:rsidRPr="00883450">
      <w:rPr>
        <w:rFonts w:ascii="Palatino Linotype" w:hAnsi="Palatino Linotype"/>
        <w:sz w:val="22"/>
        <w:szCs w:val="22"/>
      </w:rPr>
      <w:fldChar w:fldCharType="end"/>
    </w:r>
  </w:p>
  <w:p w:rsidR="00EB2F95" w:rsidRPr="00883450" w:rsidRDefault="00EB2F95">
    <w:pPr>
      <w:pStyle w:val="Piedepgina"/>
      <w:rPr>
        <w:rFonts w:ascii="Palatino Linotype" w:hAnsi="Palatino Linotype"/>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3A7" w:rsidRDefault="003113A7" w:rsidP="00785AAE">
      <w:r>
        <w:separator/>
      </w:r>
    </w:p>
  </w:footnote>
  <w:footnote w:type="continuationSeparator" w:id="0">
    <w:p w:rsidR="003113A7" w:rsidRDefault="003113A7" w:rsidP="00785A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765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3690"/>
    </w:tblGrid>
    <w:tr w:rsidR="00EB2F95" w:rsidRPr="00025127" w:rsidTr="00575B7A">
      <w:trPr>
        <w:trHeight w:val="138"/>
        <w:jc w:val="right"/>
      </w:trPr>
      <w:tc>
        <w:tcPr>
          <w:tcW w:w="3969" w:type="dxa"/>
          <w:vAlign w:val="center"/>
        </w:tcPr>
        <w:p w:rsidR="00EB2F95" w:rsidRPr="00575B7A" w:rsidRDefault="00EB2F95" w:rsidP="00785AAE">
          <w:pPr>
            <w:ind w:right="34"/>
            <w:jc w:val="right"/>
            <w:rPr>
              <w:rFonts w:ascii="Palatino Linotype" w:hAnsi="Palatino Linotype"/>
              <w:b/>
              <w:szCs w:val="22"/>
            </w:rPr>
          </w:pPr>
          <w:r w:rsidRPr="00575B7A">
            <w:rPr>
              <w:rFonts w:ascii="Palatino Linotype" w:hAnsi="Palatino Linotype"/>
              <w:b/>
              <w:szCs w:val="22"/>
            </w:rPr>
            <w:t>RECURSO DE REVISIÓN:</w:t>
          </w:r>
        </w:p>
      </w:tc>
      <w:tc>
        <w:tcPr>
          <w:tcW w:w="3690" w:type="dxa"/>
          <w:vAlign w:val="center"/>
        </w:tcPr>
        <w:p w:rsidR="00EB2F95" w:rsidRPr="00575B7A" w:rsidRDefault="00EB2F95" w:rsidP="00575B7A">
          <w:pPr>
            <w:pStyle w:val="Encabezado"/>
            <w:rPr>
              <w:rFonts w:ascii="Palatino Linotype" w:hAnsi="Palatino Linotype"/>
              <w:b/>
              <w:szCs w:val="22"/>
            </w:rPr>
          </w:pPr>
          <w:r w:rsidRPr="00575B7A">
            <w:rPr>
              <w:rFonts w:ascii="Palatino Linotype" w:hAnsi="Palatino Linotype"/>
              <w:b/>
            </w:rPr>
            <w:t xml:space="preserve">  00953/INFOEM/IP/RR/2026</w:t>
          </w:r>
        </w:p>
      </w:tc>
    </w:tr>
    <w:tr w:rsidR="00EB2F95" w:rsidRPr="00025127" w:rsidTr="00575B7A">
      <w:trPr>
        <w:trHeight w:val="233"/>
        <w:jc w:val="right"/>
      </w:trPr>
      <w:tc>
        <w:tcPr>
          <w:tcW w:w="3969" w:type="dxa"/>
          <w:vAlign w:val="center"/>
        </w:tcPr>
        <w:p w:rsidR="00EB2F95" w:rsidRPr="00575B7A" w:rsidRDefault="00EB2F95" w:rsidP="00785AAE">
          <w:pPr>
            <w:ind w:right="34"/>
            <w:jc w:val="right"/>
            <w:rPr>
              <w:rFonts w:ascii="Palatino Linotype" w:hAnsi="Palatino Linotype"/>
              <w:b/>
              <w:szCs w:val="22"/>
            </w:rPr>
          </w:pPr>
          <w:r w:rsidRPr="00575B7A">
            <w:rPr>
              <w:rFonts w:ascii="Palatino Linotype" w:hAnsi="Palatino Linotype"/>
              <w:b/>
              <w:szCs w:val="22"/>
            </w:rPr>
            <w:t>SUJETO OBLIGADO:</w:t>
          </w:r>
        </w:p>
      </w:tc>
      <w:tc>
        <w:tcPr>
          <w:tcW w:w="3690" w:type="dxa"/>
          <w:vAlign w:val="center"/>
        </w:tcPr>
        <w:p w:rsidR="00EB2F95" w:rsidRPr="00575B7A" w:rsidRDefault="00EB2F95" w:rsidP="00575B7A">
          <w:pPr>
            <w:pStyle w:val="Encabezado"/>
            <w:rPr>
              <w:rFonts w:ascii="Palatino Linotype" w:hAnsi="Palatino Linotype"/>
              <w:b/>
              <w:szCs w:val="22"/>
            </w:rPr>
          </w:pPr>
          <w:r w:rsidRPr="00575B7A">
            <w:rPr>
              <w:rFonts w:ascii="Palatino Linotype" w:eastAsia="Calibri" w:hAnsi="Palatino Linotype" w:cs="Arial"/>
              <w:b/>
              <w:bCs/>
            </w:rPr>
            <w:t>Ayuntamiento de Tepotzotlán</w:t>
          </w:r>
        </w:p>
      </w:tc>
    </w:tr>
    <w:tr w:rsidR="00EB2F95" w:rsidRPr="00025127" w:rsidTr="00575B7A">
      <w:trPr>
        <w:trHeight w:val="321"/>
        <w:jc w:val="right"/>
      </w:trPr>
      <w:tc>
        <w:tcPr>
          <w:tcW w:w="3969" w:type="dxa"/>
          <w:vAlign w:val="center"/>
        </w:tcPr>
        <w:p w:rsidR="00EB2F95" w:rsidRPr="00575B7A" w:rsidRDefault="00EB2F95" w:rsidP="00785AAE">
          <w:pPr>
            <w:ind w:right="34"/>
            <w:jc w:val="right"/>
            <w:rPr>
              <w:rFonts w:ascii="Palatino Linotype" w:hAnsi="Palatino Linotype"/>
              <w:b/>
              <w:szCs w:val="22"/>
            </w:rPr>
          </w:pPr>
          <w:r w:rsidRPr="00575B7A">
            <w:rPr>
              <w:rFonts w:ascii="Palatino Linotype" w:hAnsi="Palatino Linotype"/>
              <w:b/>
              <w:szCs w:val="22"/>
            </w:rPr>
            <w:t>COMISIONADA PONENTE:</w:t>
          </w:r>
        </w:p>
      </w:tc>
      <w:tc>
        <w:tcPr>
          <w:tcW w:w="3690" w:type="dxa"/>
          <w:vAlign w:val="center"/>
        </w:tcPr>
        <w:p w:rsidR="00EB2F95" w:rsidRPr="00575B7A" w:rsidRDefault="00EB2F95" w:rsidP="00575B7A">
          <w:pPr>
            <w:pStyle w:val="Encabezado"/>
            <w:rPr>
              <w:rFonts w:ascii="Palatino Linotype" w:hAnsi="Palatino Linotype"/>
              <w:b/>
              <w:szCs w:val="22"/>
            </w:rPr>
          </w:pPr>
          <w:r w:rsidRPr="00575B7A">
            <w:rPr>
              <w:rFonts w:ascii="Palatino Linotype" w:hAnsi="Palatino Linotype"/>
              <w:b/>
              <w:szCs w:val="22"/>
            </w:rPr>
            <w:t>María del Rosario Mejía Ayala</w:t>
          </w:r>
        </w:p>
      </w:tc>
    </w:tr>
  </w:tbl>
  <w:p w:rsidR="00EB2F95" w:rsidRDefault="00EB2F95" w:rsidP="00785AAE">
    <w:pPr>
      <w:pStyle w:val="Encabezado"/>
    </w:pPr>
    <w:r>
      <w:rPr>
        <w:noProof/>
        <w:lang w:eastAsia="es-MX"/>
      </w:rPr>
      <w:drawing>
        <wp:anchor distT="0" distB="0" distL="114300" distR="114300" simplePos="0" relativeHeight="251657216" behindDoc="1" locked="0" layoutInCell="0" allowOverlap="1" wp14:anchorId="1BC4C274" wp14:editId="6664A0C6">
          <wp:simplePos x="0" y="0"/>
          <wp:positionH relativeFrom="page">
            <wp:posOffset>30785</wp:posOffset>
          </wp:positionH>
          <wp:positionV relativeFrom="page">
            <wp:posOffset>30480</wp:posOffset>
          </wp:positionV>
          <wp:extent cx="7695210" cy="10020839"/>
          <wp:effectExtent l="0" t="0" r="127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210" cy="10020839"/>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7939" w:type="dxa"/>
      <w:tblInd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4111"/>
    </w:tblGrid>
    <w:tr w:rsidR="00EB2F95" w:rsidRPr="00025127" w:rsidTr="00575B7A">
      <w:trPr>
        <w:trHeight w:val="138"/>
      </w:trPr>
      <w:tc>
        <w:tcPr>
          <w:tcW w:w="3828" w:type="dxa"/>
          <w:vAlign w:val="center"/>
        </w:tcPr>
        <w:p w:rsidR="00EB2F95" w:rsidRPr="00575B7A" w:rsidRDefault="00EB2F95" w:rsidP="00785AAE">
          <w:pPr>
            <w:jc w:val="right"/>
            <w:rPr>
              <w:rFonts w:ascii="Palatino Linotype" w:hAnsi="Palatino Linotype"/>
              <w:b/>
              <w:szCs w:val="22"/>
            </w:rPr>
          </w:pPr>
          <w:r w:rsidRPr="00575B7A">
            <w:rPr>
              <w:rFonts w:ascii="Palatino Linotype" w:hAnsi="Palatino Linotype"/>
              <w:b/>
              <w:szCs w:val="22"/>
            </w:rPr>
            <w:t>RECURSO DE REVISIÓN:</w:t>
          </w:r>
        </w:p>
      </w:tc>
      <w:tc>
        <w:tcPr>
          <w:tcW w:w="4111" w:type="dxa"/>
          <w:vAlign w:val="center"/>
        </w:tcPr>
        <w:p w:rsidR="00EB2F95" w:rsidRPr="00575B7A" w:rsidRDefault="00EB2F95" w:rsidP="00575B7A">
          <w:pPr>
            <w:pStyle w:val="Encabezado"/>
            <w:rPr>
              <w:rFonts w:ascii="Palatino Linotype" w:hAnsi="Palatino Linotype"/>
              <w:b/>
              <w:szCs w:val="22"/>
            </w:rPr>
          </w:pPr>
          <w:r w:rsidRPr="00575B7A">
            <w:rPr>
              <w:rFonts w:ascii="Palatino Linotype" w:hAnsi="Palatino Linotype"/>
              <w:b/>
            </w:rPr>
            <w:t xml:space="preserve">  00953/INFOEM/IP/RR/2026</w:t>
          </w:r>
        </w:p>
      </w:tc>
    </w:tr>
    <w:tr w:rsidR="00EB2F95" w:rsidRPr="00CB283C" w:rsidTr="00575B7A">
      <w:trPr>
        <w:trHeight w:val="233"/>
      </w:trPr>
      <w:tc>
        <w:tcPr>
          <w:tcW w:w="3828" w:type="dxa"/>
          <w:vAlign w:val="center"/>
        </w:tcPr>
        <w:p w:rsidR="00EB2F95" w:rsidRPr="00575B7A" w:rsidRDefault="00EB2F95" w:rsidP="00785AAE">
          <w:pPr>
            <w:jc w:val="right"/>
            <w:rPr>
              <w:rFonts w:ascii="Palatino Linotype" w:hAnsi="Palatino Linotype"/>
              <w:b/>
              <w:szCs w:val="22"/>
            </w:rPr>
          </w:pPr>
          <w:r w:rsidRPr="00575B7A">
            <w:rPr>
              <w:rFonts w:ascii="Palatino Linotype" w:hAnsi="Palatino Linotype"/>
              <w:b/>
              <w:szCs w:val="22"/>
            </w:rPr>
            <w:t>RECURRENTE:</w:t>
          </w:r>
        </w:p>
      </w:tc>
      <w:tc>
        <w:tcPr>
          <w:tcW w:w="4111" w:type="dxa"/>
        </w:tcPr>
        <w:p w:rsidR="00EB2F95" w:rsidRPr="00575B7A" w:rsidRDefault="00EB2F95" w:rsidP="008D57E4">
          <w:pPr>
            <w:pStyle w:val="Encabezado"/>
            <w:rPr>
              <w:rFonts w:ascii="Palatino Linotype" w:hAnsi="Palatino Linotype"/>
              <w:b/>
              <w:color w:val="FF0000"/>
              <w:szCs w:val="22"/>
            </w:rPr>
          </w:pPr>
          <w:r w:rsidRPr="00575B7A">
            <w:rPr>
              <w:rFonts w:ascii="Palatino Linotype" w:hAnsi="Palatino Linotype"/>
              <w:b/>
              <w:bCs/>
              <w:szCs w:val="22"/>
            </w:rPr>
            <w:t> </w:t>
          </w:r>
          <w:r w:rsidR="008D57E4">
            <w:rPr>
              <w:rFonts w:ascii="Palatino Linotype" w:hAnsi="Palatino Linotype"/>
              <w:b/>
              <w:bCs/>
              <w:szCs w:val="22"/>
              <w:lang w:val="es-MX"/>
            </w:rPr>
            <w:t>XXXX</w:t>
          </w:r>
        </w:p>
      </w:tc>
    </w:tr>
    <w:tr w:rsidR="00EB2F95" w:rsidRPr="00025127" w:rsidTr="00575B7A">
      <w:trPr>
        <w:trHeight w:val="321"/>
      </w:trPr>
      <w:tc>
        <w:tcPr>
          <w:tcW w:w="3828" w:type="dxa"/>
          <w:vAlign w:val="center"/>
        </w:tcPr>
        <w:p w:rsidR="00EB2F95" w:rsidRPr="00575B7A" w:rsidRDefault="00EB2F95" w:rsidP="00785AAE">
          <w:pPr>
            <w:jc w:val="right"/>
            <w:rPr>
              <w:rFonts w:ascii="Palatino Linotype" w:hAnsi="Palatino Linotype"/>
              <w:b/>
              <w:szCs w:val="22"/>
            </w:rPr>
          </w:pPr>
          <w:r w:rsidRPr="00575B7A">
            <w:rPr>
              <w:rFonts w:ascii="Palatino Linotype" w:hAnsi="Palatino Linotype"/>
              <w:b/>
              <w:szCs w:val="22"/>
            </w:rPr>
            <w:t>SUJETO OBLIGADO:</w:t>
          </w:r>
        </w:p>
      </w:tc>
      <w:tc>
        <w:tcPr>
          <w:tcW w:w="4111" w:type="dxa"/>
          <w:vAlign w:val="center"/>
        </w:tcPr>
        <w:p w:rsidR="00EB2F95" w:rsidRPr="00575B7A" w:rsidRDefault="00EB2F95" w:rsidP="00575B7A">
          <w:pPr>
            <w:pStyle w:val="Encabezado"/>
            <w:rPr>
              <w:rFonts w:ascii="Palatino Linotype" w:hAnsi="Palatino Linotype"/>
              <w:b/>
              <w:szCs w:val="22"/>
            </w:rPr>
          </w:pPr>
          <w:r w:rsidRPr="00575B7A">
            <w:rPr>
              <w:rFonts w:ascii="Palatino Linotype" w:eastAsia="Calibri" w:hAnsi="Palatino Linotype" w:cs="Arial"/>
              <w:b/>
              <w:bCs/>
            </w:rPr>
            <w:t>Ayuntamiento de Tepotzotlán</w:t>
          </w:r>
        </w:p>
      </w:tc>
    </w:tr>
    <w:tr w:rsidR="00EB2F95" w:rsidRPr="00025127" w:rsidTr="00575B7A">
      <w:trPr>
        <w:trHeight w:val="321"/>
      </w:trPr>
      <w:tc>
        <w:tcPr>
          <w:tcW w:w="3828" w:type="dxa"/>
          <w:vAlign w:val="center"/>
        </w:tcPr>
        <w:p w:rsidR="00EB2F95" w:rsidRPr="00575B7A" w:rsidRDefault="00EB2F95" w:rsidP="00785AAE">
          <w:pPr>
            <w:jc w:val="right"/>
            <w:rPr>
              <w:rFonts w:ascii="Palatino Linotype" w:hAnsi="Palatino Linotype"/>
              <w:b/>
              <w:szCs w:val="22"/>
            </w:rPr>
          </w:pPr>
          <w:r w:rsidRPr="00575B7A">
            <w:rPr>
              <w:rFonts w:ascii="Palatino Linotype" w:hAnsi="Palatino Linotype"/>
              <w:b/>
              <w:szCs w:val="22"/>
            </w:rPr>
            <w:t>COMISIONADA PONENTE:</w:t>
          </w:r>
        </w:p>
      </w:tc>
      <w:tc>
        <w:tcPr>
          <w:tcW w:w="4111" w:type="dxa"/>
          <w:vAlign w:val="center"/>
        </w:tcPr>
        <w:p w:rsidR="00EB2F95" w:rsidRPr="00575B7A" w:rsidRDefault="00EB2F95" w:rsidP="00575B7A">
          <w:pPr>
            <w:pStyle w:val="Encabezado"/>
            <w:ind w:left="33"/>
            <w:rPr>
              <w:rFonts w:ascii="Palatino Linotype" w:hAnsi="Palatino Linotype"/>
              <w:b/>
              <w:szCs w:val="22"/>
            </w:rPr>
          </w:pPr>
          <w:r w:rsidRPr="00575B7A">
            <w:rPr>
              <w:rFonts w:ascii="Palatino Linotype" w:hAnsi="Palatino Linotype"/>
              <w:b/>
              <w:szCs w:val="22"/>
            </w:rPr>
            <w:t>María del Rosario Mejía Ayala</w:t>
          </w:r>
        </w:p>
      </w:tc>
    </w:tr>
  </w:tbl>
  <w:p w:rsidR="00EB2F95" w:rsidRDefault="003113A7" w:rsidP="00785AAE">
    <w:pPr>
      <w:pStyle w:val="Encabezado"/>
      <w:tabs>
        <w:tab w:val="clear" w:pos="4252"/>
        <w:tab w:val="clear" w:pos="8504"/>
        <w:tab w:val="left" w:pos="3103"/>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5505343" o:spid="_x0000_s2049" type="#_x0000_t75" alt="" style="position:absolute;margin-left:-85.05pt;margin-top:-128.25pt;width:663.5pt;height:12in;z-index:-251658240;mso-wrap-edited:f;mso-width-percent:0;mso-height-percent:0;mso-position-horizontal-relative:margin;mso-position-vertical-relative:margin;mso-width-percent:0;mso-height-percent:0" o:allowincell="f">
          <v:imagedata r:id="rId1" o:title="PHOTO-2020-08-13-10-14-39"/>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047B3"/>
    <w:multiLevelType w:val="multilevel"/>
    <w:tmpl w:val="9E187D8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065484D"/>
    <w:multiLevelType w:val="multilevel"/>
    <w:tmpl w:val="E0083B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84339E"/>
    <w:multiLevelType w:val="multilevel"/>
    <w:tmpl w:val="F62E03B8"/>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34317490"/>
    <w:multiLevelType w:val="hybridMultilevel"/>
    <w:tmpl w:val="B6101880"/>
    <w:lvl w:ilvl="0" w:tplc="56B271C0">
      <w:start w:val="1"/>
      <w:numFmt w:val="decimal"/>
      <w:lvlText w:val="%1."/>
      <w:lvlJc w:val="left"/>
      <w:pPr>
        <w:ind w:left="0" w:firstLine="0"/>
      </w:pPr>
      <w:rPr>
        <w:rFonts w:ascii="Palatino Linotype" w:hAnsi="Palatino Linotype" w:hint="default"/>
        <w:b/>
        <w:i w:val="0"/>
        <w:sz w:val="24"/>
        <w:lang w:val="es-MX"/>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90003B1"/>
    <w:multiLevelType w:val="multilevel"/>
    <w:tmpl w:val="BDD644D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F9A450D"/>
    <w:multiLevelType w:val="multilevel"/>
    <w:tmpl w:val="670C8DB6"/>
    <w:lvl w:ilvl="0">
      <w:start w:val="1"/>
      <w:numFmt w:val="decimal"/>
      <w:lvlText w:val="%1."/>
      <w:lvlJc w:val="left"/>
      <w:pPr>
        <w:ind w:left="501"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C419F1"/>
    <w:multiLevelType w:val="hybridMultilevel"/>
    <w:tmpl w:val="4B1ABC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B094CE2"/>
    <w:multiLevelType w:val="multilevel"/>
    <w:tmpl w:val="646AC43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9A3C11"/>
    <w:multiLevelType w:val="hybridMultilevel"/>
    <w:tmpl w:val="3938906E"/>
    <w:lvl w:ilvl="0" w:tplc="4D0AEFB8">
      <w:start w:val="12"/>
      <w:numFmt w:val="decimal"/>
      <w:lvlText w:val="%1."/>
      <w:lvlJc w:val="left"/>
      <w:pPr>
        <w:ind w:left="3054" w:hanging="360"/>
      </w:pPr>
      <w:rPr>
        <w:rFonts w:ascii="Palatino Linotype" w:hAnsi="Palatino Linotype" w:hint="default"/>
        <w:b/>
        <w:i w:val="0"/>
      </w:rPr>
    </w:lvl>
    <w:lvl w:ilvl="1" w:tplc="080A0019" w:tentative="1">
      <w:start w:val="1"/>
      <w:numFmt w:val="lowerLetter"/>
      <w:lvlText w:val="%2."/>
      <w:lvlJc w:val="left"/>
      <w:pPr>
        <w:ind w:left="4908" w:hanging="360"/>
      </w:pPr>
    </w:lvl>
    <w:lvl w:ilvl="2" w:tplc="080A001B" w:tentative="1">
      <w:start w:val="1"/>
      <w:numFmt w:val="lowerRoman"/>
      <w:lvlText w:val="%3."/>
      <w:lvlJc w:val="right"/>
      <w:pPr>
        <w:ind w:left="5628" w:hanging="180"/>
      </w:pPr>
    </w:lvl>
    <w:lvl w:ilvl="3" w:tplc="080A000F" w:tentative="1">
      <w:start w:val="1"/>
      <w:numFmt w:val="decimal"/>
      <w:lvlText w:val="%4."/>
      <w:lvlJc w:val="left"/>
      <w:pPr>
        <w:ind w:left="6348" w:hanging="360"/>
      </w:pPr>
    </w:lvl>
    <w:lvl w:ilvl="4" w:tplc="080A0019" w:tentative="1">
      <w:start w:val="1"/>
      <w:numFmt w:val="lowerLetter"/>
      <w:lvlText w:val="%5."/>
      <w:lvlJc w:val="left"/>
      <w:pPr>
        <w:ind w:left="7068" w:hanging="360"/>
      </w:pPr>
    </w:lvl>
    <w:lvl w:ilvl="5" w:tplc="080A001B" w:tentative="1">
      <w:start w:val="1"/>
      <w:numFmt w:val="lowerRoman"/>
      <w:lvlText w:val="%6."/>
      <w:lvlJc w:val="right"/>
      <w:pPr>
        <w:ind w:left="7788" w:hanging="180"/>
      </w:pPr>
    </w:lvl>
    <w:lvl w:ilvl="6" w:tplc="080A000F" w:tentative="1">
      <w:start w:val="1"/>
      <w:numFmt w:val="decimal"/>
      <w:lvlText w:val="%7."/>
      <w:lvlJc w:val="left"/>
      <w:pPr>
        <w:ind w:left="8508" w:hanging="360"/>
      </w:pPr>
    </w:lvl>
    <w:lvl w:ilvl="7" w:tplc="080A0019" w:tentative="1">
      <w:start w:val="1"/>
      <w:numFmt w:val="lowerLetter"/>
      <w:lvlText w:val="%8."/>
      <w:lvlJc w:val="left"/>
      <w:pPr>
        <w:ind w:left="9228" w:hanging="360"/>
      </w:pPr>
    </w:lvl>
    <w:lvl w:ilvl="8" w:tplc="080A001B" w:tentative="1">
      <w:start w:val="1"/>
      <w:numFmt w:val="lowerRoman"/>
      <w:lvlText w:val="%9."/>
      <w:lvlJc w:val="right"/>
      <w:pPr>
        <w:ind w:left="9948" w:hanging="180"/>
      </w:pPr>
    </w:lvl>
  </w:abstractNum>
  <w:abstractNum w:abstractNumId="9" w15:restartNumberingAfterBreak="0">
    <w:nsid w:val="543B204A"/>
    <w:multiLevelType w:val="hybridMultilevel"/>
    <w:tmpl w:val="C944C5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4661EC6"/>
    <w:multiLevelType w:val="hybridMultilevel"/>
    <w:tmpl w:val="B2BEB4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E1B7896"/>
    <w:multiLevelType w:val="hybridMultilevel"/>
    <w:tmpl w:val="B7C6D2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28C6A4E"/>
    <w:multiLevelType w:val="hybridMultilevel"/>
    <w:tmpl w:val="E702C3A8"/>
    <w:lvl w:ilvl="0" w:tplc="080A0001">
      <w:start w:val="1"/>
      <w:numFmt w:val="bullet"/>
      <w:lvlText w:val=""/>
      <w:lvlJc w:val="left"/>
      <w:pPr>
        <w:ind w:left="1498" w:hanging="360"/>
      </w:pPr>
      <w:rPr>
        <w:rFonts w:ascii="Symbol" w:hAnsi="Symbol"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13" w15:restartNumberingAfterBreak="0">
    <w:nsid w:val="660A5D99"/>
    <w:multiLevelType w:val="hybridMultilevel"/>
    <w:tmpl w:val="FDF4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E2F3F9D"/>
    <w:multiLevelType w:val="hybridMultilevel"/>
    <w:tmpl w:val="C99AA9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1"/>
  </w:num>
  <w:num w:numId="4">
    <w:abstractNumId w:val="2"/>
  </w:num>
  <w:num w:numId="5">
    <w:abstractNumId w:val="1"/>
  </w:num>
  <w:num w:numId="6">
    <w:abstractNumId w:val="9"/>
  </w:num>
  <w:num w:numId="7">
    <w:abstractNumId w:val="13"/>
  </w:num>
  <w:num w:numId="8">
    <w:abstractNumId w:val="8"/>
  </w:num>
  <w:num w:numId="9">
    <w:abstractNumId w:val="10"/>
  </w:num>
  <w:num w:numId="10">
    <w:abstractNumId w:val="0"/>
  </w:num>
  <w:num w:numId="11">
    <w:abstractNumId w:val="4"/>
  </w:num>
  <w:num w:numId="12">
    <w:abstractNumId w:val="12"/>
  </w:num>
  <w:num w:numId="13">
    <w:abstractNumId w:val="5"/>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AAE"/>
    <w:rsid w:val="00163427"/>
    <w:rsid w:val="00247921"/>
    <w:rsid w:val="0025096D"/>
    <w:rsid w:val="003113A7"/>
    <w:rsid w:val="003478E8"/>
    <w:rsid w:val="0035356C"/>
    <w:rsid w:val="00575B7A"/>
    <w:rsid w:val="0064709E"/>
    <w:rsid w:val="006506CA"/>
    <w:rsid w:val="0065193C"/>
    <w:rsid w:val="00730A73"/>
    <w:rsid w:val="00785AAE"/>
    <w:rsid w:val="008D57E4"/>
    <w:rsid w:val="00966B7A"/>
    <w:rsid w:val="009A00E8"/>
    <w:rsid w:val="00B130FE"/>
    <w:rsid w:val="00C31D73"/>
    <w:rsid w:val="00E01427"/>
    <w:rsid w:val="00E95C47"/>
    <w:rsid w:val="00EB2F95"/>
    <w:rsid w:val="00F42621"/>
    <w:rsid w:val="00F51C35"/>
    <w:rsid w:val="00F63708"/>
    <w:rsid w:val="00F92B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41E4BCE-EC8F-4A1E-920A-AA0C53B5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AAE"/>
    <w:pPr>
      <w:spacing w:after="0" w:line="240" w:lineRule="auto"/>
    </w:pPr>
    <w:rPr>
      <w:rFonts w:eastAsiaTheme="minorEastAsia"/>
      <w:sz w:val="24"/>
      <w:szCs w:val="24"/>
      <w:lang w:eastAsia="es-ES"/>
    </w:rPr>
  </w:style>
  <w:style w:type="paragraph" w:styleId="Ttulo1">
    <w:name w:val="heading 1"/>
    <w:basedOn w:val="Normal"/>
    <w:next w:val="Normal"/>
    <w:link w:val="Ttulo1Car"/>
    <w:uiPriority w:val="9"/>
    <w:qFormat/>
    <w:rsid w:val="00785AAE"/>
    <w:pPr>
      <w:keepNext/>
      <w:keepLines/>
      <w:spacing w:before="240" w:line="259" w:lineRule="auto"/>
      <w:outlineLvl w:val="0"/>
    </w:pPr>
    <w:rPr>
      <w:rFonts w:ascii="Palatino Linotype" w:eastAsiaTheme="majorEastAsia" w:hAnsi="Palatino Linotype" w:cstheme="majorBidi"/>
      <w:szCs w:val="32"/>
      <w:lang w:eastAsia="en-US"/>
    </w:rPr>
  </w:style>
  <w:style w:type="paragraph" w:styleId="Ttulo2">
    <w:name w:val="heading 2"/>
    <w:basedOn w:val="Normal"/>
    <w:next w:val="Normal"/>
    <w:link w:val="Ttulo2Car"/>
    <w:uiPriority w:val="9"/>
    <w:unhideWhenUsed/>
    <w:qFormat/>
    <w:rsid w:val="00785AAE"/>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5AAE"/>
    <w:rPr>
      <w:rFonts w:ascii="Palatino Linotype" w:eastAsiaTheme="majorEastAsia" w:hAnsi="Palatino Linotype" w:cstheme="majorBidi"/>
      <w:sz w:val="24"/>
      <w:szCs w:val="32"/>
    </w:rPr>
  </w:style>
  <w:style w:type="character" w:customStyle="1" w:styleId="Ttulo2Car">
    <w:name w:val="Título 2 Car"/>
    <w:basedOn w:val="Fuentedeprrafopredeter"/>
    <w:link w:val="Ttulo2"/>
    <w:uiPriority w:val="9"/>
    <w:rsid w:val="00785AAE"/>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785AAE"/>
    <w:pPr>
      <w:tabs>
        <w:tab w:val="center" w:pos="4252"/>
        <w:tab w:val="right" w:pos="8504"/>
      </w:tabs>
    </w:pPr>
  </w:style>
  <w:style w:type="character" w:customStyle="1" w:styleId="EncabezadoCar">
    <w:name w:val="Encabezado Car"/>
    <w:basedOn w:val="Fuentedeprrafopredeter"/>
    <w:link w:val="Encabezado"/>
    <w:uiPriority w:val="99"/>
    <w:rsid w:val="00785AAE"/>
    <w:rPr>
      <w:rFonts w:eastAsiaTheme="minorEastAsia"/>
      <w:sz w:val="24"/>
      <w:szCs w:val="24"/>
      <w:lang w:eastAsia="es-ES"/>
    </w:rPr>
  </w:style>
  <w:style w:type="paragraph" w:styleId="Piedepgina">
    <w:name w:val="footer"/>
    <w:basedOn w:val="Normal"/>
    <w:link w:val="PiedepginaCar"/>
    <w:uiPriority w:val="99"/>
    <w:unhideWhenUsed/>
    <w:rsid w:val="00785AAE"/>
    <w:pPr>
      <w:tabs>
        <w:tab w:val="center" w:pos="4252"/>
        <w:tab w:val="right" w:pos="8504"/>
      </w:tabs>
    </w:pPr>
  </w:style>
  <w:style w:type="character" w:customStyle="1" w:styleId="PiedepginaCar">
    <w:name w:val="Pie de página Car"/>
    <w:basedOn w:val="Fuentedeprrafopredeter"/>
    <w:link w:val="Piedepgina"/>
    <w:uiPriority w:val="99"/>
    <w:rsid w:val="00785AAE"/>
    <w:rPr>
      <w:rFonts w:eastAsiaTheme="minorEastAsia"/>
      <w:sz w:val="24"/>
      <w:szCs w:val="24"/>
      <w:lang w:eastAsia="es-ES"/>
    </w:rPr>
  </w:style>
  <w:style w:type="table" w:styleId="Tablaconcuadrcula">
    <w:name w:val="Table Grid"/>
    <w:basedOn w:val="Tablanormal"/>
    <w:uiPriority w:val="39"/>
    <w:rsid w:val="00785AAE"/>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85AAE"/>
    <w:pPr>
      <w:ind w:left="720"/>
      <w:contextualSpacing/>
    </w:pPr>
  </w:style>
  <w:style w:type="paragraph" w:styleId="Sinespaciado">
    <w:name w:val="No Spacing"/>
    <w:aliases w:val="Francesa,INAI"/>
    <w:link w:val="SinespaciadoCar"/>
    <w:uiPriority w:val="1"/>
    <w:qFormat/>
    <w:rsid w:val="00785AAE"/>
    <w:pPr>
      <w:spacing w:after="0" w:line="240" w:lineRule="auto"/>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85AAE"/>
    <w:rPr>
      <w:rFonts w:eastAsiaTheme="minorEastAsia"/>
      <w:sz w:val="24"/>
      <w:szCs w:val="24"/>
      <w:lang w:eastAsia="es-ES"/>
    </w:rPr>
  </w:style>
  <w:style w:type="character" w:customStyle="1" w:styleId="SinespaciadoCar">
    <w:name w:val="Sin espaciado Car"/>
    <w:aliases w:val="Francesa Car,INAI Car"/>
    <w:link w:val="Sinespaciado"/>
    <w:uiPriority w:val="1"/>
    <w:locked/>
    <w:rsid w:val="00785AAE"/>
    <w:rPr>
      <w:rFonts w:eastAsiaTheme="minorEastAsia"/>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349900">
      <w:bodyDiv w:val="1"/>
      <w:marLeft w:val="0"/>
      <w:marRight w:val="0"/>
      <w:marTop w:val="0"/>
      <w:marBottom w:val="0"/>
      <w:divBdr>
        <w:top w:val="none" w:sz="0" w:space="0" w:color="auto"/>
        <w:left w:val="none" w:sz="0" w:space="0" w:color="auto"/>
        <w:bottom w:val="none" w:sz="0" w:space="0" w:color="auto"/>
        <w:right w:val="none" w:sz="0" w:space="0" w:color="auto"/>
      </w:divBdr>
    </w:div>
    <w:div w:id="1676957595">
      <w:bodyDiv w:val="1"/>
      <w:marLeft w:val="0"/>
      <w:marRight w:val="0"/>
      <w:marTop w:val="0"/>
      <w:marBottom w:val="0"/>
      <w:divBdr>
        <w:top w:val="none" w:sz="0" w:space="0" w:color="auto"/>
        <w:left w:val="none" w:sz="0" w:space="0" w:color="auto"/>
        <w:bottom w:val="none" w:sz="0" w:space="0" w:color="auto"/>
        <w:right w:val="none" w:sz="0" w:space="0" w:color="auto"/>
      </w:divBdr>
    </w:div>
    <w:div w:id="183252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31</Pages>
  <Words>8095</Words>
  <Characters>44527</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9</cp:revision>
  <cp:lastPrinted>2026-05-14T17:33:00Z</cp:lastPrinted>
  <dcterms:created xsi:type="dcterms:W3CDTF">2026-05-06T18:59:00Z</dcterms:created>
  <dcterms:modified xsi:type="dcterms:W3CDTF">2026-05-18T23:56:00Z</dcterms:modified>
</cp:coreProperties>
</file>