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0C9" w:rsidRPr="00D906B2" w:rsidRDefault="007D10C9" w:rsidP="007D10C9">
      <w:pPr>
        <w:spacing w:line="360" w:lineRule="auto"/>
        <w:jc w:val="both"/>
        <w:rPr>
          <w:rFonts w:ascii="Palatino Linotype" w:hAnsi="Palatino Linotype"/>
        </w:rPr>
      </w:pPr>
      <w:r w:rsidRPr="00D906B2">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2C3435" w:rsidRPr="00D906B2">
        <w:rPr>
          <w:rFonts w:ascii="Palatino Linotype" w:hAnsi="Palatino Linotype"/>
        </w:rPr>
        <w:t xml:space="preserve">tres de junio </w:t>
      </w:r>
      <w:r w:rsidRPr="00D906B2">
        <w:rPr>
          <w:rFonts w:ascii="Palatino Linotype" w:hAnsi="Palatino Linotype"/>
        </w:rPr>
        <w:t>de dos mil veintiséis.</w:t>
      </w:r>
    </w:p>
    <w:p w:rsidR="007D10C9" w:rsidRPr="00D906B2" w:rsidRDefault="007D10C9" w:rsidP="007D10C9">
      <w:pPr>
        <w:spacing w:line="360" w:lineRule="auto"/>
        <w:jc w:val="both"/>
        <w:rPr>
          <w:rFonts w:ascii="Palatino Linotype" w:hAnsi="Palatino Linotype"/>
        </w:rPr>
      </w:pPr>
    </w:p>
    <w:p w:rsidR="007D10C9" w:rsidRPr="00D906B2" w:rsidRDefault="007D10C9" w:rsidP="007D10C9">
      <w:pPr>
        <w:tabs>
          <w:tab w:val="left" w:pos="1701"/>
        </w:tabs>
        <w:spacing w:before="240" w:line="360" w:lineRule="auto"/>
        <w:jc w:val="both"/>
        <w:rPr>
          <w:rFonts w:ascii="Palatino Linotype" w:hAnsi="Palatino Linotype" w:cs="Arial"/>
          <w:sz w:val="28"/>
        </w:rPr>
      </w:pPr>
      <w:r w:rsidRPr="00D906B2">
        <w:rPr>
          <w:rFonts w:ascii="Palatino Linotype" w:hAnsi="Palatino Linotype" w:cs="Arial"/>
          <w:b/>
        </w:rPr>
        <w:t>VISTO</w:t>
      </w:r>
      <w:r w:rsidRPr="00D906B2">
        <w:rPr>
          <w:rFonts w:ascii="Palatino Linotype" w:hAnsi="Palatino Linotype" w:cs="Arial"/>
        </w:rPr>
        <w:t xml:space="preserve"> el expediente electrónico formado con motivo del recurso de revisión número</w:t>
      </w:r>
      <w:r w:rsidRPr="00D906B2">
        <w:rPr>
          <w:rFonts w:ascii="Palatino Linotype" w:hAnsi="Palatino Linotype" w:cs="Arial"/>
          <w:b/>
        </w:rPr>
        <w:t xml:space="preserve"> </w:t>
      </w:r>
      <w:bookmarkStart w:id="0" w:name="_GoBack"/>
      <w:r w:rsidRPr="00D906B2">
        <w:rPr>
          <w:rFonts w:ascii="Palatino Linotype" w:hAnsi="Palatino Linotype" w:cs="Arial"/>
          <w:b/>
          <w:bCs/>
          <w:lang w:eastAsia="es-MX"/>
        </w:rPr>
        <w:t>012995/INFOEM/IP/RR/2025</w:t>
      </w:r>
      <w:bookmarkEnd w:id="0"/>
      <w:r w:rsidRPr="00D906B2">
        <w:rPr>
          <w:rFonts w:ascii="Palatino Linotype" w:hAnsi="Palatino Linotype" w:cs="Arial"/>
          <w:b/>
          <w:bCs/>
          <w:lang w:eastAsia="es-MX"/>
        </w:rPr>
        <w:t xml:space="preserve">, </w:t>
      </w:r>
      <w:r w:rsidRPr="00D906B2">
        <w:rPr>
          <w:rFonts w:ascii="Palatino Linotype" w:hAnsi="Palatino Linotype"/>
        </w:rPr>
        <w:t>interpuesto por “</w:t>
      </w:r>
      <w:r w:rsidR="000F376B">
        <w:rPr>
          <w:rFonts w:ascii="Palatino Linotype" w:hAnsi="Palatino Linotype"/>
        </w:rPr>
        <w:t>XXXXXXXXXXXXXX</w:t>
      </w:r>
      <w:r w:rsidRPr="00D906B2">
        <w:rPr>
          <w:rFonts w:ascii="Palatino Linotype" w:hAnsi="Palatino Linotype"/>
        </w:rPr>
        <w:t xml:space="preserve">”, en lo sucesivo la parte </w:t>
      </w:r>
      <w:r w:rsidRPr="00D906B2">
        <w:rPr>
          <w:rFonts w:ascii="Palatino Linotype" w:hAnsi="Palatino Linotype"/>
          <w:b/>
        </w:rPr>
        <w:t>Recurrente</w:t>
      </w:r>
      <w:r w:rsidRPr="00D906B2">
        <w:rPr>
          <w:rFonts w:ascii="Palatino Linotype" w:hAnsi="Palatino Linotype"/>
        </w:rPr>
        <w:t xml:space="preserve">, en lo sucesivo la parte </w:t>
      </w:r>
      <w:r w:rsidRPr="00D906B2">
        <w:rPr>
          <w:rFonts w:ascii="Palatino Linotype" w:hAnsi="Palatino Linotype"/>
          <w:b/>
        </w:rPr>
        <w:t>Recurrente</w:t>
      </w:r>
      <w:r w:rsidRPr="00D906B2">
        <w:rPr>
          <w:rFonts w:ascii="Palatino Linotype" w:hAnsi="Palatino Linotype"/>
        </w:rPr>
        <w:t xml:space="preserve">, en contra de la respuesta del </w:t>
      </w:r>
      <w:r w:rsidRPr="00D906B2">
        <w:rPr>
          <w:rFonts w:ascii="Palatino Linotype" w:hAnsi="Palatino Linotype"/>
          <w:b/>
        </w:rPr>
        <w:t>Ayuntamiento de Amecameca</w:t>
      </w:r>
      <w:r w:rsidRPr="00D906B2">
        <w:rPr>
          <w:rFonts w:ascii="Palatino Linotype" w:hAnsi="Palatino Linotype"/>
        </w:rPr>
        <w:t xml:space="preserve">, en lo subsecuente el </w:t>
      </w:r>
      <w:r w:rsidRPr="00D906B2">
        <w:rPr>
          <w:rFonts w:ascii="Palatino Linotype" w:hAnsi="Palatino Linotype"/>
          <w:b/>
        </w:rPr>
        <w:t>Sujeto Obligado</w:t>
      </w:r>
      <w:r w:rsidRPr="00D906B2">
        <w:rPr>
          <w:rFonts w:ascii="Palatino Linotype" w:hAnsi="Palatino Linotype"/>
        </w:rPr>
        <w:t>, se procede a dictar la presente resolución.</w:t>
      </w:r>
    </w:p>
    <w:p w:rsidR="007D10C9" w:rsidRPr="00D906B2" w:rsidRDefault="007D10C9" w:rsidP="007D10C9">
      <w:pPr>
        <w:pStyle w:val="infoemcitas"/>
        <w:jc w:val="center"/>
        <w:rPr>
          <w:b/>
          <w:bCs/>
          <w:i w:val="0"/>
          <w:iCs/>
          <w:sz w:val="24"/>
          <w:szCs w:val="28"/>
        </w:rPr>
      </w:pPr>
    </w:p>
    <w:p w:rsidR="007D10C9" w:rsidRPr="00D906B2" w:rsidRDefault="007D10C9" w:rsidP="007D10C9">
      <w:pPr>
        <w:pStyle w:val="infoemcitas"/>
        <w:jc w:val="center"/>
        <w:rPr>
          <w:b/>
          <w:bCs/>
          <w:i w:val="0"/>
          <w:iCs/>
          <w:sz w:val="28"/>
          <w:szCs w:val="28"/>
        </w:rPr>
      </w:pPr>
      <w:r w:rsidRPr="00D906B2">
        <w:rPr>
          <w:b/>
          <w:bCs/>
          <w:i w:val="0"/>
          <w:iCs/>
          <w:sz w:val="28"/>
          <w:szCs w:val="28"/>
        </w:rPr>
        <w:t>A N T E C E D E N T E S   D E L   A S U N T O</w:t>
      </w:r>
    </w:p>
    <w:p w:rsidR="007D10C9" w:rsidRPr="00D906B2" w:rsidRDefault="007D10C9" w:rsidP="007D10C9">
      <w:pPr>
        <w:pStyle w:val="infoemcitas"/>
        <w:jc w:val="center"/>
        <w:rPr>
          <w:b/>
          <w:bCs/>
          <w:i w:val="0"/>
          <w:iCs/>
          <w:sz w:val="24"/>
          <w:szCs w:val="28"/>
        </w:rPr>
      </w:pPr>
    </w:p>
    <w:p w:rsidR="007D10C9" w:rsidRPr="00D906B2" w:rsidRDefault="007D10C9" w:rsidP="007D10C9">
      <w:pPr>
        <w:spacing w:before="240" w:after="240" w:line="360" w:lineRule="auto"/>
        <w:jc w:val="both"/>
        <w:rPr>
          <w:rFonts w:ascii="Palatino Linotype" w:hAnsi="Palatino Linotype"/>
        </w:rPr>
      </w:pPr>
      <w:r w:rsidRPr="00D906B2">
        <w:rPr>
          <w:rFonts w:ascii="Palatino Linotype" w:hAnsi="Palatino Linotype" w:cs="Arial"/>
          <w:b/>
          <w:sz w:val="28"/>
        </w:rPr>
        <w:t>PRIMERO.</w:t>
      </w:r>
      <w:r w:rsidRPr="00D906B2">
        <w:rPr>
          <w:rFonts w:ascii="Palatino Linotype" w:hAnsi="Palatino Linotype" w:cs="Arial"/>
        </w:rPr>
        <w:t xml:space="preserve"> </w:t>
      </w:r>
      <w:r w:rsidRPr="00D906B2">
        <w:rPr>
          <w:rFonts w:ascii="Palatino Linotype" w:hAnsi="Palatino Linotype"/>
          <w:b/>
          <w:sz w:val="28"/>
          <w:szCs w:val="28"/>
        </w:rPr>
        <w:t>De la Solicitud de Información.</w:t>
      </w:r>
    </w:p>
    <w:p w:rsidR="007D10C9" w:rsidRPr="00D906B2" w:rsidRDefault="007D10C9" w:rsidP="007D10C9">
      <w:pPr>
        <w:spacing w:before="240" w:line="360" w:lineRule="auto"/>
        <w:jc w:val="both"/>
        <w:rPr>
          <w:rFonts w:ascii="Palatino Linotype" w:hAnsi="Palatino Linotype" w:cs="Arial"/>
        </w:rPr>
      </w:pPr>
      <w:r w:rsidRPr="00D906B2">
        <w:rPr>
          <w:rFonts w:ascii="Palatino Linotype" w:hAnsi="Palatino Linotype" w:cs="Arial"/>
        </w:rPr>
        <w:t xml:space="preserve">Con fecha </w:t>
      </w:r>
      <w:r w:rsidRPr="00D906B2">
        <w:rPr>
          <w:rFonts w:ascii="Palatino Linotype" w:hAnsi="Palatino Linotype" w:cs="Arial"/>
          <w:b/>
        </w:rPr>
        <w:t>dieciséis de octubre de dos mil veinticinco</w:t>
      </w:r>
      <w:r w:rsidRPr="00D906B2">
        <w:rPr>
          <w:rFonts w:ascii="Palatino Linotype" w:hAnsi="Palatino Linotype" w:cs="Arial"/>
        </w:rPr>
        <w:t>, la parte</w:t>
      </w:r>
      <w:r w:rsidRPr="00D906B2">
        <w:rPr>
          <w:rFonts w:ascii="Palatino Linotype" w:hAnsi="Palatino Linotype" w:cs="Arial"/>
          <w:b/>
        </w:rPr>
        <w:t xml:space="preserve"> Recurrente </w:t>
      </w:r>
      <w:r w:rsidRPr="00D906B2">
        <w:rPr>
          <w:rFonts w:ascii="Palatino Linotype" w:hAnsi="Palatino Linotype" w:cs="Arial"/>
        </w:rPr>
        <w:t>presentó a través del Sistema de Acceso a la Información Mexiquense (</w:t>
      </w:r>
      <w:r w:rsidRPr="00D906B2">
        <w:rPr>
          <w:rFonts w:ascii="Palatino Linotype" w:hAnsi="Palatino Linotype" w:cs="Arial"/>
          <w:b/>
        </w:rPr>
        <w:t>SAIMEX)</w:t>
      </w:r>
      <w:r w:rsidRPr="00D906B2">
        <w:rPr>
          <w:rFonts w:ascii="Palatino Linotype" w:hAnsi="Palatino Linotype" w:cs="Arial"/>
        </w:rPr>
        <w:t xml:space="preserve"> ante </w:t>
      </w:r>
      <w:r w:rsidRPr="00D906B2">
        <w:rPr>
          <w:rFonts w:ascii="Palatino Linotype" w:hAnsi="Palatino Linotype" w:cs="Arial"/>
          <w:b/>
        </w:rPr>
        <w:t>El Sujeto Obligado</w:t>
      </w:r>
      <w:r w:rsidRPr="00D906B2">
        <w:rPr>
          <w:rFonts w:ascii="Palatino Linotype" w:hAnsi="Palatino Linotype" w:cs="Arial"/>
        </w:rPr>
        <w:t xml:space="preserve">, solicitud de acceso a la información pública, registrada bajo el número de expediente </w:t>
      </w:r>
      <w:r w:rsidRPr="00D906B2">
        <w:rPr>
          <w:rFonts w:ascii="Palatino Linotype" w:hAnsi="Palatino Linotype" w:cs="Arial"/>
          <w:b/>
        </w:rPr>
        <w:t xml:space="preserve">00153/AMECAMEC/IP/2025, </w:t>
      </w:r>
      <w:r w:rsidRPr="00D906B2">
        <w:rPr>
          <w:rFonts w:ascii="Palatino Linotype" w:hAnsi="Palatino Linotype" w:cs="Arial"/>
        </w:rPr>
        <w:t>mediante la cual solicitó información en el tenor siguiente:</w:t>
      </w:r>
    </w:p>
    <w:p w:rsidR="007D10C9" w:rsidRPr="00D906B2" w:rsidRDefault="007D10C9" w:rsidP="007D10C9">
      <w:pPr>
        <w:pStyle w:val="INFOEM"/>
        <w:rPr>
          <w:lang w:val="es-ES_tradnl" w:eastAsia="es-ES"/>
        </w:rPr>
      </w:pPr>
      <w:r w:rsidRPr="00D906B2">
        <w:rPr>
          <w:lang w:val="es-ES_tradnl" w:eastAsia="es-ES"/>
        </w:rPr>
        <w:t>“</w:t>
      </w:r>
      <w:r w:rsidRPr="00D906B2">
        <w:rPr>
          <w:lang w:val="es-ES" w:eastAsia="es-ES"/>
        </w:rPr>
        <w:t xml:space="preserve">SOLICITO COPIA SIMPLE DIGITALIZADA A TRAVÉS DEL SISTEMA ELECTRÓNICO SAIMEX DE TODAS LAS FACTURAS PAGADAS CON </w:t>
      </w:r>
      <w:r w:rsidRPr="00D906B2">
        <w:rPr>
          <w:lang w:val="es-ES" w:eastAsia="es-ES"/>
        </w:rPr>
        <w:lastRenderedPageBreak/>
        <w:t>RECURSOS PÚBLICOS DE LA PARTIDA PRESUPUESTAL 3611 DURANTE LOS AÑOS 2024 Y 2025.</w:t>
      </w:r>
      <w:r w:rsidRPr="00D906B2">
        <w:rPr>
          <w:lang w:val="es-ES_tradnl" w:eastAsia="es-ES"/>
        </w:rPr>
        <w:t>” (Sic)</w:t>
      </w:r>
    </w:p>
    <w:p w:rsidR="007D10C9" w:rsidRPr="00D906B2" w:rsidRDefault="007D10C9" w:rsidP="007D10C9">
      <w:pPr>
        <w:spacing w:before="240" w:line="360" w:lineRule="auto"/>
        <w:jc w:val="both"/>
        <w:rPr>
          <w:rFonts w:ascii="Palatino Linotype" w:hAnsi="Palatino Linotype"/>
          <w:lang w:val="es-ES_tradnl"/>
        </w:rPr>
      </w:pPr>
      <w:r w:rsidRPr="00D906B2">
        <w:rPr>
          <w:rFonts w:ascii="Palatino Linotype" w:hAnsi="Palatino Linotype"/>
          <w:b/>
          <w:lang w:val="es-ES_tradnl"/>
        </w:rPr>
        <w:t>Modalidad de entrega:</w:t>
      </w:r>
      <w:r w:rsidRPr="00D906B2">
        <w:rPr>
          <w:rFonts w:ascii="Palatino Linotype" w:hAnsi="Palatino Linotype"/>
          <w:lang w:val="es-ES_tradnl"/>
        </w:rPr>
        <w:t xml:space="preserve"> A través del SAIMEX.</w:t>
      </w:r>
    </w:p>
    <w:p w:rsidR="007D10C9" w:rsidRPr="00D906B2" w:rsidRDefault="007D10C9" w:rsidP="007D10C9">
      <w:pPr>
        <w:spacing w:line="360" w:lineRule="auto"/>
        <w:jc w:val="both"/>
        <w:rPr>
          <w:rFonts w:ascii="Palatino Linotype" w:hAnsi="Palatino Linotype" w:cs="Arial"/>
          <w:b/>
        </w:rPr>
      </w:pPr>
    </w:p>
    <w:p w:rsidR="007D10C9" w:rsidRPr="00D906B2" w:rsidRDefault="007D10C9" w:rsidP="007D10C9">
      <w:pPr>
        <w:spacing w:line="360" w:lineRule="auto"/>
        <w:jc w:val="both"/>
        <w:rPr>
          <w:rFonts w:ascii="Palatino Linotype" w:hAnsi="Palatino Linotype" w:cs="Arial"/>
          <w:b/>
          <w:sz w:val="28"/>
        </w:rPr>
      </w:pPr>
      <w:r w:rsidRPr="00D906B2">
        <w:rPr>
          <w:rFonts w:ascii="Palatino Linotype" w:hAnsi="Palatino Linotype" w:cs="Arial"/>
          <w:b/>
          <w:sz w:val="28"/>
        </w:rPr>
        <w:t xml:space="preserve">SEGUNDO. </w:t>
      </w:r>
      <w:r w:rsidRPr="00D906B2">
        <w:rPr>
          <w:rFonts w:ascii="Palatino Linotype" w:hAnsi="Palatino Linotype" w:cs="Arial"/>
          <w:b/>
          <w:sz w:val="28"/>
          <w:szCs w:val="20"/>
        </w:rPr>
        <w:t>De la respuesta o entrega de la información.</w:t>
      </w:r>
    </w:p>
    <w:p w:rsidR="007D10C9" w:rsidRPr="00D906B2" w:rsidRDefault="007D10C9" w:rsidP="007D10C9">
      <w:pPr>
        <w:pStyle w:val="Sinespaciado"/>
        <w:spacing w:line="360" w:lineRule="auto"/>
        <w:jc w:val="both"/>
        <w:rPr>
          <w:rFonts w:ascii="Palatino Linotype" w:hAnsi="Palatino Linotype" w:cs="Arial"/>
          <w:b/>
          <w:sz w:val="24"/>
        </w:rPr>
      </w:pPr>
      <w:r w:rsidRPr="00D906B2">
        <w:rPr>
          <w:rFonts w:ascii="Palatino Linotype" w:hAnsi="Palatino Linotype"/>
          <w:sz w:val="24"/>
        </w:rPr>
        <w:t xml:space="preserve">De las constancias que obran en el expediente electrónico, se advierte que el </w:t>
      </w:r>
      <w:r w:rsidRPr="00D906B2">
        <w:rPr>
          <w:rFonts w:ascii="Palatino Linotype" w:hAnsi="Palatino Linotype" w:cs="Arial"/>
          <w:sz w:val="24"/>
        </w:rPr>
        <w:t xml:space="preserve">día </w:t>
      </w:r>
      <w:r w:rsidRPr="00D906B2">
        <w:rPr>
          <w:rFonts w:ascii="Palatino Linotype" w:hAnsi="Palatino Linotype" w:cs="Arial"/>
          <w:b/>
          <w:sz w:val="24"/>
        </w:rPr>
        <w:t>seis de noviembre de dos mil veinticinco</w:t>
      </w:r>
      <w:r w:rsidRPr="00D906B2">
        <w:rPr>
          <w:rFonts w:ascii="Palatino Linotype" w:hAnsi="Palatino Linotype" w:cs="Arial"/>
          <w:sz w:val="24"/>
        </w:rPr>
        <w:t xml:space="preserve">, el </w:t>
      </w:r>
      <w:r w:rsidRPr="00D906B2">
        <w:rPr>
          <w:rFonts w:ascii="Palatino Linotype" w:hAnsi="Palatino Linotype" w:cs="Arial"/>
          <w:b/>
          <w:sz w:val="24"/>
        </w:rPr>
        <w:t>Sujeto Obligado</w:t>
      </w:r>
      <w:r w:rsidRPr="00D906B2">
        <w:rPr>
          <w:rFonts w:ascii="Palatino Linotype" w:hAnsi="Palatino Linotype" w:cs="Arial"/>
          <w:sz w:val="24"/>
        </w:rPr>
        <w:t xml:space="preserve"> dio respuesta a la solicitud de información en los siguientes términos: </w:t>
      </w:r>
    </w:p>
    <w:p w:rsidR="007D10C9" w:rsidRPr="00D906B2" w:rsidRDefault="007D10C9" w:rsidP="007D10C9">
      <w:pPr>
        <w:spacing w:line="360" w:lineRule="auto"/>
        <w:jc w:val="both"/>
        <w:rPr>
          <w:rFonts w:ascii="Palatino Linotype" w:hAnsi="Palatino Linotype" w:cs="Arial"/>
        </w:rPr>
      </w:pPr>
    </w:p>
    <w:p w:rsidR="007D10C9" w:rsidRPr="00D906B2" w:rsidRDefault="007D10C9" w:rsidP="007D10C9">
      <w:pPr>
        <w:ind w:left="567" w:right="567"/>
        <w:jc w:val="both"/>
        <w:rPr>
          <w:rFonts w:ascii="Palatino Linotype" w:hAnsi="Palatino Linotype" w:cs="Arial"/>
          <w:i/>
        </w:rPr>
      </w:pPr>
      <w:r w:rsidRPr="00D906B2">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7D10C9" w:rsidRPr="00D906B2" w:rsidRDefault="007D10C9" w:rsidP="007D10C9">
      <w:pPr>
        <w:ind w:left="567" w:right="567"/>
        <w:jc w:val="both"/>
        <w:rPr>
          <w:rFonts w:ascii="Palatino Linotype" w:hAnsi="Palatino Linotype" w:cs="Arial"/>
          <w:i/>
        </w:rPr>
      </w:pPr>
      <w:r w:rsidRPr="00D906B2">
        <w:rPr>
          <w:rFonts w:ascii="Palatino Linotype" w:hAnsi="Palatino Linotype" w:cs="Arial"/>
          <w:i/>
        </w:rPr>
        <w:t xml:space="preserve">LIC. C.P. Y AP. MARIO EDMUNDO RODRÍGUEZ AGUILAR, TITULAR DE LA UNIDAD DE TRANSPARENCIA Y ACCESO A LA INFORMACIÓN PÚBLICA En atención a la solicitud no. 00153/AMECAMEC/IP/2025, que a la letra dice: “SOLICITO COPIA SIMPLE DIGITALIZADA A TRAVÉS DEL SISTEMA ELECTRÓNICO SAIMEX DE TODAS LAS FACTURAS PAGADAS CON RECURSOS PÚBLICOS DE LA PARTIDA PRESUPUESTAL 3611 DURANTE LOS AÑOS 2024 Y 2025” Después de realizar una búsqueda exhaustiva en las áreas competentes, se informa que no es posible proporcionar las facturas solicitadas, toda vez que la información requerida contiene datos personales y fiscales de terceros, cuya difusión, copia o entrega implicaría una vulneración directa a derechos protegidos por ley. De acuerdo con lo dispuesto en los artículos 113 fracción I y 116 de la Ley de Transparencia y Acceso a la Información Pública del Estado de México y Municipios, así como los artículos 6, 113 y 116 de la Ley General de Transparencia y Acceso a la Información Pública, la información que contenga nombres, domicilios fiscales, RFC, cuentas bancarias, claves de facturación, correos electrónicos, firmas o cualquier otro dato que permita identificar a personas físicas o morales tiene el carácter de confidencial, por lo que no puede ser divulgada ni entregada en copia simple o digitalizada. Asimismo, conforme al artículo 113 fracción II de la Ley local citada, se considera información </w:t>
      </w:r>
      <w:r w:rsidRPr="00D906B2">
        <w:rPr>
          <w:rFonts w:ascii="Palatino Linotype" w:hAnsi="Palatino Linotype" w:cs="Arial"/>
          <w:i/>
        </w:rPr>
        <w:lastRenderedPageBreak/>
        <w:t>reservada aquella cuya difusión pueda causar un perjuicio a los intereses económicos o comerciales de los particulares o del propio ente público. En consecuencia, y en cumplimiento del principio de protección de datos personales, previsto en los artículos 3 fracción XXIII y 31 de la Ley General de Protección de Datos Personales en Posesión de Sujetos Obligados, la documentación solicitada no puede ser proporcionada en el formato requerido. LIC. C.P. Y AP. MARIO EDMUNDO RODRÍGUEZ AGUILAR, TITULAR DE LA UNIDAD DE TRANSPARENCIA Y ACCESO A LA INFORMACIÓN PÚBLICA Después de realizar una búsqueda exhaustiva en las áreas competentes, se informa que no es posible proporcionar las facturas solicitadas, toda vez que la información requerida contiene datos personales y fiscales de terceros, cuya difusión, copia o entrega implicaría una vulneración directa a derechos protegidos por ley. De acuerdo con lo dispuesto en los artículos 113 fracción I y 116 de la Ley de Transparencia y Acceso a la Información Pública del Estado de México y Municipios, así como los artículos 6, 113 y 116 de la Ley General de Transparencia y Acceso a la Información Pública, la información que contenga nombres, domicilios fiscales, RFC, cuentas bancarias, claves de facturación, correos electrónicos, firmas o cualquier otro dato que permita identificar a personas físicas o morales tiene el carácter de confidencial, por lo que no puede ser divulgada ni entregada en copia simple o digitalizada. Asimismo, conforme al artículo 113 fracción II de la Ley local citada, se considera información reservada aquella cuya difusión pueda causar un perjuicio a los intereses económicos o comerciales de los particulares o del propio ente público. En consecuencia, y en cumplimiento del principio de protección de datos personales, previsto en los artículos 3 fracción XXIII y 31 de la Ley General de Protección de Datos Personales en Posesión de Sujetos Obligados, la documentación solicitada no puede ser proporcionada en el formato requerido. ATT :PERLA LOPEZ CARRILLO TESORERA MUNICIPAL” Sic).</w:t>
      </w:r>
    </w:p>
    <w:p w:rsidR="007D10C9" w:rsidRPr="00D906B2" w:rsidRDefault="007D10C9" w:rsidP="007D10C9">
      <w:pPr>
        <w:spacing w:line="360" w:lineRule="auto"/>
        <w:ind w:right="567"/>
        <w:jc w:val="both"/>
        <w:rPr>
          <w:rFonts w:ascii="Palatino Linotype" w:hAnsi="Palatino Linotype" w:cs="Arial"/>
        </w:rPr>
      </w:pPr>
    </w:p>
    <w:p w:rsidR="007D10C9" w:rsidRPr="00D906B2" w:rsidRDefault="007D10C9" w:rsidP="007D10C9">
      <w:pPr>
        <w:spacing w:line="360" w:lineRule="auto"/>
        <w:jc w:val="both"/>
        <w:rPr>
          <w:rFonts w:ascii="Palatino Linotype" w:hAnsi="Palatino Linotype" w:cs="Arial"/>
        </w:rPr>
      </w:pPr>
      <w:r w:rsidRPr="00D906B2">
        <w:rPr>
          <w:rFonts w:ascii="Palatino Linotype" w:hAnsi="Palatino Linotype" w:cs="Arial"/>
        </w:rPr>
        <w:t xml:space="preserve">Adicionalmente, el Sujeto Obligado adjunto el archivo electrónico denominado </w:t>
      </w:r>
      <w:r w:rsidRPr="00D906B2">
        <w:rPr>
          <w:rFonts w:ascii="Palatino Linotype" w:hAnsi="Palatino Linotype" w:cs="Arial"/>
          <w:b/>
          <w:i/>
        </w:rPr>
        <w:t>“respuesta153.pdf</w:t>
      </w:r>
      <w:r w:rsidRPr="00D906B2">
        <w:rPr>
          <w:rFonts w:ascii="Palatino Linotype" w:hAnsi="Palatino Linotype" w:cs="Arial"/>
        </w:rPr>
        <w:t>”, mismo que no se reproduce por ser del conocimiento de las partes, sin embargo, será materia de estudio en el considerando respectivo.</w:t>
      </w:r>
    </w:p>
    <w:p w:rsidR="007D10C9" w:rsidRPr="00D906B2" w:rsidRDefault="007D10C9" w:rsidP="007D10C9">
      <w:pPr>
        <w:spacing w:line="360" w:lineRule="auto"/>
        <w:jc w:val="both"/>
        <w:rPr>
          <w:rFonts w:ascii="Palatino Linotype" w:hAnsi="Palatino Linotype" w:cs="Arial"/>
        </w:rPr>
      </w:pPr>
    </w:p>
    <w:p w:rsidR="007D10C9" w:rsidRPr="00D906B2" w:rsidRDefault="007D10C9" w:rsidP="007D10C9">
      <w:pPr>
        <w:spacing w:before="240" w:line="360" w:lineRule="auto"/>
        <w:jc w:val="both"/>
        <w:rPr>
          <w:rFonts w:ascii="Palatino Linotype" w:hAnsi="Palatino Linotype" w:cs="Arial"/>
          <w:b/>
          <w:sz w:val="28"/>
        </w:rPr>
      </w:pPr>
      <w:r w:rsidRPr="00D906B2">
        <w:rPr>
          <w:rFonts w:ascii="Palatino Linotype" w:hAnsi="Palatino Linotype" w:cs="Arial"/>
          <w:b/>
          <w:sz w:val="28"/>
        </w:rPr>
        <w:t xml:space="preserve">TERCERO. </w:t>
      </w:r>
      <w:r w:rsidRPr="00D906B2">
        <w:rPr>
          <w:rFonts w:ascii="Palatino Linotype" w:hAnsi="Palatino Linotype"/>
          <w:b/>
          <w:sz w:val="28"/>
        </w:rPr>
        <w:t>Del recurso de revisión.</w:t>
      </w:r>
    </w:p>
    <w:p w:rsidR="007D10C9" w:rsidRPr="00D906B2" w:rsidRDefault="007D10C9" w:rsidP="007D10C9">
      <w:pPr>
        <w:spacing w:before="240" w:line="360" w:lineRule="auto"/>
        <w:jc w:val="both"/>
        <w:rPr>
          <w:rFonts w:ascii="Palatino Linotype" w:hAnsi="Palatino Linotype" w:cs="Arial"/>
        </w:rPr>
      </w:pPr>
      <w:r w:rsidRPr="00D906B2">
        <w:rPr>
          <w:rFonts w:ascii="Palatino Linotype" w:hAnsi="Palatino Linotype" w:cs="Arial"/>
        </w:rPr>
        <w:lastRenderedPageBreak/>
        <w:t xml:space="preserve">Inconforme con la respuesta notificada por </w:t>
      </w:r>
      <w:r w:rsidRPr="00D906B2">
        <w:rPr>
          <w:rFonts w:ascii="Palatino Linotype" w:hAnsi="Palatino Linotype" w:cs="Arial"/>
          <w:b/>
        </w:rPr>
        <w:t xml:space="preserve">El Sujeto Obligado, </w:t>
      </w:r>
      <w:r w:rsidRPr="00D906B2">
        <w:rPr>
          <w:rFonts w:ascii="Palatino Linotype" w:hAnsi="Palatino Linotype" w:cs="Arial"/>
        </w:rPr>
        <w:t>el</w:t>
      </w:r>
      <w:r w:rsidRPr="00D906B2">
        <w:rPr>
          <w:rFonts w:ascii="Palatino Linotype" w:hAnsi="Palatino Linotype" w:cs="Arial"/>
          <w:b/>
        </w:rPr>
        <w:t xml:space="preserve"> Recurrente </w:t>
      </w:r>
      <w:r w:rsidRPr="00D906B2">
        <w:rPr>
          <w:rFonts w:ascii="Palatino Linotype" w:hAnsi="Palatino Linotype" w:cs="Arial"/>
        </w:rPr>
        <w:t xml:space="preserve">interpuso recurso de revisión, en fecha </w:t>
      </w:r>
      <w:r w:rsidRPr="00D906B2">
        <w:rPr>
          <w:rFonts w:ascii="Palatino Linotype" w:hAnsi="Palatino Linotype" w:cs="Arial"/>
          <w:b/>
        </w:rPr>
        <w:t>once de noviembre de dos mil veinticinco</w:t>
      </w:r>
      <w:r w:rsidRPr="00D906B2">
        <w:rPr>
          <w:rFonts w:ascii="Palatino Linotype" w:hAnsi="Palatino Linotype" w:cs="Arial"/>
        </w:rPr>
        <w:t xml:space="preserve">, el cual fue registrado en el sistema electrónico con el expediente número </w:t>
      </w:r>
      <w:r w:rsidRPr="00D906B2">
        <w:rPr>
          <w:rFonts w:ascii="Palatino Linotype" w:hAnsi="Palatino Linotype" w:cs="Arial"/>
          <w:b/>
        </w:rPr>
        <w:t xml:space="preserve">012995/INFOEM/IP/RR/2025; </w:t>
      </w:r>
      <w:r w:rsidRPr="00D906B2">
        <w:rPr>
          <w:rFonts w:ascii="Palatino Linotype" w:hAnsi="Palatino Linotype" w:cs="Arial"/>
        </w:rPr>
        <w:t>en los cuales arguye las siguientes manifestaciones:</w:t>
      </w:r>
    </w:p>
    <w:p w:rsidR="007D10C9" w:rsidRPr="00D906B2" w:rsidRDefault="007D10C9" w:rsidP="007D10C9">
      <w:pPr>
        <w:pStyle w:val="Prrafodelista"/>
        <w:numPr>
          <w:ilvl w:val="0"/>
          <w:numId w:val="1"/>
        </w:numPr>
        <w:spacing w:before="240" w:line="360" w:lineRule="auto"/>
        <w:ind w:left="142" w:firstLine="0"/>
        <w:jc w:val="both"/>
        <w:rPr>
          <w:rFonts w:ascii="Palatino Linotype" w:hAnsi="Palatino Linotype" w:cs="Arial"/>
          <w:b/>
          <w:i/>
        </w:rPr>
      </w:pPr>
      <w:r w:rsidRPr="00D906B2">
        <w:rPr>
          <w:rFonts w:ascii="Palatino Linotype" w:hAnsi="Palatino Linotype" w:cs="Arial"/>
          <w:b/>
          <w:i/>
        </w:rPr>
        <w:t xml:space="preserve">Acto impugnado </w:t>
      </w:r>
    </w:p>
    <w:p w:rsidR="007D10C9" w:rsidRPr="00D906B2" w:rsidRDefault="007D10C9" w:rsidP="007D10C9">
      <w:pPr>
        <w:pStyle w:val="INFOEM"/>
        <w:ind w:left="720"/>
      </w:pPr>
      <w:r w:rsidRPr="00D906B2">
        <w:t>“RESPUESTA A LA SOLICITUD 00153/AMECAMEC/IP/2025” (sic)</w:t>
      </w:r>
    </w:p>
    <w:p w:rsidR="007D10C9" w:rsidRPr="00D906B2" w:rsidRDefault="007D10C9" w:rsidP="007D10C9">
      <w:pPr>
        <w:pStyle w:val="Prrafodelista"/>
        <w:numPr>
          <w:ilvl w:val="0"/>
          <w:numId w:val="1"/>
        </w:numPr>
        <w:spacing w:before="240" w:line="360" w:lineRule="auto"/>
        <w:ind w:left="142" w:firstLine="0"/>
        <w:jc w:val="both"/>
        <w:rPr>
          <w:rFonts w:ascii="Palatino Linotype" w:hAnsi="Palatino Linotype" w:cs="Arial"/>
          <w:b/>
          <w:i/>
        </w:rPr>
      </w:pPr>
      <w:r w:rsidRPr="00D906B2">
        <w:rPr>
          <w:rFonts w:ascii="Palatino Linotype" w:hAnsi="Palatino Linotype" w:cs="Arial"/>
          <w:b/>
          <w:i/>
        </w:rPr>
        <w:t>Razones o motivos de inconformidad</w:t>
      </w:r>
    </w:p>
    <w:p w:rsidR="007D10C9" w:rsidRPr="00D906B2" w:rsidRDefault="007D10C9" w:rsidP="007D10C9">
      <w:pPr>
        <w:pStyle w:val="INFOEM"/>
        <w:ind w:left="709"/>
      </w:pPr>
      <w:r w:rsidRPr="00D906B2">
        <w:t>“EL SUJETO OBLIGADO INCUMPLE LA LEY DE TRANSPARENCIA Y VIOLA EL DERECHO A LA INFORMACION DE ESTE SOLICITANTE AL SER OMISO EN LA ENTREGA DE LA INFORMACION SOLICITADA. POR LO ANTERIOR, SOLICITO SE REVOQUE LA RESPUESTA Y SE ORDENE LA ENTREGA DE LA INFORMACION SOLICITADA.” (sic)</w:t>
      </w:r>
    </w:p>
    <w:p w:rsidR="007D10C9" w:rsidRPr="00D906B2" w:rsidRDefault="007D10C9" w:rsidP="007D10C9">
      <w:pPr>
        <w:pStyle w:val="INFOEM"/>
        <w:spacing w:before="0" w:after="0"/>
        <w:ind w:left="709"/>
      </w:pPr>
    </w:p>
    <w:p w:rsidR="007D10C9" w:rsidRPr="00D906B2" w:rsidRDefault="007D10C9" w:rsidP="007D10C9">
      <w:pPr>
        <w:spacing w:before="240" w:line="360" w:lineRule="auto"/>
        <w:jc w:val="both"/>
        <w:rPr>
          <w:rFonts w:ascii="Palatino Linotype" w:hAnsi="Palatino Linotype" w:cs="Arial"/>
          <w:b/>
        </w:rPr>
      </w:pPr>
      <w:r w:rsidRPr="00D906B2">
        <w:rPr>
          <w:rFonts w:ascii="Palatino Linotype" w:hAnsi="Palatino Linotype" w:cs="Arial"/>
          <w:b/>
          <w:sz w:val="28"/>
        </w:rPr>
        <w:t>CUARTO</w:t>
      </w:r>
      <w:r w:rsidRPr="00D906B2">
        <w:rPr>
          <w:rFonts w:ascii="Palatino Linotype" w:hAnsi="Palatino Linotype" w:cs="Arial"/>
          <w:b/>
        </w:rPr>
        <w:t xml:space="preserve">. </w:t>
      </w:r>
      <w:r w:rsidRPr="00D906B2">
        <w:rPr>
          <w:rFonts w:ascii="Palatino Linotype" w:hAnsi="Palatino Linotype" w:cs="Arial"/>
          <w:b/>
          <w:sz w:val="28"/>
          <w:szCs w:val="28"/>
        </w:rPr>
        <w:t>Del turno y admisión del recurso de revisión.</w:t>
      </w:r>
    </w:p>
    <w:p w:rsidR="007D10C9" w:rsidRPr="00D906B2" w:rsidRDefault="007D10C9" w:rsidP="007D10C9">
      <w:pPr>
        <w:spacing w:before="240" w:line="360" w:lineRule="auto"/>
        <w:jc w:val="both"/>
        <w:rPr>
          <w:rFonts w:ascii="Palatino Linotype" w:hAnsi="Palatino Linotype" w:cs="Arial"/>
          <w:sz w:val="28"/>
        </w:rPr>
      </w:pPr>
      <w:r w:rsidRPr="00D906B2">
        <w:rPr>
          <w:rFonts w:ascii="Palatino Linotype" w:hAnsi="Palatino Linotype"/>
        </w:rPr>
        <w:t xml:space="preserve">El medio de impugnación fue turnado al Comisionado Presidente </w:t>
      </w:r>
      <w:r w:rsidRPr="00D906B2">
        <w:rPr>
          <w:rFonts w:ascii="Palatino Linotype" w:hAnsi="Palatino Linotype"/>
          <w:b/>
        </w:rPr>
        <w:t>José Martínez Vilchis,</w:t>
      </w:r>
      <w:r w:rsidRPr="00D906B2">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D906B2">
        <w:rPr>
          <w:rFonts w:ascii="Palatino Linotype" w:hAnsi="Palatino Linotype"/>
          <w:b/>
        </w:rPr>
        <w:t>admisión</w:t>
      </w:r>
      <w:r w:rsidRPr="00D906B2">
        <w:rPr>
          <w:rFonts w:ascii="Palatino Linotype" w:hAnsi="Palatino Linotype"/>
        </w:rPr>
        <w:t xml:space="preserve"> en fecha </w:t>
      </w:r>
      <w:r w:rsidR="004D415B" w:rsidRPr="00D906B2">
        <w:rPr>
          <w:rFonts w:ascii="Palatino Linotype" w:hAnsi="Palatino Linotype"/>
          <w:b/>
        </w:rPr>
        <w:t>doce de noviembre</w:t>
      </w:r>
      <w:r w:rsidRPr="00D906B2">
        <w:rPr>
          <w:rFonts w:ascii="Palatino Linotype" w:hAnsi="Palatino Linotype"/>
          <w:b/>
        </w:rPr>
        <w:t xml:space="preserve"> de dos mil veinticinco</w:t>
      </w:r>
      <w:r w:rsidRPr="00D906B2">
        <w:rPr>
          <w:rFonts w:ascii="Palatino Linotype" w:hAnsi="Palatino Linotype"/>
        </w:rPr>
        <w:t>, determinándose en ellos, un plazo de siete días para que las partes manifestaran lo que a su derecho corresponda en términos del numeral ya citado.</w:t>
      </w:r>
    </w:p>
    <w:p w:rsidR="007D10C9" w:rsidRPr="00D906B2" w:rsidRDefault="007D10C9" w:rsidP="007D10C9">
      <w:pPr>
        <w:spacing w:line="360" w:lineRule="auto"/>
        <w:jc w:val="both"/>
        <w:rPr>
          <w:rFonts w:ascii="Palatino Linotype" w:hAnsi="Palatino Linotype" w:cs="Arial"/>
        </w:rPr>
      </w:pPr>
    </w:p>
    <w:p w:rsidR="007D10C9" w:rsidRPr="00D906B2" w:rsidRDefault="007D10C9" w:rsidP="007D10C9">
      <w:pPr>
        <w:pStyle w:val="Prrafodelista"/>
        <w:spacing w:line="360" w:lineRule="auto"/>
        <w:ind w:left="0"/>
        <w:jc w:val="both"/>
        <w:rPr>
          <w:rFonts w:ascii="Palatino Linotype" w:hAnsi="Palatino Linotype" w:cs="Arial"/>
          <w:b/>
          <w:sz w:val="28"/>
          <w:szCs w:val="28"/>
        </w:rPr>
      </w:pPr>
      <w:r w:rsidRPr="00D906B2">
        <w:rPr>
          <w:rFonts w:ascii="Palatino Linotype" w:hAnsi="Palatino Linotype" w:cs="Arial"/>
          <w:b/>
          <w:sz w:val="28"/>
        </w:rPr>
        <w:lastRenderedPageBreak/>
        <w:t>QUINTO</w:t>
      </w:r>
      <w:r w:rsidRPr="00D906B2">
        <w:rPr>
          <w:rFonts w:ascii="Palatino Linotype" w:hAnsi="Palatino Linotype" w:cs="Arial"/>
          <w:b/>
          <w:sz w:val="28"/>
          <w:szCs w:val="28"/>
        </w:rPr>
        <w:t>. De la etapa de instrucción.</w:t>
      </w:r>
    </w:p>
    <w:p w:rsidR="007D10C9" w:rsidRPr="00D906B2" w:rsidRDefault="007D10C9" w:rsidP="007D10C9">
      <w:pPr>
        <w:spacing w:line="360" w:lineRule="auto"/>
        <w:jc w:val="both"/>
        <w:rPr>
          <w:rFonts w:ascii="Palatino Linotype" w:hAnsi="Palatino Linotype"/>
        </w:rPr>
      </w:pPr>
      <w:r w:rsidRPr="00D906B2">
        <w:rPr>
          <w:rFonts w:ascii="Palatino Linotype" w:hAnsi="Palatino Linotype" w:cs="Arial"/>
        </w:rPr>
        <w:t xml:space="preserve">De las constancias que obran en el expediente electrónico del SAIMEX, se advierte que el </w:t>
      </w:r>
      <w:r w:rsidRPr="00D906B2">
        <w:rPr>
          <w:rFonts w:ascii="Palatino Linotype" w:hAnsi="Palatino Linotype" w:cs="Arial"/>
          <w:b/>
        </w:rPr>
        <w:t>Sujeto Obligado</w:t>
      </w:r>
      <w:r w:rsidRPr="00D906B2">
        <w:rPr>
          <w:rFonts w:ascii="Palatino Linotype" w:hAnsi="Palatino Linotype" w:cs="Arial"/>
        </w:rPr>
        <w:t xml:space="preserve"> rindió su informe justificado en fecha </w:t>
      </w:r>
      <w:r w:rsidR="004D415B" w:rsidRPr="00D906B2">
        <w:rPr>
          <w:rFonts w:ascii="Palatino Linotype" w:hAnsi="Palatino Linotype" w:cs="Arial"/>
        </w:rPr>
        <w:t>veintiocho de enero</w:t>
      </w:r>
      <w:r w:rsidRPr="00D906B2">
        <w:rPr>
          <w:rFonts w:ascii="Palatino Linotype" w:hAnsi="Palatino Linotype" w:cs="Arial"/>
        </w:rPr>
        <w:t xml:space="preserve"> de dos mil </w:t>
      </w:r>
      <w:r w:rsidR="004D415B" w:rsidRPr="00D906B2">
        <w:rPr>
          <w:rFonts w:ascii="Palatino Linotype" w:hAnsi="Palatino Linotype" w:cs="Arial"/>
        </w:rPr>
        <w:t>veintiséis</w:t>
      </w:r>
      <w:r w:rsidRPr="00D906B2">
        <w:rPr>
          <w:rFonts w:ascii="Palatino Linotype" w:hAnsi="Palatino Linotype" w:cs="Arial"/>
        </w:rPr>
        <w:t>, por medio de los archivos electrónicos “</w:t>
      </w:r>
      <w:r w:rsidR="004D415B" w:rsidRPr="00D906B2">
        <w:rPr>
          <w:rFonts w:ascii="Palatino Linotype" w:hAnsi="Palatino Linotype" w:cs="Arial"/>
          <w:b/>
          <w:i/>
        </w:rPr>
        <w:t>Anexo Solicitud 153 VP.pdf</w:t>
      </w:r>
      <w:r w:rsidRPr="00D906B2">
        <w:rPr>
          <w:rFonts w:ascii="Palatino Linotype" w:hAnsi="Palatino Linotype" w:cs="Arial"/>
          <w:b/>
          <w:i/>
        </w:rPr>
        <w:t xml:space="preserve">” </w:t>
      </w:r>
      <w:r w:rsidR="004D415B" w:rsidRPr="00D906B2">
        <w:rPr>
          <w:rFonts w:ascii="Palatino Linotype" w:hAnsi="Palatino Linotype" w:cs="Arial"/>
          <w:b/>
          <w:i/>
        </w:rPr>
        <w:t>y</w:t>
      </w:r>
      <w:r w:rsidRPr="00D906B2">
        <w:rPr>
          <w:rFonts w:ascii="Palatino Linotype" w:hAnsi="Palatino Linotype" w:cs="Arial"/>
          <w:b/>
          <w:i/>
        </w:rPr>
        <w:t xml:space="preserve"> “</w:t>
      </w:r>
      <w:r w:rsidR="004D415B" w:rsidRPr="00D906B2">
        <w:rPr>
          <w:rFonts w:ascii="Palatino Linotype" w:hAnsi="Palatino Linotype" w:cs="Arial"/>
          <w:b/>
          <w:i/>
        </w:rPr>
        <w:t>Respuesta S.153.pdf</w:t>
      </w:r>
      <w:r w:rsidRPr="00D906B2">
        <w:rPr>
          <w:rFonts w:ascii="Palatino Linotype" w:hAnsi="Palatino Linotype" w:cs="Arial"/>
          <w:b/>
          <w:i/>
        </w:rPr>
        <w:t xml:space="preserve">”, </w:t>
      </w:r>
      <w:r w:rsidRPr="00D906B2">
        <w:rPr>
          <w:rFonts w:ascii="Palatino Linotype" w:hAnsi="Palatino Linotype" w:cs="Arial"/>
        </w:rPr>
        <w:t xml:space="preserve">mismos que fueron puestos a la vista </w:t>
      </w:r>
      <w:r w:rsidR="004D415B" w:rsidRPr="00D906B2">
        <w:rPr>
          <w:rFonts w:ascii="Palatino Linotype" w:hAnsi="Palatino Linotype" w:cs="Arial"/>
        </w:rPr>
        <w:t>del Recurrente.</w:t>
      </w:r>
    </w:p>
    <w:p w:rsidR="007D10C9" w:rsidRPr="00D906B2" w:rsidRDefault="007D10C9" w:rsidP="007D10C9">
      <w:pPr>
        <w:spacing w:line="360" w:lineRule="auto"/>
        <w:jc w:val="both"/>
        <w:rPr>
          <w:rFonts w:ascii="Palatino Linotype" w:hAnsi="Palatino Linotype"/>
        </w:rPr>
      </w:pPr>
    </w:p>
    <w:p w:rsidR="007D10C9" w:rsidRPr="00D906B2" w:rsidRDefault="007D10C9" w:rsidP="007D10C9">
      <w:pPr>
        <w:spacing w:line="360" w:lineRule="auto"/>
        <w:jc w:val="both"/>
        <w:rPr>
          <w:rFonts w:ascii="Palatino Linotype" w:hAnsi="Palatino Linotype" w:cs="Arial"/>
        </w:rPr>
      </w:pPr>
      <w:r w:rsidRPr="00D906B2">
        <w:rPr>
          <w:rFonts w:ascii="Palatino Linotype" w:hAnsi="Palatino Linotype" w:cs="Arial"/>
        </w:rPr>
        <w:t xml:space="preserve">Así mismo, se aprecia que no se llevaron a cabo audiencias durante la sustanciación del recurso de revisión, ni se ofrecieron pruebas por parte del </w:t>
      </w:r>
      <w:r w:rsidRPr="00D906B2">
        <w:rPr>
          <w:rFonts w:ascii="Palatino Linotype" w:hAnsi="Palatino Linotype" w:cs="Arial"/>
          <w:b/>
        </w:rPr>
        <w:t>Recurrente</w:t>
      </w:r>
      <w:r w:rsidRPr="00D906B2">
        <w:rPr>
          <w:rFonts w:ascii="Palatino Linotype" w:hAnsi="Palatino Linotype" w:cs="Arial"/>
        </w:rPr>
        <w:t>; todo lo anterior en términos de los artículos 185 fracciones II y IV, y 195 de la Ley de Transparencia y Acceso a la Información Pública del Estado de México y Municipios.</w:t>
      </w:r>
    </w:p>
    <w:p w:rsidR="007D10C9" w:rsidRPr="00D906B2" w:rsidRDefault="007D10C9" w:rsidP="007D10C9">
      <w:pPr>
        <w:spacing w:line="360" w:lineRule="auto"/>
        <w:jc w:val="both"/>
        <w:rPr>
          <w:rFonts w:ascii="Palatino Linotype" w:eastAsia="Calibri" w:hAnsi="Palatino Linotype" w:cs="Arial"/>
          <w:b/>
          <w:sz w:val="28"/>
          <w:szCs w:val="28"/>
        </w:rPr>
      </w:pPr>
    </w:p>
    <w:p w:rsidR="007D10C9" w:rsidRPr="00D906B2" w:rsidRDefault="007D10C9" w:rsidP="007D10C9">
      <w:pPr>
        <w:spacing w:line="360" w:lineRule="auto"/>
        <w:jc w:val="both"/>
        <w:rPr>
          <w:rFonts w:ascii="Palatino Linotype" w:eastAsia="Calibri" w:hAnsi="Palatino Linotype" w:cs="Arial"/>
          <w:b/>
          <w:sz w:val="28"/>
          <w:lang w:val="es-ES_tradnl"/>
        </w:rPr>
      </w:pPr>
      <w:r w:rsidRPr="00D906B2">
        <w:rPr>
          <w:rFonts w:ascii="Palatino Linotype" w:hAnsi="Palatino Linotype" w:cs="Arial"/>
          <w:b/>
          <w:sz w:val="28"/>
          <w:szCs w:val="28"/>
        </w:rPr>
        <w:t xml:space="preserve">SEXTO. </w:t>
      </w:r>
      <w:r w:rsidRPr="00D906B2">
        <w:rPr>
          <w:rFonts w:ascii="Palatino Linotype" w:eastAsia="Calibri" w:hAnsi="Palatino Linotype" w:cs="Arial"/>
          <w:b/>
          <w:sz w:val="28"/>
          <w:lang w:val="es-ES_tradnl"/>
        </w:rPr>
        <w:t>De la ampliación del término para resolver.</w:t>
      </w:r>
    </w:p>
    <w:p w:rsidR="007D10C9" w:rsidRPr="00D906B2" w:rsidRDefault="007D10C9" w:rsidP="007D10C9">
      <w:pPr>
        <w:spacing w:line="360" w:lineRule="auto"/>
        <w:jc w:val="both"/>
        <w:rPr>
          <w:rFonts w:ascii="Palatino Linotype" w:hAnsi="Palatino Linotype" w:cs="Arial"/>
        </w:rPr>
      </w:pPr>
      <w:r w:rsidRPr="00D906B2">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4D415B" w:rsidRPr="00D906B2">
        <w:rPr>
          <w:rFonts w:ascii="Palatino Linotype" w:hAnsi="Palatino Linotype" w:cs="Arial"/>
          <w:b/>
        </w:rPr>
        <w:t>veinte de mayo de dos mil veintiséis</w:t>
      </w:r>
      <w:r w:rsidRPr="00D906B2">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7D10C9" w:rsidRPr="00D906B2" w:rsidRDefault="007D10C9" w:rsidP="007D10C9">
      <w:pPr>
        <w:spacing w:line="360" w:lineRule="auto"/>
        <w:jc w:val="both"/>
        <w:rPr>
          <w:rFonts w:ascii="Palatino Linotype" w:hAnsi="Palatino Linotype" w:cs="Arial"/>
          <w:b/>
          <w:sz w:val="28"/>
          <w:szCs w:val="28"/>
        </w:rPr>
      </w:pPr>
    </w:p>
    <w:p w:rsidR="007D10C9" w:rsidRPr="00D906B2" w:rsidRDefault="007D10C9" w:rsidP="007D10C9">
      <w:pPr>
        <w:spacing w:line="360" w:lineRule="auto"/>
        <w:jc w:val="both"/>
        <w:rPr>
          <w:rFonts w:ascii="Palatino Linotype" w:hAnsi="Palatino Linotype" w:cs="Arial"/>
          <w:b/>
          <w:sz w:val="28"/>
          <w:szCs w:val="28"/>
        </w:rPr>
      </w:pPr>
      <w:r w:rsidRPr="00D906B2">
        <w:rPr>
          <w:rFonts w:ascii="Palatino Linotype" w:eastAsia="Calibri" w:hAnsi="Palatino Linotype" w:cs="Arial"/>
          <w:b/>
          <w:sz w:val="28"/>
          <w:lang w:val="es-ES_tradnl"/>
        </w:rPr>
        <w:t xml:space="preserve">SÉPTIMO. </w:t>
      </w:r>
      <w:r w:rsidRPr="00D906B2">
        <w:rPr>
          <w:rFonts w:ascii="Palatino Linotype" w:hAnsi="Palatino Linotype" w:cs="Arial"/>
          <w:b/>
          <w:sz w:val="28"/>
          <w:szCs w:val="28"/>
        </w:rPr>
        <w:t>Del Cierre de Instrucción.</w:t>
      </w:r>
    </w:p>
    <w:p w:rsidR="007D10C9" w:rsidRPr="00D906B2" w:rsidRDefault="007D10C9" w:rsidP="007D10C9">
      <w:pPr>
        <w:spacing w:line="360" w:lineRule="auto"/>
        <w:jc w:val="both"/>
        <w:rPr>
          <w:rFonts w:ascii="Palatino Linotype" w:hAnsi="Palatino Linotype" w:cs="Arial"/>
        </w:rPr>
      </w:pPr>
      <w:r w:rsidRPr="00D906B2">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w:t>
      </w:r>
      <w:r w:rsidRPr="00D906B2">
        <w:rPr>
          <w:rFonts w:ascii="Palatino Linotype" w:hAnsi="Palatino Linotype" w:cs="Arial"/>
        </w:rPr>
        <w:lastRenderedPageBreak/>
        <w:t xml:space="preserve">decretó el cierre de instrucción en fecha </w:t>
      </w:r>
      <w:r w:rsidR="004D415B" w:rsidRPr="00D906B2">
        <w:rPr>
          <w:rFonts w:ascii="Palatino Linotype" w:hAnsi="Palatino Linotype" w:cs="Arial"/>
          <w:b/>
        </w:rPr>
        <w:t>veintiséis de mayo de dos mil veintiséis</w:t>
      </w:r>
      <w:r w:rsidRPr="00D906B2">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7D10C9" w:rsidRPr="00D906B2" w:rsidRDefault="007D10C9" w:rsidP="007D10C9">
      <w:pPr>
        <w:spacing w:line="360" w:lineRule="auto"/>
        <w:jc w:val="both"/>
        <w:rPr>
          <w:rFonts w:ascii="Palatino Linotype" w:hAnsi="Palatino Linotype" w:cs="Arial"/>
          <w:b/>
          <w:sz w:val="28"/>
          <w:szCs w:val="28"/>
        </w:rPr>
      </w:pPr>
    </w:p>
    <w:p w:rsidR="007D10C9" w:rsidRPr="00D906B2" w:rsidRDefault="007D10C9" w:rsidP="007D10C9">
      <w:pPr>
        <w:spacing w:line="360" w:lineRule="auto"/>
        <w:jc w:val="center"/>
        <w:rPr>
          <w:rFonts w:ascii="Palatino Linotype" w:hAnsi="Palatino Linotype"/>
          <w:b/>
          <w:bCs/>
          <w:spacing w:val="60"/>
          <w:sz w:val="28"/>
          <w:lang w:val="es-ES_tradnl"/>
        </w:rPr>
      </w:pPr>
      <w:r w:rsidRPr="00D906B2">
        <w:rPr>
          <w:rFonts w:ascii="Palatino Linotype" w:hAnsi="Palatino Linotype"/>
          <w:b/>
          <w:bCs/>
          <w:spacing w:val="60"/>
          <w:sz w:val="28"/>
          <w:lang w:val="es-ES_tradnl"/>
        </w:rPr>
        <w:t>CONSIDERANDO</w:t>
      </w:r>
    </w:p>
    <w:p w:rsidR="007D10C9" w:rsidRPr="00D906B2" w:rsidRDefault="007D10C9" w:rsidP="007D10C9">
      <w:pPr>
        <w:spacing w:line="360" w:lineRule="auto"/>
        <w:ind w:right="49"/>
        <w:jc w:val="both"/>
        <w:rPr>
          <w:rFonts w:ascii="Palatino Linotype" w:hAnsi="Palatino Linotype"/>
          <w:szCs w:val="28"/>
        </w:rPr>
      </w:pPr>
    </w:p>
    <w:p w:rsidR="007D10C9" w:rsidRPr="00D906B2" w:rsidRDefault="007D10C9" w:rsidP="007D10C9">
      <w:pPr>
        <w:spacing w:before="240" w:line="360" w:lineRule="auto"/>
        <w:jc w:val="both"/>
        <w:rPr>
          <w:rFonts w:ascii="Palatino Linotype" w:hAnsi="Palatino Linotype" w:cs="Arial"/>
          <w:sz w:val="28"/>
          <w:szCs w:val="28"/>
        </w:rPr>
      </w:pPr>
      <w:r w:rsidRPr="00D906B2">
        <w:rPr>
          <w:rFonts w:ascii="Palatino Linotype" w:hAnsi="Palatino Linotype" w:cs="Arial"/>
          <w:b/>
          <w:sz w:val="28"/>
        </w:rPr>
        <w:t>PRIMERO.</w:t>
      </w:r>
      <w:r w:rsidRPr="00D906B2">
        <w:rPr>
          <w:rFonts w:ascii="Palatino Linotype" w:hAnsi="Palatino Linotype" w:cs="Arial"/>
          <w:b/>
        </w:rPr>
        <w:t xml:space="preserve"> </w:t>
      </w:r>
      <w:r w:rsidRPr="00D906B2">
        <w:rPr>
          <w:rFonts w:ascii="Palatino Linotype" w:hAnsi="Palatino Linotype" w:cs="Arial"/>
          <w:b/>
          <w:sz w:val="28"/>
          <w:szCs w:val="28"/>
        </w:rPr>
        <w:t>De la competencia</w:t>
      </w:r>
      <w:r w:rsidRPr="00D906B2">
        <w:rPr>
          <w:rFonts w:ascii="Palatino Linotype" w:hAnsi="Palatino Linotype" w:cs="Arial"/>
          <w:sz w:val="28"/>
          <w:szCs w:val="28"/>
        </w:rPr>
        <w:t>.</w:t>
      </w:r>
    </w:p>
    <w:p w:rsidR="007D10C9" w:rsidRPr="00D906B2" w:rsidRDefault="007D10C9" w:rsidP="007D10C9">
      <w:pPr>
        <w:tabs>
          <w:tab w:val="left" w:pos="3402"/>
        </w:tabs>
        <w:spacing w:line="360" w:lineRule="auto"/>
        <w:jc w:val="both"/>
        <w:rPr>
          <w:rFonts w:ascii="Palatino Linotype" w:hAnsi="Palatino Linotype"/>
        </w:rPr>
      </w:pPr>
      <w:r w:rsidRPr="00D906B2">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7D10C9" w:rsidRPr="00D906B2" w:rsidRDefault="007D10C9" w:rsidP="007D10C9">
      <w:pPr>
        <w:tabs>
          <w:tab w:val="left" w:pos="3402"/>
        </w:tabs>
        <w:spacing w:line="360" w:lineRule="auto"/>
        <w:jc w:val="both"/>
        <w:rPr>
          <w:rFonts w:ascii="Palatino Linotype" w:hAnsi="Palatino Linotype"/>
        </w:rPr>
      </w:pPr>
    </w:p>
    <w:p w:rsidR="007D10C9" w:rsidRPr="00D906B2" w:rsidRDefault="007D10C9" w:rsidP="007D10C9">
      <w:pPr>
        <w:pStyle w:val="Prrafodelista"/>
        <w:autoSpaceDE w:val="0"/>
        <w:autoSpaceDN w:val="0"/>
        <w:adjustRightInd w:val="0"/>
        <w:spacing w:before="240" w:after="160" w:line="360" w:lineRule="auto"/>
        <w:ind w:left="0"/>
        <w:jc w:val="both"/>
        <w:rPr>
          <w:rFonts w:ascii="Palatino Linotype" w:hAnsi="Palatino Linotype" w:cs="Arial"/>
          <w:b/>
        </w:rPr>
      </w:pPr>
      <w:r w:rsidRPr="00D906B2">
        <w:rPr>
          <w:rFonts w:ascii="Palatino Linotype" w:hAnsi="Palatino Linotype" w:cs="Arial"/>
          <w:b/>
          <w:sz w:val="28"/>
        </w:rPr>
        <w:t>SEGUNDO</w:t>
      </w:r>
      <w:r w:rsidRPr="00D906B2">
        <w:rPr>
          <w:rFonts w:ascii="Palatino Linotype" w:hAnsi="Palatino Linotype" w:cs="Arial"/>
          <w:b/>
        </w:rPr>
        <w:t xml:space="preserve">. </w:t>
      </w:r>
      <w:r w:rsidRPr="00D906B2">
        <w:rPr>
          <w:rFonts w:ascii="Palatino Linotype" w:hAnsi="Palatino Linotype" w:cs="Arial"/>
          <w:b/>
          <w:sz w:val="28"/>
          <w:szCs w:val="28"/>
        </w:rPr>
        <w:t>Sobre los alcances del recurso de revisión.</w:t>
      </w:r>
      <w:r w:rsidRPr="00D906B2">
        <w:rPr>
          <w:rFonts w:ascii="Palatino Linotype" w:hAnsi="Palatino Linotype" w:cs="Arial"/>
          <w:b/>
        </w:rPr>
        <w:t xml:space="preserve"> </w:t>
      </w:r>
    </w:p>
    <w:p w:rsidR="007D10C9" w:rsidRPr="00D906B2" w:rsidRDefault="007D10C9" w:rsidP="007D10C9">
      <w:pPr>
        <w:pStyle w:val="Prrafodelista"/>
        <w:autoSpaceDE w:val="0"/>
        <w:autoSpaceDN w:val="0"/>
        <w:adjustRightInd w:val="0"/>
        <w:spacing w:before="240" w:after="160" w:line="360" w:lineRule="auto"/>
        <w:ind w:left="0"/>
        <w:jc w:val="both"/>
        <w:rPr>
          <w:rFonts w:ascii="Palatino Linotype" w:hAnsi="Palatino Linotype" w:cs="Arial"/>
        </w:rPr>
      </w:pPr>
      <w:r w:rsidRPr="00D906B2">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D906B2">
        <w:rPr>
          <w:rFonts w:ascii="Palatino Linotype" w:hAnsi="Palatino Linotype" w:cs="Arial"/>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7D10C9" w:rsidRPr="00D906B2" w:rsidRDefault="007D10C9" w:rsidP="007D10C9">
      <w:pPr>
        <w:pStyle w:val="Prrafodelista"/>
        <w:autoSpaceDE w:val="0"/>
        <w:autoSpaceDN w:val="0"/>
        <w:adjustRightInd w:val="0"/>
        <w:spacing w:before="240" w:after="160" w:line="360" w:lineRule="auto"/>
        <w:ind w:left="0"/>
        <w:jc w:val="both"/>
        <w:rPr>
          <w:rFonts w:ascii="Palatino Linotype" w:hAnsi="Palatino Linotype" w:cs="Arial"/>
        </w:rPr>
      </w:pPr>
    </w:p>
    <w:p w:rsidR="007D10C9" w:rsidRPr="00D906B2" w:rsidRDefault="007D10C9" w:rsidP="007D10C9">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D906B2">
        <w:rPr>
          <w:rFonts w:ascii="Palatino Linotype" w:hAnsi="Palatino Linotype" w:cs="Arial"/>
          <w:b/>
          <w:sz w:val="28"/>
        </w:rPr>
        <w:t>TERCERO</w:t>
      </w:r>
      <w:r w:rsidRPr="00D906B2">
        <w:rPr>
          <w:rFonts w:ascii="Palatino Linotype" w:hAnsi="Palatino Linotype" w:cs="Arial"/>
          <w:b/>
        </w:rPr>
        <w:t xml:space="preserve">. </w:t>
      </w:r>
      <w:r w:rsidRPr="00D906B2">
        <w:rPr>
          <w:rFonts w:ascii="Palatino Linotype" w:hAnsi="Palatino Linotype" w:cs="Arial"/>
          <w:b/>
          <w:sz w:val="28"/>
          <w:szCs w:val="28"/>
        </w:rPr>
        <w:t>De las causas de improcedencia.</w:t>
      </w:r>
    </w:p>
    <w:p w:rsidR="007D10C9" w:rsidRPr="00D906B2" w:rsidRDefault="007D10C9" w:rsidP="007D10C9">
      <w:pPr>
        <w:pStyle w:val="Prrafodelista"/>
        <w:autoSpaceDE w:val="0"/>
        <w:autoSpaceDN w:val="0"/>
        <w:adjustRightInd w:val="0"/>
        <w:spacing w:before="240" w:after="160" w:line="360" w:lineRule="auto"/>
        <w:ind w:left="0"/>
        <w:jc w:val="both"/>
        <w:rPr>
          <w:rFonts w:ascii="Palatino Linotype" w:hAnsi="Palatino Linotype" w:cs="Arial"/>
        </w:rPr>
      </w:pPr>
      <w:r w:rsidRPr="00D906B2">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7D10C9" w:rsidRPr="00D906B2" w:rsidRDefault="007D10C9" w:rsidP="007D10C9">
      <w:pPr>
        <w:pStyle w:val="Prrafodelista"/>
        <w:autoSpaceDE w:val="0"/>
        <w:autoSpaceDN w:val="0"/>
        <w:adjustRightInd w:val="0"/>
        <w:spacing w:line="360" w:lineRule="auto"/>
        <w:ind w:left="0"/>
        <w:jc w:val="both"/>
        <w:rPr>
          <w:rFonts w:ascii="Palatino Linotype" w:hAnsi="Palatino Linotype" w:cs="Arial"/>
        </w:rPr>
      </w:pPr>
      <w:r w:rsidRPr="00D906B2">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D906B2">
        <w:rPr>
          <w:rFonts w:ascii="Palatino Linotype" w:hAnsi="Palatino Linotype" w:cs="Arial"/>
        </w:rPr>
        <w:lastRenderedPageBreak/>
        <w:t>improcedencia y sobreseimiento con tales fines</w:t>
      </w:r>
      <w:r w:rsidRPr="00D906B2">
        <w:rPr>
          <w:rStyle w:val="Refdenotaalpie"/>
          <w:rFonts w:ascii="Palatino Linotype" w:hAnsi="Palatino Linotype" w:cs="Arial"/>
        </w:rPr>
        <w:footnoteReference w:id="1"/>
      </w:r>
      <w:r w:rsidRPr="00D906B2">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7D10C9" w:rsidRPr="00D906B2" w:rsidRDefault="007D10C9" w:rsidP="007D10C9">
      <w:pPr>
        <w:tabs>
          <w:tab w:val="left" w:pos="709"/>
        </w:tabs>
        <w:spacing w:before="240" w:line="360" w:lineRule="auto"/>
        <w:ind w:right="51"/>
        <w:jc w:val="both"/>
        <w:rPr>
          <w:rFonts w:ascii="Palatino Linotype" w:hAnsi="Palatino Linotype"/>
          <w:b/>
          <w:sz w:val="28"/>
          <w:szCs w:val="28"/>
        </w:rPr>
      </w:pPr>
    </w:p>
    <w:p w:rsidR="007D10C9" w:rsidRPr="00D906B2" w:rsidRDefault="007D10C9" w:rsidP="007D10C9">
      <w:pPr>
        <w:tabs>
          <w:tab w:val="left" w:pos="709"/>
        </w:tabs>
        <w:spacing w:before="240" w:line="360" w:lineRule="auto"/>
        <w:ind w:right="51"/>
        <w:jc w:val="both"/>
        <w:rPr>
          <w:rFonts w:ascii="Palatino Linotype" w:hAnsi="Palatino Linotype"/>
          <w:b/>
          <w:sz w:val="28"/>
          <w:szCs w:val="28"/>
        </w:rPr>
      </w:pPr>
      <w:r w:rsidRPr="00D906B2">
        <w:rPr>
          <w:rFonts w:ascii="Palatino Linotype" w:hAnsi="Palatino Linotype"/>
          <w:b/>
          <w:sz w:val="28"/>
          <w:szCs w:val="28"/>
        </w:rPr>
        <w:t xml:space="preserve">CUARTO. Estudio y resolución del asunto </w:t>
      </w:r>
      <w:r w:rsidRPr="00D906B2">
        <w:rPr>
          <w:rFonts w:ascii="Palatino Linotype" w:hAnsi="Palatino Linotype"/>
          <w:b/>
          <w:sz w:val="28"/>
          <w:szCs w:val="28"/>
        </w:rPr>
        <w:tab/>
      </w:r>
    </w:p>
    <w:p w:rsidR="007D10C9" w:rsidRPr="00D906B2" w:rsidRDefault="007D10C9" w:rsidP="007D10C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906B2">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7D10C9" w:rsidRPr="00D906B2" w:rsidRDefault="007D10C9" w:rsidP="007D10C9">
      <w:pPr>
        <w:autoSpaceDE w:val="0"/>
        <w:autoSpaceDN w:val="0"/>
        <w:adjustRightInd w:val="0"/>
        <w:ind w:right="567"/>
        <w:rPr>
          <w:rFonts w:ascii="Palatino Linotype" w:eastAsia="Calibri" w:hAnsi="Palatino Linotype" w:cs="Arial"/>
        </w:rPr>
      </w:pPr>
    </w:p>
    <w:p w:rsidR="007D10C9" w:rsidRPr="00D906B2" w:rsidRDefault="007D10C9" w:rsidP="007D10C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906B2">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7D10C9" w:rsidRPr="00D906B2" w:rsidRDefault="007D10C9" w:rsidP="007D10C9">
      <w:pPr>
        <w:pStyle w:val="Citas"/>
        <w:spacing w:before="0" w:after="0" w:line="240" w:lineRule="auto"/>
      </w:pPr>
      <w:r w:rsidRPr="00D906B2">
        <w:rPr>
          <w:b/>
        </w:rPr>
        <w:lastRenderedPageBreak/>
        <w:t>Artículo 179.</w:t>
      </w:r>
      <w:r w:rsidRPr="00D906B2">
        <w:t xml:space="preserve"> El recurso de revisión es un medio de protección que la Ley otorga a los particulares, para hacer valer su derecho de acceso a la información pública, y procederá en contra de las siguientes causas: </w:t>
      </w:r>
    </w:p>
    <w:p w:rsidR="007D10C9" w:rsidRPr="00D906B2" w:rsidRDefault="007D10C9" w:rsidP="007D10C9">
      <w:pPr>
        <w:pStyle w:val="Citas"/>
        <w:numPr>
          <w:ilvl w:val="0"/>
          <w:numId w:val="3"/>
        </w:numPr>
        <w:spacing w:before="0" w:after="0" w:line="240" w:lineRule="auto"/>
        <w:rPr>
          <w:b/>
        </w:rPr>
      </w:pPr>
      <w:r w:rsidRPr="00D906B2">
        <w:rPr>
          <w:b/>
        </w:rPr>
        <w:t xml:space="preserve">La negativa a la información solicitada; </w:t>
      </w:r>
    </w:p>
    <w:p w:rsidR="007D10C9" w:rsidRPr="00D906B2" w:rsidRDefault="007D10C9" w:rsidP="007D10C9">
      <w:pPr>
        <w:pStyle w:val="Citas"/>
        <w:numPr>
          <w:ilvl w:val="0"/>
          <w:numId w:val="3"/>
        </w:numPr>
        <w:spacing w:before="0" w:after="0" w:line="240" w:lineRule="auto"/>
      </w:pPr>
      <w:r w:rsidRPr="00D906B2">
        <w:t xml:space="preserve">La clasificación de la información; </w:t>
      </w:r>
    </w:p>
    <w:p w:rsidR="007D10C9" w:rsidRPr="00D906B2" w:rsidRDefault="007D10C9" w:rsidP="007D10C9">
      <w:pPr>
        <w:pStyle w:val="Citas"/>
        <w:numPr>
          <w:ilvl w:val="0"/>
          <w:numId w:val="3"/>
        </w:numPr>
        <w:spacing w:before="0" w:after="0" w:line="240" w:lineRule="auto"/>
      </w:pPr>
      <w:r w:rsidRPr="00D906B2">
        <w:t xml:space="preserve">La declaración de inexistencia de la información; </w:t>
      </w:r>
    </w:p>
    <w:p w:rsidR="007D10C9" w:rsidRPr="00D906B2" w:rsidRDefault="007D10C9" w:rsidP="007D10C9">
      <w:pPr>
        <w:pStyle w:val="Citas"/>
        <w:numPr>
          <w:ilvl w:val="0"/>
          <w:numId w:val="3"/>
        </w:numPr>
        <w:spacing w:before="0" w:after="0" w:line="240" w:lineRule="auto"/>
      </w:pPr>
      <w:r w:rsidRPr="00D906B2">
        <w:t xml:space="preserve">La declaración de incompetencia por el sujeto obligado; </w:t>
      </w:r>
    </w:p>
    <w:p w:rsidR="007D10C9" w:rsidRPr="00D906B2" w:rsidRDefault="007D10C9" w:rsidP="007D10C9">
      <w:pPr>
        <w:pStyle w:val="Citas"/>
        <w:numPr>
          <w:ilvl w:val="0"/>
          <w:numId w:val="3"/>
        </w:numPr>
        <w:spacing w:before="0" w:after="0" w:line="240" w:lineRule="auto"/>
      </w:pPr>
      <w:r w:rsidRPr="00D906B2">
        <w:t xml:space="preserve">La entrega de información incompleta; </w:t>
      </w:r>
    </w:p>
    <w:p w:rsidR="007D10C9" w:rsidRPr="00D906B2" w:rsidRDefault="007D10C9" w:rsidP="007D10C9">
      <w:pPr>
        <w:pStyle w:val="Citas"/>
        <w:numPr>
          <w:ilvl w:val="0"/>
          <w:numId w:val="3"/>
        </w:numPr>
        <w:spacing w:before="0" w:after="0" w:line="240" w:lineRule="auto"/>
      </w:pPr>
      <w:r w:rsidRPr="00D906B2">
        <w:t xml:space="preserve">La entrega de información que no corresponda con lo solicitado; </w:t>
      </w:r>
    </w:p>
    <w:p w:rsidR="007D10C9" w:rsidRPr="00D906B2" w:rsidRDefault="007D10C9" w:rsidP="007D10C9">
      <w:pPr>
        <w:pStyle w:val="Citas"/>
        <w:numPr>
          <w:ilvl w:val="0"/>
          <w:numId w:val="3"/>
        </w:numPr>
        <w:spacing w:before="0" w:after="0" w:line="240" w:lineRule="auto"/>
      </w:pPr>
      <w:r w:rsidRPr="00D906B2">
        <w:t xml:space="preserve">La falta de respuesta a una solicitud de acceso a la información; </w:t>
      </w:r>
    </w:p>
    <w:p w:rsidR="007D10C9" w:rsidRPr="00D906B2" w:rsidRDefault="007D10C9" w:rsidP="007D10C9">
      <w:pPr>
        <w:pStyle w:val="Citas"/>
        <w:numPr>
          <w:ilvl w:val="0"/>
          <w:numId w:val="3"/>
        </w:numPr>
        <w:spacing w:before="0" w:after="0" w:line="240" w:lineRule="auto"/>
      </w:pPr>
      <w:r w:rsidRPr="00D906B2">
        <w:t xml:space="preserve">La notificación, entrega o puesta a disposición de información en una modalidad o formato distinto al solicitado; </w:t>
      </w:r>
    </w:p>
    <w:p w:rsidR="007D10C9" w:rsidRPr="00D906B2" w:rsidRDefault="007D10C9" w:rsidP="007D10C9">
      <w:pPr>
        <w:pStyle w:val="Citas"/>
        <w:numPr>
          <w:ilvl w:val="0"/>
          <w:numId w:val="3"/>
        </w:numPr>
        <w:spacing w:before="0" w:after="0" w:line="240" w:lineRule="auto"/>
      </w:pPr>
      <w:r w:rsidRPr="00D906B2">
        <w:t xml:space="preserve">La entrega o puesta a disposición de información en un formato incomprensible y/o no accesible para el solicitante; </w:t>
      </w:r>
    </w:p>
    <w:p w:rsidR="007D10C9" w:rsidRPr="00D906B2" w:rsidRDefault="007D10C9" w:rsidP="007D10C9">
      <w:pPr>
        <w:pStyle w:val="Citas"/>
        <w:numPr>
          <w:ilvl w:val="0"/>
          <w:numId w:val="3"/>
        </w:numPr>
        <w:spacing w:before="0" w:after="0" w:line="240" w:lineRule="auto"/>
      </w:pPr>
      <w:r w:rsidRPr="00D906B2">
        <w:t xml:space="preserve">Los costos o tiempos de entrega de la información; </w:t>
      </w:r>
    </w:p>
    <w:p w:rsidR="007D10C9" w:rsidRPr="00D906B2" w:rsidRDefault="007D10C9" w:rsidP="007D10C9">
      <w:pPr>
        <w:pStyle w:val="Citas"/>
        <w:numPr>
          <w:ilvl w:val="0"/>
          <w:numId w:val="3"/>
        </w:numPr>
        <w:spacing w:before="0" w:after="0" w:line="240" w:lineRule="auto"/>
      </w:pPr>
      <w:r w:rsidRPr="00D906B2">
        <w:t xml:space="preserve">La falta de trámite a una solicitud; </w:t>
      </w:r>
    </w:p>
    <w:p w:rsidR="007D10C9" w:rsidRPr="00D906B2" w:rsidRDefault="007D10C9" w:rsidP="007D10C9">
      <w:pPr>
        <w:pStyle w:val="Citas"/>
        <w:numPr>
          <w:ilvl w:val="0"/>
          <w:numId w:val="3"/>
        </w:numPr>
        <w:spacing w:before="0" w:after="0" w:line="240" w:lineRule="auto"/>
      </w:pPr>
      <w:r w:rsidRPr="00D906B2">
        <w:t xml:space="preserve">La negativa a permitir la consulta directa de la información; </w:t>
      </w:r>
    </w:p>
    <w:p w:rsidR="007D10C9" w:rsidRPr="00D906B2" w:rsidRDefault="007D10C9" w:rsidP="007D10C9">
      <w:pPr>
        <w:pStyle w:val="Citas"/>
        <w:numPr>
          <w:ilvl w:val="0"/>
          <w:numId w:val="3"/>
        </w:numPr>
        <w:spacing w:before="0" w:after="0" w:line="240" w:lineRule="auto"/>
      </w:pPr>
      <w:r w:rsidRPr="00D906B2">
        <w:t xml:space="preserve">La falta, deficiencia o insuficiencia de la fundamentación y/o motivación en la respuesta; y </w:t>
      </w:r>
    </w:p>
    <w:p w:rsidR="007D10C9" w:rsidRPr="00D906B2" w:rsidRDefault="007D10C9" w:rsidP="007D10C9">
      <w:pPr>
        <w:pStyle w:val="Citas"/>
        <w:numPr>
          <w:ilvl w:val="0"/>
          <w:numId w:val="3"/>
        </w:numPr>
        <w:spacing w:before="0" w:after="0" w:line="240" w:lineRule="auto"/>
      </w:pPr>
      <w:r w:rsidRPr="00D906B2">
        <w:t xml:space="preserve">La orientación a un trámite específico. </w:t>
      </w:r>
    </w:p>
    <w:p w:rsidR="007D10C9" w:rsidRPr="00D906B2" w:rsidRDefault="007D10C9" w:rsidP="007D10C9">
      <w:pPr>
        <w:pStyle w:val="Citas"/>
        <w:spacing w:before="0" w:after="0" w:line="240" w:lineRule="auto"/>
      </w:pPr>
      <w:r w:rsidRPr="00D906B2">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7D10C9" w:rsidRPr="00D906B2" w:rsidRDefault="007D10C9" w:rsidP="007D10C9">
      <w:pPr>
        <w:autoSpaceDE w:val="0"/>
        <w:autoSpaceDN w:val="0"/>
        <w:adjustRightInd w:val="0"/>
        <w:ind w:right="567"/>
        <w:rPr>
          <w:rFonts w:ascii="Palatino Linotype" w:eastAsia="Calibri" w:hAnsi="Palatino Linotype" w:cs="Arial"/>
        </w:rPr>
      </w:pPr>
    </w:p>
    <w:p w:rsidR="007D10C9" w:rsidRPr="00D906B2" w:rsidRDefault="007D10C9" w:rsidP="007D10C9">
      <w:pPr>
        <w:autoSpaceDE w:val="0"/>
        <w:autoSpaceDN w:val="0"/>
        <w:adjustRightInd w:val="0"/>
        <w:ind w:right="567"/>
        <w:rPr>
          <w:rFonts w:ascii="Palatino Linotype" w:eastAsia="Calibri" w:hAnsi="Palatino Linotype" w:cs="Arial"/>
        </w:rPr>
      </w:pPr>
    </w:p>
    <w:p w:rsidR="007D10C9" w:rsidRPr="00D906B2" w:rsidRDefault="007D10C9" w:rsidP="007D10C9">
      <w:pPr>
        <w:spacing w:line="360" w:lineRule="auto"/>
        <w:jc w:val="both"/>
        <w:rPr>
          <w:rFonts w:ascii="Palatino Linotype" w:hAnsi="Palatino Linotype" w:cs="Tahoma"/>
          <w:bCs/>
        </w:rPr>
      </w:pPr>
      <w:r w:rsidRPr="00D906B2">
        <w:rPr>
          <w:rFonts w:ascii="Palatino Linotype" w:hAnsi="Palatino Linotype" w:cs="Tahoma"/>
          <w:bCs/>
        </w:rPr>
        <w:t xml:space="preserve">Bajo estas líneas argumentativas, al retomar y delimitar los requerimientos del ahora </w:t>
      </w:r>
      <w:r w:rsidRPr="00D906B2">
        <w:rPr>
          <w:rFonts w:ascii="Palatino Linotype" w:hAnsi="Palatino Linotype" w:cs="Tahoma"/>
          <w:b/>
          <w:bCs/>
        </w:rPr>
        <w:t>Recurrente</w:t>
      </w:r>
      <w:r w:rsidRPr="00D906B2">
        <w:rPr>
          <w:rFonts w:ascii="Palatino Linotype" w:hAnsi="Palatino Linotype" w:cs="Tahoma"/>
          <w:bCs/>
        </w:rPr>
        <w:t>, de manera objetiva se precisa que requiere la siguiente información:</w:t>
      </w:r>
    </w:p>
    <w:p w:rsidR="007D10C9" w:rsidRPr="00D906B2" w:rsidRDefault="007D10C9" w:rsidP="007D10C9">
      <w:pPr>
        <w:spacing w:line="360" w:lineRule="auto"/>
        <w:jc w:val="both"/>
        <w:rPr>
          <w:rFonts w:ascii="Palatino Linotype" w:hAnsi="Palatino Linotype" w:cs="Tahoma"/>
          <w:bCs/>
        </w:rPr>
      </w:pPr>
    </w:p>
    <w:p w:rsidR="007D10C9" w:rsidRPr="00D906B2" w:rsidRDefault="004D415B" w:rsidP="004D415B">
      <w:pPr>
        <w:pStyle w:val="Prrafodelista"/>
        <w:numPr>
          <w:ilvl w:val="0"/>
          <w:numId w:val="2"/>
        </w:numPr>
        <w:tabs>
          <w:tab w:val="left" w:pos="1828"/>
        </w:tabs>
        <w:spacing w:line="360" w:lineRule="auto"/>
        <w:ind w:left="284"/>
        <w:jc w:val="both"/>
        <w:rPr>
          <w:rFonts w:ascii="Palatino Linotype" w:hAnsi="Palatino Linotype" w:cs="Tahoma"/>
          <w:bCs/>
        </w:rPr>
      </w:pPr>
      <w:r w:rsidRPr="00D906B2">
        <w:rPr>
          <w:rFonts w:ascii="Palatino Linotype" w:hAnsi="Palatino Linotype" w:cs="Tahoma"/>
          <w:bCs/>
        </w:rPr>
        <w:t>Copia simple digitalizada a través del sistema electrónico SAIMEX de todas las facturas pagadas con recursos públicos de la partida presupuestal 3611 durante los años 2024 y 2025.</w:t>
      </w:r>
    </w:p>
    <w:p w:rsidR="007D10C9" w:rsidRPr="00D906B2" w:rsidRDefault="007D10C9" w:rsidP="007D10C9">
      <w:pPr>
        <w:spacing w:before="240" w:line="360" w:lineRule="auto"/>
        <w:jc w:val="both"/>
        <w:rPr>
          <w:rFonts w:ascii="Palatino Linotype" w:hAnsi="Palatino Linotype" w:cs="Arial"/>
          <w:b/>
        </w:rPr>
      </w:pPr>
      <w:r w:rsidRPr="00D906B2">
        <w:rPr>
          <w:rFonts w:ascii="Palatino Linotype" w:hAnsi="Palatino Linotype" w:cs="Arial"/>
        </w:rPr>
        <w:t xml:space="preserve">De conformidad con las constancias que obran en el expediente electrónico, se observa que el </w:t>
      </w:r>
      <w:r w:rsidRPr="00D906B2">
        <w:rPr>
          <w:rFonts w:ascii="Palatino Linotype" w:hAnsi="Palatino Linotype" w:cs="Arial"/>
          <w:b/>
        </w:rPr>
        <w:t>Sujeto Obligado</w:t>
      </w:r>
      <w:r w:rsidRPr="00D906B2">
        <w:rPr>
          <w:rFonts w:ascii="Palatino Linotype" w:hAnsi="Palatino Linotype" w:cs="Arial"/>
        </w:rPr>
        <w:t xml:space="preserve"> dio respuesta por medio del sistema SAIMEX, a la solicitud de </w:t>
      </w:r>
      <w:r w:rsidRPr="00D906B2">
        <w:rPr>
          <w:rFonts w:ascii="Palatino Linotype" w:hAnsi="Palatino Linotype" w:cs="Arial"/>
        </w:rPr>
        <w:lastRenderedPageBreak/>
        <w:t>información</w:t>
      </w:r>
      <w:r w:rsidRPr="00D906B2">
        <w:rPr>
          <w:rFonts w:ascii="Palatino Linotype" w:eastAsia="Palatino Linotype" w:hAnsi="Palatino Linotype" w:cs="Palatino Linotype"/>
          <w:b/>
          <w:color w:val="000000"/>
        </w:rPr>
        <w:t xml:space="preserve"> </w:t>
      </w:r>
      <w:r w:rsidRPr="00D906B2">
        <w:rPr>
          <w:rFonts w:ascii="Palatino Linotype" w:hAnsi="Palatino Linotype" w:cs="Arial"/>
          <w:b/>
        </w:rPr>
        <w:t xml:space="preserve">00153/AMECAMEC/IP/2025; </w:t>
      </w:r>
      <w:r w:rsidRPr="00D906B2">
        <w:rPr>
          <w:rFonts w:ascii="Palatino Linotype" w:hAnsi="Palatino Linotype" w:cs="Arial"/>
        </w:rPr>
        <w:t>a través de los archivos electrónicos siguientes</w:t>
      </w:r>
      <w:r w:rsidRPr="00D906B2">
        <w:rPr>
          <w:rFonts w:ascii="Palatino Linotype" w:hAnsi="Palatino Linotype" w:cs="Arial"/>
          <w:b/>
        </w:rPr>
        <w:t>:</w:t>
      </w:r>
    </w:p>
    <w:p w:rsidR="007D10C9" w:rsidRPr="00D906B2" w:rsidRDefault="00C83126" w:rsidP="00C83126">
      <w:pPr>
        <w:pStyle w:val="Prrafodelista"/>
        <w:numPr>
          <w:ilvl w:val="0"/>
          <w:numId w:val="5"/>
        </w:numPr>
        <w:spacing w:before="240" w:line="360" w:lineRule="auto"/>
        <w:jc w:val="both"/>
        <w:rPr>
          <w:rFonts w:ascii="Palatino Linotype" w:hAnsi="Palatino Linotype" w:cs="Arial"/>
          <w:b/>
          <w:i/>
        </w:rPr>
      </w:pPr>
      <w:r w:rsidRPr="00D906B2">
        <w:rPr>
          <w:rFonts w:ascii="Palatino Linotype" w:hAnsi="Palatino Linotype" w:cs="Arial"/>
          <w:b/>
          <w:i/>
        </w:rPr>
        <w:t>respuesta153.pdf</w:t>
      </w:r>
      <w:r w:rsidR="007D10C9" w:rsidRPr="00D906B2">
        <w:rPr>
          <w:rFonts w:ascii="Palatino Linotype" w:hAnsi="Palatino Linotype" w:cs="Arial"/>
          <w:b/>
          <w:i/>
        </w:rPr>
        <w:t xml:space="preserve">: </w:t>
      </w:r>
      <w:r w:rsidR="00812C52" w:rsidRPr="00D906B2">
        <w:rPr>
          <w:rFonts w:ascii="Palatino Linotype" w:hAnsi="Palatino Linotype" w:cs="Arial"/>
        </w:rPr>
        <w:t>documento suscrito por la UTAIP, en el que refieren remitir la información, sin embargo, no fue adjuntada.</w:t>
      </w:r>
    </w:p>
    <w:p w:rsidR="007D10C9" w:rsidRPr="00D906B2" w:rsidRDefault="007D10C9" w:rsidP="007D10C9">
      <w:pPr>
        <w:pBdr>
          <w:top w:val="nil"/>
          <w:left w:val="nil"/>
          <w:bottom w:val="nil"/>
          <w:right w:val="nil"/>
          <w:between w:val="nil"/>
        </w:pBdr>
        <w:spacing w:line="360" w:lineRule="auto"/>
        <w:contextualSpacing/>
        <w:jc w:val="both"/>
        <w:rPr>
          <w:rFonts w:ascii="Palatino Linotype" w:hAnsi="Palatino Linotype" w:cs="Arial"/>
          <w:bCs/>
        </w:rPr>
      </w:pPr>
    </w:p>
    <w:p w:rsidR="007D10C9" w:rsidRPr="00D906B2" w:rsidRDefault="007D10C9" w:rsidP="007D10C9">
      <w:pPr>
        <w:pBdr>
          <w:top w:val="nil"/>
          <w:left w:val="nil"/>
          <w:bottom w:val="nil"/>
          <w:right w:val="nil"/>
          <w:between w:val="nil"/>
        </w:pBdr>
        <w:spacing w:line="360" w:lineRule="auto"/>
        <w:contextualSpacing/>
        <w:jc w:val="both"/>
        <w:rPr>
          <w:rFonts w:ascii="Palatino Linotype" w:hAnsi="Palatino Linotype" w:cs="Arial"/>
          <w:color w:val="000000" w:themeColor="text1"/>
        </w:rPr>
      </w:pPr>
      <w:r w:rsidRPr="00D906B2">
        <w:rPr>
          <w:rFonts w:ascii="Palatino Linotype" w:hAnsi="Palatino Linotype" w:cs="Arial"/>
          <w:bCs/>
        </w:rPr>
        <w:t xml:space="preserve">Es así como, derivado de la respuesta emitida por </w:t>
      </w:r>
      <w:r w:rsidRPr="00D906B2">
        <w:rPr>
          <w:rFonts w:ascii="Palatino Linotype" w:hAnsi="Palatino Linotype" w:cs="Arial"/>
          <w:b/>
          <w:bCs/>
        </w:rPr>
        <w:t>El Sujeto Obligado</w:t>
      </w:r>
      <w:r w:rsidRPr="00D906B2">
        <w:rPr>
          <w:rFonts w:ascii="Palatino Linotype" w:hAnsi="Palatino Linotype" w:cs="Arial"/>
          <w:bCs/>
        </w:rPr>
        <w:t xml:space="preserve">, </w:t>
      </w:r>
      <w:r w:rsidRPr="00D906B2">
        <w:rPr>
          <w:rFonts w:ascii="Palatino Linotype" w:hAnsi="Palatino Linotype" w:cs="Arial"/>
          <w:b/>
          <w:bCs/>
        </w:rPr>
        <w:t>el Recurrente</w:t>
      </w:r>
      <w:r w:rsidRPr="00D906B2">
        <w:rPr>
          <w:rFonts w:ascii="Palatino Linotype" w:hAnsi="Palatino Linotype" w:cs="Arial"/>
          <w:bCs/>
        </w:rPr>
        <w:t>, interpuso el presente recurso de revisión, señalando sustancialmente como sus razones o motivos de inconformidad, lo siguiente:</w:t>
      </w:r>
      <w:r w:rsidRPr="00D906B2" w:rsidDel="00107C3B">
        <w:rPr>
          <w:rFonts w:ascii="Palatino Linotype" w:hAnsi="Palatino Linotype"/>
          <w:b/>
          <w:i/>
        </w:rPr>
        <w:t xml:space="preserve"> </w:t>
      </w:r>
      <w:r w:rsidRPr="00D906B2">
        <w:rPr>
          <w:rFonts w:ascii="Palatino Linotype" w:hAnsi="Palatino Linotype"/>
          <w:i/>
        </w:rPr>
        <w:t>“</w:t>
      </w:r>
      <w:r w:rsidR="00812C52" w:rsidRPr="00D906B2">
        <w:rPr>
          <w:rFonts w:ascii="Palatino Linotype" w:hAnsi="Palatino Linotype"/>
          <w:i/>
        </w:rPr>
        <w:t>EL SUJETO OBLIGADO INCUMPLE LA LEY DE TRANSPARENCIA Y VIOLA EL DERECHO A LA INFORMACION DE ESTE SOLICITANTE AL SER OMISO EN LA ENTREGA DE LA INFORMACION SOLICITADA. POR LO ANTERIOR, SOLICITO SE REVOQUE LA RESPUESTA Y SE ORDENE LA ENTREGA DE LA INFORMACION SOLICITADA.</w:t>
      </w:r>
      <w:r w:rsidRPr="00D906B2">
        <w:rPr>
          <w:rFonts w:ascii="Palatino Linotype" w:hAnsi="Palatino Linotype"/>
          <w:i/>
        </w:rPr>
        <w:t>” (Sic).</w:t>
      </w:r>
    </w:p>
    <w:p w:rsidR="007D10C9" w:rsidRPr="00D906B2" w:rsidRDefault="007D10C9" w:rsidP="007D10C9">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7D10C9" w:rsidRPr="00D906B2" w:rsidRDefault="007D10C9" w:rsidP="007D10C9">
      <w:pPr>
        <w:widowControl w:val="0"/>
        <w:tabs>
          <w:tab w:val="left" w:pos="1701"/>
          <w:tab w:val="left" w:pos="1843"/>
        </w:tabs>
        <w:spacing w:line="360" w:lineRule="auto"/>
        <w:jc w:val="both"/>
        <w:rPr>
          <w:rFonts w:ascii="Palatino Linotype" w:eastAsia="Calibri" w:hAnsi="Palatino Linotype" w:cs="Calibri"/>
          <w:lang w:val="es-ES_tradnl" w:eastAsia="es-MX"/>
        </w:rPr>
      </w:pPr>
      <w:r w:rsidRPr="00D906B2">
        <w:rPr>
          <w:rFonts w:ascii="Palatino Linotype" w:eastAsia="Calibri" w:hAnsi="Palatino Linotype" w:cs="Calibri"/>
          <w:lang w:val="es-ES_tradnl" w:eastAsia="es-MX"/>
        </w:rPr>
        <w:t>De las constancias que obran en el expediente electrónico del SAIMEX, se advierte que</w:t>
      </w:r>
    </w:p>
    <w:p w:rsidR="007D10C9" w:rsidRPr="00D906B2" w:rsidRDefault="007D10C9" w:rsidP="007D10C9">
      <w:pPr>
        <w:widowControl w:val="0"/>
        <w:tabs>
          <w:tab w:val="left" w:pos="1701"/>
          <w:tab w:val="left" w:pos="1843"/>
        </w:tabs>
        <w:spacing w:line="360" w:lineRule="auto"/>
        <w:jc w:val="both"/>
        <w:rPr>
          <w:rFonts w:ascii="Palatino Linotype" w:hAnsi="Palatino Linotype" w:cs="Arial"/>
        </w:rPr>
      </w:pPr>
      <w:r w:rsidRPr="00D906B2">
        <w:rPr>
          <w:rFonts w:ascii="Palatino Linotype" w:eastAsia="Calibri" w:hAnsi="Palatino Linotype" w:cs="Calibri"/>
          <w:lang w:val="es-ES_tradnl" w:eastAsia="es-MX"/>
        </w:rPr>
        <w:t>el Sujeto Obligado rindió su informe justificado por medio de los archivos electrónicos d</w:t>
      </w:r>
      <w:r w:rsidR="00812C52" w:rsidRPr="00D906B2">
        <w:rPr>
          <w:rFonts w:ascii="Palatino Linotype" w:eastAsia="Calibri" w:hAnsi="Palatino Linotype" w:cs="Calibri"/>
          <w:lang w:val="es-ES_tradnl" w:eastAsia="es-MX"/>
        </w:rPr>
        <w:t>enominados:</w:t>
      </w:r>
    </w:p>
    <w:p w:rsidR="007D10C9" w:rsidRPr="00D906B2" w:rsidRDefault="00812C52" w:rsidP="00812C52">
      <w:pPr>
        <w:pStyle w:val="Prrafodelista"/>
        <w:numPr>
          <w:ilvl w:val="0"/>
          <w:numId w:val="5"/>
        </w:numPr>
        <w:autoSpaceDE w:val="0"/>
        <w:autoSpaceDN w:val="0"/>
        <w:adjustRightInd w:val="0"/>
        <w:spacing w:line="360" w:lineRule="auto"/>
        <w:jc w:val="both"/>
        <w:rPr>
          <w:rFonts w:ascii="Palatino Linotype" w:hAnsi="Palatino Linotype" w:cs="Arial"/>
        </w:rPr>
      </w:pPr>
      <w:r w:rsidRPr="00D906B2">
        <w:rPr>
          <w:rFonts w:ascii="Palatino Linotype" w:hAnsi="Palatino Linotype" w:cs="Arial"/>
          <w:b/>
          <w:i/>
        </w:rPr>
        <w:t>Anexo Solicitud 153 VP.pdf</w:t>
      </w:r>
      <w:r w:rsidRPr="00D906B2">
        <w:rPr>
          <w:rFonts w:ascii="Palatino Linotype" w:hAnsi="Palatino Linotype" w:cs="Arial"/>
        </w:rPr>
        <w:t>:</w:t>
      </w:r>
      <w:r w:rsidR="007C4F3E" w:rsidRPr="00D906B2">
        <w:rPr>
          <w:rFonts w:ascii="Palatino Linotype" w:hAnsi="Palatino Linotype" w:cs="Arial"/>
        </w:rPr>
        <w:t xml:space="preserve"> documento constante de 26 fojas, que contiene comprobantes de transferencia</w:t>
      </w:r>
      <w:r w:rsidR="00D93797" w:rsidRPr="00D906B2">
        <w:rPr>
          <w:rFonts w:ascii="Palatino Linotype" w:hAnsi="Palatino Linotype" w:cs="Arial"/>
        </w:rPr>
        <w:t xml:space="preserve"> y facturas</w:t>
      </w:r>
      <w:r w:rsidR="002049A9" w:rsidRPr="00D906B2">
        <w:rPr>
          <w:rFonts w:ascii="Palatino Linotype" w:hAnsi="Palatino Linotype" w:cs="Arial"/>
        </w:rPr>
        <w:t xml:space="preserve"> de 2024 y 2025</w:t>
      </w:r>
      <w:r w:rsidR="00D93797" w:rsidRPr="00D906B2">
        <w:rPr>
          <w:rFonts w:ascii="Palatino Linotype" w:hAnsi="Palatino Linotype" w:cs="Arial"/>
        </w:rPr>
        <w:t>, en algunos testaron firmas, de las cuales no se tiene certeza si corresponde a servidores públicos o particulares</w:t>
      </w:r>
      <w:r w:rsidR="001E6E19" w:rsidRPr="00D906B2">
        <w:rPr>
          <w:rFonts w:ascii="Palatino Linotype" w:hAnsi="Palatino Linotype" w:cs="Arial"/>
        </w:rPr>
        <w:t>, así como, números de cuenta del municipio</w:t>
      </w:r>
      <w:r w:rsidR="00730BBB" w:rsidRPr="00D906B2">
        <w:rPr>
          <w:rFonts w:ascii="Palatino Linotype" w:hAnsi="Palatino Linotype" w:cs="Arial"/>
        </w:rPr>
        <w:t>, folios fiscales, motivos de pago</w:t>
      </w:r>
      <w:r w:rsidR="002049A9" w:rsidRPr="00D906B2">
        <w:rPr>
          <w:rFonts w:ascii="Palatino Linotype" w:hAnsi="Palatino Linotype" w:cs="Arial"/>
        </w:rPr>
        <w:t>, descripción en facturas</w:t>
      </w:r>
      <w:r w:rsidR="00097E30" w:rsidRPr="00D906B2">
        <w:rPr>
          <w:rFonts w:ascii="Palatino Linotype" w:hAnsi="Palatino Linotype" w:cs="Arial"/>
        </w:rPr>
        <w:t xml:space="preserve">, códigos bidimensionales, cadena original, sello y folio digital. </w:t>
      </w:r>
    </w:p>
    <w:p w:rsidR="00812C52" w:rsidRPr="00D906B2" w:rsidRDefault="00812C52" w:rsidP="00812C52">
      <w:pPr>
        <w:pStyle w:val="Prrafodelista"/>
        <w:numPr>
          <w:ilvl w:val="0"/>
          <w:numId w:val="5"/>
        </w:numPr>
        <w:autoSpaceDE w:val="0"/>
        <w:autoSpaceDN w:val="0"/>
        <w:adjustRightInd w:val="0"/>
        <w:spacing w:line="360" w:lineRule="auto"/>
        <w:jc w:val="both"/>
        <w:rPr>
          <w:rFonts w:ascii="Palatino Linotype" w:hAnsi="Palatino Linotype" w:cs="Arial"/>
        </w:rPr>
      </w:pPr>
      <w:r w:rsidRPr="00D906B2">
        <w:rPr>
          <w:rFonts w:ascii="Palatino Linotype" w:hAnsi="Palatino Linotype" w:cs="Arial"/>
          <w:b/>
          <w:i/>
        </w:rPr>
        <w:t>Respuesta S.153.pdf</w:t>
      </w:r>
      <w:r w:rsidRPr="00D906B2">
        <w:rPr>
          <w:rFonts w:ascii="Palatino Linotype" w:hAnsi="Palatino Linotype" w:cs="Arial"/>
        </w:rPr>
        <w:t>: oficio número AME/DIR/TM/CON/086/INT/2026, firmado por la Tesorera Municipal, en el que refiere</w:t>
      </w:r>
      <w:r w:rsidR="007C4F3E" w:rsidRPr="00D906B2">
        <w:rPr>
          <w:rFonts w:ascii="Palatino Linotype" w:hAnsi="Palatino Linotype" w:cs="Arial"/>
        </w:rPr>
        <w:t xml:space="preserve"> remitir las facturas pagadas </w:t>
      </w:r>
      <w:r w:rsidR="007C4F3E" w:rsidRPr="00D906B2">
        <w:rPr>
          <w:rFonts w:ascii="Palatino Linotype" w:hAnsi="Palatino Linotype" w:cs="Arial"/>
        </w:rPr>
        <w:lastRenderedPageBreak/>
        <w:t>relacionadas con la partida presupuestal 3611, así como, los comprobantes de trasferencias bancarias y facturas de 2024 y 2025.</w:t>
      </w:r>
    </w:p>
    <w:p w:rsidR="00D93797" w:rsidRPr="00D906B2" w:rsidRDefault="00D93797" w:rsidP="007D10C9">
      <w:pPr>
        <w:autoSpaceDE w:val="0"/>
        <w:autoSpaceDN w:val="0"/>
        <w:adjustRightInd w:val="0"/>
        <w:spacing w:line="360" w:lineRule="auto"/>
        <w:jc w:val="both"/>
        <w:rPr>
          <w:rFonts w:ascii="Palatino Linotype" w:hAnsi="Palatino Linotype" w:cs="Arial"/>
        </w:rPr>
      </w:pPr>
    </w:p>
    <w:p w:rsidR="00D93797" w:rsidRPr="00D906B2" w:rsidRDefault="00D93797" w:rsidP="00D93797">
      <w:pPr>
        <w:spacing w:line="360" w:lineRule="auto"/>
        <w:jc w:val="both"/>
        <w:rPr>
          <w:rFonts w:ascii="Palatino Linotype" w:hAnsi="Palatino Linotype"/>
        </w:rPr>
      </w:pPr>
      <w:r w:rsidRPr="00D906B2">
        <w:rPr>
          <w:rFonts w:ascii="Palatino Linotype" w:hAnsi="Palatino Linotype"/>
        </w:rPr>
        <w:t xml:space="preserve">Respecto la firma y rubrica se debe precisar que el criterio orientador 002/2019 emitido por el </w:t>
      </w:r>
      <w:r w:rsidRPr="00D906B2">
        <w:rPr>
          <w:rFonts w:ascii="Palatino Linotype" w:eastAsia="Palatino Linotype" w:hAnsi="Palatino Linotype" w:cs="Palatino Linotype"/>
        </w:rPr>
        <w:t>Instituto Nacional de Transparencia, Acceso a la Información y Protección de Datos Personales</w:t>
      </w:r>
      <w:r w:rsidRPr="00D906B2">
        <w:rPr>
          <w:rFonts w:ascii="Palatino Linotype" w:hAnsi="Palatino Linotype"/>
        </w:rPr>
        <w:t xml:space="preserve"> el cual establece que la firma de los servidores públicos que emiten un acto de autoridad en el ejercicio de sus funciones es de carácter público así mismo el criterio orientador 001/2019 establece la publicidad del nombre del representante o apoderado legar que celebre un acto jurídico con un sujeto obligado, conforme lo siguiente; </w:t>
      </w:r>
    </w:p>
    <w:p w:rsidR="00D93797" w:rsidRPr="00D906B2" w:rsidRDefault="00D93797" w:rsidP="00D93797">
      <w:pPr>
        <w:ind w:left="567"/>
        <w:jc w:val="both"/>
        <w:rPr>
          <w:rFonts w:ascii="Palatino Linotype" w:hAnsi="Palatino Linotype" w:cs="Arial"/>
          <w:i/>
          <w:sz w:val="22"/>
          <w:szCs w:val="22"/>
        </w:rPr>
      </w:pPr>
      <w:r w:rsidRPr="00D906B2">
        <w:rPr>
          <w:rFonts w:ascii="Palatino Linotype" w:hAnsi="Palatino Linotype" w:cs="Arial"/>
          <w:b/>
          <w:i/>
          <w:sz w:val="22"/>
          <w:szCs w:val="22"/>
        </w:rPr>
        <w:t>Firma y rúbrica de servidores públicos.</w:t>
      </w:r>
      <w:r w:rsidRPr="00D906B2">
        <w:rPr>
          <w:rFonts w:ascii="Palatino Linotype" w:hAnsi="Palatino Linotype" w:cs="Arial"/>
          <w:i/>
          <w:sz w:val="22"/>
          <w:szCs w:val="22"/>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D93797" w:rsidRPr="00D906B2" w:rsidRDefault="00D93797" w:rsidP="00D93797">
      <w:pPr>
        <w:ind w:firstLine="567"/>
        <w:rPr>
          <w:rFonts w:ascii="Palatino Linotype" w:hAnsi="Palatino Linotype" w:cs="Arial"/>
          <w:b/>
          <w:i/>
          <w:sz w:val="18"/>
          <w:szCs w:val="18"/>
        </w:rPr>
      </w:pPr>
      <w:r w:rsidRPr="00D906B2">
        <w:rPr>
          <w:rFonts w:ascii="Palatino Linotype" w:hAnsi="Palatino Linotype" w:cs="Arial"/>
          <w:b/>
          <w:i/>
          <w:sz w:val="18"/>
          <w:szCs w:val="18"/>
        </w:rPr>
        <w:t>Precedentes:</w:t>
      </w:r>
    </w:p>
    <w:p w:rsidR="00D93797" w:rsidRPr="00D906B2" w:rsidRDefault="00D93797" w:rsidP="00D93797">
      <w:pPr>
        <w:numPr>
          <w:ilvl w:val="1"/>
          <w:numId w:val="8"/>
        </w:numPr>
        <w:spacing w:after="160" w:line="259" w:lineRule="auto"/>
        <w:ind w:left="993"/>
        <w:contextualSpacing/>
        <w:jc w:val="both"/>
        <w:rPr>
          <w:rFonts w:ascii="Palatino Linotype" w:hAnsi="Palatino Linotype" w:cs="Arial"/>
          <w:i/>
          <w:sz w:val="18"/>
          <w:szCs w:val="18"/>
        </w:rPr>
      </w:pPr>
      <w:r w:rsidRPr="00D906B2">
        <w:rPr>
          <w:rFonts w:ascii="Palatino Linotype" w:hAnsi="Palatino Linotype" w:cs="Arial"/>
          <w:bCs/>
          <w:i/>
          <w:sz w:val="18"/>
          <w:szCs w:val="18"/>
        </w:rPr>
        <w:t>Acceso a la información pública. RRA 0185/17.</w:t>
      </w:r>
      <w:r w:rsidRPr="00D906B2">
        <w:rPr>
          <w:rFonts w:ascii="Palatino Linotype" w:hAnsi="Palatino Linotype" w:cs="Arial"/>
          <w:i/>
          <w:sz w:val="18"/>
          <w:szCs w:val="18"/>
        </w:rPr>
        <w:t xml:space="preserve"> Sesión del 08 de febrero de 2017. Votación por unanimidad. </w:t>
      </w:r>
      <w:r w:rsidRPr="00D906B2">
        <w:rPr>
          <w:rFonts w:ascii="Palatino Linotype" w:hAnsi="Palatino Linotype" w:cs="Arial"/>
          <w:bCs/>
          <w:i/>
          <w:sz w:val="18"/>
          <w:szCs w:val="18"/>
        </w:rPr>
        <w:t xml:space="preserve">Sin votos disidentes o particulares. </w:t>
      </w:r>
      <w:r w:rsidRPr="00D906B2">
        <w:rPr>
          <w:rFonts w:ascii="Palatino Linotype" w:hAnsi="Palatino Linotype" w:cs="Arial"/>
          <w:i/>
          <w:sz w:val="18"/>
          <w:szCs w:val="18"/>
        </w:rPr>
        <w:t>Secretaría de Cultura. Comisionado Ponente Oscar Mauricio Guerra Ford.</w:t>
      </w:r>
    </w:p>
    <w:p w:rsidR="00D93797" w:rsidRPr="00D906B2" w:rsidRDefault="00D93797" w:rsidP="00D93797">
      <w:pPr>
        <w:numPr>
          <w:ilvl w:val="1"/>
          <w:numId w:val="8"/>
        </w:numPr>
        <w:spacing w:after="160" w:line="259" w:lineRule="auto"/>
        <w:ind w:left="993"/>
        <w:contextualSpacing/>
        <w:jc w:val="both"/>
        <w:rPr>
          <w:rFonts w:ascii="Palatino Linotype" w:hAnsi="Palatino Linotype" w:cs="Arial"/>
          <w:i/>
          <w:sz w:val="18"/>
          <w:szCs w:val="18"/>
        </w:rPr>
      </w:pPr>
      <w:r w:rsidRPr="00D906B2">
        <w:rPr>
          <w:rFonts w:ascii="Palatino Linotype" w:hAnsi="Palatino Linotype" w:cs="Arial"/>
          <w:bCs/>
          <w:i/>
          <w:sz w:val="18"/>
          <w:szCs w:val="18"/>
        </w:rPr>
        <w:t>Acceso a la información pública. RRA 1588/17.</w:t>
      </w:r>
      <w:r w:rsidRPr="00D906B2">
        <w:rPr>
          <w:rFonts w:ascii="Palatino Linotype" w:hAnsi="Palatino Linotype" w:cs="Arial"/>
          <w:i/>
          <w:sz w:val="18"/>
          <w:szCs w:val="18"/>
        </w:rPr>
        <w:t xml:space="preserve"> Sesión del 26 de abril de 2017. Votación por unanimidad. </w:t>
      </w:r>
      <w:r w:rsidRPr="00D906B2">
        <w:rPr>
          <w:rFonts w:ascii="Palatino Linotype" w:hAnsi="Palatino Linotype" w:cs="Arial"/>
          <w:bCs/>
          <w:i/>
          <w:sz w:val="18"/>
          <w:szCs w:val="18"/>
        </w:rPr>
        <w:t xml:space="preserve">Sin votos disidentes o particulares. </w:t>
      </w:r>
      <w:r w:rsidRPr="00D906B2">
        <w:rPr>
          <w:rFonts w:ascii="Palatino Linotype" w:hAnsi="Palatino Linotype" w:cs="Arial"/>
          <w:i/>
          <w:sz w:val="18"/>
          <w:szCs w:val="18"/>
        </w:rPr>
        <w:t>Centro de Investigación en Materiales Avanzados, S.C. Comisionada Ponente Ximena Puente de la Mora.</w:t>
      </w:r>
    </w:p>
    <w:p w:rsidR="00D93797" w:rsidRPr="00D906B2" w:rsidRDefault="00D93797" w:rsidP="00D93797">
      <w:pPr>
        <w:numPr>
          <w:ilvl w:val="1"/>
          <w:numId w:val="8"/>
        </w:numPr>
        <w:spacing w:after="160" w:line="259" w:lineRule="auto"/>
        <w:ind w:left="993"/>
        <w:contextualSpacing/>
        <w:jc w:val="both"/>
        <w:rPr>
          <w:rFonts w:ascii="Palatino Linotype" w:hAnsi="Palatino Linotype" w:cs="Arial"/>
          <w:i/>
          <w:sz w:val="18"/>
          <w:szCs w:val="18"/>
        </w:rPr>
      </w:pPr>
      <w:r w:rsidRPr="00D906B2">
        <w:rPr>
          <w:rFonts w:ascii="Palatino Linotype" w:hAnsi="Palatino Linotype" w:cs="Arial"/>
          <w:bCs/>
          <w:i/>
          <w:sz w:val="18"/>
          <w:szCs w:val="18"/>
        </w:rPr>
        <w:t>Acceso a la información pública. RRA 3472/17.</w:t>
      </w:r>
      <w:r w:rsidRPr="00D906B2">
        <w:rPr>
          <w:rFonts w:ascii="Palatino Linotype" w:hAnsi="Palatino Linotype" w:cs="Arial"/>
          <w:i/>
          <w:sz w:val="18"/>
          <w:szCs w:val="18"/>
        </w:rPr>
        <w:t xml:space="preserve"> Sesión del 21 de junio de 2017. Votación por unanimidad. </w:t>
      </w:r>
      <w:r w:rsidRPr="00D906B2">
        <w:rPr>
          <w:rFonts w:ascii="Palatino Linotype" w:hAnsi="Palatino Linotype" w:cs="Arial"/>
          <w:bCs/>
          <w:i/>
          <w:sz w:val="18"/>
          <w:szCs w:val="18"/>
        </w:rPr>
        <w:t xml:space="preserve">Sin votos disidentes o particulares. </w:t>
      </w:r>
      <w:r w:rsidRPr="00D906B2">
        <w:rPr>
          <w:rFonts w:ascii="Palatino Linotype" w:hAnsi="Palatino Linotype" w:cs="Arial"/>
          <w:i/>
          <w:sz w:val="18"/>
          <w:szCs w:val="18"/>
        </w:rPr>
        <w:t>Instituto Nacional de Migración. Comisionado Ponente Joel Salas Suárez</w:t>
      </w:r>
      <w:r w:rsidRPr="00D906B2">
        <w:rPr>
          <w:rFonts w:ascii="Palatino Linotype" w:hAnsi="Palatino Linotype" w:cs="Arial"/>
          <w:bCs/>
          <w:i/>
          <w:sz w:val="18"/>
          <w:szCs w:val="18"/>
        </w:rPr>
        <w:t>.</w:t>
      </w:r>
    </w:p>
    <w:p w:rsidR="00D93797" w:rsidRPr="00D906B2" w:rsidRDefault="00D93797" w:rsidP="00D93797">
      <w:pPr>
        <w:spacing w:line="360" w:lineRule="auto"/>
        <w:jc w:val="both"/>
        <w:rPr>
          <w:rFonts w:ascii="Palatino Linotype" w:eastAsia="Arial Unicode MS" w:hAnsi="Palatino Linotype"/>
          <w:sz w:val="22"/>
          <w:szCs w:val="22"/>
        </w:rPr>
      </w:pPr>
    </w:p>
    <w:p w:rsidR="00D93797" w:rsidRPr="00D906B2" w:rsidRDefault="00D93797" w:rsidP="00D93797">
      <w:pPr>
        <w:ind w:left="708"/>
        <w:jc w:val="both"/>
        <w:rPr>
          <w:rFonts w:ascii="Palatino Linotype" w:hAnsi="Palatino Linotype" w:cs="Arial"/>
          <w:bCs/>
          <w:i/>
          <w:sz w:val="22"/>
          <w:szCs w:val="22"/>
        </w:rPr>
      </w:pPr>
      <w:r w:rsidRPr="00D906B2">
        <w:rPr>
          <w:rFonts w:ascii="Palatino Linotype" w:hAnsi="Palatino Linotype" w:cs="Arial"/>
          <w:b/>
          <w:i/>
          <w:sz w:val="22"/>
          <w:szCs w:val="22"/>
        </w:rPr>
        <w:t>Datos de identificación del representante o apoderado legal.</w:t>
      </w:r>
      <w:r w:rsidRPr="00D906B2">
        <w:rPr>
          <w:rFonts w:ascii="Palatino Linotype" w:hAnsi="Palatino Linotype" w:cs="Arial"/>
          <w:i/>
          <w:sz w:val="22"/>
          <w:szCs w:val="22"/>
        </w:rPr>
        <w:t xml:space="preserve"> </w:t>
      </w:r>
      <w:r w:rsidRPr="00D906B2">
        <w:rPr>
          <w:rFonts w:ascii="Palatino Linotype" w:hAnsi="Palatino Linotype" w:cs="Arial"/>
          <w:b/>
          <w:i/>
          <w:sz w:val="22"/>
          <w:szCs w:val="22"/>
        </w:rPr>
        <w:t xml:space="preserve">Naturaleza jurídica. </w:t>
      </w:r>
      <w:r w:rsidRPr="00D906B2">
        <w:rPr>
          <w:rFonts w:ascii="Palatino Linotype" w:hAnsi="Palatino Linotype" w:cs="Arial"/>
          <w:i/>
          <w:sz w:val="22"/>
          <w:szCs w:val="22"/>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D93797" w:rsidRPr="00D906B2" w:rsidRDefault="00D93797" w:rsidP="00D93797">
      <w:pPr>
        <w:ind w:right="141"/>
        <w:jc w:val="both"/>
        <w:rPr>
          <w:rFonts w:ascii="Palatino Linotype" w:hAnsi="Palatino Linotype" w:cs="Arial"/>
          <w:i/>
          <w:color w:val="000000"/>
          <w:sz w:val="22"/>
          <w:szCs w:val="22"/>
        </w:rPr>
      </w:pPr>
    </w:p>
    <w:p w:rsidR="00D93797" w:rsidRPr="00D906B2" w:rsidRDefault="00D93797" w:rsidP="00D93797">
      <w:pPr>
        <w:ind w:left="1276" w:right="141" w:hanging="142"/>
        <w:jc w:val="both"/>
        <w:rPr>
          <w:rFonts w:ascii="Palatino Linotype" w:hAnsi="Palatino Linotype" w:cs="Arial"/>
          <w:b/>
          <w:i/>
          <w:sz w:val="18"/>
          <w:szCs w:val="18"/>
        </w:rPr>
      </w:pPr>
      <w:r w:rsidRPr="00D906B2">
        <w:rPr>
          <w:rFonts w:ascii="Palatino Linotype" w:hAnsi="Palatino Linotype" w:cs="Arial"/>
          <w:b/>
          <w:i/>
          <w:sz w:val="18"/>
          <w:szCs w:val="18"/>
        </w:rPr>
        <w:t>Precedentes:</w:t>
      </w:r>
    </w:p>
    <w:p w:rsidR="00D93797" w:rsidRPr="00D906B2" w:rsidRDefault="00D93797" w:rsidP="00D93797">
      <w:pPr>
        <w:numPr>
          <w:ilvl w:val="0"/>
          <w:numId w:val="9"/>
        </w:numPr>
        <w:spacing w:after="160" w:line="259" w:lineRule="auto"/>
        <w:ind w:left="1276" w:right="141" w:hanging="142"/>
        <w:contextualSpacing/>
        <w:jc w:val="both"/>
        <w:rPr>
          <w:rFonts w:ascii="Palatino Linotype" w:eastAsiaTheme="minorEastAsia" w:hAnsi="Palatino Linotype" w:cs="Arial"/>
          <w:i/>
          <w:sz w:val="18"/>
          <w:szCs w:val="18"/>
        </w:rPr>
      </w:pPr>
      <w:r w:rsidRPr="00D906B2">
        <w:rPr>
          <w:rFonts w:ascii="Palatino Linotype" w:hAnsi="Palatino Linotype" w:cs="Arial"/>
          <w:i/>
          <w:sz w:val="18"/>
          <w:szCs w:val="18"/>
        </w:rPr>
        <w:t xml:space="preserve">Acceso a la información pública. RRA 3104/16. Sesión del 01 de noviembre del 2016. Votación por unanimidad. </w:t>
      </w:r>
      <w:r w:rsidRPr="00D906B2">
        <w:rPr>
          <w:rFonts w:ascii="Palatino Linotype" w:eastAsia="Arial" w:hAnsi="Palatino Linotype" w:cs="Arial"/>
          <w:i/>
          <w:sz w:val="18"/>
          <w:szCs w:val="18"/>
        </w:rPr>
        <w:t>Sin votos disidentes o particulares.</w:t>
      </w:r>
      <w:r w:rsidRPr="00D906B2">
        <w:rPr>
          <w:rFonts w:ascii="Palatino Linotype" w:hAnsi="Palatino Linotype" w:cs="Arial"/>
          <w:i/>
          <w:sz w:val="18"/>
          <w:szCs w:val="18"/>
        </w:rPr>
        <w:t xml:space="preserve"> Secretaría de la Defensa Nacional. Comisionado Ponente Oscar Mauricio Guerra Ford.</w:t>
      </w:r>
    </w:p>
    <w:p w:rsidR="00D93797" w:rsidRPr="00D906B2" w:rsidRDefault="00D93797" w:rsidP="00D93797">
      <w:pPr>
        <w:numPr>
          <w:ilvl w:val="0"/>
          <w:numId w:val="9"/>
        </w:numPr>
        <w:spacing w:after="160" w:line="259" w:lineRule="auto"/>
        <w:ind w:left="1276" w:right="141" w:hanging="142"/>
        <w:contextualSpacing/>
        <w:jc w:val="both"/>
        <w:rPr>
          <w:rFonts w:ascii="Palatino Linotype" w:hAnsi="Palatino Linotype" w:cs="Arial"/>
          <w:b/>
          <w:bCs/>
          <w:i/>
          <w:sz w:val="18"/>
          <w:szCs w:val="18"/>
        </w:rPr>
      </w:pPr>
      <w:r w:rsidRPr="00D906B2">
        <w:rPr>
          <w:rFonts w:ascii="Palatino Linotype" w:hAnsi="Palatino Linotype" w:cs="Arial"/>
          <w:i/>
          <w:sz w:val="18"/>
          <w:szCs w:val="18"/>
        </w:rPr>
        <w:t xml:space="preserve">Acceso a la información pública. RRA 2923/16. Sesión del 13 de diciembre de 2016. Votación por unanimidad. </w:t>
      </w:r>
      <w:r w:rsidRPr="00D906B2">
        <w:rPr>
          <w:rFonts w:ascii="Palatino Linotype" w:eastAsia="Arial" w:hAnsi="Palatino Linotype" w:cs="Arial"/>
          <w:i/>
          <w:sz w:val="18"/>
          <w:szCs w:val="18"/>
        </w:rPr>
        <w:t>Sin votos disidentes o particulares.</w:t>
      </w:r>
      <w:r w:rsidRPr="00D906B2">
        <w:rPr>
          <w:rFonts w:ascii="Palatino Linotype" w:hAnsi="Palatino Linotype" w:cs="Arial"/>
          <w:i/>
          <w:sz w:val="18"/>
          <w:szCs w:val="18"/>
        </w:rPr>
        <w:t xml:space="preserve"> Administración Portuaria Integral de Lázaro Cárdenas, S.A. de C.V. Comisionada Ponente María Patricia Kurczyn Villalobos.</w:t>
      </w:r>
    </w:p>
    <w:p w:rsidR="00D93797" w:rsidRPr="00D906B2" w:rsidRDefault="00D93797" w:rsidP="00D93797">
      <w:pPr>
        <w:numPr>
          <w:ilvl w:val="0"/>
          <w:numId w:val="9"/>
        </w:numPr>
        <w:tabs>
          <w:tab w:val="left" w:pos="7371"/>
        </w:tabs>
        <w:spacing w:after="160" w:line="259" w:lineRule="auto"/>
        <w:ind w:left="1276" w:right="141" w:hanging="142"/>
        <w:contextualSpacing/>
        <w:jc w:val="both"/>
        <w:rPr>
          <w:rFonts w:ascii="Palatino Linotype" w:hAnsi="Palatino Linotype" w:cs="Arial"/>
          <w:i/>
          <w:sz w:val="18"/>
          <w:szCs w:val="18"/>
        </w:rPr>
      </w:pPr>
      <w:r w:rsidRPr="00D906B2">
        <w:rPr>
          <w:rFonts w:ascii="Palatino Linotype" w:hAnsi="Palatino Linotype" w:cs="Arial"/>
          <w:i/>
          <w:sz w:val="18"/>
          <w:szCs w:val="18"/>
        </w:rPr>
        <w:lastRenderedPageBreak/>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D93797" w:rsidRPr="00D906B2" w:rsidRDefault="00D93797" w:rsidP="007D10C9">
      <w:pPr>
        <w:autoSpaceDE w:val="0"/>
        <w:autoSpaceDN w:val="0"/>
        <w:adjustRightInd w:val="0"/>
        <w:spacing w:line="360" w:lineRule="auto"/>
        <w:jc w:val="both"/>
        <w:rPr>
          <w:rFonts w:ascii="Palatino Linotype" w:hAnsi="Palatino Linotype" w:cs="Arial"/>
        </w:rPr>
      </w:pPr>
    </w:p>
    <w:p w:rsidR="007D10C9" w:rsidRPr="00D906B2" w:rsidRDefault="007D10C9" w:rsidP="007D10C9">
      <w:pPr>
        <w:spacing w:line="360" w:lineRule="auto"/>
        <w:jc w:val="both"/>
        <w:rPr>
          <w:rFonts w:ascii="Palatino Linotype" w:hAnsi="Palatino Linotype" w:cs="Arial"/>
        </w:rPr>
      </w:pPr>
      <w:r w:rsidRPr="00D906B2">
        <w:rPr>
          <w:rFonts w:ascii="Palatino Linotype" w:hAnsi="Palatino Linotype" w:cs="Arial"/>
        </w:rPr>
        <w:t>Conforme al Manual para la Planeación, Programación y Presupuesto de Egresos Municipal para el Ejercicio Fiscal 202</w:t>
      </w:r>
      <w:r w:rsidR="00C82563" w:rsidRPr="00D906B2">
        <w:rPr>
          <w:rFonts w:ascii="Palatino Linotype" w:hAnsi="Palatino Linotype" w:cs="Arial"/>
        </w:rPr>
        <w:t>5</w:t>
      </w:r>
      <w:r w:rsidRPr="00D906B2">
        <w:rPr>
          <w:rFonts w:ascii="Palatino Linotype" w:hAnsi="Palatino Linotype" w:cs="Arial"/>
        </w:rPr>
        <w:t>, se establece en el capítulo 3000 “Servicios Generales”, Subcapítulo 3</w:t>
      </w:r>
      <w:r w:rsidR="00097E30" w:rsidRPr="00D906B2">
        <w:rPr>
          <w:rFonts w:ascii="Palatino Linotype" w:hAnsi="Palatino Linotype" w:cs="Arial"/>
        </w:rPr>
        <w:t>6</w:t>
      </w:r>
      <w:r w:rsidRPr="00D906B2">
        <w:rPr>
          <w:rFonts w:ascii="Palatino Linotype" w:hAnsi="Palatino Linotype" w:cs="Arial"/>
        </w:rPr>
        <w:t xml:space="preserve">00 “Servicios </w:t>
      </w:r>
      <w:r w:rsidR="00097E30" w:rsidRPr="00D906B2">
        <w:rPr>
          <w:rFonts w:ascii="Palatino Linotype" w:hAnsi="Palatino Linotype" w:cs="Arial"/>
        </w:rPr>
        <w:t>de Comunicación Social y Publicidad</w:t>
      </w:r>
      <w:r w:rsidRPr="00D906B2">
        <w:rPr>
          <w:rFonts w:ascii="Palatino Linotype" w:hAnsi="Palatino Linotype" w:cs="Arial"/>
        </w:rPr>
        <w:t xml:space="preserve">”, la partida presupuestal </w:t>
      </w:r>
      <w:r w:rsidR="00097E30" w:rsidRPr="00D906B2">
        <w:rPr>
          <w:rFonts w:ascii="Palatino Linotype" w:hAnsi="Palatino Linotype" w:cs="Arial"/>
        </w:rPr>
        <w:t>3611</w:t>
      </w:r>
      <w:r w:rsidRPr="00D906B2">
        <w:rPr>
          <w:rFonts w:ascii="Palatino Linotype" w:hAnsi="Palatino Linotype" w:cs="Arial"/>
        </w:rPr>
        <w:t>, misma que consiste en lo siguiente:</w:t>
      </w:r>
    </w:p>
    <w:p w:rsidR="007D10C9" w:rsidRPr="00D906B2" w:rsidRDefault="007D10C9" w:rsidP="00097E30">
      <w:pPr>
        <w:spacing w:line="360" w:lineRule="auto"/>
        <w:jc w:val="both"/>
        <w:rPr>
          <w:rFonts w:ascii="Palatino Linotype" w:hAnsi="Palatino Linotype" w:cs="Arial"/>
          <w:b/>
        </w:rPr>
      </w:pPr>
      <w:r w:rsidRPr="00D906B2">
        <w:rPr>
          <w:rFonts w:ascii="Palatino Linotype" w:hAnsi="Palatino Linotype" w:cs="Arial"/>
        </w:rPr>
        <w:t xml:space="preserve"> </w:t>
      </w:r>
    </w:p>
    <w:p w:rsidR="007D10C9" w:rsidRPr="00D906B2" w:rsidRDefault="00097E30" w:rsidP="007D10C9">
      <w:pPr>
        <w:spacing w:line="360" w:lineRule="auto"/>
        <w:rPr>
          <w:rFonts w:ascii="Palatino Linotype" w:hAnsi="Palatino Linotype" w:cs="Arial"/>
          <w:b/>
        </w:rPr>
      </w:pPr>
      <w:r w:rsidRPr="00D906B2">
        <w:rPr>
          <w:rFonts w:ascii="Palatino Linotype" w:hAnsi="Palatino Linotype" w:cs="Arial"/>
          <w:b/>
          <w:noProof/>
          <w:lang w:val="es-MX" w:eastAsia="es-MX"/>
        </w:rPr>
        <mc:AlternateContent>
          <mc:Choice Requires="wps">
            <w:drawing>
              <wp:anchor distT="0" distB="0" distL="114300" distR="114300" simplePos="0" relativeHeight="251659264" behindDoc="0" locked="0" layoutInCell="1" allowOverlap="1" wp14:anchorId="20721E05" wp14:editId="54F66415">
                <wp:simplePos x="0" y="0"/>
                <wp:positionH relativeFrom="column">
                  <wp:posOffset>-118110</wp:posOffset>
                </wp:positionH>
                <wp:positionV relativeFrom="paragraph">
                  <wp:posOffset>1600835</wp:posOffset>
                </wp:positionV>
                <wp:extent cx="5906135" cy="704850"/>
                <wp:effectExtent l="19050" t="19050" r="18415" b="19050"/>
                <wp:wrapNone/>
                <wp:docPr id="3" name="Rectángulo 3"/>
                <wp:cNvGraphicFramePr/>
                <a:graphic xmlns:a="http://schemas.openxmlformats.org/drawingml/2006/main">
                  <a:graphicData uri="http://schemas.microsoft.com/office/word/2010/wordprocessingShape">
                    <wps:wsp>
                      <wps:cNvSpPr/>
                      <wps:spPr>
                        <a:xfrm>
                          <a:off x="0" y="0"/>
                          <a:ext cx="5906135" cy="704850"/>
                        </a:xfrm>
                        <a:prstGeom prst="rect">
                          <a:avLst/>
                        </a:prstGeom>
                        <a:no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43C7ECD9" id="Rectángulo 3" o:spid="_x0000_s1026" style="position:absolute;margin-left:-9.3pt;margin-top:126.05pt;width:465.0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" filled="f" strokecolor="#00b050" strokeweight="3pt"/>
            </w:pict>
          </mc:Fallback>
        </mc:AlternateContent>
      </w:r>
      <w:r w:rsidRPr="00D906B2">
        <w:rPr>
          <w:rFonts w:ascii="Palatino Linotype" w:hAnsi="Palatino Linotype" w:cs="Arial"/>
          <w:b/>
          <w:noProof/>
          <w:lang w:val="es-MX" w:eastAsia="es-MX"/>
        </w:rPr>
        <w:drawing>
          <wp:inline distT="0" distB="0" distL="0" distR="0" wp14:anchorId="401F4059" wp14:editId="68D712EE">
            <wp:extent cx="5791835" cy="230441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1835" cy="2304415"/>
                    </a:xfrm>
                    <a:prstGeom prst="rect">
                      <a:avLst/>
                    </a:prstGeom>
                  </pic:spPr>
                </pic:pic>
              </a:graphicData>
            </a:graphic>
          </wp:inline>
        </w:drawing>
      </w:r>
    </w:p>
    <w:p w:rsidR="007D10C9" w:rsidRPr="00D906B2" w:rsidRDefault="007D10C9" w:rsidP="007D10C9">
      <w:pPr>
        <w:autoSpaceDE w:val="0"/>
        <w:autoSpaceDN w:val="0"/>
        <w:adjustRightInd w:val="0"/>
        <w:spacing w:before="240" w:after="240" w:line="360" w:lineRule="auto"/>
        <w:jc w:val="both"/>
        <w:rPr>
          <w:rFonts w:ascii="Palatino Linotype" w:hAnsi="Palatino Linotype" w:cs="Arial"/>
        </w:rPr>
      </w:pPr>
      <w:r w:rsidRPr="00D906B2">
        <w:rPr>
          <w:rFonts w:ascii="Palatino Linotype" w:eastAsia="Palatino Linotype" w:hAnsi="Palatino Linotype" w:cs="Palatino Linotype"/>
          <w:color w:val="000000"/>
        </w:rPr>
        <w:t>Ahora bien, quedando establecido lo anterior, este Órgano Garante considera viable de establecer si la respuesta del</w:t>
      </w:r>
      <w:r w:rsidRPr="00D906B2">
        <w:rPr>
          <w:rFonts w:ascii="Palatino Linotype" w:hAnsi="Palatino Linotype" w:cs="Arial"/>
        </w:rPr>
        <w:t xml:space="preserve"> Sujeto Obligado </w:t>
      </w:r>
      <w:r w:rsidRPr="00D906B2">
        <w:rPr>
          <w:rFonts w:ascii="Palatino Linotype" w:eastAsia="Palatino Linotype" w:hAnsi="Palatino Linotype" w:cs="Palatino Linotype"/>
          <w:color w:val="000000"/>
        </w:rPr>
        <w:t>la respuesta del Sujeto Obligado colma la pretensión del Recurrente</w:t>
      </w:r>
      <w:r w:rsidRPr="00D906B2">
        <w:rPr>
          <w:rFonts w:ascii="Palatino Linotype" w:hAnsi="Palatino Linotype" w:cs="Arial"/>
        </w:rPr>
        <w:t>:</w:t>
      </w:r>
    </w:p>
    <w:tbl>
      <w:tblPr>
        <w:tblStyle w:val="Tablaconcuadrcula"/>
        <w:tblW w:w="89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97"/>
        <w:gridCol w:w="3896"/>
        <w:gridCol w:w="1590"/>
      </w:tblGrid>
      <w:tr w:rsidR="00415F26" w:rsidRPr="00D906B2" w:rsidTr="00415F26">
        <w:trPr>
          <w:trHeight w:val="303"/>
        </w:trPr>
        <w:tc>
          <w:tcPr>
            <w:tcW w:w="3497" w:type="dxa"/>
            <w:shd w:val="clear" w:color="auto" w:fill="E7E6E6" w:themeFill="background2"/>
          </w:tcPr>
          <w:p w:rsidR="00415F26" w:rsidRPr="00D906B2" w:rsidRDefault="00415F26" w:rsidP="00D93797">
            <w:pPr>
              <w:spacing w:line="360" w:lineRule="auto"/>
              <w:jc w:val="center"/>
              <w:rPr>
                <w:rFonts w:ascii="Palatino Linotype" w:hAnsi="Palatino Linotype"/>
                <w:b/>
                <w:i/>
                <w:color w:val="000000"/>
              </w:rPr>
            </w:pPr>
            <w:r w:rsidRPr="00D906B2">
              <w:rPr>
                <w:rFonts w:ascii="Palatino Linotype" w:hAnsi="Palatino Linotype"/>
                <w:b/>
                <w:i/>
                <w:color w:val="000000"/>
              </w:rPr>
              <w:t>Requerimientos</w:t>
            </w:r>
          </w:p>
        </w:tc>
        <w:tc>
          <w:tcPr>
            <w:tcW w:w="3896" w:type="dxa"/>
            <w:shd w:val="clear" w:color="auto" w:fill="E7E6E6" w:themeFill="background2"/>
          </w:tcPr>
          <w:p w:rsidR="00415F26" w:rsidRPr="00D906B2" w:rsidRDefault="00415F26" w:rsidP="00D93797">
            <w:pPr>
              <w:spacing w:line="360" w:lineRule="auto"/>
              <w:jc w:val="center"/>
              <w:rPr>
                <w:rFonts w:ascii="Palatino Linotype" w:hAnsi="Palatino Linotype"/>
                <w:b/>
                <w:i/>
                <w:color w:val="000000"/>
              </w:rPr>
            </w:pPr>
            <w:r w:rsidRPr="00D906B2">
              <w:rPr>
                <w:rFonts w:ascii="Palatino Linotype" w:hAnsi="Palatino Linotype"/>
                <w:b/>
                <w:i/>
                <w:color w:val="000000"/>
              </w:rPr>
              <w:t>Respuesta</w:t>
            </w:r>
          </w:p>
        </w:tc>
        <w:tc>
          <w:tcPr>
            <w:tcW w:w="1590" w:type="dxa"/>
            <w:shd w:val="clear" w:color="auto" w:fill="E7E6E6" w:themeFill="background2"/>
          </w:tcPr>
          <w:p w:rsidR="00415F26" w:rsidRPr="00D906B2" w:rsidRDefault="00415F26" w:rsidP="00415F26">
            <w:pPr>
              <w:spacing w:line="360" w:lineRule="auto"/>
              <w:jc w:val="center"/>
              <w:rPr>
                <w:rFonts w:ascii="Palatino Linotype" w:hAnsi="Palatino Linotype"/>
                <w:b/>
                <w:i/>
                <w:color w:val="000000"/>
              </w:rPr>
            </w:pPr>
            <w:r w:rsidRPr="00D906B2">
              <w:rPr>
                <w:rFonts w:ascii="Palatino Linotype" w:hAnsi="Palatino Linotype"/>
                <w:b/>
                <w:i/>
                <w:color w:val="000000"/>
              </w:rPr>
              <w:t>Colma</w:t>
            </w:r>
          </w:p>
        </w:tc>
      </w:tr>
      <w:tr w:rsidR="00415F26" w:rsidRPr="00D906B2" w:rsidTr="00415F26">
        <w:trPr>
          <w:trHeight w:val="303"/>
        </w:trPr>
        <w:tc>
          <w:tcPr>
            <w:tcW w:w="3497" w:type="dxa"/>
            <w:shd w:val="clear" w:color="auto" w:fill="auto"/>
          </w:tcPr>
          <w:p w:rsidR="00415F26" w:rsidRPr="00D906B2" w:rsidRDefault="00415F26" w:rsidP="00D93797">
            <w:pPr>
              <w:tabs>
                <w:tab w:val="left" w:pos="1828"/>
              </w:tabs>
              <w:jc w:val="both"/>
              <w:rPr>
                <w:rFonts w:ascii="Palatino Linotype" w:hAnsi="Palatino Linotype"/>
                <w:color w:val="000000"/>
              </w:rPr>
            </w:pPr>
            <w:r w:rsidRPr="00D906B2">
              <w:rPr>
                <w:rFonts w:ascii="Palatino Linotype" w:hAnsi="Palatino Linotype" w:cs="Tahoma"/>
                <w:bCs/>
              </w:rPr>
              <w:t>Copia simple digitalizada a través del sistema electrónico SAIMEX de todas las facturas pagadas con recursos públicos de la partida presupuestal 3611 durante los años 2024 y 2025</w:t>
            </w:r>
          </w:p>
        </w:tc>
        <w:tc>
          <w:tcPr>
            <w:tcW w:w="3896" w:type="dxa"/>
            <w:shd w:val="clear" w:color="auto" w:fill="auto"/>
          </w:tcPr>
          <w:p w:rsidR="00415F26" w:rsidRPr="00D906B2" w:rsidRDefault="00415F26" w:rsidP="00415F26">
            <w:pPr>
              <w:jc w:val="both"/>
              <w:rPr>
                <w:rFonts w:ascii="Palatino Linotype" w:hAnsi="Palatino Linotype"/>
                <w:color w:val="000000"/>
                <w:sz w:val="22"/>
              </w:rPr>
            </w:pPr>
            <w:r w:rsidRPr="00D906B2">
              <w:rPr>
                <w:rFonts w:ascii="Palatino Linotype" w:hAnsi="Palatino Linotype" w:cs="Arial"/>
              </w:rPr>
              <w:t>Documento suscrito por la UTAIP, en el que refieren remitir la información, sin embargo, no fue adjuntada</w:t>
            </w:r>
          </w:p>
        </w:tc>
        <w:tc>
          <w:tcPr>
            <w:tcW w:w="1590" w:type="dxa"/>
            <w:shd w:val="clear" w:color="auto" w:fill="auto"/>
          </w:tcPr>
          <w:p w:rsidR="00415F26" w:rsidRPr="00D906B2" w:rsidRDefault="00415F26" w:rsidP="00D93797">
            <w:pPr>
              <w:jc w:val="center"/>
              <w:rPr>
                <w:rFonts w:ascii="Palatino Linotype" w:hAnsi="Palatino Linotype"/>
                <w:b/>
                <w:i/>
                <w:color w:val="000000"/>
              </w:rPr>
            </w:pPr>
            <w:r w:rsidRPr="00D906B2">
              <w:rPr>
                <w:rFonts w:ascii="Palatino Linotype" w:hAnsi="Palatino Linotype"/>
                <w:b/>
                <w:i/>
                <w:color w:val="000000"/>
              </w:rPr>
              <w:t xml:space="preserve">No </w:t>
            </w:r>
          </w:p>
        </w:tc>
      </w:tr>
    </w:tbl>
    <w:p w:rsidR="00FE02F7" w:rsidRPr="00D906B2" w:rsidRDefault="00FE02F7" w:rsidP="00FE02F7">
      <w:pPr>
        <w:spacing w:before="240" w:after="240" w:line="360" w:lineRule="auto"/>
        <w:ind w:right="49"/>
        <w:jc w:val="both"/>
        <w:rPr>
          <w:rFonts w:ascii="Palatino Linotype" w:eastAsia="Palatino Linotype" w:hAnsi="Palatino Linotype" w:cs="Palatino Linotype"/>
        </w:rPr>
      </w:pPr>
      <w:r w:rsidRPr="00D906B2">
        <w:rPr>
          <w:rFonts w:ascii="Palatino Linotype" w:eastAsia="Palatino Linotype" w:hAnsi="Palatino Linotype" w:cs="Palatino Linotype"/>
        </w:rPr>
        <w:lastRenderedPageBreak/>
        <w:t>Ahora bien, sobre l</w:t>
      </w:r>
      <w:r w:rsidR="00BA0289" w:rsidRPr="00D906B2">
        <w:rPr>
          <w:rFonts w:ascii="Palatino Linotype" w:eastAsia="Palatino Linotype" w:hAnsi="Palatino Linotype" w:cs="Palatino Linotype"/>
        </w:rPr>
        <w:t xml:space="preserve">a naturaleza de las facturas </w:t>
      </w:r>
      <w:r w:rsidRPr="00D906B2">
        <w:rPr>
          <w:rFonts w:ascii="Palatino Linotype" w:eastAsia="Palatino Linotype" w:hAnsi="Palatino Linotype" w:cs="Palatino Linotype"/>
        </w:rPr>
        <w:t>resulta importante señalar que este término se encuentra definido en el Glosario de Términos Hacendarios que emite el Instituto Hacendario del Estado de México, el cual expresa lo siguiente:</w:t>
      </w:r>
    </w:p>
    <w:p w:rsidR="00FE02F7" w:rsidRPr="00D906B2" w:rsidRDefault="00FE02F7" w:rsidP="00FE02F7">
      <w:pPr>
        <w:ind w:left="851" w:right="851"/>
        <w:jc w:val="both"/>
        <w:rPr>
          <w:rFonts w:ascii="Palatino Linotype" w:eastAsia="Palatino Linotype" w:hAnsi="Palatino Linotype" w:cs="Palatino Linotype"/>
          <w:b/>
          <w:i/>
        </w:rPr>
      </w:pPr>
      <w:r w:rsidRPr="00D906B2">
        <w:rPr>
          <w:rFonts w:ascii="Palatino Linotype" w:eastAsia="Palatino Linotype" w:hAnsi="Palatino Linotype" w:cs="Palatino Linotype"/>
          <w:i/>
        </w:rPr>
        <w:t>“</w:t>
      </w:r>
      <w:r w:rsidRPr="00D906B2">
        <w:rPr>
          <w:rFonts w:ascii="Palatino Linotype" w:eastAsia="Palatino Linotype" w:hAnsi="Palatino Linotype" w:cs="Palatino Linotype"/>
          <w:b/>
          <w:i/>
        </w:rPr>
        <w:t>FACTURA</w:t>
      </w:r>
    </w:p>
    <w:p w:rsidR="00FE02F7" w:rsidRPr="00D906B2" w:rsidRDefault="00FE02F7" w:rsidP="00FE02F7">
      <w:pPr>
        <w:ind w:left="851" w:right="851"/>
        <w:jc w:val="both"/>
        <w:rPr>
          <w:rFonts w:ascii="Palatino Linotype" w:eastAsia="Palatino Linotype" w:hAnsi="Palatino Linotype" w:cs="Palatino Linotype"/>
          <w:i/>
        </w:rPr>
      </w:pPr>
      <w:r w:rsidRPr="00D906B2">
        <w:rPr>
          <w:rFonts w:ascii="Palatino Linotype" w:eastAsia="Palatino Linotype" w:hAnsi="Palatino Linotype" w:cs="Palatino Linotype"/>
          <w:i/>
        </w:rPr>
        <w:t xml:space="preserve">Es el documento fiscal que emite la persona física o moral para </w:t>
      </w:r>
      <w:r w:rsidRPr="00D906B2">
        <w:rPr>
          <w:rFonts w:ascii="Palatino Linotype" w:eastAsia="Palatino Linotype" w:hAnsi="Palatino Linotype" w:cs="Palatino Linotype"/>
          <w:b/>
          <w:i/>
          <w:u w:val="single"/>
        </w:rPr>
        <w:t>comprobar la venta o adquisición de un bien y/o servicio</w:t>
      </w:r>
      <w:r w:rsidRPr="00D906B2">
        <w:rPr>
          <w:rFonts w:ascii="Palatino Linotype" w:eastAsia="Palatino Linotype" w:hAnsi="Palatino Linotype" w:cs="Palatino Linotype"/>
          <w:i/>
        </w:rPr>
        <w:t>.” (Sic) (Énfasis añadido)</w:t>
      </w:r>
    </w:p>
    <w:p w:rsidR="00FE02F7" w:rsidRPr="00D906B2" w:rsidRDefault="00FE02F7" w:rsidP="00FE02F7">
      <w:pPr>
        <w:ind w:left="851" w:right="851"/>
        <w:jc w:val="both"/>
        <w:rPr>
          <w:rFonts w:ascii="Palatino Linotype" w:eastAsia="Palatino Linotype" w:hAnsi="Palatino Linotype" w:cs="Palatino Linotype"/>
          <w:i/>
        </w:rPr>
      </w:pPr>
    </w:p>
    <w:p w:rsidR="00FE02F7" w:rsidRPr="00D906B2" w:rsidRDefault="00FE02F7" w:rsidP="00FE02F7">
      <w:pPr>
        <w:spacing w:line="360" w:lineRule="auto"/>
        <w:jc w:val="both"/>
        <w:rPr>
          <w:rFonts w:ascii="Palatino Linotype" w:eastAsia="Palatino Linotype" w:hAnsi="Palatino Linotype" w:cs="Palatino Linotype"/>
        </w:rPr>
      </w:pPr>
    </w:p>
    <w:p w:rsidR="00FE02F7" w:rsidRPr="00D906B2" w:rsidRDefault="00FE02F7" w:rsidP="00FE02F7">
      <w:pPr>
        <w:spacing w:line="360" w:lineRule="auto"/>
        <w:jc w:val="both"/>
        <w:rPr>
          <w:rFonts w:ascii="Palatino Linotype" w:eastAsia="Palatino Linotype" w:hAnsi="Palatino Linotype" w:cs="Palatino Linotype"/>
        </w:rPr>
      </w:pPr>
      <w:r w:rsidRPr="00D906B2">
        <w:rPr>
          <w:rFonts w:ascii="Palatino Linotype" w:eastAsia="Palatino Linotype" w:hAnsi="Palatino Linotype" w:cs="Palatino Linotype"/>
        </w:rPr>
        <w:t>Es de señalarse que las facturas o comprobantes que amparan las erogaciones que se realizan con erario público tienen naturaleza pública pues, constituyen los medios idóneos de evidencia del gasto realizado con recursos públicos, de ahí que convenga precisar que la Constitución Política del Estado Libre y Soberano de México en su artículo 129 señala que l</w:t>
      </w:r>
      <w:r w:rsidRPr="00D906B2">
        <w:rPr>
          <w:rFonts w:ascii="Palatino Linotype" w:eastAsia="Palatino Linotype" w:hAnsi="Palatino Linotype" w:cs="Palatino Linotype"/>
          <w:color w:val="000000"/>
        </w:rPr>
        <w:t xml:space="preserve">os recursos económicos del Estado, de los Municipios, así como de los Organismos Autónomos, se administrarán con eficiencia, eficacia y honradez, para cumplir con los objetivos y programas a los que estén destinados. </w:t>
      </w:r>
    </w:p>
    <w:p w:rsidR="00FE02F7" w:rsidRPr="00D906B2" w:rsidRDefault="00FE02F7" w:rsidP="00FE02F7">
      <w:pPr>
        <w:spacing w:line="360" w:lineRule="auto"/>
        <w:ind w:right="49"/>
        <w:contextualSpacing/>
        <w:jc w:val="both"/>
        <w:rPr>
          <w:rFonts w:ascii="Palatino Linotype" w:hAnsi="Palatino Linotype" w:cs="Arial"/>
        </w:rPr>
      </w:pPr>
    </w:p>
    <w:p w:rsidR="00FE02F7" w:rsidRPr="00D906B2" w:rsidRDefault="00FE02F7" w:rsidP="00FE02F7">
      <w:pPr>
        <w:spacing w:line="360" w:lineRule="auto"/>
        <w:ind w:right="49"/>
        <w:contextualSpacing/>
        <w:jc w:val="both"/>
        <w:rPr>
          <w:rFonts w:ascii="Palatino Linotype" w:hAnsi="Palatino Linotype" w:cs="Arial"/>
        </w:rPr>
      </w:pPr>
      <w:r w:rsidRPr="00D906B2">
        <w:rPr>
          <w:rFonts w:ascii="Palatino Linotype" w:hAnsi="Palatino Linotype" w:cs="Arial"/>
        </w:rPr>
        <w:t>Ahora bien, el Código Fiscal de Federación en su artículo 29- A, establece los requisitos con los que debe contar un Comprobante Fiscal Digital,  el cual son los siguientes:</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Clave del Registro Federal de Contribuyentes de quien los expida.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Régimen Fiscal en que tributen conforme a la Ley del ISR.</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Sí se tiene más de un local o establecimiento, se deberá señalar el domicilio del local o establecimiento en el que se expidan las Facturas Electrónicas.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Contener el número de folio.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Sello digital del contribuyente que lo expide.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Lugar y fecha de expedición.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 Clave del Registro Federal de Contribuyentes de la persona a favor de quien se expida.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Cantidad, unidad de medida y clase de los bienes, mercancías o descripción del servicio o del uso o goce que amparen.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Valor unitario consignado en número.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Importe total señalado en número o en letra.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lastRenderedPageBreak/>
        <w:t xml:space="preserve">Señalamiento expreso cuando la contraprestación se pague en una sola exhibición o en parcialidades.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Cuando proceda, se indicará el monto de los impuestos trasladados desglosados por tasa de impuesto y, en su caso, el monto de los impuestos retenidos.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 xml:space="preserve">Forma en que se realizó el pago (efectivo, transferencia electrónica de fondos, cheque nominativo o tarjeta de débito, de crédito, de servicio o la denominada monedero electrónico, indicando al menos los últimos cuatro dígitos del número de cuenta o de la tarjeta correspondiente). </w:t>
      </w:r>
    </w:p>
    <w:p w:rsidR="00FE02F7" w:rsidRPr="00D906B2" w:rsidRDefault="00FE02F7" w:rsidP="00FE02F7">
      <w:pPr>
        <w:pStyle w:val="Citas"/>
        <w:numPr>
          <w:ilvl w:val="0"/>
          <w:numId w:val="11"/>
        </w:numPr>
        <w:spacing w:before="0" w:after="0" w:line="240" w:lineRule="auto"/>
        <w:ind w:right="474" w:hanging="153"/>
        <w:rPr>
          <w:lang w:eastAsia="es-ES"/>
        </w:rPr>
      </w:pPr>
      <w:r w:rsidRPr="00D906B2">
        <w:rPr>
          <w:lang w:eastAsia="es-ES"/>
        </w:rPr>
        <w:t>Número y fecha del documento aduanero, tratándose de ventas de primera mano de mercancías de importación.</w:t>
      </w:r>
    </w:p>
    <w:p w:rsidR="00FE02F7" w:rsidRPr="00D906B2" w:rsidRDefault="00FE02F7" w:rsidP="00FE02F7">
      <w:pPr>
        <w:spacing w:line="360" w:lineRule="auto"/>
        <w:ind w:right="49"/>
        <w:contextualSpacing/>
        <w:jc w:val="both"/>
        <w:rPr>
          <w:rFonts w:ascii="Palatino Linotype" w:hAnsi="Palatino Linotype" w:cs="Arial"/>
        </w:rPr>
      </w:pPr>
    </w:p>
    <w:p w:rsidR="00FE02F7" w:rsidRPr="00D906B2" w:rsidRDefault="00FE02F7" w:rsidP="00FE02F7">
      <w:pPr>
        <w:spacing w:line="360" w:lineRule="auto"/>
        <w:ind w:right="49"/>
        <w:contextualSpacing/>
        <w:jc w:val="both"/>
        <w:rPr>
          <w:rFonts w:ascii="Palatino Linotype" w:hAnsi="Palatino Linotype" w:cs="Arial"/>
        </w:rPr>
      </w:pPr>
      <w:r w:rsidRPr="00D906B2">
        <w:rPr>
          <w:rFonts w:ascii="Palatino Linotype" w:hAnsi="Palatino Linotype" w:cs="Arial"/>
        </w:rPr>
        <w:t>Por otro lado, en el portal de internet del Servicio de Administración Tributaria establece los requisitos de las facturas</w:t>
      </w:r>
      <w:r w:rsidRPr="00D906B2">
        <w:rPr>
          <w:rStyle w:val="Refdenotaalpie"/>
          <w:rFonts w:ascii="Palatino Linotype" w:hAnsi="Palatino Linotype" w:cs="Arial"/>
        </w:rPr>
        <w:footnoteReference w:id="2"/>
      </w:r>
      <w:r w:rsidRPr="00D906B2">
        <w:rPr>
          <w:rFonts w:ascii="Palatino Linotype" w:hAnsi="Palatino Linotype" w:cs="Arial"/>
        </w:rPr>
        <w:t>, tal como se desprende:</w:t>
      </w:r>
    </w:p>
    <w:p w:rsidR="00FE02F7" w:rsidRPr="00D906B2" w:rsidRDefault="00FE02F7" w:rsidP="00FE02F7">
      <w:pPr>
        <w:pStyle w:val="INFOEM"/>
        <w:spacing w:before="0" w:after="0" w:line="240" w:lineRule="auto"/>
        <w:rPr>
          <w:sz w:val="24"/>
          <w:lang w:val="es-ES" w:eastAsia="es-ES"/>
        </w:rPr>
      </w:pPr>
      <w:r w:rsidRPr="00D906B2">
        <w:rPr>
          <w:sz w:val="24"/>
          <w:lang w:val="es-ES" w:eastAsia="es-ES"/>
        </w:rPr>
        <w:t>Requisitos que deben reunir las facturas que recibas:</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Clave del Registro Federal de Contribuyentes de quien los expida.</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Régimen Fiscal en que tributen conforme a la Ley del ISR.</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Sí se tiene más de un local o establecimiento, se deberá señalar el domicilio del local o establecimiento en el que se expidan las Facturas.</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Contener el número de folio asignado por el SAT y el sello digital del SAT.</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Sello digital del contribuyente que lo expide.</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Lugar y fecha de expedición.</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Clave del Registro Federal de Contribuyentes de la persona a favor de quien se expida.</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Nombre denominación o razón social de la persona a favor de quien se expide el comprobante.</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Régimen fiscal del receptor de comprobante.</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Código postal del domicilio fiscal del receptor del comprobante.</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Uso del comprobante.</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Cantidad, unidad de medida y clase de los bienes, mercancías o descripción del servicio o del uso o goce que amparen*.</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Valor unitario consignado en número.</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Importe total señalado en número o en letra.</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Señalamiento expreso cuando la prestación se pague en una sola exhibición o en parcialidades.</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lastRenderedPageBreak/>
        <w:t>Cuando proceda, se indicará el monto de los impuestos trasladados, desglosados por tasa de impuesto y, en su caso, el monto de los impuestos retenidos.</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Forma en que se realizó el pago (efectivo, transferencia electrónica de fondos, cheque nominativos o tarjeta de débito, de crédito, de servicio o la denominada monedero electrónico que autorice el Servicio de Administración Tributaria).</w:t>
      </w:r>
    </w:p>
    <w:p w:rsidR="00FE02F7" w:rsidRPr="00D906B2" w:rsidRDefault="00FE02F7" w:rsidP="00FE02F7">
      <w:pPr>
        <w:pStyle w:val="INFOEM"/>
        <w:numPr>
          <w:ilvl w:val="1"/>
          <w:numId w:val="12"/>
        </w:numPr>
        <w:spacing w:before="0" w:after="0" w:line="240" w:lineRule="auto"/>
        <w:ind w:left="1276"/>
        <w:rPr>
          <w:sz w:val="24"/>
          <w:lang w:val="es-ES" w:eastAsia="es-ES"/>
        </w:rPr>
      </w:pPr>
      <w:r w:rsidRPr="00D906B2">
        <w:rPr>
          <w:sz w:val="24"/>
          <w:lang w:val="es-ES" w:eastAsia="es-ES"/>
        </w:rPr>
        <w:t>Número y fecha del documento aduanero, tratándose de ventas de primera mano de mercancías de importación.</w:t>
      </w:r>
    </w:p>
    <w:p w:rsidR="00FE02F7" w:rsidRPr="00D906B2" w:rsidRDefault="00FE02F7" w:rsidP="00FE02F7">
      <w:pPr>
        <w:pStyle w:val="INFOEM"/>
        <w:numPr>
          <w:ilvl w:val="0"/>
          <w:numId w:val="12"/>
        </w:numPr>
        <w:spacing w:before="0" w:after="0" w:line="240" w:lineRule="auto"/>
        <w:ind w:left="1276"/>
        <w:rPr>
          <w:sz w:val="24"/>
          <w:lang w:val="es-ES" w:eastAsia="es-ES"/>
        </w:rPr>
      </w:pPr>
      <w:r w:rsidRPr="00D906B2">
        <w:rPr>
          <w:sz w:val="24"/>
          <w:lang w:val="es-ES" w:eastAsia="es-ES"/>
        </w:rPr>
        <w:t>*Nota: El SAT pone a tu disposición una herramienta en la que podrás identificar la clave del Producto o Servicio que deseas facturar, para lo cual, deberás dar clic aquí.</w:t>
      </w:r>
    </w:p>
    <w:p w:rsidR="00FE02F7" w:rsidRPr="00D906B2" w:rsidRDefault="00FE02F7" w:rsidP="00FE02F7">
      <w:pPr>
        <w:pStyle w:val="INFOEM"/>
        <w:spacing w:before="0" w:after="0" w:line="240" w:lineRule="auto"/>
        <w:ind w:left="1276"/>
        <w:rPr>
          <w:sz w:val="24"/>
          <w:lang w:val="es-ES" w:eastAsia="es-ES"/>
        </w:rPr>
      </w:pPr>
    </w:p>
    <w:p w:rsidR="00FE02F7" w:rsidRPr="00D906B2" w:rsidRDefault="00FE02F7" w:rsidP="00FE02F7">
      <w:pPr>
        <w:pStyle w:val="INFOEM"/>
        <w:spacing w:before="0" w:after="0" w:line="240" w:lineRule="auto"/>
        <w:rPr>
          <w:b/>
          <w:sz w:val="24"/>
          <w:lang w:val="es-ES" w:eastAsia="es-ES"/>
        </w:rPr>
      </w:pPr>
      <w:r w:rsidRPr="00D906B2">
        <w:rPr>
          <w:b/>
          <w:sz w:val="24"/>
          <w:lang w:val="es-ES" w:eastAsia="es-ES"/>
        </w:rPr>
        <w:t>Además, debe contener los siguientes datos:</w:t>
      </w:r>
    </w:p>
    <w:p w:rsidR="00FE02F7" w:rsidRPr="00D906B2" w:rsidRDefault="00FE02F7" w:rsidP="00FE02F7">
      <w:pPr>
        <w:pStyle w:val="INFOEM"/>
        <w:numPr>
          <w:ilvl w:val="1"/>
          <w:numId w:val="13"/>
        </w:numPr>
        <w:spacing w:before="0" w:after="0" w:line="240" w:lineRule="auto"/>
        <w:ind w:left="1418"/>
        <w:rPr>
          <w:sz w:val="24"/>
          <w:lang w:val="es-ES" w:eastAsia="es-ES"/>
        </w:rPr>
      </w:pPr>
      <w:r w:rsidRPr="00D906B2">
        <w:rPr>
          <w:sz w:val="24"/>
          <w:lang w:val="es-ES" w:eastAsia="es-ES"/>
        </w:rPr>
        <w:t>Fecha y hora de certificación.</w:t>
      </w:r>
    </w:p>
    <w:p w:rsidR="00FE02F7" w:rsidRPr="00D906B2" w:rsidRDefault="00FE02F7" w:rsidP="00FE02F7">
      <w:pPr>
        <w:pStyle w:val="INFOEM"/>
        <w:numPr>
          <w:ilvl w:val="1"/>
          <w:numId w:val="13"/>
        </w:numPr>
        <w:spacing w:before="0" w:after="0" w:line="240" w:lineRule="auto"/>
        <w:ind w:left="1418"/>
        <w:rPr>
          <w:sz w:val="24"/>
          <w:lang w:val="es-ES" w:eastAsia="es-ES"/>
        </w:rPr>
      </w:pPr>
      <w:r w:rsidRPr="00D906B2">
        <w:rPr>
          <w:sz w:val="24"/>
          <w:lang w:val="es-ES" w:eastAsia="es-ES"/>
        </w:rPr>
        <w:t>Número de serie del certificado digital del SAT con el que se realizó el sellado.</w:t>
      </w:r>
    </w:p>
    <w:p w:rsidR="00FE02F7" w:rsidRPr="00D906B2" w:rsidRDefault="00FE02F7" w:rsidP="00FE02F7">
      <w:pPr>
        <w:pStyle w:val="INFOEM"/>
        <w:spacing w:before="0" w:after="0" w:line="240" w:lineRule="auto"/>
        <w:ind w:left="1276"/>
        <w:rPr>
          <w:sz w:val="24"/>
          <w:lang w:val="es-ES" w:eastAsia="es-ES"/>
        </w:rPr>
      </w:pPr>
    </w:p>
    <w:p w:rsidR="00FE02F7" w:rsidRPr="00D906B2" w:rsidRDefault="00FE02F7" w:rsidP="00FE02F7">
      <w:pPr>
        <w:pStyle w:val="INFOEM"/>
        <w:spacing w:before="0" w:after="0" w:line="240" w:lineRule="auto"/>
        <w:rPr>
          <w:b/>
          <w:sz w:val="24"/>
          <w:lang w:val="es-ES" w:eastAsia="es-ES"/>
        </w:rPr>
      </w:pPr>
      <w:r w:rsidRPr="00D906B2">
        <w:rPr>
          <w:b/>
          <w:sz w:val="24"/>
          <w:lang w:val="es-ES" w:eastAsia="es-ES"/>
        </w:rPr>
        <w:t>La representación impresa además debe contener los requisitos contenidos en la Resolución Miscelánea Fiscal vigente:</w:t>
      </w:r>
    </w:p>
    <w:p w:rsidR="00FE02F7" w:rsidRPr="00D906B2" w:rsidRDefault="00FE02F7" w:rsidP="00FE02F7">
      <w:pPr>
        <w:pStyle w:val="INFOEM"/>
        <w:numPr>
          <w:ilvl w:val="1"/>
          <w:numId w:val="14"/>
        </w:numPr>
        <w:spacing w:before="0" w:after="0" w:line="240" w:lineRule="auto"/>
        <w:ind w:left="1418"/>
        <w:rPr>
          <w:sz w:val="24"/>
          <w:lang w:val="es-ES" w:eastAsia="es-ES"/>
        </w:rPr>
      </w:pPr>
      <w:r w:rsidRPr="00D906B2">
        <w:rPr>
          <w:sz w:val="24"/>
          <w:lang w:val="es-ES" w:eastAsia="es-ES"/>
        </w:rPr>
        <w:t>Código de barras generado conforme al rubro I.D del Anexo 20 o el número de folio fiscal del comprobante.</w:t>
      </w:r>
    </w:p>
    <w:p w:rsidR="00FE02F7" w:rsidRPr="00D906B2" w:rsidRDefault="00FE02F7" w:rsidP="00FE02F7">
      <w:pPr>
        <w:pStyle w:val="INFOEM"/>
        <w:numPr>
          <w:ilvl w:val="1"/>
          <w:numId w:val="14"/>
        </w:numPr>
        <w:spacing w:before="0" w:after="0" w:line="240" w:lineRule="auto"/>
        <w:ind w:left="1418"/>
        <w:rPr>
          <w:sz w:val="24"/>
          <w:lang w:val="es-ES" w:eastAsia="es-ES"/>
        </w:rPr>
      </w:pPr>
      <w:r w:rsidRPr="00D906B2">
        <w:rPr>
          <w:sz w:val="24"/>
          <w:lang w:val="es-ES" w:eastAsia="es-ES"/>
        </w:rPr>
        <w:t>Número de serie del CSD del emisor y del SAT.</w:t>
      </w:r>
    </w:p>
    <w:p w:rsidR="00FE02F7" w:rsidRPr="00D906B2" w:rsidRDefault="00FE02F7" w:rsidP="00FE02F7">
      <w:pPr>
        <w:pStyle w:val="INFOEM"/>
        <w:numPr>
          <w:ilvl w:val="1"/>
          <w:numId w:val="14"/>
        </w:numPr>
        <w:spacing w:before="0" w:after="0" w:line="240" w:lineRule="auto"/>
        <w:ind w:left="1418"/>
        <w:rPr>
          <w:b/>
          <w:sz w:val="24"/>
          <w:lang w:val="es-ES" w:eastAsia="es-ES"/>
        </w:rPr>
      </w:pPr>
      <w:r w:rsidRPr="00D906B2">
        <w:rPr>
          <w:b/>
          <w:sz w:val="24"/>
          <w:lang w:val="es-ES" w:eastAsia="es-ES"/>
        </w:rPr>
        <w:t>La leyenda “Este documento es una representación impresa de un CFDI”.</w:t>
      </w:r>
    </w:p>
    <w:p w:rsidR="00FE02F7" w:rsidRPr="00D906B2" w:rsidRDefault="00FE02F7" w:rsidP="00FE02F7">
      <w:pPr>
        <w:pStyle w:val="INFOEM"/>
        <w:numPr>
          <w:ilvl w:val="1"/>
          <w:numId w:val="14"/>
        </w:numPr>
        <w:spacing w:before="0" w:after="0" w:line="240" w:lineRule="auto"/>
        <w:ind w:left="1418"/>
        <w:rPr>
          <w:sz w:val="24"/>
          <w:lang w:val="es-ES" w:eastAsia="es-ES"/>
        </w:rPr>
      </w:pPr>
      <w:r w:rsidRPr="00D906B2">
        <w:rPr>
          <w:sz w:val="24"/>
          <w:lang w:val="es-ES" w:eastAsia="es-ES"/>
        </w:rPr>
        <w:t>Fecha y hora de emisión y de certificación de la Factura en adición a lo señalado en el artículo 29-A, fracción III del CFF.</w:t>
      </w:r>
    </w:p>
    <w:p w:rsidR="00FE02F7" w:rsidRPr="00D906B2" w:rsidRDefault="00FE02F7" w:rsidP="00FE02F7">
      <w:pPr>
        <w:pStyle w:val="INFOEM"/>
        <w:numPr>
          <w:ilvl w:val="1"/>
          <w:numId w:val="14"/>
        </w:numPr>
        <w:spacing w:before="0" w:after="0" w:line="240" w:lineRule="auto"/>
        <w:ind w:left="1418"/>
        <w:rPr>
          <w:sz w:val="24"/>
          <w:lang w:val="es-ES" w:eastAsia="es-ES"/>
        </w:rPr>
      </w:pPr>
      <w:r w:rsidRPr="00D906B2">
        <w:rPr>
          <w:sz w:val="24"/>
          <w:lang w:val="es-ES" w:eastAsia="es-ES"/>
        </w:rPr>
        <w:t>Cadena original del complemento de certificación digital del SAT.</w:t>
      </w:r>
    </w:p>
    <w:p w:rsidR="00FE02F7" w:rsidRPr="00D906B2" w:rsidRDefault="00FE02F7" w:rsidP="007D10C9">
      <w:pPr>
        <w:spacing w:line="360" w:lineRule="auto"/>
        <w:jc w:val="both"/>
        <w:rPr>
          <w:rFonts w:ascii="Palatino Linotype" w:hAnsi="Palatino Linotype" w:cs="Arial"/>
        </w:rPr>
      </w:pPr>
    </w:p>
    <w:p w:rsidR="00E3342A" w:rsidRPr="00D906B2" w:rsidRDefault="00E3342A" w:rsidP="00E3342A">
      <w:pPr>
        <w:spacing w:line="360" w:lineRule="auto"/>
        <w:jc w:val="both"/>
        <w:rPr>
          <w:rFonts w:ascii="Palatino Linotype" w:eastAsia="Calibri" w:hAnsi="Palatino Linotype" w:cs="Tahoma"/>
          <w:bCs/>
          <w:color w:val="000000"/>
        </w:rPr>
      </w:pPr>
      <w:r w:rsidRPr="00D906B2">
        <w:rPr>
          <w:rFonts w:ascii="Palatino Linotype" w:eastAsia="Calibri" w:hAnsi="Palatino Linotype" w:cs="Tahoma"/>
          <w:bCs/>
          <w:color w:val="000000"/>
        </w:rPr>
        <w:t xml:space="preserve">Las cuentas bancarias del </w:t>
      </w:r>
      <w:r w:rsidRPr="00D906B2">
        <w:rPr>
          <w:rFonts w:ascii="Palatino Linotype" w:eastAsia="Calibri" w:hAnsi="Palatino Linotype" w:cs="Tahoma"/>
          <w:b/>
          <w:bCs/>
          <w:color w:val="000000"/>
        </w:rPr>
        <w:t>Sujeto Obligado</w:t>
      </w:r>
      <w:r w:rsidRPr="00D906B2">
        <w:rPr>
          <w:rFonts w:ascii="Palatino Linotype" w:eastAsia="Calibri" w:hAnsi="Palatino Linotype" w:cs="Tahoma"/>
          <w:bCs/>
          <w:color w:val="000000"/>
        </w:rPr>
        <w:t>, son los medios por los que</w:t>
      </w:r>
      <w:r w:rsidRPr="00D906B2">
        <w:rPr>
          <w:rFonts w:ascii="Palatino Linotype" w:hAnsi="Palatino Linotype"/>
        </w:rPr>
        <w:t xml:space="preserve"> se transfieren recursos públicos, por lo tanto, </w:t>
      </w:r>
      <w:r w:rsidRPr="00D906B2">
        <w:rPr>
          <w:rFonts w:ascii="Palatino Linotype" w:hAnsi="Palatino Linotype"/>
          <w:b/>
          <w:u w:val="single"/>
        </w:rPr>
        <w:t>son considerados como información pública</w:t>
      </w:r>
      <w:r w:rsidRPr="00D906B2">
        <w:rPr>
          <w:rFonts w:ascii="Palatino Linotype" w:hAnsi="Palatino Linotype"/>
        </w:rPr>
        <w:t xml:space="preserve">, pues su difusión favorece la rendición de cuentas al transparentar la forma en que se administrar los recursos públicos; situación que se robustece con el Criterio orientador  </w:t>
      </w:r>
      <w:r w:rsidRPr="00D906B2">
        <w:rPr>
          <w:rFonts w:ascii="Palatino Linotype" w:hAnsi="Palatino Linotype"/>
          <w:b/>
          <w:u w:val="single"/>
        </w:rPr>
        <w:lastRenderedPageBreak/>
        <w:t>11/17</w:t>
      </w:r>
      <w:r w:rsidRPr="00D906B2">
        <w:rPr>
          <w:rFonts w:ascii="Palatino Linotype" w:hAnsi="Palatino Linotype"/>
        </w:rPr>
        <w:t>, del entonces Instituto Nacional de Transparencia, Acceso a la Información y Protección de Datos Personales, que a la letra precisa:</w:t>
      </w:r>
    </w:p>
    <w:p w:rsidR="00E3342A" w:rsidRPr="00D906B2" w:rsidRDefault="00E3342A" w:rsidP="00E3342A">
      <w:pPr>
        <w:spacing w:line="360" w:lineRule="auto"/>
        <w:jc w:val="both"/>
        <w:rPr>
          <w:rFonts w:ascii="Palatino Linotype" w:hAnsi="Palatino Linotype"/>
        </w:rPr>
      </w:pPr>
    </w:p>
    <w:p w:rsidR="00E3342A" w:rsidRPr="00D906B2" w:rsidRDefault="00E3342A" w:rsidP="00E3342A">
      <w:pPr>
        <w:tabs>
          <w:tab w:val="left" w:pos="7938"/>
        </w:tabs>
        <w:spacing w:line="360" w:lineRule="auto"/>
        <w:ind w:left="851" w:right="708"/>
        <w:jc w:val="both"/>
        <w:rPr>
          <w:rFonts w:ascii="Palatino Linotype" w:hAnsi="Palatino Linotype" w:cs="Arial"/>
          <w:i/>
        </w:rPr>
      </w:pPr>
      <w:r w:rsidRPr="00D906B2">
        <w:rPr>
          <w:rFonts w:ascii="Palatino Linotype" w:hAnsi="Palatino Linotype" w:cs="Arial"/>
          <w:i/>
        </w:rPr>
        <w:t>“</w:t>
      </w:r>
      <w:r w:rsidRPr="00D906B2">
        <w:rPr>
          <w:rFonts w:ascii="Palatino Linotype" w:hAnsi="Palatino Linotype" w:cs="Arial"/>
          <w:b/>
          <w:i/>
          <w:u w:val="single"/>
        </w:rPr>
        <w:t>Cuentas bancarias y/o CLABE interbancaria de sujetos obligados que reciben y/o transfieren recursos públicos, son información pública</w:t>
      </w:r>
      <w:r w:rsidRPr="00D906B2">
        <w:rPr>
          <w:rFonts w:ascii="Palatino Linotype" w:hAnsi="Palatino Linotype" w:cs="Arial"/>
          <w:i/>
        </w:rPr>
        <w:t xml:space="preserve">. </w:t>
      </w:r>
      <w:r w:rsidRPr="00D906B2">
        <w:rPr>
          <w:rFonts w:ascii="Palatino Linotype" w:hAnsi="Palatino Linotype" w:cs="Arial"/>
          <w:i/>
          <w:u w:val="single"/>
        </w:rPr>
        <w:t>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r w:rsidRPr="00D906B2">
        <w:rPr>
          <w:rFonts w:ascii="Palatino Linotype" w:hAnsi="Palatino Linotype" w:cs="Arial"/>
          <w:i/>
        </w:rPr>
        <w:t>.</w:t>
      </w:r>
    </w:p>
    <w:p w:rsidR="00E3342A" w:rsidRPr="00D906B2" w:rsidRDefault="00E3342A" w:rsidP="00E3342A">
      <w:pPr>
        <w:tabs>
          <w:tab w:val="left" w:pos="7938"/>
        </w:tabs>
        <w:spacing w:line="360" w:lineRule="auto"/>
        <w:ind w:left="851" w:right="708"/>
        <w:jc w:val="both"/>
        <w:rPr>
          <w:rFonts w:ascii="Palatino Linotype" w:hAnsi="Palatino Linotype" w:cs="Arial"/>
          <w:i/>
        </w:rPr>
      </w:pPr>
    </w:p>
    <w:p w:rsidR="00E3342A" w:rsidRPr="00D906B2" w:rsidRDefault="00E3342A" w:rsidP="00E3342A">
      <w:pPr>
        <w:tabs>
          <w:tab w:val="left" w:pos="7938"/>
        </w:tabs>
        <w:spacing w:line="360" w:lineRule="auto"/>
        <w:ind w:left="851" w:right="708"/>
        <w:jc w:val="both"/>
        <w:rPr>
          <w:rFonts w:ascii="Palatino Linotype" w:hAnsi="Palatino Linotype" w:cs="Arial"/>
          <w:i/>
        </w:rPr>
      </w:pPr>
      <w:r w:rsidRPr="00D906B2">
        <w:rPr>
          <w:rFonts w:ascii="Palatino Linotype" w:hAnsi="Palatino Linotype" w:cs="Arial"/>
          <w:i/>
        </w:rPr>
        <w:t xml:space="preserve">Resoluciones: </w:t>
      </w:r>
    </w:p>
    <w:p w:rsidR="00E3342A" w:rsidRPr="00D906B2" w:rsidRDefault="00E3342A" w:rsidP="00E3342A">
      <w:pPr>
        <w:tabs>
          <w:tab w:val="left" w:pos="7938"/>
        </w:tabs>
        <w:spacing w:line="360" w:lineRule="auto"/>
        <w:ind w:left="851" w:right="708"/>
        <w:jc w:val="both"/>
        <w:rPr>
          <w:rFonts w:ascii="Palatino Linotype" w:hAnsi="Palatino Linotype" w:cs="Arial"/>
          <w:i/>
        </w:rPr>
      </w:pPr>
      <w:r w:rsidRPr="00D906B2">
        <w:rPr>
          <w:rFonts w:ascii="Palatino Linotype" w:hAnsi="Palatino Linotype" w:cs="Arial"/>
          <w:i/>
        </w:rPr>
        <w:sym w:font="Symbol" w:char="F0B7"/>
      </w:r>
      <w:r w:rsidRPr="00D906B2">
        <w:rPr>
          <w:rFonts w:ascii="Palatino Linotype" w:hAnsi="Palatino Linotype" w:cs="Arial"/>
          <w:i/>
        </w:rPr>
        <w:t xml:space="preserve"> RRA 0448/16. NOTIMEX, Agencia de Noticias del Estado Mexicano. 24 de agosto de 2016. Por unanimidad. Comisionado Ponente Joel Salas Suárez. </w:t>
      </w:r>
    </w:p>
    <w:p w:rsidR="00E3342A" w:rsidRPr="00D906B2" w:rsidRDefault="00E3342A" w:rsidP="00E3342A">
      <w:pPr>
        <w:tabs>
          <w:tab w:val="left" w:pos="7938"/>
        </w:tabs>
        <w:spacing w:line="360" w:lineRule="auto"/>
        <w:ind w:left="851" w:right="708"/>
        <w:jc w:val="both"/>
        <w:rPr>
          <w:rFonts w:ascii="Palatino Linotype" w:hAnsi="Palatino Linotype" w:cs="Arial"/>
          <w:i/>
        </w:rPr>
      </w:pPr>
      <w:r w:rsidRPr="00D906B2">
        <w:rPr>
          <w:rFonts w:ascii="Palatino Linotype" w:hAnsi="Palatino Linotype" w:cs="Arial"/>
          <w:i/>
        </w:rPr>
        <w:sym w:font="Symbol" w:char="F0B7"/>
      </w:r>
      <w:r w:rsidRPr="00D906B2">
        <w:rPr>
          <w:rFonts w:ascii="Palatino Linotype" w:hAnsi="Palatino Linotype" w:cs="Arial"/>
          <w:i/>
        </w:rPr>
        <w:t xml:space="preserve"> RRA 2787/16. Colegio de Postgraduados. 01 de noviembre de 2016. Por unanimidad. Comisionado Ponente Francisco Javier Acuña Llamas. </w:t>
      </w:r>
    </w:p>
    <w:p w:rsidR="00E3342A" w:rsidRPr="00D906B2" w:rsidRDefault="00E3342A" w:rsidP="00E3342A">
      <w:pPr>
        <w:tabs>
          <w:tab w:val="left" w:pos="7938"/>
        </w:tabs>
        <w:spacing w:line="360" w:lineRule="auto"/>
        <w:ind w:left="851" w:right="708"/>
        <w:jc w:val="both"/>
        <w:rPr>
          <w:rFonts w:ascii="Palatino Linotype" w:hAnsi="Palatino Linotype" w:cs="Arial"/>
          <w:i/>
        </w:rPr>
      </w:pPr>
      <w:r w:rsidRPr="00D906B2">
        <w:rPr>
          <w:rFonts w:ascii="Palatino Linotype" w:hAnsi="Palatino Linotype" w:cs="Arial"/>
          <w:i/>
        </w:rPr>
        <w:sym w:font="Symbol" w:char="F0B7"/>
      </w:r>
      <w:r w:rsidRPr="00D906B2">
        <w:rPr>
          <w:rFonts w:ascii="Palatino Linotype" w:hAnsi="Palatino Linotype" w:cs="Arial"/>
          <w:i/>
        </w:rPr>
        <w:t xml:space="preserve"> RRA 4756/16. Instituto Mexicano del Seguro Social. 08 de febrero de 2017. Por unanimidad. Comisionado Ponente Oscar Mauricio Guerra Ford.</w:t>
      </w:r>
    </w:p>
    <w:p w:rsidR="00E3342A" w:rsidRPr="00D906B2" w:rsidRDefault="00E3342A" w:rsidP="00E3342A">
      <w:pPr>
        <w:tabs>
          <w:tab w:val="left" w:pos="7938"/>
        </w:tabs>
        <w:spacing w:line="360" w:lineRule="auto"/>
        <w:ind w:left="851" w:right="708"/>
        <w:jc w:val="right"/>
        <w:rPr>
          <w:rFonts w:ascii="Palatino Linotype" w:hAnsi="Palatino Linotype" w:cs="Arial"/>
        </w:rPr>
      </w:pPr>
      <w:r w:rsidRPr="00D906B2">
        <w:rPr>
          <w:rFonts w:ascii="Palatino Linotype" w:hAnsi="Palatino Linotype" w:cs="Arial"/>
        </w:rPr>
        <w:t>Criterio 11/17”</w:t>
      </w:r>
    </w:p>
    <w:p w:rsidR="00E3342A" w:rsidRPr="00D906B2" w:rsidRDefault="00E3342A" w:rsidP="00E3342A">
      <w:pPr>
        <w:spacing w:line="360" w:lineRule="auto"/>
        <w:jc w:val="both"/>
        <w:rPr>
          <w:rFonts w:ascii="Palatino Linotype" w:eastAsia="Calibri" w:hAnsi="Palatino Linotype"/>
          <w:color w:val="000000"/>
        </w:rPr>
      </w:pPr>
    </w:p>
    <w:p w:rsidR="00E3342A" w:rsidRPr="00D906B2" w:rsidRDefault="00E3342A" w:rsidP="00E3342A">
      <w:pPr>
        <w:spacing w:line="360" w:lineRule="auto"/>
        <w:jc w:val="both"/>
        <w:rPr>
          <w:rFonts w:ascii="Palatino Linotype" w:hAnsi="Palatino Linotype"/>
        </w:rPr>
      </w:pPr>
      <w:r w:rsidRPr="00D906B2">
        <w:rPr>
          <w:rFonts w:ascii="Palatino Linotype" w:eastAsia="Calibri" w:hAnsi="Palatino Linotype"/>
          <w:color w:val="000000"/>
        </w:rPr>
        <w:t xml:space="preserve">Si bien, el criterio 10/17 </w:t>
      </w:r>
      <w:r w:rsidRPr="00D906B2">
        <w:rPr>
          <w:rFonts w:ascii="Palatino Linotype" w:hAnsi="Palatino Linotype"/>
        </w:rPr>
        <w:t>del entonces Instituto Nacional de Transparencia, Acceso a la Información y Protección de Datos Personales establece que el número de cuenta bancaria y/o Clabe interbancaria de particulares es información confidencial, lo cierto, es que la información requerida se debe entregar en versión pública, ya que la información relacionada con recursos públicos no corre la misma suerte:</w:t>
      </w:r>
    </w:p>
    <w:p w:rsidR="00E3342A" w:rsidRPr="00D906B2" w:rsidRDefault="00E3342A" w:rsidP="00E3342A">
      <w:pPr>
        <w:pStyle w:val="Citas"/>
        <w:rPr>
          <w:lang w:val="es-ES"/>
        </w:rPr>
      </w:pPr>
      <w:r w:rsidRPr="00D906B2">
        <w:rPr>
          <w:b/>
          <w:lang w:val="es-ES"/>
        </w:rPr>
        <w:lastRenderedPageBreak/>
        <w:t>Cuentas bancarias y/o CLABE interbancaria de personas físicas y morales privadas.</w:t>
      </w:r>
      <w:r w:rsidRPr="00D906B2">
        <w:rPr>
          <w:lang w:val="es-ES"/>
        </w:rPr>
        <w:t xml:space="preserve"> </w:t>
      </w:r>
    </w:p>
    <w:p w:rsidR="00E3342A" w:rsidRPr="00D906B2" w:rsidRDefault="00E3342A" w:rsidP="00E3342A">
      <w:pPr>
        <w:pStyle w:val="Citas"/>
        <w:rPr>
          <w:lang w:val="es-ES"/>
        </w:rPr>
      </w:pPr>
      <w:r w:rsidRPr="00D906B2">
        <w:rPr>
          <w:lang w:val="es-ES"/>
        </w:rPr>
        <w:t>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E3342A" w:rsidRPr="00D906B2" w:rsidRDefault="00E3342A" w:rsidP="00E3342A">
      <w:pPr>
        <w:pStyle w:val="Citas"/>
        <w:rPr>
          <w:lang w:val="es-ES"/>
        </w:rPr>
      </w:pPr>
      <w:r w:rsidRPr="00D906B2">
        <w:rPr>
          <w:lang w:val="es-ES"/>
        </w:rPr>
        <w:t xml:space="preserve">Resoluciones: </w:t>
      </w:r>
    </w:p>
    <w:p w:rsidR="00E3342A" w:rsidRPr="00D906B2" w:rsidRDefault="00E3342A" w:rsidP="00E3342A">
      <w:pPr>
        <w:pStyle w:val="Citas"/>
        <w:rPr>
          <w:lang w:val="es-ES"/>
        </w:rPr>
      </w:pPr>
      <w:r w:rsidRPr="00D906B2">
        <w:rPr>
          <w:lang w:val="es-ES"/>
        </w:rPr>
        <w:sym w:font="Symbol" w:char="F0B7"/>
      </w:r>
      <w:r w:rsidRPr="00D906B2">
        <w:rPr>
          <w:lang w:val="es-ES"/>
        </w:rPr>
        <w:t xml:space="preserve"> RRA 1276/16 Grupo Aeroportuario de la Ciudad de México. S.A. de C.V. 01 de noviembre de 2016. Por unanimidad. Comisionada Ponente Areli Cano Guadiana. </w:t>
      </w:r>
    </w:p>
    <w:p w:rsidR="00E3342A" w:rsidRPr="00D906B2" w:rsidRDefault="00E3342A" w:rsidP="00E3342A">
      <w:pPr>
        <w:pStyle w:val="Citas"/>
        <w:rPr>
          <w:lang w:val="es-ES"/>
        </w:rPr>
      </w:pPr>
      <w:r w:rsidRPr="00D906B2">
        <w:rPr>
          <w:lang w:val="es-ES"/>
        </w:rPr>
        <w:sym w:font="Symbol" w:char="F0B7"/>
      </w:r>
      <w:r w:rsidRPr="00D906B2">
        <w:rPr>
          <w:lang w:val="es-ES"/>
        </w:rPr>
        <w:t xml:space="preserve"> RRA 3527/16 Servicio de Administración Tributaria. 07 de diciembre de 2016. Por unanimidad. Comisionada Ponente Ximena Puente de la Mora. </w:t>
      </w:r>
    </w:p>
    <w:p w:rsidR="00E3342A" w:rsidRPr="00D906B2" w:rsidRDefault="00E3342A" w:rsidP="00E3342A">
      <w:pPr>
        <w:pStyle w:val="Citas"/>
      </w:pPr>
      <w:r w:rsidRPr="00D906B2">
        <w:rPr>
          <w:lang w:val="es-ES"/>
        </w:rPr>
        <w:sym w:font="Symbol" w:char="F0B7"/>
      </w:r>
      <w:r w:rsidRPr="00D906B2">
        <w:rPr>
          <w:lang w:val="es-ES"/>
        </w:rPr>
        <w:t xml:space="preserve"> RRA 4404/16 Partido del Trabajo. 01 de febrero de 2017. Por unanimidad. Comisionado Ponente Francisco Acuña Llamas.</w:t>
      </w:r>
    </w:p>
    <w:p w:rsidR="00E3342A" w:rsidRPr="00D906B2" w:rsidRDefault="00E3342A" w:rsidP="00E3342A">
      <w:pPr>
        <w:spacing w:line="360" w:lineRule="auto"/>
        <w:jc w:val="both"/>
        <w:rPr>
          <w:rFonts w:ascii="Palatino Linotype" w:eastAsia="Calibri" w:hAnsi="Palatino Linotype"/>
          <w:color w:val="000000"/>
        </w:rPr>
      </w:pPr>
    </w:p>
    <w:p w:rsidR="00E3342A" w:rsidRPr="00D906B2" w:rsidRDefault="00E3342A" w:rsidP="00E3342A">
      <w:pPr>
        <w:spacing w:line="360" w:lineRule="auto"/>
        <w:jc w:val="both"/>
        <w:rPr>
          <w:rFonts w:ascii="Palatino Linotype" w:eastAsia="Calibri" w:hAnsi="Palatino Linotype"/>
          <w:color w:val="000000"/>
        </w:rPr>
      </w:pPr>
      <w:r w:rsidRPr="00D906B2">
        <w:rPr>
          <w:rFonts w:ascii="Palatino Linotype" w:eastAsia="Calibri" w:hAnsi="Palatino Linotype"/>
          <w:color w:val="000000"/>
        </w:rPr>
        <w:t xml:space="preserve">Asimismo, el artículo 2°, fracción III, de la Ley General de Títulos y Operaciones de Crédito establece que los actos y las operaciones que regula esta Ley General, se regirán por los </w:t>
      </w:r>
      <w:r w:rsidRPr="00D906B2">
        <w:rPr>
          <w:rFonts w:ascii="Palatino Linotype" w:eastAsia="Calibri" w:hAnsi="Palatino Linotype"/>
          <w:b/>
          <w:bCs/>
          <w:color w:val="000000"/>
        </w:rPr>
        <w:t>usos bancarios y mercantiles</w:t>
      </w:r>
      <w:r w:rsidRPr="00D906B2">
        <w:rPr>
          <w:rFonts w:ascii="Palatino Linotype" w:eastAsia="Calibri" w:hAnsi="Palatino Linotype"/>
          <w:color w:val="000000"/>
        </w:rPr>
        <w:t xml:space="preserve">, es así que, a manera de contextualización la cuenta bancaria y estado de cuenta se definen como: </w:t>
      </w:r>
    </w:p>
    <w:p w:rsidR="00E3342A" w:rsidRPr="00D906B2" w:rsidRDefault="00E3342A" w:rsidP="00E3342A">
      <w:pPr>
        <w:spacing w:line="360" w:lineRule="auto"/>
        <w:jc w:val="both"/>
        <w:rPr>
          <w:rFonts w:ascii="Palatino Linotype" w:eastAsia="Calibri" w:hAnsi="Palatino Linotype"/>
          <w:color w:val="000000"/>
        </w:rPr>
      </w:pPr>
    </w:p>
    <w:p w:rsidR="00E3342A" w:rsidRPr="00D906B2" w:rsidRDefault="00E3342A" w:rsidP="00E3342A">
      <w:pPr>
        <w:numPr>
          <w:ilvl w:val="0"/>
          <w:numId w:val="10"/>
        </w:numPr>
        <w:spacing w:line="360" w:lineRule="auto"/>
        <w:contextualSpacing/>
        <w:jc w:val="both"/>
        <w:rPr>
          <w:rFonts w:ascii="Palatino Linotype" w:hAnsi="Palatino Linotype"/>
          <w:color w:val="000000"/>
        </w:rPr>
      </w:pPr>
      <w:r w:rsidRPr="00D906B2">
        <w:rPr>
          <w:rFonts w:ascii="Palatino Linotype" w:hAnsi="Palatino Linotype"/>
          <w:b/>
          <w:bCs/>
          <w:color w:val="000000"/>
        </w:rPr>
        <w:lastRenderedPageBreak/>
        <w:t>Cuenta bancaria:</w:t>
      </w:r>
      <w:r w:rsidRPr="00D906B2">
        <w:rPr>
          <w:rFonts w:ascii="Palatino Linotype" w:hAnsi="Palatino Linotype"/>
          <w:color w:val="000000"/>
        </w:rPr>
        <w:t xml:space="preserve"> </w:t>
      </w:r>
      <w:r w:rsidRPr="00D906B2">
        <w:rPr>
          <w:rFonts w:ascii="Palatino Linotype" w:hAnsi="Palatino Linotype"/>
          <w:color w:val="000000"/>
          <w:u w:val="single"/>
        </w:rPr>
        <w:t>Una cuenta bancaria es un registro que mantiene un banco, en el que guarda dinero y contabiliza todas las entradas y salidas de efectivo, así como los créditos en curso, inversiones y productos relacionados.</w:t>
      </w:r>
    </w:p>
    <w:p w:rsidR="00E3342A" w:rsidRPr="00D906B2" w:rsidRDefault="00E3342A" w:rsidP="00E3342A">
      <w:pPr>
        <w:spacing w:line="360" w:lineRule="auto"/>
        <w:ind w:left="720"/>
        <w:contextualSpacing/>
        <w:jc w:val="both"/>
        <w:rPr>
          <w:rFonts w:ascii="Palatino Linotype" w:hAnsi="Palatino Linotype"/>
          <w:color w:val="000000"/>
        </w:rPr>
      </w:pPr>
    </w:p>
    <w:p w:rsidR="00E3342A" w:rsidRPr="00D906B2" w:rsidRDefault="00E3342A" w:rsidP="00E3342A">
      <w:pPr>
        <w:numPr>
          <w:ilvl w:val="0"/>
          <w:numId w:val="10"/>
        </w:numPr>
        <w:spacing w:line="360" w:lineRule="auto"/>
        <w:contextualSpacing/>
        <w:jc w:val="both"/>
        <w:rPr>
          <w:rFonts w:ascii="Palatino Linotype" w:hAnsi="Palatino Linotype"/>
          <w:color w:val="000000"/>
          <w:u w:val="single"/>
        </w:rPr>
      </w:pPr>
      <w:r w:rsidRPr="00D906B2">
        <w:rPr>
          <w:rFonts w:ascii="Palatino Linotype" w:hAnsi="Palatino Linotype"/>
          <w:b/>
          <w:bCs/>
          <w:color w:val="000000"/>
        </w:rPr>
        <w:t>Estado de cuenta:</w:t>
      </w:r>
      <w:r w:rsidRPr="00D906B2">
        <w:rPr>
          <w:rFonts w:ascii="Palatino Linotype" w:hAnsi="Palatino Linotype"/>
          <w:color w:val="000000"/>
        </w:rPr>
        <w:t xml:space="preserve"> </w:t>
      </w:r>
      <w:r w:rsidRPr="00D906B2">
        <w:rPr>
          <w:rFonts w:ascii="Palatino Linotype" w:hAnsi="Palatino Linotype"/>
          <w:color w:val="000000"/>
          <w:u w:val="single"/>
        </w:rPr>
        <w:t>Un estado de cuenta bancario es un documento oficial, generalmente mensual, emitido por la institución bancaria con la que tiene la cuenta. Este documento contiene todos los movimientos de la cuenta realizados en el mes, además de contener datos como número de cuenta, de tarjeta, saldo al corte, fecha de pago, monto mínimo a pagar, tasa de interés, en caso de ser tarjeta de crédito, entre otros datos relevantes y confidenciales para el usuario.</w:t>
      </w:r>
    </w:p>
    <w:p w:rsidR="00E3342A" w:rsidRPr="00D906B2" w:rsidRDefault="00E3342A" w:rsidP="00E3342A">
      <w:pPr>
        <w:tabs>
          <w:tab w:val="left" w:pos="7938"/>
        </w:tabs>
        <w:spacing w:line="360" w:lineRule="auto"/>
        <w:jc w:val="both"/>
        <w:rPr>
          <w:rFonts w:ascii="Palatino Linotype" w:eastAsia="Arial Unicode MS" w:hAnsi="Palatino Linotype" w:cs="Arial"/>
        </w:rPr>
      </w:pPr>
    </w:p>
    <w:p w:rsidR="00E3342A" w:rsidRPr="00D906B2" w:rsidRDefault="00E3342A" w:rsidP="00E3342A">
      <w:pPr>
        <w:tabs>
          <w:tab w:val="left" w:pos="7938"/>
        </w:tabs>
        <w:spacing w:line="360" w:lineRule="auto"/>
        <w:jc w:val="both"/>
        <w:rPr>
          <w:rFonts w:ascii="Palatino Linotype" w:eastAsia="Arial Unicode MS" w:hAnsi="Palatino Linotype" w:cs="Arial"/>
        </w:rPr>
      </w:pPr>
      <w:r w:rsidRPr="00D906B2">
        <w:rPr>
          <w:rFonts w:ascii="Palatino Linotype" w:eastAsia="Arial Unicode MS" w:hAnsi="Palatino Linotype" w:cs="Arial"/>
        </w:rPr>
        <w:t xml:space="preserve">Ahora bien, respecto del </w:t>
      </w:r>
      <w:r w:rsidRPr="00D906B2">
        <w:rPr>
          <w:rFonts w:ascii="Palatino Linotype" w:eastAsia="Arial Unicode MS" w:hAnsi="Palatino Linotype" w:cs="Arial"/>
          <w:b/>
          <w:u w:val="single"/>
        </w:rPr>
        <w:t>número de cuenta</w:t>
      </w:r>
      <w:r w:rsidRPr="00D906B2">
        <w:rPr>
          <w:rFonts w:ascii="Palatino Linotype" w:eastAsia="Arial Unicode MS" w:hAnsi="Palatino Linotype" w:cs="Arial"/>
        </w:rPr>
        <w:t xml:space="preserve"> es un conjunto de caracteres numéricos utilizado por los grupos financieros para identificar a los clientes. Dicho número es único e irrepetible, establecido a cada cuenta bancaria que avala que los recursos enviados a las órdenes de cargo, pago de nómina o a las transferencias electrónicas de fondos interbancarios se utilicen exclusivamente en la cuenta señalada por el cliente. </w:t>
      </w:r>
    </w:p>
    <w:p w:rsidR="00E3342A" w:rsidRPr="00D906B2" w:rsidRDefault="00E3342A" w:rsidP="00E3342A">
      <w:pPr>
        <w:tabs>
          <w:tab w:val="left" w:pos="7938"/>
        </w:tabs>
        <w:spacing w:line="360" w:lineRule="auto"/>
        <w:jc w:val="both"/>
        <w:rPr>
          <w:rFonts w:ascii="Palatino Linotype" w:eastAsia="Arial Unicode MS" w:hAnsi="Palatino Linotype" w:cs="Arial"/>
        </w:rPr>
      </w:pPr>
    </w:p>
    <w:p w:rsidR="00E3342A" w:rsidRPr="00D906B2" w:rsidRDefault="00E3342A" w:rsidP="00E3342A">
      <w:pPr>
        <w:tabs>
          <w:tab w:val="left" w:pos="7938"/>
        </w:tabs>
        <w:spacing w:line="360" w:lineRule="auto"/>
        <w:jc w:val="both"/>
        <w:rPr>
          <w:rFonts w:ascii="Palatino Linotype" w:eastAsia="Arial Unicode MS" w:hAnsi="Palatino Linotype" w:cs="Arial"/>
        </w:rPr>
      </w:pPr>
      <w:r w:rsidRPr="00D906B2">
        <w:rPr>
          <w:rFonts w:ascii="Palatino Linotype" w:eastAsia="Arial Unicode MS" w:hAnsi="Palatino Linotype" w:cs="Arial"/>
        </w:rPr>
        <w:t xml:space="preserve">Por lo que respecta al </w:t>
      </w:r>
      <w:r w:rsidRPr="00D906B2">
        <w:rPr>
          <w:rFonts w:ascii="Palatino Linotype" w:eastAsia="Arial Unicode MS" w:hAnsi="Palatino Linotype" w:cs="Arial"/>
          <w:b/>
          <w:u w:val="single"/>
        </w:rPr>
        <w:t>número de cuenta bancaria</w:t>
      </w:r>
      <w:r w:rsidRPr="00D906B2">
        <w:rPr>
          <w:rFonts w:ascii="Palatino Linotype" w:eastAsia="Arial Unicode MS" w:hAnsi="Palatino Linotype" w:cs="Arial"/>
        </w:rPr>
        <w:t>, es un número único e irrepetible asignado a cada cuenta bancaria, que garantiza que los recursos enviados a las órdenes de cargo (transferencias electrónicas de fondos interbancarios bancos) se apliquen exclusivamente a la cuenta señalada por el cliente, como destino u origen. Dicha clave se compone de 18 dígitos numéricos que corresponden a los siguientes datos:</w:t>
      </w:r>
    </w:p>
    <w:p w:rsidR="00E3342A" w:rsidRPr="00D906B2" w:rsidRDefault="00E3342A" w:rsidP="00E3342A">
      <w:pPr>
        <w:tabs>
          <w:tab w:val="left" w:pos="7938"/>
        </w:tabs>
        <w:spacing w:line="360" w:lineRule="auto"/>
        <w:jc w:val="both"/>
        <w:rPr>
          <w:rFonts w:ascii="Palatino Linotype" w:eastAsia="Arial Unicode MS" w:hAnsi="Palatino Linotype" w:cs="Arial"/>
        </w:rPr>
      </w:pPr>
    </w:p>
    <w:p w:rsidR="00E3342A" w:rsidRPr="00D906B2" w:rsidRDefault="00E3342A" w:rsidP="00E3342A">
      <w:pPr>
        <w:tabs>
          <w:tab w:val="left" w:pos="7938"/>
        </w:tabs>
        <w:spacing w:line="360" w:lineRule="auto"/>
        <w:jc w:val="both"/>
        <w:rPr>
          <w:rFonts w:ascii="Palatino Linotype" w:eastAsia="Arial Unicode MS" w:hAnsi="Palatino Linotype" w:cs="Arial"/>
        </w:rPr>
      </w:pPr>
      <w:r w:rsidRPr="00D906B2">
        <w:rPr>
          <w:rFonts w:ascii="Palatino Linotype" w:eastAsia="Arial Unicode MS" w:hAnsi="Palatino Linotype" w:cs="Arial"/>
          <w:b/>
        </w:rPr>
        <w:t>CÓDIGO DE BANCO</w:t>
      </w:r>
      <w:r w:rsidRPr="00D906B2">
        <w:rPr>
          <w:rFonts w:ascii="Palatino Linotype" w:eastAsia="Arial Unicode MS" w:hAnsi="Palatino Linotype" w:cs="Arial"/>
        </w:rPr>
        <w:t>: Donde radica la cuenta, de acuerdo con los números asignados a las Instituciones de Crédito Asociación de Bancos de México (tres dígitos).</w:t>
      </w:r>
    </w:p>
    <w:p w:rsidR="00E3342A" w:rsidRPr="00D906B2" w:rsidRDefault="00E3342A" w:rsidP="00E3342A">
      <w:pPr>
        <w:tabs>
          <w:tab w:val="left" w:pos="7938"/>
        </w:tabs>
        <w:spacing w:line="360" w:lineRule="auto"/>
        <w:jc w:val="both"/>
        <w:rPr>
          <w:rFonts w:ascii="Palatino Linotype" w:eastAsia="Arial Unicode MS" w:hAnsi="Palatino Linotype" w:cs="Arial"/>
        </w:rPr>
      </w:pPr>
      <w:r w:rsidRPr="00D906B2">
        <w:rPr>
          <w:rFonts w:ascii="Palatino Linotype" w:eastAsia="Arial Unicode MS" w:hAnsi="Palatino Linotype" w:cs="Arial"/>
          <w:b/>
        </w:rPr>
        <w:lastRenderedPageBreak/>
        <w:t>CÓDIGO DE PLAZA</w:t>
      </w:r>
      <w:r w:rsidRPr="00D906B2">
        <w:rPr>
          <w:rFonts w:ascii="Palatino Linotype" w:eastAsia="Arial Unicode MS" w:hAnsi="Palatino Linotype" w:cs="Arial"/>
        </w:rPr>
        <w:t xml:space="preserve">: Ciudad o región donde el cliente mantiene su cuenta, de acuerdo con la definición de claves de plaza definida para el servicio de cheques (tres dígitos). </w:t>
      </w:r>
    </w:p>
    <w:p w:rsidR="00E3342A" w:rsidRPr="00D906B2" w:rsidRDefault="00E3342A" w:rsidP="00E3342A">
      <w:pPr>
        <w:tabs>
          <w:tab w:val="left" w:pos="7938"/>
        </w:tabs>
        <w:spacing w:line="360" w:lineRule="auto"/>
        <w:jc w:val="both"/>
        <w:rPr>
          <w:rFonts w:ascii="Palatino Linotype" w:eastAsia="Arial Unicode MS" w:hAnsi="Palatino Linotype" w:cs="Arial"/>
        </w:rPr>
      </w:pPr>
      <w:r w:rsidRPr="00D906B2">
        <w:rPr>
          <w:rFonts w:ascii="Palatino Linotype" w:eastAsia="Arial Unicode MS" w:hAnsi="Palatino Linotype" w:cs="Arial"/>
          <w:b/>
        </w:rPr>
        <w:t>NUMERO DE CUENTA</w:t>
      </w:r>
      <w:r w:rsidRPr="00D906B2">
        <w:rPr>
          <w:rFonts w:ascii="Palatino Linotype" w:eastAsia="Arial Unicode MS" w:hAnsi="Palatino Linotype" w:cs="Arial"/>
        </w:rPr>
        <w:t xml:space="preserve">: Campo en donde se incluye la información que cada banco para individualizar la cuenta de sus clientes (once dígitos), y </w:t>
      </w:r>
    </w:p>
    <w:p w:rsidR="00E3342A" w:rsidRPr="00D906B2" w:rsidRDefault="00E3342A" w:rsidP="00E3342A">
      <w:pPr>
        <w:tabs>
          <w:tab w:val="left" w:pos="7938"/>
        </w:tabs>
        <w:spacing w:line="360" w:lineRule="auto"/>
        <w:jc w:val="both"/>
        <w:rPr>
          <w:rFonts w:ascii="Palatino Linotype" w:eastAsia="Arial Unicode MS" w:hAnsi="Palatino Linotype" w:cs="Arial"/>
        </w:rPr>
      </w:pPr>
      <w:r w:rsidRPr="00D906B2">
        <w:rPr>
          <w:rFonts w:ascii="Palatino Linotype" w:eastAsia="Arial Unicode MS" w:hAnsi="Palatino Linotype" w:cs="Arial"/>
          <w:b/>
        </w:rPr>
        <w:t>DÍGITO DE CONTROL.</w:t>
      </w:r>
      <w:r w:rsidRPr="00D906B2">
        <w:rPr>
          <w:rFonts w:ascii="Palatino Linotype" w:eastAsia="Arial Unicode MS" w:hAnsi="Palatino Linotype" w:cs="Arial"/>
        </w:rPr>
        <w:t xml:space="preserve"> Es un dígito que se obtiene a través de aplicar un algoritmo que permite validar que la estructura de los datos contenidos en la CLABE sean correctos (un dígito).</w:t>
      </w:r>
    </w:p>
    <w:p w:rsidR="00E3342A" w:rsidRPr="00D906B2" w:rsidRDefault="00E3342A" w:rsidP="00E3342A">
      <w:pPr>
        <w:tabs>
          <w:tab w:val="left" w:pos="7938"/>
        </w:tabs>
        <w:spacing w:line="360" w:lineRule="auto"/>
        <w:jc w:val="both"/>
        <w:rPr>
          <w:rFonts w:ascii="Palatino Linotype" w:eastAsia="Arial Unicode MS" w:hAnsi="Palatino Linotype" w:cs="Arial"/>
        </w:rPr>
      </w:pPr>
    </w:p>
    <w:p w:rsidR="00E3342A" w:rsidRPr="00D906B2" w:rsidRDefault="00E3342A" w:rsidP="00E3342A">
      <w:pPr>
        <w:tabs>
          <w:tab w:val="left" w:pos="7938"/>
        </w:tabs>
        <w:spacing w:line="360" w:lineRule="auto"/>
        <w:jc w:val="both"/>
        <w:rPr>
          <w:rFonts w:ascii="Palatino Linotype" w:eastAsia="Arial Unicode MS" w:hAnsi="Palatino Linotype" w:cs="Arial"/>
        </w:rPr>
      </w:pPr>
      <w:r w:rsidRPr="00D906B2">
        <w:rPr>
          <w:rFonts w:ascii="Palatino Linotype" w:eastAsia="Arial Unicode MS" w:hAnsi="Palatino Linotype" w:cs="Arial"/>
        </w:rPr>
        <w:t xml:space="preserve">Así las cuentas bancarias otorgadas al municipio y su CLABE es única e irrepetible, estableciendo con ello una relación que avala que los cargos efectuados, las transferencias electrónicas realizadas o los abonos efectuados corresponden, exclusivamente a la cuenta proporcionada a su titular, creando con ello una relación entre el municipio y la institución encargada de prestar servicios de carácter financiero, mismo que se encuentra estrechamente relacionada con el patrimonio municipal a la que se asignó el número. </w:t>
      </w:r>
    </w:p>
    <w:p w:rsidR="00E3342A" w:rsidRPr="00D906B2" w:rsidRDefault="00E3342A" w:rsidP="00E3342A">
      <w:pPr>
        <w:tabs>
          <w:tab w:val="left" w:pos="7938"/>
        </w:tabs>
        <w:spacing w:line="360" w:lineRule="auto"/>
        <w:jc w:val="both"/>
        <w:rPr>
          <w:rFonts w:ascii="Palatino Linotype" w:eastAsia="Arial Unicode MS" w:hAnsi="Palatino Linotype" w:cs="Arial"/>
        </w:rPr>
      </w:pPr>
    </w:p>
    <w:p w:rsidR="00E3342A" w:rsidRPr="00D906B2" w:rsidRDefault="00E3342A" w:rsidP="00E3342A">
      <w:pPr>
        <w:tabs>
          <w:tab w:val="left" w:pos="7938"/>
        </w:tabs>
        <w:spacing w:line="360" w:lineRule="auto"/>
        <w:jc w:val="both"/>
        <w:rPr>
          <w:rFonts w:ascii="Palatino Linotype" w:eastAsia="Arial Unicode MS" w:hAnsi="Palatino Linotype" w:cs="Arial"/>
        </w:rPr>
      </w:pPr>
      <w:r w:rsidRPr="00D906B2">
        <w:rPr>
          <w:rFonts w:ascii="Palatino Linotype" w:eastAsia="Arial Unicode MS" w:hAnsi="Palatino Linotype" w:cs="Arial"/>
        </w:rPr>
        <w:t>Derivado de lo anterior, se considera que el estado de cuenta bancaria y la CLABE interbancaria, del Municipio se encuentra asociado a su patrimonio, entendiendo éste como el conjunto de bienes, fondos, derechos, obligaciones, etc. por tanto, se trata de información de dominio público, además de que el Municipio cuenta con personalidad jurídica y patrimonio propios, autonomía de decisión técnica, operativa y administrativa en términos de la Ley Orgánica Municipal.</w:t>
      </w:r>
    </w:p>
    <w:p w:rsidR="00FE02F7" w:rsidRPr="00D906B2" w:rsidRDefault="00FE02F7" w:rsidP="007D10C9">
      <w:pPr>
        <w:spacing w:line="360" w:lineRule="auto"/>
        <w:jc w:val="both"/>
        <w:rPr>
          <w:rFonts w:ascii="Palatino Linotype" w:hAnsi="Palatino Linotype" w:cs="Arial"/>
        </w:rPr>
      </w:pPr>
    </w:p>
    <w:p w:rsidR="007D10C9" w:rsidRPr="00D906B2" w:rsidRDefault="007D10C9" w:rsidP="007D10C9">
      <w:pPr>
        <w:spacing w:line="360" w:lineRule="auto"/>
        <w:jc w:val="both"/>
        <w:rPr>
          <w:rFonts w:ascii="Palatino Linotype" w:hAnsi="Palatino Linotype" w:cs="Arial"/>
        </w:rPr>
      </w:pPr>
      <w:r w:rsidRPr="00D906B2">
        <w:rPr>
          <w:rFonts w:ascii="Palatino Linotype" w:hAnsi="Palatino Linotype" w:cs="Arial"/>
        </w:rPr>
        <w:lastRenderedPageBreak/>
        <w:t xml:space="preserve">Ahora bien, en atención a lo dispuesto por los artículos 3, fracción XI y 12 </w:t>
      </w:r>
      <w:r w:rsidRPr="00D906B2">
        <w:rPr>
          <w:rFonts w:ascii="Palatino Linotype" w:hAnsi="Palatino Linotype" w:cs="Arial"/>
          <w:bCs/>
        </w:rPr>
        <w:t>de la Ley de Transparencia y Acceso a la Información Pública del Estado de México y Municipios</w:t>
      </w:r>
      <w:r w:rsidRPr="00D906B2">
        <w:rPr>
          <w:rFonts w:ascii="Palatino Linotype" w:hAnsi="Palatino Linotype" w:cs="Arial"/>
        </w:rPr>
        <w:t>, los cuales son del tenor literal siguiente:</w:t>
      </w:r>
    </w:p>
    <w:p w:rsidR="007D10C9" w:rsidRPr="00D906B2" w:rsidRDefault="007D10C9" w:rsidP="007D10C9">
      <w:pPr>
        <w:ind w:left="567" w:right="567"/>
        <w:jc w:val="both"/>
        <w:rPr>
          <w:rFonts w:ascii="Palatino Linotype" w:hAnsi="Palatino Linotype"/>
        </w:rPr>
      </w:pPr>
    </w:p>
    <w:p w:rsidR="007D10C9" w:rsidRPr="00D906B2" w:rsidRDefault="007D10C9" w:rsidP="007D10C9">
      <w:pPr>
        <w:ind w:left="851" w:right="851"/>
        <w:jc w:val="both"/>
        <w:rPr>
          <w:rFonts w:ascii="Palatino Linotype" w:hAnsi="Palatino Linotype"/>
          <w:i/>
        </w:rPr>
      </w:pPr>
      <w:r w:rsidRPr="00D906B2">
        <w:rPr>
          <w:rFonts w:ascii="Palatino Linotype" w:hAnsi="Palatino Linotype"/>
          <w:b/>
          <w:bCs/>
          <w:i/>
        </w:rPr>
        <w:t xml:space="preserve">Artículo 3.- </w:t>
      </w:r>
      <w:r w:rsidRPr="00D906B2">
        <w:rPr>
          <w:rFonts w:ascii="Palatino Linotype" w:hAnsi="Palatino Linotype"/>
          <w:i/>
        </w:rPr>
        <w:t>Para los efectos de la presente Ley se entenderá por:</w:t>
      </w:r>
    </w:p>
    <w:p w:rsidR="007D10C9" w:rsidRPr="00D906B2" w:rsidRDefault="007D10C9" w:rsidP="007D10C9">
      <w:pPr>
        <w:ind w:left="851" w:right="851"/>
        <w:jc w:val="both"/>
        <w:rPr>
          <w:rFonts w:ascii="Palatino Linotype" w:hAnsi="Palatino Linotype"/>
          <w:i/>
        </w:rPr>
      </w:pPr>
      <w:r w:rsidRPr="00D906B2">
        <w:rPr>
          <w:rFonts w:ascii="Palatino Linotype" w:hAnsi="Palatino Linotype"/>
          <w:i/>
        </w:rPr>
        <w:t>…</w:t>
      </w:r>
    </w:p>
    <w:p w:rsidR="007D10C9" w:rsidRPr="00D906B2" w:rsidRDefault="007D10C9" w:rsidP="007D10C9">
      <w:pPr>
        <w:ind w:left="851" w:right="851"/>
        <w:jc w:val="both"/>
        <w:rPr>
          <w:rFonts w:ascii="Palatino Linotype" w:hAnsi="Palatino Linotype"/>
          <w:i/>
        </w:rPr>
      </w:pPr>
      <w:r w:rsidRPr="00D906B2">
        <w:rPr>
          <w:rFonts w:ascii="Palatino Linotype" w:hAnsi="Palatino Linotype"/>
          <w:b/>
          <w:i/>
        </w:rPr>
        <w:t>XI.</w:t>
      </w:r>
      <w:r w:rsidRPr="00D906B2">
        <w:rPr>
          <w:rFonts w:ascii="Palatino Linotype" w:hAnsi="Palatino Linotype"/>
          <w:i/>
        </w:rPr>
        <w:t xml:space="preserve"> </w:t>
      </w:r>
      <w:r w:rsidRPr="00D906B2">
        <w:rPr>
          <w:rFonts w:ascii="Palatino Linotype" w:hAnsi="Palatino Linotype"/>
          <w:b/>
          <w:i/>
        </w:rPr>
        <w:t>Documento:</w:t>
      </w:r>
      <w:r w:rsidRPr="00D906B2">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D906B2">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D906B2">
        <w:rPr>
          <w:rFonts w:ascii="Palatino Linotype" w:hAnsi="Palatino Linotype"/>
          <w:i/>
        </w:rPr>
        <w:t xml:space="preserve"> Los documentos podrán estar en cualquier medio, sea escrito, impreso, sonoro, visual, electrónico, informático u holográfico;</w:t>
      </w:r>
    </w:p>
    <w:p w:rsidR="007D10C9" w:rsidRPr="00D906B2" w:rsidRDefault="007D10C9" w:rsidP="007D10C9">
      <w:pPr>
        <w:ind w:left="851" w:right="851"/>
        <w:jc w:val="both"/>
        <w:rPr>
          <w:rFonts w:ascii="Palatino Linotype" w:hAnsi="Palatino Linotype"/>
          <w:i/>
        </w:rPr>
      </w:pPr>
    </w:p>
    <w:p w:rsidR="007D10C9" w:rsidRPr="00D906B2" w:rsidRDefault="007D10C9" w:rsidP="007D10C9">
      <w:pPr>
        <w:ind w:left="851" w:right="851"/>
        <w:jc w:val="both"/>
        <w:rPr>
          <w:rFonts w:ascii="Palatino Linotype" w:hAnsi="Palatino Linotype"/>
          <w:bCs/>
          <w:i/>
        </w:rPr>
      </w:pPr>
      <w:r w:rsidRPr="00D906B2">
        <w:rPr>
          <w:rFonts w:ascii="Palatino Linotype" w:hAnsi="Palatino Linotype"/>
          <w:b/>
          <w:bCs/>
          <w:i/>
        </w:rPr>
        <w:t>Artículo 4.</w:t>
      </w:r>
      <w:r w:rsidRPr="00D906B2">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7D10C9" w:rsidRPr="00D906B2" w:rsidRDefault="007D10C9" w:rsidP="007D10C9">
      <w:pPr>
        <w:ind w:left="851" w:right="851"/>
        <w:jc w:val="both"/>
        <w:rPr>
          <w:rFonts w:ascii="Palatino Linotype" w:hAnsi="Palatino Linotype"/>
          <w:bCs/>
          <w:i/>
        </w:rPr>
      </w:pPr>
    </w:p>
    <w:p w:rsidR="007D10C9" w:rsidRPr="00D906B2" w:rsidRDefault="007D10C9" w:rsidP="007D10C9">
      <w:pPr>
        <w:ind w:left="851" w:right="851"/>
        <w:jc w:val="both"/>
        <w:rPr>
          <w:rFonts w:ascii="Palatino Linotype" w:hAnsi="Palatino Linotype"/>
          <w:bCs/>
          <w:i/>
        </w:rPr>
      </w:pPr>
      <w:r w:rsidRPr="00D906B2">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D906B2">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D10C9" w:rsidRPr="00D906B2" w:rsidRDefault="007D10C9" w:rsidP="007D10C9">
      <w:pPr>
        <w:ind w:left="851" w:right="851"/>
        <w:jc w:val="both"/>
        <w:rPr>
          <w:rFonts w:ascii="Palatino Linotype" w:hAnsi="Palatino Linotype"/>
          <w:bCs/>
          <w:i/>
        </w:rPr>
      </w:pPr>
    </w:p>
    <w:p w:rsidR="007D10C9" w:rsidRPr="00D906B2" w:rsidRDefault="007D10C9" w:rsidP="007D10C9">
      <w:pPr>
        <w:ind w:left="851" w:right="851"/>
        <w:jc w:val="both"/>
        <w:rPr>
          <w:rFonts w:ascii="Palatino Linotype" w:hAnsi="Palatino Linotype"/>
          <w:bCs/>
          <w:i/>
        </w:rPr>
      </w:pPr>
      <w:r w:rsidRPr="00D906B2">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7D10C9" w:rsidRPr="00D906B2" w:rsidRDefault="007D10C9" w:rsidP="007D10C9">
      <w:pPr>
        <w:ind w:left="851" w:right="851"/>
        <w:jc w:val="both"/>
        <w:rPr>
          <w:rFonts w:ascii="Palatino Linotype" w:hAnsi="Palatino Linotype"/>
          <w:i/>
        </w:rPr>
      </w:pPr>
    </w:p>
    <w:p w:rsidR="007D10C9" w:rsidRPr="00D906B2" w:rsidRDefault="007D10C9" w:rsidP="007D10C9">
      <w:pPr>
        <w:ind w:left="851" w:right="851"/>
        <w:jc w:val="both"/>
        <w:rPr>
          <w:rFonts w:ascii="Palatino Linotype" w:hAnsi="Palatino Linotype"/>
          <w:i/>
        </w:rPr>
      </w:pPr>
      <w:r w:rsidRPr="00D906B2">
        <w:rPr>
          <w:rFonts w:ascii="Palatino Linotype" w:hAnsi="Palatino Linotype"/>
          <w:b/>
          <w:i/>
        </w:rPr>
        <w:lastRenderedPageBreak/>
        <w:t>Artículo 12.</w:t>
      </w:r>
      <w:r w:rsidRPr="00D906B2">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7D10C9" w:rsidRPr="00D906B2" w:rsidRDefault="007D10C9" w:rsidP="007D10C9">
      <w:pPr>
        <w:ind w:left="851" w:right="851"/>
        <w:jc w:val="both"/>
        <w:rPr>
          <w:rFonts w:ascii="Palatino Linotype" w:hAnsi="Palatino Linotype"/>
          <w:i/>
        </w:rPr>
      </w:pPr>
    </w:p>
    <w:p w:rsidR="007D10C9" w:rsidRPr="00D906B2" w:rsidRDefault="007D10C9" w:rsidP="007D10C9">
      <w:pPr>
        <w:ind w:left="851" w:right="851"/>
        <w:jc w:val="both"/>
        <w:rPr>
          <w:rFonts w:ascii="Palatino Linotype" w:hAnsi="Palatino Linotype"/>
          <w:i/>
          <w:u w:val="single"/>
        </w:rPr>
      </w:pPr>
      <w:r w:rsidRPr="00D906B2">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D906B2">
        <w:rPr>
          <w:rFonts w:ascii="Palatino Linotype" w:hAnsi="Palatino Linotype"/>
          <w:i/>
        </w:rPr>
        <w:t>.</w:t>
      </w:r>
    </w:p>
    <w:p w:rsidR="007D10C9" w:rsidRPr="00D906B2" w:rsidRDefault="007D10C9" w:rsidP="007D10C9">
      <w:pPr>
        <w:jc w:val="both"/>
        <w:rPr>
          <w:rFonts w:ascii="Palatino Linotype" w:hAnsi="Palatino Linotype"/>
        </w:rPr>
      </w:pPr>
    </w:p>
    <w:p w:rsidR="007D10C9" w:rsidRPr="00D906B2" w:rsidRDefault="007D10C9" w:rsidP="007D10C9">
      <w:pPr>
        <w:spacing w:line="360" w:lineRule="auto"/>
        <w:jc w:val="both"/>
        <w:rPr>
          <w:rFonts w:ascii="Palatino Linotype" w:eastAsia="Calibri" w:hAnsi="Palatino Linotype" w:cs="Arial"/>
          <w:color w:val="000000"/>
          <w:lang w:val="es-ES_tradnl" w:eastAsia="es-MX"/>
        </w:rPr>
      </w:pPr>
    </w:p>
    <w:p w:rsidR="007D10C9" w:rsidRPr="00D906B2" w:rsidRDefault="007D10C9" w:rsidP="007D10C9">
      <w:pPr>
        <w:spacing w:line="360" w:lineRule="auto"/>
        <w:jc w:val="both"/>
        <w:rPr>
          <w:rFonts w:ascii="Palatino Linotype" w:eastAsia="Calibri" w:hAnsi="Palatino Linotype" w:cs="Arial"/>
          <w:color w:val="000000"/>
          <w:lang w:val="es-ES_tradnl" w:eastAsia="es-MX"/>
        </w:rPr>
      </w:pPr>
      <w:r w:rsidRPr="00D906B2">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D906B2">
        <w:rPr>
          <w:rFonts w:ascii="Palatino Linotype" w:eastAsia="Calibri" w:hAnsi="Palatino Linotype" w:cs="Arial"/>
          <w:b/>
          <w:color w:val="000000"/>
          <w:lang w:val="es-ES_tradnl" w:eastAsia="es-MX"/>
        </w:rPr>
        <w:t xml:space="preserve"> </w:t>
      </w:r>
      <w:r w:rsidRPr="00D906B2">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D906B2">
        <w:rPr>
          <w:rFonts w:ascii="Palatino Linotype" w:eastAsia="Calibri" w:hAnsi="Palatino Linotype" w:cs="Arial"/>
          <w:i/>
          <w:color w:val="000000"/>
          <w:lang w:val="es-ES_tradnl" w:eastAsia="es-MX"/>
        </w:rPr>
        <w:t>ad hoc</w:t>
      </w:r>
      <w:r w:rsidRPr="00D906B2">
        <w:rPr>
          <w:rFonts w:ascii="Palatino Linotype" w:eastAsia="Calibri" w:hAnsi="Palatino Linotype" w:cs="Arial"/>
          <w:color w:val="000000"/>
          <w:lang w:val="es-ES_tradnl" w:eastAsia="es-MX"/>
        </w:rPr>
        <w:t>, para satisfacer el derecho de acceso a la información pública.</w:t>
      </w:r>
    </w:p>
    <w:p w:rsidR="007D10C9" w:rsidRPr="00D906B2" w:rsidRDefault="007D10C9" w:rsidP="007D10C9">
      <w:pPr>
        <w:spacing w:line="360" w:lineRule="auto"/>
        <w:jc w:val="both"/>
        <w:rPr>
          <w:rFonts w:ascii="Palatino Linotype" w:hAnsi="Palatino Linotype" w:cs="Arial"/>
          <w:noProof/>
          <w:color w:val="000000"/>
          <w:lang w:eastAsia="es-MX"/>
        </w:rPr>
      </w:pPr>
    </w:p>
    <w:p w:rsidR="007D10C9" w:rsidRPr="00D906B2" w:rsidRDefault="007D10C9" w:rsidP="007D10C9">
      <w:pPr>
        <w:spacing w:line="360" w:lineRule="auto"/>
        <w:jc w:val="both"/>
        <w:rPr>
          <w:rFonts w:ascii="Palatino Linotype" w:hAnsi="Palatino Linotype" w:cs="Palatino Linotype"/>
          <w:b/>
          <w:i/>
          <w:color w:val="000000"/>
          <w:sz w:val="28"/>
        </w:rPr>
      </w:pPr>
      <w:r w:rsidRPr="00D906B2">
        <w:rPr>
          <w:rFonts w:ascii="Palatino Linotype" w:hAnsi="Palatino Linotype" w:cs="Palatino Linotype"/>
          <w:b/>
          <w:i/>
          <w:color w:val="000000"/>
          <w:sz w:val="28"/>
        </w:rPr>
        <w:t xml:space="preserve">De la Versión Pública </w:t>
      </w:r>
    </w:p>
    <w:p w:rsidR="007D10C9" w:rsidRPr="00D906B2" w:rsidRDefault="007D10C9" w:rsidP="007D10C9">
      <w:pPr>
        <w:tabs>
          <w:tab w:val="left" w:pos="7938"/>
        </w:tabs>
        <w:spacing w:before="240" w:after="240" w:line="360" w:lineRule="auto"/>
        <w:jc w:val="both"/>
        <w:rPr>
          <w:rFonts w:ascii="Palatino Linotype" w:eastAsia="Arial Unicode MS" w:hAnsi="Palatino Linotype" w:cs="Arial"/>
          <w:lang w:val="es-ES_tradnl" w:eastAsia="es-MX"/>
        </w:rPr>
      </w:pPr>
      <w:r w:rsidRPr="00D906B2">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w:t>
      </w:r>
      <w:r w:rsidRPr="00D906B2">
        <w:rPr>
          <w:rFonts w:ascii="Palatino Linotype" w:eastAsia="Arial Unicode MS" w:hAnsi="Palatino Linotype" w:cs="Arial"/>
          <w:lang w:val="es-ES_tradnl" w:eastAsia="es-MX"/>
        </w:rPr>
        <w:lastRenderedPageBreak/>
        <w:t>el derecho a la protección de datos personales, cuyo fundamento legal aplicable se encuentra inmerso en los numerales de la Ley de la materia, que a la letra esgrimen:</w:t>
      </w:r>
    </w:p>
    <w:p w:rsidR="007D10C9" w:rsidRPr="00D906B2" w:rsidRDefault="007D10C9" w:rsidP="007D10C9">
      <w:pPr>
        <w:spacing w:before="240" w:line="360" w:lineRule="auto"/>
        <w:ind w:left="851" w:right="851"/>
        <w:jc w:val="both"/>
        <w:rPr>
          <w:rFonts w:ascii="Palatino Linotype" w:eastAsia="Calibri" w:hAnsi="Palatino Linotype" w:cs="Arial"/>
          <w:i/>
          <w:lang w:val="es-ES_tradnl" w:eastAsia="es-MX"/>
        </w:rPr>
      </w:pPr>
      <w:r w:rsidRPr="00D906B2">
        <w:rPr>
          <w:rFonts w:ascii="Palatino Linotype" w:eastAsia="Calibri" w:hAnsi="Palatino Linotype" w:cs="Arial"/>
          <w:i/>
          <w:lang w:val="es-ES_tradnl" w:eastAsia="es-MX"/>
        </w:rPr>
        <w:t>“Artículo 3. Para los efectos de la presente Ley se entenderá por:</w:t>
      </w:r>
    </w:p>
    <w:p w:rsidR="007D10C9" w:rsidRPr="00D906B2" w:rsidRDefault="007D10C9" w:rsidP="007D10C9">
      <w:pPr>
        <w:spacing w:before="240" w:line="360" w:lineRule="auto"/>
        <w:ind w:left="851" w:right="851"/>
        <w:jc w:val="both"/>
        <w:rPr>
          <w:rFonts w:ascii="Palatino Linotype" w:eastAsia="Calibri" w:hAnsi="Palatino Linotype" w:cs="Arial"/>
          <w:i/>
          <w:lang w:val="es-ES_tradnl" w:eastAsia="es-MX"/>
        </w:rPr>
      </w:pPr>
      <w:r w:rsidRPr="00D906B2">
        <w:rPr>
          <w:rFonts w:ascii="Palatino Linotype" w:eastAsia="Calibri" w:hAnsi="Palatino Linotype" w:cs="Arial"/>
          <w:i/>
          <w:lang w:val="es-ES_tradnl" w:eastAsia="es-MX"/>
        </w:rPr>
        <w:t>(…)</w:t>
      </w:r>
    </w:p>
    <w:p w:rsidR="007D10C9" w:rsidRPr="00D906B2" w:rsidRDefault="007D10C9" w:rsidP="007D10C9">
      <w:pPr>
        <w:spacing w:before="240" w:line="360" w:lineRule="auto"/>
        <w:ind w:left="851" w:right="851"/>
        <w:jc w:val="both"/>
        <w:rPr>
          <w:rFonts w:ascii="Palatino Linotype" w:eastAsia="Calibri" w:hAnsi="Palatino Linotype" w:cs="Arial"/>
          <w:b/>
          <w:i/>
          <w:lang w:val="es-ES_tradnl" w:eastAsia="es-MX"/>
        </w:rPr>
      </w:pPr>
      <w:r w:rsidRPr="00D906B2">
        <w:rPr>
          <w:rFonts w:ascii="Palatino Linotype" w:eastAsia="Calibri" w:hAnsi="Palatino Linotype" w:cs="Arial"/>
          <w:b/>
          <w:i/>
          <w:u w:val="single"/>
          <w:lang w:val="es-ES_tradnl" w:eastAsia="es-MX"/>
        </w:rPr>
        <w:t>IX. Datos personales:</w:t>
      </w:r>
      <w:r w:rsidRPr="00D906B2">
        <w:rPr>
          <w:rFonts w:ascii="Palatino Linotype" w:eastAsia="Calibri" w:hAnsi="Palatino Linotype" w:cs="Arial"/>
          <w:b/>
          <w:i/>
          <w:lang w:val="es-ES_tradnl" w:eastAsia="es-MX"/>
        </w:rPr>
        <w:t xml:space="preserve"> </w:t>
      </w:r>
      <w:r w:rsidRPr="00D906B2">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7D10C9" w:rsidRPr="00D906B2" w:rsidRDefault="007D10C9" w:rsidP="007D10C9">
      <w:pPr>
        <w:spacing w:before="240" w:line="360" w:lineRule="auto"/>
        <w:ind w:left="851" w:right="851"/>
        <w:jc w:val="both"/>
        <w:rPr>
          <w:rFonts w:ascii="Palatino Linotype" w:eastAsia="Calibri" w:hAnsi="Palatino Linotype" w:cs="Arial"/>
          <w:b/>
          <w:i/>
          <w:lang w:val="es-ES_tradnl" w:eastAsia="es-MX"/>
        </w:rPr>
      </w:pPr>
      <w:r w:rsidRPr="00D906B2">
        <w:rPr>
          <w:rFonts w:ascii="Palatino Linotype" w:eastAsia="Calibri" w:hAnsi="Palatino Linotype" w:cs="Arial"/>
          <w:b/>
          <w:i/>
          <w:lang w:val="es-ES_tradnl" w:eastAsia="es-MX"/>
        </w:rPr>
        <w:t>(…)</w:t>
      </w:r>
    </w:p>
    <w:p w:rsidR="007D10C9" w:rsidRPr="00D906B2" w:rsidRDefault="007D10C9" w:rsidP="007D10C9">
      <w:pPr>
        <w:spacing w:before="240" w:line="360" w:lineRule="auto"/>
        <w:ind w:left="851" w:right="851"/>
        <w:jc w:val="both"/>
        <w:rPr>
          <w:rFonts w:ascii="Palatino Linotype" w:eastAsia="Calibri" w:hAnsi="Palatino Linotype" w:cs="Arial"/>
          <w:b/>
          <w:i/>
          <w:lang w:val="es-ES_tradnl" w:eastAsia="es-MX"/>
        </w:rPr>
      </w:pPr>
      <w:r w:rsidRPr="00D906B2">
        <w:rPr>
          <w:rFonts w:ascii="Palatino Linotype" w:eastAsia="Calibri" w:hAnsi="Palatino Linotype" w:cs="Arial"/>
          <w:b/>
          <w:i/>
          <w:u w:val="single"/>
          <w:lang w:val="es-ES_tradnl" w:eastAsia="es-MX"/>
        </w:rPr>
        <w:t>XLV. Versión pública:</w:t>
      </w:r>
      <w:r w:rsidRPr="00D906B2">
        <w:rPr>
          <w:rFonts w:ascii="Palatino Linotype" w:eastAsia="Calibri" w:hAnsi="Palatino Linotype" w:cs="Arial"/>
          <w:b/>
          <w:i/>
          <w:lang w:val="es-ES_tradnl" w:eastAsia="es-MX"/>
        </w:rPr>
        <w:t xml:space="preserve"> </w:t>
      </w:r>
      <w:r w:rsidRPr="00D906B2">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7D10C9" w:rsidRPr="00D906B2" w:rsidRDefault="007D10C9" w:rsidP="007D10C9">
      <w:pPr>
        <w:spacing w:before="240" w:line="360" w:lineRule="auto"/>
        <w:ind w:left="851" w:right="851"/>
        <w:jc w:val="both"/>
        <w:rPr>
          <w:rFonts w:ascii="Palatino Linotype" w:eastAsia="Calibri" w:hAnsi="Palatino Linotype" w:cs="Arial"/>
          <w:b/>
          <w:i/>
          <w:lang w:val="es-ES_tradnl" w:eastAsia="es-MX"/>
        </w:rPr>
      </w:pPr>
      <w:r w:rsidRPr="00D906B2">
        <w:rPr>
          <w:rFonts w:ascii="Palatino Linotype" w:eastAsia="Calibri" w:hAnsi="Palatino Linotype" w:cs="Arial"/>
          <w:i/>
          <w:lang w:val="es-ES_tradnl" w:eastAsia="es-MX"/>
        </w:rPr>
        <w:t xml:space="preserve">Artículo 122. </w:t>
      </w:r>
      <w:r w:rsidRPr="00D906B2">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7D10C9" w:rsidRPr="00D906B2" w:rsidRDefault="007D10C9" w:rsidP="007D10C9">
      <w:pPr>
        <w:spacing w:before="240" w:line="360" w:lineRule="auto"/>
        <w:ind w:left="851" w:right="851"/>
        <w:jc w:val="both"/>
        <w:rPr>
          <w:rFonts w:ascii="Palatino Linotype" w:eastAsia="Calibri" w:hAnsi="Palatino Linotype" w:cs="Arial"/>
          <w:i/>
          <w:lang w:val="es-ES_tradnl" w:eastAsia="es-MX"/>
        </w:rPr>
      </w:pPr>
      <w:r w:rsidRPr="00D906B2">
        <w:rPr>
          <w:rFonts w:ascii="Palatino Linotype" w:eastAsia="Calibri" w:hAnsi="Palatino Linotype" w:cs="Arial"/>
          <w:i/>
          <w:lang w:val="es-ES_tradnl" w:eastAsia="es-MX"/>
        </w:rPr>
        <w:t>[…]</w:t>
      </w:r>
    </w:p>
    <w:p w:rsidR="007D10C9" w:rsidRPr="00D906B2" w:rsidRDefault="007D10C9" w:rsidP="007D10C9">
      <w:pPr>
        <w:spacing w:before="240" w:line="360" w:lineRule="auto"/>
        <w:ind w:left="851" w:right="851"/>
        <w:jc w:val="both"/>
        <w:rPr>
          <w:rFonts w:ascii="Palatino Linotype" w:eastAsia="Calibri" w:hAnsi="Palatino Linotype" w:cs="Arial"/>
          <w:i/>
          <w:lang w:val="es-ES_tradnl" w:eastAsia="es-MX"/>
        </w:rPr>
      </w:pPr>
      <w:r w:rsidRPr="00D906B2">
        <w:rPr>
          <w:rFonts w:ascii="Palatino Linotype" w:eastAsia="Calibri" w:hAnsi="Palatino Linotype" w:cs="Arial"/>
          <w:i/>
          <w:lang w:val="es-ES_tradnl" w:eastAsia="es-MX"/>
        </w:rPr>
        <w:t>Artículo 132. La clasificación de la información se llevará a cabo en el momento en que:</w:t>
      </w:r>
    </w:p>
    <w:p w:rsidR="007D10C9" w:rsidRPr="00D906B2" w:rsidRDefault="007D10C9" w:rsidP="007D10C9">
      <w:pPr>
        <w:spacing w:before="240" w:line="360" w:lineRule="auto"/>
        <w:ind w:left="851" w:right="851"/>
        <w:jc w:val="both"/>
        <w:rPr>
          <w:rFonts w:ascii="Palatino Linotype" w:eastAsia="Calibri" w:hAnsi="Palatino Linotype" w:cs="Arial"/>
          <w:i/>
          <w:lang w:val="es-ES_tradnl" w:eastAsia="es-MX"/>
        </w:rPr>
      </w:pPr>
      <w:r w:rsidRPr="00D906B2">
        <w:rPr>
          <w:rFonts w:ascii="Palatino Linotype" w:eastAsia="Calibri" w:hAnsi="Palatino Linotype" w:cs="Arial"/>
          <w:i/>
          <w:lang w:val="es-ES_tradnl" w:eastAsia="es-MX"/>
        </w:rPr>
        <w:t>[…]</w:t>
      </w:r>
    </w:p>
    <w:p w:rsidR="007D10C9" w:rsidRPr="00D906B2" w:rsidRDefault="007D10C9" w:rsidP="007D10C9">
      <w:pPr>
        <w:spacing w:before="240" w:line="360" w:lineRule="auto"/>
        <w:ind w:left="851" w:right="851"/>
        <w:jc w:val="both"/>
        <w:rPr>
          <w:rFonts w:ascii="Palatino Linotype" w:eastAsia="Calibri" w:hAnsi="Palatino Linotype" w:cs="Arial"/>
          <w:b/>
          <w:i/>
          <w:u w:val="single"/>
          <w:lang w:val="es-ES_tradnl" w:eastAsia="es-MX"/>
        </w:rPr>
      </w:pPr>
      <w:r w:rsidRPr="00D906B2">
        <w:rPr>
          <w:rFonts w:ascii="Palatino Linotype" w:eastAsia="Calibri" w:hAnsi="Palatino Linotype" w:cs="Arial"/>
          <w:b/>
          <w:i/>
          <w:u w:val="single"/>
          <w:lang w:val="es-ES_tradnl" w:eastAsia="es-MX"/>
        </w:rPr>
        <w:t>II. Se determine mediante resolución de autoridad competente; o</w:t>
      </w:r>
    </w:p>
    <w:p w:rsidR="007D10C9" w:rsidRPr="00D906B2" w:rsidRDefault="007D10C9" w:rsidP="007D10C9">
      <w:pPr>
        <w:spacing w:before="240" w:line="360" w:lineRule="auto"/>
        <w:ind w:left="851" w:right="851"/>
        <w:jc w:val="both"/>
        <w:rPr>
          <w:rFonts w:ascii="Palatino Linotype" w:eastAsia="Calibri" w:hAnsi="Palatino Linotype" w:cs="Arial"/>
          <w:b/>
          <w:i/>
          <w:lang w:val="es-ES_tradnl" w:eastAsia="es-MX"/>
        </w:rPr>
      </w:pPr>
      <w:r w:rsidRPr="00D906B2">
        <w:rPr>
          <w:rFonts w:ascii="Palatino Linotype" w:eastAsia="Calibri" w:hAnsi="Palatino Linotype" w:cs="Arial"/>
          <w:b/>
          <w:i/>
          <w:lang w:val="es-ES_tradnl" w:eastAsia="es-MX"/>
        </w:rPr>
        <w:lastRenderedPageBreak/>
        <w:t>(…)</w:t>
      </w:r>
    </w:p>
    <w:p w:rsidR="007D10C9" w:rsidRPr="00D906B2" w:rsidRDefault="007D10C9" w:rsidP="007D10C9">
      <w:pPr>
        <w:spacing w:before="240" w:line="360" w:lineRule="auto"/>
        <w:ind w:left="851" w:right="851"/>
        <w:jc w:val="both"/>
        <w:rPr>
          <w:rFonts w:ascii="Palatino Linotype" w:eastAsia="Calibri" w:hAnsi="Palatino Linotype" w:cs="Arial"/>
          <w:b/>
          <w:i/>
          <w:lang w:val="es-ES_tradnl" w:eastAsia="es-MX"/>
        </w:rPr>
      </w:pPr>
      <w:r w:rsidRPr="00D906B2">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D906B2">
        <w:rPr>
          <w:rFonts w:ascii="Palatino Linotype" w:eastAsia="Calibri" w:hAnsi="Palatino Linotype" w:cs="Arial"/>
          <w:b/>
          <w:i/>
          <w:lang w:val="es-ES_tradnl" w:eastAsia="es-MX"/>
        </w:rPr>
        <w:t xml:space="preserve"> </w:t>
      </w:r>
      <w:r w:rsidRPr="00D906B2">
        <w:rPr>
          <w:rFonts w:ascii="Palatino Linotype" w:eastAsia="Calibri" w:hAnsi="Palatino Linotype" w:cs="Arial"/>
          <w:b/>
          <w:i/>
          <w:u w:val="single"/>
          <w:lang w:val="es-ES_tradnl" w:eastAsia="es-MX"/>
        </w:rPr>
        <w:t xml:space="preserve">de manera genérica y fundando y motivando su clasificación.” </w:t>
      </w:r>
      <w:r w:rsidRPr="00D906B2">
        <w:rPr>
          <w:rFonts w:ascii="Palatino Linotype" w:eastAsia="Calibri" w:hAnsi="Palatino Linotype" w:cs="Arial"/>
          <w:b/>
          <w:i/>
          <w:lang w:val="es-ES_tradnl" w:eastAsia="es-MX"/>
        </w:rPr>
        <w:t>[Sic]</w:t>
      </w:r>
    </w:p>
    <w:p w:rsidR="007D10C9" w:rsidRPr="00D906B2" w:rsidRDefault="007D10C9" w:rsidP="007D10C9">
      <w:pPr>
        <w:spacing w:line="360" w:lineRule="auto"/>
        <w:jc w:val="both"/>
        <w:rPr>
          <w:rFonts w:ascii="Palatino Linotype" w:hAnsi="Palatino Linotype" w:cs="Arial"/>
        </w:rPr>
      </w:pPr>
    </w:p>
    <w:p w:rsidR="00FE02F7" w:rsidRPr="00D906B2" w:rsidRDefault="00FE02F7" w:rsidP="00FE02F7">
      <w:pPr>
        <w:spacing w:line="360" w:lineRule="auto"/>
        <w:jc w:val="both"/>
        <w:rPr>
          <w:rFonts w:ascii="Palatino Linotype" w:hAnsi="Palatino Linotype" w:cs="Arial"/>
          <w:lang w:val="es-ES_tradnl" w:eastAsia="es-MX"/>
        </w:rPr>
      </w:pPr>
    </w:p>
    <w:p w:rsidR="00FE02F7" w:rsidRPr="00D906B2" w:rsidRDefault="00FE02F7" w:rsidP="00FE02F7">
      <w:pPr>
        <w:spacing w:line="360" w:lineRule="auto"/>
        <w:ind w:right="51"/>
        <w:jc w:val="both"/>
        <w:rPr>
          <w:rFonts w:ascii="Palatino Linotype" w:hAnsi="Palatino Linotype" w:cs="Arial"/>
        </w:rPr>
      </w:pPr>
      <w:r w:rsidRPr="00D906B2">
        <w:rPr>
          <w:rFonts w:ascii="Palatino Linotype" w:eastAsia="Arial Unicode MS" w:hAnsi="Palatino Linotype" w:cs="Arial"/>
        </w:rPr>
        <w:t xml:space="preserve">Verbigracia, previo a poner a disposición la información correspondiente debe considerarse que tiene carácter de confidencial </w:t>
      </w:r>
      <w:r w:rsidRPr="00D906B2">
        <w:rPr>
          <w:rFonts w:ascii="Palatino Linotype" w:hAnsi="Palatino Linotype" w:cs="Arial"/>
        </w:rPr>
        <w:t xml:space="preserve">el </w:t>
      </w:r>
      <w:r w:rsidRPr="00D906B2">
        <w:rPr>
          <w:rFonts w:ascii="Palatino Linotype" w:hAnsi="Palatino Linotype" w:cs="Arial"/>
          <w:b/>
        </w:rPr>
        <w:t>Registro Federal de Contribuyentes (RFC) que no sean de proveedores</w:t>
      </w:r>
      <w:r w:rsidRPr="00D906B2">
        <w:rPr>
          <w:rFonts w:ascii="Palatino Linotype" w:hAnsi="Palatino Linotype" w:cs="Arial"/>
        </w:rPr>
        <w:t>,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FE02F7" w:rsidRPr="00D906B2" w:rsidRDefault="00FE02F7" w:rsidP="00FE02F7">
      <w:pPr>
        <w:spacing w:before="240" w:after="240" w:line="360" w:lineRule="auto"/>
        <w:ind w:right="-91"/>
        <w:jc w:val="both"/>
        <w:rPr>
          <w:rFonts w:ascii="Palatino Linotype" w:hAnsi="Palatino Linotype" w:cs="Arial"/>
          <w:lang w:eastAsia="es-MX"/>
        </w:rPr>
      </w:pPr>
      <w:r w:rsidRPr="00D906B2">
        <w:rPr>
          <w:rFonts w:ascii="Palatino Linotype" w:hAnsi="Palatino Linotype" w:cs="Arial"/>
          <w:lang w:eastAsia="es-MX"/>
        </w:rPr>
        <w:t xml:space="preserve">Lo anterior es compartido por el ahora </w:t>
      </w:r>
      <w:r w:rsidRPr="00D906B2">
        <w:rPr>
          <w:rFonts w:ascii="Palatino Linotype" w:hAnsi="Palatino Linotype" w:cs="Arial"/>
          <w:b/>
          <w:bCs/>
          <w:lang w:eastAsia="es-MX"/>
        </w:rPr>
        <w:t>Instituto Nacional de Transparencia, Acceso a la Información y Protección de Datos Personales</w:t>
      </w:r>
      <w:r w:rsidRPr="00D906B2">
        <w:rPr>
          <w:rFonts w:ascii="Palatino Linotype" w:hAnsi="Palatino Linotype" w:cs="Arial"/>
          <w:lang w:eastAsia="es-MX"/>
        </w:rPr>
        <w:t xml:space="preserve"> (INAI), conforme al criterio </w:t>
      </w:r>
      <w:r w:rsidRPr="00D906B2">
        <w:rPr>
          <w:rFonts w:ascii="Palatino Linotype" w:hAnsi="Palatino Linotype" w:cs="Arial"/>
          <w:b/>
          <w:lang w:eastAsia="es-MX"/>
        </w:rPr>
        <w:t>004/2021,</w:t>
      </w:r>
      <w:r w:rsidRPr="00D906B2">
        <w:rPr>
          <w:rFonts w:ascii="Palatino Linotype" w:hAnsi="Palatino Linotype" w:cs="Arial"/>
          <w:lang w:eastAsia="es-MX"/>
        </w:rPr>
        <w:t xml:space="preserve"> el cual es del tenor literal siguiente:</w:t>
      </w:r>
    </w:p>
    <w:p w:rsidR="00FE02F7" w:rsidRPr="00D906B2" w:rsidRDefault="00FE02F7" w:rsidP="00FE02F7">
      <w:pPr>
        <w:autoSpaceDE w:val="0"/>
        <w:autoSpaceDN w:val="0"/>
        <w:adjustRightInd w:val="0"/>
        <w:spacing w:before="240" w:line="360" w:lineRule="auto"/>
        <w:ind w:left="851" w:right="851"/>
        <w:jc w:val="center"/>
        <w:rPr>
          <w:rFonts w:ascii="Palatino Linotype" w:hAnsi="Palatino Linotype" w:cs="Arial"/>
          <w:b/>
          <w:bCs/>
          <w:i/>
        </w:rPr>
      </w:pPr>
      <w:r w:rsidRPr="00D906B2">
        <w:rPr>
          <w:rFonts w:ascii="Palatino Linotype" w:hAnsi="Palatino Linotype" w:cs="Arial"/>
          <w:bCs/>
          <w:i/>
        </w:rPr>
        <w:t>“</w:t>
      </w:r>
      <w:r w:rsidRPr="00D906B2">
        <w:rPr>
          <w:rFonts w:ascii="Palatino Linotype" w:hAnsi="Palatino Linotype" w:cs="Arial"/>
          <w:b/>
          <w:bCs/>
          <w:i/>
        </w:rPr>
        <w:t>Registro Federal de Contribuyentes (RFC) de personas físicas proveedores o contratistas.</w:t>
      </w:r>
    </w:p>
    <w:p w:rsidR="00FE02F7" w:rsidRPr="00D906B2" w:rsidRDefault="00FE02F7" w:rsidP="00FE02F7">
      <w:pPr>
        <w:autoSpaceDE w:val="0"/>
        <w:autoSpaceDN w:val="0"/>
        <w:adjustRightInd w:val="0"/>
        <w:spacing w:before="240" w:line="360" w:lineRule="auto"/>
        <w:ind w:left="851" w:right="851"/>
        <w:jc w:val="both"/>
        <w:rPr>
          <w:rFonts w:ascii="Palatino Linotype" w:hAnsi="Palatino Linotype" w:cs="Arial"/>
          <w:bCs/>
          <w:i/>
        </w:rPr>
      </w:pPr>
      <w:r w:rsidRPr="00D906B2">
        <w:rPr>
          <w:rFonts w:ascii="Palatino Linotype" w:hAnsi="Palatino Linotype" w:cs="Arial"/>
          <w:bCs/>
          <w:i/>
        </w:rPr>
        <w:t xml:space="preserve">El RFC de contratistas o proveedores de sujetos obligados debe ser público, ya que al tratarse de personas relacionadas con contrataciones públicas, su </w:t>
      </w:r>
      <w:r w:rsidRPr="00D906B2">
        <w:rPr>
          <w:rFonts w:ascii="Palatino Linotype" w:hAnsi="Palatino Linotype" w:cs="Arial"/>
          <w:bCs/>
          <w:i/>
        </w:rPr>
        <w:lastRenderedPageBreak/>
        <w:t xml:space="preserve">difusión favorece la transparencia con la que deben administrarse los recursos públicos, en términos del artículo 134 de la Constitución Política de los Estados Unidos Mexicanos. </w:t>
      </w:r>
    </w:p>
    <w:p w:rsidR="00FE02F7" w:rsidRPr="00D906B2" w:rsidRDefault="00FE02F7" w:rsidP="00FE02F7">
      <w:pPr>
        <w:autoSpaceDE w:val="0"/>
        <w:autoSpaceDN w:val="0"/>
        <w:adjustRightInd w:val="0"/>
        <w:spacing w:before="240" w:line="360" w:lineRule="auto"/>
        <w:ind w:left="851" w:right="851"/>
        <w:jc w:val="both"/>
        <w:rPr>
          <w:rFonts w:ascii="Palatino Linotype" w:hAnsi="Palatino Linotype" w:cs="Arial"/>
          <w:b/>
          <w:i/>
        </w:rPr>
      </w:pPr>
      <w:r w:rsidRPr="00D906B2">
        <w:rPr>
          <w:rFonts w:ascii="Palatino Linotype" w:hAnsi="Palatino Linotype" w:cs="Arial"/>
          <w:b/>
          <w:i/>
        </w:rPr>
        <w:t>Precedentes:</w:t>
      </w:r>
    </w:p>
    <w:p w:rsidR="00FE02F7" w:rsidRPr="00D906B2" w:rsidRDefault="00FE02F7" w:rsidP="00FE02F7">
      <w:pPr>
        <w:numPr>
          <w:ilvl w:val="0"/>
          <w:numId w:val="8"/>
        </w:numPr>
        <w:autoSpaceDE w:val="0"/>
        <w:autoSpaceDN w:val="0"/>
        <w:adjustRightInd w:val="0"/>
        <w:spacing w:before="240" w:after="160" w:line="360" w:lineRule="auto"/>
        <w:ind w:left="720" w:right="851"/>
        <w:jc w:val="both"/>
        <w:rPr>
          <w:rFonts w:ascii="Palatino Linotype" w:hAnsi="Palatino Linotype" w:cs="Arial"/>
          <w:i/>
        </w:rPr>
      </w:pPr>
      <w:r w:rsidRPr="00D906B2">
        <w:rPr>
          <w:rFonts w:ascii="Palatino Linotype" w:hAnsi="Palatino Linotype" w:cs="Arial"/>
          <w:i/>
        </w:rPr>
        <w:t>Acceso a la información Pública. RRA 3639/19.</w:t>
      </w:r>
      <w:r w:rsidRPr="00D906B2">
        <w:rPr>
          <w:rFonts w:ascii="Palatino Linotype" w:hAnsi="Palatino Linotype" w:cs="Arial"/>
          <w:bCs/>
          <w:i/>
        </w:rPr>
        <w:t xml:space="preserve"> </w:t>
      </w:r>
      <w:r w:rsidRPr="00D906B2">
        <w:rPr>
          <w:rFonts w:ascii="Palatino Linotype" w:hAnsi="Palatino Linotype" w:cs="Arial"/>
          <w:i/>
        </w:rPr>
        <w:t>Sesión del 10 de julio de 2019. Votación por mayoría. Con voto disidente del Comisionado Joel Salas Suárez. Instituto para la Protección del Ahorro Bancario. Comisionada Ponente María Patricia Kurczyn Villalobos.</w:t>
      </w:r>
    </w:p>
    <w:p w:rsidR="00FE02F7" w:rsidRPr="00D906B2" w:rsidRDefault="00FE02F7" w:rsidP="00FE02F7">
      <w:pPr>
        <w:numPr>
          <w:ilvl w:val="0"/>
          <w:numId w:val="8"/>
        </w:numPr>
        <w:autoSpaceDE w:val="0"/>
        <w:autoSpaceDN w:val="0"/>
        <w:adjustRightInd w:val="0"/>
        <w:spacing w:before="240" w:after="160" w:line="360" w:lineRule="auto"/>
        <w:ind w:left="720" w:right="851"/>
        <w:jc w:val="both"/>
        <w:rPr>
          <w:rFonts w:ascii="Palatino Linotype" w:hAnsi="Palatino Linotype" w:cs="Arial"/>
          <w:bCs/>
          <w:i/>
        </w:rPr>
      </w:pPr>
      <w:r w:rsidRPr="00D906B2">
        <w:rPr>
          <w:rFonts w:ascii="Palatino Linotype" w:hAnsi="Palatino Linotype" w:cs="Arial"/>
          <w:i/>
        </w:rPr>
        <w:t>Acceso a la información Pública. RRA 7709/19.</w:t>
      </w:r>
      <w:r w:rsidRPr="00D906B2">
        <w:rPr>
          <w:rFonts w:ascii="Palatino Linotype" w:hAnsi="Palatino Linotype" w:cs="Arial"/>
          <w:bCs/>
          <w:i/>
        </w:rPr>
        <w:t xml:space="preserve"> </w:t>
      </w:r>
      <w:r w:rsidRPr="00D906B2">
        <w:rPr>
          <w:rFonts w:ascii="Palatino Linotype" w:hAnsi="Palatino Linotype" w:cs="Arial"/>
          <w:i/>
        </w:rPr>
        <w:t>Sesión del 13 de agosto de 2019. Votación por unanimidad. Con voto particular de la Comisionada Josefina Román Vergara. Suprema Corte de Justicia de la Nación. Comisionada Ponente Josefina Román Vergara.</w:t>
      </w:r>
    </w:p>
    <w:p w:rsidR="00FE02F7" w:rsidRPr="00D906B2" w:rsidRDefault="00FE02F7" w:rsidP="00FE02F7">
      <w:pPr>
        <w:numPr>
          <w:ilvl w:val="0"/>
          <w:numId w:val="8"/>
        </w:numPr>
        <w:autoSpaceDE w:val="0"/>
        <w:autoSpaceDN w:val="0"/>
        <w:adjustRightInd w:val="0"/>
        <w:spacing w:before="240" w:after="160" w:line="360" w:lineRule="auto"/>
        <w:ind w:left="851" w:right="851"/>
        <w:jc w:val="both"/>
        <w:rPr>
          <w:rFonts w:ascii="Palatino Linotype" w:hAnsi="Palatino Linotype" w:cs="Arial"/>
          <w:b/>
          <w:i/>
        </w:rPr>
      </w:pPr>
      <w:r w:rsidRPr="00D906B2">
        <w:rPr>
          <w:rFonts w:ascii="Palatino Linotype" w:hAnsi="Palatino Linotype" w:cs="Arial"/>
          <w:i/>
        </w:rPr>
        <w:t>Acceso a la información Pública. RRA 5774/19.</w:t>
      </w:r>
      <w:r w:rsidRPr="00D906B2">
        <w:rPr>
          <w:rFonts w:ascii="Palatino Linotype" w:hAnsi="Palatino Linotype" w:cs="Arial"/>
          <w:bCs/>
          <w:i/>
        </w:rPr>
        <w:t xml:space="preserve"> </w:t>
      </w:r>
      <w:r w:rsidRPr="00D906B2">
        <w:rPr>
          <w:rFonts w:ascii="Palatino Linotype" w:hAnsi="Palatino Linotype" w:cs="Arial"/>
          <w:i/>
        </w:rPr>
        <w:t>Sesión del 21 de agosto de 2019. Votación por mayoría. Con voto disidente del Comisionado Joel Salas Suárez. Secretaría de Marina. Comisionada Ponente Blanca Lilia Ibarra Cadena.” [Sic]</w:t>
      </w:r>
    </w:p>
    <w:p w:rsidR="00FE02F7" w:rsidRPr="00D906B2" w:rsidRDefault="00FE02F7" w:rsidP="00FE02F7">
      <w:pPr>
        <w:spacing w:line="360" w:lineRule="auto"/>
        <w:jc w:val="both"/>
        <w:rPr>
          <w:rFonts w:ascii="Palatino Linotype" w:hAnsi="Palatino Linotype" w:cs="Arial"/>
        </w:rPr>
      </w:pPr>
    </w:p>
    <w:p w:rsidR="00FE02F7" w:rsidRPr="00D906B2" w:rsidRDefault="00FE02F7" w:rsidP="00FE02F7">
      <w:pPr>
        <w:spacing w:line="360" w:lineRule="auto"/>
        <w:jc w:val="both"/>
        <w:rPr>
          <w:rFonts w:ascii="Palatino Linotype" w:hAnsi="Palatino Linotype" w:cs="Arial"/>
        </w:rPr>
      </w:pPr>
      <w:r w:rsidRPr="00D906B2">
        <w:rPr>
          <w:rFonts w:ascii="Palatino Linotype" w:hAnsi="Palatino Linotype" w:cs="Arial"/>
        </w:rPr>
        <w:t xml:space="preserve">Por cuanto hace a la </w:t>
      </w:r>
      <w:r w:rsidRPr="00D906B2">
        <w:rPr>
          <w:rFonts w:ascii="Palatino Linotype" w:hAnsi="Palatino Linotype" w:cs="Arial"/>
          <w:b/>
        </w:rPr>
        <w:t>Clave Única de Registro de Población</w:t>
      </w:r>
      <w:r w:rsidRPr="00D906B2">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FE02F7" w:rsidRPr="00D906B2" w:rsidRDefault="00FE02F7" w:rsidP="00FE02F7">
      <w:pPr>
        <w:spacing w:line="360" w:lineRule="auto"/>
        <w:jc w:val="both"/>
        <w:rPr>
          <w:rFonts w:ascii="Palatino Linotype" w:hAnsi="Palatino Linotype" w:cs="Arial"/>
        </w:rPr>
      </w:pPr>
    </w:p>
    <w:p w:rsidR="00FE02F7" w:rsidRPr="00D906B2" w:rsidRDefault="00FE02F7" w:rsidP="00FE02F7">
      <w:pPr>
        <w:spacing w:line="360" w:lineRule="auto"/>
        <w:jc w:val="both"/>
        <w:rPr>
          <w:rFonts w:ascii="Palatino Linotype" w:hAnsi="Palatino Linotype" w:cs="Arial"/>
        </w:rPr>
      </w:pPr>
      <w:r w:rsidRPr="00D906B2">
        <w:rPr>
          <w:rFonts w:ascii="Palatino Linotype" w:hAnsi="Palatino Linotype" w:cs="Arial"/>
        </w:rPr>
        <w:lastRenderedPageBreak/>
        <w:t>Lo anterior, tiene sustento en los artículos 86 y 91, de la Ley General de Población, la cual señala lo siguiente:</w:t>
      </w:r>
    </w:p>
    <w:p w:rsidR="00FE02F7" w:rsidRPr="00D906B2" w:rsidRDefault="00FE02F7" w:rsidP="00FE02F7">
      <w:pPr>
        <w:spacing w:line="276" w:lineRule="auto"/>
        <w:jc w:val="both"/>
        <w:rPr>
          <w:rFonts w:ascii="Palatino Linotype" w:hAnsi="Palatino Linotype" w:cs="Arial"/>
        </w:rPr>
      </w:pPr>
    </w:p>
    <w:p w:rsidR="00FE02F7" w:rsidRPr="00D906B2" w:rsidRDefault="00FE02F7" w:rsidP="00FE02F7">
      <w:pPr>
        <w:spacing w:line="276" w:lineRule="auto"/>
        <w:ind w:left="567" w:right="567"/>
        <w:jc w:val="both"/>
        <w:rPr>
          <w:rFonts w:ascii="Palatino Linotype" w:hAnsi="Palatino Linotype" w:cs="Arial"/>
          <w:i/>
        </w:rPr>
      </w:pPr>
      <w:r w:rsidRPr="00D906B2">
        <w:rPr>
          <w:rFonts w:ascii="Palatino Linotype" w:hAnsi="Palatino Linotype" w:cs="Arial"/>
          <w:i/>
        </w:rPr>
        <w:t>“</w:t>
      </w:r>
      <w:r w:rsidRPr="00D906B2">
        <w:rPr>
          <w:rFonts w:ascii="Palatino Linotype" w:hAnsi="Palatino Linotype" w:cs="Arial"/>
          <w:b/>
          <w:i/>
        </w:rPr>
        <w:t>Artículo 86.</w:t>
      </w:r>
      <w:r w:rsidRPr="00D906B2">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rsidR="00FE02F7" w:rsidRPr="00D906B2" w:rsidRDefault="00FE02F7" w:rsidP="00FE02F7">
      <w:pPr>
        <w:spacing w:line="276" w:lineRule="auto"/>
        <w:ind w:left="567" w:right="567"/>
        <w:jc w:val="both"/>
        <w:rPr>
          <w:rFonts w:ascii="Palatino Linotype" w:hAnsi="Palatino Linotype" w:cs="Arial"/>
          <w:i/>
        </w:rPr>
      </w:pPr>
    </w:p>
    <w:p w:rsidR="00FE02F7" w:rsidRPr="00D906B2" w:rsidRDefault="00FE02F7" w:rsidP="00FE02F7">
      <w:pPr>
        <w:spacing w:line="276" w:lineRule="auto"/>
        <w:ind w:left="567" w:right="567"/>
        <w:jc w:val="both"/>
        <w:rPr>
          <w:rFonts w:ascii="Palatino Linotype" w:hAnsi="Palatino Linotype" w:cs="Arial"/>
          <w:i/>
        </w:rPr>
      </w:pPr>
      <w:r w:rsidRPr="00D906B2">
        <w:rPr>
          <w:rFonts w:ascii="Palatino Linotype" w:hAnsi="Palatino Linotype" w:cs="Arial"/>
          <w:b/>
          <w:i/>
        </w:rPr>
        <w:t>Artículo 91.</w:t>
      </w:r>
      <w:r w:rsidRPr="00D906B2">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rsidR="00FE02F7" w:rsidRPr="00D906B2" w:rsidRDefault="00FE02F7" w:rsidP="00FE02F7">
      <w:pPr>
        <w:spacing w:line="360" w:lineRule="auto"/>
        <w:jc w:val="both"/>
        <w:rPr>
          <w:rFonts w:ascii="Palatino Linotype" w:hAnsi="Palatino Linotype" w:cs="Arial"/>
        </w:rPr>
      </w:pPr>
    </w:p>
    <w:p w:rsidR="00FE02F7" w:rsidRPr="00D906B2" w:rsidRDefault="00FE02F7" w:rsidP="00FE02F7">
      <w:pPr>
        <w:spacing w:line="360" w:lineRule="auto"/>
        <w:jc w:val="both"/>
        <w:rPr>
          <w:rFonts w:ascii="Palatino Linotype" w:hAnsi="Palatino Linotype" w:cs="Arial"/>
        </w:rPr>
      </w:pPr>
      <w:r w:rsidRPr="00D906B2">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FE02F7" w:rsidRPr="00D906B2" w:rsidRDefault="00FE02F7" w:rsidP="00FE02F7">
      <w:pPr>
        <w:spacing w:line="360" w:lineRule="auto"/>
        <w:jc w:val="both"/>
        <w:rPr>
          <w:rFonts w:ascii="Palatino Linotype" w:hAnsi="Palatino Linotype" w:cs="Arial"/>
        </w:rPr>
      </w:pPr>
    </w:p>
    <w:p w:rsidR="00FE02F7" w:rsidRPr="00D906B2" w:rsidRDefault="00FE02F7" w:rsidP="00FE02F7">
      <w:pPr>
        <w:spacing w:line="360" w:lineRule="auto"/>
        <w:jc w:val="both"/>
        <w:rPr>
          <w:rFonts w:ascii="Palatino Linotype" w:hAnsi="Palatino Linotype" w:cs="Arial"/>
        </w:rPr>
      </w:pPr>
      <w:r w:rsidRPr="00D906B2">
        <w:rPr>
          <w:rFonts w:ascii="Palatino Linotype" w:hAnsi="Palatino Linotype" w:cs="Arial"/>
        </w:rPr>
        <w:t>Al respecto, el entonces Instituto Nacional de Transparencia, Acceso a la Información y Protección de Datos Personales (INAI) a través del Criterio orientador 18/17, señala literalmente lo siguiente:</w:t>
      </w:r>
    </w:p>
    <w:p w:rsidR="00FE02F7" w:rsidRPr="00D906B2" w:rsidRDefault="00FE02F7" w:rsidP="00FE02F7">
      <w:pPr>
        <w:spacing w:line="360" w:lineRule="auto"/>
        <w:jc w:val="both"/>
        <w:rPr>
          <w:rFonts w:ascii="Palatino Linotype" w:hAnsi="Palatino Linotype" w:cs="Arial"/>
        </w:rPr>
      </w:pPr>
    </w:p>
    <w:p w:rsidR="00FE02F7" w:rsidRPr="00D906B2" w:rsidRDefault="00FE02F7" w:rsidP="00FE02F7">
      <w:pPr>
        <w:spacing w:line="276" w:lineRule="auto"/>
        <w:ind w:left="567" w:right="567"/>
        <w:jc w:val="both"/>
        <w:rPr>
          <w:rFonts w:ascii="Palatino Linotype" w:hAnsi="Palatino Linotype" w:cs="Arial"/>
          <w:i/>
        </w:rPr>
      </w:pPr>
      <w:r w:rsidRPr="00D906B2">
        <w:rPr>
          <w:rFonts w:ascii="Palatino Linotype" w:hAnsi="Palatino Linotype" w:cs="Arial"/>
          <w:b/>
          <w:i/>
        </w:rPr>
        <w:t>Clave Única de Registro de Población (CURP).</w:t>
      </w:r>
      <w:r w:rsidRPr="00D906B2">
        <w:rPr>
          <w:rFonts w:ascii="Palatino Linotype" w:hAnsi="Palatino Linotype" w:cs="Arial"/>
          <w:i/>
        </w:rPr>
        <w:t xml:space="preserve"> La Clave Única de Registro de Población se integra por datos personales que sólo conciernen al particular titular </w:t>
      </w:r>
      <w:r w:rsidRPr="00D906B2">
        <w:rPr>
          <w:rFonts w:ascii="Palatino Linotype" w:hAnsi="Palatino Linotype" w:cs="Arial"/>
          <w:i/>
        </w:rPr>
        <w:lastRenderedPageBreak/>
        <w:t>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FE02F7" w:rsidRPr="00D906B2" w:rsidRDefault="00FE02F7" w:rsidP="00FE02F7">
      <w:pPr>
        <w:spacing w:line="276" w:lineRule="auto"/>
        <w:jc w:val="both"/>
        <w:rPr>
          <w:rFonts w:ascii="Palatino Linotype" w:hAnsi="Palatino Linotype" w:cs="Arial"/>
        </w:rPr>
      </w:pPr>
    </w:p>
    <w:p w:rsidR="00FE02F7" w:rsidRPr="00D906B2" w:rsidRDefault="00FE02F7" w:rsidP="00FE02F7">
      <w:pPr>
        <w:spacing w:line="360" w:lineRule="auto"/>
        <w:jc w:val="both"/>
        <w:rPr>
          <w:rFonts w:ascii="Palatino Linotype" w:hAnsi="Palatino Linotype" w:cs="Arial"/>
        </w:rPr>
      </w:pPr>
      <w:r w:rsidRPr="00D906B2">
        <w:rPr>
          <w:rFonts w:ascii="Palatino Linotype" w:hAnsi="Palatino Linotype" w:cs="Arial"/>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FE02F7" w:rsidRPr="00D906B2" w:rsidRDefault="00FE02F7" w:rsidP="00FE02F7">
      <w:pPr>
        <w:spacing w:line="360" w:lineRule="auto"/>
        <w:jc w:val="both"/>
        <w:rPr>
          <w:rFonts w:ascii="Palatino Linotype" w:hAnsi="Palatino Linotype" w:cs="Arial"/>
        </w:rPr>
      </w:pPr>
    </w:p>
    <w:p w:rsidR="00FE02F7" w:rsidRPr="00D906B2" w:rsidRDefault="00FE02F7" w:rsidP="00FE02F7">
      <w:pPr>
        <w:spacing w:line="360" w:lineRule="auto"/>
        <w:ind w:right="51"/>
        <w:jc w:val="both"/>
        <w:rPr>
          <w:rFonts w:ascii="Palatino Linotype" w:hAnsi="Palatino Linotype"/>
          <w:szCs w:val="14"/>
        </w:rPr>
      </w:pPr>
      <w:r w:rsidRPr="00D906B2">
        <w:rPr>
          <w:rFonts w:ascii="Palatino Linotype" w:eastAsia="Palatino Linotype" w:hAnsi="Palatino Linotype" w:cs="Palatino Linotype"/>
        </w:rPr>
        <w:t xml:space="preserve">Igualmente, resulta importante destacar que el </w:t>
      </w:r>
      <w:r w:rsidRPr="00D906B2">
        <w:rPr>
          <w:rFonts w:ascii="Palatino Linotype" w:eastAsia="Palatino Linotype" w:hAnsi="Palatino Linotype" w:cs="Palatino Linotype"/>
          <w:b/>
          <w:i/>
        </w:rPr>
        <w:t>número de cuenta bancaria</w:t>
      </w:r>
      <w:r w:rsidRPr="00D906B2">
        <w:rPr>
          <w:rFonts w:ascii="Palatino Linotype" w:eastAsia="Palatino Linotype" w:hAnsi="Palatino Linotype" w:cs="Palatino Linotype"/>
          <w:b/>
        </w:rPr>
        <w:t xml:space="preserve"> de las personas físicas </w:t>
      </w:r>
      <w:r w:rsidRPr="00D906B2">
        <w:rPr>
          <w:rFonts w:ascii="Palatino Linotype" w:eastAsia="Palatino Linotype" w:hAnsi="Palatino Linotype" w:cs="Palatino Linotype"/>
        </w:rPr>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FE02F7" w:rsidRPr="00D906B2" w:rsidRDefault="00FE02F7" w:rsidP="00FE02F7">
      <w:pPr>
        <w:spacing w:line="360" w:lineRule="auto"/>
        <w:ind w:right="50"/>
        <w:jc w:val="both"/>
        <w:rPr>
          <w:rFonts w:ascii="Palatino Linotype" w:eastAsia="Palatino Linotype" w:hAnsi="Palatino Linotype" w:cs="Palatino Linotype"/>
        </w:rPr>
      </w:pPr>
    </w:p>
    <w:p w:rsidR="00FE02F7" w:rsidRPr="00D906B2" w:rsidRDefault="00FE02F7" w:rsidP="00FE02F7">
      <w:pPr>
        <w:spacing w:line="360" w:lineRule="auto"/>
        <w:ind w:right="50"/>
        <w:jc w:val="both"/>
        <w:rPr>
          <w:rFonts w:ascii="Palatino Linotype" w:eastAsia="Palatino Linotype" w:hAnsi="Palatino Linotype" w:cs="Palatino Linotype"/>
        </w:rPr>
      </w:pPr>
      <w:r w:rsidRPr="00D906B2">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FE02F7" w:rsidRPr="00D906B2" w:rsidRDefault="00FE02F7" w:rsidP="00FE02F7">
      <w:pPr>
        <w:spacing w:line="360" w:lineRule="auto"/>
        <w:ind w:right="50"/>
        <w:jc w:val="both"/>
        <w:rPr>
          <w:rFonts w:ascii="Palatino Linotype" w:eastAsia="Palatino Linotype" w:hAnsi="Palatino Linotype" w:cs="Palatino Linotype"/>
        </w:rPr>
      </w:pPr>
    </w:p>
    <w:p w:rsidR="00FE02F7" w:rsidRPr="00D906B2" w:rsidRDefault="00FE02F7" w:rsidP="00FE02F7">
      <w:pPr>
        <w:spacing w:line="360" w:lineRule="auto"/>
        <w:ind w:right="50"/>
        <w:jc w:val="both"/>
        <w:rPr>
          <w:rFonts w:ascii="Palatino Linotype" w:eastAsia="Palatino Linotype" w:hAnsi="Palatino Linotype" w:cs="Palatino Linotype"/>
        </w:rPr>
      </w:pPr>
      <w:r w:rsidRPr="00D906B2">
        <w:rPr>
          <w:rFonts w:ascii="Palatino Linotype" w:eastAsia="Palatino Linotype" w:hAnsi="Palatino Linotype" w:cs="Palatino Linotype"/>
        </w:rPr>
        <w:lastRenderedPageBreak/>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FE02F7" w:rsidRPr="00D906B2" w:rsidRDefault="00FE02F7" w:rsidP="00FE02F7">
      <w:pPr>
        <w:spacing w:line="360" w:lineRule="auto"/>
        <w:ind w:right="50"/>
        <w:jc w:val="both"/>
        <w:rPr>
          <w:rFonts w:ascii="Palatino Linotype" w:eastAsia="Palatino Linotype" w:hAnsi="Palatino Linotype" w:cs="Palatino Linotype"/>
        </w:rPr>
      </w:pPr>
    </w:p>
    <w:p w:rsidR="00FE02F7" w:rsidRPr="00D906B2" w:rsidRDefault="00FE02F7" w:rsidP="00FE02F7">
      <w:pPr>
        <w:spacing w:line="360" w:lineRule="auto"/>
        <w:ind w:right="50"/>
        <w:jc w:val="both"/>
        <w:rPr>
          <w:rFonts w:ascii="Palatino Linotype" w:eastAsia="Palatino Linotype" w:hAnsi="Palatino Linotype" w:cs="Palatino Linotype"/>
        </w:rPr>
      </w:pPr>
      <w:r w:rsidRPr="00D906B2">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rsidR="00FE02F7" w:rsidRPr="00D906B2" w:rsidRDefault="00FE02F7" w:rsidP="00FE02F7">
      <w:pPr>
        <w:spacing w:line="360" w:lineRule="auto"/>
        <w:ind w:right="50"/>
        <w:jc w:val="both"/>
        <w:rPr>
          <w:rFonts w:ascii="Palatino Linotype" w:eastAsia="Palatino Linotype" w:hAnsi="Palatino Linotype" w:cs="Palatino Linotype"/>
        </w:rPr>
      </w:pPr>
    </w:p>
    <w:p w:rsidR="00FE02F7" w:rsidRPr="00D906B2" w:rsidRDefault="00FE02F7" w:rsidP="00FE02F7">
      <w:pPr>
        <w:spacing w:line="360" w:lineRule="auto"/>
        <w:ind w:right="50"/>
        <w:jc w:val="both"/>
        <w:rPr>
          <w:rFonts w:ascii="Palatino Linotype" w:eastAsia="Palatino Linotype" w:hAnsi="Palatino Linotype" w:cs="Palatino Linotype"/>
        </w:rPr>
      </w:pPr>
      <w:r w:rsidRPr="00D906B2">
        <w:rPr>
          <w:rFonts w:ascii="Palatino Linotype" w:eastAsia="Palatino Linotype" w:hAnsi="Palatino Linotype" w:cs="Palatino Linotype"/>
        </w:rPr>
        <w:t>Es por esta razón que se debe omitir el o los números de cuentas bancarias de particulares en las versiones públicas, para ser entregadas.</w:t>
      </w:r>
    </w:p>
    <w:p w:rsidR="00FE02F7" w:rsidRPr="00D906B2" w:rsidRDefault="00FE02F7" w:rsidP="00FE02F7">
      <w:pPr>
        <w:spacing w:line="360" w:lineRule="auto"/>
        <w:ind w:right="50"/>
        <w:jc w:val="both"/>
        <w:rPr>
          <w:rFonts w:ascii="Palatino Linotype" w:eastAsia="Palatino Linotype" w:hAnsi="Palatino Linotype" w:cs="Palatino Linotype"/>
        </w:rPr>
      </w:pPr>
    </w:p>
    <w:p w:rsidR="00FE02F7" w:rsidRPr="00D906B2" w:rsidRDefault="00FE02F7" w:rsidP="00FE02F7">
      <w:pPr>
        <w:spacing w:line="360" w:lineRule="auto"/>
        <w:ind w:right="50"/>
        <w:jc w:val="both"/>
        <w:rPr>
          <w:rFonts w:ascii="Palatino Linotype" w:eastAsia="Palatino Linotype" w:hAnsi="Palatino Linotype" w:cs="Palatino Linotype"/>
        </w:rPr>
      </w:pPr>
      <w:r w:rsidRPr="00D906B2">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FE02F7" w:rsidRPr="00D906B2" w:rsidRDefault="00FE02F7" w:rsidP="00FE02F7">
      <w:pPr>
        <w:spacing w:line="360" w:lineRule="auto"/>
        <w:ind w:right="50"/>
        <w:jc w:val="both"/>
        <w:rPr>
          <w:rFonts w:ascii="Palatino Linotype" w:eastAsia="Palatino Linotype" w:hAnsi="Palatino Linotype" w:cs="Palatino Linotype"/>
        </w:rPr>
      </w:pPr>
    </w:p>
    <w:p w:rsidR="00FE02F7" w:rsidRPr="00D906B2" w:rsidRDefault="00FE02F7" w:rsidP="00FE02F7">
      <w:pPr>
        <w:spacing w:line="360" w:lineRule="auto"/>
        <w:ind w:right="50"/>
        <w:jc w:val="both"/>
        <w:rPr>
          <w:rFonts w:ascii="Palatino Linotype" w:eastAsia="Palatino Linotype" w:hAnsi="Palatino Linotype" w:cs="Palatino Linotype"/>
        </w:rPr>
      </w:pPr>
      <w:r w:rsidRPr="00D906B2">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FE02F7" w:rsidRPr="00D906B2" w:rsidRDefault="00FE02F7" w:rsidP="00FE02F7">
      <w:pPr>
        <w:spacing w:line="360" w:lineRule="auto"/>
        <w:ind w:right="50"/>
        <w:jc w:val="both"/>
        <w:rPr>
          <w:rFonts w:ascii="Palatino Linotype" w:eastAsia="Palatino Linotype" w:hAnsi="Palatino Linotype" w:cs="Palatino Linotype"/>
        </w:rPr>
      </w:pPr>
    </w:p>
    <w:p w:rsidR="00FE02F7" w:rsidRPr="00D906B2" w:rsidRDefault="00FE02F7" w:rsidP="00FE02F7">
      <w:pPr>
        <w:spacing w:after="240" w:line="276" w:lineRule="auto"/>
        <w:ind w:left="851" w:right="900"/>
        <w:jc w:val="both"/>
        <w:rPr>
          <w:rFonts w:ascii="Palatino Linotype" w:eastAsia="Palatino Linotype" w:hAnsi="Palatino Linotype" w:cs="Palatino Linotype"/>
          <w:i/>
        </w:rPr>
      </w:pPr>
      <w:r w:rsidRPr="00D906B2">
        <w:rPr>
          <w:rFonts w:ascii="Palatino Linotype" w:eastAsia="Palatino Linotype" w:hAnsi="Palatino Linotype" w:cs="Palatino Linotype"/>
          <w:b/>
          <w:i/>
        </w:rPr>
        <w:lastRenderedPageBreak/>
        <w:t>“Cuentas bancarias y/o CLABE interbancaria de personas físicas y morales privadas.</w:t>
      </w:r>
      <w:r w:rsidRPr="00D906B2">
        <w:rPr>
          <w:rFonts w:ascii="Palatino Linotype" w:eastAsia="Palatino Linotype" w:hAnsi="Palatino Linotype" w:cs="Palatino Linotype"/>
          <w:i/>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FE02F7" w:rsidRPr="00D906B2" w:rsidRDefault="00FE02F7" w:rsidP="00FE02F7">
      <w:pPr>
        <w:spacing w:before="240" w:line="276" w:lineRule="auto"/>
        <w:ind w:left="851" w:right="900"/>
        <w:jc w:val="both"/>
        <w:rPr>
          <w:rFonts w:ascii="Palatino Linotype" w:eastAsia="Palatino Linotype" w:hAnsi="Palatino Linotype" w:cs="Palatino Linotype"/>
          <w:i/>
        </w:rPr>
      </w:pPr>
      <w:r w:rsidRPr="00D906B2">
        <w:rPr>
          <w:rFonts w:ascii="Palatino Linotype" w:eastAsia="Palatino Linotype" w:hAnsi="Palatino Linotype" w:cs="Palatino Linotype"/>
          <w:b/>
          <w:i/>
        </w:rPr>
        <w:t>Cuentas bancarias y/o CLABE interbancaria de sujetos obligados que reciben y/o transfieren recursos públicos, son información pública</w:t>
      </w:r>
      <w:r w:rsidRPr="00D906B2">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FE02F7" w:rsidRPr="00D906B2" w:rsidRDefault="00FE02F7" w:rsidP="007D10C9">
      <w:pPr>
        <w:spacing w:line="360" w:lineRule="auto"/>
        <w:ind w:right="51"/>
        <w:jc w:val="both"/>
        <w:rPr>
          <w:rFonts w:ascii="Palatino Linotype" w:eastAsia="Calibri" w:hAnsi="Palatino Linotype" w:cs="Arial"/>
          <w:lang w:val="es-ES_tradnl" w:eastAsia="es-MX"/>
        </w:rPr>
      </w:pPr>
    </w:p>
    <w:p w:rsidR="00BA0289" w:rsidRPr="00D906B2" w:rsidRDefault="00BA0289" w:rsidP="00BA0289">
      <w:pPr>
        <w:spacing w:line="360" w:lineRule="auto"/>
        <w:ind w:right="51"/>
        <w:jc w:val="both"/>
        <w:rPr>
          <w:b/>
        </w:rPr>
      </w:pPr>
      <w:r w:rsidRPr="00D906B2">
        <w:rPr>
          <w:rFonts w:ascii="Palatino Linotype" w:hAnsi="Palatino Linotype" w:cs="Arial"/>
        </w:rPr>
        <w:t>El nombre, firma y rubrica del apoderado legal, se consideran públicos de conformidad con el criterio 01/19 reiterado vigente del INAI:</w:t>
      </w:r>
    </w:p>
    <w:p w:rsidR="00BA0289" w:rsidRPr="00D906B2" w:rsidRDefault="00BA0289" w:rsidP="00BA0289">
      <w:pPr>
        <w:pStyle w:val="INFOEM"/>
        <w:rPr>
          <w:bCs/>
        </w:rPr>
      </w:pPr>
      <w:r w:rsidRPr="00D906B2">
        <w:rPr>
          <w:b/>
        </w:rPr>
        <w:t>Datos de identificación del representante o apoderado legal.</w:t>
      </w:r>
      <w:r w:rsidRPr="00D906B2">
        <w:t xml:space="preserve"> </w:t>
      </w:r>
      <w:r w:rsidRPr="00D906B2">
        <w:rPr>
          <w:b/>
        </w:rPr>
        <w:t xml:space="preserve">Naturaleza jurídica. </w:t>
      </w:r>
      <w:r w:rsidRPr="00D906B2">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BA0289" w:rsidRPr="00D906B2" w:rsidRDefault="00BA0289" w:rsidP="00BA0289">
      <w:pPr>
        <w:pStyle w:val="INFOEM"/>
        <w:rPr>
          <w:b/>
        </w:rPr>
      </w:pPr>
      <w:r w:rsidRPr="00D906B2">
        <w:rPr>
          <w:b/>
        </w:rPr>
        <w:t>Precedentes:</w:t>
      </w:r>
    </w:p>
    <w:p w:rsidR="00BA0289" w:rsidRPr="00D906B2" w:rsidRDefault="00BA0289" w:rsidP="00BA0289">
      <w:pPr>
        <w:pStyle w:val="INFOEM"/>
        <w:numPr>
          <w:ilvl w:val="0"/>
          <w:numId w:val="9"/>
        </w:numPr>
        <w:ind w:left="720"/>
      </w:pPr>
      <w:r w:rsidRPr="00D906B2">
        <w:lastRenderedPageBreak/>
        <w:t xml:space="preserve">Acceso a la información pública. RRA 3104/16. Sesión del 01 de noviembre del 2016. Votación por unanimidad. Sin votos disidentes o particulares. Secretaría de la Defensa Nacional. Comisionado Ponente </w:t>
      </w:r>
      <w:r w:rsidRPr="00D906B2">
        <w:rPr>
          <w:lang w:val="es-ES"/>
        </w:rPr>
        <w:t>Oscar Mauricio Guerra Ford.</w:t>
      </w:r>
    </w:p>
    <w:p w:rsidR="00BA0289" w:rsidRPr="00D906B2" w:rsidRDefault="00BA0289" w:rsidP="00BA0289">
      <w:pPr>
        <w:pStyle w:val="INFOEM"/>
        <w:numPr>
          <w:ilvl w:val="0"/>
          <w:numId w:val="9"/>
        </w:numPr>
        <w:ind w:left="720"/>
        <w:rPr>
          <w:b/>
          <w:bCs/>
        </w:rPr>
      </w:pPr>
      <w:r w:rsidRPr="00D906B2">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BA0289" w:rsidRPr="00D906B2" w:rsidRDefault="00BA0289" w:rsidP="00BA0289">
      <w:pPr>
        <w:pStyle w:val="INFOEM"/>
        <w:numPr>
          <w:ilvl w:val="0"/>
          <w:numId w:val="9"/>
        </w:numPr>
        <w:ind w:left="720"/>
      </w:pPr>
      <w:r w:rsidRPr="00D906B2">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BA0289" w:rsidRPr="00D906B2" w:rsidRDefault="00BA0289" w:rsidP="007D10C9">
      <w:pPr>
        <w:spacing w:line="360" w:lineRule="auto"/>
        <w:ind w:right="51"/>
        <w:jc w:val="both"/>
        <w:rPr>
          <w:rFonts w:ascii="Palatino Linotype" w:eastAsia="Calibri" w:hAnsi="Palatino Linotype" w:cs="Arial"/>
          <w:lang w:val="es-ES_tradnl" w:eastAsia="es-MX"/>
        </w:rPr>
      </w:pPr>
    </w:p>
    <w:p w:rsidR="007D10C9" w:rsidRPr="00D906B2" w:rsidRDefault="007D10C9" w:rsidP="007D10C9">
      <w:pPr>
        <w:spacing w:line="360" w:lineRule="auto"/>
        <w:ind w:right="51"/>
        <w:jc w:val="both"/>
        <w:rPr>
          <w:rFonts w:ascii="Palatino Linotype" w:eastAsia="Calibri" w:hAnsi="Palatino Linotype" w:cs="Arial"/>
          <w:lang w:val="es-ES_tradnl" w:eastAsia="es-MX"/>
        </w:rPr>
      </w:pPr>
      <w:r w:rsidRPr="00D906B2">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D906B2">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D906B2">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7D10C9" w:rsidRPr="00D906B2" w:rsidRDefault="007D10C9" w:rsidP="007D10C9">
      <w:pPr>
        <w:spacing w:line="360" w:lineRule="auto"/>
        <w:ind w:right="51"/>
        <w:jc w:val="both"/>
        <w:rPr>
          <w:rFonts w:ascii="Palatino Linotype" w:eastAsia="Calibri" w:hAnsi="Palatino Linotype" w:cs="Arial"/>
          <w:lang w:val="es-ES_tradnl" w:eastAsia="es-MX"/>
        </w:rPr>
      </w:pPr>
    </w:p>
    <w:p w:rsidR="007D10C9" w:rsidRPr="00D906B2" w:rsidRDefault="007D10C9" w:rsidP="007D10C9">
      <w:pPr>
        <w:spacing w:line="360" w:lineRule="auto"/>
        <w:ind w:right="51"/>
        <w:jc w:val="both"/>
        <w:rPr>
          <w:rFonts w:ascii="Palatino Linotype" w:eastAsiaTheme="minorHAnsi" w:hAnsi="Palatino Linotype" w:cstheme="minorBidi"/>
          <w:lang w:val="es-MX" w:eastAsia="en-US"/>
        </w:rPr>
      </w:pPr>
      <w:r w:rsidRPr="00D906B2">
        <w:rPr>
          <w:rFonts w:ascii="Palatino Linotype" w:eastAsiaTheme="minorHAnsi" w:hAnsi="Palatino Linotype" w:cstheme="minorBidi"/>
          <w:lang w:val="es-MX" w:eastAsia="en-US"/>
        </w:rPr>
        <w:lastRenderedPageBreak/>
        <w:t xml:space="preserve">En mérito de lo expuesto en líneas anteriores, al resultar parcialmente fundados los motivos de inconformidad vertidos por </w:t>
      </w:r>
      <w:r w:rsidRPr="00D906B2">
        <w:rPr>
          <w:rFonts w:ascii="Palatino Linotype" w:eastAsiaTheme="minorHAnsi" w:hAnsi="Palatino Linotype" w:cstheme="minorBidi"/>
          <w:b/>
          <w:lang w:val="es-MX" w:eastAsia="en-US"/>
        </w:rPr>
        <w:t>el Recurrente</w:t>
      </w:r>
      <w:r w:rsidRPr="00D906B2">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D906B2">
        <w:rPr>
          <w:rFonts w:ascii="Palatino Linotype" w:eastAsiaTheme="minorHAnsi" w:hAnsi="Palatino Linotype" w:cstheme="minorBidi"/>
          <w:b/>
          <w:lang w:val="es-MX" w:eastAsia="en-US"/>
        </w:rPr>
        <w:t xml:space="preserve">REVOCA </w:t>
      </w:r>
      <w:r w:rsidRPr="00D906B2">
        <w:rPr>
          <w:rFonts w:ascii="Palatino Linotype" w:eastAsiaTheme="minorHAnsi" w:hAnsi="Palatino Linotype" w:cstheme="minorBidi"/>
          <w:lang w:val="es-MX" w:eastAsia="en-US"/>
        </w:rPr>
        <w:t xml:space="preserve">la respuesta emitida a la solicitud de información </w:t>
      </w:r>
      <w:r w:rsidRPr="00D906B2">
        <w:rPr>
          <w:rFonts w:ascii="Palatino Linotype" w:hAnsi="Palatino Linotype"/>
          <w:b/>
          <w:bCs/>
        </w:rPr>
        <w:t>00153/AMECAMEC/IP/2025</w:t>
      </w:r>
      <w:r w:rsidRPr="00D906B2">
        <w:rPr>
          <w:rFonts w:ascii="Palatino Linotype" w:eastAsiaTheme="minorHAnsi" w:hAnsi="Palatino Linotype"/>
          <w:b/>
          <w:bCs/>
        </w:rPr>
        <w:t>,</w:t>
      </w:r>
      <w:r w:rsidRPr="00D906B2">
        <w:rPr>
          <w:rFonts w:ascii="Palatino Linotype" w:eastAsiaTheme="minorHAnsi" w:hAnsi="Palatino Linotype" w:cs="Arial"/>
          <w:lang w:val="es-MX" w:eastAsia="en-US"/>
        </w:rPr>
        <w:t xml:space="preserve"> </w:t>
      </w:r>
      <w:r w:rsidRPr="00D906B2">
        <w:rPr>
          <w:rFonts w:ascii="Palatino Linotype" w:eastAsiaTheme="minorHAnsi" w:hAnsi="Palatino Linotype" w:cstheme="minorBidi"/>
          <w:lang w:val="es-MX" w:eastAsia="en-US"/>
        </w:rPr>
        <w:t>que ha sido materia del presente fallo.</w:t>
      </w:r>
    </w:p>
    <w:p w:rsidR="007D10C9" w:rsidRPr="00D906B2" w:rsidRDefault="007D10C9" w:rsidP="007D10C9">
      <w:pPr>
        <w:spacing w:line="360" w:lineRule="auto"/>
        <w:jc w:val="both"/>
        <w:rPr>
          <w:rFonts w:ascii="Palatino Linotype" w:eastAsiaTheme="minorHAnsi" w:hAnsi="Palatino Linotype" w:cstheme="minorBidi"/>
          <w:lang w:val="es-MX" w:eastAsia="en-US"/>
        </w:rPr>
      </w:pPr>
    </w:p>
    <w:p w:rsidR="007D10C9" w:rsidRPr="00D906B2" w:rsidRDefault="007D10C9" w:rsidP="007D10C9">
      <w:pPr>
        <w:spacing w:line="360" w:lineRule="auto"/>
        <w:jc w:val="both"/>
        <w:rPr>
          <w:rFonts w:ascii="Palatino Linotype" w:hAnsi="Palatino Linotype"/>
          <w:lang w:val="es-MX"/>
        </w:rPr>
      </w:pPr>
      <w:r w:rsidRPr="00D906B2">
        <w:rPr>
          <w:rFonts w:ascii="Palatino Linotype" w:hAnsi="Palatino Linotype"/>
          <w:lang w:val="es-MX"/>
        </w:rPr>
        <w:t>Por lo antes expuesto y fundado es de resolverse y,</w:t>
      </w:r>
    </w:p>
    <w:p w:rsidR="007D10C9" w:rsidRPr="00D906B2" w:rsidRDefault="007D10C9" w:rsidP="007D10C9">
      <w:pPr>
        <w:spacing w:line="360" w:lineRule="auto"/>
        <w:jc w:val="both"/>
        <w:rPr>
          <w:rFonts w:ascii="Palatino Linotype" w:hAnsi="Palatino Linotype"/>
          <w:lang w:val="es-MX"/>
        </w:rPr>
      </w:pPr>
    </w:p>
    <w:p w:rsidR="007D10C9" w:rsidRPr="00D906B2" w:rsidRDefault="007D10C9" w:rsidP="007D10C9">
      <w:pPr>
        <w:spacing w:line="360" w:lineRule="auto"/>
        <w:jc w:val="center"/>
        <w:rPr>
          <w:rFonts w:ascii="Palatino Linotype" w:hAnsi="Palatino Linotype"/>
          <w:bCs/>
          <w:spacing w:val="60"/>
          <w:lang w:val="es-ES_tradnl"/>
        </w:rPr>
      </w:pPr>
      <w:r w:rsidRPr="00D906B2">
        <w:rPr>
          <w:rFonts w:ascii="Palatino Linotype" w:hAnsi="Palatino Linotype"/>
          <w:b/>
          <w:bCs/>
          <w:spacing w:val="60"/>
          <w:sz w:val="28"/>
          <w:lang w:val="es-ES_tradnl"/>
        </w:rPr>
        <w:t>SE    RESUELVE</w:t>
      </w:r>
    </w:p>
    <w:p w:rsidR="007D10C9" w:rsidRPr="00D906B2" w:rsidRDefault="007D10C9" w:rsidP="007D10C9">
      <w:pPr>
        <w:spacing w:line="360" w:lineRule="auto"/>
        <w:jc w:val="both"/>
        <w:rPr>
          <w:rFonts w:ascii="Palatino Linotype" w:hAnsi="Palatino Linotype" w:cs="Arial"/>
        </w:rPr>
      </w:pPr>
      <w:r w:rsidRPr="00D906B2">
        <w:rPr>
          <w:rFonts w:ascii="Palatino Linotype" w:hAnsi="Palatino Linotype" w:cs="Arial"/>
          <w:b/>
          <w:sz w:val="28"/>
          <w:szCs w:val="28"/>
        </w:rPr>
        <w:t>PRIMERO</w:t>
      </w:r>
      <w:r w:rsidRPr="00D906B2">
        <w:rPr>
          <w:rFonts w:ascii="Palatino Linotype" w:hAnsi="Palatino Linotype" w:cs="Arial"/>
          <w:sz w:val="32"/>
          <w:szCs w:val="28"/>
        </w:rPr>
        <w:t>.</w:t>
      </w:r>
      <w:r w:rsidRPr="00D906B2">
        <w:rPr>
          <w:rFonts w:ascii="Palatino Linotype" w:hAnsi="Palatino Linotype" w:cs="Arial"/>
        </w:rPr>
        <w:t xml:space="preserve"> Se</w:t>
      </w:r>
      <w:r w:rsidRPr="00D906B2">
        <w:rPr>
          <w:rFonts w:ascii="Palatino Linotype" w:hAnsi="Palatino Linotype" w:cs="Arial"/>
          <w:b/>
        </w:rPr>
        <w:t xml:space="preserve"> REVOCA </w:t>
      </w:r>
      <w:r w:rsidRPr="00D906B2">
        <w:rPr>
          <w:rFonts w:ascii="Palatino Linotype" w:hAnsi="Palatino Linotype" w:cs="Arial"/>
        </w:rPr>
        <w:t xml:space="preserve">la respuesta del </w:t>
      </w:r>
      <w:r w:rsidRPr="00D906B2">
        <w:rPr>
          <w:rFonts w:ascii="Palatino Linotype" w:hAnsi="Palatino Linotype" w:cs="Arial"/>
          <w:b/>
        </w:rPr>
        <w:t>Sujeto Obligado</w:t>
      </w:r>
      <w:r w:rsidRPr="00D906B2">
        <w:rPr>
          <w:rFonts w:ascii="Palatino Linotype" w:hAnsi="Palatino Linotype" w:cs="Arial"/>
        </w:rPr>
        <w:t xml:space="preserve"> a la solicitud de acceso a la información pública</w:t>
      </w:r>
      <w:r w:rsidRPr="00D906B2">
        <w:rPr>
          <w:rFonts w:ascii="Palatino Linotype" w:hAnsi="Palatino Linotype" w:cs="Arial"/>
          <w:b/>
        </w:rPr>
        <w:t xml:space="preserve"> </w:t>
      </w:r>
      <w:r w:rsidRPr="00D906B2">
        <w:rPr>
          <w:rFonts w:ascii="Palatino Linotype" w:hAnsi="Palatino Linotype"/>
          <w:b/>
          <w:bCs/>
        </w:rPr>
        <w:t>00153/AMECAMEC/IP/2025</w:t>
      </w:r>
      <w:r w:rsidRPr="00D906B2">
        <w:rPr>
          <w:rFonts w:ascii="Palatino Linotype" w:hAnsi="Palatino Linotype" w:cs="Arial"/>
        </w:rPr>
        <w:t>,</w:t>
      </w:r>
      <w:r w:rsidRPr="00D906B2">
        <w:rPr>
          <w:rFonts w:ascii="Palatino Linotype" w:hAnsi="Palatino Linotype" w:cs="Tahoma"/>
          <w:b/>
        </w:rPr>
        <w:t xml:space="preserve"> </w:t>
      </w:r>
      <w:r w:rsidRPr="00D906B2">
        <w:rPr>
          <w:rFonts w:ascii="Palatino Linotype" w:hAnsi="Palatino Linotype" w:cs="Arial"/>
        </w:rPr>
        <w:t>por resultar fundados</w:t>
      </w:r>
      <w:r w:rsidRPr="00D906B2">
        <w:rPr>
          <w:rFonts w:ascii="Palatino Linotype" w:hAnsi="Palatino Linotype" w:cs="Arial"/>
          <w:b/>
        </w:rPr>
        <w:t xml:space="preserve"> </w:t>
      </w:r>
      <w:r w:rsidRPr="00D906B2">
        <w:rPr>
          <w:rFonts w:ascii="Palatino Linotype" w:hAnsi="Palatino Linotype" w:cs="Arial"/>
        </w:rPr>
        <w:t xml:space="preserve">los motivos de inconformidad vertidos por la parte </w:t>
      </w:r>
      <w:r w:rsidRPr="00D906B2">
        <w:rPr>
          <w:rFonts w:ascii="Palatino Linotype" w:hAnsi="Palatino Linotype" w:cs="Arial"/>
          <w:b/>
        </w:rPr>
        <w:t>Recurrente</w:t>
      </w:r>
      <w:r w:rsidRPr="00D906B2">
        <w:rPr>
          <w:rFonts w:ascii="Palatino Linotype" w:hAnsi="Palatino Linotype" w:cs="Arial"/>
        </w:rPr>
        <w:t>, en términos del considerando</w:t>
      </w:r>
      <w:r w:rsidRPr="00D906B2">
        <w:rPr>
          <w:rFonts w:ascii="Palatino Linotype" w:hAnsi="Palatino Linotype" w:cs="Arial"/>
          <w:b/>
        </w:rPr>
        <w:t xml:space="preserve"> CUARTO </w:t>
      </w:r>
      <w:r w:rsidRPr="00D906B2">
        <w:rPr>
          <w:rFonts w:ascii="Palatino Linotype" w:hAnsi="Palatino Linotype" w:cs="Arial"/>
        </w:rPr>
        <w:t>de la presente Resolución.</w:t>
      </w:r>
    </w:p>
    <w:p w:rsidR="007D10C9" w:rsidRPr="00D906B2" w:rsidRDefault="007D10C9" w:rsidP="007D10C9">
      <w:pPr>
        <w:spacing w:line="360" w:lineRule="auto"/>
        <w:jc w:val="both"/>
        <w:rPr>
          <w:rFonts w:ascii="Palatino Linotype" w:hAnsi="Palatino Linotype" w:cs="Arial"/>
        </w:rPr>
      </w:pPr>
    </w:p>
    <w:p w:rsidR="007D10C9" w:rsidRPr="00D906B2" w:rsidRDefault="007D10C9" w:rsidP="007D10C9">
      <w:pPr>
        <w:spacing w:line="360" w:lineRule="auto"/>
        <w:jc w:val="both"/>
        <w:rPr>
          <w:rFonts w:ascii="Palatino Linotype" w:hAnsi="Palatino Linotype" w:cs="Tahoma"/>
        </w:rPr>
      </w:pPr>
      <w:r w:rsidRPr="00D906B2">
        <w:rPr>
          <w:rFonts w:ascii="Palatino Linotype" w:hAnsi="Palatino Linotype" w:cs="Arial"/>
          <w:b/>
          <w:sz w:val="28"/>
        </w:rPr>
        <w:t>SEGUNDO</w:t>
      </w:r>
      <w:r w:rsidRPr="00D906B2">
        <w:rPr>
          <w:rFonts w:ascii="Palatino Linotype" w:hAnsi="Palatino Linotype" w:cs="Arial"/>
          <w:b/>
        </w:rPr>
        <w:t>.</w:t>
      </w:r>
      <w:r w:rsidRPr="00D906B2">
        <w:rPr>
          <w:rFonts w:ascii="Palatino Linotype" w:hAnsi="Palatino Linotype" w:cs="Tahoma"/>
        </w:rPr>
        <w:t xml:space="preserve"> Se </w:t>
      </w:r>
      <w:r w:rsidRPr="00D906B2">
        <w:rPr>
          <w:rFonts w:ascii="Palatino Linotype" w:hAnsi="Palatino Linotype" w:cs="Tahoma"/>
          <w:b/>
        </w:rPr>
        <w:t>ORDENA</w:t>
      </w:r>
      <w:r w:rsidRPr="00D906B2">
        <w:rPr>
          <w:rFonts w:ascii="Palatino Linotype" w:hAnsi="Palatino Linotype" w:cs="Tahoma"/>
        </w:rPr>
        <w:t xml:space="preserve"> al </w:t>
      </w:r>
      <w:r w:rsidRPr="00D906B2">
        <w:rPr>
          <w:rFonts w:ascii="Palatino Linotype" w:hAnsi="Palatino Linotype" w:cs="Tahoma"/>
          <w:b/>
        </w:rPr>
        <w:t>Sujeto Obligado,</w:t>
      </w:r>
      <w:r w:rsidRPr="00D906B2">
        <w:rPr>
          <w:rFonts w:ascii="Palatino Linotype" w:hAnsi="Palatino Linotype" w:cs="Tahoma"/>
        </w:rPr>
        <w:t xml:space="preserve"> haga entrega a la parte </w:t>
      </w:r>
      <w:r w:rsidRPr="00D906B2">
        <w:rPr>
          <w:rFonts w:ascii="Palatino Linotype" w:hAnsi="Palatino Linotype" w:cs="Tahoma"/>
          <w:b/>
        </w:rPr>
        <w:t>Recurrente</w:t>
      </w:r>
      <w:r w:rsidRPr="00D906B2">
        <w:rPr>
          <w:rFonts w:ascii="Palatino Linotype" w:hAnsi="Palatino Linotype" w:cs="Tahoma"/>
        </w:rPr>
        <w:t>, a través del Sistema de Acceso a la Información Mexiquense (</w:t>
      </w:r>
      <w:r w:rsidRPr="00D906B2">
        <w:rPr>
          <w:rFonts w:ascii="Palatino Linotype" w:hAnsi="Palatino Linotype" w:cs="Tahoma"/>
          <w:b/>
        </w:rPr>
        <w:t>SAIMEX</w:t>
      </w:r>
      <w:r w:rsidRPr="00D906B2">
        <w:rPr>
          <w:rFonts w:ascii="Palatino Linotype" w:hAnsi="Palatino Linotype" w:cs="Tahoma"/>
        </w:rPr>
        <w:t>), de lo siguiente:</w:t>
      </w:r>
    </w:p>
    <w:p w:rsidR="006E61AA" w:rsidRPr="00D906B2" w:rsidRDefault="006E61AA" w:rsidP="006E61AA">
      <w:pPr>
        <w:pStyle w:val="INFOEM"/>
        <w:numPr>
          <w:ilvl w:val="0"/>
          <w:numId w:val="4"/>
        </w:numPr>
        <w:spacing w:after="0"/>
        <w:ind w:left="709" w:right="567"/>
        <w:rPr>
          <w:i w:val="0"/>
          <w:sz w:val="28"/>
          <w:szCs w:val="24"/>
        </w:rPr>
      </w:pPr>
      <w:r w:rsidRPr="00D906B2">
        <w:rPr>
          <w:rFonts w:cs="Tahoma"/>
          <w:bCs/>
          <w:i w:val="0"/>
          <w:sz w:val="24"/>
          <w:lang w:val="es-ES"/>
        </w:rPr>
        <w:t xml:space="preserve">Facturas </w:t>
      </w:r>
      <w:r w:rsidR="00E729B1" w:rsidRPr="00D906B2">
        <w:rPr>
          <w:rFonts w:cs="Tahoma"/>
          <w:bCs/>
          <w:i w:val="0"/>
          <w:sz w:val="24"/>
          <w:lang w:val="es-ES"/>
        </w:rPr>
        <w:t>enviadas</w:t>
      </w:r>
      <w:r w:rsidRPr="00D906B2">
        <w:rPr>
          <w:rFonts w:cs="Tahoma"/>
          <w:bCs/>
          <w:i w:val="0"/>
          <w:sz w:val="24"/>
          <w:lang w:val="es-ES"/>
        </w:rPr>
        <w:t xml:space="preserve"> en informe justificado en correcta versión pública</w:t>
      </w:r>
      <w:r w:rsidR="00E3342A" w:rsidRPr="00D906B2">
        <w:rPr>
          <w:rFonts w:cs="Tahoma"/>
          <w:bCs/>
          <w:i w:val="0"/>
          <w:sz w:val="24"/>
          <w:lang w:val="es-ES"/>
        </w:rPr>
        <w:t>.</w:t>
      </w:r>
    </w:p>
    <w:p w:rsidR="007D10C9" w:rsidRPr="00D906B2" w:rsidRDefault="007D10C9" w:rsidP="007D10C9">
      <w:pPr>
        <w:pStyle w:val="INFOEM"/>
        <w:spacing w:before="0" w:after="0"/>
        <w:ind w:left="720" w:right="567"/>
      </w:pPr>
    </w:p>
    <w:p w:rsidR="007D10C9" w:rsidRPr="00D906B2" w:rsidRDefault="007D10C9" w:rsidP="007D10C9">
      <w:pPr>
        <w:pStyle w:val="INFOEM"/>
      </w:pPr>
      <w:r w:rsidRPr="00D906B2">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7D10C9" w:rsidRPr="00D906B2" w:rsidRDefault="007D10C9" w:rsidP="007D10C9">
      <w:pPr>
        <w:spacing w:line="360" w:lineRule="auto"/>
        <w:jc w:val="both"/>
        <w:rPr>
          <w:rFonts w:ascii="Palatino Linotype" w:hAnsi="Palatino Linotype" w:cs="Arial"/>
        </w:rPr>
      </w:pPr>
    </w:p>
    <w:p w:rsidR="007D10C9" w:rsidRPr="00D906B2" w:rsidRDefault="007D10C9" w:rsidP="007D10C9">
      <w:pPr>
        <w:spacing w:line="360" w:lineRule="auto"/>
        <w:jc w:val="both"/>
        <w:rPr>
          <w:rFonts w:ascii="Palatino Linotype" w:hAnsi="Palatino Linotype" w:cs="Tahoma"/>
          <w:bCs/>
        </w:rPr>
      </w:pPr>
      <w:r w:rsidRPr="00D906B2">
        <w:rPr>
          <w:rFonts w:ascii="Palatino Linotype" w:hAnsi="Palatino Linotype" w:cs="Arial"/>
          <w:b/>
          <w:sz w:val="28"/>
        </w:rPr>
        <w:t>TERCERO</w:t>
      </w:r>
      <w:r w:rsidRPr="00D906B2">
        <w:rPr>
          <w:rFonts w:ascii="Palatino Linotype" w:hAnsi="Palatino Linotype" w:cs="Arial"/>
          <w:b/>
        </w:rPr>
        <w:t>.</w:t>
      </w:r>
      <w:r w:rsidRPr="00D906B2">
        <w:rPr>
          <w:rFonts w:ascii="Palatino Linotype" w:hAnsi="Palatino Linotype" w:cs="Arial"/>
        </w:rPr>
        <w:t xml:space="preserve"> </w:t>
      </w:r>
      <w:r w:rsidRPr="00D906B2">
        <w:rPr>
          <w:rFonts w:ascii="Palatino Linotype" w:hAnsi="Palatino Linotype" w:cs="Tahoma"/>
          <w:b/>
        </w:rPr>
        <w:t xml:space="preserve">NOTIFÍQUESE </w:t>
      </w:r>
      <w:r w:rsidRPr="00D906B2">
        <w:rPr>
          <w:rFonts w:ascii="Palatino Linotype" w:hAnsi="Palatino Linotype" w:cs="Arial"/>
        </w:rPr>
        <w:t xml:space="preserve">a través del Sistema de Acceso a la Información Mexiquense </w:t>
      </w:r>
      <w:r w:rsidRPr="00D906B2">
        <w:rPr>
          <w:rFonts w:ascii="Palatino Linotype" w:hAnsi="Palatino Linotype" w:cs="Arial"/>
          <w:b/>
        </w:rPr>
        <w:t>(SAIMEX)</w:t>
      </w:r>
      <w:r w:rsidRPr="00D906B2">
        <w:rPr>
          <w:rFonts w:ascii="Palatino Linotype" w:hAnsi="Palatino Linotype" w:cs="Arial"/>
        </w:rPr>
        <w:t xml:space="preserve">, </w:t>
      </w:r>
      <w:r w:rsidRPr="00D906B2">
        <w:rPr>
          <w:rFonts w:ascii="Palatino Linotype" w:hAnsi="Palatino Linotype" w:cs="Tahoma"/>
        </w:rPr>
        <w:t xml:space="preserve">la presente Resolución al Titular de la Unidad de Transparencia del </w:t>
      </w:r>
      <w:r w:rsidRPr="00D906B2">
        <w:rPr>
          <w:rFonts w:ascii="Palatino Linotype" w:hAnsi="Palatino Linotype" w:cs="Tahoma"/>
          <w:b/>
        </w:rPr>
        <w:t>Sujeto Obligado</w:t>
      </w:r>
      <w:r w:rsidRPr="00D906B2">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D906B2">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D10C9" w:rsidRPr="00D906B2" w:rsidRDefault="007D10C9" w:rsidP="007D10C9">
      <w:pPr>
        <w:spacing w:line="360" w:lineRule="auto"/>
        <w:ind w:right="-595"/>
        <w:jc w:val="both"/>
        <w:rPr>
          <w:rFonts w:ascii="Palatino Linotype" w:hAnsi="Palatino Linotype" w:cs="Tahoma"/>
          <w:bCs/>
        </w:rPr>
      </w:pPr>
    </w:p>
    <w:p w:rsidR="007D10C9" w:rsidRPr="00D906B2" w:rsidRDefault="007D10C9" w:rsidP="007D10C9">
      <w:pPr>
        <w:autoSpaceDE w:val="0"/>
        <w:autoSpaceDN w:val="0"/>
        <w:adjustRightInd w:val="0"/>
        <w:spacing w:line="360" w:lineRule="auto"/>
        <w:jc w:val="both"/>
        <w:rPr>
          <w:rFonts w:ascii="Palatino Linotype" w:hAnsi="Palatino Linotype" w:cs="Arial"/>
        </w:rPr>
      </w:pPr>
      <w:r w:rsidRPr="00D906B2">
        <w:rPr>
          <w:rFonts w:ascii="Palatino Linotype" w:hAnsi="Palatino Linotype" w:cs="Arial"/>
          <w:b/>
          <w:sz w:val="28"/>
          <w:szCs w:val="28"/>
        </w:rPr>
        <w:t>CUARTO.</w:t>
      </w:r>
      <w:r w:rsidRPr="00D906B2">
        <w:rPr>
          <w:rFonts w:ascii="Palatino Linotype" w:hAnsi="Palatino Linotype" w:cs="Arial"/>
          <w:b/>
        </w:rPr>
        <w:t xml:space="preserve"> </w:t>
      </w:r>
      <w:r w:rsidRPr="00D906B2">
        <w:rPr>
          <w:rFonts w:ascii="Palatino Linotype" w:hAnsi="Palatino Linotype" w:cs="Arial"/>
        </w:rPr>
        <w:t xml:space="preserve">De conformidad con el artículo 198 de la Ley de Transparencia y Acceso a la Información Pública del Estado de México y Municipios, de considerarlo procedente, el </w:t>
      </w:r>
      <w:r w:rsidRPr="00D906B2">
        <w:rPr>
          <w:rFonts w:ascii="Palatino Linotype" w:hAnsi="Palatino Linotype" w:cs="Arial"/>
          <w:b/>
        </w:rPr>
        <w:t>Sujeto Obligado</w:t>
      </w:r>
      <w:r w:rsidRPr="00D906B2">
        <w:rPr>
          <w:rFonts w:ascii="Palatino Linotype" w:hAnsi="Palatino Linotype" w:cs="Arial"/>
        </w:rPr>
        <w:t xml:space="preserve"> de manera fundada y motivada, podrá solicitar una ampliación de plazo para el cumplimiento de la presente resolución.</w:t>
      </w:r>
    </w:p>
    <w:p w:rsidR="007D10C9" w:rsidRPr="00D906B2" w:rsidRDefault="007D10C9" w:rsidP="007D10C9">
      <w:pPr>
        <w:autoSpaceDE w:val="0"/>
        <w:autoSpaceDN w:val="0"/>
        <w:adjustRightInd w:val="0"/>
        <w:spacing w:line="360" w:lineRule="auto"/>
        <w:jc w:val="both"/>
        <w:rPr>
          <w:rFonts w:ascii="Palatino Linotype" w:hAnsi="Palatino Linotype" w:cs="Arial"/>
        </w:rPr>
      </w:pPr>
    </w:p>
    <w:p w:rsidR="007D10C9" w:rsidRPr="00D906B2" w:rsidRDefault="007D10C9" w:rsidP="007D10C9">
      <w:pPr>
        <w:autoSpaceDE w:val="0"/>
        <w:autoSpaceDN w:val="0"/>
        <w:adjustRightInd w:val="0"/>
        <w:spacing w:line="360" w:lineRule="auto"/>
        <w:jc w:val="both"/>
        <w:rPr>
          <w:rFonts w:ascii="Palatino Linotype" w:hAnsi="Palatino Linotype" w:cs="Arial"/>
        </w:rPr>
      </w:pPr>
      <w:r w:rsidRPr="00D906B2">
        <w:rPr>
          <w:rFonts w:ascii="Palatino Linotype" w:hAnsi="Palatino Linotype"/>
          <w:b/>
          <w:sz w:val="28"/>
          <w:szCs w:val="28"/>
        </w:rPr>
        <w:t>QUINTO</w:t>
      </w:r>
      <w:r w:rsidRPr="00D906B2">
        <w:rPr>
          <w:rFonts w:ascii="Palatino Linotype" w:hAnsi="Palatino Linotype"/>
          <w:b/>
        </w:rPr>
        <w:t xml:space="preserve">. </w:t>
      </w:r>
      <w:r w:rsidRPr="00D906B2">
        <w:rPr>
          <w:rFonts w:ascii="Palatino Linotype" w:hAnsi="Palatino Linotype" w:cs="Arial"/>
          <w:b/>
        </w:rPr>
        <w:t>NOTIFÍQUESE</w:t>
      </w:r>
      <w:r w:rsidRPr="00D906B2">
        <w:rPr>
          <w:rFonts w:ascii="Palatino Linotype" w:hAnsi="Palatino Linotype" w:cs="Arial"/>
        </w:rPr>
        <w:t xml:space="preserve"> a través del Sistema de Acceso a la Información Mexiquense </w:t>
      </w:r>
      <w:r w:rsidRPr="00D906B2">
        <w:rPr>
          <w:rFonts w:ascii="Palatino Linotype" w:hAnsi="Palatino Linotype" w:cs="Arial"/>
          <w:b/>
        </w:rPr>
        <w:t>(SAIMEX)</w:t>
      </w:r>
      <w:r w:rsidRPr="00D906B2">
        <w:rPr>
          <w:rFonts w:ascii="Palatino Linotype" w:hAnsi="Palatino Linotype" w:cs="Arial"/>
        </w:rPr>
        <w:t xml:space="preserve">, al </w:t>
      </w:r>
      <w:r w:rsidRPr="00D906B2">
        <w:rPr>
          <w:rFonts w:ascii="Palatino Linotype" w:hAnsi="Palatino Linotype" w:cs="Arial"/>
          <w:b/>
        </w:rPr>
        <w:t>Recurrente</w:t>
      </w:r>
      <w:r w:rsidRPr="00D906B2">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7D10C9" w:rsidRPr="00D906B2" w:rsidRDefault="007D10C9" w:rsidP="007D10C9">
      <w:pPr>
        <w:spacing w:line="360" w:lineRule="auto"/>
        <w:jc w:val="both"/>
        <w:rPr>
          <w:rFonts w:ascii="Palatino Linotype" w:hAnsi="Palatino Linotype" w:cs="Arial"/>
        </w:rPr>
      </w:pPr>
    </w:p>
    <w:p w:rsidR="007D10C9" w:rsidRPr="00D906B2" w:rsidRDefault="00D906B2" w:rsidP="007D10C9">
      <w:pPr>
        <w:spacing w:line="360" w:lineRule="auto"/>
        <w:jc w:val="both"/>
        <w:rPr>
          <w:rFonts w:ascii="Palatino Linotype" w:hAnsi="Palatino Linotype" w:cs="Arial"/>
          <w:sz w:val="16"/>
        </w:rPr>
      </w:pPr>
      <w:r w:rsidRPr="00D906B2">
        <w:rPr>
          <w:rFonts w:ascii="Palatino Linotype" w:hAnsi="Palatino Linotype" w:cs="Arial"/>
        </w:rPr>
        <w:t>ASÍ LO RESUELVE, POR UNANIMIDAD DE VOTOS, EL PLENO DEL</w:t>
      </w:r>
      <w:r w:rsidRPr="00D906B2">
        <w:rPr>
          <w:rFonts w:ascii="Palatino Linotype" w:eastAsia="Arial Unicode MS" w:hAnsi="Palatino Linotype" w:cs="Arial"/>
        </w:rPr>
        <w:t xml:space="preserve"> INSTITUTO DE TRANSPARENCIA, ACCESO A LA INFORMACIÓN PÚBLICA Y PROTECCIÓN DE DATOS PERSONALES DEL ESTADO DE MÉXICO Y MUNICIPIOS</w:t>
      </w:r>
      <w:r w:rsidRPr="00D906B2">
        <w:rPr>
          <w:rFonts w:ascii="Palatino Linotype" w:hAnsi="Palatino Linotype"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7D10C9" w:rsidRPr="00D906B2">
        <w:rPr>
          <w:rFonts w:ascii="Palatino Linotype" w:hAnsi="Palatino Linotype" w:cs="Arial"/>
        </w:rPr>
        <w:t>. -----------------------------------------------------------------------------------------------------------------------------------------------------------------------------------------------------------------------------------------------------------------------------------------------------------------------------------------------------------------------------------------------------------------------------------------------------------------------------------------------------------------------------------------------------------------------------------------</w:t>
      </w:r>
    </w:p>
    <w:p w:rsidR="007D10C9" w:rsidRDefault="007D10C9" w:rsidP="007D10C9">
      <w:pPr>
        <w:spacing w:line="360" w:lineRule="auto"/>
        <w:jc w:val="both"/>
        <w:rPr>
          <w:rFonts w:ascii="Palatino Linotype" w:hAnsi="Palatino Linotype" w:cs="Arial"/>
          <w:sz w:val="16"/>
        </w:rPr>
      </w:pPr>
      <w:r w:rsidRPr="00D906B2">
        <w:rPr>
          <w:rFonts w:ascii="Palatino Linotype" w:hAnsi="Palatino Linotype" w:cs="Arial"/>
          <w:sz w:val="16"/>
        </w:rPr>
        <w:t>JMV/CCR/LMST</w:t>
      </w:r>
    </w:p>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7D10C9" w:rsidRDefault="007D10C9" w:rsidP="007D10C9"/>
    <w:p w:rsidR="00AB3FFA" w:rsidRDefault="00AB3FFA"/>
    <w:sectPr w:rsidR="00AB3FFA" w:rsidSect="00D9379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C4B" w:rsidRDefault="00C17C4B" w:rsidP="007D10C9">
      <w:r>
        <w:separator/>
      </w:r>
    </w:p>
  </w:endnote>
  <w:endnote w:type="continuationSeparator" w:id="0">
    <w:p w:rsidR="00C17C4B" w:rsidRDefault="00C17C4B" w:rsidP="007D1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797" w:rsidRPr="00A2780F" w:rsidRDefault="00D93797" w:rsidP="00D93797">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F376B">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F376B">
      <w:rPr>
        <w:rFonts w:ascii="Arial" w:hAnsi="Arial" w:cs="Arial"/>
        <w:b/>
        <w:bCs/>
        <w:noProof/>
        <w:sz w:val="20"/>
        <w:szCs w:val="20"/>
      </w:rPr>
      <w:t>33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797" w:rsidRPr="00070856" w:rsidRDefault="00D93797" w:rsidP="00D93797">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F376B">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F376B">
      <w:rPr>
        <w:rFonts w:ascii="Arial" w:hAnsi="Arial" w:cs="Arial"/>
        <w:b/>
        <w:bCs/>
        <w:noProof/>
        <w:sz w:val="20"/>
        <w:szCs w:val="20"/>
      </w:rPr>
      <w:t>33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C4B" w:rsidRDefault="00C17C4B" w:rsidP="007D10C9">
      <w:r>
        <w:separator/>
      </w:r>
    </w:p>
  </w:footnote>
  <w:footnote w:type="continuationSeparator" w:id="0">
    <w:p w:rsidR="00C17C4B" w:rsidRDefault="00C17C4B" w:rsidP="007D10C9">
      <w:r>
        <w:continuationSeparator/>
      </w:r>
    </w:p>
  </w:footnote>
  <w:footnote w:id="1">
    <w:p w:rsidR="00D93797" w:rsidRPr="005552A8" w:rsidRDefault="00D93797" w:rsidP="007D10C9">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D93797" w:rsidRPr="005552A8" w:rsidRDefault="00D93797" w:rsidP="007D10C9">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FE02F7" w:rsidRDefault="00FE02F7" w:rsidP="00FE02F7">
      <w:pPr>
        <w:pStyle w:val="Textonotapie"/>
      </w:pPr>
      <w:r>
        <w:rPr>
          <w:rStyle w:val="Refdenotaalpie"/>
        </w:rPr>
        <w:footnoteRef/>
      </w:r>
      <w:r>
        <w:t xml:space="preserve"> </w:t>
      </w:r>
      <w:hyperlink r:id="rId3" w:history="1">
        <w:r w:rsidRPr="00715EC3">
          <w:rPr>
            <w:rStyle w:val="Hipervnculo"/>
          </w:rPr>
          <w:t>http://omawww.sat.gob.mx/factura/Paginas/solicita_requisitos.htm</w:t>
        </w:r>
      </w:hyperlink>
    </w:p>
    <w:p w:rsidR="00FE02F7" w:rsidRDefault="00FE02F7" w:rsidP="00FE02F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D93797" w:rsidRPr="008F2CCC" w:rsidTr="00D93797">
      <w:tc>
        <w:tcPr>
          <w:tcW w:w="3620" w:type="dxa"/>
          <w:shd w:val="clear" w:color="auto" w:fill="auto"/>
        </w:tcPr>
        <w:p w:rsidR="00D93797" w:rsidRPr="007E5FC4" w:rsidRDefault="00D93797" w:rsidP="00D9379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D93797" w:rsidRPr="00664658" w:rsidRDefault="00D93797" w:rsidP="007D10C9">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012995/INFOEM/IP/RR/2025</w:t>
          </w:r>
        </w:p>
      </w:tc>
    </w:tr>
    <w:tr w:rsidR="00D93797" w:rsidRPr="008F2CCC" w:rsidTr="00D93797">
      <w:tc>
        <w:tcPr>
          <w:tcW w:w="3620" w:type="dxa"/>
          <w:shd w:val="clear" w:color="auto" w:fill="auto"/>
        </w:tcPr>
        <w:p w:rsidR="00D93797" w:rsidRPr="007E5FC4" w:rsidRDefault="00D93797" w:rsidP="00D9379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D93797" w:rsidRPr="00664658" w:rsidRDefault="00D93797" w:rsidP="00D93797">
          <w:pPr>
            <w:spacing w:line="276" w:lineRule="auto"/>
            <w:jc w:val="right"/>
            <w:rPr>
              <w:rFonts w:ascii="Palatino Linotype" w:hAnsi="Palatino Linotype"/>
              <w:b/>
              <w:sz w:val="22"/>
              <w:szCs w:val="22"/>
              <w:lang w:val="es-ES_tradnl"/>
            </w:rPr>
          </w:pPr>
          <w:r w:rsidRPr="007D10C9">
            <w:rPr>
              <w:rFonts w:ascii="Palatino Linotype" w:hAnsi="Palatino Linotype"/>
              <w:b/>
              <w:sz w:val="22"/>
              <w:szCs w:val="22"/>
            </w:rPr>
            <w:t>Ayuntamiento de Amecameca</w:t>
          </w:r>
        </w:p>
      </w:tc>
    </w:tr>
    <w:tr w:rsidR="00D93797" w:rsidRPr="008F2CCC" w:rsidTr="00D93797">
      <w:trPr>
        <w:trHeight w:val="228"/>
      </w:trPr>
      <w:tc>
        <w:tcPr>
          <w:tcW w:w="3620" w:type="dxa"/>
          <w:shd w:val="clear" w:color="auto" w:fill="auto"/>
        </w:tcPr>
        <w:p w:rsidR="00D93797" w:rsidRPr="007E5FC4" w:rsidRDefault="00D93797" w:rsidP="00D9379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D93797" w:rsidRPr="00664658" w:rsidRDefault="00D93797" w:rsidP="00D93797">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D93797" w:rsidRDefault="00D93797" w:rsidP="00D93797">
    <w:pPr>
      <w:pStyle w:val="Encabezado"/>
      <w:tabs>
        <w:tab w:val="clear" w:pos="4252"/>
        <w:tab w:val="clear" w:pos="8504"/>
        <w:tab w:val="left" w:pos="2326"/>
      </w:tabs>
      <w:rPr>
        <w:rFonts w:ascii="Palatino Linotype" w:hAnsi="Palatino Linotype"/>
        <w:sz w:val="20"/>
      </w:rPr>
    </w:pPr>
  </w:p>
  <w:p w:rsidR="00D93797" w:rsidRPr="001779E0" w:rsidRDefault="00D93797" w:rsidP="00D93797">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9432981" wp14:editId="009C2AB6">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D93797" w:rsidRPr="008F2CCC" w:rsidTr="00D93797">
      <w:tc>
        <w:tcPr>
          <w:tcW w:w="2977" w:type="dxa"/>
          <w:shd w:val="clear" w:color="auto" w:fill="auto"/>
        </w:tcPr>
        <w:p w:rsidR="00D93797" w:rsidRPr="007E5FC4" w:rsidRDefault="00D93797" w:rsidP="00D9379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D93797" w:rsidRPr="008F2CCC" w:rsidRDefault="00D93797" w:rsidP="007D10C9">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012995/INFOEM/IP/RR/2025</w:t>
          </w:r>
        </w:p>
      </w:tc>
    </w:tr>
    <w:tr w:rsidR="00D93797" w:rsidRPr="008F2CCC" w:rsidTr="00D93797">
      <w:tc>
        <w:tcPr>
          <w:tcW w:w="2977" w:type="dxa"/>
          <w:shd w:val="clear" w:color="auto" w:fill="auto"/>
          <w:vAlign w:val="center"/>
        </w:tcPr>
        <w:p w:rsidR="00D93797" w:rsidRPr="007E5FC4" w:rsidRDefault="00D93797" w:rsidP="00D9379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D93797" w:rsidRPr="008F2CCC" w:rsidRDefault="000F376B" w:rsidP="00D9379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w:t>
          </w:r>
        </w:p>
      </w:tc>
    </w:tr>
    <w:tr w:rsidR="00D93797" w:rsidRPr="008F2CCC" w:rsidTr="00D93797">
      <w:trPr>
        <w:trHeight w:val="228"/>
      </w:trPr>
      <w:tc>
        <w:tcPr>
          <w:tcW w:w="2977" w:type="dxa"/>
          <w:shd w:val="clear" w:color="auto" w:fill="auto"/>
        </w:tcPr>
        <w:p w:rsidR="00D93797" w:rsidRPr="007E5FC4" w:rsidRDefault="00D93797" w:rsidP="00D9379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D93797" w:rsidRPr="00DC41C8" w:rsidRDefault="00D93797" w:rsidP="00D93797">
          <w:pPr>
            <w:spacing w:line="360" w:lineRule="auto"/>
            <w:jc w:val="right"/>
            <w:rPr>
              <w:rFonts w:ascii="Palatino Linotype" w:hAnsi="Palatino Linotype"/>
              <w:b/>
              <w:sz w:val="22"/>
              <w:szCs w:val="22"/>
            </w:rPr>
          </w:pPr>
          <w:r w:rsidRPr="007D10C9">
            <w:rPr>
              <w:rFonts w:ascii="Palatino Linotype" w:hAnsi="Palatino Linotype"/>
              <w:b/>
              <w:sz w:val="22"/>
              <w:szCs w:val="22"/>
            </w:rPr>
            <w:t>Ayuntamiento de Amecameca</w:t>
          </w:r>
        </w:p>
      </w:tc>
    </w:tr>
    <w:tr w:rsidR="00D93797" w:rsidRPr="008F2CCC" w:rsidTr="00D93797">
      <w:tc>
        <w:tcPr>
          <w:tcW w:w="2977" w:type="dxa"/>
          <w:shd w:val="clear" w:color="auto" w:fill="auto"/>
        </w:tcPr>
        <w:p w:rsidR="00D93797" w:rsidRPr="007E5FC4" w:rsidRDefault="00D93797" w:rsidP="00D9379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D93797" w:rsidRPr="008F2CCC" w:rsidRDefault="00D93797" w:rsidP="00D9379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D93797" w:rsidRPr="009F1AB6" w:rsidRDefault="00D93797">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21F2A5D" wp14:editId="00A8E5A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83A06"/>
    <w:multiLevelType w:val="hybridMultilevel"/>
    <w:tmpl w:val="79FC247C"/>
    <w:lvl w:ilvl="0" w:tplc="080A0001">
      <w:start w:val="1"/>
      <w:numFmt w:val="bullet"/>
      <w:lvlText w:val=""/>
      <w:lvlJc w:val="left"/>
      <w:pPr>
        <w:ind w:left="5180" w:hanging="360"/>
      </w:pPr>
      <w:rPr>
        <w:rFonts w:ascii="Symbol" w:hAnsi="Symbol" w:hint="default"/>
      </w:rPr>
    </w:lvl>
    <w:lvl w:ilvl="1" w:tplc="080A0003">
      <w:start w:val="1"/>
      <w:numFmt w:val="bullet"/>
      <w:lvlText w:val="o"/>
      <w:lvlJc w:val="left"/>
      <w:pPr>
        <w:ind w:left="5900" w:hanging="360"/>
      </w:pPr>
      <w:rPr>
        <w:rFonts w:ascii="Courier New" w:hAnsi="Courier New" w:cs="Courier New" w:hint="default"/>
      </w:rPr>
    </w:lvl>
    <w:lvl w:ilvl="2" w:tplc="080A0005" w:tentative="1">
      <w:start w:val="1"/>
      <w:numFmt w:val="bullet"/>
      <w:lvlText w:val=""/>
      <w:lvlJc w:val="left"/>
      <w:pPr>
        <w:ind w:left="6620" w:hanging="360"/>
      </w:pPr>
      <w:rPr>
        <w:rFonts w:ascii="Wingdings" w:hAnsi="Wingdings" w:hint="default"/>
      </w:rPr>
    </w:lvl>
    <w:lvl w:ilvl="3" w:tplc="080A0001" w:tentative="1">
      <w:start w:val="1"/>
      <w:numFmt w:val="bullet"/>
      <w:lvlText w:val=""/>
      <w:lvlJc w:val="left"/>
      <w:pPr>
        <w:ind w:left="7340" w:hanging="360"/>
      </w:pPr>
      <w:rPr>
        <w:rFonts w:ascii="Symbol" w:hAnsi="Symbol" w:hint="default"/>
      </w:rPr>
    </w:lvl>
    <w:lvl w:ilvl="4" w:tplc="080A0003" w:tentative="1">
      <w:start w:val="1"/>
      <w:numFmt w:val="bullet"/>
      <w:lvlText w:val="o"/>
      <w:lvlJc w:val="left"/>
      <w:pPr>
        <w:ind w:left="8060" w:hanging="360"/>
      </w:pPr>
      <w:rPr>
        <w:rFonts w:ascii="Courier New" w:hAnsi="Courier New" w:cs="Courier New" w:hint="default"/>
      </w:rPr>
    </w:lvl>
    <w:lvl w:ilvl="5" w:tplc="080A0005" w:tentative="1">
      <w:start w:val="1"/>
      <w:numFmt w:val="bullet"/>
      <w:lvlText w:val=""/>
      <w:lvlJc w:val="left"/>
      <w:pPr>
        <w:ind w:left="8780" w:hanging="360"/>
      </w:pPr>
      <w:rPr>
        <w:rFonts w:ascii="Wingdings" w:hAnsi="Wingdings" w:hint="default"/>
      </w:rPr>
    </w:lvl>
    <w:lvl w:ilvl="6" w:tplc="080A0001" w:tentative="1">
      <w:start w:val="1"/>
      <w:numFmt w:val="bullet"/>
      <w:lvlText w:val=""/>
      <w:lvlJc w:val="left"/>
      <w:pPr>
        <w:ind w:left="9500" w:hanging="360"/>
      </w:pPr>
      <w:rPr>
        <w:rFonts w:ascii="Symbol" w:hAnsi="Symbol" w:hint="default"/>
      </w:rPr>
    </w:lvl>
    <w:lvl w:ilvl="7" w:tplc="080A0003" w:tentative="1">
      <w:start w:val="1"/>
      <w:numFmt w:val="bullet"/>
      <w:lvlText w:val="o"/>
      <w:lvlJc w:val="left"/>
      <w:pPr>
        <w:ind w:left="10220" w:hanging="360"/>
      </w:pPr>
      <w:rPr>
        <w:rFonts w:ascii="Courier New" w:hAnsi="Courier New" w:cs="Courier New" w:hint="default"/>
      </w:rPr>
    </w:lvl>
    <w:lvl w:ilvl="8" w:tplc="080A0005" w:tentative="1">
      <w:start w:val="1"/>
      <w:numFmt w:val="bullet"/>
      <w:lvlText w:val=""/>
      <w:lvlJc w:val="left"/>
      <w:pPr>
        <w:ind w:left="10940" w:hanging="360"/>
      </w:pPr>
      <w:rPr>
        <w:rFonts w:ascii="Wingdings" w:hAnsi="Wingdings" w:hint="default"/>
      </w:rPr>
    </w:lvl>
  </w:abstractNum>
  <w:abstractNum w:abstractNumId="2"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1211"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4" w15:restartNumberingAfterBreak="0">
    <w:nsid w:val="15FD470A"/>
    <w:multiLevelType w:val="hybridMultilevel"/>
    <w:tmpl w:val="41ACEE3A"/>
    <w:lvl w:ilvl="0" w:tplc="FAAC2AB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233F590A"/>
    <w:multiLevelType w:val="hybridMultilevel"/>
    <w:tmpl w:val="1F6E2442"/>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7" w15:restartNumberingAfterBreak="0">
    <w:nsid w:val="31A00747"/>
    <w:multiLevelType w:val="hybridMultilevel"/>
    <w:tmpl w:val="81F63510"/>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15">
      <w:start w:val="1"/>
      <w:numFmt w:val="upperLetter"/>
      <w:lvlText w:val="%3."/>
      <w:lvlJc w:val="left"/>
      <w:pPr>
        <w:ind w:left="3011" w:hanging="360"/>
      </w:pPr>
      <w:rPr>
        <w:rFont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C9F62EE"/>
    <w:multiLevelType w:val="hybridMultilevel"/>
    <w:tmpl w:val="5ED81048"/>
    <w:lvl w:ilvl="0" w:tplc="080A0013">
      <w:start w:val="1"/>
      <w:numFmt w:val="upperRoman"/>
      <w:lvlText w:val="%1."/>
      <w:lvlJc w:val="right"/>
      <w:pPr>
        <w:ind w:left="720" w:hanging="360"/>
      </w:pPr>
    </w:lvl>
    <w:lvl w:ilvl="1" w:tplc="1EF8854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A376D82"/>
    <w:multiLevelType w:val="hybridMultilevel"/>
    <w:tmpl w:val="E60C0D62"/>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4C59316F"/>
    <w:multiLevelType w:val="hybridMultilevel"/>
    <w:tmpl w:val="D04809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7E9B51ED"/>
    <w:multiLevelType w:val="hybridMultilevel"/>
    <w:tmpl w:val="CEF2B896"/>
    <w:lvl w:ilvl="0" w:tplc="080A0001">
      <w:start w:val="1"/>
      <w:numFmt w:val="bullet"/>
      <w:lvlText w:val=""/>
      <w:lvlJc w:val="left"/>
      <w:pPr>
        <w:ind w:left="1571" w:hanging="360"/>
      </w:pPr>
      <w:rPr>
        <w:rFonts w:ascii="Symbol" w:hAnsi="Symbol" w:hint="default"/>
      </w:rPr>
    </w:lvl>
    <w:lvl w:ilvl="1" w:tplc="CFD2295E">
      <w:numFmt w:val="bullet"/>
      <w:lvlText w:val="•"/>
      <w:lvlJc w:val="left"/>
      <w:pPr>
        <w:ind w:left="2291" w:hanging="360"/>
      </w:pPr>
      <w:rPr>
        <w:rFonts w:ascii="Palatino Linotype" w:eastAsiaTheme="minorHAnsi" w:hAnsi="Palatino Linotype" w:cstheme="minorBidi"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abstractNumId w:val="2"/>
  </w:num>
  <w:num w:numId="2">
    <w:abstractNumId w:val="8"/>
  </w:num>
  <w:num w:numId="3">
    <w:abstractNumId w:val="5"/>
  </w:num>
  <w:num w:numId="4">
    <w:abstractNumId w:val="12"/>
  </w:num>
  <w:num w:numId="5">
    <w:abstractNumId w:val="11"/>
  </w:num>
  <w:num w:numId="6">
    <w:abstractNumId w:val="10"/>
  </w:num>
  <w:num w:numId="7">
    <w:abstractNumId w:val="4"/>
  </w:num>
  <w:num w:numId="8">
    <w:abstractNumId w:val="3"/>
  </w:num>
  <w:num w:numId="9">
    <w:abstractNumId w:val="1"/>
  </w:num>
  <w:num w:numId="10">
    <w:abstractNumId w:val="0"/>
  </w:num>
  <w:num w:numId="11">
    <w:abstractNumId w:val="9"/>
  </w:num>
  <w:num w:numId="12">
    <w:abstractNumId w:val="13"/>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0C9"/>
    <w:rsid w:val="00097E30"/>
    <w:rsid w:val="000F376B"/>
    <w:rsid w:val="001E6E19"/>
    <w:rsid w:val="002049A9"/>
    <w:rsid w:val="002864F0"/>
    <w:rsid w:val="002C3435"/>
    <w:rsid w:val="00320B17"/>
    <w:rsid w:val="00415F26"/>
    <w:rsid w:val="00424434"/>
    <w:rsid w:val="004D415B"/>
    <w:rsid w:val="0056200E"/>
    <w:rsid w:val="00586A1B"/>
    <w:rsid w:val="006E61AA"/>
    <w:rsid w:val="00730BBB"/>
    <w:rsid w:val="007C4F3E"/>
    <w:rsid w:val="007D10C9"/>
    <w:rsid w:val="00812C52"/>
    <w:rsid w:val="00902F75"/>
    <w:rsid w:val="009E0825"/>
    <w:rsid w:val="00AB3FFA"/>
    <w:rsid w:val="00AD40CD"/>
    <w:rsid w:val="00BA0289"/>
    <w:rsid w:val="00C17C4B"/>
    <w:rsid w:val="00C82563"/>
    <w:rsid w:val="00C83126"/>
    <w:rsid w:val="00D906B2"/>
    <w:rsid w:val="00D93797"/>
    <w:rsid w:val="00E3342A"/>
    <w:rsid w:val="00E729B1"/>
    <w:rsid w:val="00FE02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E4828-AD70-4CBA-83F5-5C49EBCC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0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10C9"/>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7D10C9"/>
    <w:rPr>
      <w:rFonts w:eastAsiaTheme="minorEastAsia"/>
      <w:sz w:val="24"/>
      <w:szCs w:val="24"/>
      <w:lang w:val="es-ES_tradnl" w:eastAsia="es-ES"/>
    </w:rPr>
  </w:style>
  <w:style w:type="paragraph" w:styleId="Piedepgina">
    <w:name w:val="footer"/>
    <w:basedOn w:val="Normal"/>
    <w:link w:val="PiedepginaCar"/>
    <w:uiPriority w:val="99"/>
    <w:unhideWhenUsed/>
    <w:rsid w:val="007D10C9"/>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7D10C9"/>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D10C9"/>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D10C9"/>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7D10C9"/>
    <w:pPr>
      <w:spacing w:after="0" w:line="240" w:lineRule="auto"/>
    </w:pPr>
  </w:style>
  <w:style w:type="character" w:customStyle="1" w:styleId="SinespaciadoCar">
    <w:name w:val="Sin espaciado Car"/>
    <w:aliases w:val="Francesa Car,INAI Car"/>
    <w:link w:val="Sinespaciado"/>
    <w:uiPriority w:val="1"/>
    <w:locked/>
    <w:rsid w:val="007D10C9"/>
  </w:style>
  <w:style w:type="character" w:styleId="Hipervnculo">
    <w:name w:val="Hyperlink"/>
    <w:aliases w:val="Hipervínculo1,Hipervínculo11,Hipervínculo12,Hipervínculo13,Hipervínculo14,Hipervínculo15"/>
    <w:basedOn w:val="Fuentedeprrafopredeter"/>
    <w:uiPriority w:val="99"/>
    <w:unhideWhenUsed/>
    <w:rsid w:val="007D10C9"/>
    <w:rPr>
      <w:color w:val="0563C1" w:themeColor="hyperlink"/>
      <w:u w:val="single"/>
    </w:rPr>
  </w:style>
  <w:style w:type="paragraph" w:customStyle="1" w:styleId="INFOEM">
    <w:name w:val="INFOEM"/>
    <w:basedOn w:val="Normal"/>
    <w:qFormat/>
    <w:rsid w:val="007D10C9"/>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7D10C9"/>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D10C9"/>
    <w:rPr>
      <w:vertAlign w:val="superscript"/>
    </w:rPr>
  </w:style>
  <w:style w:type="paragraph" w:customStyle="1" w:styleId="infoemcitas">
    <w:name w:val="infoem citas"/>
    <w:basedOn w:val="Normal"/>
    <w:qFormat/>
    <w:rsid w:val="007D10C9"/>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7D1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7D10C9"/>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notapie">
    <w:name w:val="footnote text"/>
    <w:basedOn w:val="Normal"/>
    <w:link w:val="TextonotapieCar"/>
    <w:uiPriority w:val="99"/>
    <w:semiHidden/>
    <w:unhideWhenUsed/>
    <w:rsid w:val="00FE02F7"/>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FE02F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omawww.sat.gob.mx/factura/Paginas/solicita_requisitos.htm"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33</Pages>
  <Words>7748</Words>
  <Characters>42616</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11</cp:revision>
  <cp:lastPrinted>2026-06-05T00:01:00Z</cp:lastPrinted>
  <dcterms:created xsi:type="dcterms:W3CDTF">2026-05-19T22:29:00Z</dcterms:created>
  <dcterms:modified xsi:type="dcterms:W3CDTF">2026-06-09T18:56:00Z</dcterms:modified>
</cp:coreProperties>
</file>