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C7738"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once de marzo dos mil veinti</w:t>
      </w:r>
      <w:bookmarkStart w:id="0" w:name="_GoBack"/>
      <w:bookmarkEnd w:id="0"/>
      <w:r w:rsidRPr="00786EB5">
        <w:rPr>
          <w:rFonts w:ascii="Palatino Linotype" w:eastAsia="Palatino Linotype" w:hAnsi="Palatino Linotype" w:cs="Palatino Linotype"/>
        </w:rPr>
        <w:t>séis.</w:t>
      </w:r>
    </w:p>
    <w:p w14:paraId="211658BE" w14:textId="77777777" w:rsidR="007247F6" w:rsidRPr="00786EB5" w:rsidRDefault="00215F9E">
      <w:pPr>
        <w:spacing w:before="240" w:after="240" w:line="360" w:lineRule="auto"/>
        <w:ind w:right="-112"/>
        <w:jc w:val="both"/>
        <w:rPr>
          <w:rFonts w:ascii="Palatino Linotype" w:eastAsia="Palatino Linotype" w:hAnsi="Palatino Linotype" w:cs="Palatino Linotype"/>
        </w:rPr>
      </w:pPr>
      <w:bookmarkStart w:id="1" w:name="_heading=h.30j0zll" w:colFirst="0" w:colLast="0"/>
      <w:bookmarkEnd w:id="1"/>
      <w:r w:rsidRPr="00786EB5">
        <w:rPr>
          <w:rFonts w:ascii="Palatino Linotype" w:eastAsia="Palatino Linotype" w:hAnsi="Palatino Linotype" w:cs="Palatino Linotype"/>
          <w:b/>
          <w:bCs/>
        </w:rPr>
        <w:t xml:space="preserve">Vistos </w:t>
      </w:r>
      <w:r w:rsidRPr="00786EB5">
        <w:rPr>
          <w:rFonts w:ascii="Palatino Linotype" w:eastAsia="Palatino Linotype" w:hAnsi="Palatino Linotype" w:cs="Palatino Linotype"/>
        </w:rPr>
        <w:t xml:space="preserve">el expediente relativo al recurso de revisión </w:t>
      </w:r>
      <w:r w:rsidRPr="00786EB5">
        <w:rPr>
          <w:rFonts w:ascii="Palatino Linotype" w:eastAsia="Palatino Linotype" w:hAnsi="Palatino Linotype" w:cs="Palatino Linotype"/>
          <w:b/>
          <w:bCs/>
        </w:rPr>
        <w:t xml:space="preserve">12664/INFOEM/IP/RR/2025 </w:t>
      </w:r>
      <w:r w:rsidRPr="00786EB5">
        <w:rPr>
          <w:rFonts w:ascii="Palatino Linotype" w:eastAsia="Palatino Linotype" w:hAnsi="Palatino Linotype" w:cs="Palatino Linotype"/>
        </w:rPr>
        <w:t>interpuesto por</w:t>
      </w:r>
      <w:r w:rsidRPr="00786EB5">
        <w:rPr>
          <w:rFonts w:ascii="Palatino Linotype" w:eastAsia="Palatino Linotype" w:hAnsi="Palatino Linotype" w:cs="Palatino Linotype"/>
          <w:b/>
          <w:bCs/>
        </w:rPr>
        <w:t xml:space="preserve"> una persona que no proporcionó nombre o seudónimo, </w:t>
      </w:r>
      <w:r w:rsidRPr="00786EB5">
        <w:rPr>
          <w:rFonts w:ascii="Palatino Linotype" w:eastAsia="Palatino Linotype" w:hAnsi="Palatino Linotype" w:cs="Palatino Linotype"/>
        </w:rPr>
        <w:t xml:space="preserve">en lo sucesivo la parte </w:t>
      </w:r>
      <w:r w:rsidRPr="00786EB5">
        <w:rPr>
          <w:rFonts w:ascii="Palatino Linotype" w:eastAsia="Palatino Linotype" w:hAnsi="Palatino Linotype" w:cs="Palatino Linotype"/>
          <w:b/>
          <w:bCs/>
        </w:rPr>
        <w:t>Recurrente</w:t>
      </w:r>
      <w:r w:rsidRPr="00786EB5">
        <w:rPr>
          <w:rFonts w:ascii="Palatino Linotype" w:eastAsia="Palatino Linotype" w:hAnsi="Palatino Linotype" w:cs="Palatino Linotype"/>
        </w:rPr>
        <w:t>, en contra de la respuesta a su solicitud de información con número de folio</w:t>
      </w:r>
      <w:r w:rsidRPr="00786EB5">
        <w:rPr>
          <w:rFonts w:ascii="Palatino Linotype" w:eastAsia="Palatino Linotype" w:hAnsi="Palatino Linotype" w:cs="Palatino Linotype"/>
          <w:b/>
          <w:bCs/>
        </w:rPr>
        <w:t xml:space="preserve"> 04639/TOLUCA/IP/2025,</w:t>
      </w:r>
      <w:r w:rsidRPr="00786EB5">
        <w:rPr>
          <w:rFonts w:ascii="Palatino Linotype" w:eastAsia="Palatino Linotype" w:hAnsi="Palatino Linotype" w:cs="Palatino Linotype"/>
        </w:rPr>
        <w:t xml:space="preserve"> por parte del </w:t>
      </w:r>
      <w:r w:rsidRPr="00786EB5">
        <w:rPr>
          <w:rFonts w:ascii="Palatino Linotype" w:eastAsia="Palatino Linotype" w:hAnsi="Palatino Linotype" w:cs="Palatino Linotype"/>
          <w:b/>
          <w:bCs/>
        </w:rPr>
        <w:t xml:space="preserve">Ayuntamiento de Toluca, </w:t>
      </w:r>
      <w:r w:rsidRPr="00786EB5">
        <w:rPr>
          <w:rFonts w:ascii="Palatino Linotype" w:eastAsia="Palatino Linotype" w:hAnsi="Palatino Linotype" w:cs="Palatino Linotype"/>
        </w:rPr>
        <w:t xml:space="preserve">en lo sucesivo el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 xml:space="preserve">se procede a dictar la presente resolución, con base en lo siguiente. </w:t>
      </w:r>
    </w:p>
    <w:p w14:paraId="715729BE" w14:textId="77777777" w:rsidR="007247F6" w:rsidRPr="00786EB5" w:rsidRDefault="00215F9E">
      <w:pPr>
        <w:pBdr>
          <w:top w:val="nil"/>
          <w:left w:val="nil"/>
          <w:bottom w:val="nil"/>
          <w:right w:val="nil"/>
          <w:between w:val="nil"/>
        </w:pBdr>
        <w:spacing w:before="240" w:after="240" w:line="36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I. A N T E C E D E N T E S:</w:t>
      </w:r>
    </w:p>
    <w:p w14:paraId="37E94B1F" w14:textId="77777777" w:rsidR="007247F6" w:rsidRPr="00786EB5" w:rsidRDefault="00215F9E">
      <w:pPr>
        <w:tabs>
          <w:tab w:val="left" w:pos="5071"/>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1. Solicitud de información.</w:t>
      </w:r>
      <w:r w:rsidRPr="00786EB5">
        <w:rPr>
          <w:rFonts w:ascii="Palatino Linotype" w:eastAsia="Palatino Linotype" w:hAnsi="Palatino Linotype" w:cs="Palatino Linotype"/>
        </w:rPr>
        <w:t xml:space="preserve"> El </w:t>
      </w:r>
      <w:r w:rsidRPr="00786EB5">
        <w:rPr>
          <w:rFonts w:ascii="Palatino Linotype" w:eastAsia="Palatino Linotype" w:hAnsi="Palatino Linotype" w:cs="Palatino Linotype"/>
          <w:b/>
          <w:bCs/>
        </w:rPr>
        <w:t xml:space="preserve">doce de septiembre de dos mil veinticinco, </w:t>
      </w:r>
      <w:r w:rsidRPr="00786EB5">
        <w:rPr>
          <w:rFonts w:ascii="Palatino Linotype" w:eastAsia="Palatino Linotype" w:hAnsi="Palatino Linotype" w:cs="Palatino Linotype"/>
        </w:rPr>
        <w:t xml:space="preserve">la parte </w:t>
      </w:r>
      <w:r w:rsidRPr="00786EB5">
        <w:rPr>
          <w:rFonts w:ascii="Palatino Linotype" w:eastAsia="Palatino Linotype" w:hAnsi="Palatino Linotype" w:cs="Palatino Linotype"/>
          <w:b/>
          <w:bCs/>
        </w:rPr>
        <w:t xml:space="preserve">Recurrente </w:t>
      </w:r>
      <w:r w:rsidRPr="00786EB5">
        <w:rPr>
          <w:rFonts w:ascii="Palatino Linotype" w:eastAsia="Palatino Linotype" w:hAnsi="Palatino Linotype" w:cs="Palatino Linotype"/>
        </w:rPr>
        <w:t xml:space="preserve">presentó la solicitud de acceso a la información pública ante el </w:t>
      </w:r>
      <w:r w:rsidRPr="00786EB5">
        <w:rPr>
          <w:rFonts w:ascii="Palatino Linotype" w:eastAsia="Palatino Linotype" w:hAnsi="Palatino Linotype" w:cs="Palatino Linotype"/>
          <w:b/>
          <w:bCs/>
        </w:rPr>
        <w:t>Sujeto Obligado</w:t>
      </w:r>
      <w:r w:rsidRPr="00786EB5">
        <w:rPr>
          <w:rFonts w:ascii="Palatino Linotype" w:eastAsia="Palatino Linotype" w:hAnsi="Palatino Linotype" w:cs="Palatino Linotype"/>
        </w:rPr>
        <w:t xml:space="preserve">, a través del Sistema de Acceso a la Información Mexiquense, en lo subsecuente el </w:t>
      </w:r>
      <w:r w:rsidRPr="00786EB5">
        <w:rPr>
          <w:rFonts w:ascii="Palatino Linotype" w:eastAsia="Palatino Linotype" w:hAnsi="Palatino Linotype" w:cs="Palatino Linotype"/>
          <w:b/>
          <w:bCs/>
        </w:rPr>
        <w:t>SAIMEX;</w:t>
      </w:r>
      <w:r w:rsidRPr="00786EB5">
        <w:rPr>
          <w:rFonts w:ascii="Palatino Linotype" w:eastAsia="Palatino Linotype" w:hAnsi="Palatino Linotype" w:cs="Palatino Linotype"/>
        </w:rPr>
        <w:t xml:space="preserve"> mediante la cual requirió lo siguiente:</w:t>
      </w:r>
    </w:p>
    <w:tbl>
      <w:tblPr>
        <w:tblStyle w:val="aff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714"/>
      </w:tblGrid>
      <w:tr w:rsidR="0072707B" w:rsidRPr="00786EB5" w14:paraId="58237F07" w14:textId="77777777">
        <w:trPr>
          <w:jc w:val="center"/>
        </w:trPr>
        <w:tc>
          <w:tcPr>
            <w:tcW w:w="3114" w:type="dxa"/>
            <w:shd w:val="clear" w:color="auto" w:fill="BFBFBF"/>
          </w:tcPr>
          <w:p w14:paraId="0BF3A9B9"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Número de solicitud</w:t>
            </w:r>
          </w:p>
        </w:tc>
        <w:tc>
          <w:tcPr>
            <w:tcW w:w="5714" w:type="dxa"/>
            <w:shd w:val="clear" w:color="auto" w:fill="BFBFBF"/>
          </w:tcPr>
          <w:p w14:paraId="1DC2E04C"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Información solicitada</w:t>
            </w:r>
          </w:p>
        </w:tc>
      </w:tr>
      <w:tr w:rsidR="0072707B" w:rsidRPr="00786EB5" w14:paraId="168B8EC6" w14:textId="77777777">
        <w:trPr>
          <w:jc w:val="center"/>
        </w:trPr>
        <w:tc>
          <w:tcPr>
            <w:tcW w:w="3114" w:type="dxa"/>
            <w:vAlign w:val="center"/>
          </w:tcPr>
          <w:p w14:paraId="64CD0AF4"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bookmarkStart w:id="2" w:name="_heading=h.x8h83d1xrvxa" w:colFirst="0" w:colLast="0"/>
            <w:bookmarkEnd w:id="2"/>
            <w:r w:rsidRPr="00786EB5">
              <w:rPr>
                <w:rFonts w:ascii="Palatino Linotype" w:eastAsia="Palatino Linotype" w:hAnsi="Palatino Linotype" w:cs="Palatino Linotype"/>
                <w:b/>
                <w:bCs/>
                <w:lang w:val="en-US"/>
              </w:rPr>
              <w:t>04639/TOLUCA/IP/2025</w:t>
            </w:r>
          </w:p>
          <w:p w14:paraId="292A238F"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r w:rsidRPr="00786EB5">
              <w:rPr>
                <w:rFonts w:ascii="Palatino Linotype" w:eastAsia="Palatino Linotype" w:hAnsi="Palatino Linotype" w:cs="Palatino Linotype"/>
                <w:b/>
                <w:bCs/>
                <w:lang w:val="en-US"/>
              </w:rPr>
              <w:t>12664/INFOEM/IP/RR/2025</w:t>
            </w:r>
          </w:p>
        </w:tc>
        <w:tc>
          <w:tcPr>
            <w:tcW w:w="5714" w:type="dxa"/>
          </w:tcPr>
          <w:p w14:paraId="50A2F486" w14:textId="77777777" w:rsidR="007247F6" w:rsidRPr="00786EB5" w:rsidRDefault="00215F9E">
            <w:pPr>
              <w:spacing w:before="120" w:after="120" w:line="240" w:lineRule="auto"/>
              <w:jc w:val="both"/>
              <w:rPr>
                <w:rFonts w:ascii="Palatino Linotype" w:eastAsia="Palatino Linotype" w:hAnsi="Palatino Linotype" w:cs="Palatino Linotype"/>
                <w:i/>
                <w:iCs/>
              </w:rPr>
            </w:pPr>
            <w:bookmarkStart w:id="3" w:name="_heading=h.iunr5kjyhx72" w:colFirst="0" w:colLast="0"/>
            <w:bookmarkEnd w:id="3"/>
            <w:r w:rsidRPr="00786EB5">
              <w:rPr>
                <w:rFonts w:ascii="Palatino Linotype" w:eastAsia="Palatino Linotype" w:hAnsi="Palatino Linotype" w:cs="Palatino Linotype"/>
                <w:i/>
                <w:iCs/>
              </w:rPr>
              <w:t>“Cuadro general de clasificación archivística, Catálogo de disposición documental, Guía de archivo documental, las actas de las sesiones del comite coordinador de archivos con su convocatoria fotografías y actas desde la instalación firmadas del año 2017” (sic)</w:t>
            </w:r>
          </w:p>
        </w:tc>
      </w:tr>
    </w:tbl>
    <w:p w14:paraId="02F11075" w14:textId="77777777" w:rsidR="007247F6" w:rsidRPr="00786EB5" w:rsidRDefault="00215F9E">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786EB5">
        <w:rPr>
          <w:rFonts w:ascii="Palatino Linotype" w:eastAsia="Palatino Linotype" w:hAnsi="Palatino Linotype" w:cs="Palatino Linotype"/>
          <w:b/>
          <w:bCs/>
        </w:rPr>
        <w:t>Modalidad de Entrega:</w:t>
      </w:r>
      <w:r w:rsidRPr="00786EB5">
        <w:rPr>
          <w:rFonts w:ascii="Palatino Linotype" w:eastAsia="Palatino Linotype" w:hAnsi="Palatino Linotype" w:cs="Palatino Linotype"/>
        </w:rPr>
        <w:t xml:space="preserve"> a través del</w:t>
      </w:r>
      <w:r w:rsidRPr="00786EB5">
        <w:rPr>
          <w:rFonts w:ascii="Palatino Linotype" w:eastAsia="Palatino Linotype" w:hAnsi="Palatino Linotype" w:cs="Palatino Linotype"/>
          <w:b/>
          <w:bCs/>
        </w:rPr>
        <w:t xml:space="preserve"> SAIMEX</w:t>
      </w:r>
      <w:r w:rsidRPr="00786EB5">
        <w:rPr>
          <w:rFonts w:ascii="Palatino Linotype" w:eastAsia="Palatino Linotype" w:hAnsi="Palatino Linotype" w:cs="Palatino Linotype"/>
        </w:rPr>
        <w:t>.</w:t>
      </w:r>
    </w:p>
    <w:p w14:paraId="751119C3" w14:textId="77777777" w:rsidR="007247F6" w:rsidRPr="00786EB5" w:rsidRDefault="00215F9E">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2. Prórroga</w:t>
      </w:r>
      <w:r w:rsidRPr="00786EB5">
        <w:rPr>
          <w:rFonts w:ascii="Palatino Linotype" w:eastAsia="Palatino Linotype" w:hAnsi="Palatino Linotype" w:cs="Palatino Linotype"/>
        </w:rPr>
        <w:t xml:space="preserve">. El </w:t>
      </w:r>
      <w:r w:rsidRPr="00786EB5">
        <w:rPr>
          <w:rFonts w:ascii="Palatino Linotype" w:eastAsia="Palatino Linotype" w:hAnsi="Palatino Linotype" w:cs="Palatino Linotype"/>
          <w:b/>
          <w:bCs/>
        </w:rPr>
        <w:t xml:space="preserve">seis de octubre de dos mil veinticinco, </w:t>
      </w:r>
      <w:r w:rsidRPr="00786EB5">
        <w:rPr>
          <w:rFonts w:ascii="Palatino Linotype" w:eastAsia="Palatino Linotype" w:hAnsi="Palatino Linotype" w:cs="Palatino Linotype"/>
        </w:rPr>
        <w:t xml:space="preserve">el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notificó a la persona solicitante la prórroga para dar respuesta a la solicitud, medularmente en los siguientes términos:</w:t>
      </w:r>
    </w:p>
    <w:tbl>
      <w:tblPr>
        <w:tblStyle w:val="aff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714"/>
      </w:tblGrid>
      <w:tr w:rsidR="0072707B" w:rsidRPr="00786EB5" w14:paraId="770E8CFA" w14:textId="77777777">
        <w:trPr>
          <w:jc w:val="center"/>
        </w:trPr>
        <w:tc>
          <w:tcPr>
            <w:tcW w:w="3114" w:type="dxa"/>
            <w:shd w:val="clear" w:color="auto" w:fill="BFBFBF"/>
          </w:tcPr>
          <w:p w14:paraId="2C165610"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lastRenderedPageBreak/>
              <w:t>Número de solicitud</w:t>
            </w:r>
          </w:p>
        </w:tc>
        <w:tc>
          <w:tcPr>
            <w:tcW w:w="5714" w:type="dxa"/>
            <w:shd w:val="clear" w:color="auto" w:fill="BFBFBF"/>
          </w:tcPr>
          <w:p w14:paraId="6FF076E8"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Información solicitada</w:t>
            </w:r>
          </w:p>
        </w:tc>
      </w:tr>
      <w:tr w:rsidR="0072707B" w:rsidRPr="00786EB5" w14:paraId="641BD0EB" w14:textId="77777777">
        <w:trPr>
          <w:jc w:val="center"/>
        </w:trPr>
        <w:tc>
          <w:tcPr>
            <w:tcW w:w="3114" w:type="dxa"/>
            <w:vAlign w:val="center"/>
          </w:tcPr>
          <w:p w14:paraId="044345D7"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r w:rsidRPr="00786EB5">
              <w:rPr>
                <w:rFonts w:ascii="Palatino Linotype" w:eastAsia="Palatino Linotype" w:hAnsi="Palatino Linotype" w:cs="Palatino Linotype"/>
                <w:b/>
                <w:bCs/>
                <w:lang w:val="en-US"/>
              </w:rPr>
              <w:t>04639/TOLUCA/IP/2025</w:t>
            </w:r>
          </w:p>
          <w:p w14:paraId="23DAF5B1"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r w:rsidRPr="00786EB5">
              <w:rPr>
                <w:rFonts w:ascii="Palatino Linotype" w:eastAsia="Palatino Linotype" w:hAnsi="Palatino Linotype" w:cs="Palatino Linotype"/>
                <w:b/>
                <w:bCs/>
                <w:lang w:val="en-US"/>
              </w:rPr>
              <w:t>12664/INFOEM/IP/RR/2025</w:t>
            </w:r>
          </w:p>
        </w:tc>
        <w:tc>
          <w:tcPr>
            <w:tcW w:w="5714" w:type="dxa"/>
          </w:tcPr>
          <w:p w14:paraId="22103DB3" w14:textId="77777777" w:rsidR="007247F6" w:rsidRPr="00786EB5" w:rsidRDefault="00215F9E">
            <w:pPr>
              <w:spacing w:before="120" w:after="120" w:line="240" w:lineRule="auto"/>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04639/TOLUCA/IP/2025, recibida a través del Sistema de Acceso a la Información Mexiquense (SAIMEX), misma que fue procedente, quedando bajo el acuerdo CT/SE/1206 /2025., en la MILÉSIMA DUCENTÉSIMA SEXTA SESIÓN EXTRAORDINARIA 2025 del Comité de Transparencia del Municipio de Toluca, Administración 2025- 2027, de fecha 06/10/2025,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 (sic)</w:t>
            </w:r>
          </w:p>
        </w:tc>
      </w:tr>
    </w:tbl>
    <w:p w14:paraId="1A2ABFDC"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Como refiere el </w:t>
      </w:r>
      <w:r w:rsidRPr="00786EB5">
        <w:rPr>
          <w:rFonts w:ascii="Palatino Linotype" w:eastAsia="Palatino Linotype" w:hAnsi="Palatino Linotype" w:cs="Palatino Linotype"/>
          <w:b/>
          <w:bCs/>
        </w:rPr>
        <w:t>Sujeto Obligado</w:t>
      </w:r>
      <w:r w:rsidRPr="00786EB5">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750F1164"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3. Respuesta. </w:t>
      </w:r>
      <w:r w:rsidRPr="00786EB5">
        <w:rPr>
          <w:rFonts w:ascii="Palatino Linotype" w:eastAsia="Palatino Linotype" w:hAnsi="Palatino Linotype" w:cs="Palatino Linotype"/>
        </w:rPr>
        <w:t xml:space="preserve">El </w:t>
      </w:r>
      <w:r w:rsidRPr="00786EB5">
        <w:rPr>
          <w:rFonts w:ascii="Palatino Linotype" w:eastAsia="Palatino Linotype" w:hAnsi="Palatino Linotype" w:cs="Palatino Linotype"/>
          <w:b/>
          <w:bCs/>
        </w:rPr>
        <w:t>quince de octubre de dos mil veinticinco</w:t>
      </w:r>
      <w:r w:rsidRPr="00786EB5">
        <w:rPr>
          <w:rFonts w:ascii="Palatino Linotype" w:eastAsia="Palatino Linotype" w:hAnsi="Palatino Linotype" w:cs="Palatino Linotype"/>
        </w:rPr>
        <w:t xml:space="preserve">, el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 xml:space="preserve">envió su respuesta a la solicitud de acceso a la información a través del </w:t>
      </w:r>
      <w:r w:rsidRPr="00786EB5">
        <w:rPr>
          <w:rFonts w:ascii="Palatino Linotype" w:eastAsia="Palatino Linotype" w:hAnsi="Palatino Linotype" w:cs="Palatino Linotype"/>
          <w:b/>
          <w:bCs/>
        </w:rPr>
        <w:t>SAIMEX</w:t>
      </w:r>
      <w:r w:rsidRPr="00786EB5">
        <w:rPr>
          <w:rFonts w:ascii="Palatino Linotype" w:eastAsia="Palatino Linotype" w:hAnsi="Palatino Linotype" w:cs="Palatino Linotype"/>
        </w:rPr>
        <w:t>, sustancialmente en los términos:</w:t>
      </w:r>
    </w:p>
    <w:tbl>
      <w:tblPr>
        <w:tblStyle w:val="aff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714"/>
      </w:tblGrid>
      <w:tr w:rsidR="0072707B" w:rsidRPr="00786EB5" w14:paraId="0CBC7B73" w14:textId="77777777">
        <w:trPr>
          <w:jc w:val="center"/>
        </w:trPr>
        <w:tc>
          <w:tcPr>
            <w:tcW w:w="3114" w:type="dxa"/>
            <w:shd w:val="clear" w:color="auto" w:fill="BFBFBF"/>
          </w:tcPr>
          <w:p w14:paraId="5E1B2B8D"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Número de solicitud</w:t>
            </w:r>
          </w:p>
        </w:tc>
        <w:tc>
          <w:tcPr>
            <w:tcW w:w="5714" w:type="dxa"/>
            <w:shd w:val="clear" w:color="auto" w:fill="BFBFBF"/>
          </w:tcPr>
          <w:p w14:paraId="5362B4BC"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Información solicitada</w:t>
            </w:r>
          </w:p>
        </w:tc>
      </w:tr>
      <w:tr w:rsidR="0072707B" w:rsidRPr="00786EB5" w14:paraId="185E396C" w14:textId="77777777">
        <w:trPr>
          <w:jc w:val="center"/>
        </w:trPr>
        <w:tc>
          <w:tcPr>
            <w:tcW w:w="3114" w:type="dxa"/>
            <w:vAlign w:val="center"/>
          </w:tcPr>
          <w:p w14:paraId="35D89483"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r w:rsidRPr="00786EB5">
              <w:rPr>
                <w:rFonts w:ascii="Palatino Linotype" w:eastAsia="Palatino Linotype" w:hAnsi="Palatino Linotype" w:cs="Palatino Linotype"/>
                <w:b/>
                <w:bCs/>
                <w:lang w:val="en-US"/>
              </w:rPr>
              <w:lastRenderedPageBreak/>
              <w:t>04639/TOLUCA/IP/2025</w:t>
            </w:r>
          </w:p>
          <w:p w14:paraId="50C64619"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r w:rsidRPr="00786EB5">
              <w:rPr>
                <w:rFonts w:ascii="Palatino Linotype" w:eastAsia="Palatino Linotype" w:hAnsi="Palatino Linotype" w:cs="Palatino Linotype"/>
                <w:b/>
                <w:bCs/>
                <w:lang w:val="en-US"/>
              </w:rPr>
              <w:t>12664/INFOEM/IP/RR/2025</w:t>
            </w:r>
          </w:p>
        </w:tc>
        <w:tc>
          <w:tcPr>
            <w:tcW w:w="5714" w:type="dxa"/>
          </w:tcPr>
          <w:p w14:paraId="617C051F" w14:textId="77777777" w:rsidR="007247F6" w:rsidRPr="00786EB5" w:rsidRDefault="00215F9E">
            <w:pPr>
              <w:spacing w:before="120" w:after="120" w:line="240" w:lineRule="auto"/>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“En atención a la solicitud con folio 04639/TOLUCA/IP/2025, me permito adjuntar al presente la respuesta correspondiente, Sin más por el momento, reciba un saludo..” (sic)</w:t>
            </w:r>
          </w:p>
          <w:p w14:paraId="6DDD6082" w14:textId="77777777" w:rsidR="007247F6" w:rsidRPr="00786EB5" w:rsidRDefault="00215F9E">
            <w:pPr>
              <w:spacing w:before="120" w:after="120" w:line="24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Anexos:</w:t>
            </w:r>
          </w:p>
          <w:p w14:paraId="60CC4ACB" w14:textId="77777777" w:rsidR="007247F6" w:rsidRPr="00786EB5" w:rsidRDefault="00215F9E">
            <w:pPr>
              <w:spacing w:before="120" w:after="120" w:line="24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Escrito mediante el cual el Titular de la Unidad de Transparencia notificó la respuesta proporcionada por la persona servidora pública de la Secretaría del Ayuntamiento, quien refirió que no se localizó expresión documental que de atención a la pretensión de la persona solicitante, toda vez que dicha información no obra en sus archivos, en consecuencia no es procedente hacer entrega de la información requerida. Asimismo, indicó que se procedió a solicitar ante el Comité de Transparencia del Municipio de Toluca la declaratoria de inexistencia de la siguiente información: Cuadro general de clasificación archivística; Catálogo de disposición documental; Guía de archivo documental; Actas de las sesiones del Comité Coordinador de Archivos, convocatoria y fotografías del año 2017; quedando bajo el acuerdo CT/SE/1233/01/2025, en la Milésima Ducentésima Trigésima Tercera Sesión Extraordinaria del Comité de Transparencia del Municipio de Toluca, Administración 2025-2027, de fecha 15/10/2025.</w:t>
            </w:r>
          </w:p>
        </w:tc>
      </w:tr>
    </w:tbl>
    <w:p w14:paraId="71CD9862" w14:textId="77777777" w:rsidR="007247F6" w:rsidRPr="00786EB5" w:rsidRDefault="00215F9E">
      <w:pPr>
        <w:spacing w:before="240" w:after="240" w:line="360" w:lineRule="auto"/>
        <w:ind w:right="49"/>
        <w:jc w:val="both"/>
        <w:rPr>
          <w:rFonts w:ascii="Palatino Linotype" w:eastAsia="Palatino Linotype" w:hAnsi="Palatino Linotype" w:cs="Palatino Linotype"/>
        </w:rPr>
      </w:pPr>
      <w:bookmarkStart w:id="5" w:name="_heading=h.gjdgxs" w:colFirst="0" w:colLast="0"/>
      <w:bookmarkEnd w:id="5"/>
      <w:r w:rsidRPr="00786EB5">
        <w:rPr>
          <w:rFonts w:ascii="Palatino Linotype" w:eastAsia="Palatino Linotype" w:hAnsi="Palatino Linotype" w:cs="Palatino Linotype"/>
          <w:b/>
          <w:bCs/>
        </w:rPr>
        <w:t xml:space="preserve">4. Interposición del recurso de revisión. </w:t>
      </w:r>
      <w:r w:rsidRPr="00786EB5">
        <w:rPr>
          <w:rFonts w:ascii="Palatino Linotype" w:eastAsia="Palatino Linotype" w:hAnsi="Palatino Linotype" w:cs="Palatino Linotype"/>
        </w:rPr>
        <w:t xml:space="preserve">Inconforme la persona solicitante con la respuesta emitida por el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 xml:space="preserve">a su solicitud, el </w:t>
      </w:r>
      <w:r w:rsidRPr="00786EB5">
        <w:rPr>
          <w:rFonts w:ascii="Palatino Linotype" w:eastAsia="Palatino Linotype" w:hAnsi="Palatino Linotype" w:cs="Palatino Linotype"/>
          <w:b/>
          <w:bCs/>
        </w:rPr>
        <w:t>cuatro de noviembre de dos mil veinticinco</w:t>
      </w:r>
      <w:r w:rsidRPr="00786EB5">
        <w:rPr>
          <w:rFonts w:ascii="Palatino Linotype" w:eastAsia="Palatino Linotype" w:hAnsi="Palatino Linotype" w:cs="Palatino Linotype"/>
        </w:rPr>
        <w:t>, interpuso el recurso de revisión a través del SAIMEX, en donde se manifestó de la siguiente manera:</w:t>
      </w:r>
    </w:p>
    <w:tbl>
      <w:tblPr>
        <w:tblStyle w:val="affa"/>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2835"/>
      </w:tblGrid>
      <w:tr w:rsidR="0072707B" w:rsidRPr="00786EB5" w14:paraId="4CE8405E" w14:textId="77777777">
        <w:trPr>
          <w:jc w:val="center"/>
        </w:trPr>
        <w:tc>
          <w:tcPr>
            <w:tcW w:w="2972" w:type="dxa"/>
            <w:shd w:val="clear" w:color="auto" w:fill="BFBFBF"/>
          </w:tcPr>
          <w:p w14:paraId="775BD19F"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Recurso de Revisión</w:t>
            </w:r>
          </w:p>
        </w:tc>
        <w:tc>
          <w:tcPr>
            <w:tcW w:w="2977" w:type="dxa"/>
            <w:shd w:val="clear" w:color="auto" w:fill="BFBFBF"/>
          </w:tcPr>
          <w:p w14:paraId="1885C1DE"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Acto impugnado</w:t>
            </w:r>
          </w:p>
        </w:tc>
        <w:tc>
          <w:tcPr>
            <w:tcW w:w="2835" w:type="dxa"/>
            <w:shd w:val="clear" w:color="auto" w:fill="BFBFBF"/>
          </w:tcPr>
          <w:p w14:paraId="5E6B13EC" w14:textId="77777777" w:rsidR="007247F6" w:rsidRPr="00786EB5" w:rsidRDefault="00215F9E">
            <w:pPr>
              <w:spacing w:before="120" w:after="120" w:line="24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Razones o Motivos de Inconformidad</w:t>
            </w:r>
          </w:p>
        </w:tc>
      </w:tr>
      <w:tr w:rsidR="0072707B" w:rsidRPr="00786EB5" w14:paraId="2DC615E7" w14:textId="77777777">
        <w:trPr>
          <w:jc w:val="center"/>
        </w:trPr>
        <w:tc>
          <w:tcPr>
            <w:tcW w:w="2972" w:type="dxa"/>
            <w:vAlign w:val="center"/>
          </w:tcPr>
          <w:p w14:paraId="04FA24C1"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r w:rsidRPr="00786EB5">
              <w:rPr>
                <w:rFonts w:ascii="Palatino Linotype" w:eastAsia="Palatino Linotype" w:hAnsi="Palatino Linotype" w:cs="Palatino Linotype"/>
                <w:b/>
                <w:bCs/>
                <w:lang w:val="en-US"/>
              </w:rPr>
              <w:t>04639/TOLUCA/IP/2025</w:t>
            </w:r>
          </w:p>
          <w:p w14:paraId="0B60A1FC" w14:textId="77777777" w:rsidR="007247F6" w:rsidRPr="00786EB5" w:rsidRDefault="00215F9E">
            <w:pPr>
              <w:spacing w:before="120" w:after="120" w:line="240" w:lineRule="auto"/>
              <w:jc w:val="center"/>
              <w:rPr>
                <w:rFonts w:ascii="Palatino Linotype" w:eastAsia="Palatino Linotype" w:hAnsi="Palatino Linotype" w:cs="Palatino Linotype"/>
                <w:b/>
                <w:bCs/>
                <w:lang w:val="en-US"/>
              </w:rPr>
            </w:pPr>
            <w:r w:rsidRPr="00786EB5">
              <w:rPr>
                <w:rFonts w:ascii="Palatino Linotype" w:eastAsia="Palatino Linotype" w:hAnsi="Palatino Linotype" w:cs="Palatino Linotype"/>
                <w:b/>
                <w:bCs/>
                <w:lang w:val="en-US"/>
              </w:rPr>
              <w:t>12664/INFOEM/IP/RR/2025</w:t>
            </w:r>
          </w:p>
        </w:tc>
        <w:tc>
          <w:tcPr>
            <w:tcW w:w="2977" w:type="dxa"/>
          </w:tcPr>
          <w:p w14:paraId="1532F7EC" w14:textId="77777777" w:rsidR="007247F6" w:rsidRPr="00786EB5" w:rsidRDefault="00215F9E">
            <w:pPr>
              <w:spacing w:before="120" w:after="120" w:line="240" w:lineRule="auto"/>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“No entrega la información solicitada que por que no la localizan cuando es una obligación por ley” (sic)</w:t>
            </w:r>
          </w:p>
        </w:tc>
        <w:tc>
          <w:tcPr>
            <w:tcW w:w="2835" w:type="dxa"/>
          </w:tcPr>
          <w:p w14:paraId="5F5DD520" w14:textId="77777777" w:rsidR="007247F6" w:rsidRPr="00786EB5" w:rsidRDefault="00215F9E">
            <w:pPr>
              <w:spacing w:before="120" w:after="120" w:line="240" w:lineRule="auto"/>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“hacen una acta de inexistencia de algo que deben tenerla y no entregan ni el acta y se solicita la información por que se debe tener esa información es de carácter público y obligación legal tenerla” (sic)</w:t>
            </w:r>
          </w:p>
        </w:tc>
      </w:tr>
    </w:tbl>
    <w:p w14:paraId="2342FA43" w14:textId="77777777" w:rsidR="007247F6" w:rsidRPr="00786EB5" w:rsidRDefault="00215F9E">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bCs/>
        </w:rPr>
      </w:pPr>
      <w:r w:rsidRPr="00786EB5">
        <w:rPr>
          <w:rFonts w:ascii="Palatino Linotype" w:eastAsia="Palatino Linotype" w:hAnsi="Palatino Linotype" w:cs="Palatino Linotype"/>
          <w:b/>
          <w:bCs/>
        </w:rPr>
        <w:t>5. Turno.</w:t>
      </w:r>
      <w:r w:rsidRPr="00786EB5">
        <w:rPr>
          <w:rFonts w:ascii="Palatino Linotype" w:eastAsia="Palatino Linotype" w:hAnsi="Palatino Linotype" w:cs="Palatino Linotype"/>
        </w:rPr>
        <w:t xml:space="preserve"> De conformidad con el artículo 185, fracción I de la Ley Transparencia y Acceso a la Información Pública del Estado de México y Municipios, el recurso de revisión fue turnado a la Comisionada </w:t>
      </w:r>
      <w:r w:rsidRPr="00786EB5">
        <w:rPr>
          <w:rFonts w:ascii="Palatino Linotype" w:eastAsia="Palatino Linotype" w:hAnsi="Palatino Linotype" w:cs="Palatino Linotype"/>
          <w:b/>
          <w:bCs/>
        </w:rPr>
        <w:t xml:space="preserve">Guadalupe Ramírez Peña, </w:t>
      </w:r>
      <w:r w:rsidRPr="00786EB5">
        <w:rPr>
          <w:rFonts w:ascii="Palatino Linotype" w:eastAsia="Palatino Linotype" w:hAnsi="Palatino Linotype" w:cs="Palatino Linotype"/>
        </w:rPr>
        <w:t>a efecto de presentar al Pleno el proyecto de resolución correspondiente.</w:t>
      </w:r>
    </w:p>
    <w:p w14:paraId="5B87B0C8" w14:textId="77777777" w:rsidR="007247F6" w:rsidRPr="00786EB5" w:rsidRDefault="00215F9E">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6. Admisión del Recurso de Revisión. </w:t>
      </w:r>
      <w:r w:rsidRPr="00786EB5">
        <w:rPr>
          <w:rFonts w:ascii="Palatino Linotype" w:eastAsia="Palatino Linotype" w:hAnsi="Palatino Linotype" w:cs="Palatino Linotype"/>
        </w:rPr>
        <w:t xml:space="preserve">El </w:t>
      </w:r>
      <w:r w:rsidRPr="00786EB5">
        <w:rPr>
          <w:rFonts w:ascii="Palatino Linotype" w:eastAsia="Palatino Linotype" w:hAnsi="Palatino Linotype" w:cs="Palatino Linotype"/>
          <w:b/>
          <w:bCs/>
        </w:rPr>
        <w:t>siete de noviembre de dos mil veinticinco,</w:t>
      </w:r>
      <w:r w:rsidRPr="00786EB5">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admitió a trámite el recurso de revisión.</w:t>
      </w:r>
    </w:p>
    <w:p w14:paraId="7F95DDB1" w14:textId="77777777" w:rsidR="007247F6" w:rsidRPr="00786EB5" w:rsidRDefault="00215F9E">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7</w:t>
      </w:r>
      <w:r w:rsidRPr="00786EB5">
        <w:rPr>
          <w:rFonts w:ascii="Palatino Linotype" w:eastAsia="Palatino Linotype" w:hAnsi="Palatino Linotype" w:cs="Palatino Linotype"/>
        </w:rPr>
        <w:t xml:space="preserve">. </w:t>
      </w:r>
      <w:r w:rsidRPr="00786EB5">
        <w:rPr>
          <w:rFonts w:ascii="Palatino Linotype" w:eastAsia="Palatino Linotype" w:hAnsi="Palatino Linotype" w:cs="Palatino Linotype"/>
          <w:b/>
          <w:bCs/>
        </w:rPr>
        <w:t xml:space="preserve">Manifestaciones. </w:t>
      </w:r>
      <w:r w:rsidRPr="00786EB5">
        <w:rPr>
          <w:rFonts w:ascii="Palatino Linotype" w:eastAsia="Palatino Linotype" w:hAnsi="Palatino Linotype" w:cs="Palatino Linotype"/>
        </w:rPr>
        <w:t>El</w:t>
      </w:r>
      <w:r w:rsidRPr="00786EB5">
        <w:rPr>
          <w:rFonts w:ascii="Palatino Linotype" w:eastAsia="Palatino Linotype" w:hAnsi="Palatino Linotype" w:cs="Palatino Linotype"/>
          <w:b/>
          <w:bCs/>
        </w:rPr>
        <w:t xml:space="preserve"> diecinueve de noviembre de dos mil veinticinco</w:t>
      </w:r>
      <w:r w:rsidRPr="00786EB5">
        <w:rPr>
          <w:rFonts w:ascii="Palatino Linotype" w:eastAsia="Palatino Linotype" w:hAnsi="Palatino Linotype" w:cs="Palatino Linotype"/>
        </w:rPr>
        <w:t>, el</w:t>
      </w:r>
      <w:r w:rsidRPr="00786EB5">
        <w:rPr>
          <w:rFonts w:ascii="Palatino Linotype" w:eastAsia="Palatino Linotype" w:hAnsi="Palatino Linotype" w:cs="Palatino Linotype"/>
          <w:b/>
          <w:bCs/>
        </w:rPr>
        <w:t xml:space="preserve"> Sujeto Obligado </w:t>
      </w:r>
      <w:r w:rsidRPr="00786EB5">
        <w:rPr>
          <w:rFonts w:ascii="Palatino Linotype" w:eastAsia="Palatino Linotype" w:hAnsi="Palatino Linotype" w:cs="Palatino Linotype"/>
        </w:rPr>
        <w:t>remitió, a través de SAIMEX su informe justificado, mediante el cual ratificó la respuesta proporcionada por la persona servidora pública habilitada de la Secretaría del Ayuntamiento.</w:t>
      </w:r>
    </w:p>
    <w:p w14:paraId="3366C4DD" w14:textId="77777777" w:rsidR="007247F6" w:rsidRPr="00786EB5" w:rsidRDefault="00215F9E">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Anexos.</w:t>
      </w:r>
    </w:p>
    <w:p w14:paraId="089B2BFA" w14:textId="77777777" w:rsidR="007247F6" w:rsidRPr="00786EB5" w:rsidRDefault="00215F9E">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Oficios número 2010A0000/5082/2025 mediante el cual el Secretario del Ayuntamiento, refirió que con la finalidad de dar una respuesta favorable a las solicitudes se procedió a realizar la búsqueda exhaustiva y razonable en los archivos físicos y electrónicos que obran en la Coordinación de Apoyo Técnico y Archivo, Departamento de Archivo de Concentración y el Departamento de Archivo Histórico de la Secretaría del Ayuntamiento, en fecha quince de octubre de dos mil veinticinco, se dio respuesta a la persona solicitante, puntualizando que la solicitud fue atendida de manera correcta ya que de acuerdo a las facultades, competencias y funciones de esta Unidad Administrativa, se informó que no se localizó expresión documental que diera atención a la pretensión de la persona solicitante, toda vez que dicha información no fue localizada en los archivos, en consecuencia no fue procedente hacer entrega de la información requerida; motivo y razón por lo que se procedió a solicitar ante el Comité de Transparencia del Municipio de Toluca la declaratoria de inexistencia, quedando registrada, en la Milésima Ducentésima Trigésima Tercera Sesión Extraordinaria del Comité de Transparencia del Municipio de Toluca, Administración 2025-2027 de fecha 15/10/2025.</w:t>
      </w:r>
    </w:p>
    <w:p w14:paraId="43F2D98E" w14:textId="77777777" w:rsidR="007247F6" w:rsidRPr="00786EB5" w:rsidRDefault="00215F9E">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Una vez analizada la información, se hizo del conocimiento de la parte </w:t>
      </w:r>
      <w:r w:rsidRPr="00786EB5">
        <w:rPr>
          <w:rFonts w:ascii="Palatino Linotype" w:eastAsia="Palatino Linotype" w:hAnsi="Palatino Linotype" w:cs="Palatino Linotype"/>
          <w:b/>
          <w:bCs/>
        </w:rPr>
        <w:t xml:space="preserve">Recurrente </w:t>
      </w:r>
      <w:r w:rsidRPr="00786EB5">
        <w:rPr>
          <w:rFonts w:ascii="Palatino Linotype" w:eastAsia="Palatino Linotype" w:hAnsi="Palatino Linotype" w:cs="Palatino Linotype"/>
        </w:rPr>
        <w:t xml:space="preserve">con la finalidad de que manifestara lo que a su derecho estimara conveniente, sin embargo, fue omisa en ejercer dicha prerrogativa. </w:t>
      </w:r>
    </w:p>
    <w:p w14:paraId="5690FE37"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8.  Ampliación del término para resolver</w:t>
      </w:r>
      <w:r w:rsidRPr="00786EB5">
        <w:rPr>
          <w:rFonts w:ascii="Palatino Linotype" w:eastAsia="Palatino Linotype" w:hAnsi="Palatino Linotype" w:cs="Palatino Linotype"/>
        </w:rPr>
        <w:t xml:space="preserve">. El </w:t>
      </w:r>
      <w:r w:rsidRPr="00786EB5">
        <w:rPr>
          <w:rFonts w:ascii="Palatino Linotype" w:eastAsia="Palatino Linotype" w:hAnsi="Palatino Linotype" w:cs="Palatino Linotype"/>
          <w:b/>
          <w:bCs/>
        </w:rPr>
        <w:t>cinco de marzo de dos mil veintiséis</w:t>
      </w:r>
      <w:r w:rsidRPr="00786EB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37577D3"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C828616"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65EC8D1"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4AD711"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B295230" w14:textId="77777777" w:rsidR="007247F6" w:rsidRPr="00786EB5" w:rsidRDefault="00215F9E">
      <w:pPr>
        <w:spacing w:before="240" w:after="240" w:line="360" w:lineRule="auto"/>
        <w:jc w:val="both"/>
        <w:rPr>
          <w:rFonts w:ascii="Palatino Linotype" w:eastAsia="Palatino Linotype" w:hAnsi="Palatino Linotype" w:cs="Palatino Linotype"/>
          <w:strike/>
        </w:rPr>
      </w:pPr>
      <w:r w:rsidRPr="00786EB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B42B8F4" w14:textId="77777777" w:rsidR="007247F6" w:rsidRPr="00786EB5" w:rsidRDefault="00215F9E">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9BE4759" w14:textId="77777777" w:rsidR="007247F6" w:rsidRPr="00786EB5" w:rsidRDefault="00215F9E">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rPr>
      </w:pPr>
      <w:r w:rsidRPr="00786EB5">
        <w:rPr>
          <w:rFonts w:ascii="Palatino Linotype" w:eastAsia="Palatino Linotype" w:hAnsi="Palatino Linotype" w:cs="Palatino Linotype"/>
        </w:rPr>
        <w:t>Actividad Procesal del interesado. Acciones u omisiones del interesado.</w:t>
      </w:r>
    </w:p>
    <w:p w14:paraId="73C411F2" w14:textId="77777777" w:rsidR="007247F6" w:rsidRPr="00786EB5" w:rsidRDefault="00215F9E">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rPr>
      </w:pPr>
      <w:r w:rsidRPr="00786EB5">
        <w:rPr>
          <w:rFonts w:ascii="Palatino Linotype" w:eastAsia="Palatino Linotype" w:hAnsi="Palatino Linotype" w:cs="Palatino Linotype"/>
        </w:rPr>
        <w:t>Conducta de la Autoridad: Las Acciones u omisiones realizadas en el procedimiento. Así como si la autoridad actuó con la debida diligencia.</w:t>
      </w:r>
    </w:p>
    <w:p w14:paraId="43F17157" w14:textId="77777777" w:rsidR="007247F6" w:rsidRPr="00786EB5" w:rsidRDefault="00215F9E">
      <w:pPr>
        <w:tabs>
          <w:tab w:val="left" w:pos="567"/>
        </w:tabs>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d) La afectación generada en la situación jurídica de la persona involucrada en el proceso: Violación a sus derechos humanos.</w:t>
      </w:r>
    </w:p>
    <w:p w14:paraId="2095FD56"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2480D8" w14:textId="77777777" w:rsidR="007247F6" w:rsidRPr="00786EB5" w:rsidRDefault="00215F9E">
      <w:pPr>
        <w:spacing w:before="240" w:after="240" w:line="360" w:lineRule="auto"/>
        <w:jc w:val="both"/>
        <w:rPr>
          <w:rFonts w:ascii="Palatino Linotype" w:eastAsia="Palatino Linotype" w:hAnsi="Palatino Linotype" w:cs="Palatino Linotype"/>
          <w:b/>
          <w:bCs/>
        </w:rPr>
      </w:pPr>
      <w:r w:rsidRPr="00786EB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86EB5">
        <w:rPr>
          <w:rFonts w:ascii="Palatino Linotype" w:eastAsia="Palatino Linotype" w:hAnsi="Palatino Linotype" w:cs="Palatino Linotype"/>
          <w:i/>
          <w:iCs/>
        </w:rPr>
        <w:t>“TÉRMINOS PROCESALES. PARA DETERMINAR SI UN FUNCIONARIO JUDICIAL ACTUÓ INDEBIDAMENTE POR NO RESPETARLOS SE DEBE ATENDER AL PRESUPUESTO QUE CONSIDERÓ EL LEGISLADOR AL FIJARLOS Y LAS CARACTERÍSTICAS DEL CASO.”</w:t>
      </w:r>
      <w:r w:rsidRPr="00786EB5">
        <w:rPr>
          <w:rFonts w:ascii="Palatino Linotype" w:eastAsia="Palatino Linotype" w:hAnsi="Palatino Linotype" w:cs="Palatino Linotype"/>
        </w:rPr>
        <w:t>, visible en la Gaceta del Seminario Judicial de la Federación con el registro digital 205635.</w:t>
      </w:r>
    </w:p>
    <w:p w14:paraId="546FA593"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2FE0B4"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9CC2D3B" w14:textId="77777777" w:rsidR="007247F6" w:rsidRPr="00786EB5" w:rsidRDefault="00215F9E">
      <w:pPr>
        <w:spacing w:before="120" w:after="120"/>
        <w:ind w:left="851" w:right="902"/>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 </w:t>
      </w: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PLAZO RAZONABLE PARA RESOLVER. DIMENSIÓN Y EFECTOS DE ESTE CONCEPTO CUANDO SE ADUCE EXCESIVA CARGA DE TRABAJO</w:t>
      </w: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rPr>
        <w:t xml:space="preserve"> consultable en el Seminario Judicial de la Federación y su gaceta, con el registro digital 2002351.</w:t>
      </w:r>
    </w:p>
    <w:p w14:paraId="28F03A74" w14:textId="77777777" w:rsidR="007247F6" w:rsidRPr="00786EB5" w:rsidRDefault="00215F9E">
      <w:pPr>
        <w:spacing w:before="120" w:after="120"/>
        <w:ind w:left="851" w:right="902"/>
        <w:jc w:val="both"/>
        <w:rPr>
          <w:rFonts w:ascii="Palatino Linotype" w:eastAsia="Palatino Linotype" w:hAnsi="Palatino Linotype" w:cs="Palatino Linotype"/>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PLAZO RAZONABLE PARA RESOLVER. CONCEPTO Y ELEMENTOS QUE LO INTEGRAN A LA LUZ DEL DERECHO INTERNACIONAL DE LOS DERECHOS HUMANOS</w:t>
      </w: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rPr>
        <w:t>, visible en el Seminario Judicial de la Federación y su gaceta, con el registro digital 2002350.</w:t>
      </w:r>
    </w:p>
    <w:p w14:paraId="22FF3E19"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4FE0346"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9. Cierre de Instrucción. </w:t>
      </w:r>
      <w:r w:rsidRPr="00786EB5">
        <w:rPr>
          <w:rFonts w:ascii="Palatino Linotype" w:eastAsia="Palatino Linotype" w:hAnsi="Palatino Linotype" w:cs="Palatino Linotype"/>
        </w:rPr>
        <w:t xml:space="preserve">El </w:t>
      </w:r>
      <w:r w:rsidRPr="00786EB5">
        <w:rPr>
          <w:rFonts w:ascii="Palatino Linotype" w:eastAsia="Palatino Linotype" w:hAnsi="Palatino Linotype" w:cs="Palatino Linotype"/>
          <w:b/>
          <w:bCs/>
        </w:rPr>
        <w:t>once de marzo de dos mil veintiséis</w:t>
      </w:r>
      <w:r w:rsidRPr="00786EB5">
        <w:rPr>
          <w:rFonts w:ascii="Palatino Linotype" w:eastAsia="Palatino Linotype" w:hAnsi="Palatino Linotype" w:cs="Palatino Linotype"/>
        </w:rPr>
        <w:t>, con fundamento en lo establecido en el artículo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0FD06521"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8C46E84" w14:textId="77777777" w:rsidR="007247F6" w:rsidRPr="00786EB5" w:rsidRDefault="00215F9E">
      <w:pPr>
        <w:pBdr>
          <w:top w:val="nil"/>
          <w:left w:val="nil"/>
          <w:bottom w:val="nil"/>
          <w:right w:val="nil"/>
          <w:between w:val="nil"/>
        </w:pBdr>
        <w:spacing w:before="240" w:after="240" w:line="360" w:lineRule="auto"/>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II. C O N S I D E R A N D O S:</w:t>
      </w:r>
    </w:p>
    <w:p w14:paraId="32D09B64"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Primero. Competencia.</w:t>
      </w:r>
      <w:r w:rsidRPr="00786EB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7E61237"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Segundo. Oportunidad y Procedibilidad del Recurso de Revisión</w:t>
      </w:r>
      <w:r w:rsidRPr="00786EB5">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0557504"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 xml:space="preserve">remitió la respuesta a la solicitud de información el </w:t>
      </w:r>
      <w:r w:rsidRPr="00786EB5">
        <w:rPr>
          <w:rFonts w:ascii="Palatino Linotype" w:eastAsia="Palatino Linotype" w:hAnsi="Palatino Linotype" w:cs="Palatino Linotype"/>
          <w:b/>
          <w:bCs/>
        </w:rPr>
        <w:t xml:space="preserve">quince de octubre de dos mil veinticinco, </w:t>
      </w:r>
      <w:r w:rsidRPr="00786EB5">
        <w:rPr>
          <w:rFonts w:ascii="Palatino Linotype" w:eastAsia="Palatino Linotype" w:hAnsi="Palatino Linotype" w:cs="Palatino Linotype"/>
        </w:rPr>
        <w:t xml:space="preserve">mientras que el recurso de revisión interpuesto por la parte </w:t>
      </w:r>
      <w:r w:rsidRPr="00786EB5">
        <w:rPr>
          <w:rFonts w:ascii="Palatino Linotype" w:eastAsia="Palatino Linotype" w:hAnsi="Palatino Linotype" w:cs="Palatino Linotype"/>
          <w:b/>
          <w:bCs/>
        </w:rPr>
        <w:t>Recurrente</w:t>
      </w:r>
      <w:r w:rsidRPr="00786EB5">
        <w:rPr>
          <w:rFonts w:ascii="Palatino Linotype" w:eastAsia="Palatino Linotype" w:hAnsi="Palatino Linotype" w:cs="Palatino Linotype"/>
        </w:rPr>
        <w:t xml:space="preserve">, se tuvo presentado el </w:t>
      </w:r>
      <w:r w:rsidRPr="00786EB5">
        <w:rPr>
          <w:rFonts w:ascii="Palatino Linotype" w:eastAsia="Palatino Linotype" w:hAnsi="Palatino Linotype" w:cs="Palatino Linotype"/>
          <w:b/>
          <w:bCs/>
        </w:rPr>
        <w:t>veintinueve de octubre de dos mil veinticinco,</w:t>
      </w:r>
      <w:r w:rsidRPr="00786EB5">
        <w:rPr>
          <w:rFonts w:ascii="Palatino Linotype" w:eastAsia="Palatino Linotype" w:hAnsi="Palatino Linotype" w:cs="Palatino Linotype"/>
        </w:rPr>
        <w:t xml:space="preserve"> esto es al décimo día hábil posterior a aquel en el que tuvo conocimiento de la respuesta impugnada. En este sentido, se concluye que el presente recurso de revisión se encuentra dentro de los márgenes temporales previstos en las disposiciones legales referidas.</w:t>
      </w:r>
    </w:p>
    <w:p w14:paraId="0976D44D" w14:textId="77777777" w:rsidR="007247F6" w:rsidRPr="00786EB5" w:rsidRDefault="00215F9E">
      <w:pPr>
        <w:tabs>
          <w:tab w:val="left" w:pos="7938"/>
        </w:tabs>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EBB4A24"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Además, por cuanto hace a la procedibilidad del recurso de revisión, es de suma importancia señalar que la parte</w:t>
      </w:r>
      <w:r w:rsidRPr="00786EB5">
        <w:rPr>
          <w:rFonts w:ascii="Palatino Linotype" w:eastAsia="Palatino Linotype" w:hAnsi="Palatino Linotype" w:cs="Palatino Linotype"/>
          <w:b/>
          <w:bCs/>
        </w:rPr>
        <w:t xml:space="preserve"> Recurrente</w:t>
      </w:r>
      <w:r w:rsidRPr="00786EB5">
        <w:rPr>
          <w:rFonts w:ascii="Palatino Linotype" w:eastAsia="Palatino Linotype" w:hAnsi="Palatino Linotype" w:cs="Palatino Linotype"/>
        </w:rPr>
        <w:t xml:space="preserve">, no señaló </w:t>
      </w:r>
      <w:r w:rsidRPr="00786EB5">
        <w:rPr>
          <w:rFonts w:ascii="Palatino Linotype" w:eastAsia="Palatino Linotype" w:hAnsi="Palatino Linotype" w:cs="Palatino Linotype"/>
          <w:b/>
          <w:bCs/>
        </w:rPr>
        <w:t>nombre o seudónimo,</w:t>
      </w:r>
      <w:r w:rsidRPr="00786EB5">
        <w:rPr>
          <w:rFonts w:ascii="Palatino Linotype" w:eastAsia="Palatino Linotype" w:hAnsi="Palatino Linotype" w:cs="Palatino Linotype"/>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181B72" w14:textId="77777777" w:rsidR="007247F6" w:rsidRPr="00786EB5" w:rsidRDefault="00215F9E">
      <w:pPr>
        <w:spacing w:before="120" w:after="120"/>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Las solicitudes anónimas</w:t>
      </w:r>
      <w:r w:rsidRPr="00786EB5">
        <w:rPr>
          <w:rFonts w:ascii="Palatino Linotype" w:eastAsia="Palatino Linotype" w:hAnsi="Palatino Linotype" w:cs="Palatino Linotype"/>
          <w:i/>
          <w:iCs/>
        </w:rPr>
        <w:t xml:space="preserve">, con nombre incompleto o </w:t>
      </w:r>
      <w:r w:rsidRPr="00786EB5">
        <w:rPr>
          <w:rFonts w:ascii="Palatino Linotype" w:eastAsia="Palatino Linotype" w:hAnsi="Palatino Linotype" w:cs="Palatino Linotype"/>
          <w:b/>
          <w:bCs/>
          <w:i/>
          <w:iCs/>
        </w:rPr>
        <w:t>seudónimo</w:t>
      </w:r>
      <w:r w:rsidRPr="00786EB5">
        <w:rPr>
          <w:rFonts w:ascii="Palatino Linotype" w:eastAsia="Palatino Linotype" w:hAnsi="Palatino Linotype" w:cs="Palatino Linotype"/>
          <w:i/>
          <w:iCs/>
        </w:rPr>
        <w:t xml:space="preserve"> serán procedentes para su trámite por parte del sujeto obligado ante quien se presente. No podrá requerirse información adicional con motivo del nombre proporcionado por el solicitante."</w:t>
      </w:r>
    </w:p>
    <w:p w14:paraId="51E1D27C"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786EB5">
        <w:rPr>
          <w:rFonts w:ascii="Palatino Linotype" w:eastAsia="Palatino Linotype" w:hAnsi="Palatino Linotype" w:cs="Palatino Linotype"/>
          <w:b/>
          <w:bCs/>
        </w:rPr>
        <w:t xml:space="preserve"> SAIMEX</w:t>
      </w:r>
    </w:p>
    <w:p w14:paraId="5F54B25E"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Finalmente, se advierte que resulta procedente la interposición de los recursos, según lo manifestado por la parte </w:t>
      </w:r>
      <w:r w:rsidRPr="00786EB5">
        <w:rPr>
          <w:rFonts w:ascii="Palatino Linotype" w:eastAsia="Palatino Linotype" w:hAnsi="Palatino Linotype" w:cs="Palatino Linotype"/>
          <w:b/>
          <w:bCs/>
        </w:rPr>
        <w:t>Recurrente</w:t>
      </w:r>
      <w:r w:rsidRPr="00786EB5">
        <w:rPr>
          <w:rFonts w:ascii="Palatino Linotype" w:eastAsia="Palatino Linotype" w:hAnsi="Palatino Linotype" w:cs="Palatino Linotype"/>
        </w:rPr>
        <w:t xml:space="preserve"> en sus motivos de inconformidad, de acuerdo al artículo 179, fracción I del ordenamiento legal citado, que a la letra dice: </w:t>
      </w:r>
    </w:p>
    <w:p w14:paraId="4F4B9963" w14:textId="77777777" w:rsidR="007247F6" w:rsidRPr="00786EB5" w:rsidRDefault="00215F9E">
      <w:pPr>
        <w:tabs>
          <w:tab w:val="left" w:pos="7938"/>
        </w:tabs>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Artículo 179.</w:t>
      </w:r>
      <w:r w:rsidRPr="00786EB5">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2248519E" w14:textId="77777777" w:rsidR="007247F6" w:rsidRPr="00786EB5" w:rsidRDefault="00215F9E">
      <w:pPr>
        <w:tabs>
          <w:tab w:val="left" w:pos="7938"/>
        </w:tabs>
        <w:spacing w:before="120" w:after="120" w:line="240" w:lineRule="auto"/>
        <w:ind w:left="851" w:right="900"/>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I</w:t>
      </w:r>
      <w:r w:rsidRPr="00786EB5">
        <w:rPr>
          <w:rFonts w:ascii="Palatino Linotype" w:eastAsia="Palatino Linotype" w:hAnsi="Palatino Linotype" w:cs="Palatino Linotype"/>
          <w:i/>
          <w:iCs/>
        </w:rPr>
        <w:t>. La negativa a la información solicitada;”</w:t>
      </w:r>
    </w:p>
    <w:p w14:paraId="4B6FEE65" w14:textId="77777777" w:rsidR="007247F6" w:rsidRPr="00786EB5" w:rsidRDefault="00215F9E">
      <w:pPr>
        <w:spacing w:before="240" w:after="240" w:line="360" w:lineRule="auto"/>
        <w:jc w:val="both"/>
        <w:rPr>
          <w:rFonts w:ascii="Palatino Linotype" w:eastAsia="Palatino Linotype" w:hAnsi="Palatino Linotype" w:cs="Palatino Linotype"/>
          <w:b/>
          <w:bCs/>
        </w:rPr>
      </w:pPr>
      <w:r w:rsidRPr="00786EB5">
        <w:rPr>
          <w:rFonts w:ascii="Palatino Linotype" w:eastAsia="Palatino Linotype" w:hAnsi="Palatino Linotype" w:cs="Palatino Linotype"/>
          <w:b/>
          <w:bCs/>
        </w:rPr>
        <w:t xml:space="preserve">Tercero. Materia de la revisión. </w:t>
      </w:r>
      <w:r w:rsidRPr="00786EB5">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786EB5">
        <w:rPr>
          <w:rFonts w:ascii="Palatino Linotype" w:eastAsia="Palatino Linotype" w:hAnsi="Palatino Linotype" w:cs="Palatino Linotype"/>
          <w:b/>
          <w:bCs/>
        </w:rPr>
        <w:t xml:space="preserve">verificar si la información proporcionada por el Sujeto Obligado es adecuada y suficiente para satisfacer el derecho de acceso a la información pública </w:t>
      </w:r>
      <w:r w:rsidRPr="00786EB5">
        <w:rPr>
          <w:rFonts w:ascii="Palatino Linotype" w:eastAsia="Palatino Linotype" w:hAnsi="Palatino Linotype" w:cs="Palatino Linotype"/>
        </w:rPr>
        <w:t xml:space="preserve">de la parte </w:t>
      </w:r>
      <w:r w:rsidRPr="00786EB5">
        <w:rPr>
          <w:rFonts w:ascii="Palatino Linotype" w:eastAsia="Palatino Linotype" w:hAnsi="Palatino Linotype" w:cs="Palatino Linotype"/>
          <w:b/>
          <w:bCs/>
        </w:rPr>
        <w:t>Recurrente</w:t>
      </w:r>
      <w:r w:rsidRPr="00786EB5">
        <w:rPr>
          <w:rFonts w:ascii="Palatino Linotype" w:eastAsia="Palatino Linotype" w:hAnsi="Palatino Linotype" w:cs="Palatino Linotype"/>
        </w:rPr>
        <w:t>, o en su defecto, en caso de ser procedente, ordenar la entrega de información.</w:t>
      </w:r>
    </w:p>
    <w:p w14:paraId="201963EC"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Cuarto. Estudio del asunto. </w:t>
      </w:r>
      <w:r w:rsidRPr="00786EB5">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91B164D"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Artículo 4</w:t>
      </w:r>
      <w:r w:rsidRPr="00786EB5">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F3338F9"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786EB5">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1DA0B8"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786EB5">
        <w:rPr>
          <w:rFonts w:ascii="Palatino Linotype" w:eastAsia="Palatino Linotype" w:hAnsi="Palatino Linotype" w:cs="Palatino Linotype"/>
          <w:i/>
          <w:iCs/>
        </w:rPr>
        <w:t>.”</w:t>
      </w:r>
    </w:p>
    <w:p w14:paraId="5AAB7AD9"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F94C606"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“Artículo 12.-</w:t>
      </w:r>
      <w:r w:rsidRPr="00786EB5">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097DC34D"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p>
    <w:p w14:paraId="38BA22D6" w14:textId="77777777" w:rsidR="007247F6" w:rsidRPr="00786EB5" w:rsidRDefault="00215F9E">
      <w:pPr>
        <w:spacing w:before="240" w:after="240" w:line="360" w:lineRule="auto"/>
        <w:ind w:right="-93"/>
        <w:jc w:val="both"/>
        <w:rPr>
          <w:rFonts w:ascii="Palatino Linotype" w:eastAsia="Palatino Linotype" w:hAnsi="Palatino Linotype" w:cs="Palatino Linotype"/>
        </w:rPr>
      </w:pPr>
      <w:r w:rsidRPr="00786EB5">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7D7389E" w14:textId="77777777" w:rsidR="007247F6" w:rsidRPr="00786EB5" w:rsidRDefault="00215F9E">
      <w:pPr>
        <w:spacing w:before="240" w:after="240" w:line="360" w:lineRule="auto"/>
        <w:jc w:val="both"/>
        <w:rPr>
          <w:rFonts w:ascii="Palatino Linotype" w:eastAsia="Palatino Linotype" w:hAnsi="Palatino Linotype" w:cs="Palatino Linotype"/>
          <w:b/>
          <w:bCs/>
        </w:rPr>
      </w:pPr>
      <w:r w:rsidRPr="00786EB5">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786EB5">
        <w:rPr>
          <w:rFonts w:ascii="Palatino Linotype" w:eastAsia="Palatino Linotype" w:hAnsi="Palatino Linotype" w:cs="Palatino Linotype"/>
          <w:b/>
          <w:bCs/>
        </w:rPr>
        <w:t xml:space="preserve"> </w:t>
      </w:r>
    </w:p>
    <w:p w14:paraId="76A3ED2C" w14:textId="77777777" w:rsidR="007247F6" w:rsidRPr="00786EB5" w:rsidRDefault="00215F9E">
      <w:pPr>
        <w:spacing w:before="120" w:after="120" w:line="240" w:lineRule="auto"/>
        <w:ind w:left="1134"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No existe obligación de elaborar documentos ad hoc para atender las solicitudes de acceso a la información.</w:t>
      </w:r>
      <w:r w:rsidRPr="00786EB5">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9CEA0C8"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FACC6E"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818581"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 xml:space="preserve">Artículo 3. </w:t>
      </w:r>
      <w:r w:rsidRPr="00786EB5">
        <w:rPr>
          <w:rFonts w:ascii="Palatino Linotype" w:eastAsia="Palatino Linotype" w:hAnsi="Palatino Linotype" w:cs="Palatino Linotype"/>
          <w:i/>
          <w:iCs/>
        </w:rPr>
        <w:t>Para los efectos de la presente Ley se entenderá por:</w:t>
      </w:r>
    </w:p>
    <w:p w14:paraId="79EB9521"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p>
    <w:p w14:paraId="5DC50926"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XI. Documento:</w:t>
      </w:r>
      <w:r w:rsidRPr="00786EB5">
        <w:rPr>
          <w:rFonts w:ascii="Palatino Linotype" w:eastAsia="Palatino Linotype" w:hAnsi="Palatino Linotype" w:cs="Palatino Linotype"/>
          <w:i/>
          <w:iCs/>
        </w:rPr>
        <w:t xml:space="preserve"> Los expedientes, reportes, estudios, actas</w:t>
      </w:r>
      <w:r w:rsidRPr="00786EB5">
        <w:rPr>
          <w:rFonts w:ascii="Palatino Linotype" w:eastAsia="Palatino Linotype" w:hAnsi="Palatino Linotype" w:cs="Palatino Linotype"/>
          <w:b/>
          <w:bCs/>
          <w:i/>
          <w:iCs/>
        </w:rPr>
        <w:t>,</w:t>
      </w:r>
      <w:r w:rsidRPr="00786EB5">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AFCE1E0"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723DDF"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rPr>
        <w:t>“</w:t>
      </w:r>
      <w:r w:rsidRPr="00786EB5">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786EB5">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BC5246"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En consecuencia el acceso a la información se refiere a que se cumplan cualquiera de los siguientes tres supuestos:</w:t>
      </w:r>
    </w:p>
    <w:p w14:paraId="1AAD4577"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044E9E5B"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14:paraId="571DBE68"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14:paraId="2B1E8236" w14:textId="77777777" w:rsidR="007247F6" w:rsidRPr="00786EB5" w:rsidRDefault="00215F9E">
      <w:pPr>
        <w:spacing w:before="240" w:after="240" w:line="360" w:lineRule="auto"/>
        <w:ind w:right="51"/>
        <w:jc w:val="both"/>
        <w:rPr>
          <w:rFonts w:ascii="Palatino Linotype" w:eastAsia="Palatino Linotype" w:hAnsi="Palatino Linotype" w:cs="Palatino Linotype"/>
        </w:rPr>
      </w:pPr>
      <w:r w:rsidRPr="00786EB5">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C7610B5"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86BC758" w14:textId="77777777" w:rsidR="007247F6" w:rsidRPr="00786EB5" w:rsidRDefault="00215F9E">
      <w:pPr>
        <w:spacing w:before="240" w:after="240" w:line="360" w:lineRule="auto"/>
        <w:ind w:right="51"/>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786EB5">
        <w:rPr>
          <w:rFonts w:ascii="Palatino Linotype" w:eastAsia="Palatino Linotype" w:hAnsi="Palatino Linotype" w:cs="Palatino Linotype"/>
          <w:b/>
          <w:bCs/>
        </w:rPr>
        <w:t>Recurrente</w:t>
      </w:r>
      <w:r w:rsidRPr="00786EB5">
        <w:rPr>
          <w:rFonts w:ascii="Palatino Linotype" w:eastAsia="Palatino Linotype" w:hAnsi="Palatino Linotype" w:cs="Palatino Linotype"/>
        </w:rPr>
        <w:t xml:space="preserve"> requirió al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le proporcione lo siguiente:</w:t>
      </w:r>
    </w:p>
    <w:p w14:paraId="09CB61C6" w14:textId="77777777" w:rsidR="007247F6" w:rsidRPr="00786EB5" w:rsidRDefault="00215F9E">
      <w:pPr>
        <w:spacing w:before="240" w:after="240" w:line="360" w:lineRule="auto"/>
        <w:ind w:left="284" w:right="51"/>
        <w:jc w:val="both"/>
        <w:rPr>
          <w:rFonts w:ascii="Palatino Linotype" w:eastAsia="Palatino Linotype" w:hAnsi="Palatino Linotype" w:cs="Palatino Linotype"/>
        </w:rPr>
      </w:pPr>
      <w:r w:rsidRPr="00786EB5">
        <w:rPr>
          <w:rFonts w:ascii="Palatino Linotype" w:eastAsia="Palatino Linotype" w:hAnsi="Palatino Linotype" w:cs="Palatino Linotype"/>
        </w:rPr>
        <w:t>Del ejercicio 2017:</w:t>
      </w:r>
    </w:p>
    <w:p w14:paraId="5A72A47F" w14:textId="77777777" w:rsidR="007247F6" w:rsidRPr="00786EB5" w:rsidRDefault="00215F9E">
      <w:pPr>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1. Cuadro General de Clasificación Archivística.</w:t>
      </w:r>
    </w:p>
    <w:p w14:paraId="7B1D857C" w14:textId="77777777" w:rsidR="007247F6" w:rsidRPr="00786EB5" w:rsidRDefault="00215F9E">
      <w:pPr>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2. Catálogo de Disposición Documental.</w:t>
      </w:r>
    </w:p>
    <w:p w14:paraId="3696CEB9" w14:textId="77777777" w:rsidR="007247F6" w:rsidRPr="00786EB5" w:rsidRDefault="00215F9E">
      <w:pPr>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3. Guía de Archivo Documental.</w:t>
      </w:r>
    </w:p>
    <w:p w14:paraId="52855F9B" w14:textId="77777777" w:rsidR="007247F6" w:rsidRPr="00786EB5" w:rsidRDefault="00215F9E">
      <w:pPr>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4. Actas de las Sesiones del Comité Coordinador de Archivos con su Convocatoria y  fotografías.</w:t>
      </w:r>
    </w:p>
    <w:p w14:paraId="61B19353" w14:textId="77777777" w:rsidR="007247F6" w:rsidRPr="00786EB5" w:rsidRDefault="00215F9E">
      <w:pPr>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5. Actas desde la instalación firmadas.</w:t>
      </w:r>
    </w:p>
    <w:p w14:paraId="746DC512" w14:textId="77777777" w:rsidR="007247F6" w:rsidRPr="00786EB5" w:rsidRDefault="00215F9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Cabe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322E2F4A"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30D8E527" w14:textId="77777777" w:rsidR="007247F6" w:rsidRPr="00786EB5" w:rsidRDefault="00215F9E">
      <w:pPr>
        <w:spacing w:before="240" w:after="240" w:line="360" w:lineRule="auto"/>
        <w:ind w:right="51"/>
        <w:jc w:val="both"/>
        <w:rPr>
          <w:rFonts w:ascii="Palatino Linotype" w:eastAsia="Palatino Linotype" w:hAnsi="Palatino Linotype" w:cs="Palatino Linotype"/>
        </w:rPr>
      </w:pPr>
      <w:r w:rsidRPr="00786EB5">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0BDBD6A6"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BC64ABE"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En el caso particular, es de recordar que la Unidad de Transparencia turnó la solicitud a la Secretaria del Ayuntamiento, como la dependencia competente para conocer de la información que es del interés de la persona solicitante.</w:t>
      </w:r>
    </w:p>
    <w:p w14:paraId="512E037C"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Como sustento a lo anterior, es oportuno mencionar que de conformidad con el artículo 91, fracción VI de la Ley Orgánica Municipal del Estado de México, el cual dispone lo siguiente:</w:t>
      </w:r>
    </w:p>
    <w:p w14:paraId="6D48892E"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“Artículo 91</w:t>
      </w:r>
      <w:r w:rsidRPr="00786EB5">
        <w:rPr>
          <w:rFonts w:ascii="Palatino Linotype" w:eastAsia="Palatino Linotype" w:hAnsi="Palatino Linotype" w:cs="Palatino Linotype"/>
          <w:i/>
          <w:iCs/>
        </w:rPr>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2C3A173"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p>
    <w:p w14:paraId="76157671" w14:textId="77777777" w:rsidR="007247F6" w:rsidRPr="00786EB5" w:rsidRDefault="00215F9E">
      <w:pP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 xml:space="preserve">VI. </w:t>
      </w:r>
      <w:r w:rsidRPr="00786EB5">
        <w:rPr>
          <w:rFonts w:ascii="Palatino Linotype" w:eastAsia="Palatino Linotype" w:hAnsi="Palatino Linotype" w:cs="Palatino Linotype"/>
          <w:i/>
          <w:iCs/>
        </w:rPr>
        <w:t>Tener a su cargo el archivo general del ayuntamiento;”</w:t>
      </w:r>
    </w:p>
    <w:p w14:paraId="306DB9B3"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En este tenor, la persona servidora pública, en atención a la solicitud, manifestó que se procedió a realizar la búsqueda exhaustiva y razonable en los archivos físicos y electrónicos que obran en la Coordinación de Apoyo Técnico y Archivo, el Departamento de Archivo de Concentración y el Departamento de Archivo Histórico de la Secretaría del Ayuntamiento, de acuerdo a las facultades, competencias y funciones, sin embargo, no se localizó expresión documental que de atención a la pretensión de la persona solicitante, toda vez que dicha información no obra en los archivos a su cargo, por consiguiente no es procedente hacer entrega de la información requerida.</w:t>
      </w:r>
    </w:p>
    <w:p w14:paraId="7C79CA30" w14:textId="77777777" w:rsidR="007247F6" w:rsidRPr="00786EB5" w:rsidRDefault="00215F9E">
      <w:pPr>
        <w:spacing w:before="240" w:after="240" w:line="360" w:lineRule="auto"/>
        <w:jc w:val="both"/>
        <w:rPr>
          <w:rFonts w:ascii="Palatino Linotype" w:eastAsia="Palatino Linotype" w:hAnsi="Palatino Linotype" w:cs="Palatino Linotype"/>
          <w:b/>
          <w:bCs/>
        </w:rPr>
      </w:pPr>
      <w:r w:rsidRPr="00786EB5">
        <w:rPr>
          <w:rFonts w:ascii="Palatino Linotype" w:eastAsia="Palatino Linotype" w:hAnsi="Palatino Linotype" w:cs="Palatino Linotype"/>
        </w:rPr>
        <w:t xml:space="preserve">Asimismo, procedió a solicitar ante el Comité de Transparencia del Municipio de Toluca la declaratoria de inexistencia de la siguiente información: Cuadro general de clasificación archivística; Catálogo de disposición documental; Guía de archivo documental; Actas de las sesiones del Comité Coordinador de Archivos, convocatoria y fotografías del año 2015 y 2016; quedando bajo el acuerdo CT/SE/1233/01/2025, en la Milésima Ducentésima Trigésima Tercera Sesión Extraordinaria del Comité de Transparencia del Municipio de Toluca, Administración 2025-2027, de fecha quince de octubre de dos mil veinticinco, </w:t>
      </w:r>
      <w:r w:rsidRPr="00786EB5">
        <w:rPr>
          <w:rFonts w:ascii="Palatino Linotype" w:eastAsia="Palatino Linotype" w:hAnsi="Palatino Linotype" w:cs="Palatino Linotype"/>
          <w:b/>
          <w:bCs/>
        </w:rPr>
        <w:t>cabe señalar que dicha acta no se adjuntó al expediente.</w:t>
      </w:r>
    </w:p>
    <w:p w14:paraId="674E7C2F" w14:textId="77777777" w:rsidR="007247F6" w:rsidRPr="00786EB5" w:rsidRDefault="00215F9E">
      <w:pPr>
        <w:spacing w:before="240" w:after="240" w:line="360" w:lineRule="auto"/>
        <w:ind w:right="49"/>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Al no estar conforme con los términos de la respuesta proporcionada, la parte </w:t>
      </w:r>
      <w:r w:rsidRPr="00786EB5">
        <w:rPr>
          <w:rFonts w:ascii="Palatino Linotype" w:eastAsia="Palatino Linotype" w:hAnsi="Palatino Linotype" w:cs="Palatino Linotype"/>
          <w:b/>
          <w:bCs/>
        </w:rPr>
        <w:t xml:space="preserve">Recurrente </w:t>
      </w:r>
      <w:r w:rsidRPr="00786EB5">
        <w:rPr>
          <w:rFonts w:ascii="Palatino Linotype" w:eastAsia="Palatino Linotype" w:hAnsi="Palatino Linotype" w:cs="Palatino Linotype"/>
        </w:rPr>
        <w:t xml:space="preserve">presentó el recurso de revisión que nos ocupa, donde señaló como motivo de inconformidad, que se no se había entregado la información solicitada, ni el acta de inexistencia referida. </w:t>
      </w:r>
    </w:p>
    <w:p w14:paraId="48FF14E1"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En la etapa de manifestaciones el </w:t>
      </w:r>
      <w:r w:rsidRPr="00786EB5">
        <w:rPr>
          <w:rFonts w:ascii="Palatino Linotype" w:eastAsia="Palatino Linotype" w:hAnsi="Palatino Linotype" w:cs="Palatino Linotype"/>
          <w:b/>
          <w:bCs/>
        </w:rPr>
        <w:t>Sujeto Obligado</w:t>
      </w:r>
      <w:r w:rsidRPr="00786EB5">
        <w:rPr>
          <w:rFonts w:ascii="Palatino Linotype" w:eastAsia="Palatino Linotype" w:hAnsi="Palatino Linotype" w:cs="Palatino Linotype"/>
        </w:rPr>
        <w:t>,</w:t>
      </w:r>
      <w:r w:rsidRPr="00786EB5">
        <w:rPr>
          <w:rFonts w:ascii="Palatino Linotype" w:eastAsia="Palatino Linotype" w:hAnsi="Palatino Linotype" w:cs="Palatino Linotype"/>
          <w:b/>
          <w:bCs/>
        </w:rPr>
        <w:t xml:space="preserve"> </w:t>
      </w:r>
      <w:r w:rsidRPr="00786EB5">
        <w:rPr>
          <w:rFonts w:ascii="Palatino Linotype" w:eastAsia="Palatino Linotype" w:hAnsi="Palatino Linotype" w:cs="Palatino Linotype"/>
        </w:rPr>
        <w:t xml:space="preserve">ratificó en lo sustancial la respuesta proporcionada en primera instancia por la Secretaría del Ayuntamiento. </w:t>
      </w:r>
    </w:p>
    <w:p w14:paraId="7CD0D49A" w14:textId="77777777" w:rsidR="007247F6" w:rsidRPr="00786EB5" w:rsidRDefault="00215F9E">
      <w:pPr>
        <w:spacing w:before="280" w:after="28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Una vez establecidas las posturas de las partes, se procede al análisis del requerimiento de información combatido, así como la información proporcionada por el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 xml:space="preserve">en contraposición con el motivo de inconformidad alegado por la parte </w:t>
      </w:r>
      <w:r w:rsidRPr="00786EB5">
        <w:rPr>
          <w:rFonts w:ascii="Palatino Linotype" w:eastAsia="Palatino Linotype" w:hAnsi="Palatino Linotype" w:cs="Palatino Linotype"/>
          <w:b/>
          <w:bCs/>
        </w:rPr>
        <w:t xml:space="preserve">Recurrente, </w:t>
      </w:r>
      <w:r w:rsidRPr="00786EB5">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7279021E" w14:textId="77777777" w:rsidR="007247F6" w:rsidRPr="00786EB5" w:rsidRDefault="00215F9E">
      <w:pP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Tomando en consideración la materia de la solicitud y la temporalidad de la misma, es oportuno analizar los requerimientos de información en contraposición con lo establecido en los Lineamientos para la Organización y Conservación de los Archivos, la Ley General de Archivos, y la Ley de Archivos y Administración de Documentos del Estado de México y Municipios, a efecto de determinar si los mismos podrían colmarse con la entrega de un documento, o, por el contrario, si el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se encuentra imposibilitado para atender los mismos.</w:t>
      </w:r>
    </w:p>
    <w:p w14:paraId="27532193" w14:textId="77777777" w:rsidR="007247F6" w:rsidRPr="00786EB5" w:rsidRDefault="00215F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En este orden de ideas, es de mencionar que los Lineamientos para la Organización y Conservación de los Archivos, emitidos por el SISTEMA NACIONAL DE TRANSPARENCIA, ACCESO A LA INFORMACIÓN PÚBLICA Y PROTECCIÓN DE DATOS PERSONALES, publicados en el Diario Oficial de la Federación el </w:t>
      </w:r>
      <w:r w:rsidRPr="00786EB5">
        <w:rPr>
          <w:rFonts w:ascii="Palatino Linotype" w:eastAsia="Palatino Linotype" w:hAnsi="Palatino Linotype" w:cs="Palatino Linotype"/>
          <w:b/>
          <w:bCs/>
        </w:rPr>
        <w:t xml:space="preserve">cinco de mayo de dos mil dieciséis, </w:t>
      </w:r>
      <w:r w:rsidRPr="00786EB5">
        <w:rPr>
          <w:rFonts w:ascii="Palatino Linotype" w:eastAsia="Palatino Linotype" w:hAnsi="Palatino Linotype" w:cs="Palatino Linotype"/>
        </w:rPr>
        <w:t>mismos que son de observancia obligatoria y de aplicación general para los sujetos obligados señalados en el artículo 1 de la Ley General de Transparencia y Acceso a la Información Pública., establecen, en los numerales Noveno, fracción I y Décimo, fracción I y  que el Sistema Institucional de Archivos opera a través de diversas unidades e instancias, entre las que se encuentra el Área Coordinadora de Archivos, entre cuyas atribuciones se encuentra la de formular los instrumentos de control archivístico, los cuales se encuentran establecidos en el numeral Décimo tercero de los Lineamientos:</w:t>
      </w:r>
    </w:p>
    <w:p w14:paraId="3B3BD4CD" w14:textId="77777777" w:rsidR="007247F6" w:rsidRPr="00786EB5" w:rsidRDefault="00215F9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Décimo tercero. Los Sujetos obligados, a través de sus áreas coordinadoras de archivos, deberán elaborar los Instrumentos de control y consulta archivísticos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015F927F" w14:textId="77777777" w:rsidR="007247F6" w:rsidRPr="00786EB5" w:rsidRDefault="00215F9E">
      <w:pPr>
        <w:numPr>
          <w:ilvl w:val="0"/>
          <w:numId w:val="4"/>
        </w:numPr>
        <w:pBdr>
          <w:top w:val="nil"/>
          <w:left w:val="nil"/>
          <w:bottom w:val="nil"/>
          <w:right w:val="nil"/>
          <w:between w:val="nil"/>
        </w:pBdr>
        <w:tabs>
          <w:tab w:val="left" w:pos="993"/>
        </w:tabs>
        <w:spacing w:before="120" w:after="120" w:line="240" w:lineRule="auto"/>
        <w:ind w:right="902"/>
        <w:jc w:val="both"/>
        <w:rPr>
          <w:rFonts w:ascii="Palatino Linotype" w:eastAsia="Palatino Linotype" w:hAnsi="Palatino Linotype" w:cs="Palatino Linotype"/>
          <w:b/>
          <w:bCs/>
          <w:i/>
          <w:iCs/>
        </w:rPr>
      </w:pPr>
      <w:r w:rsidRPr="00786EB5">
        <w:rPr>
          <w:rFonts w:ascii="Palatino Linotype" w:eastAsia="Palatino Linotype" w:hAnsi="Palatino Linotype" w:cs="Palatino Linotype"/>
          <w:b/>
          <w:bCs/>
          <w:i/>
          <w:iCs/>
        </w:rPr>
        <w:t xml:space="preserve">  Cuadro general de clasificación archivística;</w:t>
      </w:r>
    </w:p>
    <w:p w14:paraId="4A83B354" w14:textId="77777777" w:rsidR="007247F6" w:rsidRPr="00786EB5" w:rsidRDefault="00215F9E">
      <w:pPr>
        <w:pBdr>
          <w:top w:val="nil"/>
          <w:left w:val="nil"/>
          <w:bottom w:val="nil"/>
          <w:right w:val="nil"/>
          <w:between w:val="nil"/>
        </w:pBdr>
        <w:tabs>
          <w:tab w:val="left" w:pos="993"/>
        </w:tabs>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II. Catálogo de disposición documental,</w:t>
      </w:r>
      <w:r w:rsidRPr="00786EB5">
        <w:rPr>
          <w:rFonts w:ascii="Palatino Linotype" w:eastAsia="Palatino Linotype" w:hAnsi="Palatino Linotype" w:cs="Palatino Linotype"/>
          <w:i/>
          <w:iCs/>
        </w:rPr>
        <w:t xml:space="preserve"> y</w:t>
      </w:r>
    </w:p>
    <w:p w14:paraId="39838944" w14:textId="77777777" w:rsidR="007247F6" w:rsidRPr="00786EB5" w:rsidRDefault="00215F9E">
      <w:pPr>
        <w:pBdr>
          <w:top w:val="nil"/>
          <w:left w:val="nil"/>
          <w:bottom w:val="nil"/>
          <w:right w:val="nil"/>
          <w:between w:val="nil"/>
        </w:pBdr>
        <w:tabs>
          <w:tab w:val="left" w:pos="993"/>
        </w:tabs>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III. Inventarios documentales:</w:t>
      </w:r>
    </w:p>
    <w:p w14:paraId="0635BC4A" w14:textId="77777777" w:rsidR="007247F6" w:rsidRPr="00786EB5" w:rsidRDefault="00215F9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a) General;</w:t>
      </w:r>
    </w:p>
    <w:p w14:paraId="56851A67" w14:textId="77777777" w:rsidR="007247F6" w:rsidRPr="00786EB5" w:rsidRDefault="00215F9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b) De transferencia, y</w:t>
      </w:r>
    </w:p>
    <w:p w14:paraId="4B52D21C" w14:textId="77777777" w:rsidR="007247F6" w:rsidRPr="00786EB5" w:rsidRDefault="00215F9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c) De baja.</w:t>
      </w:r>
    </w:p>
    <w:p w14:paraId="43535D34" w14:textId="77777777" w:rsidR="007247F6" w:rsidRPr="00786EB5" w:rsidRDefault="00215F9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La estructura del Cuadro general de clasificación archivística atenderá los niveles de Fondo, Sección y Serie, sin que esto excluya la posibilidad de que existan niveles intermedios, los cuales serán identificados mediante una clave alfanumérica.”</w:t>
      </w:r>
    </w:p>
    <w:p w14:paraId="702B7658" w14:textId="77777777" w:rsidR="007247F6" w:rsidRPr="00786EB5" w:rsidRDefault="00215F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Mientras que el numeral Décimo cuarto, establece que además de los instrumentos de control y consulta archivísticos los Sujetos obligados deberán contar con la </w:t>
      </w:r>
      <w:r w:rsidRPr="00786EB5">
        <w:rPr>
          <w:rFonts w:ascii="Palatino Linotype" w:eastAsia="Palatino Linotype" w:hAnsi="Palatino Linotype" w:cs="Palatino Linotype"/>
          <w:b/>
          <w:bCs/>
          <w:u w:val="single"/>
        </w:rPr>
        <w:t>Guía de archivo documental</w:t>
      </w:r>
      <w:r w:rsidRPr="00786EB5">
        <w:rPr>
          <w:rFonts w:ascii="Palatino Linotype" w:eastAsia="Palatino Linotype" w:hAnsi="Palatino Linotype" w:cs="Palatino Linotype"/>
          <w:b/>
          <w:bCs/>
        </w:rPr>
        <w:t xml:space="preserve">, </w:t>
      </w:r>
      <w:r w:rsidRPr="00786EB5">
        <w:rPr>
          <w:rFonts w:ascii="Palatino Linotype" w:eastAsia="Palatino Linotype" w:hAnsi="Palatino Linotype" w:cs="Palatino Linotype"/>
        </w:rPr>
        <w:t>la cual deberá contener como mínimo:</w:t>
      </w:r>
    </w:p>
    <w:p w14:paraId="4E6801BB" w14:textId="77777777" w:rsidR="007247F6" w:rsidRPr="00786EB5" w:rsidRDefault="00215F9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I. La descripción general contenida en las series documentales que conforman los archivos de trámite, de concentración e histórico, y</w:t>
      </w:r>
    </w:p>
    <w:p w14:paraId="07175534" w14:textId="77777777" w:rsidR="007247F6" w:rsidRPr="00786EB5" w:rsidRDefault="00215F9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786EB5">
        <w:rPr>
          <w:rFonts w:ascii="Palatino Linotype" w:eastAsia="Palatino Linotype" w:hAnsi="Palatino Linotype" w:cs="Palatino Linotype"/>
        </w:rPr>
        <w:t>II. Nombre, cargo, dirección y correo electrónico del titular de cada una de las áreas responsables de la información.</w:t>
      </w:r>
    </w:p>
    <w:p w14:paraId="252C5F71" w14:textId="77777777" w:rsidR="007247F6" w:rsidRPr="00786EB5" w:rsidRDefault="00215F9E">
      <w:pPr>
        <w:pBdr>
          <w:top w:val="nil"/>
          <w:left w:val="nil"/>
          <w:bottom w:val="nil"/>
          <w:right w:val="nil"/>
          <w:between w:val="nil"/>
        </w:pBdr>
        <w:spacing w:before="240" w:after="240" w:line="360" w:lineRule="auto"/>
        <w:jc w:val="both"/>
        <w:rPr>
          <w:rFonts w:ascii="Palatino Linotype" w:eastAsia="Palatino Linotype" w:hAnsi="Palatino Linotype" w:cs="Palatino Linotype"/>
          <w:b/>
          <w:bCs/>
          <w:u w:val="single"/>
        </w:rPr>
      </w:pPr>
      <w:r w:rsidRPr="00786EB5">
        <w:rPr>
          <w:rFonts w:ascii="Palatino Linotype" w:eastAsia="Palatino Linotype" w:hAnsi="Palatino Linotype" w:cs="Palatino Linotype"/>
        </w:rPr>
        <w:t>Es de señalar que de conformidad con los Transitorios Primero, Segundo, Tercero, Cuarto y Quinto, los referidos Lineamientos, entraron</w:t>
      </w:r>
      <w:r w:rsidRPr="00786EB5">
        <w:rPr>
          <w:rFonts w:ascii="Palatino Linotype" w:eastAsia="Palatino Linotype" w:hAnsi="Palatino Linotype" w:cs="Palatino Linotype"/>
          <w:b/>
          <w:bCs/>
        </w:rPr>
        <w:t xml:space="preserve"> en vigor al día siguiente de su publicación</w:t>
      </w:r>
      <w:r w:rsidRPr="00786EB5">
        <w:rPr>
          <w:rFonts w:ascii="Palatino Linotype" w:eastAsia="Palatino Linotype" w:hAnsi="Palatino Linotype" w:cs="Palatino Linotype"/>
        </w:rPr>
        <w:t xml:space="preserve"> en el Diario Oficial de la Federación, es decir, </w:t>
      </w:r>
      <w:r w:rsidRPr="00786EB5">
        <w:rPr>
          <w:rFonts w:ascii="Palatino Linotype" w:eastAsia="Palatino Linotype" w:hAnsi="Palatino Linotype" w:cs="Palatino Linotype"/>
          <w:b/>
          <w:bCs/>
        </w:rPr>
        <w:t xml:space="preserve">a partir del seis de mayo de dos mil dieciséis, en los transitarios de dichos Lineamientos se refirió que </w:t>
      </w:r>
      <w:r w:rsidRPr="00786EB5">
        <w:rPr>
          <w:rFonts w:ascii="Palatino Linotype" w:eastAsia="Palatino Linotype" w:hAnsi="Palatino Linotype" w:cs="Palatino Linotype"/>
        </w:rPr>
        <w:t xml:space="preserve">para aquellos Sujetos Obligados que no contaran con </w:t>
      </w:r>
      <w:r w:rsidRPr="00786EB5">
        <w:rPr>
          <w:rFonts w:ascii="Palatino Linotype" w:eastAsia="Palatino Linotype" w:hAnsi="Palatino Linotype" w:cs="Palatino Linotype"/>
          <w:b/>
          <w:bCs/>
        </w:rPr>
        <w:t>los instrumentos de control y consulta archivísticos</w:t>
      </w:r>
      <w:r w:rsidRPr="00786EB5">
        <w:rPr>
          <w:rFonts w:ascii="Palatino Linotype" w:eastAsia="Palatino Linotype" w:hAnsi="Palatino Linotype" w:cs="Palatino Linotype"/>
        </w:rPr>
        <w:t xml:space="preserve">, se les concedió un plazo de </w:t>
      </w:r>
      <w:r w:rsidRPr="00786EB5">
        <w:rPr>
          <w:rFonts w:ascii="Palatino Linotype" w:eastAsia="Palatino Linotype" w:hAnsi="Palatino Linotype" w:cs="Palatino Linotype"/>
          <w:b/>
          <w:bCs/>
          <w:u w:val="single"/>
        </w:rPr>
        <w:t>doce meses posteriores</w:t>
      </w:r>
      <w:r w:rsidRPr="00786EB5">
        <w:rPr>
          <w:rFonts w:ascii="Palatino Linotype" w:eastAsia="Palatino Linotype" w:hAnsi="Palatino Linotype" w:cs="Palatino Linotype"/>
        </w:rPr>
        <w:t xml:space="preserve"> a la entrada en vigor de los Lineamientos para elaborarlos, luego entonces para el </w:t>
      </w:r>
      <w:r w:rsidRPr="00786EB5">
        <w:rPr>
          <w:rFonts w:ascii="Palatino Linotype" w:eastAsia="Palatino Linotype" w:hAnsi="Palatino Linotype" w:cs="Palatino Linotype"/>
          <w:b/>
          <w:bCs/>
          <w:u w:val="single"/>
        </w:rPr>
        <w:t>seis de mayo de 2017 ya debía de obrar en sus archivos la información solicitada.</w:t>
      </w:r>
    </w:p>
    <w:p w14:paraId="32564AB1" w14:textId="77777777" w:rsidR="007247F6" w:rsidRPr="00786EB5" w:rsidRDefault="00215F9E">
      <w:pPr>
        <w:pBdr>
          <w:top w:val="nil"/>
          <w:left w:val="nil"/>
          <w:bottom w:val="nil"/>
          <w:right w:val="nil"/>
          <w:between w:val="nil"/>
        </w:pBdr>
        <w:spacing w:before="240" w:after="240" w:line="360" w:lineRule="auto"/>
        <w:jc w:val="both"/>
        <w:rPr>
          <w:rFonts w:ascii="Palatino Linotype" w:eastAsia="Palatino Linotype" w:hAnsi="Palatino Linotype" w:cs="Palatino Linotype"/>
          <w:b/>
          <w:bCs/>
        </w:rPr>
      </w:pPr>
      <w:r w:rsidRPr="00786EB5">
        <w:rPr>
          <w:rFonts w:ascii="Palatino Linotype" w:eastAsia="Palatino Linotype" w:hAnsi="Palatino Linotype" w:cs="Palatino Linotype"/>
        </w:rPr>
        <w:t xml:space="preserve">De igual forma a partir de la publicación de los Lineamientos se les concedió a los Sujetos Obligados un plazo de </w:t>
      </w:r>
      <w:r w:rsidRPr="00786EB5">
        <w:rPr>
          <w:rFonts w:ascii="Palatino Linotype" w:eastAsia="Palatino Linotype" w:hAnsi="Palatino Linotype" w:cs="Palatino Linotype"/>
          <w:b/>
          <w:bCs/>
          <w:u w:val="single"/>
        </w:rPr>
        <w:t>doce meses</w:t>
      </w:r>
      <w:r w:rsidRPr="00786EB5">
        <w:rPr>
          <w:rFonts w:ascii="Palatino Linotype" w:eastAsia="Palatino Linotype" w:hAnsi="Palatino Linotype" w:cs="Palatino Linotype"/>
          <w:b/>
          <w:bCs/>
        </w:rPr>
        <w:t xml:space="preserve"> para la implementación del Sistema Institucional de Archivos,  plazo que al igual que los instrumentos de control archivístico debía estar implementado a más tardar el 06 de mayo de 2017. </w:t>
      </w:r>
    </w:p>
    <w:p w14:paraId="337C3D92" w14:textId="77777777" w:rsidR="007247F6" w:rsidRPr="00786EB5" w:rsidRDefault="00215F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En el mismo tenor, dichos Lineamientos</w:t>
      </w:r>
      <w:r w:rsidRPr="00786EB5">
        <w:rPr>
          <w:rFonts w:ascii="Palatino Linotype" w:eastAsia="Palatino Linotype" w:hAnsi="Palatino Linotype" w:cs="Palatino Linotype"/>
          <w:b/>
          <w:bCs/>
        </w:rPr>
        <w:t xml:space="preserve"> </w:t>
      </w:r>
      <w:r w:rsidRPr="00786EB5">
        <w:rPr>
          <w:rFonts w:ascii="Palatino Linotype" w:eastAsia="Palatino Linotype" w:hAnsi="Palatino Linotype" w:cs="Palatino Linotype"/>
        </w:rPr>
        <w:t xml:space="preserve">establecieron en sus numerales Noveno, Décimo inciso I, la obligación de los sujetos obligados de implementar un </w:t>
      </w:r>
      <w:r w:rsidRPr="00786EB5">
        <w:rPr>
          <w:rFonts w:ascii="Palatino Linotype" w:eastAsia="Palatino Linotype" w:hAnsi="Palatino Linotype" w:cs="Palatino Linotype"/>
          <w:b/>
          <w:bCs/>
        </w:rPr>
        <w:t>área coordinadora de archivos</w:t>
      </w:r>
      <w:r w:rsidRPr="00786EB5">
        <w:rPr>
          <w:rFonts w:ascii="Palatino Linotype" w:eastAsia="Palatino Linotype" w:hAnsi="Palatino Linotype" w:cs="Palatino Linotype"/>
        </w:rPr>
        <w:t xml:space="preserve"> la cual, tiene las siguientes funciones en su parte conducente aprobar los instrumentos de control archivístico, así como integrar </w:t>
      </w:r>
      <w:r w:rsidRPr="00786EB5">
        <w:rPr>
          <w:rFonts w:ascii="Palatino Linotype" w:eastAsia="Palatino Linotype" w:hAnsi="Palatino Linotype" w:cs="Palatino Linotype"/>
          <w:b/>
          <w:bCs/>
        </w:rPr>
        <w:t xml:space="preserve">al grupo interdisciplinario, siendo este el conjunto de personas integrado por el titular del área coordinadora de archivos; la unidad de transparencia; los titulares de las áreas de: planeación estratégica, jurídica, mejora continua, órganos internos de control o sus equivalentes, las áreas responsables de la información, así como el responsable del Archivo histórico, con la finalidad de participar en la </w:t>
      </w:r>
      <w:r w:rsidRPr="00786EB5">
        <w:rPr>
          <w:rFonts w:ascii="Palatino Linotype" w:eastAsia="Palatino Linotype" w:hAnsi="Palatino Linotype" w:cs="Palatino Linotype"/>
          <w:b/>
          <w:bCs/>
          <w:u w:val="single"/>
        </w:rPr>
        <w:t>valoración documenta</w:t>
      </w:r>
      <w:r w:rsidRPr="00786EB5">
        <w:rPr>
          <w:rFonts w:ascii="Palatino Linotype" w:eastAsia="Palatino Linotype" w:hAnsi="Palatino Linotype" w:cs="Palatino Linotype"/>
          <w:b/>
          <w:bCs/>
        </w:rPr>
        <w:t xml:space="preserve">l y quien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 </w:t>
      </w:r>
      <w:r w:rsidRPr="00786EB5">
        <w:rPr>
          <w:rFonts w:ascii="Palatino Linotype" w:eastAsia="Palatino Linotype" w:hAnsi="Palatino Linotype" w:cs="Palatino Linotype"/>
        </w:rPr>
        <w:t>Corolario a lo anterior, se advierte que la normativa en materia de archivo le impone al Sujeto Obligado el deber de generar los documentos que son del interés de la persona solicitante, no debe perderse de vista que la obligación de contar con dicha información fue exigible a partir del 06 de mayo de 2017, como requiere la persona solicitante.</w:t>
      </w:r>
    </w:p>
    <w:p w14:paraId="4052D8A4" w14:textId="77777777" w:rsidR="007247F6" w:rsidRPr="00786EB5" w:rsidRDefault="00215F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En tal contexto, cobra relevancia el pronunciamiento emitido por la persona servidora pública habilitada de la Secretaría del Ayuntamiento, quien señaló que remitió el acuerdo de inexistencia, sin embargo, el mismo no fue enviado. </w:t>
      </w:r>
    </w:p>
    <w:p w14:paraId="454DD3CF"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Por tal motivo, para tener por satisfecha la pretensión del particular, deberá remitir la declaratoria formal de inexistencia, en términos de lo que señala el artículo 19, tercer párrafo, 49, fracciones II y XIII; 169 y 170 de la Ley de Transparencia y Acceso a la Información Pública del Estado de México y Municipios, que disponen lo siguiente:</w:t>
      </w:r>
    </w:p>
    <w:p w14:paraId="55C389EF" w14:textId="77777777" w:rsidR="007247F6" w:rsidRPr="00786EB5" w:rsidRDefault="007247F6">
      <w:pPr>
        <w:ind w:left="851" w:right="902"/>
        <w:jc w:val="both"/>
        <w:rPr>
          <w:rFonts w:ascii="Palatino Linotype" w:eastAsia="Palatino Linotype" w:hAnsi="Palatino Linotype" w:cs="Palatino Linotype"/>
          <w:i/>
          <w:iCs/>
        </w:rPr>
      </w:pPr>
    </w:p>
    <w:p w14:paraId="498F7894"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Artículo 19.</w:t>
      </w:r>
      <w:r w:rsidRPr="00786EB5">
        <w:rPr>
          <w:rFonts w:ascii="Palatino Linotype" w:eastAsia="Palatino Linotype" w:hAnsi="Palatino Linotype" w:cs="Palatino Linotype"/>
          <w:i/>
          <w:iCs/>
        </w:rPr>
        <w:t xml:space="preserve"> (…)</w:t>
      </w:r>
    </w:p>
    <w:p w14:paraId="2011AF0B"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Si el sujeto obligado, en el ejercicio de sus atribuciones, debía generar, poseer o administrar la información, pero ésta no se encuentra, el Comité de transparencia deberá emitir un acuerdo de inexistencia</w:t>
      </w:r>
      <w:r w:rsidRPr="00786EB5">
        <w:rPr>
          <w:rFonts w:ascii="Palatino Linotype" w:eastAsia="Palatino Linotype" w:hAnsi="Palatino Linotype" w:cs="Palatino Linotype"/>
          <w:i/>
          <w:iCs/>
        </w:rPr>
        <w:t>, debidamente fundado y motivado, en el que detalle las razones del por qué no obra en sus archivos.”</w:t>
      </w:r>
    </w:p>
    <w:p w14:paraId="6174F456"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Artículo 49.</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Los Comités de Transparencia</w:t>
      </w:r>
      <w:r w:rsidRPr="00786EB5">
        <w:rPr>
          <w:rFonts w:ascii="Palatino Linotype" w:eastAsia="Palatino Linotype" w:hAnsi="Palatino Linotype" w:cs="Palatino Linotype"/>
          <w:i/>
          <w:iCs/>
        </w:rPr>
        <w:t xml:space="preserve"> tendrán las siguientes </w:t>
      </w:r>
      <w:r w:rsidRPr="00786EB5">
        <w:rPr>
          <w:rFonts w:ascii="Palatino Linotype" w:eastAsia="Palatino Linotype" w:hAnsi="Palatino Linotype" w:cs="Palatino Linotype"/>
          <w:b/>
          <w:bCs/>
          <w:i/>
          <w:iCs/>
        </w:rPr>
        <w:t>atribuciones</w:t>
      </w:r>
      <w:r w:rsidRPr="00786EB5">
        <w:rPr>
          <w:rFonts w:ascii="Palatino Linotype" w:eastAsia="Palatino Linotype" w:hAnsi="Palatino Linotype" w:cs="Palatino Linotype"/>
          <w:i/>
          <w:iCs/>
        </w:rPr>
        <w:t>:</w:t>
      </w:r>
    </w:p>
    <w:p w14:paraId="5ECE820C"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II.</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Confirmar, modificar o revocar las determinaciones que en materia de</w:t>
      </w:r>
      <w:r w:rsidRPr="00786EB5">
        <w:rPr>
          <w:rFonts w:ascii="Palatino Linotype" w:eastAsia="Palatino Linotype" w:hAnsi="Palatino Linotype" w:cs="Palatino Linotype"/>
          <w:i/>
          <w:iCs/>
        </w:rPr>
        <w:t xml:space="preserve"> ampliación del plazo de respuesta, clasificación de la información y </w:t>
      </w:r>
      <w:r w:rsidRPr="00786EB5">
        <w:rPr>
          <w:rFonts w:ascii="Palatino Linotype" w:eastAsia="Palatino Linotype" w:hAnsi="Palatino Linotype" w:cs="Palatino Linotype"/>
          <w:b/>
          <w:bCs/>
          <w:i/>
          <w:iCs/>
        </w:rPr>
        <w:t>declaración de inexistencia</w:t>
      </w:r>
      <w:r w:rsidRPr="00786EB5">
        <w:rPr>
          <w:rFonts w:ascii="Palatino Linotype" w:eastAsia="Palatino Linotype" w:hAnsi="Palatino Linotype" w:cs="Palatino Linotype"/>
          <w:i/>
          <w:iCs/>
        </w:rPr>
        <w:t xml:space="preserve"> o de incompetencia realicen los titulares de las áreas de los sujetos obligados;</w:t>
      </w:r>
    </w:p>
    <w:p w14:paraId="335FFB66"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XIII.</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Dictaminar las declaratorias de inexistencia de la información</w:t>
      </w:r>
      <w:r w:rsidRPr="00786EB5">
        <w:rPr>
          <w:rFonts w:ascii="Palatino Linotype" w:eastAsia="Palatino Linotype" w:hAnsi="Palatino Linotype" w:cs="Palatino Linotype"/>
          <w:i/>
          <w:iCs/>
        </w:rPr>
        <w:t xml:space="preserve"> que les remitan las unidades administrativas y resolver en consecuencia…”</w:t>
      </w:r>
    </w:p>
    <w:p w14:paraId="043C4742"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Artículo 169</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Cuando la información no se encuentre en los archivos del sujeto obligado, el Comité de Transparencia</w:t>
      </w:r>
      <w:r w:rsidRPr="00786EB5">
        <w:rPr>
          <w:rFonts w:ascii="Palatino Linotype" w:eastAsia="Palatino Linotype" w:hAnsi="Palatino Linotype" w:cs="Palatino Linotype"/>
          <w:i/>
          <w:iCs/>
        </w:rPr>
        <w:t xml:space="preserve">: </w:t>
      </w:r>
    </w:p>
    <w:p w14:paraId="1786623B"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I.</w:t>
      </w:r>
      <w:r w:rsidRPr="00786EB5">
        <w:rPr>
          <w:rFonts w:ascii="Palatino Linotype" w:eastAsia="Palatino Linotype" w:hAnsi="Palatino Linotype" w:cs="Palatino Linotype"/>
          <w:i/>
          <w:iCs/>
        </w:rPr>
        <w:t xml:space="preserve"> Analizará el caso y tomará las medidas necesarias para localizar la información; </w:t>
      </w:r>
    </w:p>
    <w:p w14:paraId="19732E34"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II.</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Expedirá una resolución que confirme la inexistencia del documento</w:t>
      </w:r>
      <w:r w:rsidRPr="00786EB5">
        <w:rPr>
          <w:rFonts w:ascii="Palatino Linotype" w:eastAsia="Palatino Linotype" w:hAnsi="Palatino Linotype" w:cs="Palatino Linotype"/>
          <w:i/>
          <w:iCs/>
        </w:rPr>
        <w:t xml:space="preserve">; </w:t>
      </w:r>
    </w:p>
    <w:p w14:paraId="72C04047"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III</w:t>
      </w:r>
      <w:r w:rsidRPr="00786EB5">
        <w:rPr>
          <w:rFonts w:ascii="Palatino Linotype" w:eastAsia="Palatino Linotype" w:hAnsi="Palatino Linotype" w:cs="Palatino Linotype"/>
          <w:i/>
          <w:iC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46ED742"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b/>
          <w:bCs/>
          <w:i/>
          <w:iCs/>
        </w:rPr>
        <w:t xml:space="preserve">IV. </w:t>
      </w:r>
      <w:r w:rsidRPr="00786EB5">
        <w:rPr>
          <w:rFonts w:ascii="Palatino Linotype" w:eastAsia="Palatino Linotype" w:hAnsi="Palatino Linotype" w:cs="Palatino Linotype"/>
          <w:i/>
          <w:iCs/>
        </w:rPr>
        <w:t xml:space="preserve">Notificará al órgano interno de control o equivalente del sujeto obligado quien, en su caso, deberá iniciar el procedimiento de responsabilidad administrativa que corresponda. </w:t>
      </w:r>
    </w:p>
    <w:p w14:paraId="3B44D55F"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 xml:space="preserve">La Unidad de Transparencia deberá notificarlo al solicitante por escrito, en un plazo que no exceda de quince días hábiles contados a partir del día siguiente a la presentación de la solicitud. </w:t>
      </w:r>
    </w:p>
    <w:p w14:paraId="5ABA618C"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Este plazo podrá ampliarse hasta por otros siete días hábiles, siempre que existan razones para ello, debiendo notificarse por escrito al solicitante.”</w:t>
      </w:r>
    </w:p>
    <w:p w14:paraId="3B3D0F00"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Artículo 170.</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La resolución del Comité de Transparencia que confirme la inexistencia de la información solicitada contendrá los elementos mínimos</w:t>
      </w:r>
      <w:r w:rsidRPr="00786EB5">
        <w:rPr>
          <w:rFonts w:ascii="Palatino Linotype" w:eastAsia="Palatino Linotype" w:hAnsi="Palatino Linotype" w:cs="Palatino Linotype"/>
          <w:i/>
          <w:iCs/>
        </w:rPr>
        <w:t xml:space="preserve"> </w:t>
      </w:r>
      <w:r w:rsidRPr="00786EB5">
        <w:rPr>
          <w:rFonts w:ascii="Palatino Linotype" w:eastAsia="Palatino Linotype" w:hAnsi="Palatino Linotype" w:cs="Palatino Linotype"/>
          <w:b/>
          <w:bCs/>
          <w:i/>
          <w:iCs/>
        </w:rPr>
        <w:t>que permitan al solicitante tener la certeza de que se utilizó un criterio de búsqueda exhaustivo</w:t>
      </w:r>
      <w:r w:rsidRPr="00786EB5">
        <w:rPr>
          <w:rFonts w:ascii="Palatino Linotype" w:eastAsia="Palatino Linotype" w:hAnsi="Palatino Linotype" w:cs="Palatino Linotype"/>
          <w:i/>
          <w:iCs/>
        </w:rPr>
        <w:t>, además de señalar las circunstancias de tiempo, modo y lugar que generaron la existencia en cuestión y señalará al servidor público responsable de contar con la misma.”</w:t>
      </w:r>
    </w:p>
    <w:p w14:paraId="3075565B" w14:textId="77777777" w:rsidR="007247F6" w:rsidRPr="00786EB5" w:rsidRDefault="007247F6">
      <w:pPr>
        <w:spacing w:line="276" w:lineRule="auto"/>
        <w:ind w:left="851" w:right="616"/>
        <w:jc w:val="both"/>
        <w:rPr>
          <w:rFonts w:ascii="Palatino Linotype" w:eastAsia="Palatino Linotype" w:hAnsi="Palatino Linotype" w:cs="Palatino Linotype"/>
          <w:i/>
          <w:iCs/>
        </w:rPr>
      </w:pPr>
    </w:p>
    <w:p w14:paraId="207EB55B"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De lo anterior, se aprecia que, para la emisión del Acuerdo de Inexistencia este debe dar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informen la circunstancia por la cual no obran en los archivos del ente obligado, a pesar de contar con fuente obligacional para haberla generado a la fecha de la solicitud. </w:t>
      </w:r>
    </w:p>
    <w:p w14:paraId="380024CC"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Asimismo, resulta aplicable el Criterio reiterado número 08/19 emitido por Acuerdo del Pleno del Instituto de Transparencia y Acceso a la Información Pública del Estado de México y Municipios, que precisa:</w:t>
      </w:r>
    </w:p>
    <w:p w14:paraId="78907D8C" w14:textId="77777777" w:rsidR="007247F6" w:rsidRPr="00786EB5" w:rsidRDefault="007247F6">
      <w:pPr>
        <w:ind w:left="851" w:right="902"/>
        <w:jc w:val="both"/>
        <w:rPr>
          <w:rFonts w:ascii="Palatino Linotype" w:eastAsia="Palatino Linotype" w:hAnsi="Palatino Linotype" w:cs="Palatino Linotype"/>
          <w:i/>
          <w:iCs/>
        </w:rPr>
      </w:pPr>
    </w:p>
    <w:p w14:paraId="5A2D6316" w14:textId="77777777" w:rsidR="007247F6" w:rsidRPr="00786EB5" w:rsidRDefault="00215F9E">
      <w:pPr>
        <w:spacing w:line="276" w:lineRule="auto"/>
        <w:ind w:left="851" w:right="616"/>
        <w:jc w:val="both"/>
        <w:rPr>
          <w:rFonts w:ascii="Palatino Linotype" w:eastAsia="Palatino Linotype" w:hAnsi="Palatino Linotype" w:cs="Palatino Linotype"/>
          <w:i/>
          <w:iCs/>
        </w:rPr>
      </w:pPr>
      <w:r w:rsidRPr="00786EB5">
        <w:rPr>
          <w:rFonts w:ascii="Palatino Linotype" w:eastAsia="Palatino Linotype" w:hAnsi="Palatino Linotype" w:cs="Palatino Linotype"/>
          <w:i/>
          <w:iCs/>
        </w:rPr>
        <w:t>“</w:t>
      </w:r>
      <w:r w:rsidRPr="00786EB5">
        <w:rPr>
          <w:rFonts w:ascii="Palatino Linotype" w:eastAsia="Palatino Linotype" w:hAnsi="Palatino Linotype" w:cs="Palatino Linotype"/>
          <w:b/>
          <w:bCs/>
          <w:i/>
          <w:iCs/>
        </w:rPr>
        <w:t>INEXISTENCIA DE LA INFORMACIÓN. SUPUESTOS PARA EMITIR LA RESOLUCIÓN DE LA</w:t>
      </w:r>
      <w:r w:rsidRPr="00786EB5">
        <w:rPr>
          <w:rFonts w:ascii="Palatino Linotype" w:eastAsia="Palatino Linotype" w:hAnsi="Palatino Linotype" w:cs="Palatino Linotype"/>
          <w:i/>
          <w:iC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1A3F2D51" w14:textId="77777777" w:rsidR="007247F6" w:rsidRPr="00786EB5" w:rsidRDefault="007247F6">
      <w:pPr>
        <w:spacing w:line="360" w:lineRule="auto"/>
        <w:jc w:val="both"/>
        <w:rPr>
          <w:rFonts w:ascii="Palatino Linotype" w:eastAsia="Palatino Linotype" w:hAnsi="Palatino Linotype" w:cs="Palatino Linotype"/>
        </w:rPr>
      </w:pPr>
    </w:p>
    <w:p w14:paraId="04BA4C9A" w14:textId="77777777" w:rsidR="007247F6" w:rsidRPr="00786EB5" w:rsidRDefault="00215F9E">
      <w:pPr>
        <w:spacing w:line="360" w:lineRule="auto"/>
        <w:ind w:right="-7"/>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En consecuencia, se insiste que el Comité de Transparencia debe emitir el correspondiente Acuerdo de Inexistencia de la Información y notificarlo al </w:t>
      </w:r>
      <w:r w:rsidRPr="00786EB5">
        <w:rPr>
          <w:rFonts w:ascii="Palatino Linotype" w:eastAsia="Palatino Linotype" w:hAnsi="Palatino Linotype" w:cs="Palatino Linotype"/>
          <w:b/>
          <w:bCs/>
        </w:rPr>
        <w:t>Recurrente</w:t>
      </w:r>
      <w:r w:rsidRPr="00786EB5">
        <w:rPr>
          <w:rFonts w:ascii="Palatino Linotype" w:eastAsia="Palatino Linotype" w:hAnsi="Palatino Linotype" w:cs="Palatino Linotype"/>
        </w:rPr>
        <w:t xml:space="preserve">, debiendo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14:paraId="7A19710E" w14:textId="77777777" w:rsidR="007247F6" w:rsidRPr="00786EB5" w:rsidRDefault="00215F9E">
      <w:pPr>
        <w:spacing w:line="360" w:lineRule="auto"/>
        <w:ind w:right="-7"/>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Así, para poder acreditar el carácter exhaustivo de la búsqueda realizada por los Sujetos Obligados, se deben motivar las razones por las que se buscó la información en determinadas áreas, los criterios de búsqueda utilizados y demás circunstancias que fueron tomadas en cuenta, además de cumplir con distintos criterios de forma. </w:t>
      </w:r>
    </w:p>
    <w:p w14:paraId="3D13205F" w14:textId="77777777" w:rsidR="007247F6" w:rsidRPr="00786EB5" w:rsidRDefault="00215F9E">
      <w:pPr>
        <w:spacing w:line="360" w:lineRule="auto"/>
        <w:ind w:right="-7"/>
        <w:jc w:val="both"/>
        <w:rPr>
          <w:rFonts w:ascii="Palatino Linotype" w:eastAsia="Palatino Linotype" w:hAnsi="Palatino Linotype" w:cs="Palatino Linotype"/>
        </w:rPr>
      </w:pPr>
      <w:r w:rsidRPr="00786EB5">
        <w:rPr>
          <w:rFonts w:ascii="Palatino Linotype" w:eastAsia="Palatino Linotype" w:hAnsi="Palatino Linotype" w:cs="Palatino Linotype"/>
        </w:rPr>
        <w:t>En ese contexto, de conformidad con los criterios orientadores 12/10 y 04/19,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1CDA0C6" w14:textId="77777777" w:rsidR="007247F6" w:rsidRPr="00786EB5" w:rsidRDefault="00215F9E">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Motivación por las que se buscó la información, en determinadas unidades administrativas;  </w:t>
      </w:r>
    </w:p>
    <w:p w14:paraId="689D919C" w14:textId="77777777" w:rsidR="007247F6" w:rsidRPr="00786EB5" w:rsidRDefault="00215F9E">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Los criterios de búsqueda utilizados, y </w:t>
      </w:r>
    </w:p>
    <w:p w14:paraId="7FE80B06" w14:textId="77777777" w:rsidR="007247F6" w:rsidRPr="00786EB5" w:rsidRDefault="00215F9E">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786EB5">
        <w:rPr>
          <w:rFonts w:ascii="Palatino Linotype" w:eastAsia="Palatino Linotype" w:hAnsi="Palatino Linotype" w:cs="Palatino Linotype"/>
        </w:rPr>
        <w:t>Las circunstancias que fueron tomadas en cuenta.</w:t>
      </w:r>
    </w:p>
    <w:p w14:paraId="03FBE0F7" w14:textId="77777777" w:rsidR="007247F6" w:rsidRPr="00786EB5" w:rsidRDefault="007247F6">
      <w:pPr>
        <w:spacing w:line="360" w:lineRule="auto"/>
        <w:jc w:val="both"/>
        <w:rPr>
          <w:rFonts w:ascii="Palatino Linotype" w:eastAsia="Palatino Linotype" w:hAnsi="Palatino Linotype" w:cs="Palatino Linotype"/>
        </w:rPr>
      </w:pPr>
    </w:p>
    <w:p w14:paraId="70F219E7"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12D89946" w14:textId="77777777" w:rsidR="007247F6" w:rsidRPr="00786EB5" w:rsidRDefault="00215F9E">
      <w:pPr>
        <w:tabs>
          <w:tab w:val="left" w:pos="8222"/>
        </w:tabs>
        <w:spacing w:line="360" w:lineRule="auto"/>
        <w:ind w:right="-7"/>
        <w:jc w:val="both"/>
        <w:rPr>
          <w:rFonts w:ascii="Palatino Linotype" w:eastAsia="Palatino Linotype" w:hAnsi="Palatino Linotype" w:cs="Palatino Linotype"/>
        </w:rPr>
      </w:pPr>
      <w:r w:rsidRPr="00786EB5">
        <w:rPr>
          <w:rFonts w:ascii="Palatino Linotype" w:eastAsia="Palatino Linotype" w:hAnsi="Palatino Linotype" w:cs="Palatino Linotype"/>
        </w:rPr>
        <w:t xml:space="preserve">De este modo, se considera que para el presente caso toda vez que existió un pronunciamiento por la unidad administrativa competente respecto de la búsqueda efectuada en sus archivos en las que se refirió que </w:t>
      </w:r>
      <w:r w:rsidRPr="00786EB5">
        <w:rPr>
          <w:rFonts w:ascii="Palatino Linotype" w:eastAsia="Palatino Linotype" w:hAnsi="Palatino Linotype" w:cs="Palatino Linotype"/>
          <w:b/>
          <w:bCs/>
        </w:rPr>
        <w:t xml:space="preserve">no se generó la información solicitada por los motivos expuestos, </w:t>
      </w:r>
      <w:r w:rsidRPr="00786EB5">
        <w:rPr>
          <w:rFonts w:ascii="Palatino Linotype" w:eastAsia="Palatino Linotype" w:hAnsi="Palatino Linotype" w:cs="Palatino Linotype"/>
        </w:rPr>
        <w:t xml:space="preserve">es necesario que el </w:t>
      </w:r>
      <w:r w:rsidRPr="00786EB5">
        <w:rPr>
          <w:rFonts w:ascii="Palatino Linotype" w:eastAsia="Palatino Linotype" w:hAnsi="Palatino Linotype" w:cs="Palatino Linotype"/>
          <w:b/>
          <w:bCs/>
        </w:rPr>
        <w:t>Sujeto Obligado</w:t>
      </w:r>
      <w:r w:rsidRPr="00786EB5">
        <w:rPr>
          <w:rFonts w:ascii="Palatino Linotype" w:eastAsia="Palatino Linotype" w:hAnsi="Palatino Linotype" w:cs="Palatino Linotype"/>
        </w:rPr>
        <w:t xml:space="preserve"> declare por medio de su Comité de Transparencia la inexistencia de la información solicitada, motivo por el que se </w:t>
      </w:r>
      <w:r w:rsidRPr="00786EB5">
        <w:rPr>
          <w:rFonts w:ascii="Palatino Linotype" w:eastAsia="Palatino Linotype" w:hAnsi="Palatino Linotype" w:cs="Palatino Linotype"/>
          <w:b/>
          <w:bCs/>
        </w:rPr>
        <w:t xml:space="preserve">modifica </w:t>
      </w:r>
      <w:r w:rsidRPr="00786EB5">
        <w:rPr>
          <w:rFonts w:ascii="Palatino Linotype" w:eastAsia="Palatino Linotype" w:hAnsi="Palatino Linotype" w:cs="Palatino Linotype"/>
        </w:rPr>
        <w:t xml:space="preserve">la respuesta del </w:t>
      </w:r>
      <w:r w:rsidRPr="00786EB5">
        <w:rPr>
          <w:rFonts w:ascii="Palatino Linotype" w:eastAsia="Palatino Linotype" w:hAnsi="Palatino Linotype" w:cs="Palatino Linotype"/>
          <w:b/>
          <w:bCs/>
        </w:rPr>
        <w:t>Sujeto Obligado y se ordena la entrega del Acuerdo de Inexistencia de la Información, el cual deberá notificarlo a la parte Recurrente.</w:t>
      </w:r>
    </w:p>
    <w:p w14:paraId="1A7CCAB4" w14:textId="77777777" w:rsidR="007247F6" w:rsidRPr="00786EB5" w:rsidRDefault="00215F9E">
      <w:pPr>
        <w:spacing w:line="360" w:lineRule="auto"/>
        <w:jc w:val="both"/>
        <w:rPr>
          <w:rFonts w:ascii="Palatino Linotype" w:eastAsia="Palatino Linotype" w:hAnsi="Palatino Linotype" w:cs="Palatino Linotype"/>
        </w:rPr>
      </w:pPr>
      <w:bookmarkStart w:id="6" w:name="_heading=h.17dp8vu" w:colFirst="0" w:colLast="0"/>
      <w:bookmarkEnd w:id="6"/>
      <w:r w:rsidRPr="00786EB5">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de la Ley de Transparencia y Acceso a la Información Pública del Estado de México y Municipios, este Pleno:</w:t>
      </w:r>
    </w:p>
    <w:p w14:paraId="40791EAD" w14:textId="77777777" w:rsidR="007247F6" w:rsidRPr="00786EB5" w:rsidRDefault="00215F9E">
      <w:pPr>
        <w:tabs>
          <w:tab w:val="left" w:pos="2835"/>
        </w:tabs>
        <w:spacing w:line="360" w:lineRule="auto"/>
        <w:ind w:left="142"/>
        <w:jc w:val="center"/>
        <w:rPr>
          <w:rFonts w:ascii="Palatino Linotype" w:eastAsia="Palatino Linotype" w:hAnsi="Palatino Linotype" w:cs="Palatino Linotype"/>
          <w:b/>
          <w:bCs/>
        </w:rPr>
      </w:pPr>
      <w:r w:rsidRPr="00786EB5">
        <w:rPr>
          <w:rFonts w:ascii="Palatino Linotype" w:eastAsia="Palatino Linotype" w:hAnsi="Palatino Linotype" w:cs="Palatino Linotype"/>
          <w:b/>
          <w:bCs/>
        </w:rPr>
        <w:t>III. R E S U E L V E</w:t>
      </w:r>
    </w:p>
    <w:p w14:paraId="019AB109"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Primero. </w:t>
      </w:r>
      <w:r w:rsidRPr="00786EB5">
        <w:rPr>
          <w:rFonts w:ascii="Palatino Linotype" w:eastAsia="Palatino Linotype" w:hAnsi="Palatino Linotype" w:cs="Palatino Linotype"/>
        </w:rPr>
        <w:t xml:space="preserve">Resultan fundados los motivos de inconformidad hechos valer por la parte </w:t>
      </w:r>
      <w:r w:rsidRPr="00786EB5">
        <w:rPr>
          <w:rFonts w:ascii="Palatino Linotype" w:eastAsia="Palatino Linotype" w:hAnsi="Palatino Linotype" w:cs="Palatino Linotype"/>
          <w:b/>
          <w:bCs/>
        </w:rPr>
        <w:t>Recurrente</w:t>
      </w:r>
      <w:r w:rsidRPr="00786EB5">
        <w:rPr>
          <w:rFonts w:ascii="Palatino Linotype" w:eastAsia="Palatino Linotype" w:hAnsi="Palatino Linotype" w:cs="Palatino Linotype"/>
        </w:rPr>
        <w:t xml:space="preserve"> en el Recurso de Revisión </w:t>
      </w:r>
      <w:r w:rsidRPr="00786EB5">
        <w:rPr>
          <w:rFonts w:ascii="Palatino Linotype" w:eastAsia="Palatino Linotype" w:hAnsi="Palatino Linotype" w:cs="Palatino Linotype"/>
          <w:b/>
          <w:bCs/>
        </w:rPr>
        <w:t xml:space="preserve">012664/INFOEM/IP/RR/2025, </w:t>
      </w:r>
      <w:r w:rsidRPr="00786EB5">
        <w:rPr>
          <w:rFonts w:ascii="Palatino Linotype" w:eastAsia="Palatino Linotype" w:hAnsi="Palatino Linotype" w:cs="Palatino Linotype"/>
        </w:rPr>
        <w:t xml:space="preserve">por lo que, en términos del considerando </w:t>
      </w:r>
      <w:r w:rsidRPr="00786EB5">
        <w:rPr>
          <w:rFonts w:ascii="Palatino Linotype" w:eastAsia="Palatino Linotype" w:hAnsi="Palatino Linotype" w:cs="Palatino Linotype"/>
          <w:b/>
          <w:bCs/>
        </w:rPr>
        <w:t xml:space="preserve">Cuarto </w:t>
      </w:r>
      <w:r w:rsidRPr="00786EB5">
        <w:rPr>
          <w:rFonts w:ascii="Palatino Linotype" w:eastAsia="Palatino Linotype" w:hAnsi="Palatino Linotype" w:cs="Palatino Linotype"/>
        </w:rPr>
        <w:t xml:space="preserve">de esta resolución, se </w:t>
      </w:r>
      <w:r w:rsidRPr="00786EB5">
        <w:rPr>
          <w:rFonts w:ascii="Palatino Linotype" w:eastAsia="Palatino Linotype" w:hAnsi="Palatino Linotype" w:cs="Palatino Linotype"/>
          <w:b/>
          <w:bCs/>
        </w:rPr>
        <w:t xml:space="preserve">Modifica </w:t>
      </w:r>
      <w:r w:rsidRPr="00786EB5">
        <w:rPr>
          <w:rFonts w:ascii="Palatino Linotype" w:eastAsia="Palatino Linotype" w:hAnsi="Palatino Linotype" w:cs="Palatino Linotype"/>
        </w:rPr>
        <w:t xml:space="preserve">la respuesta emitida por el </w:t>
      </w:r>
      <w:r w:rsidRPr="00786EB5">
        <w:rPr>
          <w:rFonts w:ascii="Palatino Linotype" w:eastAsia="Palatino Linotype" w:hAnsi="Palatino Linotype" w:cs="Palatino Linotype"/>
          <w:b/>
          <w:bCs/>
        </w:rPr>
        <w:t>Sujeto Obligado</w:t>
      </w:r>
      <w:r w:rsidRPr="00786EB5">
        <w:rPr>
          <w:rFonts w:ascii="Palatino Linotype" w:eastAsia="Palatino Linotype" w:hAnsi="Palatino Linotype" w:cs="Palatino Linotype"/>
        </w:rPr>
        <w:t>.</w:t>
      </w:r>
    </w:p>
    <w:p w14:paraId="2686661C" w14:textId="77777777" w:rsidR="007247F6" w:rsidRPr="00786EB5" w:rsidRDefault="00215F9E">
      <w:pPr>
        <w:spacing w:line="360" w:lineRule="auto"/>
        <w:jc w:val="both"/>
        <w:rPr>
          <w:rFonts w:ascii="Palatino Linotype" w:eastAsia="Palatino Linotype" w:hAnsi="Palatino Linotype" w:cs="Palatino Linotype"/>
        </w:rPr>
      </w:pPr>
      <w:bookmarkStart w:id="7" w:name="_heading=h.kelgs2428oa6" w:colFirst="0" w:colLast="0"/>
      <w:bookmarkEnd w:id="7"/>
      <w:r w:rsidRPr="00786EB5">
        <w:rPr>
          <w:rFonts w:ascii="Palatino Linotype" w:eastAsia="Palatino Linotype" w:hAnsi="Palatino Linotype" w:cs="Palatino Linotype"/>
          <w:b/>
          <w:bCs/>
        </w:rPr>
        <w:t xml:space="preserve">Segundo. </w:t>
      </w:r>
      <w:r w:rsidRPr="00786EB5">
        <w:rPr>
          <w:rFonts w:ascii="Palatino Linotype" w:eastAsia="Palatino Linotype" w:hAnsi="Palatino Linotype" w:cs="Palatino Linotype"/>
        </w:rPr>
        <w:t>Se</w:t>
      </w:r>
      <w:r w:rsidRPr="00786EB5">
        <w:rPr>
          <w:rFonts w:ascii="Palatino Linotype" w:eastAsia="Palatino Linotype" w:hAnsi="Palatino Linotype" w:cs="Palatino Linotype"/>
          <w:b/>
          <w:bCs/>
        </w:rPr>
        <w:t xml:space="preserve"> ordena </w:t>
      </w:r>
      <w:r w:rsidRPr="00786EB5">
        <w:rPr>
          <w:rFonts w:ascii="Palatino Linotype" w:eastAsia="Palatino Linotype" w:hAnsi="Palatino Linotype" w:cs="Palatino Linotype"/>
        </w:rPr>
        <w:t xml:space="preserve">al </w:t>
      </w:r>
      <w:r w:rsidRPr="00786EB5">
        <w:rPr>
          <w:rFonts w:ascii="Palatino Linotype" w:eastAsia="Palatino Linotype" w:hAnsi="Palatino Linotype" w:cs="Palatino Linotype"/>
          <w:b/>
          <w:bCs/>
        </w:rPr>
        <w:t xml:space="preserve">Sujeto Obligado </w:t>
      </w:r>
      <w:r w:rsidRPr="00786EB5">
        <w:rPr>
          <w:rFonts w:ascii="Palatino Linotype" w:eastAsia="Palatino Linotype" w:hAnsi="Palatino Linotype" w:cs="Palatino Linotype"/>
        </w:rPr>
        <w:t xml:space="preserve">que, en términos del Considerando </w:t>
      </w:r>
      <w:r w:rsidRPr="00786EB5">
        <w:rPr>
          <w:rFonts w:ascii="Palatino Linotype" w:eastAsia="Palatino Linotype" w:hAnsi="Palatino Linotype" w:cs="Palatino Linotype"/>
          <w:b/>
          <w:bCs/>
        </w:rPr>
        <w:t xml:space="preserve">Cuarto </w:t>
      </w:r>
      <w:r w:rsidRPr="00786EB5">
        <w:rPr>
          <w:rFonts w:ascii="Palatino Linotype" w:eastAsia="Palatino Linotype" w:hAnsi="Palatino Linotype" w:cs="Palatino Linotype"/>
        </w:rPr>
        <w:t xml:space="preserve">de esta resolución, haga entrega, vía </w:t>
      </w:r>
      <w:r w:rsidRPr="00786EB5">
        <w:rPr>
          <w:rFonts w:ascii="Palatino Linotype" w:eastAsia="Palatino Linotype" w:hAnsi="Palatino Linotype" w:cs="Palatino Linotype"/>
          <w:b/>
          <w:bCs/>
        </w:rPr>
        <w:t>SAIMEX</w:t>
      </w:r>
      <w:r w:rsidRPr="00786EB5">
        <w:rPr>
          <w:rFonts w:ascii="Palatino Linotype" w:eastAsia="Palatino Linotype" w:hAnsi="Palatino Linotype" w:cs="Palatino Linotype"/>
        </w:rPr>
        <w:t>, de lo siguiente:</w:t>
      </w:r>
    </w:p>
    <w:p w14:paraId="0D0810B9" w14:textId="77777777" w:rsidR="007247F6" w:rsidRPr="00786EB5" w:rsidRDefault="007247F6">
      <w:pPr>
        <w:pBdr>
          <w:top w:val="nil"/>
          <w:left w:val="nil"/>
          <w:bottom w:val="nil"/>
          <w:right w:val="nil"/>
          <w:between w:val="nil"/>
        </w:pBdr>
        <w:spacing w:line="360" w:lineRule="auto"/>
        <w:jc w:val="both"/>
        <w:rPr>
          <w:rFonts w:ascii="Palatino Linotype" w:eastAsia="Palatino Linotype" w:hAnsi="Palatino Linotype" w:cs="Palatino Linotype"/>
        </w:rPr>
      </w:pPr>
    </w:p>
    <w:p w14:paraId="0976524E" w14:textId="77777777" w:rsidR="007247F6" w:rsidRPr="00786EB5" w:rsidRDefault="00215F9E">
      <w:pPr>
        <w:numPr>
          <w:ilvl w:val="0"/>
          <w:numId w:val="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b/>
          <w:bCs/>
        </w:rPr>
      </w:pPr>
      <w:r w:rsidRPr="00786EB5">
        <w:rPr>
          <w:rFonts w:ascii="Palatino Linotype" w:eastAsia="Palatino Linotype" w:hAnsi="Palatino Linotype" w:cs="Palatino Linotype"/>
          <w:b/>
          <w:bCs/>
        </w:rPr>
        <w:t xml:space="preserve">Acuerdo que emita el Comité de Transparencia mediante el que declare formalmente la inexistencia de los documentos donde conste o se advierta Cuadro general de clasificación archivística, Catálogo de disposición documental, Guía de archivo documental, las actas de las sesiones del Grupo Interdisciplinario con su convocatoria fotografías y actas desde la instalación firmadas del año 2017, en términos de los artículos 19, 49, fracciones II y XIII, 169 y 170 de la Ley de Transparencia y Acceso a la Información Pública del Estado de México y Municipios. </w:t>
      </w:r>
    </w:p>
    <w:p w14:paraId="1B4021F0" w14:textId="77777777" w:rsidR="007247F6" w:rsidRPr="00786EB5" w:rsidRDefault="007247F6">
      <w:pPr>
        <w:pBdr>
          <w:top w:val="nil"/>
          <w:left w:val="nil"/>
          <w:bottom w:val="nil"/>
          <w:right w:val="nil"/>
          <w:between w:val="nil"/>
        </w:pBdr>
        <w:spacing w:line="276" w:lineRule="auto"/>
        <w:jc w:val="both"/>
        <w:rPr>
          <w:rFonts w:ascii="Palatino Linotype" w:eastAsia="Palatino Linotype" w:hAnsi="Palatino Linotype" w:cs="Palatino Linotype"/>
          <w:i/>
          <w:iCs/>
        </w:rPr>
      </w:pPr>
    </w:p>
    <w:p w14:paraId="0662BABD"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Tercero. Notifíquese </w:t>
      </w:r>
      <w:r w:rsidRPr="00786EB5">
        <w:rPr>
          <w:rFonts w:ascii="Palatino Linotype" w:eastAsia="Palatino Linotype" w:hAnsi="Palatino Linotype" w:cs="Palatino Linotype"/>
        </w:rPr>
        <w:t>vía</w:t>
      </w:r>
      <w:r w:rsidRPr="00786EB5">
        <w:rPr>
          <w:rFonts w:ascii="Palatino Linotype" w:eastAsia="Palatino Linotype" w:hAnsi="Palatino Linotype" w:cs="Palatino Linotype"/>
          <w:b/>
          <w:bCs/>
        </w:rPr>
        <w:t xml:space="preserve"> SAIMEX, </w:t>
      </w:r>
      <w:r w:rsidRPr="00786EB5">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4A28585" w14:textId="77777777" w:rsidR="007247F6" w:rsidRPr="00786EB5" w:rsidRDefault="007247F6">
      <w:pPr>
        <w:spacing w:line="360" w:lineRule="auto"/>
        <w:jc w:val="both"/>
        <w:rPr>
          <w:rFonts w:ascii="Palatino Linotype" w:eastAsia="Palatino Linotype" w:hAnsi="Palatino Linotype" w:cs="Palatino Linotype"/>
        </w:rPr>
      </w:pPr>
    </w:p>
    <w:p w14:paraId="39E8F886"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Cuarto. </w:t>
      </w:r>
      <w:r w:rsidRPr="00786EB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w:t>
      </w:r>
      <w:r w:rsidRPr="00786EB5">
        <w:rPr>
          <w:rFonts w:ascii="Palatino Linotype" w:eastAsia="Palatino Linotype" w:hAnsi="Palatino Linotype" w:cs="Palatino Linotype"/>
          <w:b/>
          <w:bCs/>
        </w:rPr>
        <w:t xml:space="preserve"> Sujeto Obligado</w:t>
      </w:r>
      <w:r w:rsidRPr="00786EB5">
        <w:rPr>
          <w:rFonts w:ascii="Palatino Linotype" w:eastAsia="Palatino Linotype" w:hAnsi="Palatino Linotype" w:cs="Palatino Linotype"/>
        </w:rPr>
        <w:t xml:space="preserve"> de manera fundada y motivada, podrá solicitar una ampliación de plazo para el cumplimiento de la presente resolución.</w:t>
      </w:r>
    </w:p>
    <w:p w14:paraId="39930D86" w14:textId="77777777" w:rsidR="007247F6" w:rsidRPr="00786EB5" w:rsidRDefault="007247F6">
      <w:pPr>
        <w:spacing w:line="360" w:lineRule="auto"/>
        <w:jc w:val="both"/>
        <w:rPr>
          <w:rFonts w:ascii="Palatino Linotype" w:eastAsia="Palatino Linotype" w:hAnsi="Palatino Linotype" w:cs="Palatino Linotype"/>
        </w:rPr>
      </w:pPr>
    </w:p>
    <w:p w14:paraId="597AB1EF" w14:textId="77777777" w:rsidR="007247F6" w:rsidRPr="00786EB5"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b/>
          <w:bCs/>
        </w:rPr>
        <w:t xml:space="preserve">Quinto. Notifíquese </w:t>
      </w:r>
      <w:r w:rsidRPr="00786EB5">
        <w:rPr>
          <w:rFonts w:ascii="Palatino Linotype" w:eastAsia="Palatino Linotype" w:hAnsi="Palatino Linotype" w:cs="Palatino Linotype"/>
        </w:rPr>
        <w:t xml:space="preserve">vía </w:t>
      </w:r>
      <w:r w:rsidRPr="00786EB5">
        <w:rPr>
          <w:rFonts w:ascii="Palatino Linotype" w:eastAsia="Palatino Linotype" w:hAnsi="Palatino Linotype" w:cs="Palatino Linotype"/>
          <w:b/>
          <w:bCs/>
        </w:rPr>
        <w:t xml:space="preserve">SAIMEX, </w:t>
      </w:r>
      <w:r w:rsidRPr="00786EB5">
        <w:rPr>
          <w:rFonts w:ascii="Palatino Linotype" w:eastAsia="Palatino Linotype" w:hAnsi="Palatino Linotype" w:cs="Palatino Linotype"/>
        </w:rPr>
        <w:t>a la parte</w:t>
      </w:r>
      <w:r w:rsidRPr="00786EB5">
        <w:rPr>
          <w:rFonts w:ascii="Palatino Linotype" w:eastAsia="Palatino Linotype" w:hAnsi="Palatino Linotype" w:cs="Palatino Linotype"/>
          <w:b/>
          <w:bCs/>
        </w:rPr>
        <w:t xml:space="preserve"> Recurrente</w:t>
      </w:r>
      <w:r w:rsidRPr="00786EB5">
        <w:rPr>
          <w:rFonts w:ascii="Palatino Linotype" w:eastAsia="Palatino Linotype" w:hAnsi="Palatino Linotype" w:cs="Palatino Linotype"/>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5308F903" w14:textId="77777777" w:rsidR="007247F6" w:rsidRPr="00786EB5" w:rsidRDefault="007247F6">
      <w:pPr>
        <w:spacing w:line="360" w:lineRule="auto"/>
        <w:jc w:val="both"/>
        <w:rPr>
          <w:rFonts w:ascii="Palatino Linotype" w:eastAsia="Palatino Linotype" w:hAnsi="Palatino Linotype" w:cs="Palatino Linotype"/>
        </w:rPr>
      </w:pPr>
    </w:p>
    <w:p w14:paraId="1A45C41B" w14:textId="77777777" w:rsidR="007247F6" w:rsidRPr="0072707B" w:rsidRDefault="00215F9E">
      <w:pPr>
        <w:spacing w:line="360" w:lineRule="auto"/>
        <w:jc w:val="both"/>
        <w:rPr>
          <w:rFonts w:ascii="Palatino Linotype" w:eastAsia="Palatino Linotype" w:hAnsi="Palatino Linotype" w:cs="Palatino Linotype"/>
        </w:rPr>
      </w:pPr>
      <w:r w:rsidRPr="00786EB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DE MARZO DE DOS MIL VEINTISÉIS, ANTE EL SECRETARIO TÉCNICO DEL PLENO ALEXIS TAPIA RAMÍREZ.</w:t>
      </w:r>
    </w:p>
    <w:p w14:paraId="0180F563" w14:textId="77777777" w:rsidR="007247F6" w:rsidRPr="0072707B" w:rsidRDefault="007247F6">
      <w:pPr>
        <w:rPr>
          <w:rFonts w:ascii="Palatino Linotype" w:eastAsia="Palatino Linotype" w:hAnsi="Palatino Linotype" w:cs="Palatino Linotype"/>
        </w:rPr>
      </w:pPr>
    </w:p>
    <w:p w14:paraId="4B528592" w14:textId="77777777" w:rsidR="007247F6" w:rsidRPr="0072707B" w:rsidRDefault="007247F6">
      <w:pPr>
        <w:spacing w:line="360" w:lineRule="auto"/>
        <w:jc w:val="both"/>
        <w:rPr>
          <w:rFonts w:ascii="Palatino Linotype" w:eastAsia="Palatino Linotype" w:hAnsi="Palatino Linotype" w:cs="Palatino Linotype"/>
        </w:rPr>
      </w:pPr>
    </w:p>
    <w:p w14:paraId="37DB0B21" w14:textId="77777777" w:rsidR="007247F6" w:rsidRPr="0072707B" w:rsidRDefault="007247F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6946D52A" w14:textId="77777777" w:rsidR="007247F6" w:rsidRPr="0072707B" w:rsidRDefault="007247F6">
      <w:pPr>
        <w:spacing w:after="0" w:line="360" w:lineRule="auto"/>
        <w:ind w:right="49"/>
        <w:jc w:val="both"/>
        <w:rPr>
          <w:rFonts w:ascii="Palatino Linotype" w:eastAsia="Palatino Linotype" w:hAnsi="Palatino Linotype" w:cs="Palatino Linotype"/>
        </w:rPr>
      </w:pPr>
    </w:p>
    <w:p w14:paraId="5D6CA6D7" w14:textId="77777777" w:rsidR="007247F6" w:rsidRPr="0072707B" w:rsidRDefault="007247F6">
      <w:pPr>
        <w:spacing w:after="0" w:line="360" w:lineRule="auto"/>
        <w:ind w:right="49"/>
        <w:jc w:val="both"/>
        <w:rPr>
          <w:rFonts w:ascii="Palatino Linotype" w:eastAsia="Palatino Linotype" w:hAnsi="Palatino Linotype" w:cs="Palatino Linotype"/>
        </w:rPr>
      </w:pPr>
    </w:p>
    <w:p w14:paraId="2C49663D" w14:textId="77777777" w:rsidR="007247F6" w:rsidRPr="0072707B" w:rsidRDefault="007247F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16E40DBA" w14:textId="77777777" w:rsidR="007247F6" w:rsidRPr="0072707B" w:rsidRDefault="007247F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45EF4AB3" w14:textId="77777777" w:rsidR="007247F6" w:rsidRPr="0072707B" w:rsidRDefault="007247F6">
      <w:pPr>
        <w:spacing w:after="0" w:line="360" w:lineRule="auto"/>
        <w:ind w:right="49"/>
        <w:jc w:val="both"/>
        <w:rPr>
          <w:rFonts w:ascii="Palatino Linotype" w:eastAsia="Palatino Linotype" w:hAnsi="Palatino Linotype" w:cs="Palatino Linotype"/>
        </w:rPr>
      </w:pPr>
    </w:p>
    <w:p w14:paraId="08117C5D" w14:textId="77777777" w:rsidR="007247F6" w:rsidRPr="0072707B" w:rsidRDefault="007247F6">
      <w:pPr>
        <w:spacing w:after="0" w:line="360" w:lineRule="auto"/>
        <w:ind w:right="49"/>
        <w:jc w:val="both"/>
        <w:rPr>
          <w:rFonts w:ascii="Palatino Linotype" w:eastAsia="Palatino Linotype" w:hAnsi="Palatino Linotype" w:cs="Palatino Linotype"/>
        </w:rPr>
      </w:pPr>
    </w:p>
    <w:p w14:paraId="21DCAC44" w14:textId="77777777" w:rsidR="007247F6" w:rsidRPr="0072707B" w:rsidRDefault="007247F6">
      <w:pPr>
        <w:spacing w:after="0" w:line="360" w:lineRule="auto"/>
        <w:ind w:right="49"/>
        <w:jc w:val="both"/>
        <w:rPr>
          <w:rFonts w:ascii="Palatino Linotype" w:eastAsia="Palatino Linotype" w:hAnsi="Palatino Linotype" w:cs="Palatino Linotype"/>
        </w:rPr>
      </w:pPr>
    </w:p>
    <w:p w14:paraId="29C97430" w14:textId="77777777" w:rsidR="007247F6" w:rsidRPr="0072707B" w:rsidRDefault="007247F6">
      <w:pPr>
        <w:spacing w:after="0" w:line="360" w:lineRule="auto"/>
        <w:ind w:right="49"/>
        <w:jc w:val="both"/>
        <w:rPr>
          <w:rFonts w:ascii="Palatino Linotype" w:eastAsia="Palatino Linotype" w:hAnsi="Palatino Linotype" w:cs="Palatino Linotype"/>
        </w:rPr>
      </w:pPr>
    </w:p>
    <w:p w14:paraId="307B13DB" w14:textId="77777777" w:rsidR="007247F6" w:rsidRPr="0072707B" w:rsidRDefault="007247F6">
      <w:pPr>
        <w:spacing w:after="0" w:line="360" w:lineRule="auto"/>
        <w:ind w:right="49"/>
        <w:jc w:val="both"/>
        <w:rPr>
          <w:rFonts w:ascii="Palatino Linotype" w:eastAsia="Palatino Linotype" w:hAnsi="Palatino Linotype" w:cs="Palatino Linotype"/>
        </w:rPr>
      </w:pPr>
    </w:p>
    <w:p w14:paraId="7CB577CB" w14:textId="77777777" w:rsidR="007247F6" w:rsidRPr="0072707B" w:rsidRDefault="007247F6">
      <w:pPr>
        <w:spacing w:after="0" w:line="360" w:lineRule="auto"/>
        <w:ind w:right="49"/>
        <w:jc w:val="both"/>
        <w:rPr>
          <w:rFonts w:ascii="Palatino Linotype" w:eastAsia="Palatino Linotype" w:hAnsi="Palatino Linotype" w:cs="Palatino Linotype"/>
        </w:rPr>
      </w:pPr>
    </w:p>
    <w:p w14:paraId="58C1B2A3" w14:textId="77777777" w:rsidR="007247F6" w:rsidRPr="0072707B" w:rsidRDefault="007247F6">
      <w:pPr>
        <w:spacing w:after="0" w:line="360" w:lineRule="auto"/>
        <w:ind w:right="49"/>
        <w:jc w:val="both"/>
        <w:rPr>
          <w:rFonts w:ascii="Palatino Linotype" w:eastAsia="Palatino Linotype" w:hAnsi="Palatino Linotype" w:cs="Palatino Linotype"/>
        </w:rPr>
      </w:pPr>
    </w:p>
    <w:p w14:paraId="19EEF5DA" w14:textId="77777777" w:rsidR="007247F6" w:rsidRPr="0072707B" w:rsidRDefault="007247F6">
      <w:pPr>
        <w:spacing w:after="0" w:line="360" w:lineRule="auto"/>
        <w:ind w:right="49"/>
        <w:jc w:val="both"/>
        <w:rPr>
          <w:rFonts w:ascii="Palatino Linotype" w:eastAsia="Palatino Linotype" w:hAnsi="Palatino Linotype" w:cs="Palatino Linotype"/>
        </w:rPr>
      </w:pPr>
    </w:p>
    <w:p w14:paraId="7F5A6F7A" w14:textId="77777777" w:rsidR="007247F6" w:rsidRPr="0072707B" w:rsidRDefault="007247F6">
      <w:pPr>
        <w:spacing w:after="0" w:line="360" w:lineRule="auto"/>
        <w:ind w:right="49"/>
        <w:jc w:val="both"/>
        <w:rPr>
          <w:rFonts w:ascii="Palatino Linotype" w:eastAsia="Palatino Linotype" w:hAnsi="Palatino Linotype" w:cs="Palatino Linotype"/>
        </w:rPr>
      </w:pPr>
    </w:p>
    <w:p w14:paraId="4B739FDE" w14:textId="77777777" w:rsidR="007247F6" w:rsidRPr="0072707B" w:rsidRDefault="007247F6">
      <w:pPr>
        <w:spacing w:after="0" w:line="360" w:lineRule="auto"/>
        <w:ind w:right="49"/>
        <w:jc w:val="both"/>
        <w:rPr>
          <w:rFonts w:ascii="Palatino Linotype" w:eastAsia="Palatino Linotype" w:hAnsi="Palatino Linotype" w:cs="Palatino Linotype"/>
        </w:rPr>
      </w:pPr>
    </w:p>
    <w:p w14:paraId="2DC8EDED" w14:textId="77777777" w:rsidR="007247F6" w:rsidRPr="0072707B" w:rsidRDefault="007247F6">
      <w:pPr>
        <w:spacing w:after="0" w:line="360" w:lineRule="auto"/>
        <w:ind w:right="49"/>
        <w:jc w:val="both"/>
        <w:rPr>
          <w:rFonts w:ascii="Palatino Linotype" w:eastAsia="Palatino Linotype" w:hAnsi="Palatino Linotype" w:cs="Palatino Linotype"/>
        </w:rPr>
      </w:pPr>
    </w:p>
    <w:p w14:paraId="105C749E" w14:textId="77777777" w:rsidR="007247F6" w:rsidRPr="0072707B" w:rsidRDefault="007247F6">
      <w:pPr>
        <w:spacing w:after="0" w:line="360" w:lineRule="auto"/>
        <w:ind w:right="49"/>
        <w:jc w:val="both"/>
        <w:rPr>
          <w:rFonts w:ascii="Palatino Linotype" w:eastAsia="Palatino Linotype" w:hAnsi="Palatino Linotype" w:cs="Palatino Linotype"/>
        </w:rPr>
      </w:pPr>
    </w:p>
    <w:p w14:paraId="45F28ADE" w14:textId="77777777" w:rsidR="007247F6" w:rsidRPr="0072707B" w:rsidRDefault="007247F6">
      <w:pPr>
        <w:spacing w:after="0" w:line="360" w:lineRule="auto"/>
        <w:ind w:right="49"/>
        <w:jc w:val="both"/>
        <w:rPr>
          <w:rFonts w:ascii="Palatino Linotype" w:eastAsia="Palatino Linotype" w:hAnsi="Palatino Linotype" w:cs="Palatino Linotype"/>
        </w:rPr>
      </w:pPr>
    </w:p>
    <w:p w14:paraId="04C64CB4" w14:textId="77777777" w:rsidR="007247F6" w:rsidRPr="0072707B" w:rsidRDefault="007247F6">
      <w:pPr>
        <w:spacing w:after="0" w:line="360" w:lineRule="auto"/>
        <w:ind w:right="49"/>
        <w:jc w:val="both"/>
        <w:rPr>
          <w:rFonts w:ascii="Palatino Linotype" w:eastAsia="Palatino Linotype" w:hAnsi="Palatino Linotype" w:cs="Palatino Linotype"/>
        </w:rPr>
      </w:pPr>
    </w:p>
    <w:p w14:paraId="46795800" w14:textId="77777777" w:rsidR="007247F6" w:rsidRPr="0072707B" w:rsidRDefault="007247F6">
      <w:pPr>
        <w:spacing w:after="0" w:line="360" w:lineRule="auto"/>
        <w:ind w:right="49"/>
        <w:jc w:val="both"/>
        <w:rPr>
          <w:rFonts w:ascii="Palatino Linotype" w:eastAsia="Palatino Linotype" w:hAnsi="Palatino Linotype" w:cs="Palatino Linotype"/>
        </w:rPr>
      </w:pPr>
    </w:p>
    <w:p w14:paraId="3831E432" w14:textId="77777777" w:rsidR="007247F6" w:rsidRPr="0072707B" w:rsidRDefault="007247F6">
      <w:pPr>
        <w:spacing w:after="0" w:line="360" w:lineRule="auto"/>
        <w:ind w:right="49"/>
        <w:jc w:val="both"/>
        <w:rPr>
          <w:rFonts w:ascii="Palatino Linotype" w:eastAsia="Palatino Linotype" w:hAnsi="Palatino Linotype" w:cs="Palatino Linotype"/>
        </w:rPr>
      </w:pPr>
    </w:p>
    <w:p w14:paraId="6D0C3717" w14:textId="77777777" w:rsidR="007247F6" w:rsidRPr="0072707B" w:rsidRDefault="007247F6">
      <w:pPr>
        <w:spacing w:after="0" w:line="360" w:lineRule="auto"/>
        <w:ind w:right="49"/>
        <w:jc w:val="both"/>
        <w:rPr>
          <w:rFonts w:ascii="Palatino Linotype" w:eastAsia="Palatino Linotype" w:hAnsi="Palatino Linotype" w:cs="Palatino Linotype"/>
        </w:rPr>
      </w:pPr>
    </w:p>
    <w:p w14:paraId="08AA60E6" w14:textId="77777777" w:rsidR="007247F6" w:rsidRPr="0072707B" w:rsidRDefault="007247F6">
      <w:pPr>
        <w:spacing w:after="0" w:line="360" w:lineRule="auto"/>
        <w:ind w:right="49"/>
        <w:jc w:val="both"/>
        <w:rPr>
          <w:rFonts w:ascii="Palatino Linotype" w:eastAsia="Palatino Linotype" w:hAnsi="Palatino Linotype" w:cs="Palatino Linotype"/>
        </w:rPr>
      </w:pPr>
    </w:p>
    <w:p w14:paraId="0B540EA1" w14:textId="77777777" w:rsidR="007247F6" w:rsidRPr="0072707B" w:rsidRDefault="007247F6">
      <w:pPr>
        <w:spacing w:after="0" w:line="360" w:lineRule="auto"/>
        <w:ind w:right="49"/>
        <w:jc w:val="both"/>
        <w:rPr>
          <w:rFonts w:ascii="Palatino Linotype" w:eastAsia="Palatino Linotype" w:hAnsi="Palatino Linotype" w:cs="Palatino Linotype"/>
        </w:rPr>
      </w:pPr>
    </w:p>
    <w:p w14:paraId="32C1FD5F" w14:textId="77777777" w:rsidR="007247F6" w:rsidRPr="0072707B" w:rsidRDefault="007247F6">
      <w:pPr>
        <w:spacing w:after="0" w:line="360" w:lineRule="auto"/>
        <w:ind w:right="49"/>
        <w:jc w:val="both"/>
        <w:rPr>
          <w:rFonts w:ascii="Palatino Linotype" w:eastAsia="Palatino Linotype" w:hAnsi="Palatino Linotype" w:cs="Palatino Linotype"/>
        </w:rPr>
      </w:pPr>
    </w:p>
    <w:p w14:paraId="5721F8E8" w14:textId="77777777" w:rsidR="007247F6" w:rsidRPr="0072707B" w:rsidRDefault="007247F6">
      <w:pPr>
        <w:spacing w:after="0" w:line="360" w:lineRule="auto"/>
        <w:ind w:right="49"/>
        <w:jc w:val="both"/>
        <w:rPr>
          <w:rFonts w:ascii="Palatino Linotype" w:eastAsia="Palatino Linotype" w:hAnsi="Palatino Linotype" w:cs="Palatino Linotype"/>
        </w:rPr>
      </w:pPr>
    </w:p>
    <w:p w14:paraId="4D56BC7D" w14:textId="77777777" w:rsidR="007247F6" w:rsidRPr="0072707B" w:rsidRDefault="007247F6">
      <w:pPr>
        <w:spacing w:after="0" w:line="360" w:lineRule="auto"/>
        <w:ind w:right="49"/>
        <w:jc w:val="both"/>
        <w:rPr>
          <w:rFonts w:ascii="Palatino Linotype" w:eastAsia="Palatino Linotype" w:hAnsi="Palatino Linotype" w:cs="Palatino Linotype"/>
        </w:rPr>
      </w:pPr>
    </w:p>
    <w:p w14:paraId="1389E9F2" w14:textId="77777777" w:rsidR="007247F6" w:rsidRPr="0072707B" w:rsidRDefault="007247F6">
      <w:pPr>
        <w:spacing w:after="0" w:line="360" w:lineRule="auto"/>
        <w:ind w:right="49"/>
        <w:jc w:val="both"/>
        <w:rPr>
          <w:rFonts w:ascii="Palatino Linotype" w:eastAsia="Palatino Linotype" w:hAnsi="Palatino Linotype" w:cs="Palatino Linotype"/>
        </w:rPr>
      </w:pPr>
    </w:p>
    <w:p w14:paraId="2CE096EC" w14:textId="77777777" w:rsidR="007247F6" w:rsidRPr="0072707B" w:rsidRDefault="007247F6">
      <w:pPr>
        <w:spacing w:after="0" w:line="360" w:lineRule="auto"/>
        <w:ind w:right="49"/>
        <w:jc w:val="both"/>
        <w:rPr>
          <w:rFonts w:ascii="Palatino Linotype" w:eastAsia="Palatino Linotype" w:hAnsi="Palatino Linotype" w:cs="Palatino Linotype"/>
        </w:rPr>
      </w:pPr>
    </w:p>
    <w:sectPr w:rsidR="007247F6" w:rsidRPr="0072707B">
      <w:headerReference w:type="default" r:id="rId9"/>
      <w:footerReference w:type="default" r:id="rId10"/>
      <w:headerReference w:type="first" r:id="rId11"/>
      <w:footerReference w:type="first" r:id="rId12"/>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A5674" w14:textId="77777777" w:rsidR="00E87D40" w:rsidRDefault="00E87D40">
      <w:pPr>
        <w:spacing w:after="0" w:line="240" w:lineRule="auto"/>
      </w:pPr>
      <w:r>
        <w:separator/>
      </w:r>
    </w:p>
  </w:endnote>
  <w:endnote w:type="continuationSeparator" w:id="0">
    <w:p w14:paraId="21B8D4EE" w14:textId="77777777" w:rsidR="00E87D40" w:rsidRDefault="00E87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4F21016-B82B-47CD-BF73-F31D5C4CAE9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2976735B-8C93-48E0-A5E4-D71269AE574F}"/>
    <w:embedBold r:id="rId3" w:fontKey="{4A97F7C7-B945-45F9-9561-14452E69A5D5}"/>
    <w:embedItalic r:id="rId4" w:fontKey="{2B944ACF-AAF9-40E3-8448-B35F8EE90CA9}"/>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5279150-7FDF-4032-9A37-3818B48D463F}"/>
    <w:embedItalic r:id="rId6" w:fontKey="{E4583E1D-81A9-4B60-9743-404EA297E098}"/>
  </w:font>
  <w:font w:name="Segoe UI">
    <w:panose1 w:val="020B0502040204020203"/>
    <w:charset w:val="00"/>
    <w:family w:val="swiss"/>
    <w:pitch w:val="variable"/>
    <w:sig w:usb0="E4002EFF" w:usb1="C000E47F" w:usb2="00000009" w:usb3="00000000" w:csb0="000001FF" w:csb1="00000000"/>
    <w:embedRegular r:id="rId7" w:fontKey="{F98788F2-5E10-430A-9103-0FFA5D492C01}"/>
  </w:font>
  <w:font w:name="Palatino Linotype">
    <w:panose1 w:val="02040502050505030304"/>
    <w:charset w:val="00"/>
    <w:family w:val="roman"/>
    <w:pitch w:val="variable"/>
    <w:sig w:usb0="E0000287" w:usb1="40000013" w:usb2="00000000" w:usb3="00000000" w:csb0="0000019F" w:csb1="00000000"/>
    <w:embedRegular r:id="rId8" w:fontKey="{148704B6-E1BD-4A59-AF62-B16806DD11C9}"/>
    <w:embedBold r:id="rId9" w:fontKey="{8780953A-E549-423C-BB5E-020182862039}"/>
    <w:embedItalic r:id="rId10" w:fontKey="{524F489F-E126-4AD0-B84E-22B5B281ECC2}"/>
    <w:embedBoldItalic r:id="rId11" w:fontKey="{6856E5CB-2D01-4824-968C-CE17527DAAE1}"/>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12" w:fontKey="{644174B8-E310-4183-9429-56CB65B552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5C7FC" w14:textId="7BCB2929" w:rsidR="007247F6" w:rsidRDefault="00215F9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33A4A">
      <w:rPr>
        <w:rFonts w:ascii="Palatino Linotype" w:eastAsia="Palatino Linotype" w:hAnsi="Palatino Linotype" w:cs="Palatino Linotype"/>
        <w:b/>
        <w:bCs/>
        <w:noProof/>
        <w:color w:val="000000"/>
        <w:sz w:val="20"/>
        <w:szCs w:val="20"/>
      </w:rPr>
      <w:t>27</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33A4A">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p>
  <w:p w14:paraId="5C95D979" w14:textId="77777777" w:rsidR="007247F6" w:rsidRDefault="007247F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D0B5F" w14:textId="23F10894" w:rsidR="007247F6" w:rsidRDefault="00215F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33A4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33A4A">
      <w:rPr>
        <w:b/>
        <w:bCs/>
        <w:noProof/>
        <w:color w:val="000000"/>
        <w:sz w:val="24"/>
        <w:szCs w:val="24"/>
      </w:rPr>
      <w:t>28</w:t>
    </w:r>
    <w:r>
      <w:rPr>
        <w:b/>
        <w:bCs/>
        <w:color w:val="000000"/>
        <w:sz w:val="24"/>
        <w:szCs w:val="24"/>
      </w:rPr>
      <w:fldChar w:fldCharType="end"/>
    </w:r>
  </w:p>
  <w:p w14:paraId="6889FCB2" w14:textId="77777777" w:rsidR="007247F6" w:rsidRDefault="007247F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7002C" w14:textId="77777777" w:rsidR="00E87D40" w:rsidRDefault="00E87D40">
      <w:pPr>
        <w:spacing w:after="0" w:line="240" w:lineRule="auto"/>
      </w:pPr>
      <w:r>
        <w:separator/>
      </w:r>
    </w:p>
  </w:footnote>
  <w:footnote w:type="continuationSeparator" w:id="0">
    <w:p w14:paraId="248B771E" w14:textId="77777777" w:rsidR="00E87D40" w:rsidRDefault="00E87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C2CE" w14:textId="3F540C62" w:rsidR="007247F6" w:rsidRDefault="00874662">
    <w:pPr>
      <w:widowControl w:val="0"/>
      <w:pBdr>
        <w:top w:val="nil"/>
        <w:left w:val="nil"/>
        <w:bottom w:val="nil"/>
        <w:right w:val="nil"/>
        <w:between w:val="nil"/>
      </w:pBdr>
      <w:spacing w:after="0" w:line="276" w:lineRule="auto"/>
      <w:rPr>
        <w:color w:val="000000"/>
      </w:rPr>
    </w:pPr>
    <w:r w:rsidRPr="00B0714E">
      <w:rPr>
        <w:noProof/>
      </w:rPr>
      <w:drawing>
        <wp:anchor distT="0" distB="0" distL="0" distR="0" simplePos="0" relativeHeight="251660288" behindDoc="1" locked="0" layoutInCell="1" hidden="0" allowOverlap="1" wp14:anchorId="42F990EB" wp14:editId="289AF721">
          <wp:simplePos x="0" y="0"/>
          <wp:positionH relativeFrom="column">
            <wp:posOffset>-954405</wp:posOffset>
          </wp:positionH>
          <wp:positionV relativeFrom="paragraph">
            <wp:posOffset>-440055</wp:posOffset>
          </wp:positionV>
          <wp:extent cx="7809876" cy="1016582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b"/>
      <w:tblW w:w="5603" w:type="dxa"/>
      <w:tblInd w:w="3611" w:type="dxa"/>
      <w:tblLayout w:type="fixed"/>
      <w:tblLook w:val="0400" w:firstRow="0" w:lastRow="0" w:firstColumn="0" w:lastColumn="0" w:noHBand="0" w:noVBand="1"/>
    </w:tblPr>
    <w:tblGrid>
      <w:gridCol w:w="2551"/>
      <w:gridCol w:w="3052"/>
    </w:tblGrid>
    <w:tr w:rsidR="00874662" w14:paraId="73A990FF" w14:textId="77777777" w:rsidTr="000E0A2B">
      <w:tc>
        <w:tcPr>
          <w:tcW w:w="2551" w:type="dxa"/>
        </w:tcPr>
        <w:p w14:paraId="382029A5" w14:textId="6F482F86" w:rsidR="00874662" w:rsidRDefault="00874662" w:rsidP="008746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tcPr>
        <w:p w14:paraId="44EA82D2" w14:textId="533ADD47" w:rsidR="00874662" w:rsidRDefault="00874662" w:rsidP="008746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r>
    <w:tr w:rsidR="007247F6" w14:paraId="6F8CFD4B" w14:textId="77777777">
      <w:trPr>
        <w:trHeight w:val="228"/>
      </w:trPr>
      <w:tc>
        <w:tcPr>
          <w:tcW w:w="2551" w:type="dxa"/>
          <w:vAlign w:val="center"/>
        </w:tcPr>
        <w:p w14:paraId="4B2C7741"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03E7D2C2" w14:textId="77777777" w:rsidR="007247F6" w:rsidRDefault="00215F9E">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Ayuntamiento de Toluca</w:t>
          </w:r>
        </w:p>
      </w:tc>
    </w:tr>
    <w:tr w:rsidR="007247F6" w14:paraId="194A08C0" w14:textId="77777777">
      <w:tc>
        <w:tcPr>
          <w:tcW w:w="2551" w:type="dxa"/>
          <w:vAlign w:val="center"/>
        </w:tcPr>
        <w:p w14:paraId="0EDE1585"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78EC38C0"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483E6FE9" w14:textId="5210305E" w:rsidR="007247F6" w:rsidRDefault="007247F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9C95D" w14:textId="77777777" w:rsidR="007247F6" w:rsidRDefault="00215F9E">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8240" behindDoc="1" locked="0" layoutInCell="1" hidden="0" allowOverlap="1" wp14:anchorId="55A8E3A6" wp14:editId="4B322AC6">
          <wp:simplePos x="0" y="0"/>
          <wp:positionH relativeFrom="column">
            <wp:posOffset>-1080134</wp:posOffset>
          </wp:positionH>
          <wp:positionV relativeFrom="paragraph">
            <wp:posOffset>-439419</wp:posOffset>
          </wp:positionV>
          <wp:extent cx="7809876" cy="10165823"/>
          <wp:effectExtent l="0" t="0" r="0" b="0"/>
          <wp:wrapNone/>
          <wp:docPr id="2143108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c"/>
      <w:tblW w:w="5603" w:type="dxa"/>
      <w:tblInd w:w="3611" w:type="dxa"/>
      <w:tblLayout w:type="fixed"/>
      <w:tblLook w:val="0400" w:firstRow="0" w:lastRow="0" w:firstColumn="0" w:lastColumn="0" w:noHBand="0" w:noVBand="1"/>
    </w:tblPr>
    <w:tblGrid>
      <w:gridCol w:w="2551"/>
      <w:gridCol w:w="3052"/>
    </w:tblGrid>
    <w:tr w:rsidR="007247F6" w14:paraId="7C2D6B94" w14:textId="77777777">
      <w:tc>
        <w:tcPr>
          <w:tcW w:w="2551" w:type="dxa"/>
          <w:vAlign w:val="center"/>
        </w:tcPr>
        <w:p w14:paraId="5FEEC555"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p w14:paraId="661531D5" w14:textId="77777777" w:rsidR="007247F6" w:rsidRDefault="007247F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56259E0E"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12664/INFOEM/IP/RR/2025 </w:t>
          </w:r>
        </w:p>
      </w:tc>
    </w:tr>
    <w:tr w:rsidR="007247F6" w14:paraId="4D1D02AA" w14:textId="77777777">
      <w:tc>
        <w:tcPr>
          <w:tcW w:w="2551" w:type="dxa"/>
          <w:vAlign w:val="center"/>
        </w:tcPr>
        <w:p w14:paraId="75850D90"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Recurrente:</w:t>
          </w:r>
        </w:p>
      </w:tc>
      <w:tc>
        <w:tcPr>
          <w:tcW w:w="3052" w:type="dxa"/>
          <w:vAlign w:val="center"/>
        </w:tcPr>
        <w:p w14:paraId="0C6656CF" w14:textId="77777777" w:rsidR="007247F6" w:rsidRDefault="007247F6">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bCs/>
              <w:color w:val="000000"/>
            </w:rPr>
          </w:pPr>
        </w:p>
      </w:tc>
    </w:tr>
    <w:tr w:rsidR="007247F6" w14:paraId="74BE557E" w14:textId="77777777">
      <w:trPr>
        <w:trHeight w:val="228"/>
      </w:trPr>
      <w:tc>
        <w:tcPr>
          <w:tcW w:w="2551" w:type="dxa"/>
          <w:vAlign w:val="center"/>
        </w:tcPr>
        <w:p w14:paraId="6CFC07D3"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1BC52237" w14:textId="77777777" w:rsidR="007247F6" w:rsidRDefault="00215F9E">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Toluca</w:t>
          </w:r>
        </w:p>
      </w:tc>
    </w:tr>
    <w:tr w:rsidR="007247F6" w14:paraId="3039180F" w14:textId="77777777">
      <w:tc>
        <w:tcPr>
          <w:tcW w:w="2551" w:type="dxa"/>
          <w:vAlign w:val="center"/>
        </w:tcPr>
        <w:p w14:paraId="44E2C7D9"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4B199A16" w14:textId="77777777" w:rsidR="007247F6" w:rsidRDefault="00215F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195CB7AA" w14:textId="77777777" w:rsidR="007247F6" w:rsidRDefault="00215F9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E412A"/>
    <w:multiLevelType w:val="multilevel"/>
    <w:tmpl w:val="74C0526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EE685F"/>
    <w:multiLevelType w:val="multilevel"/>
    <w:tmpl w:val="9AD8F52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7813FD"/>
    <w:multiLevelType w:val="multilevel"/>
    <w:tmpl w:val="2AD8F9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62F4A92"/>
    <w:multiLevelType w:val="multilevel"/>
    <w:tmpl w:val="0038D2A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7F6"/>
    <w:rsid w:val="00215F9E"/>
    <w:rsid w:val="007247F6"/>
    <w:rsid w:val="0072707B"/>
    <w:rsid w:val="00733A4A"/>
    <w:rsid w:val="00786EB5"/>
    <w:rsid w:val="00874662"/>
    <w:rsid w:val="00D21022"/>
    <w:rsid w:val="00E8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F4B38"/>
  <w15:docId w15:val="{275AC1C4-997D-4BCA-940B-13D7ECE8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tulo1Car">
    <w:name w:val="Título 1 Car"/>
    <w:basedOn w:val="Fuentedeprrafopredeter"/>
    <w:rsid w:val="00FD48C3"/>
    <w:rPr>
      <w:b/>
      <w:sz w:val="48"/>
      <w:szCs w:val="48"/>
    </w:rPr>
  </w:style>
  <w:style w:type="character" w:customStyle="1" w:styleId="Ttulo2Car">
    <w:name w:val="Título 2 Car"/>
    <w:basedOn w:val="Fuentedeprrafopredeter"/>
    <w:rsid w:val="00FD48C3"/>
    <w:rPr>
      <w:b/>
      <w:sz w:val="36"/>
      <w:szCs w:val="36"/>
    </w:rPr>
  </w:style>
  <w:style w:type="character" w:customStyle="1" w:styleId="Ttulo3Car">
    <w:name w:val="Título 3 Car"/>
    <w:basedOn w:val="Fuentedeprrafopredeter"/>
    <w:rsid w:val="00FD48C3"/>
    <w:rPr>
      <w:b/>
      <w:sz w:val="28"/>
      <w:szCs w:val="28"/>
    </w:rPr>
  </w:style>
  <w:style w:type="character" w:customStyle="1" w:styleId="Ttulo4Car">
    <w:name w:val="Título 4 Car"/>
    <w:basedOn w:val="Fuentedeprrafopredeter"/>
    <w:rsid w:val="00FD48C3"/>
    <w:rPr>
      <w:b/>
      <w:sz w:val="24"/>
      <w:szCs w:val="24"/>
    </w:rPr>
  </w:style>
  <w:style w:type="character" w:customStyle="1" w:styleId="Ttulo5Car">
    <w:name w:val="Título 5 Car"/>
    <w:basedOn w:val="Fuentedeprrafopredeter"/>
    <w:rsid w:val="00FD48C3"/>
    <w:rPr>
      <w:b/>
    </w:rPr>
  </w:style>
  <w:style w:type="character" w:customStyle="1" w:styleId="Ttulo6Car">
    <w:name w:val="Título 6 Car"/>
    <w:basedOn w:val="Fuentedeprrafopredeter"/>
    <w:rsid w:val="00FD48C3"/>
    <w:rPr>
      <w:b/>
      <w:sz w:val="20"/>
      <w:szCs w:val="20"/>
    </w:rPr>
  </w:style>
  <w:style w:type="table" w:customStyle="1" w:styleId="TableNormal5">
    <w:name w:val="Table Normal"/>
    <w:tblPr>
      <w:tblCellMar>
        <w:top w:w="0" w:type="dxa"/>
        <w:left w:w="0" w:type="dxa"/>
        <w:bottom w:w="0" w:type="dxa"/>
        <w:right w:w="0" w:type="dxa"/>
      </w:tblCellMar>
    </w:tblPr>
  </w:style>
  <w:style w:type="character" w:customStyle="1" w:styleId="TtuloCar">
    <w:name w:val="Título Car"/>
    <w:basedOn w:val="Fuentedeprrafopredeter"/>
    <w:rsid w:val="00FD48C3"/>
    <w:rPr>
      <w:b/>
      <w:sz w:val="72"/>
      <w:szCs w:val="72"/>
    </w:r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tuloCar">
    <w:name w:val="Subtítulo Car"/>
    <w:basedOn w:val="Fuentedeprrafopredeter"/>
    <w:rsid w:val="00FD48C3"/>
    <w:rPr>
      <w:rFonts w:ascii="Georgia" w:eastAsia="Georgia" w:hAnsi="Georgia" w:cs="Georgia"/>
      <w:i/>
      <w:color w:val="666666"/>
      <w:sz w:val="48"/>
      <w:szCs w:val="48"/>
    </w:rPr>
  </w:style>
  <w:style w:type="table" w:customStyle="1" w:styleId="a">
    <w:basedOn w:val="TableNormal8"/>
    <w:tblPr>
      <w:tblStyleRowBandSize w:val="1"/>
      <w:tblStyleColBandSize w:val="1"/>
      <w:tblCellMar>
        <w:top w:w="15" w:type="dxa"/>
        <w:left w:w="15" w:type="dxa"/>
        <w:bottom w:w="15" w:type="dxa"/>
        <w:right w:w="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top w:w="15" w:type="dxa"/>
        <w:left w:w="115" w:type="dxa"/>
        <w:bottom w:w="15" w:type="dxa"/>
        <w:right w:w="115" w:type="dxa"/>
      </w:tblCellMar>
    </w:tblPr>
  </w:style>
  <w:style w:type="table" w:customStyle="1" w:styleId="a3">
    <w:basedOn w:val="TableNormal8"/>
    <w:tblPr>
      <w:tblStyleRowBandSize w:val="1"/>
      <w:tblStyleColBandSize w:val="1"/>
      <w:tblCellMar>
        <w:top w:w="15" w:type="dxa"/>
        <w:left w:w="115" w:type="dxa"/>
        <w:bottom w:w="15" w:type="dxa"/>
        <w:right w:w="115" w:type="dxa"/>
      </w:tblCellMar>
    </w:tblPr>
  </w:style>
  <w:style w:type="table" w:customStyle="1" w:styleId="a4">
    <w:basedOn w:val="TableNormal7"/>
    <w:tblPr>
      <w:tblStyleRowBandSize w:val="1"/>
      <w:tblStyleColBandSize w:val="1"/>
      <w:tblCellMar>
        <w:top w:w="15" w:type="dxa"/>
        <w:left w:w="115" w:type="dxa"/>
        <w:bottom w:w="15" w:type="dxa"/>
        <w:right w:w="115" w:type="dxa"/>
      </w:tblCellMar>
    </w:tblPr>
  </w:style>
  <w:style w:type="table" w:customStyle="1" w:styleId="a5">
    <w:basedOn w:val="TableNormal7"/>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6"/>
    <w:pPr>
      <w:spacing w:after="0" w:line="240" w:lineRule="auto"/>
    </w:pPr>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top w:w="15" w:type="dxa"/>
        <w:left w:w="115" w:type="dxa"/>
        <w:bottom w:w="15" w:type="dxa"/>
        <w:right w:w="115" w:type="dxa"/>
      </w:tblCellMar>
    </w:tblPr>
  </w:style>
  <w:style w:type="table" w:customStyle="1" w:styleId="a8">
    <w:basedOn w:val="TableNormal6"/>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character" w:customStyle="1" w:styleId="relative">
    <w:name w:val="relative"/>
    <w:basedOn w:val="Fuentedeprrafopredeter"/>
    <w:rsid w:val="00E35917"/>
  </w:style>
  <w:style w:type="character" w:styleId="Textoennegrita">
    <w:name w:val="Strong"/>
    <w:basedOn w:val="Fuentedeprrafopredeter"/>
    <w:uiPriority w:val="22"/>
    <w:qFormat/>
    <w:rsid w:val="003A0900"/>
    <w:rPr>
      <w:b/>
      <w:bCs/>
    </w:r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JR/lXLG6JuE9bIiqQkJ/Ha5LA==">CgMxLjAyCWguMzBqMHpsbDIOaC54OGg4M2QxeHJ2eGEyDmguaXVucjVranloeDcyMgloLjJldDkycDAyCGguZ2pkZ3hzMgloLjE3ZHA4dnUyDmgua2VsZ3MyNDI4b2E2OAByITFsa0czazl3RnJKQmpJU0REd3pwMHRZQmVPV3hkalpaUA==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CC4136-EE78-4780-A223-D0B03DC2E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7769</Words>
  <Characters>42732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2026-03-13T17:40:00Z</cp:lastPrinted>
  <dcterms:created xsi:type="dcterms:W3CDTF">2026-04-08T18:33:00Z</dcterms:created>
  <dcterms:modified xsi:type="dcterms:W3CDTF">2026-04-08T18:33:00Z</dcterms:modified>
</cp:coreProperties>
</file>