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6573C" w14:textId="2EBACF08" w:rsidR="00713C55" w:rsidRPr="006C441B" w:rsidRDefault="00EA452A">
      <w:pPr>
        <w:spacing w:line="360" w:lineRule="auto"/>
        <w:ind w:right="49" w:hanging="2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6C441B">
        <w:rPr>
          <w:rFonts w:ascii="Palatino Linotype" w:eastAsia="Palatino Linotype" w:hAnsi="Palatino Linotype" w:cs="Palatino Linotype"/>
          <w:b/>
          <w:bCs/>
          <w:sz w:val="22"/>
          <w:szCs w:val="22"/>
        </w:rPr>
        <w:t>catorce de enero</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 xml:space="preserve">de dos mil </w:t>
      </w:r>
      <w:r w:rsidR="008963C4" w:rsidRPr="006C441B">
        <w:rPr>
          <w:rFonts w:ascii="Palatino Linotype" w:eastAsia="Palatino Linotype" w:hAnsi="Palatino Linotype" w:cs="Palatino Linotype"/>
          <w:b/>
          <w:bCs/>
          <w:sz w:val="22"/>
          <w:szCs w:val="22"/>
        </w:rPr>
        <w:t>veintiséis</w:t>
      </w:r>
      <w:r w:rsidRPr="006C441B">
        <w:rPr>
          <w:rFonts w:ascii="Palatino Linotype" w:eastAsia="Palatino Linotype" w:hAnsi="Palatino Linotype" w:cs="Palatino Linotype"/>
          <w:b/>
          <w:bCs/>
          <w:sz w:val="22"/>
          <w:szCs w:val="22"/>
        </w:rPr>
        <w:t xml:space="preserve">. </w:t>
      </w:r>
    </w:p>
    <w:p w14:paraId="73FD8058" w14:textId="77777777" w:rsidR="00713C55" w:rsidRPr="006C441B" w:rsidRDefault="00713C55">
      <w:pPr>
        <w:spacing w:line="360" w:lineRule="auto"/>
        <w:ind w:right="49" w:hanging="22"/>
        <w:jc w:val="both"/>
        <w:rPr>
          <w:rFonts w:ascii="Palatino Linotype" w:eastAsia="Palatino Linotype" w:hAnsi="Palatino Linotype" w:cs="Palatino Linotype"/>
          <w:sz w:val="22"/>
          <w:szCs w:val="22"/>
        </w:rPr>
      </w:pPr>
    </w:p>
    <w:p w14:paraId="5F31B138" w14:textId="40AE4E7F"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 xml:space="preserve">VISTO </w:t>
      </w:r>
      <w:r w:rsidRPr="006C441B">
        <w:rPr>
          <w:rFonts w:ascii="Palatino Linotype" w:eastAsia="Palatino Linotype" w:hAnsi="Palatino Linotype" w:cs="Palatino Linotype"/>
          <w:sz w:val="22"/>
          <w:szCs w:val="22"/>
        </w:rPr>
        <w:t xml:space="preserve">el expediente relativo al recurso de revisión </w:t>
      </w:r>
      <w:r w:rsidRPr="006C441B">
        <w:rPr>
          <w:rFonts w:ascii="Palatino Linotype" w:eastAsia="Palatino Linotype" w:hAnsi="Palatino Linotype" w:cs="Palatino Linotype"/>
          <w:b/>
          <w:bCs/>
          <w:sz w:val="22"/>
          <w:szCs w:val="22"/>
        </w:rPr>
        <w:t xml:space="preserve">08769/INFOEM/IP/RR/2025, </w:t>
      </w:r>
      <w:r w:rsidRPr="006C441B">
        <w:rPr>
          <w:rFonts w:ascii="Palatino Linotype" w:eastAsia="Palatino Linotype" w:hAnsi="Palatino Linotype" w:cs="Palatino Linotype"/>
          <w:sz w:val="22"/>
          <w:szCs w:val="22"/>
        </w:rPr>
        <w:t xml:space="preserve">interpuesto por </w:t>
      </w:r>
      <w:r w:rsidR="004C1845">
        <w:rPr>
          <w:rFonts w:ascii="Palatino Linotype" w:eastAsia="Palatino Linotype" w:hAnsi="Palatino Linotype" w:cs="Palatino Linotype"/>
          <w:b/>
          <w:bCs/>
          <w:sz w:val="22"/>
          <w:szCs w:val="22"/>
        </w:rPr>
        <w:t>XX</w:t>
      </w:r>
      <w:r w:rsidR="004C1845" w:rsidRPr="004C1845">
        <w:rPr>
          <w:rFonts w:ascii="Palatino Linotype" w:eastAsia="Palatino Linotype" w:hAnsi="Palatino Linotype" w:cs="Palatino Linotype"/>
          <w:b/>
          <w:bCs/>
          <w:sz w:val="22"/>
          <w:szCs w:val="22"/>
        </w:rPr>
        <w:t>XX XX XXXXXXX XX XXX</w:t>
      </w:r>
      <w:r w:rsidRPr="006C441B">
        <w:rPr>
          <w:rFonts w:ascii="Palatino Linotype" w:eastAsia="Palatino Linotype" w:hAnsi="Palatino Linotype" w:cs="Palatino Linotype"/>
          <w:sz w:val="22"/>
          <w:szCs w:val="22"/>
        </w:rPr>
        <w:t xml:space="preserve">, en lo sucesivo la parte </w:t>
      </w:r>
      <w:r w:rsidRPr="006C441B">
        <w:rPr>
          <w:rFonts w:ascii="Palatino Linotype" w:eastAsia="Palatino Linotype" w:hAnsi="Palatino Linotype" w:cs="Palatino Linotype"/>
          <w:b/>
          <w:bCs/>
          <w:sz w:val="22"/>
          <w:szCs w:val="22"/>
        </w:rPr>
        <w:t>Recurrente</w:t>
      </w:r>
      <w:r w:rsidRPr="006C441B">
        <w:rPr>
          <w:rFonts w:ascii="Palatino Linotype" w:eastAsia="Palatino Linotype" w:hAnsi="Palatino Linotype" w:cs="Palatino Linotype"/>
          <w:sz w:val="22"/>
          <w:szCs w:val="22"/>
        </w:rPr>
        <w:t xml:space="preserve">, en contra de la respuesta a la solicitud de información por parte del </w:t>
      </w:r>
      <w:r w:rsidRPr="006C441B">
        <w:rPr>
          <w:rFonts w:ascii="Palatino Linotype" w:eastAsia="Palatino Linotype" w:hAnsi="Palatino Linotype" w:cs="Palatino Linotype"/>
          <w:b/>
          <w:bCs/>
          <w:sz w:val="22"/>
          <w:szCs w:val="22"/>
        </w:rPr>
        <w:t>Ayuntamiento de Tejupilco</w:t>
      </w:r>
      <w:r w:rsidRPr="006C441B">
        <w:rPr>
          <w:rFonts w:ascii="Palatino Linotype" w:eastAsia="Palatino Linotype" w:hAnsi="Palatino Linotype" w:cs="Palatino Linotype"/>
          <w:sz w:val="22"/>
          <w:szCs w:val="22"/>
        </w:rPr>
        <w:t xml:space="preserve">, en lo sucesivo el </w:t>
      </w:r>
      <w:r w:rsidRPr="006C441B">
        <w:rPr>
          <w:rFonts w:ascii="Palatino Linotype" w:eastAsia="Palatino Linotype" w:hAnsi="Palatino Linotype" w:cs="Palatino Linotype"/>
          <w:b/>
          <w:bCs/>
          <w:sz w:val="22"/>
          <w:szCs w:val="22"/>
        </w:rPr>
        <w:t xml:space="preserve">Sujeto Obligado; </w:t>
      </w:r>
      <w:r w:rsidRPr="006C441B">
        <w:rPr>
          <w:rFonts w:ascii="Palatino Linotype" w:eastAsia="Palatino Linotype" w:hAnsi="Palatino Linotype" w:cs="Palatino Linotype"/>
          <w:sz w:val="22"/>
          <w:szCs w:val="22"/>
        </w:rPr>
        <w:t>se procede a dictar la presente resolución, con base en lo siguiente.</w:t>
      </w:r>
    </w:p>
    <w:p w14:paraId="106897EC"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179905C3" w14:textId="77777777" w:rsidR="00713C55" w:rsidRPr="006C441B" w:rsidRDefault="00EA452A">
      <w:pPr>
        <w:spacing w:line="360" w:lineRule="auto"/>
        <w:ind w:right="49"/>
        <w:jc w:val="center"/>
        <w:rPr>
          <w:rFonts w:ascii="Palatino Linotype" w:eastAsia="Palatino Linotype" w:hAnsi="Palatino Linotype" w:cs="Palatino Linotype"/>
          <w:b/>
          <w:bCs/>
          <w:sz w:val="22"/>
          <w:szCs w:val="22"/>
        </w:rPr>
      </w:pPr>
      <w:r w:rsidRPr="006C441B">
        <w:rPr>
          <w:rFonts w:ascii="Palatino Linotype" w:eastAsia="Palatino Linotype" w:hAnsi="Palatino Linotype" w:cs="Palatino Linotype"/>
          <w:b/>
          <w:bCs/>
          <w:sz w:val="22"/>
          <w:szCs w:val="22"/>
        </w:rPr>
        <w:t>I.</w:t>
      </w:r>
      <w:r w:rsidRPr="006C441B">
        <w:rPr>
          <w:rFonts w:ascii="Palatino Linotype" w:eastAsia="Palatino Linotype" w:hAnsi="Palatino Linotype" w:cs="Palatino Linotype"/>
          <w:b/>
          <w:bCs/>
          <w:sz w:val="22"/>
          <w:szCs w:val="22"/>
        </w:rPr>
        <w:tab/>
        <w:t>A N T E C E D E N T E S</w:t>
      </w:r>
    </w:p>
    <w:p w14:paraId="647ED930"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715EEDFC"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1.</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Solicitud de Acceso a la Información. El veinticinco de junio de dos mil veinticinco</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LA PARTE</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RECURRENTE</w:t>
      </w:r>
      <w:r w:rsidRPr="006C441B">
        <w:rPr>
          <w:rFonts w:ascii="Palatino Linotype" w:eastAsia="Palatino Linotype" w:hAnsi="Palatino Linotype" w:cs="Palatino Linotype"/>
          <w:sz w:val="22"/>
          <w:szCs w:val="22"/>
        </w:rPr>
        <w:t xml:space="preserve"> formuló solicitud de acceso a información pública a través del </w:t>
      </w:r>
      <w:r w:rsidRPr="006C441B">
        <w:rPr>
          <w:rFonts w:ascii="Palatino Linotype" w:eastAsia="Palatino Linotype" w:hAnsi="Palatino Linotype" w:cs="Palatino Linotype"/>
          <w:b/>
          <w:bCs/>
          <w:sz w:val="22"/>
          <w:szCs w:val="22"/>
        </w:rPr>
        <w:t>SAIMEX</w:t>
      </w:r>
      <w:r w:rsidRPr="006C441B">
        <w:rPr>
          <w:rFonts w:ascii="Palatino Linotype" w:eastAsia="Palatino Linotype" w:hAnsi="Palatino Linotype" w:cs="Palatino Linotype"/>
          <w:sz w:val="22"/>
          <w:szCs w:val="22"/>
        </w:rPr>
        <w:t xml:space="preserve">, en la que requirió lo siguiente: </w:t>
      </w:r>
    </w:p>
    <w:p w14:paraId="61DCDDCC"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135C1AF" w14:textId="77777777" w:rsidR="00713C55" w:rsidRPr="006C441B" w:rsidRDefault="00EA452A">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0" w:name="_heading=h.3znysh7" w:colFirst="0" w:colLast="0"/>
      <w:bookmarkEnd w:id="0"/>
      <w:r w:rsidRPr="006C441B">
        <w:rPr>
          <w:rFonts w:ascii="Palatino Linotype" w:eastAsia="Palatino Linotype" w:hAnsi="Palatino Linotype" w:cs="Palatino Linotype"/>
          <w:b/>
          <w:bCs/>
          <w:sz w:val="22"/>
          <w:szCs w:val="22"/>
        </w:rPr>
        <w:t xml:space="preserve">00029/TEJUPIL/IP/2025 </w:t>
      </w:r>
    </w:p>
    <w:p w14:paraId="365449F7" w14:textId="77777777" w:rsidR="00713C55" w:rsidRPr="006C441B" w:rsidRDefault="00EA452A">
      <w:pPr>
        <w:spacing w:line="360" w:lineRule="auto"/>
        <w:ind w:left="567" w:right="843"/>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i/>
          <w:iCs/>
          <w:sz w:val="22"/>
          <w:szCs w:val="22"/>
        </w:rPr>
        <w:t xml:space="preserve">"Con fundamento en los artículos 6º de la Constitución Política de los Estados Unidos Mexicanos, 8º de la Ley General de Transparencia y Acceso a la Información Pública, y 13, 92 y demás relativos de la Ley de Transparencia y Acceso a la Información Pública del Estado de México y Municipios, me permito solicitar de manera respetuosa la siguiente información: Estado actual de funcionamiento de las fuentes bailarinas ubicadas frente a Coppel en el municipio de Tejupilco. ¿Están actualmente en funcionamiento? En caso negativo, ¿desde qué fecha dejaron de operar? Motivo por el cual no se han dado labores de mantenimiento o rehabilitación. ¿Existe alguna causa técnica, administrativa o presupuestal? ¿Se ha determinado que los costos de </w:t>
      </w:r>
      <w:r w:rsidRPr="006C441B">
        <w:rPr>
          <w:rFonts w:ascii="Palatino Linotype" w:eastAsia="Palatino Linotype" w:hAnsi="Palatino Linotype" w:cs="Palatino Linotype"/>
          <w:i/>
          <w:iCs/>
          <w:sz w:val="22"/>
          <w:szCs w:val="22"/>
        </w:rPr>
        <w:lastRenderedPageBreak/>
        <w:t>mantenimiento son elevados? En caso de que se haya determinado que el costo de mantenimiento es elevado: Solicito se me proporcione copia de las solicitudes de servicio, oficios, cotizaciones o presupuestos que se hayan presentado para el mantenimiento o rehabilitación de dichas fuentes, incluyendo: Nombre de los proveedores. Fecha de la cotización. Monto estimado. ¿Existe alguna partida presupuestal específica destinada al mantenimiento de estas fuentes o espacios públicos similares durante el ejercicio fiscal actual o los anteriores (últimos 4 años)? Favor de especificar número de partida, nombre del programa, y montos asignados. En caso de que se tenga planeado rehabilitarlas próximamente, favor de informar: Fecha estimada de rehabilitación. Presupuesto asignado. Procedimiento de contratación previsto. Modalidad de entrega de la información: Solicito que la información sea entregada en versión electrónica a través de esta plataforma, en formato abierto (PDF, Excel o Word, según corresponda)..</w:t>
      </w:r>
      <w:r w:rsidRPr="006C441B">
        <w:rPr>
          <w:rFonts w:ascii="Palatino Linotype" w:eastAsia="Palatino Linotype" w:hAnsi="Palatino Linotype" w:cs="Palatino Linotype"/>
          <w:b/>
          <w:bCs/>
          <w:i/>
          <w:iCs/>
          <w:sz w:val="22"/>
          <w:szCs w:val="22"/>
        </w:rPr>
        <w:t>” (Sic.)</w:t>
      </w:r>
    </w:p>
    <w:p w14:paraId="5AA65814" w14:textId="77777777" w:rsidR="00713C55" w:rsidRPr="006C441B" w:rsidRDefault="00713C55">
      <w:pPr>
        <w:spacing w:line="360" w:lineRule="auto"/>
        <w:ind w:left="567" w:right="843"/>
        <w:jc w:val="both"/>
        <w:rPr>
          <w:rFonts w:ascii="Palatino Linotype" w:eastAsia="Palatino Linotype" w:hAnsi="Palatino Linotype" w:cs="Palatino Linotype"/>
          <w:i/>
          <w:iCs/>
          <w:sz w:val="22"/>
          <w:szCs w:val="22"/>
        </w:rPr>
      </w:pPr>
    </w:p>
    <w:p w14:paraId="3A8DDED1"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Modalidad elegida para la entrega de la información:</w:t>
      </w:r>
      <w:r w:rsidRPr="006C441B">
        <w:rPr>
          <w:rFonts w:ascii="Palatino Linotype" w:eastAsia="Palatino Linotype" w:hAnsi="Palatino Linotype" w:cs="Palatino Linotype"/>
          <w:sz w:val="22"/>
          <w:szCs w:val="22"/>
        </w:rPr>
        <w:t xml:space="preserve"> a través del Sistema de Acceso a la Información Mexiquense (SAIMEX).</w:t>
      </w:r>
    </w:p>
    <w:p w14:paraId="6FA9D2D0"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61095C10" w14:textId="77777777" w:rsidR="00713C55" w:rsidRPr="006C441B" w:rsidRDefault="00EA452A">
      <w:pPr>
        <w:widowControl w:val="0"/>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2. Respuesta.</w:t>
      </w:r>
      <w:r w:rsidRPr="006C441B">
        <w:rPr>
          <w:rFonts w:ascii="Palatino Linotype" w:eastAsia="Palatino Linotype" w:hAnsi="Palatino Linotype" w:cs="Palatino Linotype"/>
          <w:sz w:val="22"/>
          <w:szCs w:val="22"/>
        </w:rPr>
        <w:t xml:space="preserve"> El </w:t>
      </w:r>
      <w:r w:rsidRPr="006C441B">
        <w:rPr>
          <w:rFonts w:ascii="Palatino Linotype" w:eastAsia="Palatino Linotype" w:hAnsi="Palatino Linotype" w:cs="Palatino Linotype"/>
          <w:b/>
          <w:bCs/>
          <w:sz w:val="22"/>
          <w:szCs w:val="22"/>
        </w:rPr>
        <w:t>quince de julio de dos mil veinticinco</w:t>
      </w:r>
      <w:r w:rsidRPr="006C441B">
        <w:rPr>
          <w:rFonts w:ascii="Palatino Linotype" w:eastAsia="Palatino Linotype" w:hAnsi="Palatino Linotype" w:cs="Palatino Linotype"/>
          <w:sz w:val="22"/>
          <w:szCs w:val="22"/>
        </w:rPr>
        <w:t>, el Sujeto Obligado dio respuesta a la solicitud, señalando lo siguiente:</w:t>
      </w:r>
    </w:p>
    <w:p w14:paraId="3F1DBE3C" w14:textId="77777777" w:rsidR="00713C55" w:rsidRPr="006C441B" w:rsidRDefault="00713C55">
      <w:pPr>
        <w:widowControl w:val="0"/>
        <w:spacing w:line="360" w:lineRule="auto"/>
        <w:jc w:val="both"/>
        <w:rPr>
          <w:rFonts w:ascii="Palatino Linotype" w:eastAsia="Palatino Linotype" w:hAnsi="Palatino Linotype" w:cs="Palatino Linotype"/>
          <w:sz w:val="22"/>
          <w:szCs w:val="22"/>
        </w:rPr>
      </w:pPr>
    </w:p>
    <w:p w14:paraId="7317D744" w14:textId="77777777" w:rsidR="00713C55" w:rsidRPr="006C441B" w:rsidRDefault="00EA452A">
      <w:pPr>
        <w:widowControl w:val="0"/>
        <w:spacing w:line="360" w:lineRule="auto"/>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AA32E0" w14:textId="77777777" w:rsidR="00713C55" w:rsidRPr="006C441B" w:rsidRDefault="00EA452A">
      <w:pPr>
        <w:widowControl w:val="0"/>
        <w:spacing w:line="360" w:lineRule="auto"/>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De acuerdo a la información entregada por el área competente, se informa que la Obra se encuentra fuera de operación desde el año 2022, debido a problemas técnicos y fallas </w:t>
      </w:r>
      <w:r w:rsidRPr="006C441B">
        <w:rPr>
          <w:rFonts w:ascii="Palatino Linotype" w:eastAsia="Palatino Linotype" w:hAnsi="Palatino Linotype" w:cs="Palatino Linotype"/>
          <w:i/>
          <w:iCs/>
          <w:sz w:val="22"/>
          <w:szCs w:val="22"/>
        </w:rPr>
        <w:lastRenderedPageBreak/>
        <w:t>en mecánicas. Al momento no se le ha asignado ninguna partida presupuestal para reparar los daños que tiene y no hay fecha de posible reparación al momento, ya que se le ha dado atención a los servicios básicos que por obligación debe brindar el Ayuntamiento de los servicios públicos y atención a los desastres naturales que ha obligado a emplear los recursos en el bienestar primero de la población.</w:t>
      </w:r>
    </w:p>
    <w:p w14:paraId="406EC039" w14:textId="77777777" w:rsidR="00713C55" w:rsidRPr="006C441B" w:rsidRDefault="00EA452A">
      <w:pPr>
        <w:widowControl w:val="0"/>
        <w:spacing w:line="360" w:lineRule="auto"/>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ATENTAMENTE</w:t>
      </w:r>
    </w:p>
    <w:p w14:paraId="73D1267E" w14:textId="77777777" w:rsidR="00713C55" w:rsidRPr="006C441B" w:rsidRDefault="00EA452A">
      <w:pPr>
        <w:widowControl w:val="0"/>
        <w:spacing w:line="360" w:lineRule="auto"/>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LIC. JIMENA JAIMES AGUIRRE”</w:t>
      </w:r>
    </w:p>
    <w:p w14:paraId="39BE9D2B" w14:textId="77777777" w:rsidR="00713C55" w:rsidRPr="006C441B" w:rsidRDefault="00713C55">
      <w:pPr>
        <w:widowControl w:val="0"/>
        <w:spacing w:line="360" w:lineRule="auto"/>
        <w:jc w:val="both"/>
        <w:rPr>
          <w:rFonts w:ascii="Palatino Linotype" w:eastAsia="Palatino Linotype" w:hAnsi="Palatino Linotype" w:cs="Palatino Linotype"/>
          <w:sz w:val="22"/>
          <w:szCs w:val="22"/>
        </w:rPr>
      </w:pPr>
    </w:p>
    <w:p w14:paraId="60A05BF4"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 xml:space="preserve">3. Del Recurso de Revisión. </w:t>
      </w:r>
      <w:r w:rsidRPr="006C441B">
        <w:rPr>
          <w:rFonts w:ascii="Palatino Linotype" w:eastAsia="Palatino Linotype" w:hAnsi="Palatino Linotype" w:cs="Palatino Linotype"/>
          <w:sz w:val="22"/>
          <w:szCs w:val="22"/>
        </w:rPr>
        <w:t>Inconforme con la respuesta del</w:t>
      </w:r>
      <w:r w:rsidRPr="006C441B">
        <w:rPr>
          <w:rFonts w:ascii="Palatino Linotype" w:eastAsia="Palatino Linotype" w:hAnsi="Palatino Linotype" w:cs="Palatino Linotype"/>
          <w:b/>
          <w:bCs/>
          <w:sz w:val="22"/>
          <w:szCs w:val="22"/>
        </w:rPr>
        <w:t xml:space="preserve"> SUJETO OBLIGADO, </w:t>
      </w:r>
      <w:r w:rsidRPr="006C441B">
        <w:rPr>
          <w:rFonts w:ascii="Palatino Linotype" w:eastAsia="Palatino Linotype" w:hAnsi="Palatino Linotype" w:cs="Palatino Linotype"/>
          <w:sz w:val="22"/>
          <w:szCs w:val="22"/>
        </w:rPr>
        <w:t xml:space="preserve">el </w:t>
      </w:r>
      <w:r w:rsidRPr="006C441B">
        <w:rPr>
          <w:rFonts w:ascii="Palatino Linotype" w:eastAsia="Palatino Linotype" w:hAnsi="Palatino Linotype" w:cs="Palatino Linotype"/>
          <w:b/>
          <w:bCs/>
          <w:sz w:val="22"/>
          <w:szCs w:val="22"/>
        </w:rPr>
        <w:t xml:space="preserve">dieciocho de julio de dos mil veinticinco, LA PARTE RECURRENTE </w:t>
      </w:r>
      <w:r w:rsidRPr="006C441B">
        <w:rPr>
          <w:rFonts w:ascii="Palatino Linotype" w:eastAsia="Palatino Linotype" w:hAnsi="Palatino Linotype" w:cs="Palatino Linotype"/>
          <w:sz w:val="22"/>
          <w:szCs w:val="22"/>
        </w:rPr>
        <w:t xml:space="preserve">interpuso el recurso de revisión, mediante el cual y manifestó lo siguiente: </w:t>
      </w:r>
    </w:p>
    <w:p w14:paraId="02F4779C"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79D5896" w14:textId="77777777" w:rsidR="00713C55" w:rsidRPr="006C441B" w:rsidRDefault="00EA452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sz w:val="22"/>
          <w:szCs w:val="22"/>
        </w:rPr>
        <w:t>Acto Impugnado</w:t>
      </w:r>
      <w:r w:rsidRPr="006C441B">
        <w:rPr>
          <w:rFonts w:ascii="Palatino Linotype" w:eastAsia="Palatino Linotype" w:hAnsi="Palatino Linotype" w:cs="Palatino Linotype"/>
          <w:sz w:val="22"/>
          <w:szCs w:val="22"/>
        </w:rPr>
        <w:t>: “E</w:t>
      </w:r>
      <w:r w:rsidRPr="006C441B">
        <w:rPr>
          <w:rFonts w:ascii="Palatino Linotype" w:eastAsia="Palatino Linotype" w:hAnsi="Palatino Linotype" w:cs="Palatino Linotype"/>
          <w:i/>
          <w:iCs/>
          <w:sz w:val="22"/>
          <w:szCs w:val="22"/>
        </w:rPr>
        <w:t>n mi carácter de solicitante y con fundamento en los artículos 6º de la Constitución Política de los Estados Unidos Mexicanos, 2, 4, 53, 143, 144, 154 y demás relativos de la Ley de Transparencia y Acceso a la Información Pública del Estado de México y Municipios, interpongo formal RECURSO DE REVISIÓN en contra de la respuesta emitida por el Municipio de Tejupilco, relativa a la solicitud sobre el estado de las fuentes bailarinas frente a Coppel, por los siguientes: HECHOS 1️</w:t>
      </w:r>
      <w:sdt>
        <w:sdtPr>
          <w:tag w:val="goog_rdk_0"/>
          <w:id w:val="-1656779570"/>
        </w:sdtPr>
        <w:sdtEndPr/>
        <w:sdtContent>
          <w:r w:rsidRPr="006C441B">
            <w:rPr>
              <w:rFonts w:ascii="Arial Unicode MS" w:eastAsia="Arial Unicode MS" w:hAnsi="Arial Unicode MS" w:cs="Arial Unicode MS"/>
              <w:i/>
              <w:iCs/>
              <w:sz w:val="22"/>
              <w:szCs w:val="22"/>
            </w:rPr>
            <w:t>⃣</w:t>
          </w:r>
        </w:sdtContent>
      </w:sdt>
      <w:r w:rsidRPr="006C441B">
        <w:rPr>
          <w:rFonts w:ascii="Palatino Linotype" w:eastAsia="Palatino Linotype" w:hAnsi="Palatino Linotype" w:cs="Palatino Linotype"/>
          <w:i/>
          <w:iCs/>
          <w:sz w:val="22"/>
          <w:szCs w:val="22"/>
        </w:rPr>
        <w:t xml:space="preserve"> El suscrito presentó solicitud de acceso a la información pública, solicitando detalles precisos sobre: Estado actual de funcionamiento de las fuentes bailarinas. Fecha desde que dejaron de operar. Causas técnicas, administrativas o presupuestales de la falta de mantenimiento. Copias de solicitudes de servicio, oficios, cotizaciones o presupuestos para su rehabilitación. Existencia de partidas presupuestales asignadas para su mantenimiento en los últimos 4 años. Planes de rehabilitación, presupuesto estimado y procedimiento de contratación. 2️</w:t>
      </w:r>
      <w:sdt>
        <w:sdtPr>
          <w:tag w:val="goog_rdk_1"/>
          <w:id w:val="-59852642"/>
        </w:sdtPr>
        <w:sdtEndPr/>
        <w:sdtContent>
          <w:r w:rsidRPr="006C441B">
            <w:rPr>
              <w:rFonts w:ascii="Arial Unicode MS" w:eastAsia="Arial Unicode MS" w:hAnsi="Arial Unicode MS" w:cs="Arial Unicode MS"/>
              <w:i/>
              <w:iCs/>
              <w:sz w:val="22"/>
              <w:szCs w:val="22"/>
            </w:rPr>
            <w:t>⃣</w:t>
          </w:r>
        </w:sdtContent>
      </w:sdt>
      <w:r w:rsidRPr="006C441B">
        <w:rPr>
          <w:rFonts w:ascii="Palatino Linotype" w:eastAsia="Palatino Linotype" w:hAnsi="Palatino Linotype" w:cs="Palatino Linotype"/>
          <w:i/>
          <w:iCs/>
          <w:sz w:val="22"/>
          <w:szCs w:val="22"/>
        </w:rPr>
        <w:t xml:space="preserve"> El sujeto obligado únicamente afirmó que: Las fuentes están fuera de operación desde 2022 por problemas técnicos. No se ha asignado partida presupuestal ni hay fecha de reparación. Se </w:t>
      </w:r>
      <w:bookmarkStart w:id="1" w:name="_GoBack"/>
      <w:bookmarkEnd w:id="1"/>
      <w:r w:rsidRPr="006C441B">
        <w:rPr>
          <w:rFonts w:ascii="Palatino Linotype" w:eastAsia="Palatino Linotype" w:hAnsi="Palatino Linotype" w:cs="Palatino Linotype"/>
          <w:i/>
          <w:iCs/>
          <w:sz w:val="22"/>
          <w:szCs w:val="22"/>
        </w:rPr>
        <w:t>priorizan servicios básicos y atención a desastres. 3️</w:t>
      </w:r>
      <w:sdt>
        <w:sdtPr>
          <w:tag w:val="goog_rdk_2"/>
          <w:id w:val="-1425331008"/>
        </w:sdtPr>
        <w:sdtEndPr/>
        <w:sdtContent>
          <w:r w:rsidRPr="006C441B">
            <w:rPr>
              <w:rFonts w:ascii="Arial Unicode MS" w:eastAsia="Arial Unicode MS" w:hAnsi="Arial Unicode MS" w:cs="Arial Unicode MS"/>
              <w:i/>
              <w:iCs/>
              <w:sz w:val="22"/>
              <w:szCs w:val="22"/>
            </w:rPr>
            <w:t>⃣</w:t>
          </w:r>
        </w:sdtContent>
      </w:sdt>
      <w:r w:rsidRPr="006C441B">
        <w:rPr>
          <w:rFonts w:ascii="Palatino Linotype" w:eastAsia="Palatino Linotype" w:hAnsi="Palatino Linotype" w:cs="Palatino Linotype"/>
          <w:i/>
          <w:iCs/>
          <w:sz w:val="22"/>
          <w:szCs w:val="22"/>
        </w:rPr>
        <w:t xml:space="preserve"> La respuesta es incompleta, pues: No entrega ningún documento de soporte (oficios, cotizaciones, solicitudes, presupuestos, acuerdos de cabildo, partidas). No acredita búsqueda exhaustiva en las áreas correspondientes: Obras Públicas, Tesorería, Desarrollo Urbano y Planeación. No anexa acta de inexistencia emitida por el Comité de Transparencia, como obliga el artículo 143 de la Ley. Omite responder a la pregunta específica sobre partidas presupuestales en los últimos 4 años, no solo en la anualidad actual.</w:t>
      </w:r>
      <w:r w:rsidRPr="006C441B">
        <w:rPr>
          <w:rFonts w:ascii="Palatino Linotype" w:eastAsia="Palatino Linotype" w:hAnsi="Palatino Linotype" w:cs="Palatino Linotype"/>
          <w:sz w:val="22"/>
          <w:szCs w:val="22"/>
        </w:rPr>
        <w:t>” (Sic.)</w:t>
      </w:r>
    </w:p>
    <w:p w14:paraId="6A5C662E" w14:textId="77777777" w:rsidR="00713C55" w:rsidRPr="006C441B" w:rsidRDefault="00713C55">
      <w:pPr>
        <w:pBdr>
          <w:top w:val="nil"/>
          <w:left w:val="nil"/>
          <w:bottom w:val="nil"/>
          <w:right w:val="nil"/>
          <w:between w:val="nil"/>
        </w:pBdr>
        <w:spacing w:line="360" w:lineRule="auto"/>
        <w:ind w:left="720" w:right="560"/>
        <w:jc w:val="both"/>
        <w:rPr>
          <w:rFonts w:ascii="Palatino Linotype" w:eastAsia="Palatino Linotype" w:hAnsi="Palatino Linotype" w:cs="Palatino Linotype"/>
          <w:i/>
          <w:iCs/>
          <w:sz w:val="22"/>
          <w:szCs w:val="22"/>
        </w:rPr>
      </w:pPr>
    </w:p>
    <w:p w14:paraId="75C8F502" w14:textId="77777777" w:rsidR="00713C55" w:rsidRPr="006C441B" w:rsidRDefault="00EA452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Motivo de inconformidad:</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i/>
          <w:iCs/>
          <w:sz w:val="22"/>
          <w:szCs w:val="22"/>
        </w:rPr>
        <w:t>Respuesta incongruente e incompleta: No responde todos los puntos solicitados ni explica la inexistencia de documentos previos de mantenimiento. 2️</w:t>
      </w:r>
      <w:sdt>
        <w:sdtPr>
          <w:tag w:val="goog_rdk_3"/>
          <w:id w:val="31039897"/>
        </w:sdtPr>
        <w:sdtEndPr/>
        <w:sdtContent>
          <w:r w:rsidRPr="006C441B">
            <w:rPr>
              <w:rFonts w:ascii="Arial Unicode MS" w:eastAsia="Arial Unicode MS" w:hAnsi="Arial Unicode MS" w:cs="Arial Unicode MS"/>
              <w:i/>
              <w:iCs/>
              <w:sz w:val="22"/>
              <w:szCs w:val="22"/>
            </w:rPr>
            <w:t>⃣</w:t>
          </w:r>
        </w:sdtContent>
      </w:sdt>
      <w:r w:rsidRPr="006C441B">
        <w:rPr>
          <w:rFonts w:ascii="Palatino Linotype" w:eastAsia="Palatino Linotype" w:hAnsi="Palatino Linotype" w:cs="Palatino Linotype"/>
          <w:i/>
          <w:iCs/>
          <w:sz w:val="22"/>
          <w:szCs w:val="22"/>
        </w:rPr>
        <w:t xml:space="preserve"> Incumplimiento del artículo 143: No anexa acta circunstanciada ni resolución formal de inexistencia de información. Solo emite un texto narrativo. 3️</w:t>
      </w:r>
      <w:sdt>
        <w:sdtPr>
          <w:tag w:val="goog_rdk_4"/>
          <w:id w:val="579143865"/>
        </w:sdtPr>
        <w:sdtEndPr/>
        <w:sdtContent>
          <w:r w:rsidRPr="006C441B">
            <w:rPr>
              <w:rFonts w:ascii="Arial Unicode MS" w:eastAsia="Arial Unicode MS" w:hAnsi="Arial Unicode MS" w:cs="Arial Unicode MS"/>
              <w:i/>
              <w:iCs/>
              <w:sz w:val="22"/>
              <w:szCs w:val="22"/>
            </w:rPr>
            <w:t>⃣</w:t>
          </w:r>
        </w:sdtContent>
      </w:sdt>
      <w:r w:rsidRPr="006C441B">
        <w:rPr>
          <w:rFonts w:ascii="Palatino Linotype" w:eastAsia="Palatino Linotype" w:hAnsi="Palatino Linotype" w:cs="Palatino Linotype"/>
          <w:i/>
          <w:iCs/>
          <w:sz w:val="22"/>
          <w:szCs w:val="22"/>
        </w:rPr>
        <w:t xml:space="preserve"> Violación del principio de máxima publicidad: No se entrega información verificable ni soporte documental, ni siquiera negativa fundada y motivada. 4️</w:t>
      </w:r>
      <w:sdt>
        <w:sdtPr>
          <w:tag w:val="goog_rdk_5"/>
          <w:id w:val="1018786876"/>
        </w:sdtPr>
        <w:sdtEndPr/>
        <w:sdtContent>
          <w:r w:rsidRPr="006C441B">
            <w:rPr>
              <w:rFonts w:ascii="Arial Unicode MS" w:eastAsia="Arial Unicode MS" w:hAnsi="Arial Unicode MS" w:cs="Arial Unicode MS"/>
              <w:i/>
              <w:iCs/>
              <w:sz w:val="22"/>
              <w:szCs w:val="22"/>
            </w:rPr>
            <w:t>⃣</w:t>
          </w:r>
        </w:sdtContent>
      </w:sdt>
      <w:r w:rsidRPr="006C441B">
        <w:rPr>
          <w:rFonts w:ascii="Palatino Linotype" w:eastAsia="Palatino Linotype" w:hAnsi="Palatino Linotype" w:cs="Palatino Linotype"/>
          <w:i/>
          <w:iCs/>
          <w:sz w:val="22"/>
          <w:szCs w:val="22"/>
        </w:rPr>
        <w:t xml:space="preserve"> Falta de exhaustividad: No acredita gestiones internas ni consulta con todas las áreas administrativas responsables. PETICIÓN Por lo expuesto, solicito a este Instituto: </w:t>
      </w:r>
      <w:r w:rsidRPr="006C441B">
        <w:rPr>
          <w:rFonts w:ascii="REM" w:eastAsia="REM" w:hAnsi="REM" w:cs="REM"/>
          <w:i/>
          <w:iCs/>
          <w:sz w:val="22"/>
          <w:szCs w:val="22"/>
        </w:rPr>
        <w:t>✅</w:t>
      </w:r>
      <w:r w:rsidRPr="006C441B">
        <w:rPr>
          <w:rFonts w:ascii="Palatino Linotype" w:eastAsia="Palatino Linotype" w:hAnsi="Palatino Linotype" w:cs="Palatino Linotype"/>
          <w:i/>
          <w:iCs/>
          <w:sz w:val="22"/>
          <w:szCs w:val="22"/>
        </w:rPr>
        <w:t xml:space="preserve"> Requiera al Municipio de Tejupilco a emitir nueva respuesta exhaustiva, entregando: Copias de oficios, cotizaciones o presupuestos previos, en caso de existir. Evidencia documental de la búsqueda realizada en las áreas competentes. Acta circunstanciada de inexistencia, conforme al artículo 143 de la Ley, si efectivamente no existe. Detalle y justifique la inexistencia de partidas presupuestales en los últimos 4 ejercicios fiscales. </w:t>
      </w:r>
      <w:r w:rsidRPr="006C441B">
        <w:rPr>
          <w:rFonts w:ascii="REM" w:eastAsia="REM" w:hAnsi="REM" w:cs="REM"/>
          <w:i/>
          <w:iCs/>
          <w:sz w:val="22"/>
          <w:szCs w:val="22"/>
        </w:rPr>
        <w:t>✅</w:t>
      </w:r>
      <w:r w:rsidRPr="006C441B">
        <w:rPr>
          <w:rFonts w:ascii="Palatino Linotype" w:eastAsia="Palatino Linotype" w:hAnsi="Palatino Linotype" w:cs="Palatino Linotype"/>
          <w:i/>
          <w:iCs/>
          <w:sz w:val="22"/>
          <w:szCs w:val="22"/>
        </w:rPr>
        <w:t xml:space="preserve"> De encontrarse omisión, falsedad o negligencia, se apliquen las sanciones correspondientes a los servidores públicos responsables, conforme al artículo 154</w:t>
      </w:r>
      <w:r w:rsidRPr="006C441B">
        <w:rPr>
          <w:rFonts w:ascii="Palatino Linotype" w:eastAsia="Palatino Linotype" w:hAnsi="Palatino Linotype" w:cs="Palatino Linotype"/>
          <w:sz w:val="22"/>
          <w:szCs w:val="22"/>
        </w:rPr>
        <w:t>” (Sic.)</w:t>
      </w:r>
    </w:p>
    <w:p w14:paraId="396C490F" w14:textId="77777777" w:rsidR="00713C55" w:rsidRPr="006C441B" w:rsidRDefault="00713C55">
      <w:pPr>
        <w:pBdr>
          <w:top w:val="nil"/>
          <w:left w:val="nil"/>
          <w:bottom w:val="nil"/>
          <w:right w:val="nil"/>
          <w:between w:val="nil"/>
        </w:pBdr>
        <w:spacing w:line="360" w:lineRule="auto"/>
        <w:rPr>
          <w:rFonts w:ascii="Palatino Linotype" w:eastAsia="Palatino Linotype" w:hAnsi="Palatino Linotype" w:cs="Palatino Linotype"/>
          <w:i/>
          <w:iCs/>
          <w:sz w:val="22"/>
          <w:szCs w:val="22"/>
        </w:rPr>
      </w:pPr>
    </w:p>
    <w:p w14:paraId="0A3B9DB1"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 xml:space="preserve">4. Turno. </w:t>
      </w:r>
      <w:r w:rsidRPr="006C441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6C441B">
        <w:rPr>
          <w:rFonts w:ascii="Palatino Linotype" w:eastAsia="Palatino Linotype" w:hAnsi="Palatino Linotype" w:cs="Palatino Linotype"/>
          <w:b/>
          <w:bCs/>
          <w:sz w:val="22"/>
          <w:szCs w:val="22"/>
        </w:rPr>
        <w:t>08769/INFOEM/IP/RR/2025</w:t>
      </w:r>
      <w:r w:rsidRPr="006C441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6C441B">
        <w:rPr>
          <w:rFonts w:ascii="Palatino Linotype" w:eastAsia="Palatino Linotype" w:hAnsi="Palatino Linotype" w:cs="Palatino Linotype"/>
          <w:b/>
          <w:bCs/>
          <w:sz w:val="22"/>
          <w:szCs w:val="22"/>
        </w:rPr>
        <w:t>Guadalupe Ramírez Peña</w:t>
      </w:r>
      <w:r w:rsidRPr="006C441B">
        <w:rPr>
          <w:rFonts w:ascii="Palatino Linotype" w:eastAsia="Palatino Linotype" w:hAnsi="Palatino Linotype" w:cs="Palatino Linotype"/>
          <w:sz w:val="22"/>
          <w:szCs w:val="22"/>
        </w:rPr>
        <w:t xml:space="preserve">, para su análisis, estudio, elaboración del proyecto y presentación ante el Pleno de este Instituto. </w:t>
      </w:r>
    </w:p>
    <w:p w14:paraId="2C1D4F97"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B8327D9" w14:textId="77777777" w:rsidR="00713C55" w:rsidRPr="006C441B" w:rsidRDefault="00EA452A">
      <w:pPr>
        <w:spacing w:line="360" w:lineRule="auto"/>
        <w:jc w:val="both"/>
        <w:rPr>
          <w:rFonts w:ascii="Palatino Linotype" w:eastAsia="Palatino Linotype" w:hAnsi="Palatino Linotype" w:cs="Palatino Linotype"/>
          <w:b/>
          <w:bCs/>
          <w:sz w:val="22"/>
          <w:szCs w:val="22"/>
        </w:rPr>
      </w:pPr>
      <w:r w:rsidRPr="006C441B">
        <w:rPr>
          <w:rFonts w:ascii="Palatino Linotype" w:eastAsia="Palatino Linotype" w:hAnsi="Palatino Linotype" w:cs="Palatino Linotype"/>
          <w:b/>
          <w:bCs/>
          <w:sz w:val="22"/>
          <w:szCs w:val="22"/>
        </w:rPr>
        <w:t xml:space="preserve">5. Admisión. </w:t>
      </w:r>
      <w:r w:rsidRPr="006C441B">
        <w:rPr>
          <w:rFonts w:ascii="Palatino Linotype" w:eastAsia="Palatino Linotype" w:hAnsi="Palatino Linotype" w:cs="Palatino Linotype"/>
          <w:sz w:val="22"/>
          <w:szCs w:val="22"/>
        </w:rPr>
        <w:t xml:space="preserve">El </w:t>
      </w:r>
      <w:r w:rsidRPr="006C441B">
        <w:rPr>
          <w:rFonts w:ascii="Palatino Linotype" w:eastAsia="Palatino Linotype" w:hAnsi="Palatino Linotype" w:cs="Palatino Linotype"/>
          <w:b/>
          <w:bCs/>
          <w:sz w:val="22"/>
          <w:szCs w:val="22"/>
        </w:rPr>
        <w:t>seis de agosto de dos mil veinticinco</w:t>
      </w:r>
      <w:r w:rsidRPr="006C441B">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6C441B">
        <w:rPr>
          <w:rFonts w:ascii="Palatino Linotype" w:eastAsia="Palatino Linotype" w:hAnsi="Palatino Linotype" w:cs="Palatino Linotype"/>
          <w:b/>
          <w:bCs/>
          <w:sz w:val="22"/>
          <w:szCs w:val="22"/>
        </w:rPr>
        <w:t xml:space="preserve">. </w:t>
      </w:r>
    </w:p>
    <w:p w14:paraId="719CA16C" w14:textId="77777777" w:rsidR="00713C55" w:rsidRPr="006C441B" w:rsidRDefault="00713C55">
      <w:pPr>
        <w:spacing w:line="360" w:lineRule="auto"/>
        <w:jc w:val="both"/>
        <w:rPr>
          <w:rFonts w:ascii="Palatino Linotype" w:eastAsia="Palatino Linotype" w:hAnsi="Palatino Linotype" w:cs="Palatino Linotype"/>
          <w:b/>
          <w:bCs/>
          <w:sz w:val="22"/>
          <w:szCs w:val="22"/>
        </w:rPr>
      </w:pPr>
    </w:p>
    <w:p w14:paraId="20E9942A"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6. Manifestaciones.</w:t>
      </w:r>
      <w:r w:rsidRPr="006C441B">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 se inserta imagen de referencia:</w:t>
      </w:r>
    </w:p>
    <w:p w14:paraId="3BE5C056"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8107C1B"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noProof/>
          <w:sz w:val="22"/>
          <w:szCs w:val="22"/>
        </w:rPr>
        <w:drawing>
          <wp:inline distT="0" distB="0" distL="0" distR="0" wp14:anchorId="61414850" wp14:editId="2080220C">
            <wp:extent cx="5756275" cy="1712595"/>
            <wp:effectExtent l="0" t="0" r="0" b="0"/>
            <wp:docPr id="1801607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56275" cy="1712595"/>
                    </a:xfrm>
                    <a:prstGeom prst="rect">
                      <a:avLst/>
                    </a:prstGeom>
                    <a:ln/>
                  </pic:spPr>
                </pic:pic>
              </a:graphicData>
            </a:graphic>
          </wp:inline>
        </w:drawing>
      </w:r>
    </w:p>
    <w:p w14:paraId="2B7601FC"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6936E2DB" w14:textId="7C4E2D47" w:rsidR="00713C55" w:rsidRPr="006C441B" w:rsidRDefault="00EA45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7. Ampliación de plazo. El diecisiete de diciembre de dos mil veinticinco</w:t>
      </w:r>
      <w:r w:rsidRPr="006C441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w:t>
      </w:r>
      <w:r w:rsidR="000C32AA" w:rsidRPr="006C441B">
        <w:rPr>
          <w:rFonts w:ascii="Palatino Linotype" w:eastAsia="Palatino Linotype" w:hAnsi="Palatino Linotype" w:cs="Palatino Linotype"/>
          <w:sz w:val="22"/>
          <w:szCs w:val="22"/>
        </w:rPr>
        <w:t xml:space="preserve"> Estado de México y Municipios; acuerdo que se tuvo por notificado el dieciocho de diciembre de dos mil veinticinco. </w:t>
      </w:r>
    </w:p>
    <w:p w14:paraId="79A9E23E"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55959F1"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4FDC17F0"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8F4487"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44CFEE"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2E98B9E" w14:textId="77777777" w:rsidR="00713C55" w:rsidRPr="006C441B" w:rsidRDefault="00EA452A">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Complejidad del Asunto:</w:t>
      </w:r>
      <w:r w:rsidRPr="006C441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49E020A" w14:textId="77777777" w:rsidR="00713C55" w:rsidRPr="006C441B" w:rsidRDefault="00EA452A">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Actividad Procesal del interesado</w:t>
      </w:r>
      <w:r w:rsidRPr="006C441B">
        <w:rPr>
          <w:rFonts w:ascii="Palatino Linotype" w:eastAsia="Palatino Linotype" w:hAnsi="Palatino Linotype" w:cs="Palatino Linotype"/>
          <w:sz w:val="22"/>
          <w:szCs w:val="22"/>
        </w:rPr>
        <w:t>. Acciones u omisiones del interesado.</w:t>
      </w:r>
    </w:p>
    <w:p w14:paraId="6CC12B12" w14:textId="77777777" w:rsidR="00713C55" w:rsidRPr="006C441B" w:rsidRDefault="00EA452A">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Conducta de la Autoridad:</w:t>
      </w:r>
      <w:r w:rsidRPr="006C441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99E520A" w14:textId="77777777" w:rsidR="00713C55" w:rsidRPr="006C441B" w:rsidRDefault="00EA452A">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La afectación generada en la situación jurídica de la persona involucrada en el proceso:</w:t>
      </w:r>
      <w:r w:rsidRPr="006C441B">
        <w:rPr>
          <w:rFonts w:ascii="Palatino Linotype" w:eastAsia="Palatino Linotype" w:hAnsi="Palatino Linotype" w:cs="Palatino Linotype"/>
          <w:sz w:val="22"/>
          <w:szCs w:val="22"/>
        </w:rPr>
        <w:t xml:space="preserve"> Violación a sus derechos humanos.</w:t>
      </w:r>
    </w:p>
    <w:p w14:paraId="59BE3740"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5A887C"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C441B">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6C441B">
        <w:rPr>
          <w:rFonts w:ascii="Palatino Linotype" w:eastAsia="Palatino Linotype" w:hAnsi="Palatino Linotype" w:cs="Palatino Linotype"/>
          <w:sz w:val="22"/>
          <w:szCs w:val="22"/>
        </w:rPr>
        <w:t>, visible en la Gaceta del Seminario Judicial de la Federación con el registro digital 205635.</w:t>
      </w:r>
    </w:p>
    <w:p w14:paraId="3932EF03"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082A91"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E55ECC5" w14:textId="77777777" w:rsidR="00713C55" w:rsidRPr="006C441B" w:rsidRDefault="00EA452A">
      <w:pPr>
        <w:spacing w:before="240" w:after="240" w:line="360" w:lineRule="auto"/>
        <w:ind w:left="851" w:right="90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sz w:val="22"/>
          <w:szCs w:val="22"/>
        </w:rPr>
        <w:t xml:space="preserve"> consultable en el Seminario Judicial de la Federación y su gaceta, con el registro digital 2002351.</w:t>
      </w:r>
    </w:p>
    <w:p w14:paraId="01691138" w14:textId="77777777" w:rsidR="00713C55" w:rsidRPr="006C441B" w:rsidRDefault="00EA452A">
      <w:pPr>
        <w:spacing w:before="240" w:after="240" w:line="360" w:lineRule="auto"/>
        <w:ind w:left="851" w:right="90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6C441B">
        <w:rPr>
          <w:rFonts w:ascii="Palatino Linotype" w:eastAsia="Palatino Linotype" w:hAnsi="Palatino Linotype" w:cs="Palatino Linotype"/>
          <w:sz w:val="22"/>
          <w:szCs w:val="22"/>
        </w:rPr>
        <w:t>, visible en el Seminario Judicial de la Federación y su gaceta, con el registro digital 2002350.</w:t>
      </w:r>
    </w:p>
    <w:p w14:paraId="36C6480B"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FC69866" w14:textId="7E049315" w:rsidR="00713C55" w:rsidRPr="006C441B" w:rsidRDefault="00EA45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8. Cierre de instrucción</w:t>
      </w:r>
      <w:r w:rsidRPr="006C441B">
        <w:rPr>
          <w:rFonts w:ascii="Palatino Linotype" w:eastAsia="Palatino Linotype" w:hAnsi="Palatino Linotype" w:cs="Palatino Linotype"/>
          <w:sz w:val="22"/>
          <w:szCs w:val="22"/>
        </w:rPr>
        <w:t xml:space="preserve">. En fecha </w:t>
      </w:r>
      <w:r w:rsidRPr="006C441B">
        <w:rPr>
          <w:rFonts w:ascii="Palatino Linotype" w:eastAsia="Palatino Linotype" w:hAnsi="Palatino Linotype" w:cs="Palatino Linotype"/>
          <w:b/>
          <w:bCs/>
          <w:sz w:val="22"/>
          <w:szCs w:val="22"/>
        </w:rPr>
        <w:t>diecisiete</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de diciembre de dos mil veinticinco</w:t>
      </w:r>
      <w:r w:rsidRPr="006C441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w:t>
      </w:r>
      <w:r w:rsidR="000C32AA" w:rsidRPr="006C441B">
        <w:rPr>
          <w:rFonts w:ascii="Palatino Linotype" w:eastAsia="Palatino Linotype" w:hAnsi="Palatino Linotype" w:cs="Palatino Linotype"/>
          <w:sz w:val="22"/>
          <w:szCs w:val="22"/>
        </w:rPr>
        <w:t xml:space="preserve">l Estado de México y Municipios, dicho acuerdo se tuvo por notificado el dieciocho de diciembre de dos mil veinticinco. </w:t>
      </w:r>
    </w:p>
    <w:p w14:paraId="30D17485"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6E6FE8B5"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Debido a que fue debidamente sustanciado </w:t>
      </w:r>
      <w:r w:rsidRPr="006C441B">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563F5227" w14:textId="77777777" w:rsidR="00713C55" w:rsidRPr="006C441B" w:rsidRDefault="00EA452A">
      <w:pPr>
        <w:spacing w:line="360" w:lineRule="auto"/>
        <w:ind w:right="49"/>
        <w:jc w:val="center"/>
        <w:rPr>
          <w:rFonts w:ascii="Palatino Linotype" w:eastAsia="Palatino Linotype" w:hAnsi="Palatino Linotype" w:cs="Palatino Linotype"/>
          <w:b/>
          <w:bCs/>
          <w:sz w:val="22"/>
          <w:szCs w:val="22"/>
        </w:rPr>
      </w:pPr>
      <w:r w:rsidRPr="006C441B">
        <w:rPr>
          <w:rFonts w:ascii="Palatino Linotype" w:eastAsia="Palatino Linotype" w:hAnsi="Palatino Linotype" w:cs="Palatino Linotype"/>
          <w:b/>
          <w:bCs/>
          <w:sz w:val="22"/>
          <w:szCs w:val="22"/>
        </w:rPr>
        <w:t>II.</w:t>
      </w:r>
      <w:r w:rsidRPr="006C441B">
        <w:rPr>
          <w:rFonts w:ascii="Palatino Linotype" w:eastAsia="Palatino Linotype" w:hAnsi="Palatino Linotype" w:cs="Palatino Linotype"/>
          <w:b/>
          <w:bCs/>
          <w:sz w:val="22"/>
          <w:szCs w:val="22"/>
        </w:rPr>
        <w:tab/>
        <w:t>C O N S I D E R A N D O:</w:t>
      </w:r>
    </w:p>
    <w:p w14:paraId="563F794F"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5C1DAF0E"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Primero. Competencia.</w:t>
      </w:r>
      <w:r w:rsidRPr="006C441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9D18061"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 xml:space="preserve">Segundo. Oportunidad y Procedibilidad del Recurso de Revisión. </w:t>
      </w:r>
      <w:r w:rsidRPr="006C441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536F056"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57AF110C" w14:textId="77777777" w:rsidR="00713C55" w:rsidRPr="006C441B" w:rsidRDefault="00EA452A">
      <w:pPr>
        <w:spacing w:line="360" w:lineRule="auto"/>
        <w:ind w:left="851" w:right="900"/>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 xml:space="preserve">“Artículo 178. </w:t>
      </w:r>
      <w:r w:rsidRPr="006C441B">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22DD24C" w14:textId="77777777" w:rsidR="00713C55" w:rsidRPr="006C441B" w:rsidRDefault="00EA452A">
      <w:pPr>
        <w:spacing w:before="240" w:after="240"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6C441B">
        <w:rPr>
          <w:rFonts w:ascii="Palatino Linotype" w:eastAsia="Palatino Linotype" w:hAnsi="Palatino Linotype" w:cs="Palatino Linotype"/>
          <w:b/>
          <w:bCs/>
          <w:sz w:val="22"/>
          <w:szCs w:val="22"/>
        </w:rPr>
        <w:t>SUJETO OBLIGADO</w:t>
      </w:r>
      <w:r w:rsidRPr="006C441B">
        <w:rPr>
          <w:rFonts w:ascii="Palatino Linotype" w:eastAsia="Palatino Linotype" w:hAnsi="Palatino Linotype" w:cs="Palatino Linotype"/>
          <w:sz w:val="22"/>
          <w:szCs w:val="22"/>
        </w:rPr>
        <w:t xml:space="preserve"> remitió la respuesta a la solicitud de información el día </w:t>
      </w:r>
      <w:r w:rsidRPr="006C441B">
        <w:rPr>
          <w:rFonts w:ascii="Palatino Linotype" w:eastAsia="Palatino Linotype" w:hAnsi="Palatino Linotype" w:cs="Palatino Linotype"/>
          <w:b/>
          <w:bCs/>
          <w:sz w:val="22"/>
          <w:szCs w:val="22"/>
        </w:rPr>
        <w:t xml:space="preserve">quince de julio de dos mil veinticinco, </w:t>
      </w:r>
      <w:r w:rsidRPr="006C441B">
        <w:rPr>
          <w:rFonts w:ascii="Palatino Linotype" w:eastAsia="Palatino Linotype" w:hAnsi="Palatino Linotype" w:cs="Palatino Linotype"/>
          <w:sz w:val="22"/>
          <w:szCs w:val="22"/>
        </w:rPr>
        <w:t xml:space="preserve">mientras que el recurso de revisión interpuesto por la parte </w:t>
      </w:r>
      <w:r w:rsidRPr="006C441B">
        <w:rPr>
          <w:rFonts w:ascii="Palatino Linotype" w:eastAsia="Palatino Linotype" w:hAnsi="Palatino Linotype" w:cs="Palatino Linotype"/>
          <w:b/>
          <w:bCs/>
          <w:sz w:val="22"/>
          <w:szCs w:val="22"/>
        </w:rPr>
        <w:t>RECURRENTE</w:t>
      </w:r>
      <w:r w:rsidRPr="006C441B">
        <w:rPr>
          <w:rFonts w:ascii="Palatino Linotype" w:eastAsia="Palatino Linotype" w:hAnsi="Palatino Linotype" w:cs="Palatino Linotype"/>
          <w:sz w:val="22"/>
          <w:szCs w:val="22"/>
        </w:rPr>
        <w:t xml:space="preserve">, se tuvo por presentado el </w:t>
      </w:r>
      <w:r w:rsidRPr="006C441B">
        <w:rPr>
          <w:rFonts w:ascii="Palatino Linotype" w:eastAsia="Palatino Linotype" w:hAnsi="Palatino Linotype" w:cs="Palatino Linotype"/>
          <w:b/>
          <w:bCs/>
          <w:sz w:val="22"/>
          <w:szCs w:val="22"/>
        </w:rPr>
        <w:t>dieciocho de noviembre del año dos mil veinticinco</w:t>
      </w:r>
      <w:r w:rsidRPr="006C441B">
        <w:rPr>
          <w:rFonts w:ascii="Palatino Linotype" w:eastAsia="Palatino Linotype" w:hAnsi="Palatino Linotype" w:cs="Palatino Linotype"/>
          <w:sz w:val="22"/>
          <w:szCs w:val="22"/>
        </w:rPr>
        <w:t>; esto es, al tercer día que se tuvo conocimiento de la respuesta.</w:t>
      </w:r>
    </w:p>
    <w:p w14:paraId="62E99EC0" w14:textId="77777777" w:rsidR="00713C55" w:rsidRPr="006C441B" w:rsidRDefault="00EA452A">
      <w:pPr>
        <w:spacing w:before="240" w:after="240"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77C1061"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I de la ley de la materia, que a la letra dice:</w:t>
      </w:r>
    </w:p>
    <w:p w14:paraId="2D8D30E8" w14:textId="77777777" w:rsidR="00713C55" w:rsidRPr="006C441B" w:rsidRDefault="00EA452A">
      <w:pPr>
        <w:spacing w:line="360" w:lineRule="auto"/>
        <w:ind w:left="851" w:right="1041"/>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b/>
          <w:bCs/>
          <w:i/>
          <w:iCs/>
          <w:sz w:val="22"/>
          <w:szCs w:val="22"/>
        </w:rPr>
        <w:t xml:space="preserve">Artículo 179. </w:t>
      </w:r>
      <w:r w:rsidRPr="006C441B">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1C99FBB1" w14:textId="77777777" w:rsidR="00713C55" w:rsidRPr="006C441B" w:rsidRDefault="00EA452A">
      <w:pPr>
        <w:spacing w:line="360" w:lineRule="auto"/>
        <w:ind w:left="851" w:right="1041"/>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 La negativa de la información solicitada</w:t>
      </w:r>
    </w:p>
    <w:p w14:paraId="5A596CBF" w14:textId="77777777" w:rsidR="00713C55" w:rsidRPr="006C441B" w:rsidRDefault="00EA452A">
      <w:pPr>
        <w:spacing w:line="360" w:lineRule="auto"/>
        <w:ind w:left="851" w:right="1041"/>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p>
    <w:p w14:paraId="33ADC51D"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 xml:space="preserve">Tercero. Materia de la revisión. </w:t>
      </w:r>
      <w:r w:rsidRPr="006C441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C441B">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6C441B">
        <w:rPr>
          <w:rFonts w:ascii="Palatino Linotype" w:eastAsia="Palatino Linotype" w:hAnsi="Palatino Linotype" w:cs="Palatino Linotype"/>
          <w:sz w:val="22"/>
          <w:szCs w:val="22"/>
        </w:rPr>
        <w:t xml:space="preserve">de la parte </w:t>
      </w:r>
      <w:r w:rsidRPr="006C441B">
        <w:rPr>
          <w:rFonts w:ascii="Palatino Linotype" w:eastAsia="Palatino Linotype" w:hAnsi="Palatino Linotype" w:cs="Palatino Linotype"/>
          <w:b/>
          <w:bCs/>
          <w:sz w:val="22"/>
          <w:szCs w:val="22"/>
        </w:rPr>
        <w:t>Recurrente</w:t>
      </w:r>
      <w:r w:rsidRPr="006C441B">
        <w:rPr>
          <w:rFonts w:ascii="Palatino Linotype" w:eastAsia="Palatino Linotype" w:hAnsi="Palatino Linotype" w:cs="Palatino Linotype"/>
          <w:sz w:val="22"/>
          <w:szCs w:val="22"/>
        </w:rPr>
        <w:t>, o en su defecto, en caso de ser procedente, ordenar la entrega de información.</w:t>
      </w:r>
    </w:p>
    <w:p w14:paraId="2C6FA854"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 xml:space="preserve">Cuarto. Estudio del asunto. </w:t>
      </w:r>
      <w:r w:rsidRPr="006C441B">
        <w:rPr>
          <w:rFonts w:ascii="Palatino Linotype" w:eastAsia="Palatino Linotype" w:hAnsi="Palatino Linotype" w:cs="Palatino Linotype"/>
          <w:sz w:val="22"/>
          <w:szCs w:val="22"/>
        </w:rPr>
        <w:t xml:space="preserve">En principio, es conveniente analizar si la respuesta del </w:t>
      </w:r>
      <w:r w:rsidRPr="006C441B">
        <w:rPr>
          <w:rFonts w:ascii="Palatino Linotype" w:eastAsia="Palatino Linotype" w:hAnsi="Palatino Linotype" w:cs="Palatino Linotype"/>
          <w:b/>
          <w:bCs/>
          <w:sz w:val="22"/>
          <w:szCs w:val="22"/>
        </w:rPr>
        <w:t>SUJETO OBLIGADO</w:t>
      </w:r>
      <w:r w:rsidRPr="006C441B">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2995A3C"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602780B8"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b/>
          <w:bCs/>
          <w:i/>
          <w:iCs/>
          <w:sz w:val="22"/>
          <w:szCs w:val="22"/>
        </w:rPr>
        <w:t>Artículo 4</w:t>
      </w:r>
      <w:r w:rsidRPr="006C441B">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681F346"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6C441B">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5EBBDE"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6C441B">
        <w:rPr>
          <w:rFonts w:ascii="Palatino Linotype" w:eastAsia="Palatino Linotype" w:hAnsi="Palatino Linotype" w:cs="Palatino Linotype"/>
          <w:i/>
          <w:iCs/>
          <w:sz w:val="22"/>
          <w:szCs w:val="22"/>
        </w:rPr>
        <w:t>.”</w:t>
      </w:r>
    </w:p>
    <w:p w14:paraId="2759FBA8"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421824DD"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34AFB0B"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5E8D96C8"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“Artículo 12.-</w:t>
      </w:r>
      <w:r w:rsidRPr="006C441B">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78DE62ED" w14:textId="77777777" w:rsidR="00713C55" w:rsidRPr="006C441B" w:rsidRDefault="00713C55">
      <w:pPr>
        <w:spacing w:line="360" w:lineRule="auto"/>
        <w:ind w:left="567" w:right="616"/>
        <w:jc w:val="both"/>
        <w:rPr>
          <w:rFonts w:ascii="Palatino Linotype" w:eastAsia="Palatino Linotype" w:hAnsi="Palatino Linotype" w:cs="Palatino Linotype"/>
          <w:i/>
          <w:iCs/>
          <w:sz w:val="22"/>
          <w:szCs w:val="22"/>
        </w:rPr>
      </w:pPr>
    </w:p>
    <w:p w14:paraId="06860A00"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6C441B">
        <w:rPr>
          <w:rFonts w:ascii="Palatino Linotype" w:eastAsia="Palatino Linotype" w:hAnsi="Palatino Linotype" w:cs="Palatino Linotype"/>
          <w:i/>
          <w:iCs/>
          <w:sz w:val="22"/>
          <w:szCs w:val="22"/>
        </w:rPr>
        <w:t xml:space="preserve">. </w:t>
      </w:r>
      <w:r w:rsidRPr="006C441B">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F3A44B1" w14:textId="77777777" w:rsidR="00713C55" w:rsidRPr="006C441B" w:rsidRDefault="00713C55">
      <w:pPr>
        <w:spacing w:line="360" w:lineRule="auto"/>
        <w:ind w:right="-93"/>
        <w:jc w:val="both"/>
        <w:rPr>
          <w:rFonts w:ascii="Palatino Linotype" w:eastAsia="Palatino Linotype" w:hAnsi="Palatino Linotype" w:cs="Palatino Linotype"/>
          <w:sz w:val="22"/>
          <w:szCs w:val="22"/>
        </w:rPr>
      </w:pPr>
    </w:p>
    <w:p w14:paraId="596A17F6" w14:textId="77777777" w:rsidR="00713C55" w:rsidRPr="006C441B" w:rsidRDefault="00EA452A">
      <w:pPr>
        <w:spacing w:line="360" w:lineRule="auto"/>
        <w:ind w:right="-93"/>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6261427" w14:textId="77777777" w:rsidR="00713C55" w:rsidRPr="006C441B" w:rsidRDefault="00713C55">
      <w:pPr>
        <w:spacing w:line="360" w:lineRule="auto"/>
        <w:ind w:right="-93"/>
        <w:jc w:val="both"/>
        <w:rPr>
          <w:rFonts w:ascii="Palatino Linotype" w:eastAsia="Palatino Linotype" w:hAnsi="Palatino Linotype" w:cs="Palatino Linotype"/>
          <w:sz w:val="22"/>
          <w:szCs w:val="22"/>
        </w:rPr>
      </w:pPr>
    </w:p>
    <w:p w14:paraId="0DE00991" w14:textId="77777777" w:rsidR="00713C55" w:rsidRPr="006C441B" w:rsidRDefault="00EA452A">
      <w:pPr>
        <w:spacing w:line="360" w:lineRule="auto"/>
        <w:ind w:right="-93"/>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C441B">
        <w:rPr>
          <w:rFonts w:ascii="Palatino Linotype" w:eastAsia="Palatino Linotype" w:hAnsi="Palatino Linotype" w:cs="Palatino Linotype"/>
          <w:b/>
          <w:bCs/>
          <w:sz w:val="22"/>
          <w:szCs w:val="22"/>
        </w:rPr>
        <w:t xml:space="preserve"> </w:t>
      </w:r>
    </w:p>
    <w:p w14:paraId="66DBBAA4" w14:textId="77777777" w:rsidR="00713C55" w:rsidRPr="006C441B" w:rsidRDefault="00713C55">
      <w:pPr>
        <w:spacing w:line="360" w:lineRule="auto"/>
        <w:jc w:val="both"/>
        <w:rPr>
          <w:rFonts w:ascii="Palatino Linotype" w:eastAsia="Palatino Linotype" w:hAnsi="Palatino Linotype" w:cs="Palatino Linotype"/>
          <w:b/>
          <w:bCs/>
          <w:sz w:val="22"/>
          <w:szCs w:val="22"/>
        </w:rPr>
      </w:pPr>
    </w:p>
    <w:p w14:paraId="169423E9"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6C441B">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C325E90" w14:textId="77777777" w:rsidR="00713C55" w:rsidRPr="006C441B" w:rsidRDefault="00713C55">
      <w:pPr>
        <w:spacing w:line="360" w:lineRule="auto"/>
        <w:ind w:right="-93"/>
        <w:jc w:val="both"/>
        <w:rPr>
          <w:rFonts w:ascii="Palatino Linotype" w:eastAsia="Palatino Linotype" w:hAnsi="Palatino Linotype" w:cs="Palatino Linotype"/>
          <w:sz w:val="22"/>
          <w:szCs w:val="22"/>
        </w:rPr>
      </w:pPr>
    </w:p>
    <w:p w14:paraId="436287A3"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FA6370"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61C596C1"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435467F"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3ADE74EB"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381BBD" w14:textId="77777777" w:rsidR="00713C55" w:rsidRPr="006C441B" w:rsidRDefault="00713C55">
      <w:pPr>
        <w:spacing w:line="360" w:lineRule="auto"/>
        <w:ind w:left="567" w:right="616"/>
        <w:jc w:val="both"/>
        <w:rPr>
          <w:rFonts w:ascii="Palatino Linotype" w:eastAsia="Palatino Linotype" w:hAnsi="Palatino Linotype" w:cs="Palatino Linotype"/>
          <w:i/>
          <w:iCs/>
          <w:sz w:val="22"/>
          <w:szCs w:val="22"/>
        </w:rPr>
      </w:pPr>
    </w:p>
    <w:p w14:paraId="1A8CD643"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b/>
          <w:bCs/>
          <w:i/>
          <w:iCs/>
          <w:sz w:val="22"/>
          <w:szCs w:val="22"/>
        </w:rPr>
        <w:t xml:space="preserve">Artículo 3. </w:t>
      </w:r>
      <w:r w:rsidRPr="006C441B">
        <w:rPr>
          <w:rFonts w:ascii="Palatino Linotype" w:eastAsia="Palatino Linotype" w:hAnsi="Palatino Linotype" w:cs="Palatino Linotype"/>
          <w:i/>
          <w:iCs/>
          <w:sz w:val="22"/>
          <w:szCs w:val="22"/>
        </w:rPr>
        <w:t>Para los efectos de la presente Ley se entenderá por:</w:t>
      </w:r>
    </w:p>
    <w:p w14:paraId="28048F73"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p>
    <w:p w14:paraId="520007B7"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XI. Documento:</w:t>
      </w:r>
      <w:r w:rsidRPr="006C441B">
        <w:rPr>
          <w:rFonts w:ascii="Palatino Linotype" w:eastAsia="Palatino Linotype" w:hAnsi="Palatino Linotype" w:cs="Palatino Linotype"/>
          <w:i/>
          <w:iCs/>
          <w:sz w:val="22"/>
          <w:szCs w:val="22"/>
        </w:rPr>
        <w:t xml:space="preserve"> Los expedientes, reportes, estudios, actas</w:t>
      </w:r>
      <w:r w:rsidRPr="006C441B">
        <w:rPr>
          <w:rFonts w:ascii="Palatino Linotype" w:eastAsia="Palatino Linotype" w:hAnsi="Palatino Linotype" w:cs="Palatino Linotype"/>
          <w:b/>
          <w:bCs/>
          <w:i/>
          <w:iCs/>
          <w:sz w:val="22"/>
          <w:szCs w:val="22"/>
        </w:rPr>
        <w:t>,</w:t>
      </w:r>
      <w:r w:rsidRPr="006C441B">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634E89F" w14:textId="77777777" w:rsidR="00713C55" w:rsidRPr="006C441B" w:rsidRDefault="00713C55">
      <w:pPr>
        <w:spacing w:line="360" w:lineRule="auto"/>
        <w:ind w:left="851" w:right="899"/>
        <w:jc w:val="both"/>
        <w:rPr>
          <w:rFonts w:ascii="Palatino Linotype" w:eastAsia="Palatino Linotype" w:hAnsi="Palatino Linotype" w:cs="Palatino Linotype"/>
          <w:sz w:val="22"/>
          <w:szCs w:val="22"/>
        </w:rPr>
      </w:pPr>
    </w:p>
    <w:p w14:paraId="16CD003E"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8F1441"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908D142" w14:textId="77777777" w:rsidR="00713C55" w:rsidRPr="006C441B" w:rsidRDefault="00EA452A">
      <w:pPr>
        <w:spacing w:line="360" w:lineRule="auto"/>
        <w:ind w:left="567" w:right="616"/>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sz w:val="22"/>
          <w:szCs w:val="22"/>
        </w:rPr>
        <w:t>“</w:t>
      </w:r>
      <w:r w:rsidRPr="006C441B">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6C441B">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50D466"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51F13DF9" w14:textId="77777777" w:rsidR="00713C55" w:rsidRPr="006C441B" w:rsidRDefault="00EA452A">
      <w:pPr>
        <w:spacing w:line="360" w:lineRule="auto"/>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2EE34908" w14:textId="77777777" w:rsidR="00713C55" w:rsidRPr="006C441B" w:rsidRDefault="00EA452A">
      <w:pPr>
        <w:spacing w:line="360" w:lineRule="auto"/>
        <w:ind w:left="567" w:right="616"/>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60758DFF" w14:textId="77777777" w:rsidR="00713C55" w:rsidRPr="006C441B" w:rsidRDefault="00EA452A">
      <w:pPr>
        <w:spacing w:line="360" w:lineRule="auto"/>
        <w:ind w:left="567" w:right="616"/>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18D56487" w14:textId="77777777" w:rsidR="00713C55" w:rsidRPr="006C441B" w:rsidRDefault="00713C55">
      <w:pPr>
        <w:tabs>
          <w:tab w:val="left" w:pos="8647"/>
        </w:tabs>
        <w:spacing w:line="360" w:lineRule="auto"/>
        <w:jc w:val="both"/>
        <w:rPr>
          <w:rFonts w:ascii="Palatino Linotype" w:eastAsia="Palatino Linotype" w:hAnsi="Palatino Linotype" w:cs="Palatino Linotype"/>
          <w:b/>
          <w:bCs/>
          <w:sz w:val="22"/>
          <w:szCs w:val="22"/>
        </w:rPr>
      </w:pPr>
    </w:p>
    <w:p w14:paraId="4D7E504E" w14:textId="77777777" w:rsidR="00713C55" w:rsidRPr="006C441B" w:rsidRDefault="00EA452A">
      <w:pPr>
        <w:spacing w:after="240" w:line="360" w:lineRule="auto"/>
        <w:jc w:val="both"/>
        <w:rPr>
          <w:rFonts w:ascii="Palatino Linotype" w:eastAsia="Palatino Linotype" w:hAnsi="Palatino Linotype" w:cs="Palatino Linotype"/>
          <w:b/>
          <w:bCs/>
          <w:sz w:val="22"/>
          <w:szCs w:val="22"/>
        </w:rPr>
      </w:pPr>
      <w:r w:rsidRPr="006C441B">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6C441B">
        <w:rPr>
          <w:rFonts w:ascii="Palatino Linotype" w:eastAsia="Palatino Linotype" w:hAnsi="Palatino Linotype" w:cs="Palatino Linotype"/>
          <w:b/>
          <w:bCs/>
          <w:sz w:val="22"/>
          <w:szCs w:val="22"/>
        </w:rPr>
        <w:t>Ayuntamiento de Tejupilco, en formato PDF, Excel o Word, siguiente:</w:t>
      </w:r>
    </w:p>
    <w:p w14:paraId="01DBA232" w14:textId="77777777" w:rsidR="00713C55" w:rsidRPr="006C441B" w:rsidRDefault="00EA452A">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Estado actual de funcionamiento de las fuentes bailarinas ubicadas frente a Coppel en el municipio de Tejupilco. </w:t>
      </w:r>
    </w:p>
    <w:p w14:paraId="61EA142E" w14:textId="77777777" w:rsidR="00713C55" w:rsidRPr="006C441B" w:rsidRDefault="00EA452A">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¿Están actualmente en funcionamiento? En caso negativo, ¿desde qué fecha dejaron de operar? </w:t>
      </w:r>
    </w:p>
    <w:p w14:paraId="6C151582" w14:textId="77777777" w:rsidR="00713C55" w:rsidRPr="006C441B" w:rsidRDefault="00EA452A">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Motivo por el cual no se han dado labores de mantenimiento o rehabilitación. </w:t>
      </w:r>
    </w:p>
    <w:p w14:paraId="7FE7032D" w14:textId="77777777" w:rsidR="00713C55" w:rsidRPr="006C441B" w:rsidRDefault="00EA452A">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¿Existe alguna causa técnica, administrativa o presupuestal? </w:t>
      </w:r>
    </w:p>
    <w:p w14:paraId="5C71C55D" w14:textId="77777777" w:rsidR="00713C55" w:rsidRPr="006C441B" w:rsidRDefault="00EA452A">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¿Se ha determinado que los costos de mantenimiento son elevados? En caso de que se haya determinado que el costo de mantenimiento es elevado: Solicito se me proporcione copia de las solicitudes de servicio, oficios, cotizaciones o presupuestos que se hayan presentado para el mantenimiento o rehabilitación de dichas fuentes, incluyendo: Nombre de los proveedores. Fecha de la cotización. Monto estimado. </w:t>
      </w:r>
    </w:p>
    <w:p w14:paraId="13AD6FE8" w14:textId="77777777" w:rsidR="00713C55" w:rsidRPr="006C441B" w:rsidRDefault="00EA452A">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¿Existe alguna partida presupuestal específica destinada al mantenimiento de estas fuentes o espacios públicos similares durante el ejercicio fiscal actual o los anteriores (últimos 4 años)? Favor de especificar número de partida, nombre del programa, y montos asignados. </w:t>
      </w:r>
    </w:p>
    <w:p w14:paraId="7FAAD911" w14:textId="77777777" w:rsidR="00713C55" w:rsidRPr="006C441B" w:rsidRDefault="00EA452A">
      <w:pPr>
        <w:numPr>
          <w:ilvl w:val="0"/>
          <w:numId w:val="4"/>
        </w:numPr>
        <w:pBdr>
          <w:top w:val="nil"/>
          <w:left w:val="nil"/>
          <w:bottom w:val="nil"/>
          <w:right w:val="nil"/>
          <w:between w:val="nil"/>
        </w:pBdr>
        <w:spacing w:after="240" w:line="360" w:lineRule="auto"/>
        <w:ind w:left="567"/>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 caso de que se tenga planeado rehabilitarlas próximamente, favor de informar: Fecha estimada de rehabilitación. Presupuesto asignado. Procedimiento de contratación previsto. </w:t>
      </w:r>
    </w:p>
    <w:p w14:paraId="58564D72"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En respuesta, el Sujeto Obligado refirió que la obra se encuentra fuera de operación desde el año 2022, debido a problemas técnicos y fallas en mecánicas. Al momento no se le ha asignado ninguna partida presupuestal para reparar los daños que tiene y no hay fecha de posible reparación al momento, ya que se le ha dado atención a los servicios básicos que por obligación debe brindar el Ayuntamiento de los servicios públicos y atención a los desastres naturales que ha obligado a emplear los recursos en el bienestar primero de la población.</w:t>
      </w:r>
    </w:p>
    <w:p w14:paraId="01E5FA64"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Derivado de la naturaleza de la información requerida, es necesario</w:t>
      </w:r>
      <w:r w:rsidRPr="006C441B">
        <w:rPr>
          <w:rFonts w:ascii="Palatino Linotype" w:eastAsia="Palatino Linotype" w:hAnsi="Palatino Linotype" w:cs="Palatino Linotype"/>
          <w:b/>
          <w:bCs/>
          <w:sz w:val="22"/>
          <w:szCs w:val="22"/>
        </w:rPr>
        <w:t xml:space="preserve"> </w:t>
      </w:r>
      <w:r w:rsidRPr="006C441B">
        <w:rPr>
          <w:rFonts w:ascii="Palatino Linotype" w:eastAsia="Palatino Linotype" w:hAnsi="Palatino Linotype" w:cs="Palatino Linotype"/>
          <w:sz w:val="22"/>
          <w:szCs w:val="22"/>
        </w:rPr>
        <w:t xml:space="preserve">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6C441B">
        <w:rPr>
          <w:rFonts w:ascii="Palatino Linotype" w:eastAsia="Palatino Linotype" w:hAnsi="Palatino Linotype" w:cs="Palatino Linotype"/>
          <w:b/>
          <w:bCs/>
          <w:sz w:val="22"/>
          <w:szCs w:val="22"/>
          <w:u w:val="single"/>
        </w:rPr>
        <w:t>los ayuntamientos de los municipios del Estado</w:t>
      </w:r>
      <w:r w:rsidRPr="006C441B">
        <w:rPr>
          <w:rFonts w:ascii="Palatino Linotype" w:eastAsia="Palatino Linotype" w:hAnsi="Palatino Linotype" w:cs="Palatino Linotype"/>
          <w:sz w:val="22"/>
          <w:szCs w:val="22"/>
        </w:rPr>
        <w:t>; los organismos auxiliares y fideicomisos públicos del Estado y municipios; y los tribunales administrativos.</w:t>
      </w:r>
    </w:p>
    <w:p w14:paraId="6EC377FC" w14:textId="77777777" w:rsidR="00713C55" w:rsidRPr="006C441B" w:rsidRDefault="00EA452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 este tenor, de conformidad con el artículo 12.4 del Libro Décimo Segundo del referido Código, </w:t>
      </w:r>
      <w:r w:rsidRPr="006C441B">
        <w:rPr>
          <w:rFonts w:ascii="Palatino Linotype" w:eastAsia="Palatino Linotype" w:hAnsi="Palatino Linotype" w:cs="Palatino Linotype"/>
          <w:b/>
          <w:bCs/>
          <w:sz w:val="22"/>
          <w:szCs w:val="22"/>
        </w:rPr>
        <w:t xml:space="preserve">se considera obra pública todo trabajo que tenga por objeto principal construir, instalar, ampliar, adecuar, remodelar, restaurar, conservar, mantener, modificar o demoler </w:t>
      </w:r>
      <w:r w:rsidRPr="006C441B">
        <w:rPr>
          <w:rFonts w:ascii="Palatino Linotype" w:eastAsia="Palatino Linotype" w:hAnsi="Palatino Linotype" w:cs="Palatino Linotype"/>
          <w:b/>
          <w:bCs/>
          <w:sz w:val="22"/>
          <w:szCs w:val="22"/>
          <w:u w:val="single"/>
        </w:rPr>
        <w:t>bienes inmuebles propiedad</w:t>
      </w:r>
      <w:r w:rsidRPr="006C441B">
        <w:rPr>
          <w:rFonts w:ascii="Palatino Linotype" w:eastAsia="Palatino Linotype" w:hAnsi="Palatino Linotype" w:cs="Palatino Linotype"/>
          <w:b/>
          <w:bCs/>
          <w:sz w:val="22"/>
          <w:szCs w:val="22"/>
        </w:rPr>
        <w:t xml:space="preserve"> </w:t>
      </w:r>
      <w:r w:rsidRPr="006C441B">
        <w:rPr>
          <w:rFonts w:ascii="Palatino Linotype" w:eastAsia="Palatino Linotype" w:hAnsi="Palatino Linotype" w:cs="Palatino Linotype"/>
          <w:sz w:val="22"/>
          <w:szCs w:val="22"/>
        </w:rPr>
        <w:t xml:space="preserve">del Estado, de sus dependencias y entidades y </w:t>
      </w:r>
      <w:r w:rsidRPr="006C441B">
        <w:rPr>
          <w:rFonts w:ascii="Palatino Linotype" w:eastAsia="Palatino Linotype" w:hAnsi="Palatino Linotype" w:cs="Palatino Linotype"/>
          <w:b/>
          <w:bCs/>
          <w:sz w:val="22"/>
          <w:szCs w:val="22"/>
          <w:u w:val="single"/>
        </w:rPr>
        <w:t>de los municipios</w:t>
      </w:r>
      <w:r w:rsidRPr="006C441B">
        <w:rPr>
          <w:rFonts w:ascii="Palatino Linotype" w:eastAsia="Palatino Linotype" w:hAnsi="Palatino Linotype" w:cs="Palatino Linotype"/>
          <w:sz w:val="22"/>
          <w:szCs w:val="22"/>
        </w:rPr>
        <w:t xml:space="preserve"> y sus organismos </w:t>
      </w:r>
      <w:r w:rsidRPr="006C441B">
        <w:rPr>
          <w:rFonts w:ascii="Palatino Linotype" w:eastAsia="Palatino Linotype" w:hAnsi="Palatino Linotype" w:cs="Palatino Linotype"/>
          <w:b/>
          <w:bCs/>
          <w:sz w:val="22"/>
          <w:szCs w:val="22"/>
        </w:rPr>
        <w:t xml:space="preserve">con cargo a recursos públicos estatales o municipales, </w:t>
      </w:r>
      <w:r w:rsidRPr="006C441B">
        <w:rPr>
          <w:rFonts w:ascii="Palatino Linotype" w:eastAsia="Palatino Linotype" w:hAnsi="Palatino Linotype" w:cs="Palatino Linotype"/>
          <w:sz w:val="22"/>
          <w:szCs w:val="22"/>
        </w:rPr>
        <w:t>quedando comprendidos dentro de la obra pública: </w:t>
      </w:r>
    </w:p>
    <w:p w14:paraId="5BDEFE73" w14:textId="77777777" w:rsidR="00713C55" w:rsidRPr="006C441B" w:rsidRDefault="00EA452A">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b/>
          <w:bCs/>
          <w:sz w:val="22"/>
          <w:szCs w:val="22"/>
        </w:rPr>
      </w:pPr>
      <w:r w:rsidRPr="006C441B">
        <w:rPr>
          <w:rFonts w:ascii="Palatino Linotype" w:eastAsia="Palatino Linotype" w:hAnsi="Palatino Linotype" w:cs="Palatino Linotype"/>
          <w:b/>
          <w:bCs/>
          <w:sz w:val="22"/>
          <w:szCs w:val="22"/>
        </w:rPr>
        <w:t>I. El mantenimiento, restauración, desmantelamiento o remoción de bienes muebles incorporados o adheridos a un inmueble; </w:t>
      </w:r>
    </w:p>
    <w:p w14:paraId="14D474F2" w14:textId="77777777" w:rsidR="00713C55" w:rsidRPr="006C441B" w:rsidRDefault="00EA452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Mientras que el artículo 12.5 del Libro Décimo Segundo, señala que </w:t>
      </w:r>
      <w:r w:rsidRPr="006C441B">
        <w:rPr>
          <w:rFonts w:ascii="Palatino Linotype" w:eastAsia="Palatino Linotype" w:hAnsi="Palatino Linotype" w:cs="Palatino Linotype"/>
          <w:b/>
          <w:bCs/>
          <w:sz w:val="22"/>
          <w:szCs w:val="22"/>
        </w:rPr>
        <w:t xml:space="preserve">se consideran servicios relacionados con la obra pública, los trabajos que tengan por objeto concebir, diseñar y calcular los elementos que integran </w:t>
      </w:r>
      <w:r w:rsidRPr="006C441B">
        <w:rPr>
          <w:rFonts w:ascii="Palatino Linotype" w:eastAsia="Palatino Linotype" w:hAnsi="Palatino Linotype" w:cs="Palatino Linotype"/>
          <w:b/>
          <w:bCs/>
          <w:sz w:val="22"/>
          <w:szCs w:val="22"/>
          <w:u w:val="single"/>
        </w:rPr>
        <w:t>un proyecto de obra pública</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 xml:space="preserve">las investigaciones, estudios, asesorías y consultorías que </w:t>
      </w:r>
      <w:r w:rsidRPr="006C441B">
        <w:rPr>
          <w:rFonts w:ascii="Palatino Linotype" w:eastAsia="Palatino Linotype" w:hAnsi="Palatino Linotype" w:cs="Palatino Linotype"/>
          <w:b/>
          <w:bCs/>
          <w:sz w:val="22"/>
          <w:szCs w:val="22"/>
          <w:u w:val="single"/>
        </w:rPr>
        <w:t>se vinculen con los actos que regula el Libro Décimo Segundo</w:t>
      </w:r>
      <w:r w:rsidRPr="006C441B">
        <w:rPr>
          <w:rFonts w:ascii="Palatino Linotype" w:eastAsia="Palatino Linotype" w:hAnsi="Palatino Linotype" w:cs="Palatino Linotype"/>
          <w:sz w:val="22"/>
          <w:szCs w:val="22"/>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3597225C"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I.</w:t>
      </w:r>
      <w:r w:rsidRPr="006C441B">
        <w:rPr>
          <w:rFonts w:ascii="Palatino Linotype" w:eastAsia="Palatino Linotype" w:hAnsi="Palatino Linotype" w:cs="Palatino Linotype"/>
          <w:i/>
          <w:iCs/>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020DF0FA"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II.</w:t>
      </w:r>
      <w:r w:rsidRPr="006C441B">
        <w:rPr>
          <w:rFonts w:ascii="Palatino Linotype" w:eastAsia="Palatino Linotype" w:hAnsi="Palatino Linotype" w:cs="Palatino Linotype"/>
          <w:i/>
          <w:iCs/>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6BE25A38"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III</w:t>
      </w:r>
      <w:r w:rsidRPr="006C441B">
        <w:rPr>
          <w:rFonts w:ascii="Palatino Linotype" w:eastAsia="Palatino Linotype" w:hAnsi="Palatino Linotype" w:cs="Palatino Linotype"/>
          <w:i/>
          <w:iCs/>
          <w:sz w:val="22"/>
          <w:szCs w:val="22"/>
        </w:rPr>
        <w:t>. Los estudios técnicos de agrología y desarrollo pecuario, hidrología, mecánica de suelos, sismología, topografía, geología, geodesia, geofísica, geotermia, meteorología, aerofotogrametría, ambientales, ecológicos y de ingeniería de tránsito; </w:t>
      </w:r>
    </w:p>
    <w:p w14:paraId="65AC0769"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IV</w:t>
      </w:r>
      <w:r w:rsidRPr="006C441B">
        <w:rPr>
          <w:rFonts w:ascii="Palatino Linotype" w:eastAsia="Palatino Linotype" w:hAnsi="Palatino Linotype" w:cs="Palatino Linotype"/>
          <w:i/>
          <w:iCs/>
          <w:sz w:val="22"/>
          <w:szCs w:val="22"/>
        </w:rPr>
        <w:t>. Los estudios económicos y de planeación de preinversión, factibilidad técnico económica, ecológica o social, de evaluación, adaptación, tenencia de la tierra, financieros, de desarrollo y restitución de la eficiencia de las instalaciones; </w:t>
      </w:r>
    </w:p>
    <w:p w14:paraId="13A53BA9"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V.</w:t>
      </w:r>
      <w:r w:rsidRPr="006C441B">
        <w:rPr>
          <w:rFonts w:ascii="Palatino Linotype" w:eastAsia="Palatino Linotype" w:hAnsi="Palatino Linotype" w:cs="Palatino Linotype"/>
          <w:i/>
          <w:iCs/>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44EE872E"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VI.</w:t>
      </w:r>
      <w:r w:rsidRPr="006C441B">
        <w:rPr>
          <w:rFonts w:ascii="Palatino Linotype" w:eastAsia="Palatino Linotype" w:hAnsi="Palatino Linotype" w:cs="Palatino Linotype"/>
          <w:i/>
          <w:iCs/>
          <w:sz w:val="22"/>
          <w:szCs w:val="22"/>
        </w:rPr>
        <w:t xml:space="preserve"> Los trabajos de organización, informática, comunicaciones, cibernética y sistemas aplicados a las materias que regulan este Libro; </w:t>
      </w:r>
    </w:p>
    <w:p w14:paraId="0DC4BFD0"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VII.</w:t>
      </w:r>
      <w:r w:rsidRPr="006C441B">
        <w:rPr>
          <w:rFonts w:ascii="Palatino Linotype" w:eastAsia="Palatino Linotype" w:hAnsi="Palatino Linotype" w:cs="Palatino Linotype"/>
          <w:i/>
          <w:iCs/>
          <w:sz w:val="22"/>
          <w:szCs w:val="22"/>
        </w:rPr>
        <w:t xml:space="preserve"> Los dictámenes, peritajes, avalúos y auditorías técnico normativas, y estudios aplicables a la obra pública; </w:t>
      </w:r>
    </w:p>
    <w:p w14:paraId="4FFF48B5"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VIII.</w:t>
      </w:r>
      <w:r w:rsidRPr="006C441B">
        <w:rPr>
          <w:rFonts w:ascii="Palatino Linotype" w:eastAsia="Palatino Linotype" w:hAnsi="Palatino Linotype" w:cs="Palatino Linotype"/>
          <w:i/>
          <w:iCs/>
          <w:sz w:val="22"/>
          <w:szCs w:val="22"/>
        </w:rPr>
        <w:t xml:space="preserve"> Los estudios que tengan por objeto rehabilitar, corregir, sustituir o incrementar la eficiencia de las instalaciones en un bien inmueble; </w:t>
      </w:r>
    </w:p>
    <w:p w14:paraId="0F951FCC"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IX.</w:t>
      </w:r>
      <w:r w:rsidRPr="006C441B">
        <w:rPr>
          <w:rFonts w:ascii="Palatino Linotype" w:eastAsia="Palatino Linotype" w:hAnsi="Palatino Linotype" w:cs="Palatino Linotype"/>
          <w:i/>
          <w:iCs/>
          <w:sz w:val="22"/>
          <w:szCs w:val="22"/>
        </w:rPr>
        <w:t xml:space="preserve"> Los estudios de apoyo tecnológico, incluyendo los de desarrollo y transferencia de tecnología, entre otros; </w:t>
      </w:r>
    </w:p>
    <w:p w14:paraId="66F198FE" w14:textId="77777777" w:rsidR="00713C55" w:rsidRPr="006C441B" w:rsidRDefault="00EA452A">
      <w:pPr>
        <w:pBdr>
          <w:top w:val="nil"/>
          <w:left w:val="nil"/>
          <w:bottom w:val="nil"/>
          <w:right w:val="nil"/>
          <w:between w:val="nil"/>
        </w:pBdr>
        <w:spacing w:before="240" w:after="240"/>
        <w:ind w:left="284"/>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X.</w:t>
      </w:r>
      <w:r w:rsidRPr="006C441B">
        <w:rPr>
          <w:rFonts w:ascii="Palatino Linotype" w:eastAsia="Palatino Linotype" w:hAnsi="Palatino Linotype" w:cs="Palatino Linotype"/>
          <w:i/>
          <w:iCs/>
          <w:sz w:val="22"/>
          <w:szCs w:val="22"/>
        </w:rPr>
        <w:t xml:space="preserve"> Los demás que tengan por objeto alguno de los conceptos a que se refiere el párrafo primero de este artículo.</w:t>
      </w:r>
    </w:p>
    <w:p w14:paraId="5D8737D7" w14:textId="77777777" w:rsidR="00713C55" w:rsidRPr="006C441B" w:rsidRDefault="00EA45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14:paraId="27761EB4" w14:textId="77777777" w:rsidR="00713C55" w:rsidRPr="006C441B" w:rsidRDefault="00EA45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Por lo que se refiere al procedimiento de adjudicación, el Capítulo Tercero del Libro Décimo Segundo del Código Administrativo del Estado de México, dispone lo siguiente:</w:t>
      </w:r>
    </w:p>
    <w:p w14:paraId="7984B2EF" w14:textId="77777777" w:rsidR="00713C55" w:rsidRPr="006C441B" w:rsidRDefault="00EA452A">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“Artículo 12.20</w:t>
      </w:r>
      <w:r w:rsidRPr="006C441B">
        <w:rPr>
          <w:rFonts w:ascii="Palatino Linotype" w:eastAsia="Palatino Linotype" w:hAnsi="Palatino Linotype" w:cs="Palatino Linotype"/>
          <w:i/>
          <w:iCs/>
          <w:sz w:val="22"/>
          <w:szCs w:val="22"/>
        </w:rPr>
        <w:t xml:space="preserve">.- Los contratos a que se refiere este Libro, </w:t>
      </w:r>
      <w:r w:rsidRPr="006C441B">
        <w:rPr>
          <w:rFonts w:ascii="Palatino Linotype" w:eastAsia="Palatino Linotype" w:hAnsi="Palatino Linotype" w:cs="Palatino Linotype"/>
          <w:b/>
          <w:bCs/>
          <w:i/>
          <w:iCs/>
          <w:sz w:val="22"/>
          <w:szCs w:val="22"/>
        </w:rPr>
        <w:t xml:space="preserve">se adjudicarán a través de </w:t>
      </w:r>
      <w:r w:rsidRPr="006C441B">
        <w:rPr>
          <w:rFonts w:ascii="Palatino Linotype" w:eastAsia="Palatino Linotype" w:hAnsi="Palatino Linotype" w:cs="Palatino Linotype"/>
          <w:b/>
          <w:bCs/>
          <w:i/>
          <w:iCs/>
          <w:sz w:val="22"/>
          <w:szCs w:val="22"/>
          <w:u w:val="single"/>
        </w:rPr>
        <w:t>licitaciones públicas</w:t>
      </w:r>
      <w:r w:rsidRPr="006C441B">
        <w:rPr>
          <w:rFonts w:ascii="Palatino Linotype" w:eastAsia="Palatino Linotype" w:hAnsi="Palatino Linotype" w:cs="Palatino Linotype"/>
          <w:b/>
          <w:bCs/>
          <w:i/>
          <w:iCs/>
          <w:sz w:val="22"/>
          <w:szCs w:val="22"/>
        </w:rPr>
        <w:t>, mediante convocatoria pública.</w:t>
      </w:r>
      <w:r w:rsidRPr="006C441B">
        <w:rPr>
          <w:rFonts w:ascii="Palatino Linotype" w:eastAsia="Palatino Linotype" w:hAnsi="Palatino Linotype" w:cs="Palatino Linotype"/>
          <w:i/>
          <w:iCs/>
          <w:sz w:val="22"/>
          <w:szCs w:val="22"/>
        </w:rPr>
        <w:t> </w:t>
      </w:r>
    </w:p>
    <w:p w14:paraId="72D168F7" w14:textId="77777777" w:rsidR="00713C55" w:rsidRPr="006C441B" w:rsidRDefault="00EA452A">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Artículo 12.21</w:t>
      </w:r>
      <w:r w:rsidRPr="006C441B">
        <w:rPr>
          <w:rFonts w:ascii="Palatino Linotype" w:eastAsia="Palatino Linotype" w:hAnsi="Palatino Linotype" w:cs="Palatino Linotype"/>
          <w:i/>
          <w:iCs/>
          <w:sz w:val="22"/>
          <w:szCs w:val="22"/>
        </w:rPr>
        <w:t xml:space="preserve">.- Las dependencias, entidades y ayuntamientos podrán adjudicar contratos para la ejecución de obra pública o servicios relacionados con la misma. </w:t>
      </w:r>
      <w:r w:rsidRPr="006C441B">
        <w:rPr>
          <w:rFonts w:ascii="Palatino Linotype" w:eastAsia="Palatino Linotype" w:hAnsi="Palatino Linotype" w:cs="Palatino Linotype"/>
          <w:b/>
          <w:bCs/>
          <w:i/>
          <w:iCs/>
          <w:sz w:val="22"/>
          <w:szCs w:val="22"/>
        </w:rPr>
        <w:t>mediante las excepciones al procedimiento de licitación</w:t>
      </w:r>
      <w:r w:rsidRPr="006C441B">
        <w:rPr>
          <w:rFonts w:ascii="Palatino Linotype" w:eastAsia="Palatino Linotype" w:hAnsi="Palatino Linotype" w:cs="Palatino Linotype"/>
          <w:i/>
          <w:iCs/>
          <w:sz w:val="22"/>
          <w:szCs w:val="22"/>
        </w:rPr>
        <w:t xml:space="preserve"> siguientes: </w:t>
      </w:r>
    </w:p>
    <w:p w14:paraId="66B4CC88" w14:textId="77777777" w:rsidR="00713C55" w:rsidRPr="006C441B" w:rsidRDefault="00EA452A">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I</w:t>
      </w:r>
      <w:r w:rsidRPr="006C441B">
        <w:rPr>
          <w:rFonts w:ascii="Palatino Linotype" w:eastAsia="Palatino Linotype" w:hAnsi="Palatino Linotype" w:cs="Palatino Linotype"/>
          <w:i/>
          <w:iCs/>
          <w:sz w:val="22"/>
          <w:szCs w:val="22"/>
        </w:rPr>
        <w:t xml:space="preserve">. </w:t>
      </w:r>
      <w:r w:rsidRPr="006C441B">
        <w:rPr>
          <w:rFonts w:ascii="Palatino Linotype" w:eastAsia="Palatino Linotype" w:hAnsi="Palatino Linotype" w:cs="Palatino Linotype"/>
          <w:b/>
          <w:bCs/>
          <w:i/>
          <w:iCs/>
          <w:sz w:val="22"/>
          <w:szCs w:val="22"/>
        </w:rPr>
        <w:t>Invitación restringida</w:t>
      </w:r>
      <w:r w:rsidRPr="006C441B">
        <w:rPr>
          <w:rFonts w:ascii="Palatino Linotype" w:eastAsia="Palatino Linotype" w:hAnsi="Palatino Linotype" w:cs="Palatino Linotype"/>
          <w:i/>
          <w:iCs/>
          <w:sz w:val="22"/>
          <w:szCs w:val="22"/>
        </w:rPr>
        <w:t>; </w:t>
      </w:r>
    </w:p>
    <w:p w14:paraId="41176089" w14:textId="77777777" w:rsidR="00713C55" w:rsidRPr="006C441B" w:rsidRDefault="00EA452A">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II</w:t>
      </w:r>
      <w:r w:rsidRPr="006C441B">
        <w:rPr>
          <w:rFonts w:ascii="Palatino Linotype" w:eastAsia="Palatino Linotype" w:hAnsi="Palatino Linotype" w:cs="Palatino Linotype"/>
          <w:i/>
          <w:iCs/>
          <w:sz w:val="22"/>
          <w:szCs w:val="22"/>
        </w:rPr>
        <w:t xml:space="preserve">. </w:t>
      </w:r>
      <w:r w:rsidRPr="006C441B">
        <w:rPr>
          <w:rFonts w:ascii="Palatino Linotype" w:eastAsia="Palatino Linotype" w:hAnsi="Palatino Linotype" w:cs="Palatino Linotype"/>
          <w:b/>
          <w:bCs/>
          <w:i/>
          <w:iCs/>
          <w:sz w:val="22"/>
          <w:szCs w:val="22"/>
        </w:rPr>
        <w:t>Adjudicación directa.”</w:t>
      </w:r>
    </w:p>
    <w:p w14:paraId="38DF4D86"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Como se advierte, la normativa contempla como modalidades para la adjudicación de contratos de obra pública y servicios relacionados con la misma la licitación pública, y de manera excepcional a través de </w:t>
      </w:r>
      <w:r w:rsidRPr="006C441B">
        <w:rPr>
          <w:rFonts w:ascii="Palatino Linotype" w:eastAsia="Palatino Linotype" w:hAnsi="Palatino Linotype" w:cs="Palatino Linotype"/>
          <w:b/>
          <w:bCs/>
          <w:sz w:val="22"/>
          <w:szCs w:val="22"/>
        </w:rPr>
        <w:t>invitación restringida y</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adjudicación directa</w:t>
      </w:r>
      <w:r w:rsidRPr="006C441B">
        <w:rPr>
          <w:rFonts w:ascii="Palatino Linotype" w:eastAsia="Palatino Linotype" w:hAnsi="Palatino Linotype" w:cs="Palatino Linotype"/>
          <w:sz w:val="22"/>
          <w:szCs w:val="22"/>
        </w:rPr>
        <w:t>, cuyas formalidades se encuentran previstas en el Reglamento del Libro Décimo Segundo del Código Administrativo del Estado de México</w:t>
      </w:r>
    </w:p>
    <w:p w14:paraId="69ADDAC7" w14:textId="77777777" w:rsidR="00713C55" w:rsidRPr="006C441B" w:rsidRDefault="00EA45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Además de lo anterior,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4DAF00F9" w14:textId="77777777" w:rsidR="00713C55" w:rsidRPr="006C441B" w:rsidRDefault="00EA452A">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b/>
          <w:bCs/>
          <w:i/>
          <w:iCs/>
          <w:sz w:val="22"/>
          <w:szCs w:val="22"/>
        </w:rPr>
        <w:t>Artículo 92</w:t>
      </w:r>
      <w:r w:rsidRPr="006C441B">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C533E3" w14:textId="77777777" w:rsidR="00713C55" w:rsidRPr="006C441B" w:rsidRDefault="00EA452A">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i/>
          <w:iCs/>
          <w:sz w:val="22"/>
          <w:szCs w:val="22"/>
        </w:rPr>
        <w:t>(…)</w:t>
      </w:r>
    </w:p>
    <w:p w14:paraId="216466BB" w14:textId="77777777" w:rsidR="00713C55" w:rsidRPr="006C441B" w:rsidRDefault="00EA452A">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XXIX.</w:t>
      </w:r>
      <w:r w:rsidRPr="006C441B">
        <w:rPr>
          <w:rFonts w:ascii="Palatino Linotype" w:eastAsia="Palatino Linotype" w:hAnsi="Palatino Linotype" w:cs="Palatino Linotype"/>
          <w:i/>
          <w:iCs/>
          <w:sz w:val="22"/>
          <w:szCs w:val="22"/>
        </w:rPr>
        <w:t xml:space="preserve"> La </w:t>
      </w:r>
      <w:r w:rsidRPr="006C441B">
        <w:rPr>
          <w:rFonts w:ascii="Palatino Linotype" w:eastAsia="Palatino Linotype" w:hAnsi="Palatino Linotype" w:cs="Palatino Linotype"/>
          <w:b/>
          <w:bCs/>
          <w:i/>
          <w:iCs/>
          <w:sz w:val="22"/>
          <w:szCs w:val="22"/>
        </w:rPr>
        <w:t xml:space="preserve">información sobre los procesos y resultados </w:t>
      </w:r>
      <w:r w:rsidRPr="006C441B">
        <w:rPr>
          <w:rFonts w:ascii="Palatino Linotype" w:eastAsia="Palatino Linotype" w:hAnsi="Palatino Linotype" w:cs="Palatino Linotype"/>
          <w:b/>
          <w:bCs/>
          <w:i/>
          <w:iCs/>
          <w:sz w:val="22"/>
          <w:szCs w:val="22"/>
          <w:u w:val="single"/>
        </w:rPr>
        <w:t>sobre procedimientos de adjudicación directa, invitación restringida y licitación de cualquier naturaleza</w:t>
      </w:r>
      <w:r w:rsidRPr="006C441B">
        <w:rPr>
          <w:rFonts w:ascii="Palatino Linotype" w:eastAsia="Palatino Linotype" w:hAnsi="Palatino Linotype" w:cs="Palatino Linotype"/>
          <w:i/>
          <w:iCs/>
          <w:sz w:val="22"/>
          <w:szCs w:val="22"/>
          <w:u w:val="single"/>
        </w:rPr>
        <w:t xml:space="preserve">, </w:t>
      </w:r>
      <w:r w:rsidRPr="006C441B">
        <w:rPr>
          <w:rFonts w:ascii="Palatino Linotype" w:eastAsia="Palatino Linotype" w:hAnsi="Palatino Linotype" w:cs="Palatino Linotype"/>
          <w:b/>
          <w:bCs/>
          <w:i/>
          <w:iCs/>
          <w:sz w:val="22"/>
          <w:szCs w:val="22"/>
        </w:rPr>
        <w:t>incluyendo la versión pública</w:t>
      </w:r>
      <w:r w:rsidRPr="006C441B">
        <w:rPr>
          <w:rFonts w:ascii="Palatino Linotype" w:eastAsia="Palatino Linotype" w:hAnsi="Palatino Linotype" w:cs="Palatino Linotype"/>
          <w:i/>
          <w:iCs/>
          <w:sz w:val="22"/>
          <w:szCs w:val="22"/>
        </w:rPr>
        <w:t xml:space="preserve"> del expediente respectivo y </w:t>
      </w:r>
      <w:r w:rsidRPr="006C441B">
        <w:rPr>
          <w:rFonts w:ascii="Palatino Linotype" w:eastAsia="Palatino Linotype" w:hAnsi="Palatino Linotype" w:cs="Palatino Linotype"/>
          <w:b/>
          <w:bCs/>
          <w:i/>
          <w:iCs/>
          <w:sz w:val="22"/>
          <w:szCs w:val="22"/>
        </w:rPr>
        <w:t>de los contratos celebrados</w:t>
      </w:r>
      <w:r w:rsidRPr="006C441B">
        <w:rPr>
          <w:rFonts w:ascii="Palatino Linotype" w:eastAsia="Palatino Linotype" w:hAnsi="Palatino Linotype" w:cs="Palatino Linotype"/>
          <w:i/>
          <w:iCs/>
          <w:sz w:val="22"/>
          <w:szCs w:val="22"/>
        </w:rPr>
        <w:t>, que deberán contener, por los menos, lo siguiente:</w:t>
      </w:r>
    </w:p>
    <w:p w14:paraId="23C5D08D" w14:textId="77777777" w:rsidR="00713C55" w:rsidRPr="006C441B" w:rsidRDefault="00EA452A">
      <w:pPr>
        <w:pBdr>
          <w:top w:val="nil"/>
          <w:left w:val="nil"/>
          <w:bottom w:val="nil"/>
          <w:right w:val="nil"/>
          <w:between w:val="nil"/>
        </w:pBdr>
        <w:spacing w:before="120" w:after="120"/>
        <w:ind w:left="1418"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a) De licitaciones públicas o procedimientos de invitación restringida:</w:t>
      </w:r>
    </w:p>
    <w:p w14:paraId="76DE8909"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w:t>
      </w:r>
      <w:r w:rsidRPr="006C441B">
        <w:rPr>
          <w:rFonts w:ascii="Palatino Linotype" w:eastAsia="Palatino Linotype" w:hAnsi="Palatino Linotype" w:cs="Palatino Linotype"/>
          <w:i/>
          <w:iCs/>
          <w:sz w:val="22"/>
          <w:szCs w:val="22"/>
        </w:rPr>
        <w:t xml:space="preserve"> La convocatoria o invitación emitida, así como los fundamentos legales aplicados para llevarla a cabo;</w:t>
      </w:r>
    </w:p>
    <w:p w14:paraId="523C19FA"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2)</w:t>
      </w:r>
      <w:r w:rsidRPr="006C441B">
        <w:rPr>
          <w:rFonts w:ascii="Palatino Linotype" w:eastAsia="Palatino Linotype" w:hAnsi="Palatino Linotype" w:cs="Palatino Linotype"/>
          <w:i/>
          <w:iCs/>
          <w:sz w:val="22"/>
          <w:szCs w:val="22"/>
        </w:rPr>
        <w:t xml:space="preserve"> Los nombres de los participantes o invitados;</w:t>
      </w:r>
    </w:p>
    <w:p w14:paraId="66BD6176"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3)</w:t>
      </w:r>
      <w:r w:rsidRPr="006C441B">
        <w:rPr>
          <w:rFonts w:ascii="Palatino Linotype" w:eastAsia="Palatino Linotype" w:hAnsi="Palatino Linotype" w:cs="Palatino Linotype"/>
          <w:i/>
          <w:iCs/>
          <w:sz w:val="22"/>
          <w:szCs w:val="22"/>
        </w:rPr>
        <w:t xml:space="preserve"> El nombre del ganador y las razones que lo justifican;</w:t>
      </w:r>
    </w:p>
    <w:p w14:paraId="0A50DD50"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4)</w:t>
      </w:r>
      <w:r w:rsidRPr="006C441B">
        <w:rPr>
          <w:rFonts w:ascii="Palatino Linotype" w:eastAsia="Palatino Linotype" w:hAnsi="Palatino Linotype" w:cs="Palatino Linotype"/>
          <w:i/>
          <w:iCs/>
          <w:sz w:val="22"/>
          <w:szCs w:val="22"/>
        </w:rPr>
        <w:t xml:space="preserve"> El área solicitante y la responsable de su ejecución;</w:t>
      </w:r>
    </w:p>
    <w:p w14:paraId="5B46F9B0"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5)</w:t>
      </w:r>
      <w:r w:rsidRPr="006C441B">
        <w:rPr>
          <w:rFonts w:ascii="Palatino Linotype" w:eastAsia="Palatino Linotype" w:hAnsi="Palatino Linotype" w:cs="Palatino Linotype"/>
          <w:i/>
          <w:iCs/>
          <w:sz w:val="22"/>
          <w:szCs w:val="22"/>
        </w:rPr>
        <w:t xml:space="preserve"> Las convocatorias e invitaciones emitidas; </w:t>
      </w:r>
    </w:p>
    <w:p w14:paraId="4CE5B48C"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6)</w:t>
      </w:r>
      <w:r w:rsidRPr="006C441B">
        <w:rPr>
          <w:rFonts w:ascii="Palatino Linotype" w:eastAsia="Palatino Linotype" w:hAnsi="Palatino Linotype" w:cs="Palatino Linotype"/>
          <w:i/>
          <w:iCs/>
          <w:sz w:val="22"/>
          <w:szCs w:val="22"/>
        </w:rPr>
        <w:t xml:space="preserve"> Los dictámenes y fallo de adjudicación;</w:t>
      </w:r>
    </w:p>
    <w:p w14:paraId="234C3002"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7) El contrato y, en su caso, sus anexos; </w:t>
      </w:r>
    </w:p>
    <w:p w14:paraId="3CDA8BB4"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8)</w:t>
      </w:r>
      <w:r w:rsidRPr="006C441B">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w:t>
      </w:r>
    </w:p>
    <w:p w14:paraId="272E3D1A"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9)</w:t>
      </w:r>
      <w:r w:rsidRPr="006C441B">
        <w:rPr>
          <w:rFonts w:ascii="Palatino Linotype" w:eastAsia="Palatino Linotype" w:hAnsi="Palatino Linotype" w:cs="Palatino Linotype"/>
          <w:i/>
          <w:iCs/>
          <w:sz w:val="22"/>
          <w:szCs w:val="22"/>
        </w:rPr>
        <w:t xml:space="preserve"> La partida presupuestal, de conformidad con el clasificador por objeto del gasto, en el caso de ser aplicable; </w:t>
      </w:r>
    </w:p>
    <w:p w14:paraId="33EAD794"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10)</w:t>
      </w:r>
      <w:r w:rsidRPr="006C441B">
        <w:rPr>
          <w:rFonts w:ascii="Palatino Linotype" w:eastAsia="Palatino Linotype" w:hAnsi="Palatino Linotype" w:cs="Palatino Linotype"/>
          <w:i/>
          <w:iCs/>
          <w:sz w:val="22"/>
          <w:szCs w:val="22"/>
        </w:rPr>
        <w:t xml:space="preserve"> Origen de los recursos especificando si son federales, estatales o municipales, así como el tipo de fondo de participación o aportación respectiva;</w:t>
      </w:r>
    </w:p>
    <w:p w14:paraId="535D0708"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11)</w:t>
      </w:r>
      <w:r w:rsidRPr="006C441B">
        <w:rPr>
          <w:rFonts w:ascii="Palatino Linotype" w:eastAsia="Palatino Linotype" w:hAnsi="Palatino Linotype" w:cs="Palatino Linotype"/>
          <w:i/>
          <w:iCs/>
          <w:sz w:val="22"/>
          <w:szCs w:val="22"/>
        </w:rPr>
        <w:t xml:space="preserve"> Los convenios modificatorios que, en su caso, sean firmados, precisando el objeto y la fecha de celebración;</w:t>
      </w:r>
    </w:p>
    <w:p w14:paraId="32E39593"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12)</w:t>
      </w:r>
      <w:r w:rsidRPr="006C441B">
        <w:rPr>
          <w:rFonts w:ascii="Palatino Linotype" w:eastAsia="Palatino Linotype" w:hAnsi="Palatino Linotype" w:cs="Palatino Linotype"/>
          <w:i/>
          <w:iCs/>
          <w:sz w:val="22"/>
          <w:szCs w:val="22"/>
        </w:rPr>
        <w:t xml:space="preserve"> Los informes de avance físico y financiero sobre las obras o servicios contratados; </w:t>
      </w:r>
    </w:p>
    <w:p w14:paraId="5FEDEFCF"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13)</w:t>
      </w:r>
      <w:r w:rsidRPr="006C441B">
        <w:rPr>
          <w:rFonts w:ascii="Palatino Linotype" w:eastAsia="Palatino Linotype" w:hAnsi="Palatino Linotype" w:cs="Palatino Linotype"/>
          <w:i/>
          <w:iCs/>
          <w:sz w:val="22"/>
          <w:szCs w:val="22"/>
        </w:rPr>
        <w:t xml:space="preserve"> El convenio de terminación; </w:t>
      </w:r>
    </w:p>
    <w:p w14:paraId="4615B602"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14)</w:t>
      </w:r>
      <w:r w:rsidRPr="006C441B">
        <w:rPr>
          <w:rFonts w:ascii="Palatino Linotype" w:eastAsia="Palatino Linotype" w:hAnsi="Palatino Linotype" w:cs="Palatino Linotype"/>
          <w:i/>
          <w:iCs/>
          <w:sz w:val="22"/>
          <w:szCs w:val="22"/>
        </w:rPr>
        <w:t xml:space="preserve"> El finiquito.</w:t>
      </w:r>
    </w:p>
    <w:p w14:paraId="49F45473" w14:textId="77777777" w:rsidR="00713C55" w:rsidRPr="006C441B" w:rsidRDefault="00EA452A">
      <w:pPr>
        <w:pBdr>
          <w:top w:val="nil"/>
          <w:left w:val="nil"/>
          <w:bottom w:val="nil"/>
          <w:right w:val="nil"/>
          <w:between w:val="nil"/>
        </w:pBdr>
        <w:spacing w:before="120" w:after="120"/>
        <w:ind w:left="1418"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b) De las adjudicaciones directas: </w:t>
      </w:r>
    </w:p>
    <w:p w14:paraId="3D58A4EE"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w:t>
      </w:r>
      <w:r w:rsidRPr="006C441B">
        <w:rPr>
          <w:rFonts w:ascii="Palatino Linotype" w:eastAsia="Palatino Linotype" w:hAnsi="Palatino Linotype" w:cs="Palatino Linotype"/>
          <w:i/>
          <w:iCs/>
          <w:sz w:val="22"/>
          <w:szCs w:val="22"/>
        </w:rPr>
        <w:t xml:space="preserve"> La propuesta enviada por el participante; </w:t>
      </w:r>
    </w:p>
    <w:p w14:paraId="0CBC208C"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2)</w:t>
      </w:r>
      <w:r w:rsidRPr="006C441B">
        <w:rPr>
          <w:rFonts w:ascii="Palatino Linotype" w:eastAsia="Palatino Linotype" w:hAnsi="Palatino Linotype" w:cs="Palatino Linotype"/>
          <w:i/>
          <w:iCs/>
          <w:sz w:val="22"/>
          <w:szCs w:val="22"/>
        </w:rPr>
        <w:t xml:space="preserve"> Los motivos y fundamentos legales aplicados para llevarla a cabo;</w:t>
      </w:r>
    </w:p>
    <w:p w14:paraId="2839456C"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3)</w:t>
      </w:r>
      <w:r w:rsidRPr="006C441B">
        <w:rPr>
          <w:rFonts w:ascii="Palatino Linotype" w:eastAsia="Palatino Linotype" w:hAnsi="Palatino Linotype" w:cs="Palatino Linotype"/>
          <w:i/>
          <w:iCs/>
          <w:sz w:val="22"/>
          <w:szCs w:val="22"/>
        </w:rPr>
        <w:t xml:space="preserve"> La autorización del ejercicio de la opción; </w:t>
      </w:r>
    </w:p>
    <w:p w14:paraId="3828FA4E"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 xml:space="preserve">4) </w:t>
      </w:r>
      <w:r w:rsidRPr="006C441B">
        <w:rPr>
          <w:rFonts w:ascii="Palatino Linotype" w:eastAsia="Palatino Linotype" w:hAnsi="Palatino Linotype" w:cs="Palatino Linotype"/>
          <w:i/>
          <w:iCs/>
          <w:sz w:val="22"/>
          <w:szCs w:val="22"/>
        </w:rPr>
        <w:t>En su caso, las cotizaciones consideradas, especificando los nombres de los proveedores y sus montos;</w:t>
      </w:r>
      <w:r w:rsidRPr="006C441B">
        <w:rPr>
          <w:rFonts w:ascii="Palatino Linotype" w:eastAsia="Palatino Linotype" w:hAnsi="Palatino Linotype" w:cs="Palatino Linotype"/>
          <w:b/>
          <w:bCs/>
          <w:i/>
          <w:iCs/>
          <w:sz w:val="22"/>
          <w:szCs w:val="22"/>
        </w:rPr>
        <w:t> </w:t>
      </w:r>
    </w:p>
    <w:p w14:paraId="17175369"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5)</w:t>
      </w:r>
      <w:r w:rsidRPr="006C441B">
        <w:rPr>
          <w:rFonts w:ascii="Palatino Linotype" w:eastAsia="Palatino Linotype" w:hAnsi="Palatino Linotype" w:cs="Palatino Linotype"/>
          <w:i/>
          <w:iCs/>
          <w:sz w:val="22"/>
          <w:szCs w:val="22"/>
        </w:rPr>
        <w:t xml:space="preserve"> El nombre de la persona física o jurídica colectiva adjudicada; </w:t>
      </w:r>
    </w:p>
    <w:p w14:paraId="74E7AB26"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6)</w:t>
      </w:r>
      <w:r w:rsidRPr="006C441B">
        <w:rPr>
          <w:rFonts w:ascii="Palatino Linotype" w:eastAsia="Palatino Linotype" w:hAnsi="Palatino Linotype" w:cs="Palatino Linotype"/>
          <w:i/>
          <w:iCs/>
          <w:sz w:val="22"/>
          <w:szCs w:val="22"/>
        </w:rPr>
        <w:t xml:space="preserve"> La unidad administrativa solicitante y la responsable de su ejecución; </w:t>
      </w:r>
    </w:p>
    <w:p w14:paraId="769DBFFF"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7) El número, fecha, el monto del contrato y el plazo de entrega o de ejecución de los servicios u obra; </w:t>
      </w:r>
    </w:p>
    <w:p w14:paraId="1CDB88C2"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8)</w:t>
      </w:r>
      <w:r w:rsidRPr="006C441B">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 </w:t>
      </w:r>
    </w:p>
    <w:p w14:paraId="2D1A3C57"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9)</w:t>
      </w:r>
      <w:r w:rsidRPr="006C441B">
        <w:rPr>
          <w:rFonts w:ascii="Palatino Linotype" w:eastAsia="Palatino Linotype" w:hAnsi="Palatino Linotype" w:cs="Palatino Linotype"/>
          <w:i/>
          <w:iCs/>
          <w:sz w:val="22"/>
          <w:szCs w:val="22"/>
        </w:rPr>
        <w:t xml:space="preserve"> Los informes de avance sobre las obras o servicios contratados; </w:t>
      </w:r>
    </w:p>
    <w:p w14:paraId="6289A27B"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10)</w:t>
      </w:r>
      <w:r w:rsidRPr="006C441B">
        <w:rPr>
          <w:rFonts w:ascii="Palatino Linotype" w:eastAsia="Palatino Linotype" w:hAnsi="Palatino Linotype" w:cs="Palatino Linotype"/>
          <w:i/>
          <w:iCs/>
          <w:sz w:val="22"/>
          <w:szCs w:val="22"/>
        </w:rPr>
        <w:t xml:space="preserve"> El convenio de terminación; y </w:t>
      </w:r>
    </w:p>
    <w:p w14:paraId="552B3075" w14:textId="77777777" w:rsidR="00713C55" w:rsidRPr="006C441B" w:rsidRDefault="00EA452A">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i/>
          <w:iCs/>
          <w:sz w:val="22"/>
          <w:szCs w:val="22"/>
        </w:rPr>
        <w:t>11)</w:t>
      </w:r>
      <w:r w:rsidRPr="006C441B">
        <w:rPr>
          <w:rFonts w:ascii="Palatino Linotype" w:eastAsia="Palatino Linotype" w:hAnsi="Palatino Linotype" w:cs="Palatino Linotype"/>
          <w:i/>
          <w:iCs/>
          <w:sz w:val="22"/>
          <w:szCs w:val="22"/>
        </w:rPr>
        <w:t xml:space="preserve"> El finiquito;”</w:t>
      </w:r>
    </w:p>
    <w:p w14:paraId="74EEE84B" w14:textId="77777777" w:rsidR="00713C55" w:rsidRPr="006C441B" w:rsidRDefault="00EA452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A partir de lo anterior, se considera que ha quedado acreditada la competencia del </w:t>
      </w:r>
      <w:r w:rsidRPr="006C441B">
        <w:rPr>
          <w:rFonts w:ascii="Palatino Linotype" w:eastAsia="Palatino Linotype" w:hAnsi="Palatino Linotype" w:cs="Palatino Linotype"/>
          <w:b/>
          <w:bCs/>
          <w:sz w:val="22"/>
          <w:szCs w:val="22"/>
        </w:rPr>
        <w:t>Sujeto Obligado</w:t>
      </w:r>
      <w:r w:rsidRPr="006C441B">
        <w:rPr>
          <w:rFonts w:ascii="Palatino Linotype" w:eastAsia="Palatino Linotype" w:hAnsi="Palatino Linotype" w:cs="Palatino Linotype"/>
          <w:sz w:val="22"/>
          <w:szCs w:val="22"/>
        </w:rPr>
        <w:t xml:space="preserve"> para conocer la información que es del interés de la persona solicitante respecto a las obras públicas ya que incluye mantenimiento y restauración de bienes del Ayuntamiento.</w:t>
      </w:r>
    </w:p>
    <w:p w14:paraId="0C5285C0" w14:textId="77777777" w:rsidR="00713C55" w:rsidRPr="006C441B" w:rsidRDefault="00EA452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Ahora bien, de acuerdo a la Ley Orgánica Municipal, en el artículo 96 Bis, el Director de Obras Públicas o equivalente tiene las siguientes atribuciones:</w:t>
      </w:r>
    </w:p>
    <w:p w14:paraId="54E1DE01"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Artículo 96. Bis.- El Director de Obras Públicas o el Titular de la Unidad Administrativa equivalente, tiene las siguientes atribuciones: </w:t>
      </w:r>
    </w:p>
    <w:p w14:paraId="780EC299"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 xml:space="preserve">I. Realizar la programación y ejecución de las obras públicas y servicios relacionados, que por orden expresa del Ayuntamiento requieran prioridad; </w:t>
      </w:r>
    </w:p>
    <w:p w14:paraId="694C598C"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 xml:space="preserve">II. Planear y coordinar los proyectos de obras públicas y servicios relacionados con las mismas que autorice el Ayuntamiento, una vez que se cumplan los requisitos de licitación y otros que determine la ley de la materia; </w:t>
      </w:r>
    </w:p>
    <w:p w14:paraId="31143457"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 xml:space="preserve">III. Proyectar las obras públicas y servicios relacionados, que realice el Municipio, incluyendo la conservación y mantenimiento de edificios, </w:t>
      </w:r>
      <w:r w:rsidRPr="006C441B">
        <w:rPr>
          <w:rFonts w:ascii="Palatino Linotype" w:eastAsia="Palatino Linotype" w:hAnsi="Palatino Linotype" w:cs="Palatino Linotype"/>
          <w:b/>
          <w:bCs/>
          <w:i/>
          <w:iCs/>
          <w:sz w:val="22"/>
          <w:szCs w:val="22"/>
          <w:u w:val="single"/>
        </w:rPr>
        <w:t>monumentos,</w:t>
      </w:r>
      <w:r w:rsidRPr="006C441B">
        <w:rPr>
          <w:rFonts w:ascii="Palatino Linotype" w:eastAsia="Palatino Linotype" w:hAnsi="Palatino Linotype" w:cs="Palatino Linotype"/>
          <w:b/>
          <w:bCs/>
          <w:i/>
          <w:iCs/>
          <w:sz w:val="22"/>
          <w:szCs w:val="22"/>
        </w:rPr>
        <w:t xml:space="preserve"> calles, parques y jardines; </w:t>
      </w:r>
    </w:p>
    <w:p w14:paraId="6F28B755"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 xml:space="preserve">IV. Construir y ejecutar todas aquellas obras públicas y servicios relacionados, que aumenten y mantengan la infraestructura municipal y que estén consideradas en el programa respectivo; </w:t>
      </w:r>
    </w:p>
    <w:p w14:paraId="080E2DE5"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 xml:space="preserve">V. Determinar y cuantificar los materiales y trabajos necesarios para programas de construcción y mantenimiento de obras públicas y servicios relacionados; </w:t>
      </w:r>
    </w:p>
    <w:p w14:paraId="230360F7"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VI. Vigilar que se cumplan y lleven a cabo los programas de construcción y mantenimiento de obras públicas y servicios relacionados; </w:t>
      </w:r>
    </w:p>
    <w:p w14:paraId="53ABB51A"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p>
    <w:p w14:paraId="7D4F8A52"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VIII. Vigilar la construcción en las obras por contrato y por administración que hayan sido adjudicadas a los contratistas; </w:t>
      </w:r>
    </w:p>
    <w:p w14:paraId="6F7A70DC"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b/>
          <w:bCs/>
          <w:i/>
          <w:iCs/>
          <w:sz w:val="22"/>
          <w:szCs w:val="22"/>
        </w:rPr>
      </w:pPr>
      <w:r w:rsidRPr="006C441B">
        <w:rPr>
          <w:rFonts w:ascii="Palatino Linotype" w:eastAsia="Palatino Linotype" w:hAnsi="Palatino Linotype" w:cs="Palatino Linotype"/>
          <w:b/>
          <w:bCs/>
          <w:i/>
          <w:iCs/>
          <w:sz w:val="22"/>
          <w:szCs w:val="22"/>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4748988A"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 Verificar que las obras públicas y los servicios relacionados con la misma, hayan sido programadas, presupuestadas, ejecutadas, adquiridas y contratadas en estricto apego a las disposiciones legales aplicables; </w:t>
      </w:r>
    </w:p>
    <w:p w14:paraId="4710C045"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14:paraId="68AD049C"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XII. Promover la construcción de urbanización, infraestructura y equipamiento urbano; </w:t>
      </w:r>
    </w:p>
    <w:p w14:paraId="5096C3F1"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XIII. Formular y conducir la política municipal en materia de obras públicas e infraestructura para el desarrollo; </w:t>
      </w:r>
    </w:p>
    <w:p w14:paraId="42E7C446"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XIV. Cumplir y hacer cumplir la legislación y normatividad en materia de obra pública; </w:t>
      </w:r>
    </w:p>
    <w:p w14:paraId="50619575"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4AAF9626"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XVI. Dictar las normas generales y ejecutar las obras de reparación, adaptación y demolición de inmuebles propiedad del municipio que le sean asignadas; </w:t>
      </w:r>
    </w:p>
    <w:p w14:paraId="4D20182E"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14:paraId="634C7786"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XVIII. Vigilar que la ejecución de la obra pública adjudicada y los servicios relacionados con ésta, se sujeten a las condiciones contratadas; </w:t>
      </w:r>
    </w:p>
    <w:p w14:paraId="07922F38"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XIX. Establecer los lineamientos para la realización de estudios y proyectos de construcción de obras públicas; </w:t>
      </w:r>
    </w:p>
    <w:p w14:paraId="0E2A1B2A"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XX. Autorizar para su pago, previa validación del avance y calidad de las obras, los presupuestos y estimaciones que presenten los contratistas de obras públicas municipales; </w:t>
      </w:r>
    </w:p>
    <w:p w14:paraId="0060C6FF"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XXI. Formular el inventario de la maquinaria y equipo de construcción a su cuidado o de su propiedad, manteniéndolo en óptimas condiciones de uso; </w:t>
      </w:r>
    </w:p>
    <w:p w14:paraId="1BBEC29C"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XXII. Coordinar y supervisar que todo el proceso de las obras públicas que se realicen en el municipio se realice conforme a la legislación y normatividad en materia de obra pública;</w:t>
      </w:r>
    </w:p>
    <w:p w14:paraId="003CA754"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XXIII. Controlar y vigilar el inventario de materiales para construcción; </w:t>
      </w:r>
    </w:p>
    <w:p w14:paraId="31EBFC69"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XXIV. Integrar y autorizar con su firma, la documentación que en materia de obra pública, deba presentarse al Órgano Superior de Fiscalización del Estado de México; </w:t>
      </w:r>
    </w:p>
    <w:p w14:paraId="453F1925"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XXV. Formular las bases y expedir la convocatoria a los concursos para la realización de las obras públicas municipales, de acuerdo con los requisitos que para dichos actos señale la legislación y normatividad respectiva, vigilando su correcta ejecución; y </w:t>
      </w:r>
    </w:p>
    <w:p w14:paraId="20B46FDE" w14:textId="77777777" w:rsidR="00713C55" w:rsidRPr="006C441B" w:rsidRDefault="00EA452A">
      <w:pPr>
        <w:pBdr>
          <w:top w:val="nil"/>
          <w:left w:val="nil"/>
          <w:bottom w:val="nil"/>
          <w:right w:val="nil"/>
          <w:between w:val="nil"/>
        </w:pBdr>
        <w:spacing w:before="240" w:after="240"/>
        <w:ind w:left="567"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XXVI. Las demás que les señalen las disposiciones aplicables</w:t>
      </w:r>
    </w:p>
    <w:p w14:paraId="45345FCE" w14:textId="77777777" w:rsidR="00713C55" w:rsidRPr="006C441B" w:rsidRDefault="00EA452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Tal y como se advierte, el Director de Obras Públicas tiene atribuciones para generar, administrar y poseer información relacionada con el mantenimiento y restauración de obras públicas, información que se relaciona con lo requerido por el Particular.</w:t>
      </w:r>
    </w:p>
    <w:p w14:paraId="054C389B" w14:textId="77777777" w:rsidR="00713C55" w:rsidRPr="006C441B" w:rsidRDefault="00713C5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582452D2" w14:textId="77777777" w:rsidR="00713C55" w:rsidRPr="006C441B" w:rsidRDefault="00EA452A">
      <w:pPr>
        <w:spacing w:line="360" w:lineRule="auto"/>
        <w:ind w:firstLine="1"/>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Expuesto lo anterior, se advierte que el Titular de la Unidad de Transparencia turnó la solicitud al Servidor Público Habilitado Maximino González Sánchez, que de con la información disponible en la página oficial del Ayuntamiento de Tejupilco es el Director de Obras Públicas. En conclusión,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48A2B31" w14:textId="77777777" w:rsidR="00713C55" w:rsidRPr="006C441B" w:rsidRDefault="00713C55">
      <w:pPr>
        <w:spacing w:line="360" w:lineRule="auto"/>
        <w:ind w:firstLine="1"/>
        <w:jc w:val="both"/>
        <w:rPr>
          <w:rFonts w:ascii="Palatino Linotype" w:eastAsia="Palatino Linotype" w:hAnsi="Palatino Linotype" w:cs="Palatino Linotype"/>
          <w:sz w:val="22"/>
          <w:szCs w:val="22"/>
        </w:rPr>
      </w:pPr>
    </w:p>
    <w:p w14:paraId="43A7B5AA" w14:textId="77777777" w:rsidR="00713C55" w:rsidRPr="006C441B" w:rsidRDefault="00EA452A">
      <w:pPr>
        <w:spacing w:after="240" w:line="360" w:lineRule="auto"/>
        <w:ind w:left="284"/>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3F123CF" w14:textId="77777777" w:rsidR="00713C55" w:rsidRPr="006C441B" w:rsidRDefault="00EA452A">
      <w:pPr>
        <w:spacing w:after="240" w:line="360" w:lineRule="auto"/>
        <w:ind w:left="284"/>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4F78901" w14:textId="77777777" w:rsidR="00713C55" w:rsidRPr="006C441B" w:rsidRDefault="00EA452A">
      <w:pPr>
        <w:spacing w:after="240" w:line="360" w:lineRule="auto"/>
        <w:ind w:left="284"/>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474FA5CF" w14:textId="77777777" w:rsidR="00713C55" w:rsidRPr="006C441B" w:rsidRDefault="00EA452A">
      <w:pPr>
        <w:spacing w:after="240" w:line="360" w:lineRule="auto"/>
        <w:ind w:left="284"/>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598C3C0" w14:textId="77777777" w:rsidR="00713C55" w:rsidRPr="006C441B" w:rsidRDefault="00EA452A">
      <w:pPr>
        <w:spacing w:after="240" w:line="360" w:lineRule="auto"/>
        <w:ind w:left="284"/>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09A7683" w14:textId="77777777" w:rsidR="00713C55" w:rsidRPr="006C441B" w:rsidRDefault="00EA452A">
      <w:pPr>
        <w:spacing w:after="240" w:line="360" w:lineRule="auto"/>
        <w:ind w:left="284"/>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0C170A9"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En este orden de ideas, se reitera que la solicitud al turnarse a la unidad administrativa que cuentan con atribuciones para generar, administrar o poseer la información relacionada con unidades económicas, es que se acreditó la correcta búsqueda exhaustiva y razonable de la información.</w:t>
      </w:r>
    </w:p>
    <w:p w14:paraId="380BBA8B"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35003459"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Establecido lo anterior, es necesario establecer los requerimientos frente a la respuesta proporcionada, a efecto de verificar si la información colma la solicitud:</w:t>
      </w:r>
    </w:p>
    <w:p w14:paraId="63E5099B" w14:textId="77777777" w:rsidR="00713C55" w:rsidRPr="006C441B" w:rsidRDefault="00713C55">
      <w:pPr>
        <w:spacing w:line="360" w:lineRule="auto"/>
        <w:jc w:val="both"/>
        <w:rPr>
          <w:rFonts w:ascii="Palatino Linotype" w:eastAsia="Palatino Linotype" w:hAnsi="Palatino Linotype" w:cs="Palatino Linotype"/>
          <w:sz w:val="22"/>
          <w:szCs w:val="22"/>
        </w:rPr>
      </w:pPr>
    </w:p>
    <w:tbl>
      <w:tblPr>
        <w:tblStyle w:val="af8"/>
        <w:tblW w:w="88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431"/>
        <w:gridCol w:w="2431"/>
      </w:tblGrid>
      <w:tr w:rsidR="000C32AA" w:rsidRPr="006C441B" w14:paraId="6E60DB97" w14:textId="77777777">
        <w:trPr>
          <w:jc w:val="center"/>
        </w:trPr>
        <w:tc>
          <w:tcPr>
            <w:tcW w:w="3964" w:type="dxa"/>
            <w:shd w:val="clear" w:color="auto" w:fill="E7E6E6"/>
          </w:tcPr>
          <w:p w14:paraId="64AE5FE4"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Requerimiento</w:t>
            </w:r>
          </w:p>
        </w:tc>
        <w:tc>
          <w:tcPr>
            <w:tcW w:w="2431" w:type="dxa"/>
            <w:shd w:val="clear" w:color="auto" w:fill="E7E6E6"/>
          </w:tcPr>
          <w:p w14:paraId="10A18CD7"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Respuesta</w:t>
            </w:r>
          </w:p>
        </w:tc>
        <w:tc>
          <w:tcPr>
            <w:tcW w:w="2431" w:type="dxa"/>
            <w:shd w:val="clear" w:color="auto" w:fill="E7E6E6"/>
          </w:tcPr>
          <w:p w14:paraId="20A4D3DF"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¿Colma?</w:t>
            </w:r>
          </w:p>
        </w:tc>
      </w:tr>
      <w:tr w:rsidR="000C32AA" w:rsidRPr="006C441B" w14:paraId="0713FF55" w14:textId="77777777">
        <w:trPr>
          <w:jc w:val="center"/>
        </w:trPr>
        <w:tc>
          <w:tcPr>
            <w:tcW w:w="3964" w:type="dxa"/>
          </w:tcPr>
          <w:p w14:paraId="14D517EF"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Estado actual de funcionamiento de las fuentes bailarinas ubicadas frente a Coppel en el municipio de Tejupilco. </w:t>
            </w:r>
          </w:p>
        </w:tc>
        <w:tc>
          <w:tcPr>
            <w:tcW w:w="2431" w:type="dxa"/>
          </w:tcPr>
          <w:p w14:paraId="4E03EAD7"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La Obra se encuentra fuera de operación desde el año 2022</w:t>
            </w:r>
          </w:p>
        </w:tc>
        <w:tc>
          <w:tcPr>
            <w:tcW w:w="2431" w:type="dxa"/>
          </w:tcPr>
          <w:p w14:paraId="07550ABB"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 colma.</w:t>
            </w:r>
          </w:p>
          <w:p w14:paraId="64896C7E"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Ya que corresponde a la obra y temporalidad señaladas.</w:t>
            </w:r>
          </w:p>
        </w:tc>
      </w:tr>
      <w:tr w:rsidR="000C32AA" w:rsidRPr="006C441B" w14:paraId="5F8A68B7" w14:textId="77777777">
        <w:trPr>
          <w:jc w:val="center"/>
        </w:trPr>
        <w:tc>
          <w:tcPr>
            <w:tcW w:w="3964" w:type="dxa"/>
          </w:tcPr>
          <w:p w14:paraId="25372663"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¿Están actualmente en funcionamiento? En caso negativo, ¿desde qué fecha dejaron de operar? </w:t>
            </w:r>
          </w:p>
        </w:tc>
        <w:tc>
          <w:tcPr>
            <w:tcW w:w="2431" w:type="dxa"/>
          </w:tcPr>
          <w:p w14:paraId="4FC87AE2"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La Obra se encuentra fuera de operación desde el año 2022</w:t>
            </w:r>
          </w:p>
        </w:tc>
        <w:tc>
          <w:tcPr>
            <w:tcW w:w="2431" w:type="dxa"/>
          </w:tcPr>
          <w:p w14:paraId="591EFE8D"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 colma.</w:t>
            </w:r>
          </w:p>
          <w:p w14:paraId="151847E2"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Corresponde a la obra y temporalidad señaladas.</w:t>
            </w:r>
          </w:p>
        </w:tc>
      </w:tr>
      <w:tr w:rsidR="000C32AA" w:rsidRPr="006C441B" w14:paraId="60C6DF16" w14:textId="77777777">
        <w:trPr>
          <w:jc w:val="center"/>
        </w:trPr>
        <w:tc>
          <w:tcPr>
            <w:tcW w:w="3964" w:type="dxa"/>
          </w:tcPr>
          <w:p w14:paraId="5BE0167C"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Motivo por el cual no se han dado labores de mantenimiento o rehabilitación. </w:t>
            </w:r>
          </w:p>
          <w:p w14:paraId="3ECB835D"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¿Existe alguna causa técnica, administrativa o presupuestal?</w:t>
            </w:r>
          </w:p>
        </w:tc>
        <w:tc>
          <w:tcPr>
            <w:tcW w:w="2431" w:type="dxa"/>
          </w:tcPr>
          <w:p w14:paraId="207B6B57"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La Obra se encuentra fuera de operación desde el año 2022, debido a problemas técnicos y fallas en mecánicas.</w:t>
            </w:r>
          </w:p>
          <w:p w14:paraId="39D1B94E"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Se le ha dado atención a los servicios básicos que por obligación debe brindar el Ayuntamiento de los servicios públicos y atención a los desastres naturales que ha obligado a emplear los recursos en el bienestar primero de la población.</w:t>
            </w:r>
          </w:p>
        </w:tc>
        <w:tc>
          <w:tcPr>
            <w:tcW w:w="2431" w:type="dxa"/>
          </w:tcPr>
          <w:p w14:paraId="3DBEB0DD"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 colma.</w:t>
            </w:r>
          </w:p>
          <w:p w14:paraId="5793EBB8"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Corresponde a la obra y temporalidad señaladas.</w:t>
            </w:r>
          </w:p>
        </w:tc>
      </w:tr>
      <w:tr w:rsidR="000C32AA" w:rsidRPr="006C441B" w14:paraId="1262BAF0" w14:textId="77777777">
        <w:trPr>
          <w:jc w:val="center"/>
        </w:trPr>
        <w:tc>
          <w:tcPr>
            <w:tcW w:w="3964" w:type="dxa"/>
          </w:tcPr>
          <w:p w14:paraId="486948C0"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¿Se ha determinado que los costos de mantenimiento son elevados? En caso de que se haya determinado que el costo de mantenimiento es elevado: Solicito se me proporcione copia de las solicitudes de servicio, oficios, cotizaciones o presupuestos que se hayan presentado para el mantenimiento o rehabilitación de dichas fuentes, incluyendo: Nombre de los proveedores. Fecha de la cotización. Monto estimado. </w:t>
            </w:r>
          </w:p>
        </w:tc>
        <w:tc>
          <w:tcPr>
            <w:tcW w:w="2431" w:type="dxa"/>
          </w:tcPr>
          <w:p w14:paraId="0A18CDF6"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Al momento </w:t>
            </w:r>
            <w:r w:rsidRPr="006C441B">
              <w:rPr>
                <w:rFonts w:ascii="Palatino Linotype" w:eastAsia="Palatino Linotype" w:hAnsi="Palatino Linotype" w:cs="Palatino Linotype"/>
                <w:b/>
                <w:bCs/>
                <w:sz w:val="22"/>
                <w:szCs w:val="22"/>
                <w:u w:val="single"/>
              </w:rPr>
              <w:t>no se le ha asignado ninguna partida presupuestal</w:t>
            </w:r>
            <w:r w:rsidRPr="006C441B">
              <w:rPr>
                <w:rFonts w:ascii="Palatino Linotype" w:eastAsia="Palatino Linotype" w:hAnsi="Palatino Linotype" w:cs="Palatino Linotype"/>
                <w:sz w:val="22"/>
                <w:szCs w:val="22"/>
              </w:rPr>
              <w:t xml:space="preserve"> para reparar los daños que tiene y no hay fecha de posible reparación al momento.</w:t>
            </w:r>
          </w:p>
        </w:tc>
        <w:tc>
          <w:tcPr>
            <w:tcW w:w="2431" w:type="dxa"/>
          </w:tcPr>
          <w:p w14:paraId="6705E04F" w14:textId="77777777" w:rsidR="00CD64D0" w:rsidRPr="006C441B" w:rsidRDefault="00EA452A" w:rsidP="00CD64D0">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 colma</w:t>
            </w:r>
            <w:r w:rsidR="00CD64D0" w:rsidRPr="006C441B">
              <w:rPr>
                <w:rFonts w:ascii="Palatino Linotype" w:eastAsia="Palatino Linotype" w:hAnsi="Palatino Linotype" w:cs="Palatino Linotype"/>
                <w:sz w:val="22"/>
                <w:szCs w:val="22"/>
              </w:rPr>
              <w:t>, al no destinarse una partida para ello.</w:t>
            </w:r>
          </w:p>
          <w:p w14:paraId="08ADE624" w14:textId="78015AD0" w:rsidR="00713C55" w:rsidRPr="006C441B" w:rsidRDefault="00EA452A" w:rsidP="00CD64D0">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Corresponde a la obra y temporalidad señaladas.</w:t>
            </w:r>
          </w:p>
        </w:tc>
      </w:tr>
      <w:tr w:rsidR="000C32AA" w:rsidRPr="006C441B" w14:paraId="19B63BA9" w14:textId="77777777">
        <w:trPr>
          <w:jc w:val="center"/>
        </w:trPr>
        <w:tc>
          <w:tcPr>
            <w:tcW w:w="3964" w:type="dxa"/>
          </w:tcPr>
          <w:p w14:paraId="70AA4414"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¿Existe alguna partida presupuestal específica destinada al mantenimiento de estas fuentes o espacios públicos similares durante el ejercicio fiscal actual o los anteriores (</w:t>
            </w:r>
            <w:r w:rsidRPr="006C441B">
              <w:rPr>
                <w:rFonts w:ascii="Palatino Linotype" w:eastAsia="Palatino Linotype" w:hAnsi="Palatino Linotype" w:cs="Palatino Linotype"/>
                <w:b/>
                <w:bCs/>
                <w:sz w:val="22"/>
                <w:szCs w:val="22"/>
                <w:u w:val="single"/>
              </w:rPr>
              <w:t>últimos 4 años)?</w:t>
            </w:r>
            <w:r w:rsidRPr="006C441B">
              <w:rPr>
                <w:rFonts w:ascii="Palatino Linotype" w:eastAsia="Palatino Linotype" w:hAnsi="Palatino Linotype" w:cs="Palatino Linotype"/>
                <w:sz w:val="22"/>
                <w:szCs w:val="22"/>
              </w:rPr>
              <w:t xml:space="preserve"> Favor de especificar número de partida, nombre del programa, y montos asignados. </w:t>
            </w:r>
          </w:p>
        </w:tc>
        <w:tc>
          <w:tcPr>
            <w:tcW w:w="2431" w:type="dxa"/>
          </w:tcPr>
          <w:p w14:paraId="4F02AAA0"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i/>
                <w:iCs/>
                <w:sz w:val="22"/>
                <w:szCs w:val="22"/>
              </w:rPr>
              <w:t>Al momento no se le ha asignado ninguna partida presupuestal para reparar los daños que tiene y no hay fecha de posible reparación al momento.</w:t>
            </w:r>
          </w:p>
        </w:tc>
        <w:tc>
          <w:tcPr>
            <w:tcW w:w="2431" w:type="dxa"/>
          </w:tcPr>
          <w:p w14:paraId="3458A39A"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No colma.</w:t>
            </w:r>
          </w:p>
          <w:p w14:paraId="17E72655" w14:textId="27E20F7C" w:rsidR="00713C55" w:rsidRPr="006C441B" w:rsidRDefault="00EA452A" w:rsidP="00CD64D0">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Solicita información de la fuente antes referida y</w:t>
            </w:r>
            <w:r w:rsidRPr="006C441B">
              <w:rPr>
                <w:rFonts w:ascii="Palatino Linotype" w:eastAsia="Palatino Linotype" w:hAnsi="Palatino Linotype" w:cs="Palatino Linotype"/>
                <w:sz w:val="22"/>
                <w:szCs w:val="22"/>
                <w:u w:val="single"/>
              </w:rPr>
              <w:t>, además, de espacios públicos similares,</w:t>
            </w:r>
            <w:r w:rsidRPr="006C441B">
              <w:rPr>
                <w:rFonts w:ascii="Palatino Linotype" w:eastAsia="Palatino Linotype" w:hAnsi="Palatino Linotype" w:cs="Palatino Linotype"/>
                <w:sz w:val="22"/>
                <w:szCs w:val="22"/>
              </w:rPr>
              <w:t xml:space="preserve"> aunado a que precisa que la temporalidad debe corresponder a 4 años previos.</w:t>
            </w:r>
          </w:p>
        </w:tc>
      </w:tr>
      <w:tr w:rsidR="00713C55" w:rsidRPr="006C441B" w14:paraId="5EF159C6" w14:textId="77777777">
        <w:trPr>
          <w:jc w:val="center"/>
        </w:trPr>
        <w:tc>
          <w:tcPr>
            <w:tcW w:w="3964" w:type="dxa"/>
          </w:tcPr>
          <w:p w14:paraId="7F1B7F62"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 caso de que se tenga planeado rehabilitarlas próximamente, favor de informar: Fecha estimada de rehabilitación. Presupuesto asignado. Procedimiento de contratación previsto. </w:t>
            </w:r>
          </w:p>
        </w:tc>
        <w:tc>
          <w:tcPr>
            <w:tcW w:w="2431" w:type="dxa"/>
          </w:tcPr>
          <w:p w14:paraId="5CF2CD42"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i/>
                <w:iCs/>
                <w:sz w:val="22"/>
                <w:szCs w:val="22"/>
              </w:rPr>
              <w:t>…no hay fecha de posible reparación al momento</w:t>
            </w:r>
          </w:p>
        </w:tc>
        <w:tc>
          <w:tcPr>
            <w:tcW w:w="2431" w:type="dxa"/>
          </w:tcPr>
          <w:p w14:paraId="69B94427"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Si colma</w:t>
            </w:r>
          </w:p>
          <w:p w14:paraId="03786A95"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Hechos negativos.</w:t>
            </w:r>
          </w:p>
          <w:p w14:paraId="3D9D8483" w14:textId="77777777" w:rsidR="00713C55" w:rsidRPr="006C441B" w:rsidRDefault="00EA452A">
            <w:pPr>
              <w:spacing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Corresponde a la obra y temporalidad señaladas.</w:t>
            </w:r>
          </w:p>
        </w:tc>
      </w:tr>
    </w:tbl>
    <w:p w14:paraId="6C0DE601"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6C3DB5D6"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Tal y como se aprecia, con la manifestación realizada por el Sujeto Obligado se atienden diversos los requerimientos, al señalar lo siguiente:</w:t>
      </w:r>
    </w:p>
    <w:p w14:paraId="1675CE27" w14:textId="77777777" w:rsidR="00713C55" w:rsidRPr="006C441B" w:rsidRDefault="00713C55">
      <w:pPr>
        <w:widowControl w:val="0"/>
        <w:spacing w:line="360" w:lineRule="auto"/>
        <w:ind w:right="843"/>
        <w:jc w:val="both"/>
        <w:rPr>
          <w:rFonts w:ascii="Palatino Linotype" w:eastAsia="Palatino Linotype" w:hAnsi="Palatino Linotype" w:cs="Palatino Linotype"/>
          <w:i/>
          <w:iCs/>
          <w:sz w:val="22"/>
          <w:szCs w:val="22"/>
        </w:rPr>
      </w:pPr>
    </w:p>
    <w:p w14:paraId="407267F0" w14:textId="77777777" w:rsidR="00713C55" w:rsidRPr="006C441B" w:rsidRDefault="00EA452A">
      <w:pPr>
        <w:widowControl w:val="0"/>
        <w:numPr>
          <w:ilvl w:val="0"/>
          <w:numId w:val="5"/>
        </w:numPr>
        <w:pBdr>
          <w:top w:val="nil"/>
          <w:left w:val="nil"/>
          <w:bottom w:val="nil"/>
          <w:right w:val="nil"/>
          <w:between w:val="nil"/>
        </w:pBdr>
        <w:spacing w:line="360" w:lineRule="auto"/>
        <w:ind w:right="843"/>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La Obra se encuentra fuera de operación desde el año 2022, debido a problemas técnicos y fallas en mecánicas;</w:t>
      </w:r>
    </w:p>
    <w:p w14:paraId="000A3DC1" w14:textId="77777777" w:rsidR="00713C55" w:rsidRPr="006C441B" w:rsidRDefault="00EA452A">
      <w:pPr>
        <w:widowControl w:val="0"/>
        <w:numPr>
          <w:ilvl w:val="0"/>
          <w:numId w:val="5"/>
        </w:numPr>
        <w:pBdr>
          <w:top w:val="nil"/>
          <w:left w:val="nil"/>
          <w:bottom w:val="nil"/>
          <w:right w:val="nil"/>
          <w:between w:val="nil"/>
        </w:pBdr>
        <w:spacing w:line="360" w:lineRule="auto"/>
        <w:ind w:right="843"/>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Al momento no se le ha asignado ninguna partida presupuestal para reparar los daños que tiene;</w:t>
      </w:r>
    </w:p>
    <w:p w14:paraId="23EFC73E" w14:textId="77777777" w:rsidR="00713C55" w:rsidRPr="006C441B" w:rsidRDefault="00EA452A">
      <w:pPr>
        <w:widowControl w:val="0"/>
        <w:numPr>
          <w:ilvl w:val="0"/>
          <w:numId w:val="5"/>
        </w:numPr>
        <w:pBdr>
          <w:top w:val="nil"/>
          <w:left w:val="nil"/>
          <w:bottom w:val="nil"/>
          <w:right w:val="nil"/>
          <w:between w:val="nil"/>
        </w:pBdr>
        <w:spacing w:line="360" w:lineRule="auto"/>
        <w:ind w:right="843"/>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No hay fecha de posible reparación al momento, ya que se le ha dado atención a los servicios básicos que por obligación debe brindar el Ayuntamiento de los servicios públicos y atención a los desastres naturales que ha obligado a emplear los recursos en el bienestar primero de la población.</w:t>
      </w:r>
    </w:p>
    <w:p w14:paraId="40BB5CDB"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6EE62209"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Entonces, se tiene que, con el pronunciamiento realizado por el Servidor Público Competente para generar, administrar y poseer información relativa a la obra pública de referencia, es que no se puede dudar de la veracidad de la información proporcionada.</w:t>
      </w:r>
    </w:p>
    <w:p w14:paraId="0DB4A35E"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65EBF66F"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2859DD63"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1A8EE95F" w14:textId="77777777" w:rsidR="00713C55" w:rsidRPr="006C441B" w:rsidRDefault="00EA452A">
      <w:pPr>
        <w:spacing w:line="360" w:lineRule="auto"/>
        <w:ind w:left="851"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 xml:space="preserve">El Instituto Federal de Acceso a la Información y Protección de Datos no cuenta con facultades para pronunciarse respecto de la veracidad de los documentos proporcionados por los sujetos obligados. </w:t>
      </w:r>
      <w:r w:rsidRPr="006C441B">
        <w:rPr>
          <w:rFonts w:ascii="Palatino Linotype" w:eastAsia="Palatino Linotype" w:hAnsi="Palatino Linotype" w:cs="Palatino Linotype"/>
          <w:i/>
          <w:iCs/>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9BA325"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28CEC724"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1FBA7DEE"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507DE2BC"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Además, no pasa desapercibido que al haber señalado no se ha asignado partida presupuestal y no se tiene fecha de posible reparación, es que estamos en presencia de los denominados </w:t>
      </w:r>
      <w:r w:rsidRPr="006C441B">
        <w:rPr>
          <w:rFonts w:ascii="Palatino Linotype" w:eastAsia="Palatino Linotype" w:hAnsi="Palatino Linotype" w:cs="Palatino Linotype"/>
          <w:i/>
          <w:iCs/>
          <w:sz w:val="22"/>
          <w:szCs w:val="22"/>
        </w:rPr>
        <w:t>“hechos negativos”,</w:t>
      </w:r>
      <w:r w:rsidRPr="006C441B">
        <w:rPr>
          <w:rFonts w:ascii="Palatino Linotype" w:eastAsia="Palatino Linotype" w:hAnsi="Palatino Linotype" w:cs="Palatino Linotype"/>
          <w:sz w:val="22"/>
          <w:szCs w:val="22"/>
        </w:rPr>
        <w:t xml:space="preserve"> los cuales se definen como: </w:t>
      </w:r>
    </w:p>
    <w:p w14:paraId="087026E2"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519064BF" w14:textId="77777777" w:rsidR="00713C55" w:rsidRPr="006C441B" w:rsidRDefault="00EA452A">
      <w:pPr>
        <w:spacing w:line="360" w:lineRule="auto"/>
        <w:ind w:left="851" w:right="843"/>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HECHOS NEGATIVOS, NO SON SUSCEPTIBLES DE DEMOSTRACIÓN.</w:t>
      </w:r>
      <w:r w:rsidRPr="006C441B">
        <w:rPr>
          <w:rFonts w:ascii="Palatino Linotype" w:eastAsia="Palatino Linotype" w:hAnsi="Palatino Linotype" w:cs="Palatino Linotype"/>
          <w:i/>
          <w:iCs/>
          <w:sz w:val="22"/>
          <w:szCs w:val="22"/>
        </w:rPr>
        <w:t xml:space="preserve"> Tratándose de un hecho negativo, el Juez no tiene por qué invocar prueba alguna de la que se desprenda, ya que es bien sabido que esta clase de hechos no son susceptibles de demostración. </w:t>
      </w:r>
    </w:p>
    <w:p w14:paraId="2B75D984"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63266688" w14:textId="77777777" w:rsidR="00713C55" w:rsidRPr="006C441B" w:rsidRDefault="00EA452A">
      <w:pPr>
        <w:spacing w:line="360" w:lineRule="auto"/>
        <w:ind w:right="49"/>
        <w:jc w:val="both"/>
        <w:rPr>
          <w:rFonts w:ascii="Palatino Linotype" w:eastAsia="Palatino Linotype" w:hAnsi="Palatino Linotype" w:cs="Palatino Linotype"/>
          <w:b/>
          <w:bCs/>
          <w:sz w:val="22"/>
          <w:szCs w:val="22"/>
          <w:u w:val="single"/>
        </w:rPr>
      </w:pPr>
      <w:r w:rsidRPr="006C441B">
        <w:rPr>
          <w:rFonts w:ascii="Palatino Linotype" w:eastAsia="Palatino Linotype" w:hAnsi="Palatino Linotype" w:cs="Palatino Linotype"/>
          <w:b/>
          <w:bCs/>
          <w:sz w:val="22"/>
          <w:szCs w:val="22"/>
          <w:u w:val="single"/>
        </w:rPr>
        <w:t xml:space="preserve">De lo anterior, se concluye que resulta materialmente imposible la entrega de información que no se ha generado, poseído o administrado por el Sujeto Obligado, debido a que no obra en sus archivos. </w:t>
      </w:r>
    </w:p>
    <w:p w14:paraId="5338577B"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3380EEFD"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Entonces, al tratarse de facultades que no se han ejercido, no es necesario la emisión de un acto formal que declare la inexistencia de la información, ya que la acción o el acto no se ha materializado. </w:t>
      </w:r>
    </w:p>
    <w:p w14:paraId="745D2990"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3510685B"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Entonces, se tiene que, con la manifestación que realizó el Sujeto Obligado a través de la Dirección de Obras Públicas, se atienden diversos requerimientos, como quedó señalado en el recuadro de referencia en las páginas veintiséis a la veintiocho de la presente resolución, pues señaló que la Obra se encuentra fuera de operación desde el año 2022, debido a problemas técnicos y fallas en mecánicas; al momento no se le ha asignado ninguna partida presupuestal para reparar los daños que tiene; y, no hay fecha de posible reparación al momento.</w:t>
      </w:r>
    </w:p>
    <w:p w14:paraId="51804C64"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41FF704B"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Lo anterior, cobra relevancia ya que al no haber señalado temporalidad en esos requerimientos y requerir información únicamente de una obra pública correspondiente a una fuente, el Sujeto Obligado dio contestación con la información con la que se cuenta a la fecha de la solicitud, tal y como ha quedado asentado, colmando de esta forma los requerimientos del particular.</w:t>
      </w:r>
    </w:p>
    <w:p w14:paraId="7F83D086"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EE3985E"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 sentido contrario, y por lo que corresponde al requerimiento </w:t>
      </w:r>
      <w:r w:rsidRPr="006C441B">
        <w:rPr>
          <w:rFonts w:ascii="Palatino Linotype" w:eastAsia="Palatino Linotype" w:hAnsi="Palatino Linotype" w:cs="Palatino Linotype"/>
          <w:i/>
          <w:iCs/>
          <w:sz w:val="22"/>
          <w:szCs w:val="22"/>
        </w:rPr>
        <w:t>¿Existe alguna partida presupuestal específica destinada al mantenimiento de estas fuentes o espacios públicos similares durante el ejercicio fiscal actual o los anteriores (últimos 4 años)? Favor de especificar número de partida, nombre del programa, y montos asignados</w:t>
      </w:r>
      <w:r w:rsidRPr="006C441B">
        <w:rPr>
          <w:rFonts w:ascii="Palatino Linotype" w:eastAsia="Palatino Linotype" w:hAnsi="Palatino Linotype" w:cs="Palatino Linotype"/>
          <w:sz w:val="22"/>
          <w:szCs w:val="22"/>
        </w:rPr>
        <w:t>, el particular precisó la temporalidad de cuatro años previos a la fecha de la solicitud, además de que, adicional a la fuente antes referida, solicita información de espacios públicos similares.</w:t>
      </w:r>
    </w:p>
    <w:p w14:paraId="7C59395E"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05FAC8A8"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Por su parte, el Sujeto Obligado se limitó a referir que </w:t>
      </w:r>
      <w:r w:rsidRPr="006C441B">
        <w:rPr>
          <w:rFonts w:ascii="Palatino Linotype" w:eastAsia="Palatino Linotype" w:hAnsi="Palatino Linotype" w:cs="Palatino Linotype"/>
          <w:b/>
          <w:bCs/>
          <w:sz w:val="22"/>
          <w:szCs w:val="22"/>
          <w:u w:val="single"/>
        </w:rPr>
        <w:t>al momento</w:t>
      </w:r>
      <w:r w:rsidRPr="006C441B">
        <w:rPr>
          <w:rFonts w:ascii="Palatino Linotype" w:eastAsia="Palatino Linotype" w:hAnsi="Palatino Linotype" w:cs="Palatino Linotype"/>
          <w:sz w:val="22"/>
          <w:szCs w:val="22"/>
        </w:rPr>
        <w:t xml:space="preserve"> no se le ha asignado ninguna partida presupuestal para reparar los daños; sin embargo, el requerimiento tiene tres elementos de suma importancia a considerar, siendo los siguientes:</w:t>
      </w:r>
    </w:p>
    <w:p w14:paraId="00F0921A"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2821A459" w14:textId="77777777" w:rsidR="00713C55" w:rsidRPr="006C441B" w:rsidRDefault="00EA452A">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El requerimiento señala las fuentes referidas en la solicitud o espacios públicos similares;</w:t>
      </w:r>
    </w:p>
    <w:p w14:paraId="2DAAA6F4" w14:textId="77777777" w:rsidR="00713C55" w:rsidRPr="006C441B" w:rsidRDefault="00EA452A">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El requerimiento no se basa en reparaciones, sino a mantenimientos;</w:t>
      </w:r>
    </w:p>
    <w:p w14:paraId="06D39B99" w14:textId="77777777" w:rsidR="00713C55" w:rsidRPr="006C441B" w:rsidRDefault="00EA452A">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El requerimiento establece la temporalidad de 4 años anteriores. </w:t>
      </w:r>
    </w:p>
    <w:p w14:paraId="7F04FA35"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CFFBF98"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Dicho lo anterior, es de mencionar que el Sujeto Obligado no fue congruente ni exhaustivo en su respuesta de conformidad con el Criterio 02/17 emitido por el Instituto Nacional de Transparencia, Acceso a la Información y Protección de Datos Personales el cual establece lo siguiente:</w:t>
      </w:r>
    </w:p>
    <w:p w14:paraId="7A6627DF" w14:textId="77777777" w:rsidR="00713C55" w:rsidRPr="006C441B" w:rsidRDefault="00713C55">
      <w:pPr>
        <w:pBdr>
          <w:top w:val="nil"/>
          <w:left w:val="nil"/>
          <w:bottom w:val="nil"/>
          <w:right w:val="nil"/>
          <w:between w:val="nil"/>
        </w:pBdr>
        <w:ind w:left="567" w:right="701"/>
        <w:jc w:val="both"/>
        <w:rPr>
          <w:rFonts w:ascii="Palatino Linotype" w:eastAsia="Palatino Linotype" w:hAnsi="Palatino Linotype" w:cs="Palatino Linotype"/>
          <w:i/>
          <w:iCs/>
          <w:sz w:val="22"/>
          <w:szCs w:val="22"/>
        </w:rPr>
      </w:pPr>
    </w:p>
    <w:p w14:paraId="3C148761" w14:textId="77777777" w:rsidR="00713C55" w:rsidRPr="006C441B" w:rsidRDefault="00EA452A">
      <w:pPr>
        <w:pBdr>
          <w:top w:val="nil"/>
          <w:left w:val="nil"/>
          <w:bottom w:val="nil"/>
          <w:right w:val="nil"/>
          <w:between w:val="nil"/>
        </w:pBdr>
        <w:ind w:left="567" w:right="701"/>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Congruencia y exhaustividad. Sus alcances para garantizar el derecho de acceso a la información.</w:t>
      </w:r>
      <w:r w:rsidRPr="006C441B">
        <w:rPr>
          <w:rFonts w:ascii="Palatino Linotype" w:eastAsia="Palatino Linotype" w:hAnsi="Palatino Linotype" w:cs="Palatino Linotype"/>
          <w:i/>
          <w:iCs/>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A9A6755" w14:textId="77777777" w:rsidR="00713C55" w:rsidRPr="006C441B" w:rsidRDefault="00713C55">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07B1294" w14:textId="77777777" w:rsidR="00713C55" w:rsidRPr="006C441B" w:rsidRDefault="00EA45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Los sujetos obligados para garantizar el derecho de acceso a la Información, deberán cumplir con los principios de exhaustividad y congruencia, esto es, que la congruencia </w:t>
      </w:r>
      <w:r w:rsidRPr="006C441B">
        <w:rPr>
          <w:rFonts w:ascii="Palatino Linotype" w:eastAsia="Palatino Linotype" w:hAnsi="Palatino Linotype" w:cs="Palatino Linotype"/>
          <w:b/>
          <w:bCs/>
          <w:sz w:val="22"/>
          <w:szCs w:val="22"/>
        </w:rPr>
        <w:t>implica que exista concordancia entre el requerimiento formulado por el particular y la respuesta proporcionada por el sujeto obligado</w:t>
      </w:r>
      <w:r w:rsidRPr="006C441B">
        <w:rPr>
          <w:rFonts w:ascii="Palatino Linotype" w:eastAsia="Palatino Linotype" w:hAnsi="Palatino Linotype" w:cs="Palatino Linotype"/>
          <w:sz w:val="22"/>
          <w:szCs w:val="22"/>
        </w:rPr>
        <w:t xml:space="preserve">, mientras que la exhaustividad establece que el sujeto obligado </w:t>
      </w:r>
      <w:r w:rsidRPr="006C441B">
        <w:rPr>
          <w:rFonts w:ascii="Palatino Linotype" w:eastAsia="Palatino Linotype" w:hAnsi="Palatino Linotype" w:cs="Palatino Linotype"/>
          <w:b/>
          <w:bCs/>
          <w:sz w:val="22"/>
          <w:szCs w:val="22"/>
        </w:rPr>
        <w:t>deberá atender de manera expresa cada uno de los puntos solicitados</w:t>
      </w:r>
      <w:r w:rsidRPr="006C441B">
        <w:rPr>
          <w:rFonts w:ascii="Palatino Linotype" w:eastAsia="Palatino Linotype" w:hAnsi="Palatino Linotype" w:cs="Palatino Linotype"/>
          <w:sz w:val="22"/>
          <w:szCs w:val="22"/>
        </w:rPr>
        <w:t xml:space="preserve">, situación que en el presente caso </w:t>
      </w:r>
      <w:r w:rsidRPr="006C441B">
        <w:rPr>
          <w:rFonts w:ascii="Palatino Linotype" w:eastAsia="Palatino Linotype" w:hAnsi="Palatino Linotype" w:cs="Palatino Linotype"/>
          <w:b/>
          <w:bCs/>
          <w:sz w:val="22"/>
          <w:szCs w:val="22"/>
          <w:u w:val="single"/>
        </w:rPr>
        <w:t>no aconteció</w:t>
      </w:r>
      <w:r w:rsidRPr="006C441B">
        <w:rPr>
          <w:rFonts w:ascii="Palatino Linotype" w:eastAsia="Palatino Linotype" w:hAnsi="Palatino Linotype" w:cs="Palatino Linotype"/>
          <w:sz w:val="22"/>
          <w:szCs w:val="22"/>
        </w:rPr>
        <w:t xml:space="preserve">, pues el Sujeto Obligado no fue congruente ni exhaustivo en proporcionar la información que requirió específicamente la parte Recurrente. </w:t>
      </w:r>
    </w:p>
    <w:p w14:paraId="5C84846A" w14:textId="77777777" w:rsidR="00713C55" w:rsidRPr="006C441B" w:rsidRDefault="00713C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2D8CFBD" w14:textId="77777777" w:rsidR="00713C55" w:rsidRPr="006C441B" w:rsidRDefault="00EA45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Lo anterior en razón de que no hay pronunciamiento respecto al mantenimiento de las fuentes o espacios públicos similares, así como tampoco se cubre la temporalidad, misma que corresponde a los últimos cuatro años.</w:t>
      </w:r>
    </w:p>
    <w:p w14:paraId="32A681D1" w14:textId="77777777" w:rsidR="00713C55" w:rsidRPr="006C441B" w:rsidRDefault="00713C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8CF07F1" w14:textId="77777777" w:rsidR="00713C55" w:rsidRPr="006C441B" w:rsidRDefault="00EA45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En consecuencia, se ORDENA a realizar una búsqueda exhaustiva y razonable a efecto de localizar y poner a disposición del Recurrente los documentos donde conste o se advierta la partida presupuestal destinada a </w:t>
      </w:r>
      <w:r w:rsidRPr="006C441B">
        <w:rPr>
          <w:rFonts w:ascii="Palatino Linotype" w:eastAsia="Palatino Linotype" w:hAnsi="Palatino Linotype" w:cs="Palatino Linotype"/>
          <w:b/>
          <w:bCs/>
          <w:sz w:val="22"/>
          <w:szCs w:val="22"/>
          <w:u w:val="single"/>
        </w:rPr>
        <w:t>mantenimiento</w:t>
      </w:r>
      <w:r w:rsidRPr="006C441B">
        <w:rPr>
          <w:rFonts w:ascii="Palatino Linotype" w:eastAsia="Palatino Linotype" w:hAnsi="Palatino Linotype" w:cs="Palatino Linotype"/>
          <w:sz w:val="22"/>
          <w:szCs w:val="22"/>
        </w:rPr>
        <w:t xml:space="preserve"> de fuentes o espacios públicos similares, nombre del programa y montos asignados del periodo comprendido del veinticinco de junio de dos mil veintiuno al veinticinco de junio de dos mil veinticinco.</w:t>
      </w:r>
    </w:p>
    <w:p w14:paraId="79707A4B" w14:textId="77777777" w:rsidR="00713C55" w:rsidRPr="006C441B" w:rsidRDefault="00713C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B1095F7" w14:textId="2678D8E5" w:rsidR="00713C55" w:rsidRPr="006C441B" w:rsidRDefault="00EA45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0525A2A9" w14:textId="77777777" w:rsidR="00CD64D0" w:rsidRPr="006C441B" w:rsidRDefault="00CD64D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6561558" w14:textId="77777777" w:rsidR="00713C55" w:rsidRPr="006C441B" w:rsidRDefault="00EA45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De ser el caso de que no se cuente con la información que se ordena entregar por no haberse generado, bastará con que así lo haga del conocimiento de la parte </w:t>
      </w:r>
      <w:r w:rsidRPr="006C441B">
        <w:rPr>
          <w:rFonts w:ascii="Palatino Linotype" w:eastAsia="Palatino Linotype" w:hAnsi="Palatino Linotype" w:cs="Palatino Linotype"/>
          <w:b/>
          <w:bCs/>
          <w:sz w:val="22"/>
          <w:szCs w:val="22"/>
        </w:rPr>
        <w:t>Recurrente</w:t>
      </w:r>
      <w:r w:rsidRPr="006C441B">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w:t>
      </w:r>
    </w:p>
    <w:p w14:paraId="5F7DD178" w14:textId="77777777" w:rsidR="00713C55" w:rsidRPr="006C441B" w:rsidRDefault="00713C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8D9D636" w14:textId="77777777" w:rsidR="00713C55" w:rsidRPr="006C441B" w:rsidRDefault="00EA45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 xml:space="preserve">Por último y no menos importante, es de recordar que el Recurrente señaló </w:t>
      </w:r>
      <w:r w:rsidRPr="006C441B">
        <w:rPr>
          <w:rFonts w:ascii="Palatino Linotype" w:eastAsia="Palatino Linotype" w:hAnsi="Palatino Linotype" w:cs="Palatino Linotype"/>
          <w:i/>
          <w:iCs/>
          <w:sz w:val="22"/>
          <w:szCs w:val="22"/>
        </w:rPr>
        <w:t>“…se apliquen las sanciones correspondientes a los servidores públicos responsables, conforme al artículo 154.”</w:t>
      </w:r>
      <w:r w:rsidRPr="006C441B">
        <w:rPr>
          <w:rFonts w:ascii="Palatino Linotype" w:eastAsia="Palatino Linotype" w:hAnsi="Palatino Linotype" w:cs="Palatino Linotype"/>
          <w:sz w:val="22"/>
          <w:szCs w:val="22"/>
        </w:rPr>
        <w:t xml:space="preserve"> y derivado que el Recurso de Revisión no es el medio para sancionar, este Organismo Garante sugiere a la persona solicitante, interponer su queja o denuncia ante la autoridad competente.</w:t>
      </w:r>
    </w:p>
    <w:p w14:paraId="57FBCBDA" w14:textId="77777777" w:rsidR="00713C55" w:rsidRPr="006C441B" w:rsidRDefault="00713C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1C85C4F"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 xml:space="preserve">Quinto. Versión Pública. </w:t>
      </w:r>
      <w:r w:rsidRPr="006C441B">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2E8A350B"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0721A1AB"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043D937"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35F0E062" w14:textId="77777777" w:rsidR="00713C55" w:rsidRPr="006C441B" w:rsidRDefault="00EA452A">
      <w:pPr>
        <w:spacing w:line="360" w:lineRule="auto"/>
        <w:ind w:right="50"/>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74DCDB6D" w14:textId="77777777" w:rsidR="00713C55" w:rsidRPr="006C441B" w:rsidRDefault="00713C55">
      <w:pPr>
        <w:spacing w:line="360" w:lineRule="auto"/>
        <w:ind w:right="50"/>
        <w:jc w:val="both"/>
        <w:rPr>
          <w:rFonts w:ascii="Palatino Linotype" w:eastAsia="Palatino Linotype" w:hAnsi="Palatino Linotype" w:cs="Palatino Linotype"/>
          <w:sz w:val="22"/>
          <w:szCs w:val="22"/>
        </w:rPr>
      </w:pPr>
    </w:p>
    <w:p w14:paraId="57DADDE8"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b/>
          <w:bCs/>
          <w:i/>
          <w:iCs/>
          <w:sz w:val="22"/>
          <w:szCs w:val="22"/>
        </w:rPr>
        <w:t>Artículo 3.</w:t>
      </w:r>
      <w:r w:rsidRPr="006C441B">
        <w:rPr>
          <w:rFonts w:ascii="Palatino Linotype" w:eastAsia="Palatino Linotype" w:hAnsi="Palatino Linotype" w:cs="Palatino Linotype"/>
          <w:i/>
          <w:iCs/>
          <w:sz w:val="22"/>
          <w:szCs w:val="22"/>
        </w:rPr>
        <w:t xml:space="preserve"> Para los efectos de la presente Ley se entenderá por:</w:t>
      </w:r>
    </w:p>
    <w:p w14:paraId="027FEA1F"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p>
    <w:p w14:paraId="00455CC4"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000472D9"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XX. Información clasificada: Aquella considerada por la presente Ley como reservada o confidencial;</w:t>
      </w:r>
    </w:p>
    <w:p w14:paraId="45B69650"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B16074"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17CDF565"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p>
    <w:p w14:paraId="534BE075"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Artículo 91.</w:t>
      </w:r>
      <w:r w:rsidRPr="006C441B">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20EECE42"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Artículo 132.</w:t>
      </w:r>
      <w:r w:rsidRPr="006C441B">
        <w:rPr>
          <w:rFonts w:ascii="Palatino Linotype" w:eastAsia="Palatino Linotype" w:hAnsi="Palatino Linotype" w:cs="Palatino Linotype"/>
          <w:i/>
          <w:iCs/>
          <w:sz w:val="22"/>
          <w:szCs w:val="22"/>
        </w:rPr>
        <w:t xml:space="preserve"> La clasificación de la información se llevará a cabo en el momento en que:</w:t>
      </w:r>
    </w:p>
    <w:p w14:paraId="046B8715" w14:textId="77777777" w:rsidR="00713C55" w:rsidRPr="006C441B" w:rsidRDefault="00EA452A">
      <w:pPr>
        <w:tabs>
          <w:tab w:val="left" w:pos="1134"/>
        </w:tabs>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 Se reciba una solicitud de acceso a la información;</w:t>
      </w:r>
    </w:p>
    <w:p w14:paraId="2C29E096" w14:textId="77777777" w:rsidR="00713C55" w:rsidRPr="006C441B" w:rsidRDefault="00EA452A">
      <w:pPr>
        <w:tabs>
          <w:tab w:val="left" w:pos="1134"/>
        </w:tabs>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II. Se determine mediante resolución de autoridad competente; o</w:t>
      </w:r>
    </w:p>
    <w:p w14:paraId="5D99978F" w14:textId="77777777" w:rsidR="00713C55" w:rsidRPr="006C441B" w:rsidRDefault="00EA452A">
      <w:pPr>
        <w:tabs>
          <w:tab w:val="left" w:pos="1134"/>
        </w:tabs>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68582436"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p>
    <w:p w14:paraId="18720E9A"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Artículo 143</w:t>
      </w:r>
      <w:r w:rsidRPr="006C441B">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6AA6DB65"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1E3BAD67"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277F79F"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7F63793B"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262ED0FC"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D141375" w14:textId="77777777" w:rsidR="00713C55" w:rsidRPr="006C441B" w:rsidRDefault="00713C55">
      <w:pPr>
        <w:ind w:left="567" w:right="616"/>
        <w:jc w:val="both"/>
        <w:rPr>
          <w:rFonts w:ascii="Palatino Linotype" w:eastAsia="Palatino Linotype" w:hAnsi="Palatino Linotype" w:cs="Palatino Linotype"/>
          <w:i/>
          <w:iCs/>
          <w:sz w:val="22"/>
          <w:szCs w:val="22"/>
        </w:rPr>
      </w:pPr>
    </w:p>
    <w:p w14:paraId="363B6D62"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0E02870" w14:textId="77777777" w:rsidR="00713C55" w:rsidRPr="006C441B" w:rsidRDefault="00713C55">
      <w:pPr>
        <w:jc w:val="both"/>
        <w:rPr>
          <w:rFonts w:ascii="Palatino Linotype" w:eastAsia="Palatino Linotype" w:hAnsi="Palatino Linotype" w:cs="Palatino Linotype"/>
          <w:sz w:val="22"/>
          <w:szCs w:val="22"/>
        </w:rPr>
      </w:pPr>
    </w:p>
    <w:p w14:paraId="527C1060"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7C8D1BD9"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4C724007"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 “</w:t>
      </w:r>
      <w:r w:rsidRPr="006C441B">
        <w:rPr>
          <w:rFonts w:ascii="Palatino Linotype" w:eastAsia="Palatino Linotype" w:hAnsi="Palatino Linotype" w:cs="Palatino Linotype"/>
          <w:b/>
          <w:bCs/>
          <w:i/>
          <w:iCs/>
          <w:sz w:val="22"/>
          <w:szCs w:val="22"/>
        </w:rPr>
        <w:t>Quincuagésimo</w:t>
      </w:r>
      <w:r w:rsidRPr="006C441B">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60F3178"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Quincuagésimo primero.</w:t>
      </w:r>
      <w:r w:rsidRPr="006C441B">
        <w:rPr>
          <w:rFonts w:ascii="Palatino Linotype" w:eastAsia="Palatino Linotype" w:hAnsi="Palatino Linotype" w:cs="Palatino Linotype"/>
          <w:i/>
          <w:iCs/>
          <w:sz w:val="22"/>
          <w:szCs w:val="22"/>
        </w:rPr>
        <w:t xml:space="preserve"> Toda acta del Comité de Transparencia deberá contener: </w:t>
      </w:r>
    </w:p>
    <w:p w14:paraId="1FE9BC23"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 El número de sesión y fecha; </w:t>
      </w:r>
    </w:p>
    <w:p w14:paraId="64E341A3"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II. El nombre del área que solicitó la clasificación de información; </w:t>
      </w:r>
    </w:p>
    <w:p w14:paraId="7D59E985"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III. La fundamentación legal y motivación correspondiente; </w:t>
      </w:r>
    </w:p>
    <w:p w14:paraId="7D609550"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IV. La resolución o resoluciones aprobadas; y </w:t>
      </w:r>
    </w:p>
    <w:p w14:paraId="7D4D23F5"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V. La rúbrica o firma digital de cada integrante del Comité de Transparencia. </w:t>
      </w:r>
    </w:p>
    <w:p w14:paraId="13695EA0"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4C5FD3E6"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 Los motivos y razonamientos que sustenten la confirmación o modificación de la prueba de daño;</w:t>
      </w:r>
    </w:p>
    <w:p w14:paraId="13510C1A"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II. Descripción de las partes o secciones reservadas, en caso de clasificación parcial; </w:t>
      </w:r>
    </w:p>
    <w:p w14:paraId="274A0A5A"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III. El periodo por el que mantendrá su clasificación y fecha de expiración; y </w:t>
      </w:r>
    </w:p>
    <w:p w14:paraId="5E7BEE6B"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537662E6"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7FBCFE32"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070D2E8"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Quincuagésimo segundo.</w:t>
      </w:r>
      <w:r w:rsidRPr="006C441B">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357C2CE"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68D93F56"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715FB2A9"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7F55F739"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III. Señalar las personas o instancias autorizadas a acceder a la información clasificada.</w:t>
      </w:r>
    </w:p>
    <w:p w14:paraId="1FFA5366"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615E361C"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764ECA01"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47A86F8A"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23CBDF9F" w14:textId="77777777" w:rsidR="00713C55" w:rsidRPr="006C441B" w:rsidRDefault="00EA452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r w:rsidRPr="006C441B">
        <w:rPr>
          <w:rFonts w:ascii="Palatino Linotype" w:eastAsia="Palatino Linotype" w:hAnsi="Palatino Linotype" w:cs="Palatino Linotype"/>
          <w:b/>
          <w:bCs/>
          <w:i/>
          <w:iCs/>
          <w:sz w:val="22"/>
          <w:szCs w:val="22"/>
        </w:rPr>
        <w:t>Quincuagésimo cuarto.</w:t>
      </w:r>
      <w:r w:rsidRPr="006C441B">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F4E8C1C"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Quincuagésimo quinto.</w:t>
      </w:r>
      <w:r w:rsidRPr="006C441B">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361F499"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w:t>
      </w:r>
    </w:p>
    <w:p w14:paraId="3FF17709"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b/>
          <w:bCs/>
          <w:i/>
          <w:iCs/>
          <w:sz w:val="22"/>
          <w:szCs w:val="22"/>
        </w:rPr>
        <w:t>Quincuagésimo séptimo.</w:t>
      </w:r>
      <w:r w:rsidRPr="006C441B">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D706BDD"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4CE6BDB9"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4B094423"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D87DC11"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0123A7D" w14:textId="77777777" w:rsidR="00713C55" w:rsidRPr="006C441B" w:rsidRDefault="00EA452A">
      <w:pPr>
        <w:ind w:left="567" w:right="616"/>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65A9DBB" w14:textId="77777777" w:rsidR="00713C55" w:rsidRPr="006C441B" w:rsidRDefault="00713C55">
      <w:pPr>
        <w:spacing w:line="360" w:lineRule="auto"/>
        <w:ind w:left="567" w:right="616"/>
        <w:jc w:val="both"/>
        <w:rPr>
          <w:rFonts w:ascii="Palatino Linotype" w:eastAsia="Palatino Linotype" w:hAnsi="Palatino Linotype" w:cs="Palatino Linotype"/>
          <w:i/>
          <w:iCs/>
          <w:sz w:val="22"/>
          <w:szCs w:val="22"/>
        </w:rPr>
      </w:pPr>
    </w:p>
    <w:p w14:paraId="0D62045A" w14:textId="77777777" w:rsidR="00713C55" w:rsidRPr="006C441B" w:rsidRDefault="00EA452A">
      <w:pPr>
        <w:spacing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044D9617"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2F8395F9" w14:textId="77777777" w:rsidR="00713C55" w:rsidRPr="006C441B" w:rsidRDefault="00EA452A">
      <w:pPr>
        <w:spacing w:before="240" w:after="240" w:line="360" w:lineRule="auto"/>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661D2BF9"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082CEA58" w14:textId="77777777" w:rsidR="00713C55" w:rsidRPr="006C441B" w:rsidRDefault="00EA452A">
      <w:pPr>
        <w:spacing w:line="360" w:lineRule="auto"/>
        <w:ind w:right="49"/>
        <w:jc w:val="center"/>
        <w:rPr>
          <w:rFonts w:ascii="Palatino Linotype" w:eastAsia="Palatino Linotype" w:hAnsi="Palatino Linotype" w:cs="Palatino Linotype"/>
          <w:b/>
          <w:bCs/>
          <w:sz w:val="22"/>
          <w:szCs w:val="22"/>
        </w:rPr>
      </w:pPr>
      <w:r w:rsidRPr="006C441B">
        <w:rPr>
          <w:rFonts w:ascii="Palatino Linotype" w:eastAsia="Palatino Linotype" w:hAnsi="Palatino Linotype" w:cs="Palatino Linotype"/>
          <w:b/>
          <w:bCs/>
          <w:sz w:val="22"/>
          <w:szCs w:val="22"/>
        </w:rPr>
        <w:t>III.</w:t>
      </w:r>
      <w:r w:rsidRPr="006C441B">
        <w:rPr>
          <w:rFonts w:ascii="Palatino Linotype" w:eastAsia="Palatino Linotype" w:hAnsi="Palatino Linotype" w:cs="Palatino Linotype"/>
          <w:b/>
          <w:bCs/>
          <w:sz w:val="22"/>
          <w:szCs w:val="22"/>
        </w:rPr>
        <w:tab/>
        <w:t>R E S U E L V E:</w:t>
      </w:r>
    </w:p>
    <w:p w14:paraId="3E26E140"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749C1F53"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Primero.</w:t>
      </w:r>
      <w:r w:rsidRPr="006C441B">
        <w:rPr>
          <w:rFonts w:ascii="Palatino Linotype" w:eastAsia="Palatino Linotype" w:hAnsi="Palatino Linotype" w:cs="Palatino Linotype"/>
          <w:sz w:val="22"/>
          <w:szCs w:val="22"/>
        </w:rPr>
        <w:t xml:space="preserve"> Resultan</w:t>
      </w:r>
      <w:r w:rsidRPr="006C441B">
        <w:rPr>
          <w:rFonts w:ascii="Palatino Linotype" w:eastAsia="Palatino Linotype" w:hAnsi="Palatino Linotype" w:cs="Palatino Linotype"/>
          <w:b/>
          <w:bCs/>
          <w:sz w:val="22"/>
          <w:szCs w:val="22"/>
        </w:rPr>
        <w:t xml:space="preserve"> parcialmente fundados</w:t>
      </w:r>
      <w:r w:rsidRPr="006C441B">
        <w:rPr>
          <w:rFonts w:ascii="Palatino Linotype" w:eastAsia="Palatino Linotype" w:hAnsi="Palatino Linotype" w:cs="Palatino Linotype"/>
          <w:sz w:val="22"/>
          <w:szCs w:val="22"/>
        </w:rPr>
        <w:t xml:space="preserve"> los motivos de inconformidad hechos valer por la parte </w:t>
      </w:r>
      <w:r w:rsidRPr="006C441B">
        <w:rPr>
          <w:rFonts w:ascii="Palatino Linotype" w:eastAsia="Palatino Linotype" w:hAnsi="Palatino Linotype" w:cs="Palatino Linotype"/>
          <w:b/>
          <w:bCs/>
          <w:sz w:val="22"/>
          <w:szCs w:val="22"/>
        </w:rPr>
        <w:t>RECURRENTE</w:t>
      </w:r>
      <w:r w:rsidRPr="006C441B">
        <w:rPr>
          <w:rFonts w:ascii="Palatino Linotype" w:eastAsia="Palatino Linotype" w:hAnsi="Palatino Linotype" w:cs="Palatino Linotype"/>
          <w:sz w:val="22"/>
          <w:szCs w:val="22"/>
        </w:rPr>
        <w:t xml:space="preserve"> en el Recurso de Revisión </w:t>
      </w:r>
      <w:r w:rsidRPr="006C441B">
        <w:rPr>
          <w:rFonts w:ascii="Palatino Linotype" w:eastAsia="Palatino Linotype" w:hAnsi="Palatino Linotype" w:cs="Palatino Linotype"/>
          <w:b/>
          <w:bCs/>
          <w:sz w:val="22"/>
          <w:szCs w:val="22"/>
        </w:rPr>
        <w:t>08769/INFOEM/IP/RR/2024</w:t>
      </w:r>
      <w:r w:rsidRPr="006C441B">
        <w:rPr>
          <w:rFonts w:ascii="Palatino Linotype" w:eastAsia="Palatino Linotype" w:hAnsi="Palatino Linotype" w:cs="Palatino Linotype"/>
          <w:sz w:val="22"/>
          <w:szCs w:val="22"/>
        </w:rPr>
        <w:t xml:space="preserve">, por lo que, en términos del </w:t>
      </w:r>
      <w:r w:rsidRPr="006C441B">
        <w:rPr>
          <w:rFonts w:ascii="Palatino Linotype" w:eastAsia="Palatino Linotype" w:hAnsi="Palatino Linotype" w:cs="Palatino Linotype"/>
          <w:b/>
          <w:bCs/>
          <w:sz w:val="22"/>
          <w:szCs w:val="22"/>
        </w:rPr>
        <w:t>Considerando Cuarto</w:t>
      </w:r>
      <w:r w:rsidRPr="006C441B">
        <w:rPr>
          <w:rFonts w:ascii="Palatino Linotype" w:eastAsia="Palatino Linotype" w:hAnsi="Palatino Linotype" w:cs="Palatino Linotype"/>
          <w:sz w:val="22"/>
          <w:szCs w:val="22"/>
        </w:rPr>
        <w:t xml:space="preserve"> de esta resolución, se </w:t>
      </w:r>
      <w:r w:rsidRPr="006C441B">
        <w:rPr>
          <w:rFonts w:ascii="Palatino Linotype" w:eastAsia="Palatino Linotype" w:hAnsi="Palatino Linotype" w:cs="Palatino Linotype"/>
          <w:b/>
          <w:bCs/>
          <w:sz w:val="22"/>
          <w:szCs w:val="22"/>
        </w:rPr>
        <w:t xml:space="preserve">MODIFICA </w:t>
      </w:r>
      <w:r w:rsidRPr="006C441B">
        <w:rPr>
          <w:rFonts w:ascii="Palatino Linotype" w:eastAsia="Palatino Linotype" w:hAnsi="Palatino Linotype" w:cs="Palatino Linotype"/>
          <w:sz w:val="22"/>
          <w:szCs w:val="22"/>
        </w:rPr>
        <w:t xml:space="preserve">la respuesta emitida por el </w:t>
      </w:r>
      <w:r w:rsidRPr="006C441B">
        <w:rPr>
          <w:rFonts w:ascii="Palatino Linotype" w:eastAsia="Palatino Linotype" w:hAnsi="Palatino Linotype" w:cs="Palatino Linotype"/>
          <w:b/>
          <w:bCs/>
          <w:sz w:val="22"/>
          <w:szCs w:val="22"/>
        </w:rPr>
        <w:t>SUJETO OBLIGADO</w:t>
      </w:r>
      <w:r w:rsidRPr="006C441B">
        <w:rPr>
          <w:rFonts w:ascii="Palatino Linotype" w:eastAsia="Palatino Linotype" w:hAnsi="Palatino Linotype" w:cs="Palatino Linotype"/>
          <w:sz w:val="22"/>
          <w:szCs w:val="22"/>
        </w:rPr>
        <w:t>.</w:t>
      </w:r>
    </w:p>
    <w:p w14:paraId="246AB382"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2C753B8C"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bookmarkStart w:id="2" w:name="_heading=h.1fob9te" w:colFirst="0" w:colLast="0"/>
      <w:bookmarkEnd w:id="2"/>
      <w:r w:rsidRPr="006C441B">
        <w:rPr>
          <w:rFonts w:ascii="Palatino Linotype" w:eastAsia="Palatino Linotype" w:hAnsi="Palatino Linotype" w:cs="Palatino Linotype"/>
          <w:b/>
          <w:bCs/>
          <w:sz w:val="22"/>
          <w:szCs w:val="22"/>
        </w:rPr>
        <w:t>Segundo</w:t>
      </w:r>
      <w:r w:rsidRPr="006C441B">
        <w:rPr>
          <w:rFonts w:ascii="Palatino Linotype" w:eastAsia="Palatino Linotype" w:hAnsi="Palatino Linotype" w:cs="Palatino Linotype"/>
          <w:sz w:val="22"/>
          <w:szCs w:val="22"/>
        </w:rPr>
        <w:t xml:space="preserve">. Se </w:t>
      </w:r>
      <w:r w:rsidRPr="006C441B">
        <w:rPr>
          <w:rFonts w:ascii="Palatino Linotype" w:eastAsia="Palatino Linotype" w:hAnsi="Palatino Linotype" w:cs="Palatino Linotype"/>
          <w:b/>
          <w:bCs/>
          <w:sz w:val="22"/>
          <w:szCs w:val="22"/>
        </w:rPr>
        <w:t>ORDENA</w:t>
      </w:r>
      <w:r w:rsidRPr="006C441B">
        <w:rPr>
          <w:rFonts w:ascii="Palatino Linotype" w:eastAsia="Palatino Linotype" w:hAnsi="Palatino Linotype" w:cs="Palatino Linotype"/>
          <w:sz w:val="22"/>
          <w:szCs w:val="22"/>
        </w:rPr>
        <w:t xml:space="preserve"> al </w:t>
      </w:r>
      <w:r w:rsidRPr="006C441B">
        <w:rPr>
          <w:rFonts w:ascii="Palatino Linotype" w:eastAsia="Palatino Linotype" w:hAnsi="Palatino Linotype" w:cs="Palatino Linotype"/>
          <w:b/>
          <w:bCs/>
          <w:sz w:val="22"/>
          <w:szCs w:val="22"/>
        </w:rPr>
        <w:t>SUJETO OBLIGADO</w:t>
      </w:r>
      <w:r w:rsidRPr="006C441B">
        <w:rPr>
          <w:rFonts w:ascii="Palatino Linotype" w:eastAsia="Palatino Linotype" w:hAnsi="Palatino Linotype" w:cs="Palatino Linotype"/>
          <w:sz w:val="22"/>
          <w:szCs w:val="22"/>
        </w:rPr>
        <w:t xml:space="preserve"> a que, en términos del Considerando Cuarto y Quinto, haga entrega, de ser el caso, en versión pública, vía Sistema de Acceso a la Información Mexiquense (SAIMEX), de lo siguiente: </w:t>
      </w:r>
    </w:p>
    <w:p w14:paraId="287A41FA"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bookmarkStart w:id="3" w:name="_heading=h.xy35z3rzezaj" w:colFirst="0" w:colLast="0"/>
      <w:bookmarkEnd w:id="3"/>
    </w:p>
    <w:p w14:paraId="7541DEAC" w14:textId="77777777" w:rsidR="00713C55" w:rsidRPr="006C441B" w:rsidRDefault="00EA452A">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6C441B">
        <w:rPr>
          <w:rFonts w:ascii="Palatino Linotype" w:eastAsia="Palatino Linotype" w:hAnsi="Palatino Linotype" w:cs="Palatino Linotype"/>
          <w:b/>
          <w:bCs/>
          <w:sz w:val="22"/>
          <w:szCs w:val="22"/>
        </w:rPr>
        <w:t>Partida presupuestal destinada a mantenimiento de fuentes o espacios públicos similares, nombre del programa de mantenimiento y montos asignados del periodo comprendido del veinticinco de junio de dos mil veintiuno al veinticinco de junio de dos mil veinticinco.</w:t>
      </w:r>
    </w:p>
    <w:p w14:paraId="7B0857EE" w14:textId="77777777" w:rsidR="00713C55" w:rsidRPr="006C441B" w:rsidRDefault="00713C55">
      <w:pPr>
        <w:pBdr>
          <w:top w:val="nil"/>
          <w:left w:val="nil"/>
          <w:bottom w:val="nil"/>
          <w:right w:val="nil"/>
          <w:between w:val="nil"/>
        </w:pBdr>
        <w:spacing w:line="360" w:lineRule="auto"/>
        <w:ind w:left="720" w:right="560"/>
        <w:jc w:val="both"/>
        <w:rPr>
          <w:rFonts w:ascii="Palatino Linotype" w:eastAsia="Palatino Linotype" w:hAnsi="Palatino Linotype" w:cs="Palatino Linotype"/>
          <w:sz w:val="22"/>
          <w:szCs w:val="22"/>
        </w:rPr>
      </w:pPr>
    </w:p>
    <w:p w14:paraId="0A223196" w14:textId="0FDDDC3A" w:rsidR="00713C55" w:rsidRPr="006C441B" w:rsidRDefault="00EA452A">
      <w:pPr>
        <w:pBdr>
          <w:top w:val="nil"/>
          <w:left w:val="nil"/>
          <w:bottom w:val="nil"/>
          <w:right w:val="nil"/>
          <w:between w:val="nil"/>
        </w:pBdr>
        <w:ind w:left="720" w:right="615"/>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De ser el caso,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6C441B">
        <w:rPr>
          <w:rFonts w:ascii="Palatino Linotype" w:eastAsia="Palatino Linotype" w:hAnsi="Palatino Linotype" w:cs="Palatino Linotype"/>
          <w:b/>
          <w:bCs/>
          <w:i/>
          <w:iCs/>
          <w:sz w:val="22"/>
          <w:szCs w:val="22"/>
        </w:rPr>
        <w:t>,</w:t>
      </w:r>
      <w:r w:rsidRPr="006C441B">
        <w:rPr>
          <w:rFonts w:ascii="Palatino Linotype" w:eastAsia="Palatino Linotype" w:hAnsi="Palatino Linotype" w:cs="Palatino Linotype"/>
          <w:i/>
          <w:iCs/>
          <w:sz w:val="22"/>
          <w:szCs w:val="22"/>
        </w:rPr>
        <w:t xml:space="preserve"> y  se ponga a disposición de la parte Recurrente, en términos de los artículos 49, fracción VIII,  de la Ley de Transparencia y Acceso a la Información Pública del Estado de México y Municipios.</w:t>
      </w:r>
    </w:p>
    <w:p w14:paraId="4D5664B4" w14:textId="77777777" w:rsidR="00CD64D0" w:rsidRPr="006C441B" w:rsidRDefault="00CD64D0">
      <w:pPr>
        <w:pBdr>
          <w:top w:val="nil"/>
          <w:left w:val="nil"/>
          <w:bottom w:val="nil"/>
          <w:right w:val="nil"/>
          <w:between w:val="nil"/>
        </w:pBdr>
        <w:ind w:left="720" w:right="615"/>
        <w:jc w:val="both"/>
        <w:rPr>
          <w:rFonts w:ascii="Palatino Linotype" w:eastAsia="Palatino Linotype" w:hAnsi="Palatino Linotype" w:cs="Palatino Linotype"/>
          <w:i/>
          <w:iCs/>
          <w:sz w:val="22"/>
          <w:szCs w:val="22"/>
        </w:rPr>
      </w:pPr>
    </w:p>
    <w:p w14:paraId="5CD4FF2A" w14:textId="77777777" w:rsidR="00713C55" w:rsidRPr="006C441B" w:rsidRDefault="00EA452A">
      <w:pPr>
        <w:pBdr>
          <w:top w:val="nil"/>
          <w:left w:val="nil"/>
          <w:bottom w:val="nil"/>
          <w:right w:val="nil"/>
          <w:between w:val="nil"/>
        </w:pBdr>
        <w:ind w:left="720" w:right="615"/>
        <w:jc w:val="both"/>
        <w:rPr>
          <w:rFonts w:ascii="Palatino Linotype" w:eastAsia="Palatino Linotype" w:hAnsi="Palatino Linotype" w:cs="Palatino Linotype"/>
          <w:i/>
          <w:iCs/>
          <w:sz w:val="22"/>
          <w:szCs w:val="22"/>
        </w:rPr>
      </w:pPr>
      <w:r w:rsidRPr="006C441B">
        <w:rPr>
          <w:rFonts w:ascii="Palatino Linotype" w:eastAsia="Palatino Linotype" w:hAnsi="Palatino Linotype" w:cs="Palatino Linotype"/>
          <w:i/>
          <w:iCs/>
          <w:sz w:val="22"/>
          <w:szCs w:val="22"/>
        </w:rPr>
        <w:t xml:space="preserve">De ser el caso de que no se cuente con la información por no haberse generado, bastará con que así lo haga del conocimiento de la parte </w:t>
      </w:r>
      <w:r w:rsidRPr="006C441B">
        <w:rPr>
          <w:rFonts w:ascii="Palatino Linotype" w:eastAsia="Palatino Linotype" w:hAnsi="Palatino Linotype" w:cs="Palatino Linotype"/>
          <w:b/>
          <w:bCs/>
          <w:i/>
          <w:iCs/>
          <w:sz w:val="22"/>
          <w:szCs w:val="22"/>
        </w:rPr>
        <w:t>Recurrente</w:t>
      </w:r>
      <w:r w:rsidRPr="006C441B">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w:t>
      </w:r>
    </w:p>
    <w:p w14:paraId="724DC685" w14:textId="77777777" w:rsidR="00713C55" w:rsidRPr="006C441B" w:rsidRDefault="00713C55">
      <w:pPr>
        <w:pBdr>
          <w:top w:val="nil"/>
          <w:left w:val="nil"/>
          <w:bottom w:val="nil"/>
          <w:right w:val="nil"/>
          <w:between w:val="nil"/>
        </w:pBdr>
        <w:tabs>
          <w:tab w:val="left" w:pos="993"/>
        </w:tabs>
        <w:spacing w:line="360" w:lineRule="auto"/>
        <w:ind w:right="616"/>
        <w:jc w:val="both"/>
        <w:rPr>
          <w:rFonts w:ascii="Palatino Linotype" w:eastAsia="Palatino Linotype" w:hAnsi="Palatino Linotype" w:cs="Palatino Linotype"/>
          <w:i/>
          <w:iCs/>
          <w:sz w:val="22"/>
          <w:szCs w:val="22"/>
        </w:rPr>
      </w:pPr>
    </w:p>
    <w:p w14:paraId="2CC5DB79"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Tercero.</w:t>
      </w:r>
      <w:r w:rsidRPr="006C441B">
        <w:rPr>
          <w:rFonts w:ascii="Palatino Linotype" w:eastAsia="Palatino Linotype" w:hAnsi="Palatino Linotype" w:cs="Palatino Linotype"/>
          <w:sz w:val="22"/>
          <w:szCs w:val="22"/>
        </w:rPr>
        <w:t xml:space="preserve"> </w:t>
      </w:r>
      <w:r w:rsidRPr="006C441B">
        <w:rPr>
          <w:rFonts w:ascii="Palatino Linotype" w:eastAsia="Palatino Linotype" w:hAnsi="Palatino Linotype" w:cs="Palatino Linotype"/>
          <w:b/>
          <w:bCs/>
          <w:sz w:val="22"/>
          <w:szCs w:val="22"/>
        </w:rPr>
        <w:t xml:space="preserve">Notifíquese vía SAIMEX </w:t>
      </w:r>
      <w:r w:rsidRPr="006C441B">
        <w:rPr>
          <w:rFonts w:ascii="Palatino Linotype" w:eastAsia="Palatino Linotype" w:hAnsi="Palatino Linotype" w:cs="Palatino Linotype"/>
          <w:sz w:val="22"/>
          <w:szCs w:val="22"/>
        </w:rPr>
        <w:t>la presente resolución al T</w:t>
      </w:r>
      <w:r w:rsidRPr="006C441B">
        <w:rPr>
          <w:rFonts w:ascii="Palatino Linotype" w:eastAsia="Palatino Linotype" w:hAnsi="Palatino Linotype" w:cs="Palatino Linotype"/>
          <w:b/>
          <w:bCs/>
          <w:sz w:val="22"/>
          <w:szCs w:val="22"/>
        </w:rPr>
        <w:t xml:space="preserve">itular de la Unidad de Transparencia </w:t>
      </w:r>
      <w:r w:rsidRPr="006C441B">
        <w:rPr>
          <w:rFonts w:ascii="Palatino Linotype" w:eastAsia="Palatino Linotype" w:hAnsi="Palatino Linotype" w:cs="Palatino Linotype"/>
          <w:sz w:val="22"/>
          <w:szCs w:val="22"/>
        </w:rPr>
        <w:t xml:space="preserve">del </w:t>
      </w:r>
      <w:r w:rsidRPr="006C441B">
        <w:rPr>
          <w:rFonts w:ascii="Palatino Linotype" w:eastAsia="Palatino Linotype" w:hAnsi="Palatino Linotype" w:cs="Palatino Linotype"/>
          <w:b/>
          <w:bCs/>
          <w:sz w:val="22"/>
          <w:szCs w:val="22"/>
        </w:rPr>
        <w:t>SUJETO OBLIGADO</w:t>
      </w:r>
      <w:r w:rsidRPr="006C441B">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816DE0" w14:textId="77777777" w:rsidR="00713C55" w:rsidRPr="006C441B" w:rsidRDefault="00713C55">
      <w:pPr>
        <w:spacing w:line="360" w:lineRule="auto"/>
        <w:ind w:right="49"/>
        <w:jc w:val="both"/>
        <w:rPr>
          <w:rFonts w:ascii="Palatino Linotype" w:eastAsia="Palatino Linotype" w:hAnsi="Palatino Linotype" w:cs="Palatino Linotype"/>
          <w:sz w:val="22"/>
          <w:szCs w:val="22"/>
        </w:rPr>
      </w:pPr>
    </w:p>
    <w:p w14:paraId="2960F7B4" w14:textId="77777777" w:rsidR="00713C55" w:rsidRPr="006C441B" w:rsidRDefault="00EA452A">
      <w:pPr>
        <w:spacing w:line="360" w:lineRule="auto"/>
        <w:jc w:val="both"/>
        <w:rPr>
          <w:rFonts w:ascii="Palatino Linotype" w:eastAsia="Palatino Linotype" w:hAnsi="Palatino Linotype" w:cs="Palatino Linotype"/>
          <w:sz w:val="22"/>
          <w:szCs w:val="22"/>
        </w:rPr>
      </w:pPr>
      <w:bookmarkStart w:id="4" w:name="_heading=h.gjdgxs" w:colFirst="0" w:colLast="0"/>
      <w:bookmarkEnd w:id="4"/>
      <w:r w:rsidRPr="006C441B">
        <w:rPr>
          <w:rFonts w:ascii="Palatino Linotype" w:eastAsia="Palatino Linotype" w:hAnsi="Palatino Linotype" w:cs="Palatino Linotype"/>
          <w:b/>
          <w:bCs/>
          <w:sz w:val="22"/>
          <w:szCs w:val="22"/>
        </w:rPr>
        <w:t xml:space="preserve">Cuarto. Notifíquese vía SAIMEX </w:t>
      </w:r>
      <w:r w:rsidRPr="006C441B">
        <w:rPr>
          <w:rFonts w:ascii="Palatino Linotype" w:eastAsia="Palatino Linotype" w:hAnsi="Palatino Linotype" w:cs="Palatino Linotype"/>
          <w:sz w:val="22"/>
          <w:szCs w:val="22"/>
        </w:rPr>
        <w:t xml:space="preserve">a la parte </w:t>
      </w:r>
      <w:r w:rsidRPr="006C441B">
        <w:rPr>
          <w:rFonts w:ascii="Palatino Linotype" w:eastAsia="Palatino Linotype" w:hAnsi="Palatino Linotype" w:cs="Palatino Linotype"/>
          <w:b/>
          <w:bCs/>
          <w:sz w:val="22"/>
          <w:szCs w:val="22"/>
        </w:rPr>
        <w:t xml:space="preserve">Recurrente </w:t>
      </w:r>
      <w:r w:rsidRPr="006C441B">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80B7941" w14:textId="77777777" w:rsidR="00713C55" w:rsidRPr="006C441B" w:rsidRDefault="00713C55">
      <w:pPr>
        <w:spacing w:line="360" w:lineRule="auto"/>
        <w:jc w:val="both"/>
        <w:rPr>
          <w:rFonts w:ascii="Palatino Linotype" w:eastAsia="Palatino Linotype" w:hAnsi="Palatino Linotype" w:cs="Palatino Linotype"/>
          <w:sz w:val="22"/>
          <w:szCs w:val="22"/>
        </w:rPr>
      </w:pPr>
    </w:p>
    <w:p w14:paraId="3B376351" w14:textId="77777777" w:rsidR="00713C55" w:rsidRPr="006C441B" w:rsidRDefault="00EA452A">
      <w:pPr>
        <w:spacing w:line="360" w:lineRule="auto"/>
        <w:ind w:right="49"/>
        <w:jc w:val="both"/>
        <w:rPr>
          <w:rFonts w:ascii="Palatino Linotype" w:eastAsia="Palatino Linotype" w:hAnsi="Palatino Linotype" w:cs="Palatino Linotype"/>
          <w:sz w:val="22"/>
          <w:szCs w:val="22"/>
        </w:rPr>
      </w:pPr>
      <w:r w:rsidRPr="006C441B">
        <w:rPr>
          <w:rFonts w:ascii="Palatino Linotype" w:eastAsia="Palatino Linotype" w:hAnsi="Palatino Linotype" w:cs="Palatino Linotype"/>
          <w:b/>
          <w:bCs/>
          <w:sz w:val="22"/>
          <w:szCs w:val="22"/>
        </w:rPr>
        <w:t>Quinto.</w:t>
      </w:r>
      <w:r w:rsidRPr="006C441B">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6C441B">
        <w:rPr>
          <w:rFonts w:ascii="Palatino Linotype" w:eastAsia="Palatino Linotype" w:hAnsi="Palatino Linotype" w:cs="Palatino Linotype"/>
          <w:b/>
          <w:bCs/>
          <w:sz w:val="22"/>
          <w:szCs w:val="22"/>
        </w:rPr>
        <w:t>SUJETO OBLIGADO</w:t>
      </w:r>
      <w:r w:rsidRPr="006C441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6E9F6D0" w14:textId="77777777" w:rsidR="00713C55" w:rsidRPr="006C441B" w:rsidRDefault="00713C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AE61FA" w14:textId="77777777" w:rsidR="00713C55" w:rsidRPr="000C32AA" w:rsidRDefault="00EA452A">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6C441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14:paraId="04F19A8D" w14:textId="77777777" w:rsidR="00713C55" w:rsidRPr="000C32AA" w:rsidRDefault="00713C55">
      <w:pPr>
        <w:spacing w:line="360" w:lineRule="auto"/>
        <w:ind w:right="-93"/>
        <w:jc w:val="both"/>
        <w:rPr>
          <w:rFonts w:ascii="Palatino Linotype" w:eastAsia="Palatino Linotype" w:hAnsi="Palatino Linotype" w:cs="Palatino Linotype"/>
          <w:sz w:val="22"/>
          <w:szCs w:val="22"/>
        </w:rPr>
      </w:pPr>
    </w:p>
    <w:p w14:paraId="43C2C7D3" w14:textId="77777777" w:rsidR="00713C55" w:rsidRPr="000C32AA" w:rsidRDefault="00713C55">
      <w:pPr>
        <w:spacing w:line="360" w:lineRule="auto"/>
        <w:ind w:right="-93"/>
        <w:jc w:val="both"/>
        <w:rPr>
          <w:rFonts w:ascii="Palatino Linotype" w:eastAsia="Palatino Linotype" w:hAnsi="Palatino Linotype" w:cs="Palatino Linotype"/>
          <w:sz w:val="22"/>
          <w:szCs w:val="22"/>
        </w:rPr>
      </w:pPr>
    </w:p>
    <w:p w14:paraId="2278B0C3" w14:textId="77777777" w:rsidR="00713C55" w:rsidRPr="000C32AA" w:rsidRDefault="00713C55">
      <w:pPr>
        <w:spacing w:line="360" w:lineRule="auto"/>
        <w:ind w:right="-93"/>
        <w:jc w:val="both"/>
        <w:rPr>
          <w:rFonts w:ascii="Palatino Linotype" w:eastAsia="Palatino Linotype" w:hAnsi="Palatino Linotype" w:cs="Palatino Linotype"/>
          <w:sz w:val="22"/>
          <w:szCs w:val="22"/>
        </w:rPr>
      </w:pPr>
    </w:p>
    <w:p w14:paraId="0B21EAC8" w14:textId="77777777" w:rsidR="00713C55" w:rsidRPr="000C32AA" w:rsidRDefault="00713C55">
      <w:pPr>
        <w:spacing w:line="360" w:lineRule="auto"/>
        <w:ind w:right="-93"/>
        <w:jc w:val="both"/>
        <w:rPr>
          <w:rFonts w:ascii="Palatino Linotype" w:eastAsia="Palatino Linotype" w:hAnsi="Palatino Linotype" w:cs="Palatino Linotype"/>
          <w:sz w:val="22"/>
          <w:szCs w:val="22"/>
        </w:rPr>
      </w:pPr>
    </w:p>
    <w:p w14:paraId="2F38A824" w14:textId="77777777" w:rsidR="00713C55" w:rsidRPr="000C32AA" w:rsidRDefault="00713C55">
      <w:pPr>
        <w:spacing w:line="360" w:lineRule="auto"/>
        <w:ind w:right="-93"/>
        <w:jc w:val="both"/>
        <w:rPr>
          <w:rFonts w:ascii="Palatino Linotype" w:eastAsia="Palatino Linotype" w:hAnsi="Palatino Linotype" w:cs="Palatino Linotype"/>
          <w:sz w:val="22"/>
          <w:szCs w:val="22"/>
        </w:rPr>
      </w:pPr>
    </w:p>
    <w:p w14:paraId="2B972A5F" w14:textId="77777777" w:rsidR="00713C55" w:rsidRPr="000C32AA" w:rsidRDefault="00713C55">
      <w:pPr>
        <w:spacing w:line="360" w:lineRule="auto"/>
        <w:ind w:right="49"/>
        <w:jc w:val="both"/>
        <w:rPr>
          <w:rFonts w:ascii="Palatino Linotype" w:eastAsia="Palatino Linotype" w:hAnsi="Palatino Linotype" w:cs="Palatino Linotype"/>
          <w:sz w:val="22"/>
          <w:szCs w:val="22"/>
        </w:rPr>
      </w:pPr>
    </w:p>
    <w:p w14:paraId="4E945079"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2AE01E01"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72EBE35A"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5E7DEF7A"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2058F7DC"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102972EA"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212A3322"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6AF854B3"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53D63D74"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5D0070AB"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74EF2EAD"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16DEABE5"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77752C35"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652DDA0C"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2B12F4AC"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11413D0F"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0ED0225F"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61C359A5"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1E53058E"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7208E0AA"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599FCFEB"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62F85571"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6BF2BF8B"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5AAB1C20"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p w14:paraId="7162CF5D" w14:textId="77777777" w:rsidR="000C32AA" w:rsidRPr="000C32AA" w:rsidRDefault="000C32AA">
      <w:pPr>
        <w:spacing w:line="360" w:lineRule="auto"/>
        <w:ind w:right="49"/>
        <w:jc w:val="both"/>
        <w:rPr>
          <w:rFonts w:ascii="Palatino Linotype" w:eastAsia="Palatino Linotype" w:hAnsi="Palatino Linotype" w:cs="Palatino Linotype"/>
          <w:sz w:val="22"/>
          <w:szCs w:val="22"/>
        </w:rPr>
      </w:pPr>
    </w:p>
    <w:sectPr w:rsidR="000C32AA" w:rsidRPr="000C32AA">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0E2A9" w14:textId="77777777" w:rsidR="007D74A7" w:rsidRDefault="007D74A7">
      <w:r>
        <w:separator/>
      </w:r>
    </w:p>
  </w:endnote>
  <w:endnote w:type="continuationSeparator" w:id="0">
    <w:p w14:paraId="11889D93" w14:textId="77777777" w:rsidR="007D74A7" w:rsidRDefault="007D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9038A9F4-4014-45BC-A2B2-BDF65072D9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349A51E-FD95-4719-B2A9-3A1BFF41DF4A}"/>
    <w:embedBold r:id="rId3" w:fontKey="{A134E63C-26A7-497B-B051-443128F08E24}"/>
    <w:embedItalic r:id="rId4" w:fontKey="{D97071CE-D4D1-4ADC-B1B6-DF851C676AA4}"/>
    <w:embedBoldItalic r:id="rId5" w:fontKey="{F768C716-EC8D-44CB-BC41-A1B2D328641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769ABA5-8A12-49E1-83BC-53441309CEA2}"/>
    <w:embedBold r:id="rId7" w:fontKey="{7699C684-E5D7-44B7-8037-A03929DF8DE3}"/>
    <w:embedItalic r:id="rId8" w:fontKey="{CA6FE246-0C08-4F27-9194-5E1B3CAD2E31}"/>
  </w:font>
  <w:font w:name="Bookman Old Style">
    <w:panose1 w:val="02050604050505020204"/>
    <w:charset w:val="00"/>
    <w:family w:val="roman"/>
    <w:pitch w:val="variable"/>
    <w:sig w:usb0="00000287" w:usb1="00000000" w:usb2="00000000" w:usb3="00000000" w:csb0="0000009F" w:csb1="00000000"/>
    <w:embedRegular r:id="rId9" w:fontKey="{64496B6D-9F44-46F0-9C27-9759F67C4868}"/>
  </w:font>
  <w:font w:name="Georgia">
    <w:panose1 w:val="02040502050405020303"/>
    <w:charset w:val="00"/>
    <w:family w:val="roman"/>
    <w:pitch w:val="variable"/>
    <w:sig w:usb0="00000287" w:usb1="00000000" w:usb2="00000000" w:usb3="00000000" w:csb0="0000009F" w:csb1="00000000"/>
    <w:embedItalic r:id="rId10" w:fontKey="{E870E054-8F5C-4C98-BE7A-96E28395FB9E}"/>
  </w:font>
  <w:font w:name="Arial Unicode MS">
    <w:panose1 w:val="020B0604020202020204"/>
    <w:charset w:val="80"/>
    <w:family w:val="swiss"/>
    <w:pitch w:val="variable"/>
    <w:sig w:usb0="F7FFAFFF" w:usb1="E9DFFFFF" w:usb2="0000003F" w:usb3="00000000" w:csb0="003F01FF" w:csb1="00000000"/>
    <w:embedItalic r:id="rId11" w:subsetted="1" w:fontKey="{AF2212DC-9125-4AC3-9C7C-9B55B9C5E3D1}"/>
  </w:font>
  <w:font w:name="REM">
    <w:altName w:val="Times New Roman"/>
    <w:charset w:val="00"/>
    <w:family w:val="auto"/>
    <w:pitch w:val="default"/>
    <w:embedItalic r:id="rId12" w:fontKey="{3077AD22-7F68-4D19-9B4D-106CD4009E4D}"/>
  </w:font>
  <w:font w:name="Calibri Light">
    <w:panose1 w:val="020F0302020204030204"/>
    <w:charset w:val="00"/>
    <w:family w:val="swiss"/>
    <w:pitch w:val="variable"/>
    <w:sig w:usb0="E4002EFF" w:usb1="C200247B" w:usb2="00000009" w:usb3="00000000" w:csb0="000001FF" w:csb1="00000000"/>
    <w:embedRegular r:id="rId13" w:fontKey="{9B84F477-435E-440E-9A18-74C8194CCD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EEA3B" w14:textId="202ED270" w:rsidR="00713C55" w:rsidRDefault="00EA452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4C1845">
      <w:rPr>
        <w:b/>
        <w:bCs/>
        <w:noProof/>
        <w:color w:val="000000"/>
      </w:rPr>
      <w:t>4</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4C1845">
      <w:rPr>
        <w:b/>
        <w:bCs/>
        <w:noProof/>
        <w:color w:val="000000"/>
      </w:rPr>
      <w:t>44</w:t>
    </w:r>
    <w:r>
      <w:rPr>
        <w:b/>
        <w:bCs/>
        <w:color w:val="000000"/>
      </w:rPr>
      <w:fldChar w:fldCharType="end"/>
    </w:r>
  </w:p>
  <w:p w14:paraId="436CD3DE" w14:textId="77777777" w:rsidR="00713C55" w:rsidRDefault="00713C5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93032" w14:textId="586C82BA" w:rsidR="00713C55" w:rsidRDefault="00EA452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4C1845">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4C1845">
      <w:rPr>
        <w:b/>
        <w:bCs/>
        <w:noProof/>
        <w:color w:val="000000"/>
      </w:rPr>
      <w:t>44</w:t>
    </w:r>
    <w:r>
      <w:rPr>
        <w:b/>
        <w:bCs/>
        <w:color w:val="000000"/>
      </w:rPr>
      <w:fldChar w:fldCharType="end"/>
    </w:r>
  </w:p>
  <w:p w14:paraId="0B4AC7A2" w14:textId="77777777" w:rsidR="00713C55" w:rsidRDefault="00713C5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5FEC1" w14:textId="77777777" w:rsidR="007D74A7" w:rsidRDefault="007D74A7">
      <w:r>
        <w:separator/>
      </w:r>
    </w:p>
  </w:footnote>
  <w:footnote w:type="continuationSeparator" w:id="0">
    <w:p w14:paraId="774DCC2D" w14:textId="77777777" w:rsidR="007D74A7" w:rsidRDefault="007D74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CBD7C" w14:textId="77777777" w:rsidR="00713C55" w:rsidRDefault="00EA452A">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4F395A9B" wp14:editId="6655C9BE">
          <wp:simplePos x="0" y="0"/>
          <wp:positionH relativeFrom="column">
            <wp:posOffset>0</wp:posOffset>
          </wp:positionH>
          <wp:positionV relativeFrom="paragraph">
            <wp:posOffset>-401952</wp:posOffset>
          </wp:positionV>
          <wp:extent cx="7809876" cy="10165823"/>
          <wp:effectExtent l="0" t="0" r="0" b="0"/>
          <wp:wrapNone/>
          <wp:docPr id="180160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03" w:type="dxa"/>
      <w:tblInd w:w="3611" w:type="dxa"/>
      <w:tblLayout w:type="fixed"/>
      <w:tblLook w:val="0400" w:firstRow="0" w:lastRow="0" w:firstColumn="0" w:lastColumn="0" w:noHBand="0" w:noVBand="1"/>
    </w:tblPr>
    <w:tblGrid>
      <w:gridCol w:w="2551"/>
      <w:gridCol w:w="3052"/>
    </w:tblGrid>
    <w:tr w:rsidR="00713C55" w14:paraId="5258DB33" w14:textId="77777777">
      <w:tc>
        <w:tcPr>
          <w:tcW w:w="2551" w:type="dxa"/>
          <w:vAlign w:val="center"/>
        </w:tcPr>
        <w:p w14:paraId="223E0C20"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4163E571" w14:textId="77777777" w:rsidR="00713C55" w:rsidRDefault="00713C5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3065F445"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08769/INFOEM/IP/RR/2025</w:t>
          </w:r>
        </w:p>
      </w:tc>
    </w:tr>
    <w:tr w:rsidR="00713C55" w14:paraId="4880F52A" w14:textId="77777777">
      <w:tc>
        <w:tcPr>
          <w:tcW w:w="2551" w:type="dxa"/>
          <w:vAlign w:val="center"/>
        </w:tcPr>
        <w:p w14:paraId="35DE0F17" w14:textId="77777777" w:rsidR="00713C55" w:rsidRDefault="00713C5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22F5BDD9" w14:textId="77777777" w:rsidR="00713C55" w:rsidRDefault="00713C5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r>
    <w:tr w:rsidR="00713C55" w14:paraId="42D35FE0" w14:textId="77777777">
      <w:trPr>
        <w:trHeight w:val="217"/>
      </w:trPr>
      <w:tc>
        <w:tcPr>
          <w:tcW w:w="2551" w:type="dxa"/>
          <w:vAlign w:val="center"/>
        </w:tcPr>
        <w:p w14:paraId="164A231A"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353163EE" w14:textId="77777777" w:rsidR="00713C55" w:rsidRDefault="00EA452A">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Tejupilco</w:t>
          </w:r>
        </w:p>
      </w:tc>
    </w:tr>
    <w:tr w:rsidR="00713C55" w14:paraId="61FF21E4" w14:textId="77777777">
      <w:tc>
        <w:tcPr>
          <w:tcW w:w="2551" w:type="dxa"/>
          <w:vAlign w:val="center"/>
        </w:tcPr>
        <w:p w14:paraId="4211F9FA"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46AFD159"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13C40A83" w14:textId="77777777" w:rsidR="00713C55" w:rsidRDefault="00713C5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AB05" w14:textId="77777777" w:rsidR="00713C55" w:rsidRDefault="00EA452A">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4296B46" wp14:editId="44050976">
          <wp:simplePos x="0" y="0"/>
          <wp:positionH relativeFrom="column">
            <wp:posOffset>-929003</wp:posOffset>
          </wp:positionH>
          <wp:positionV relativeFrom="paragraph">
            <wp:posOffset>-644523</wp:posOffset>
          </wp:positionV>
          <wp:extent cx="7809865" cy="10165715"/>
          <wp:effectExtent l="0" t="0" r="0" b="0"/>
          <wp:wrapNone/>
          <wp:docPr id="1801607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461" w:type="dxa"/>
      <w:tblInd w:w="3611" w:type="dxa"/>
      <w:tblLayout w:type="fixed"/>
      <w:tblLook w:val="0400" w:firstRow="0" w:lastRow="0" w:firstColumn="0" w:lastColumn="0" w:noHBand="0" w:noVBand="1"/>
    </w:tblPr>
    <w:tblGrid>
      <w:gridCol w:w="2343"/>
      <w:gridCol w:w="3118"/>
    </w:tblGrid>
    <w:tr w:rsidR="00713C55" w14:paraId="33867316" w14:textId="77777777">
      <w:tc>
        <w:tcPr>
          <w:tcW w:w="2343" w:type="dxa"/>
          <w:vAlign w:val="center"/>
        </w:tcPr>
        <w:p w14:paraId="154687F4"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4DDA6AC4" w14:textId="77777777" w:rsidR="00713C55" w:rsidRDefault="00713C5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4F3EB3D9"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08769/INFOEM/IP/RR/2025</w:t>
          </w:r>
        </w:p>
      </w:tc>
    </w:tr>
    <w:tr w:rsidR="00713C55" w14:paraId="025BAC42" w14:textId="77777777">
      <w:tc>
        <w:tcPr>
          <w:tcW w:w="2343" w:type="dxa"/>
          <w:vAlign w:val="center"/>
        </w:tcPr>
        <w:p w14:paraId="47F9D202"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55FA6759" w14:textId="6A74153B" w:rsidR="00713C55" w:rsidRDefault="004C184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XX</w:t>
          </w:r>
          <w:r w:rsidRPr="004C1845">
            <w:rPr>
              <w:rFonts w:ascii="Palatino Linotype" w:eastAsia="Palatino Linotype" w:hAnsi="Palatino Linotype" w:cs="Palatino Linotype"/>
              <w:b/>
              <w:bCs/>
              <w:color w:val="000000"/>
              <w:sz w:val="22"/>
              <w:szCs w:val="22"/>
            </w:rPr>
            <w:t>XX XX XXXXXXX XX XXX</w:t>
          </w:r>
        </w:p>
      </w:tc>
    </w:tr>
    <w:tr w:rsidR="00713C55" w14:paraId="6EBEFA0C" w14:textId="77777777">
      <w:trPr>
        <w:trHeight w:val="152"/>
      </w:trPr>
      <w:tc>
        <w:tcPr>
          <w:tcW w:w="2343" w:type="dxa"/>
          <w:vAlign w:val="center"/>
        </w:tcPr>
        <w:p w14:paraId="11EC1B2C" w14:textId="77777777" w:rsidR="00713C55" w:rsidRDefault="00EA452A">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29DB2D7F" w14:textId="77777777" w:rsidR="00713C55" w:rsidRDefault="00713C55">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586D28B1" w14:textId="77777777" w:rsidR="00713C55" w:rsidRDefault="00EA452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Tejupilco</w:t>
          </w:r>
        </w:p>
      </w:tc>
    </w:tr>
    <w:tr w:rsidR="00713C55" w14:paraId="3F31A4A3" w14:textId="77777777">
      <w:tc>
        <w:tcPr>
          <w:tcW w:w="2343" w:type="dxa"/>
          <w:vAlign w:val="center"/>
        </w:tcPr>
        <w:p w14:paraId="2F8B7FD8"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15B44116" w14:textId="77777777" w:rsidR="00713C55" w:rsidRDefault="00EA452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6E85CB2B" w14:textId="77777777" w:rsidR="00713C55" w:rsidRDefault="00EA452A">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30D"/>
    <w:multiLevelType w:val="multilevel"/>
    <w:tmpl w:val="EA426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2C4B05"/>
    <w:multiLevelType w:val="multilevel"/>
    <w:tmpl w:val="62526E2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5F58A2"/>
    <w:multiLevelType w:val="multilevel"/>
    <w:tmpl w:val="0C50D0E4"/>
    <w:lvl w:ilvl="0">
      <w:start w:val="1"/>
      <w:numFmt w:val="bullet"/>
      <w:pStyle w:val="Listaconvieta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FCC1E83"/>
    <w:multiLevelType w:val="multilevel"/>
    <w:tmpl w:val="9BB60560"/>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7B14584"/>
    <w:multiLevelType w:val="multilevel"/>
    <w:tmpl w:val="22B0204E"/>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6A1B07"/>
    <w:multiLevelType w:val="multilevel"/>
    <w:tmpl w:val="2B0CF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804735"/>
    <w:multiLevelType w:val="multilevel"/>
    <w:tmpl w:val="E3C45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C55"/>
    <w:rsid w:val="000C32AA"/>
    <w:rsid w:val="004C1845"/>
    <w:rsid w:val="006C441B"/>
    <w:rsid w:val="00713C55"/>
    <w:rsid w:val="007D74A7"/>
    <w:rsid w:val="008963C4"/>
    <w:rsid w:val="00CD64D0"/>
    <w:rsid w:val="00EA45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CBF6F"/>
  <w15:docId w15:val="{42004AE0-2068-41CC-A375-5F59E6D0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 w:type="table" w:customStyle="1" w:styleId="afa">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Ohb+3x3Y6xVhYUKDkAT3Xi/m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WguM3pueXNoNzIJaC4xZm9iOXRlMg5oLnh5MzV6M3J6ZXphajIIaC5namRneHMyDWguamwwZGxhc290NGY4AHIhMVRjQVRoRkVWX05QSGJHV1NSX2VkaVVuMUFSdkJCUm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10870</Words>
  <Characters>59787</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2026-01-15T19:19:00Z</cp:lastPrinted>
  <dcterms:created xsi:type="dcterms:W3CDTF">2026-02-02T03:34:00Z</dcterms:created>
  <dcterms:modified xsi:type="dcterms:W3CDTF">2026-02-02T03:34:00Z</dcterms:modified>
</cp:coreProperties>
</file>