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D029B" w:rsidRPr="00C35E9E" w:rsidRDefault="00622048">
      <w:pPr>
        <w:tabs>
          <w:tab w:val="left" w:pos="3465"/>
        </w:tabs>
        <w:spacing w:line="360" w:lineRule="auto"/>
        <w:ind w:right="-787"/>
        <w:jc w:val="both"/>
        <w:rPr>
          <w:rFonts w:ascii="Palatino Linotype" w:eastAsia="Palatino Linotype" w:hAnsi="Palatino Linotype" w:cs="Palatino Linotype"/>
          <w:b/>
        </w:rPr>
      </w:pPr>
      <w:r w:rsidRPr="00C35E9E">
        <w:rPr>
          <w:rFonts w:ascii="Palatino Linotype" w:eastAsia="Palatino Linotype" w:hAnsi="Palatino Linotype" w:cs="Palatino Linotype"/>
        </w:rPr>
        <w:t>Resolución del Pleno del Instituto de Transparencia, Acceso a la Información Pública y Protección de Datos Personales del Estado de México y Municipios, con domicilio en Metepec, Estad</w:t>
      </w:r>
      <w:r w:rsidR="00CB049C" w:rsidRPr="00C35E9E">
        <w:rPr>
          <w:rFonts w:ascii="Palatino Linotype" w:eastAsia="Palatino Linotype" w:hAnsi="Palatino Linotype" w:cs="Palatino Linotype"/>
        </w:rPr>
        <w:t xml:space="preserve">o de México; </w:t>
      </w:r>
      <w:r w:rsidR="00CB049C" w:rsidRPr="00C35E9E">
        <w:rPr>
          <w:rFonts w:ascii="Palatino Linotype" w:eastAsia="Palatino Linotype" w:hAnsi="Palatino Linotype" w:cs="Palatino Linotype"/>
          <w:b/>
        </w:rPr>
        <w:t>de fecha once</w:t>
      </w:r>
      <w:r w:rsidR="00262FAB" w:rsidRPr="00C35E9E">
        <w:rPr>
          <w:rFonts w:ascii="Palatino Linotype" w:eastAsia="Palatino Linotype" w:hAnsi="Palatino Linotype" w:cs="Palatino Linotype"/>
          <w:b/>
        </w:rPr>
        <w:t xml:space="preserve"> (11)</w:t>
      </w:r>
      <w:r w:rsidR="00CB049C" w:rsidRPr="00C35E9E">
        <w:rPr>
          <w:rFonts w:ascii="Palatino Linotype" w:eastAsia="Palatino Linotype" w:hAnsi="Palatino Linotype" w:cs="Palatino Linotype"/>
          <w:b/>
        </w:rPr>
        <w:t xml:space="preserve"> </w:t>
      </w:r>
      <w:r w:rsidRPr="00C35E9E">
        <w:rPr>
          <w:rFonts w:ascii="Palatino Linotype" w:eastAsia="Palatino Linotype" w:hAnsi="Palatino Linotype" w:cs="Palatino Linotype"/>
          <w:b/>
        </w:rPr>
        <w:t>de febrero de dos mil veintiséis.</w:t>
      </w:r>
    </w:p>
    <w:p w:rsidR="007D029B" w:rsidRPr="00C35E9E" w:rsidRDefault="007D029B">
      <w:pPr>
        <w:tabs>
          <w:tab w:val="left" w:pos="3465"/>
        </w:tabs>
        <w:spacing w:line="360" w:lineRule="auto"/>
        <w:ind w:right="-787"/>
        <w:jc w:val="both"/>
        <w:rPr>
          <w:rFonts w:ascii="Palatino Linotype" w:eastAsia="Palatino Linotype" w:hAnsi="Palatino Linotype" w:cs="Palatino Linotype"/>
        </w:rPr>
      </w:pPr>
    </w:p>
    <w:p w:rsidR="007D029B" w:rsidRPr="00C35E9E" w:rsidRDefault="00622048">
      <w:pPr>
        <w:spacing w:line="360" w:lineRule="auto"/>
        <w:ind w:right="-787"/>
        <w:jc w:val="both"/>
        <w:rPr>
          <w:rFonts w:ascii="Palatino Linotype" w:eastAsia="Palatino Linotype" w:hAnsi="Palatino Linotype" w:cs="Palatino Linotype"/>
          <w:b/>
          <w:bCs/>
          <w:color w:val="000000"/>
        </w:rPr>
      </w:pPr>
      <w:r w:rsidRPr="00C35E9E">
        <w:rPr>
          <w:rFonts w:ascii="Palatino Linotype" w:eastAsia="Palatino Linotype" w:hAnsi="Palatino Linotype" w:cs="Palatino Linotype"/>
          <w:b/>
          <w:bCs/>
        </w:rPr>
        <w:t xml:space="preserve">VISTAS </w:t>
      </w:r>
      <w:r w:rsidRPr="00C35E9E">
        <w:rPr>
          <w:rFonts w:ascii="Palatino Linotype" w:eastAsia="Palatino Linotype" w:hAnsi="Palatino Linotype" w:cs="Palatino Linotype"/>
        </w:rPr>
        <w:t xml:space="preserve">las constancias para resolver </w:t>
      </w:r>
      <w:r w:rsidRPr="00C35E9E">
        <w:rPr>
          <w:rFonts w:ascii="Palatino Linotype" w:eastAsia="Palatino Linotype" w:hAnsi="Palatino Linotype" w:cs="Palatino Linotype"/>
          <w:color w:val="000000"/>
        </w:rPr>
        <w:t xml:space="preserve">el Recurso de Revisión </w:t>
      </w:r>
      <w:r w:rsidRPr="00C35E9E">
        <w:rPr>
          <w:rFonts w:ascii="Palatino Linotype" w:eastAsia="Palatino Linotype" w:hAnsi="Palatino Linotype" w:cs="Palatino Linotype"/>
          <w:b/>
          <w:color w:val="000000"/>
        </w:rPr>
        <w:t>0</w:t>
      </w:r>
      <w:r w:rsidRPr="00C35E9E">
        <w:rPr>
          <w:rFonts w:ascii="Palatino Linotype" w:eastAsia="Palatino Linotype" w:hAnsi="Palatino Linotype" w:cs="Palatino Linotype"/>
          <w:b/>
          <w:bCs/>
          <w:color w:val="000000"/>
        </w:rPr>
        <w:t>9538/INFOEM/IP/RR/2025</w:t>
      </w:r>
      <w:r w:rsidRPr="00C35E9E">
        <w:rPr>
          <w:rFonts w:ascii="Palatino Linotype" w:eastAsia="Palatino Linotype" w:hAnsi="Palatino Linotype" w:cs="Palatino Linotype"/>
          <w:color w:val="000000"/>
        </w:rPr>
        <w:t xml:space="preserve">, promovido por </w:t>
      </w:r>
      <w:r w:rsidR="00A959FC">
        <w:rPr>
          <w:rFonts w:ascii="Palatino Linotype" w:eastAsia="Palatino Linotype" w:hAnsi="Palatino Linotype" w:cs="Palatino Linotype"/>
          <w:b/>
          <w:bCs/>
          <w:color w:val="000000"/>
        </w:rPr>
        <w:t>XXXX</w:t>
      </w:r>
      <w:r w:rsidRPr="00C35E9E">
        <w:rPr>
          <w:rFonts w:ascii="Palatino Linotype" w:eastAsia="Palatino Linotype" w:hAnsi="Palatino Linotype" w:cs="Palatino Linotype"/>
          <w:color w:val="000000"/>
        </w:rPr>
        <w:t>,</w:t>
      </w:r>
      <w:r w:rsidRPr="00C35E9E">
        <w:rPr>
          <w:rFonts w:ascii="Palatino Linotype" w:eastAsia="Palatino Linotype" w:hAnsi="Palatino Linotype" w:cs="Palatino Linotype"/>
        </w:rPr>
        <w:t xml:space="preserve"> en lo sucesivo </w:t>
      </w:r>
      <w:r w:rsidRPr="00C35E9E">
        <w:rPr>
          <w:rFonts w:ascii="Palatino Linotype" w:eastAsia="Palatino Linotype" w:hAnsi="Palatino Linotype" w:cs="Palatino Linotype"/>
          <w:b/>
          <w:bCs/>
        </w:rPr>
        <w:t>EL RECURRENTE</w:t>
      </w:r>
      <w:r w:rsidRPr="00C35E9E">
        <w:rPr>
          <w:rFonts w:ascii="Palatino Linotype" w:eastAsia="Palatino Linotype" w:hAnsi="Palatino Linotype" w:cs="Palatino Linotype"/>
        </w:rPr>
        <w:t xml:space="preserve">, en contra de la respuesta otorgada a la solicitud de información </w:t>
      </w:r>
      <w:r w:rsidRPr="00C35E9E">
        <w:rPr>
          <w:rFonts w:ascii="Palatino Linotype" w:eastAsia="Palatino Linotype" w:hAnsi="Palatino Linotype" w:cs="Palatino Linotype"/>
          <w:b/>
          <w:bCs/>
        </w:rPr>
        <w:t>00399/NICOROM/IP/2025</w:t>
      </w:r>
      <w:r w:rsidRPr="00C35E9E">
        <w:rPr>
          <w:rFonts w:ascii="Palatino Linotype" w:eastAsia="Palatino Linotype" w:hAnsi="Palatino Linotype" w:cs="Palatino Linotype"/>
        </w:rPr>
        <w:t xml:space="preserve">, por parte del </w:t>
      </w:r>
      <w:r w:rsidRPr="00C35E9E">
        <w:rPr>
          <w:rFonts w:ascii="Palatino Linotype" w:eastAsia="Palatino Linotype" w:hAnsi="Palatino Linotype" w:cs="Palatino Linotype"/>
          <w:b/>
          <w:bCs/>
        </w:rPr>
        <w:t xml:space="preserve">Ayuntamiento de Nicolás Romero, </w:t>
      </w:r>
      <w:r w:rsidRPr="00C35E9E">
        <w:rPr>
          <w:rFonts w:ascii="Palatino Linotype" w:eastAsia="Palatino Linotype" w:hAnsi="Palatino Linotype" w:cs="Palatino Linotype"/>
        </w:rPr>
        <w:t xml:space="preserve">en adelante el </w:t>
      </w:r>
      <w:r w:rsidRPr="00C35E9E">
        <w:rPr>
          <w:rFonts w:ascii="Palatino Linotype" w:eastAsia="Palatino Linotype" w:hAnsi="Palatino Linotype" w:cs="Palatino Linotype"/>
          <w:b/>
          <w:bCs/>
        </w:rPr>
        <w:t>SUJETO OBLIGADO</w:t>
      </w:r>
      <w:r w:rsidRPr="00C35E9E">
        <w:rPr>
          <w:rFonts w:ascii="Palatino Linotype" w:eastAsia="Palatino Linotype" w:hAnsi="Palatino Linotype" w:cs="Palatino Linotype"/>
        </w:rPr>
        <w:t xml:space="preserve">, se emite la presente resolución con base en los siguientes: </w:t>
      </w:r>
    </w:p>
    <w:p w:rsidR="007D029B" w:rsidRPr="00C35E9E" w:rsidRDefault="007D029B">
      <w:pPr>
        <w:ind w:right="-788"/>
        <w:jc w:val="both"/>
        <w:rPr>
          <w:rFonts w:ascii="Palatino Linotype" w:eastAsia="Palatino Linotype" w:hAnsi="Palatino Linotype" w:cs="Palatino Linotype"/>
        </w:rPr>
      </w:pPr>
    </w:p>
    <w:p w:rsidR="007D029B" w:rsidRPr="00C35E9E" w:rsidRDefault="00622048">
      <w:pPr>
        <w:pStyle w:val="Ttulo1"/>
        <w:spacing w:before="0" w:line="360" w:lineRule="auto"/>
        <w:ind w:right="-787"/>
        <w:jc w:val="center"/>
        <w:rPr>
          <w:rFonts w:ascii="Palatino Linotype" w:eastAsia="Palatino Linotype" w:hAnsi="Palatino Linotype" w:cs="Palatino Linotype"/>
          <w:b/>
          <w:bCs/>
          <w:color w:val="000000"/>
          <w:sz w:val="24"/>
          <w:szCs w:val="24"/>
        </w:rPr>
      </w:pPr>
      <w:bookmarkStart w:id="0" w:name="_heading=h.gjdgxs" w:colFirst="0" w:colLast="0"/>
      <w:bookmarkEnd w:id="0"/>
      <w:r w:rsidRPr="00C35E9E">
        <w:rPr>
          <w:rFonts w:ascii="Palatino Linotype" w:eastAsia="Palatino Linotype" w:hAnsi="Palatino Linotype" w:cs="Palatino Linotype"/>
          <w:b/>
          <w:bCs/>
          <w:color w:val="000000"/>
          <w:sz w:val="24"/>
          <w:szCs w:val="24"/>
        </w:rPr>
        <w:t>A N T E C E D E N T E S</w:t>
      </w:r>
    </w:p>
    <w:p w:rsidR="007D029B" w:rsidRPr="00C35E9E" w:rsidRDefault="007D029B">
      <w:pPr>
        <w:pBdr>
          <w:top w:val="nil"/>
          <w:left w:val="nil"/>
          <w:bottom w:val="nil"/>
          <w:right w:val="nil"/>
          <w:between w:val="nil"/>
        </w:pBdr>
        <w:ind w:right="-788"/>
        <w:jc w:val="both"/>
        <w:rPr>
          <w:rFonts w:ascii="Palatino Linotype" w:eastAsia="Palatino Linotype" w:hAnsi="Palatino Linotype" w:cs="Palatino Linotype"/>
          <w:b/>
          <w:bCs/>
          <w:color w:val="000000"/>
          <w:u w:val="single"/>
        </w:rPr>
      </w:pPr>
    </w:p>
    <w:p w:rsidR="007D029B" w:rsidRPr="00C35E9E" w:rsidRDefault="00622048">
      <w:pPr>
        <w:numPr>
          <w:ilvl w:val="0"/>
          <w:numId w:val="4"/>
        </w:numPr>
        <w:pBdr>
          <w:top w:val="nil"/>
          <w:left w:val="nil"/>
          <w:bottom w:val="nil"/>
          <w:right w:val="nil"/>
          <w:between w:val="nil"/>
        </w:pBdr>
        <w:tabs>
          <w:tab w:val="left" w:pos="0"/>
        </w:tabs>
        <w:spacing w:line="360" w:lineRule="auto"/>
        <w:ind w:left="0" w:right="-787" w:firstLine="0"/>
        <w:jc w:val="both"/>
        <w:rPr>
          <w:rFonts w:ascii="Palatino Linotype" w:eastAsia="Palatino Linotype" w:hAnsi="Palatino Linotype" w:cs="Palatino Linotype"/>
          <w:color w:val="000000"/>
        </w:rPr>
      </w:pPr>
      <w:r w:rsidRPr="00C35E9E">
        <w:rPr>
          <w:rFonts w:ascii="Palatino Linotype" w:eastAsia="Palatino Linotype" w:hAnsi="Palatino Linotype" w:cs="Palatino Linotype"/>
          <w:color w:val="000000"/>
        </w:rPr>
        <w:t xml:space="preserve">El </w:t>
      </w:r>
      <w:r w:rsidRPr="00C35E9E">
        <w:rPr>
          <w:rFonts w:ascii="Palatino Linotype" w:eastAsia="Palatino Linotype" w:hAnsi="Palatino Linotype" w:cs="Palatino Linotype"/>
          <w:b/>
          <w:bCs/>
          <w:color w:val="000000"/>
        </w:rPr>
        <w:t>nueve de julio de dos mil veinticinco</w:t>
      </w:r>
      <w:r w:rsidRPr="00C35E9E">
        <w:rPr>
          <w:rFonts w:ascii="Palatino Linotype" w:eastAsia="Palatino Linotype" w:hAnsi="Palatino Linotype" w:cs="Palatino Linotype"/>
          <w:color w:val="000000"/>
        </w:rPr>
        <w:t>,</w:t>
      </w:r>
      <w:r w:rsidRPr="00C35E9E">
        <w:rPr>
          <w:rFonts w:ascii="Palatino Linotype" w:eastAsia="Palatino Linotype" w:hAnsi="Palatino Linotype" w:cs="Palatino Linotype"/>
          <w:b/>
          <w:bCs/>
          <w:color w:val="000000"/>
        </w:rPr>
        <w:t xml:space="preserve"> </w:t>
      </w:r>
      <w:r w:rsidRPr="00C35E9E">
        <w:rPr>
          <w:rFonts w:ascii="Palatino Linotype" w:eastAsia="Palatino Linotype" w:hAnsi="Palatino Linotype" w:cs="Palatino Linotype"/>
          <w:color w:val="000000"/>
        </w:rPr>
        <w:t xml:space="preserve">se presentó ante el Sujeto Obligado vía Sistema de Acceso a la Información Mexiquense, en adelante SAIMEX, la siguiente </w:t>
      </w:r>
      <w:r w:rsidRPr="00C35E9E">
        <w:rPr>
          <w:rFonts w:ascii="Palatino Linotype" w:eastAsia="Palatino Linotype" w:hAnsi="Palatino Linotype" w:cs="Palatino Linotype"/>
          <w:b/>
          <w:bCs/>
          <w:color w:val="000000"/>
        </w:rPr>
        <w:t>solicitud de información</w:t>
      </w:r>
      <w:r w:rsidRPr="00C35E9E">
        <w:rPr>
          <w:rFonts w:ascii="Palatino Linotype" w:eastAsia="Palatino Linotype" w:hAnsi="Palatino Linotype" w:cs="Palatino Linotype"/>
          <w:color w:val="000000"/>
        </w:rPr>
        <w:t xml:space="preserve"> pública:</w:t>
      </w:r>
    </w:p>
    <w:p w:rsidR="007D029B" w:rsidRPr="00C35E9E" w:rsidRDefault="007D029B">
      <w:pPr>
        <w:pBdr>
          <w:top w:val="nil"/>
          <w:left w:val="nil"/>
          <w:bottom w:val="nil"/>
          <w:right w:val="nil"/>
          <w:between w:val="nil"/>
        </w:pBdr>
        <w:ind w:right="-788"/>
        <w:jc w:val="both"/>
        <w:rPr>
          <w:rFonts w:ascii="Palatino Linotype" w:eastAsia="Palatino Linotype" w:hAnsi="Palatino Linotype" w:cs="Palatino Linotype"/>
          <w:color w:val="000000"/>
        </w:rPr>
      </w:pPr>
    </w:p>
    <w:p w:rsidR="007D029B" w:rsidRPr="00C35E9E" w:rsidRDefault="00622048">
      <w:pPr>
        <w:pBdr>
          <w:top w:val="nil"/>
          <w:left w:val="nil"/>
          <w:bottom w:val="nil"/>
          <w:right w:val="nil"/>
          <w:between w:val="nil"/>
        </w:pBdr>
        <w:ind w:left="567" w:right="-220"/>
        <w:jc w:val="both"/>
        <w:rPr>
          <w:rFonts w:ascii="Palatino Linotype" w:eastAsia="Palatino Linotype" w:hAnsi="Palatino Linotype" w:cs="Palatino Linotype"/>
          <w:i/>
          <w:iCs/>
          <w:color w:val="000000"/>
        </w:rPr>
      </w:pPr>
      <w:r w:rsidRPr="00C35E9E">
        <w:rPr>
          <w:rFonts w:ascii="Palatino Linotype" w:eastAsia="Palatino Linotype" w:hAnsi="Palatino Linotype" w:cs="Palatino Linotype"/>
          <w:i/>
          <w:iCs/>
          <w:color w:val="000000"/>
        </w:rPr>
        <w:t xml:space="preserve"> “Solicito amablemente: Copia del pliego petitorio entregado por el titular del área de diversidad sexual a la Presidenta Municipal Yoselin Mendoza el día 27 de junio de la presente anualidad en la marcha lgbt+. Plan de trabajo del área de diversidad sexual. Informe de los avances respecto a los acuerdos establecidos en el "Foro de escucha de necesidades de la población LGBTTTIQA+ de Nicolás Romero" llevado a cabo el 07 de febrero del presente año, en presencia de la presidenta municipal Yoselín Mendoza.” (Sic)</w:t>
      </w:r>
    </w:p>
    <w:p w:rsidR="007D029B" w:rsidRPr="00C35E9E" w:rsidRDefault="007D029B">
      <w:pPr>
        <w:pBdr>
          <w:top w:val="nil"/>
          <w:left w:val="nil"/>
          <w:bottom w:val="nil"/>
          <w:right w:val="nil"/>
          <w:between w:val="nil"/>
        </w:pBdr>
        <w:ind w:right="-788"/>
        <w:jc w:val="both"/>
        <w:rPr>
          <w:rFonts w:ascii="Palatino Linotype" w:eastAsia="Palatino Linotype" w:hAnsi="Palatino Linotype" w:cs="Palatino Linotype"/>
          <w:color w:val="000000"/>
        </w:rPr>
      </w:pPr>
    </w:p>
    <w:p w:rsidR="00C35E9E" w:rsidRPr="00C35E9E" w:rsidRDefault="00C35E9E">
      <w:pPr>
        <w:pBdr>
          <w:top w:val="nil"/>
          <w:left w:val="nil"/>
          <w:bottom w:val="nil"/>
          <w:right w:val="nil"/>
          <w:between w:val="nil"/>
        </w:pBdr>
        <w:ind w:right="-788"/>
        <w:jc w:val="both"/>
        <w:rPr>
          <w:rFonts w:ascii="Palatino Linotype" w:eastAsia="Palatino Linotype" w:hAnsi="Palatino Linotype" w:cs="Palatino Linotype"/>
          <w:color w:val="000000"/>
        </w:rPr>
      </w:pPr>
    </w:p>
    <w:p w:rsidR="007D029B" w:rsidRPr="00C35E9E" w:rsidRDefault="00622048" w:rsidP="00C35E9E">
      <w:pPr>
        <w:numPr>
          <w:ilvl w:val="0"/>
          <w:numId w:val="1"/>
        </w:numPr>
        <w:pBdr>
          <w:top w:val="nil"/>
          <w:left w:val="nil"/>
          <w:bottom w:val="nil"/>
          <w:right w:val="nil"/>
          <w:between w:val="nil"/>
        </w:pBdr>
        <w:tabs>
          <w:tab w:val="left" w:pos="0"/>
        </w:tabs>
        <w:spacing w:line="360" w:lineRule="auto"/>
        <w:ind w:left="0" w:right="-787" w:firstLine="0"/>
        <w:jc w:val="both"/>
        <w:rPr>
          <w:rFonts w:ascii="Palatino Linotype" w:eastAsia="Palatino Linotype" w:hAnsi="Palatino Linotype" w:cs="Palatino Linotype"/>
          <w:color w:val="000000"/>
        </w:rPr>
      </w:pPr>
      <w:r w:rsidRPr="00C35E9E">
        <w:rPr>
          <w:rFonts w:ascii="Palatino Linotype" w:eastAsia="Palatino Linotype" w:hAnsi="Palatino Linotype" w:cs="Palatino Linotype"/>
          <w:color w:val="000000"/>
        </w:rPr>
        <w:t xml:space="preserve">Se eligió como modalidad de entrega de la información: A través del </w:t>
      </w:r>
      <w:r w:rsidRPr="00C35E9E">
        <w:rPr>
          <w:rFonts w:ascii="Palatino Linotype" w:eastAsia="Palatino Linotype" w:hAnsi="Palatino Linotype" w:cs="Palatino Linotype"/>
          <w:b/>
          <w:bCs/>
          <w:color w:val="000000"/>
        </w:rPr>
        <w:t>SAIMEX.</w:t>
      </w:r>
    </w:p>
    <w:p w:rsidR="007D029B" w:rsidRPr="00C35E9E" w:rsidRDefault="007D029B">
      <w:pPr>
        <w:pBdr>
          <w:top w:val="nil"/>
          <w:left w:val="nil"/>
          <w:bottom w:val="nil"/>
          <w:right w:val="nil"/>
          <w:between w:val="nil"/>
        </w:pBdr>
        <w:tabs>
          <w:tab w:val="left" w:pos="0"/>
        </w:tabs>
        <w:spacing w:line="360" w:lineRule="auto"/>
        <w:ind w:right="-787"/>
        <w:jc w:val="both"/>
        <w:rPr>
          <w:rFonts w:ascii="Palatino Linotype" w:eastAsia="Palatino Linotype" w:hAnsi="Palatino Linotype" w:cs="Palatino Linotype"/>
          <w:color w:val="000000"/>
        </w:rPr>
      </w:pPr>
    </w:p>
    <w:p w:rsidR="007D029B" w:rsidRPr="00C35E9E" w:rsidRDefault="00622048">
      <w:pPr>
        <w:numPr>
          <w:ilvl w:val="0"/>
          <w:numId w:val="4"/>
        </w:numPr>
        <w:pBdr>
          <w:top w:val="nil"/>
          <w:left w:val="nil"/>
          <w:bottom w:val="nil"/>
          <w:right w:val="nil"/>
          <w:between w:val="nil"/>
        </w:pBdr>
        <w:tabs>
          <w:tab w:val="left" w:pos="0"/>
        </w:tabs>
        <w:spacing w:line="360" w:lineRule="auto"/>
        <w:ind w:left="0" w:right="-787" w:firstLine="0"/>
        <w:jc w:val="both"/>
        <w:rPr>
          <w:rFonts w:ascii="Palatino Linotype" w:eastAsia="Palatino Linotype" w:hAnsi="Palatino Linotype" w:cs="Palatino Linotype"/>
          <w:color w:val="000000"/>
        </w:rPr>
      </w:pPr>
      <w:r w:rsidRPr="00C35E9E">
        <w:rPr>
          <w:rFonts w:ascii="Palatino Linotype" w:eastAsia="Palatino Linotype" w:hAnsi="Palatino Linotype" w:cs="Palatino Linotype"/>
          <w:color w:val="000000"/>
        </w:rPr>
        <w:t>El</w:t>
      </w:r>
      <w:r w:rsidRPr="00C35E9E">
        <w:rPr>
          <w:rFonts w:ascii="Palatino Linotype" w:eastAsia="Palatino Linotype" w:hAnsi="Palatino Linotype" w:cs="Palatino Linotype"/>
          <w:b/>
          <w:bCs/>
          <w:color w:val="000000"/>
        </w:rPr>
        <w:t xml:space="preserve"> diez de junio de dos mil veinticinco</w:t>
      </w:r>
      <w:r w:rsidRPr="00C35E9E">
        <w:rPr>
          <w:rFonts w:ascii="Palatino Linotype" w:eastAsia="Palatino Linotype" w:hAnsi="Palatino Linotype" w:cs="Palatino Linotype"/>
          <w:color w:val="000000"/>
        </w:rPr>
        <w:t>, el Sujeto Obligado</w:t>
      </w:r>
      <w:r w:rsidRPr="00C35E9E">
        <w:rPr>
          <w:rFonts w:ascii="Palatino Linotype" w:eastAsia="Palatino Linotype" w:hAnsi="Palatino Linotype" w:cs="Palatino Linotype"/>
          <w:b/>
          <w:bCs/>
          <w:color w:val="000000"/>
        </w:rPr>
        <w:t>,</w:t>
      </w:r>
      <w:r w:rsidRPr="00C35E9E">
        <w:rPr>
          <w:rFonts w:ascii="Palatino Linotype" w:eastAsia="Palatino Linotype" w:hAnsi="Palatino Linotype" w:cs="Palatino Linotype"/>
          <w:color w:val="000000"/>
        </w:rPr>
        <w:t xml:space="preserve"> dio </w:t>
      </w:r>
      <w:r w:rsidRPr="00C35E9E">
        <w:rPr>
          <w:rFonts w:ascii="Palatino Linotype" w:eastAsia="Palatino Linotype" w:hAnsi="Palatino Linotype" w:cs="Palatino Linotype"/>
          <w:b/>
          <w:bCs/>
          <w:color w:val="000000"/>
        </w:rPr>
        <w:t>respuesta</w:t>
      </w:r>
      <w:r w:rsidRPr="00C35E9E">
        <w:rPr>
          <w:rFonts w:ascii="Palatino Linotype" w:eastAsia="Palatino Linotype" w:hAnsi="Palatino Linotype" w:cs="Palatino Linotype"/>
          <w:color w:val="000000"/>
        </w:rPr>
        <w:t xml:space="preserve"> adjuntando el siguiente archivo electrónico</w:t>
      </w:r>
      <w:r w:rsidRPr="00C35E9E">
        <w:rPr>
          <w:rFonts w:ascii="Palatino Linotype" w:eastAsia="Palatino Linotype" w:hAnsi="Palatino Linotype" w:cs="Palatino Linotype"/>
          <w:b/>
          <w:bCs/>
          <w:i/>
          <w:iCs/>
          <w:color w:val="000000"/>
        </w:rPr>
        <w:t>:</w:t>
      </w:r>
    </w:p>
    <w:p w:rsidR="007D029B" w:rsidRPr="00C35E9E" w:rsidRDefault="00622048">
      <w:pPr>
        <w:pBdr>
          <w:top w:val="nil"/>
          <w:left w:val="nil"/>
          <w:bottom w:val="nil"/>
          <w:right w:val="nil"/>
          <w:between w:val="nil"/>
        </w:pBdr>
        <w:tabs>
          <w:tab w:val="left" w:pos="426"/>
        </w:tabs>
        <w:ind w:left="567" w:right="-788"/>
        <w:jc w:val="both"/>
        <w:rPr>
          <w:rFonts w:ascii="Palatino Linotype" w:eastAsia="Palatino Linotype" w:hAnsi="Palatino Linotype" w:cs="Palatino Linotype"/>
          <w:b/>
          <w:bCs/>
          <w:i/>
          <w:iCs/>
          <w:color w:val="000000"/>
        </w:rPr>
      </w:pPr>
      <w:r w:rsidRPr="00C35E9E">
        <w:rPr>
          <w:rFonts w:ascii="Palatino Linotype" w:eastAsia="Palatino Linotype" w:hAnsi="Palatino Linotype" w:cs="Palatino Linotype"/>
          <w:b/>
          <w:bCs/>
          <w:i/>
          <w:iCs/>
          <w:color w:val="000000"/>
        </w:rPr>
        <w:lastRenderedPageBreak/>
        <w:t>Respuesta Sol 399.pdf</w:t>
      </w:r>
    </w:p>
    <w:p w:rsidR="007D029B" w:rsidRPr="00C35E9E" w:rsidRDefault="00622048">
      <w:pPr>
        <w:pBdr>
          <w:top w:val="nil"/>
          <w:left w:val="nil"/>
          <w:bottom w:val="nil"/>
          <w:right w:val="nil"/>
          <w:between w:val="nil"/>
        </w:pBdr>
        <w:tabs>
          <w:tab w:val="left" w:pos="426"/>
        </w:tabs>
        <w:ind w:left="567" w:right="-788"/>
        <w:jc w:val="both"/>
        <w:rPr>
          <w:rFonts w:ascii="Palatino Linotype" w:eastAsia="Palatino Linotype" w:hAnsi="Palatino Linotype" w:cs="Palatino Linotype"/>
          <w:color w:val="000000"/>
        </w:rPr>
      </w:pPr>
      <w:r w:rsidRPr="00C35E9E">
        <w:rPr>
          <w:rFonts w:ascii="Palatino Linotype" w:eastAsia="Palatino Linotype" w:hAnsi="Palatino Linotype" w:cs="Palatino Linotype"/>
          <w:color w:val="000000"/>
        </w:rPr>
        <w:t>Oficio No. NR/DIG/UT/USI/416/2025 de fecha 15 de julio de 2025, suscrito por la Titular de la Unidad de Transparencia, a través del cual refiere adjuntar la respuesta de la Dirección de Mujeres Inclusión y Equidad.</w:t>
      </w:r>
    </w:p>
    <w:p w:rsidR="007D029B" w:rsidRPr="00C35E9E" w:rsidRDefault="007D029B">
      <w:pPr>
        <w:pBdr>
          <w:top w:val="nil"/>
          <w:left w:val="nil"/>
          <w:bottom w:val="nil"/>
          <w:right w:val="nil"/>
          <w:between w:val="nil"/>
        </w:pBdr>
        <w:tabs>
          <w:tab w:val="left" w:pos="426"/>
        </w:tabs>
        <w:ind w:left="567" w:right="-788"/>
        <w:jc w:val="both"/>
        <w:rPr>
          <w:rFonts w:ascii="Palatino Linotype" w:eastAsia="Palatino Linotype" w:hAnsi="Palatino Linotype" w:cs="Palatino Linotype"/>
          <w:b/>
          <w:bCs/>
          <w:i/>
          <w:iCs/>
          <w:color w:val="000000"/>
        </w:rPr>
      </w:pPr>
    </w:p>
    <w:p w:rsidR="007D029B" w:rsidRPr="00C35E9E" w:rsidRDefault="00622048">
      <w:pPr>
        <w:pBdr>
          <w:top w:val="nil"/>
          <w:left w:val="nil"/>
          <w:bottom w:val="nil"/>
          <w:right w:val="nil"/>
          <w:between w:val="nil"/>
        </w:pBdr>
        <w:tabs>
          <w:tab w:val="left" w:pos="426"/>
        </w:tabs>
        <w:ind w:left="567" w:right="-788"/>
        <w:jc w:val="both"/>
        <w:rPr>
          <w:rFonts w:ascii="Palatino Linotype" w:eastAsia="Palatino Linotype" w:hAnsi="Palatino Linotype" w:cs="Palatino Linotype"/>
          <w:color w:val="000000"/>
        </w:rPr>
      </w:pPr>
      <w:r w:rsidRPr="00C35E9E">
        <w:rPr>
          <w:rFonts w:ascii="Palatino Linotype" w:eastAsia="Palatino Linotype" w:hAnsi="Palatino Linotype" w:cs="Palatino Linotype"/>
          <w:color w:val="000000"/>
        </w:rPr>
        <w:t>OFICIO: NR/DMlyE/225/2025 de fecha 04 de julio de 2025, firmado por la Directora de las Mujeres, Inclusión y Equidad, a través del cual refiere:</w:t>
      </w:r>
    </w:p>
    <w:p w:rsidR="007D029B" w:rsidRPr="00C35E9E" w:rsidRDefault="007D029B">
      <w:pPr>
        <w:pBdr>
          <w:top w:val="nil"/>
          <w:left w:val="nil"/>
          <w:bottom w:val="nil"/>
          <w:right w:val="nil"/>
          <w:between w:val="nil"/>
        </w:pBdr>
        <w:tabs>
          <w:tab w:val="left" w:pos="426"/>
        </w:tabs>
        <w:ind w:left="567" w:right="-788"/>
        <w:jc w:val="both"/>
        <w:rPr>
          <w:rFonts w:ascii="Palatino Linotype" w:eastAsia="Palatino Linotype" w:hAnsi="Palatino Linotype" w:cs="Palatino Linotype"/>
          <w:color w:val="000000"/>
        </w:rPr>
      </w:pPr>
    </w:p>
    <w:p w:rsidR="007D029B" w:rsidRPr="00C35E9E" w:rsidRDefault="00622048">
      <w:pPr>
        <w:pBdr>
          <w:top w:val="nil"/>
          <w:left w:val="nil"/>
          <w:bottom w:val="nil"/>
          <w:right w:val="nil"/>
          <w:between w:val="nil"/>
        </w:pBdr>
        <w:tabs>
          <w:tab w:val="left" w:pos="426"/>
        </w:tabs>
        <w:ind w:left="567" w:right="-788"/>
        <w:jc w:val="both"/>
        <w:rPr>
          <w:rFonts w:ascii="Palatino Linotype" w:eastAsia="Palatino Linotype" w:hAnsi="Palatino Linotype" w:cs="Palatino Linotype"/>
          <w:b/>
          <w:bCs/>
          <w:i/>
          <w:iCs/>
          <w:color w:val="000000"/>
        </w:rPr>
      </w:pPr>
      <w:r w:rsidRPr="00C35E9E">
        <w:rPr>
          <w:rFonts w:ascii="Palatino Linotype" w:eastAsia="Palatino Linotype" w:hAnsi="Palatino Linotype" w:cs="Palatino Linotype"/>
          <w:i/>
          <w:iCs/>
          <w:color w:val="000000"/>
        </w:rPr>
        <w:t xml:space="preserve">Respecto al primer punto mencionado: "[...] </w:t>
      </w:r>
      <w:r w:rsidRPr="00C35E9E">
        <w:rPr>
          <w:rFonts w:ascii="Palatino Linotype" w:eastAsia="Palatino Linotype" w:hAnsi="Palatino Linotype" w:cs="Palatino Linotype"/>
          <w:b/>
          <w:bCs/>
          <w:i/>
          <w:iCs/>
          <w:color w:val="000000"/>
        </w:rPr>
        <w:t>Copia del pliego petitorio</w:t>
      </w:r>
      <w:r w:rsidRPr="00C35E9E">
        <w:rPr>
          <w:rFonts w:ascii="Palatino Linotype" w:eastAsia="Palatino Linotype" w:hAnsi="Palatino Linotype" w:cs="Palatino Linotype"/>
          <w:i/>
          <w:iCs/>
          <w:color w:val="000000"/>
        </w:rPr>
        <w:t xml:space="preserve"> entregado por el titular del área de diversidad sexual a la Presidenta Municipal Yoselin Mendoza el día 27 </w:t>
      </w:r>
      <w:r w:rsidRPr="00C35E9E">
        <w:rPr>
          <w:rFonts w:ascii="Palatino Linotype" w:eastAsia="Palatino Linotype" w:hAnsi="Palatino Linotype" w:cs="Palatino Linotype"/>
          <w:i/>
          <w:iCs/>
        </w:rPr>
        <w:t>de junio</w:t>
      </w:r>
      <w:r w:rsidRPr="00C35E9E">
        <w:rPr>
          <w:rFonts w:ascii="Palatino Linotype" w:eastAsia="Palatino Linotype" w:hAnsi="Palatino Linotype" w:cs="Palatino Linotype"/>
          <w:i/>
          <w:iCs/>
          <w:color w:val="000000"/>
        </w:rPr>
        <w:t xml:space="preserve"> de la presente anualidad en la marcha Igbt+ [...]" (sic). </w:t>
      </w:r>
      <w:r w:rsidRPr="00C35E9E">
        <w:rPr>
          <w:rFonts w:ascii="Palatino Linotype" w:eastAsia="Palatino Linotype" w:hAnsi="Palatino Linotype" w:cs="Palatino Linotype"/>
          <w:b/>
          <w:bCs/>
          <w:i/>
          <w:iCs/>
          <w:color w:val="000000"/>
        </w:rPr>
        <w:t>Se anexa</w:t>
      </w:r>
      <w:r w:rsidRPr="00C35E9E">
        <w:rPr>
          <w:rFonts w:ascii="Palatino Linotype" w:eastAsia="Palatino Linotype" w:hAnsi="Palatino Linotype" w:cs="Palatino Linotype"/>
          <w:i/>
          <w:iCs/>
          <w:color w:val="000000"/>
        </w:rPr>
        <w:t xml:space="preserve"> al presente en copia simple </w:t>
      </w:r>
      <w:r w:rsidRPr="00C35E9E">
        <w:rPr>
          <w:rFonts w:ascii="Palatino Linotype" w:eastAsia="Palatino Linotype" w:hAnsi="Palatino Linotype" w:cs="Palatino Linotype"/>
          <w:b/>
          <w:bCs/>
          <w:i/>
          <w:iCs/>
          <w:color w:val="000000"/>
        </w:rPr>
        <w:t>el producto entregado a la Presidenta Municipal el día de la Marcha del Orgullo LGBTTTIQA+ 2025.</w:t>
      </w:r>
    </w:p>
    <w:p w:rsidR="007D029B" w:rsidRPr="00C35E9E" w:rsidRDefault="007D029B">
      <w:pPr>
        <w:pBdr>
          <w:top w:val="nil"/>
          <w:left w:val="nil"/>
          <w:bottom w:val="nil"/>
          <w:right w:val="nil"/>
          <w:between w:val="nil"/>
        </w:pBdr>
        <w:tabs>
          <w:tab w:val="left" w:pos="426"/>
        </w:tabs>
        <w:ind w:left="567" w:right="-788"/>
        <w:jc w:val="both"/>
        <w:rPr>
          <w:rFonts w:ascii="Palatino Linotype" w:eastAsia="Palatino Linotype" w:hAnsi="Palatino Linotype" w:cs="Palatino Linotype"/>
          <w:b/>
          <w:bCs/>
          <w:i/>
          <w:iCs/>
          <w:color w:val="000000"/>
        </w:rPr>
      </w:pPr>
    </w:p>
    <w:p w:rsidR="007D029B" w:rsidRPr="00C35E9E" w:rsidRDefault="00622048">
      <w:pPr>
        <w:pBdr>
          <w:top w:val="nil"/>
          <w:left w:val="nil"/>
          <w:bottom w:val="nil"/>
          <w:right w:val="nil"/>
          <w:between w:val="nil"/>
        </w:pBdr>
        <w:tabs>
          <w:tab w:val="left" w:pos="426"/>
        </w:tabs>
        <w:ind w:left="567" w:right="-788"/>
        <w:jc w:val="both"/>
        <w:rPr>
          <w:rFonts w:ascii="Palatino Linotype" w:eastAsia="Palatino Linotype" w:hAnsi="Palatino Linotype" w:cs="Palatino Linotype"/>
          <w:i/>
          <w:iCs/>
          <w:color w:val="000000"/>
        </w:rPr>
      </w:pPr>
      <w:r w:rsidRPr="00C35E9E">
        <w:rPr>
          <w:rFonts w:ascii="Palatino Linotype" w:eastAsia="Palatino Linotype" w:hAnsi="Palatino Linotype" w:cs="Palatino Linotype"/>
          <w:i/>
          <w:iCs/>
          <w:color w:val="000000"/>
        </w:rPr>
        <w:t xml:space="preserve">Asimismo, respecto al: "[...] Plan de trabajo del área de diversidad sexual [...J (sic). Se manifiesta que el Plan anual de Trabajo del Departamento de Identidad Diversidad y Derechos LGBTTTIQA+ esta basado en el cumplimiento de Presupuesto basado en Resultados Municipales, por ende, las acciones del Departamento para el presente año se representan de las siguientes metas: </w:t>
      </w:r>
    </w:p>
    <w:p w:rsidR="007D029B" w:rsidRPr="00C35E9E" w:rsidRDefault="007D029B">
      <w:pPr>
        <w:pBdr>
          <w:top w:val="nil"/>
          <w:left w:val="nil"/>
          <w:bottom w:val="nil"/>
          <w:right w:val="nil"/>
          <w:between w:val="nil"/>
        </w:pBdr>
        <w:tabs>
          <w:tab w:val="left" w:pos="426"/>
        </w:tabs>
        <w:ind w:left="567" w:right="-788"/>
        <w:jc w:val="both"/>
        <w:rPr>
          <w:rFonts w:ascii="Palatino Linotype" w:eastAsia="Palatino Linotype" w:hAnsi="Palatino Linotype" w:cs="Palatino Linotype"/>
          <w:i/>
          <w:iCs/>
          <w:color w:val="000000"/>
        </w:rPr>
      </w:pPr>
    </w:p>
    <w:p w:rsidR="007D029B" w:rsidRPr="00C35E9E" w:rsidRDefault="00622048">
      <w:pPr>
        <w:numPr>
          <w:ilvl w:val="0"/>
          <w:numId w:val="2"/>
        </w:numPr>
        <w:pBdr>
          <w:top w:val="nil"/>
          <w:left w:val="nil"/>
          <w:bottom w:val="nil"/>
          <w:right w:val="nil"/>
          <w:between w:val="nil"/>
        </w:pBdr>
        <w:tabs>
          <w:tab w:val="left" w:pos="426"/>
        </w:tabs>
        <w:ind w:right="-788"/>
        <w:jc w:val="both"/>
        <w:rPr>
          <w:rFonts w:ascii="Palatino Linotype" w:eastAsia="Palatino Linotype" w:hAnsi="Palatino Linotype" w:cs="Palatino Linotype"/>
          <w:i/>
          <w:iCs/>
          <w:color w:val="000000"/>
        </w:rPr>
      </w:pPr>
      <w:r w:rsidRPr="00C35E9E">
        <w:rPr>
          <w:rFonts w:ascii="Palatino Linotype" w:eastAsia="Palatino Linotype" w:hAnsi="Palatino Linotype" w:cs="Palatino Linotype"/>
          <w:i/>
          <w:iCs/>
          <w:color w:val="000000"/>
        </w:rPr>
        <w:t xml:space="preserve">Gestión para expedir un Acta de rectificación para el reconocimiento de Identidad de género. </w:t>
      </w:r>
    </w:p>
    <w:p w:rsidR="007D029B" w:rsidRPr="00C35E9E" w:rsidRDefault="00622048">
      <w:pPr>
        <w:numPr>
          <w:ilvl w:val="0"/>
          <w:numId w:val="2"/>
        </w:numPr>
        <w:pBdr>
          <w:top w:val="nil"/>
          <w:left w:val="nil"/>
          <w:bottom w:val="nil"/>
          <w:right w:val="nil"/>
          <w:between w:val="nil"/>
        </w:pBdr>
        <w:tabs>
          <w:tab w:val="left" w:pos="426"/>
        </w:tabs>
        <w:ind w:right="-788"/>
        <w:jc w:val="both"/>
        <w:rPr>
          <w:rFonts w:ascii="Palatino Linotype" w:eastAsia="Palatino Linotype" w:hAnsi="Palatino Linotype" w:cs="Palatino Linotype"/>
          <w:i/>
          <w:iCs/>
          <w:color w:val="000000"/>
        </w:rPr>
      </w:pPr>
      <w:r w:rsidRPr="00C35E9E">
        <w:rPr>
          <w:rFonts w:ascii="Palatino Linotype" w:eastAsia="Palatino Linotype" w:hAnsi="Palatino Linotype" w:cs="Palatino Linotype"/>
          <w:i/>
          <w:iCs/>
          <w:color w:val="000000"/>
        </w:rPr>
        <w:t xml:space="preserve">Jornada de salud en beneficio a la comunidad LGBTQ+. </w:t>
      </w:r>
    </w:p>
    <w:p w:rsidR="007D029B" w:rsidRPr="00C35E9E" w:rsidRDefault="00622048">
      <w:pPr>
        <w:numPr>
          <w:ilvl w:val="0"/>
          <w:numId w:val="2"/>
        </w:numPr>
        <w:pBdr>
          <w:top w:val="nil"/>
          <w:left w:val="nil"/>
          <w:bottom w:val="nil"/>
          <w:right w:val="nil"/>
          <w:between w:val="nil"/>
        </w:pBdr>
        <w:tabs>
          <w:tab w:val="left" w:pos="426"/>
        </w:tabs>
        <w:ind w:right="-788"/>
        <w:jc w:val="both"/>
        <w:rPr>
          <w:rFonts w:ascii="Palatino Linotype" w:eastAsia="Palatino Linotype" w:hAnsi="Palatino Linotype" w:cs="Palatino Linotype"/>
          <w:i/>
          <w:iCs/>
          <w:color w:val="000000"/>
        </w:rPr>
      </w:pPr>
      <w:r w:rsidRPr="00C35E9E">
        <w:rPr>
          <w:rFonts w:ascii="Palatino Linotype" w:eastAsia="Palatino Linotype" w:hAnsi="Palatino Linotype" w:cs="Palatino Linotype"/>
          <w:i/>
          <w:iCs/>
          <w:color w:val="000000"/>
        </w:rPr>
        <w:t xml:space="preserve">Platicas en escuelas acerca de la diversidad sexual y derechos humanos de la población LGBTQ+. </w:t>
      </w:r>
    </w:p>
    <w:p w:rsidR="007D029B" w:rsidRPr="00C35E9E" w:rsidRDefault="00622048">
      <w:pPr>
        <w:numPr>
          <w:ilvl w:val="0"/>
          <w:numId w:val="2"/>
        </w:numPr>
        <w:pBdr>
          <w:top w:val="nil"/>
          <w:left w:val="nil"/>
          <w:bottom w:val="nil"/>
          <w:right w:val="nil"/>
          <w:between w:val="nil"/>
        </w:pBdr>
        <w:tabs>
          <w:tab w:val="left" w:pos="426"/>
        </w:tabs>
        <w:ind w:right="-788"/>
        <w:jc w:val="both"/>
        <w:rPr>
          <w:rFonts w:ascii="Palatino Linotype" w:eastAsia="Palatino Linotype" w:hAnsi="Palatino Linotype" w:cs="Palatino Linotype"/>
          <w:i/>
          <w:iCs/>
          <w:color w:val="000000"/>
        </w:rPr>
      </w:pPr>
      <w:r w:rsidRPr="00C35E9E">
        <w:rPr>
          <w:rFonts w:ascii="Palatino Linotype" w:eastAsia="Palatino Linotype" w:hAnsi="Palatino Linotype" w:cs="Palatino Linotype"/>
          <w:i/>
          <w:iCs/>
          <w:color w:val="000000"/>
        </w:rPr>
        <w:t>Acciones para la expresión cultural de la comunidad LGBTQ+.</w:t>
      </w:r>
    </w:p>
    <w:p w:rsidR="007D029B" w:rsidRPr="00C35E9E" w:rsidRDefault="00622048">
      <w:pPr>
        <w:numPr>
          <w:ilvl w:val="0"/>
          <w:numId w:val="2"/>
        </w:numPr>
        <w:pBdr>
          <w:top w:val="nil"/>
          <w:left w:val="nil"/>
          <w:bottom w:val="nil"/>
          <w:right w:val="nil"/>
          <w:between w:val="nil"/>
        </w:pBdr>
        <w:tabs>
          <w:tab w:val="left" w:pos="426"/>
        </w:tabs>
        <w:ind w:right="-788"/>
        <w:jc w:val="both"/>
        <w:rPr>
          <w:rFonts w:ascii="Palatino Linotype" w:eastAsia="Palatino Linotype" w:hAnsi="Palatino Linotype" w:cs="Palatino Linotype"/>
          <w:i/>
          <w:iCs/>
          <w:color w:val="000000"/>
        </w:rPr>
      </w:pPr>
      <w:r w:rsidRPr="00C35E9E">
        <w:rPr>
          <w:rFonts w:ascii="Palatino Linotype" w:eastAsia="Palatino Linotype" w:hAnsi="Palatino Linotype" w:cs="Palatino Linotype"/>
          <w:i/>
          <w:iCs/>
          <w:color w:val="000000"/>
        </w:rPr>
        <w:t xml:space="preserve">Festejo del día internacional del Orgullo LGBTQ+. </w:t>
      </w:r>
    </w:p>
    <w:p w:rsidR="007D029B" w:rsidRPr="00C35E9E" w:rsidRDefault="00622048">
      <w:pPr>
        <w:numPr>
          <w:ilvl w:val="0"/>
          <w:numId w:val="2"/>
        </w:numPr>
        <w:pBdr>
          <w:top w:val="nil"/>
          <w:left w:val="nil"/>
          <w:bottom w:val="nil"/>
          <w:right w:val="nil"/>
          <w:between w:val="nil"/>
        </w:pBdr>
        <w:tabs>
          <w:tab w:val="left" w:pos="426"/>
        </w:tabs>
        <w:ind w:right="-788"/>
        <w:jc w:val="both"/>
        <w:rPr>
          <w:rFonts w:ascii="Palatino Linotype" w:eastAsia="Palatino Linotype" w:hAnsi="Palatino Linotype" w:cs="Palatino Linotype"/>
          <w:i/>
          <w:iCs/>
          <w:color w:val="000000"/>
        </w:rPr>
      </w:pPr>
      <w:r w:rsidRPr="00C35E9E">
        <w:rPr>
          <w:rFonts w:ascii="Palatino Linotype" w:eastAsia="Palatino Linotype" w:hAnsi="Palatino Linotype" w:cs="Palatino Linotype"/>
          <w:i/>
          <w:iCs/>
          <w:color w:val="000000"/>
        </w:rPr>
        <w:t xml:space="preserve">Platicas de doble discriminación (sexual y discapacidad) en escuelas </w:t>
      </w:r>
    </w:p>
    <w:p w:rsidR="007D029B" w:rsidRPr="00C35E9E" w:rsidRDefault="00622048">
      <w:pPr>
        <w:numPr>
          <w:ilvl w:val="0"/>
          <w:numId w:val="2"/>
        </w:numPr>
        <w:pBdr>
          <w:top w:val="nil"/>
          <w:left w:val="nil"/>
          <w:bottom w:val="nil"/>
          <w:right w:val="nil"/>
          <w:between w:val="nil"/>
        </w:pBdr>
        <w:tabs>
          <w:tab w:val="left" w:pos="426"/>
        </w:tabs>
        <w:ind w:right="-788"/>
        <w:jc w:val="both"/>
        <w:rPr>
          <w:rFonts w:ascii="Palatino Linotype" w:eastAsia="Palatino Linotype" w:hAnsi="Palatino Linotype" w:cs="Palatino Linotype"/>
          <w:i/>
          <w:iCs/>
          <w:color w:val="000000"/>
        </w:rPr>
      </w:pPr>
      <w:r w:rsidRPr="00C35E9E">
        <w:rPr>
          <w:rFonts w:ascii="Palatino Linotype" w:eastAsia="Palatino Linotype" w:hAnsi="Palatino Linotype" w:cs="Palatino Linotype"/>
          <w:i/>
          <w:iCs/>
          <w:color w:val="000000"/>
        </w:rPr>
        <w:t>Platica "Queremos que vivas con mayor diversidad sexual "Quitando etiquetas" en las comunidades indígenas.</w:t>
      </w:r>
    </w:p>
    <w:p w:rsidR="007D029B" w:rsidRPr="00C35E9E" w:rsidRDefault="007D029B">
      <w:pPr>
        <w:pBdr>
          <w:top w:val="nil"/>
          <w:left w:val="nil"/>
          <w:bottom w:val="nil"/>
          <w:right w:val="nil"/>
          <w:between w:val="nil"/>
        </w:pBdr>
        <w:tabs>
          <w:tab w:val="left" w:pos="426"/>
        </w:tabs>
        <w:ind w:left="567" w:right="-788"/>
        <w:jc w:val="both"/>
        <w:rPr>
          <w:rFonts w:ascii="Palatino Linotype" w:eastAsia="Palatino Linotype" w:hAnsi="Palatino Linotype" w:cs="Palatino Linotype"/>
          <w:i/>
          <w:iCs/>
          <w:color w:val="000000"/>
        </w:rPr>
      </w:pPr>
    </w:p>
    <w:p w:rsidR="007D029B" w:rsidRPr="00C35E9E" w:rsidRDefault="007D029B">
      <w:pPr>
        <w:pBdr>
          <w:top w:val="nil"/>
          <w:left w:val="nil"/>
          <w:bottom w:val="nil"/>
          <w:right w:val="nil"/>
          <w:between w:val="nil"/>
        </w:pBdr>
        <w:tabs>
          <w:tab w:val="left" w:pos="426"/>
        </w:tabs>
        <w:ind w:left="567" w:right="-788"/>
        <w:jc w:val="both"/>
        <w:rPr>
          <w:rFonts w:ascii="Palatino Linotype" w:eastAsia="Palatino Linotype" w:hAnsi="Palatino Linotype" w:cs="Palatino Linotype"/>
          <w:i/>
          <w:iCs/>
          <w:color w:val="000000"/>
        </w:rPr>
      </w:pPr>
    </w:p>
    <w:p w:rsidR="007D029B" w:rsidRPr="00C35E9E" w:rsidRDefault="00622048">
      <w:pPr>
        <w:pBdr>
          <w:top w:val="nil"/>
          <w:left w:val="nil"/>
          <w:bottom w:val="nil"/>
          <w:right w:val="nil"/>
          <w:between w:val="nil"/>
        </w:pBdr>
        <w:tabs>
          <w:tab w:val="left" w:pos="426"/>
        </w:tabs>
        <w:ind w:left="567" w:right="-788"/>
        <w:jc w:val="both"/>
        <w:rPr>
          <w:rFonts w:ascii="Palatino Linotype" w:eastAsia="Palatino Linotype" w:hAnsi="Palatino Linotype" w:cs="Palatino Linotype"/>
          <w:i/>
          <w:iCs/>
          <w:color w:val="000000"/>
        </w:rPr>
      </w:pPr>
      <w:r w:rsidRPr="00C35E9E">
        <w:rPr>
          <w:rFonts w:ascii="Palatino Linotype" w:eastAsia="Palatino Linotype" w:hAnsi="Palatino Linotype" w:cs="Palatino Linotype"/>
          <w:i/>
          <w:iCs/>
          <w:color w:val="000000"/>
        </w:rPr>
        <w:t xml:space="preserve">Finalmente, en respuesta a: "[...] Informe de los avances respecto a los acuerdos establecidos en el "Foro de escucha de necesidades de la población LGBTTTIQA+ de Nicolás Romero" llevado a cabo </w:t>
      </w:r>
      <w:r w:rsidRPr="00C35E9E">
        <w:rPr>
          <w:rFonts w:ascii="Palatino Linotype" w:eastAsia="Palatino Linotype" w:hAnsi="Palatino Linotype" w:cs="Palatino Linotype"/>
          <w:i/>
          <w:iCs/>
          <w:color w:val="000000"/>
        </w:rPr>
        <w:lastRenderedPageBreak/>
        <w:t>el 07 de febrero del presente año, en presencia de la presidenta municipal Yoselín Mendoza." (sic). Se informa que, toda vez que en dicho evento no se cumplimentó con el aforo mínimo de personas que amerita un "foro", se llevó a cabo una actividad de escucha activa con las personas de la sociedad civil que asistieron. Asimismo, tras una búsqueda exhaustiva de información se logró identificar la inexistencia al respecto, ya que, desde la titularidad de la Dirección de las Mujeres, Inclusión y Equidad, así como del Departamento de Identidad, Diversidad y Derechos LGBTTTIQA+ n</w:t>
      </w:r>
      <w:r w:rsidRPr="00C35E9E">
        <w:rPr>
          <w:rFonts w:ascii="Palatino Linotype" w:eastAsia="Palatino Linotype" w:hAnsi="Palatino Linotype" w:cs="Palatino Linotype"/>
          <w:b/>
          <w:bCs/>
          <w:i/>
          <w:iCs/>
          <w:color w:val="000000"/>
        </w:rPr>
        <w:t>o se generaron acuerdos formales derivados del evento mencionado</w:t>
      </w:r>
      <w:r w:rsidRPr="00C35E9E">
        <w:rPr>
          <w:rFonts w:ascii="Palatino Linotype" w:eastAsia="Palatino Linotype" w:hAnsi="Palatino Linotype" w:cs="Palatino Linotype"/>
          <w:i/>
          <w:iCs/>
          <w:color w:val="000000"/>
        </w:rPr>
        <w:t>. Lo anterior, es respaldado en la inexistencia de registros en asuntos pendientes del Acta Entrega-Recepción de ambas áreas al momento de la posesión de los nuevos titulares.</w:t>
      </w:r>
    </w:p>
    <w:p w:rsidR="007D029B" w:rsidRPr="00C35E9E" w:rsidRDefault="007D029B">
      <w:pPr>
        <w:pBdr>
          <w:top w:val="nil"/>
          <w:left w:val="nil"/>
          <w:bottom w:val="nil"/>
          <w:right w:val="nil"/>
          <w:between w:val="nil"/>
        </w:pBdr>
        <w:tabs>
          <w:tab w:val="left" w:pos="426"/>
        </w:tabs>
        <w:ind w:left="567" w:right="-788"/>
        <w:jc w:val="both"/>
        <w:rPr>
          <w:rFonts w:ascii="Palatino Linotype" w:eastAsia="Palatino Linotype" w:hAnsi="Palatino Linotype" w:cs="Palatino Linotype"/>
          <w:i/>
          <w:iCs/>
          <w:color w:val="000000"/>
        </w:rPr>
      </w:pPr>
    </w:p>
    <w:p w:rsidR="007D029B" w:rsidRPr="00C35E9E" w:rsidRDefault="00622048">
      <w:pPr>
        <w:pBdr>
          <w:top w:val="nil"/>
          <w:left w:val="nil"/>
          <w:bottom w:val="nil"/>
          <w:right w:val="nil"/>
          <w:between w:val="nil"/>
        </w:pBdr>
        <w:tabs>
          <w:tab w:val="left" w:pos="426"/>
        </w:tabs>
        <w:ind w:left="567" w:right="-788"/>
        <w:jc w:val="both"/>
        <w:rPr>
          <w:rFonts w:ascii="Palatino Linotype" w:eastAsia="Palatino Linotype" w:hAnsi="Palatino Linotype" w:cs="Palatino Linotype"/>
          <w:color w:val="000000"/>
        </w:rPr>
      </w:pPr>
      <w:r w:rsidRPr="00C35E9E">
        <w:rPr>
          <w:rFonts w:ascii="Palatino Linotype" w:eastAsia="Palatino Linotype" w:hAnsi="Palatino Linotype" w:cs="Palatino Linotype"/>
          <w:color w:val="000000"/>
        </w:rPr>
        <w:t xml:space="preserve">- Documento de fecha 27 de junio de 2025, firmado por el Jefe del Departamento de Identidad, Diversidad y Derechos LGBTTTIQA+ y la Directora de las Mujeres, Inclusión y Equidad, dirigido a la Presidenta Municipal Constitucional de Nicolás Romero, cuyo asunto consiste en un pliego petitorio en el que se propone la implementación de los siguientes cuatro proyectos estratégicos. </w:t>
      </w:r>
    </w:p>
    <w:p w:rsidR="007D029B" w:rsidRPr="00C35E9E" w:rsidRDefault="007D029B">
      <w:pPr>
        <w:pBdr>
          <w:top w:val="nil"/>
          <w:left w:val="nil"/>
          <w:bottom w:val="nil"/>
          <w:right w:val="nil"/>
          <w:between w:val="nil"/>
        </w:pBdr>
        <w:tabs>
          <w:tab w:val="left" w:pos="426"/>
        </w:tabs>
        <w:ind w:left="567" w:right="-788"/>
        <w:jc w:val="both"/>
        <w:rPr>
          <w:rFonts w:ascii="Palatino Linotype" w:eastAsia="Palatino Linotype" w:hAnsi="Palatino Linotype" w:cs="Palatino Linotype"/>
          <w:color w:val="000000"/>
        </w:rPr>
      </w:pPr>
    </w:p>
    <w:p w:rsidR="007D029B" w:rsidRPr="00C35E9E" w:rsidRDefault="00622048">
      <w:pPr>
        <w:pBdr>
          <w:top w:val="nil"/>
          <w:left w:val="nil"/>
          <w:bottom w:val="nil"/>
          <w:right w:val="nil"/>
          <w:between w:val="nil"/>
        </w:pBdr>
        <w:tabs>
          <w:tab w:val="left" w:pos="426"/>
        </w:tabs>
        <w:ind w:left="567" w:right="-788"/>
        <w:jc w:val="both"/>
        <w:rPr>
          <w:rFonts w:ascii="Palatino Linotype" w:eastAsia="Palatino Linotype" w:hAnsi="Palatino Linotype" w:cs="Palatino Linotype"/>
          <w:b/>
          <w:bCs/>
          <w:i/>
          <w:iCs/>
          <w:color w:val="000000"/>
        </w:rPr>
      </w:pPr>
      <w:r w:rsidRPr="00C35E9E">
        <w:rPr>
          <w:rFonts w:ascii="Palatino Linotype" w:eastAsia="Palatino Linotype" w:hAnsi="Palatino Linotype" w:cs="Palatino Linotype"/>
          <w:b/>
          <w:bCs/>
          <w:i/>
          <w:iCs/>
          <w:color w:val="000000"/>
        </w:rPr>
        <w:t>Respuesta Sol 399.pdf</w:t>
      </w:r>
    </w:p>
    <w:p w:rsidR="007D029B" w:rsidRPr="00C35E9E" w:rsidRDefault="00622048">
      <w:pPr>
        <w:pBdr>
          <w:top w:val="nil"/>
          <w:left w:val="nil"/>
          <w:bottom w:val="nil"/>
          <w:right w:val="nil"/>
          <w:between w:val="nil"/>
        </w:pBdr>
        <w:tabs>
          <w:tab w:val="left" w:pos="426"/>
        </w:tabs>
        <w:ind w:left="567" w:right="-788"/>
        <w:jc w:val="both"/>
        <w:rPr>
          <w:rFonts w:ascii="Palatino Linotype" w:eastAsia="Palatino Linotype" w:hAnsi="Palatino Linotype" w:cs="Palatino Linotype"/>
          <w:color w:val="000000"/>
        </w:rPr>
      </w:pPr>
      <w:r w:rsidRPr="00C35E9E">
        <w:rPr>
          <w:rFonts w:ascii="Palatino Linotype" w:eastAsia="Palatino Linotype" w:hAnsi="Palatino Linotype" w:cs="Palatino Linotype"/>
          <w:color w:val="000000"/>
        </w:rPr>
        <w:t>Mismo documento ya descrito.</w:t>
      </w:r>
    </w:p>
    <w:p w:rsidR="007D029B" w:rsidRPr="00C35E9E" w:rsidRDefault="007D029B">
      <w:pPr>
        <w:pBdr>
          <w:top w:val="nil"/>
          <w:left w:val="nil"/>
          <w:bottom w:val="nil"/>
          <w:right w:val="nil"/>
          <w:between w:val="nil"/>
        </w:pBdr>
        <w:ind w:right="-787"/>
        <w:jc w:val="both"/>
        <w:rPr>
          <w:rFonts w:ascii="Palatino Linotype" w:eastAsia="Palatino Linotype" w:hAnsi="Palatino Linotype" w:cs="Palatino Linotype"/>
          <w:b/>
          <w:bCs/>
          <w:i/>
          <w:iCs/>
          <w:color w:val="000000"/>
        </w:rPr>
      </w:pPr>
    </w:p>
    <w:p w:rsidR="007D029B" w:rsidRPr="00C35E9E" w:rsidRDefault="007D029B">
      <w:pPr>
        <w:pBdr>
          <w:top w:val="nil"/>
          <w:left w:val="nil"/>
          <w:bottom w:val="nil"/>
          <w:right w:val="nil"/>
          <w:between w:val="nil"/>
        </w:pBdr>
        <w:ind w:right="-787"/>
        <w:jc w:val="both"/>
        <w:rPr>
          <w:rFonts w:ascii="Palatino Linotype" w:eastAsia="Palatino Linotype" w:hAnsi="Palatino Linotype" w:cs="Palatino Linotype"/>
          <w:b/>
          <w:bCs/>
          <w:i/>
          <w:iCs/>
          <w:color w:val="000000"/>
        </w:rPr>
      </w:pPr>
    </w:p>
    <w:p w:rsidR="007D029B" w:rsidRPr="00C35E9E" w:rsidRDefault="00622048">
      <w:pPr>
        <w:numPr>
          <w:ilvl w:val="0"/>
          <w:numId w:val="4"/>
        </w:numPr>
        <w:pBdr>
          <w:top w:val="nil"/>
          <w:left w:val="nil"/>
          <w:bottom w:val="nil"/>
          <w:right w:val="nil"/>
          <w:between w:val="nil"/>
        </w:pBdr>
        <w:tabs>
          <w:tab w:val="left" w:pos="0"/>
        </w:tabs>
        <w:spacing w:line="360" w:lineRule="auto"/>
        <w:ind w:left="0" w:right="-787" w:firstLine="0"/>
        <w:jc w:val="both"/>
        <w:rPr>
          <w:rFonts w:ascii="Palatino Linotype" w:eastAsia="Palatino Linotype" w:hAnsi="Palatino Linotype" w:cs="Palatino Linotype"/>
          <w:color w:val="000000"/>
        </w:rPr>
      </w:pPr>
      <w:r w:rsidRPr="00C35E9E">
        <w:rPr>
          <w:rFonts w:ascii="Palatino Linotype" w:eastAsia="Palatino Linotype" w:hAnsi="Palatino Linotype" w:cs="Palatino Linotype"/>
          <w:color w:val="000000"/>
        </w:rPr>
        <w:t>El</w:t>
      </w:r>
      <w:r w:rsidRPr="00C35E9E">
        <w:rPr>
          <w:rFonts w:ascii="Palatino Linotype" w:eastAsia="Palatino Linotype" w:hAnsi="Palatino Linotype" w:cs="Palatino Linotype"/>
          <w:b/>
          <w:bCs/>
          <w:color w:val="000000"/>
        </w:rPr>
        <w:t xml:space="preserve"> trece de agosto de dos mil veinticinco</w:t>
      </w:r>
      <w:r w:rsidRPr="00C35E9E">
        <w:rPr>
          <w:rFonts w:ascii="Palatino Linotype" w:eastAsia="Palatino Linotype" w:hAnsi="Palatino Linotype" w:cs="Palatino Linotype"/>
          <w:color w:val="000000"/>
        </w:rPr>
        <w:t xml:space="preserve">, el particular interpuso </w:t>
      </w:r>
      <w:r w:rsidRPr="00C35E9E">
        <w:rPr>
          <w:rFonts w:ascii="Palatino Linotype" w:eastAsia="Palatino Linotype" w:hAnsi="Palatino Linotype" w:cs="Palatino Linotype"/>
          <w:b/>
          <w:bCs/>
          <w:color w:val="000000"/>
        </w:rPr>
        <w:t>recurso de revisión</w:t>
      </w:r>
      <w:r w:rsidRPr="00C35E9E">
        <w:rPr>
          <w:rFonts w:ascii="Palatino Linotype" w:eastAsia="Palatino Linotype" w:hAnsi="Palatino Linotype" w:cs="Palatino Linotype"/>
          <w:color w:val="000000"/>
        </w:rPr>
        <w:t xml:space="preserve"> al que se le asignó el folio </w:t>
      </w:r>
      <w:r w:rsidRPr="00C35E9E">
        <w:rPr>
          <w:rFonts w:ascii="Palatino Linotype" w:eastAsia="Palatino Linotype" w:hAnsi="Palatino Linotype" w:cs="Palatino Linotype"/>
          <w:b/>
          <w:bCs/>
          <w:color w:val="000000"/>
        </w:rPr>
        <w:t xml:space="preserve">09538/INFOEM/IP/RR/2025, </w:t>
      </w:r>
      <w:r w:rsidRPr="00C35E9E">
        <w:rPr>
          <w:rFonts w:ascii="Palatino Linotype" w:eastAsia="Palatino Linotype" w:hAnsi="Palatino Linotype" w:cs="Palatino Linotype"/>
          <w:color w:val="000000"/>
        </w:rPr>
        <w:t>en contra de la respuesta emitida por el sujeto obligado, realizando las siguientes manifestaciones como acto impugnado y razones o motivos de inconformidad:</w:t>
      </w:r>
    </w:p>
    <w:p w:rsidR="007D029B" w:rsidRPr="00C35E9E" w:rsidRDefault="007D029B">
      <w:pPr>
        <w:pBdr>
          <w:top w:val="nil"/>
          <w:left w:val="nil"/>
          <w:bottom w:val="nil"/>
          <w:right w:val="nil"/>
          <w:between w:val="nil"/>
        </w:pBdr>
        <w:tabs>
          <w:tab w:val="left" w:pos="0"/>
        </w:tabs>
        <w:ind w:right="-788"/>
        <w:jc w:val="both"/>
        <w:rPr>
          <w:rFonts w:ascii="Palatino Linotype" w:eastAsia="Palatino Linotype" w:hAnsi="Palatino Linotype" w:cs="Palatino Linotype"/>
          <w:color w:val="000000"/>
        </w:rPr>
      </w:pPr>
    </w:p>
    <w:p w:rsidR="007D029B" w:rsidRPr="00C35E9E" w:rsidRDefault="00C35E9E" w:rsidP="00C35E9E">
      <w:pPr>
        <w:pStyle w:val="Prrafodelista"/>
        <w:numPr>
          <w:ilvl w:val="0"/>
          <w:numId w:val="9"/>
        </w:numPr>
        <w:pBdr>
          <w:top w:val="nil"/>
          <w:left w:val="nil"/>
          <w:bottom w:val="nil"/>
          <w:right w:val="nil"/>
          <w:between w:val="nil"/>
        </w:pBdr>
        <w:ind w:right="-787"/>
        <w:jc w:val="both"/>
        <w:rPr>
          <w:rFonts w:ascii="Palatino Linotype" w:eastAsia="Palatino Linotype" w:hAnsi="Palatino Linotype" w:cs="Palatino Linotype"/>
          <w:i/>
          <w:iCs/>
          <w:color w:val="000000"/>
        </w:rPr>
      </w:pPr>
      <w:bookmarkStart w:id="1" w:name="_heading=h.1fob9te" w:colFirst="0" w:colLast="0"/>
      <w:bookmarkEnd w:id="1"/>
      <w:r w:rsidRPr="00C35E9E">
        <w:rPr>
          <w:rFonts w:ascii="Palatino Linotype" w:eastAsia="Palatino Linotype" w:hAnsi="Palatino Linotype" w:cs="Palatino Linotype"/>
          <w:b/>
          <w:bCs/>
          <w:color w:val="000000"/>
        </w:rPr>
        <w:t>ACTO IMPUGNADO</w:t>
      </w:r>
      <w:r w:rsidR="00622048" w:rsidRPr="00C35E9E">
        <w:rPr>
          <w:rFonts w:ascii="Palatino Linotype" w:eastAsia="Palatino Linotype" w:hAnsi="Palatino Linotype" w:cs="Palatino Linotype"/>
          <w:b/>
          <w:bCs/>
          <w:color w:val="000000"/>
        </w:rPr>
        <w:t xml:space="preserve">: </w:t>
      </w:r>
      <w:r w:rsidR="00622048" w:rsidRPr="00C35E9E">
        <w:rPr>
          <w:rFonts w:ascii="Palatino Linotype" w:eastAsia="Palatino Linotype" w:hAnsi="Palatino Linotype" w:cs="Palatino Linotype"/>
          <w:i/>
          <w:iCs/>
          <w:color w:val="000000"/>
        </w:rPr>
        <w:t>“El Sujeto Obligado entrega información incompleta, vaga y a modo.” (Sic)</w:t>
      </w:r>
    </w:p>
    <w:p w:rsidR="007D029B" w:rsidRPr="00C35E9E" w:rsidRDefault="007D029B" w:rsidP="00C35E9E">
      <w:pPr>
        <w:pBdr>
          <w:top w:val="nil"/>
          <w:left w:val="nil"/>
          <w:bottom w:val="nil"/>
          <w:right w:val="nil"/>
          <w:between w:val="nil"/>
        </w:pBdr>
        <w:ind w:right="-787"/>
        <w:jc w:val="both"/>
        <w:rPr>
          <w:rFonts w:ascii="Palatino Linotype" w:eastAsia="Palatino Linotype" w:hAnsi="Palatino Linotype" w:cs="Palatino Linotype"/>
          <w:b/>
          <w:bCs/>
          <w:color w:val="000000"/>
        </w:rPr>
      </w:pPr>
    </w:p>
    <w:p w:rsidR="007D029B" w:rsidRPr="00C35E9E" w:rsidRDefault="00C35E9E" w:rsidP="00C35E9E">
      <w:pPr>
        <w:pStyle w:val="Prrafodelista"/>
        <w:numPr>
          <w:ilvl w:val="0"/>
          <w:numId w:val="9"/>
        </w:numPr>
        <w:pBdr>
          <w:top w:val="nil"/>
          <w:left w:val="nil"/>
          <w:bottom w:val="nil"/>
          <w:right w:val="nil"/>
          <w:between w:val="nil"/>
        </w:pBdr>
        <w:ind w:right="-787"/>
        <w:jc w:val="both"/>
        <w:rPr>
          <w:rFonts w:ascii="Palatino Linotype" w:eastAsia="Palatino Linotype" w:hAnsi="Palatino Linotype" w:cs="Palatino Linotype"/>
          <w:i/>
          <w:iCs/>
          <w:color w:val="000000"/>
        </w:rPr>
      </w:pPr>
      <w:r w:rsidRPr="00C35E9E">
        <w:rPr>
          <w:rFonts w:ascii="Palatino Linotype" w:eastAsia="Palatino Linotype" w:hAnsi="Palatino Linotype" w:cs="Palatino Linotype"/>
          <w:b/>
          <w:bCs/>
          <w:color w:val="000000"/>
        </w:rPr>
        <w:t>RAZONES O MOTIVOS DE INCONFORMIDAD</w:t>
      </w:r>
      <w:r w:rsidR="00622048" w:rsidRPr="00C35E9E">
        <w:rPr>
          <w:rFonts w:ascii="Palatino Linotype" w:eastAsia="Palatino Linotype" w:hAnsi="Palatino Linotype" w:cs="Palatino Linotype"/>
          <w:b/>
          <w:bCs/>
          <w:color w:val="000000"/>
        </w:rPr>
        <w:t xml:space="preserve">: </w:t>
      </w:r>
      <w:r w:rsidR="00622048" w:rsidRPr="00C35E9E">
        <w:rPr>
          <w:rFonts w:ascii="Palatino Linotype" w:eastAsia="Palatino Linotype" w:hAnsi="Palatino Linotype" w:cs="Palatino Linotype"/>
          <w:i/>
          <w:iCs/>
          <w:color w:val="000000"/>
        </w:rPr>
        <w:t xml:space="preserve">“De la respuesta recibida: 1. El pliego petitorio entregado a la Presidenta Municipal era un documento vasto en cantidad de hojas, en cambio lo entregado en la respuesta son dos cuartillas, que a todas luces fue maniobrando para su entrega. 2. Respecto del plan de trabajo: el área en cuestión refiere que se basa en el cumplimiento del presupuesto basado en Resultados municipales. Es decir, existe un plan de trabajo pero no lo entregan, sólo hacen mención de las metas. 3. Del informe sobre los avances </w:t>
      </w:r>
      <w:r w:rsidR="00622048" w:rsidRPr="00C35E9E">
        <w:rPr>
          <w:rFonts w:ascii="Palatino Linotype" w:eastAsia="Palatino Linotype" w:hAnsi="Palatino Linotype" w:cs="Palatino Linotype"/>
          <w:i/>
          <w:iCs/>
          <w:color w:val="000000"/>
        </w:rPr>
        <w:lastRenderedPageBreak/>
        <w:t>del foro. Se menciona que no hubo foro por no cumplir con el aforo y, a su vez, no hubo acuerdos. Sin embargo, en la página oficial de Facebook del Gobierno Municipal de Nicolás Romero se afirma que sí hubo foro y se promete que se ampliará un programa para la comunidad LGBTTTIQA+, tal como se puede observar en el documento anexo. Todo lo anterior demuestra que este sujeto obligado vulnera el derecho humano al acceso de información pública, por lo cual solicito se apruebe este recurso de revisión.” (Sic)</w:t>
      </w:r>
    </w:p>
    <w:p w:rsidR="007D029B" w:rsidRPr="00C35E9E" w:rsidRDefault="007D029B">
      <w:pPr>
        <w:pBdr>
          <w:top w:val="nil"/>
          <w:left w:val="nil"/>
          <w:bottom w:val="nil"/>
          <w:right w:val="nil"/>
          <w:between w:val="nil"/>
        </w:pBdr>
        <w:ind w:left="567" w:right="-787"/>
        <w:jc w:val="both"/>
        <w:rPr>
          <w:rFonts w:ascii="Palatino Linotype" w:eastAsia="Palatino Linotype" w:hAnsi="Palatino Linotype" w:cs="Palatino Linotype"/>
          <w:i/>
          <w:iCs/>
          <w:color w:val="000000"/>
        </w:rPr>
      </w:pPr>
    </w:p>
    <w:p w:rsidR="007D029B" w:rsidRPr="00C35E9E" w:rsidRDefault="00622048" w:rsidP="00C35E9E">
      <w:pPr>
        <w:pBdr>
          <w:top w:val="nil"/>
          <w:left w:val="nil"/>
          <w:bottom w:val="nil"/>
          <w:right w:val="nil"/>
          <w:between w:val="nil"/>
        </w:pBdr>
        <w:ind w:right="-787"/>
        <w:jc w:val="both"/>
        <w:rPr>
          <w:rFonts w:ascii="Palatino Linotype" w:eastAsia="Palatino Linotype" w:hAnsi="Palatino Linotype" w:cs="Palatino Linotype"/>
          <w:color w:val="000000"/>
        </w:rPr>
      </w:pPr>
      <w:r w:rsidRPr="00C35E9E">
        <w:rPr>
          <w:rFonts w:ascii="Palatino Linotype" w:eastAsia="Palatino Linotype" w:hAnsi="Palatino Linotype" w:cs="Palatino Linotype"/>
          <w:color w:val="000000"/>
        </w:rPr>
        <w:t xml:space="preserve">La parte Recurrente adjunta el documento denominado </w:t>
      </w:r>
      <w:r w:rsidRPr="00C35E9E">
        <w:rPr>
          <w:rFonts w:ascii="Palatino Linotype" w:eastAsia="Palatino Linotype" w:hAnsi="Palatino Linotype" w:cs="Palatino Linotype"/>
          <w:b/>
          <w:bCs/>
          <w:i/>
          <w:iCs/>
          <w:color w:val="000000"/>
        </w:rPr>
        <w:t>Prueba_existencia_foro.PDF,</w:t>
      </w:r>
      <w:r w:rsidRPr="00C35E9E">
        <w:rPr>
          <w:rFonts w:ascii="Palatino Linotype" w:eastAsia="Palatino Linotype" w:hAnsi="Palatino Linotype" w:cs="Palatino Linotype"/>
          <w:color w:val="000000"/>
        </w:rPr>
        <w:t xml:space="preserve">  mismos que muestra una captura de pantalla de una red social del Gobierno Municipal de Nicolás Romero.</w:t>
      </w:r>
    </w:p>
    <w:p w:rsidR="007D029B" w:rsidRPr="00C35E9E" w:rsidRDefault="00622048">
      <w:pPr>
        <w:pBdr>
          <w:top w:val="nil"/>
          <w:left w:val="nil"/>
          <w:bottom w:val="nil"/>
          <w:right w:val="nil"/>
          <w:between w:val="nil"/>
        </w:pBdr>
        <w:tabs>
          <w:tab w:val="left" w:pos="3416"/>
        </w:tabs>
        <w:ind w:right="-788"/>
        <w:jc w:val="both"/>
        <w:rPr>
          <w:rFonts w:ascii="Palatino Linotype" w:eastAsia="Palatino Linotype" w:hAnsi="Palatino Linotype" w:cs="Palatino Linotype"/>
          <w:b/>
          <w:bCs/>
          <w:color w:val="000000"/>
        </w:rPr>
      </w:pPr>
      <w:r w:rsidRPr="00C35E9E">
        <w:rPr>
          <w:rFonts w:ascii="Palatino Linotype" w:eastAsia="Palatino Linotype" w:hAnsi="Palatino Linotype" w:cs="Palatino Linotype"/>
          <w:b/>
          <w:bCs/>
          <w:color w:val="000000"/>
        </w:rPr>
        <w:tab/>
      </w:r>
    </w:p>
    <w:p w:rsidR="007D029B" w:rsidRPr="00C35E9E" w:rsidRDefault="007D029B">
      <w:pPr>
        <w:pBdr>
          <w:top w:val="nil"/>
          <w:left w:val="nil"/>
          <w:bottom w:val="nil"/>
          <w:right w:val="nil"/>
          <w:between w:val="nil"/>
        </w:pBdr>
        <w:tabs>
          <w:tab w:val="left" w:pos="0"/>
        </w:tabs>
        <w:ind w:right="-788"/>
        <w:jc w:val="both"/>
        <w:rPr>
          <w:rFonts w:ascii="Palatino Linotype" w:eastAsia="Palatino Linotype" w:hAnsi="Palatino Linotype" w:cs="Palatino Linotype"/>
          <w:i/>
          <w:iCs/>
          <w:color w:val="000000"/>
          <w:u w:val="single"/>
        </w:rPr>
      </w:pPr>
    </w:p>
    <w:p w:rsidR="007D029B" w:rsidRPr="00C35E9E" w:rsidRDefault="00C35E9E">
      <w:pPr>
        <w:numPr>
          <w:ilvl w:val="0"/>
          <w:numId w:val="4"/>
        </w:numPr>
        <w:pBdr>
          <w:top w:val="nil"/>
          <w:left w:val="nil"/>
          <w:bottom w:val="nil"/>
          <w:right w:val="nil"/>
          <w:between w:val="nil"/>
        </w:pBdr>
        <w:tabs>
          <w:tab w:val="left" w:pos="0"/>
        </w:tabs>
        <w:spacing w:line="360" w:lineRule="auto"/>
        <w:ind w:left="0" w:right="-787" w:firstLine="0"/>
        <w:jc w:val="both"/>
        <w:rPr>
          <w:color w:val="000000"/>
        </w:rPr>
      </w:pPr>
      <w:r>
        <w:rPr>
          <w:rFonts w:ascii="Palatino Linotype" w:eastAsia="Palatino Linotype" w:hAnsi="Palatino Linotype" w:cs="Palatino Linotype"/>
          <w:color w:val="000000"/>
        </w:rPr>
        <w:t>La Comisionada p</w:t>
      </w:r>
      <w:r w:rsidR="00622048" w:rsidRPr="00C35E9E">
        <w:rPr>
          <w:rFonts w:ascii="Palatino Linotype" w:eastAsia="Palatino Linotype" w:hAnsi="Palatino Linotype" w:cs="Palatino Linotype"/>
          <w:color w:val="000000"/>
        </w:rPr>
        <w:t xml:space="preserve">onente con fundamento en lo dispuesto por el artículo 185, fracción II, de la ley de la materia, a través del </w:t>
      </w:r>
      <w:r w:rsidR="00622048" w:rsidRPr="00C35E9E">
        <w:rPr>
          <w:rFonts w:ascii="Palatino Linotype" w:eastAsia="Palatino Linotype" w:hAnsi="Palatino Linotype" w:cs="Palatino Linotype"/>
          <w:b/>
          <w:bCs/>
          <w:color w:val="000000"/>
        </w:rPr>
        <w:t xml:space="preserve">acuerdo de admisión </w:t>
      </w:r>
      <w:r w:rsidR="00622048" w:rsidRPr="00C35E9E">
        <w:rPr>
          <w:rFonts w:ascii="Palatino Linotype" w:eastAsia="Palatino Linotype" w:hAnsi="Palatino Linotype" w:cs="Palatino Linotype"/>
          <w:color w:val="000000"/>
        </w:rPr>
        <w:t xml:space="preserve">de fecha </w:t>
      </w:r>
      <w:r w:rsidR="00622048" w:rsidRPr="00C35E9E">
        <w:rPr>
          <w:rFonts w:ascii="Palatino Linotype" w:eastAsia="Palatino Linotype" w:hAnsi="Palatino Linotype" w:cs="Palatino Linotype"/>
          <w:b/>
          <w:bCs/>
          <w:color w:val="000000"/>
        </w:rPr>
        <w:t xml:space="preserve">catorce de agosto de dos mil veinticinco, </w:t>
      </w:r>
      <w:r w:rsidR="00622048" w:rsidRPr="00C35E9E">
        <w:rPr>
          <w:rFonts w:ascii="Palatino Linotype" w:eastAsia="Palatino Linotype" w:hAnsi="Palatino Linotype" w:cs="Palatino Linotype"/>
          <w:color w:val="000000"/>
        </w:rPr>
        <w:t xml:space="preserve">puso a disposición de las partes el expediente electrónico vía SAIMEX a efecto de que en un plazo máximo de siete días </w:t>
      </w:r>
      <w:r w:rsidR="00622048" w:rsidRPr="00C35E9E">
        <w:rPr>
          <w:rFonts w:ascii="Palatino Linotype" w:eastAsia="Palatino Linotype" w:hAnsi="Palatino Linotype" w:cs="Palatino Linotype"/>
        </w:rPr>
        <w:t>manifestara</w:t>
      </w:r>
      <w:r w:rsidR="00622048" w:rsidRPr="00C35E9E">
        <w:rPr>
          <w:rFonts w:ascii="Palatino Linotype" w:eastAsia="Palatino Linotype" w:hAnsi="Palatino Linotype" w:cs="Palatino Linotype"/>
          <w:color w:val="000000"/>
        </w:rPr>
        <w:t xml:space="preserve"> lo que a su derecho conviniera, </w:t>
      </w:r>
      <w:r w:rsidR="00622048" w:rsidRPr="00C35E9E">
        <w:rPr>
          <w:rFonts w:ascii="Palatino Linotype" w:eastAsia="Palatino Linotype" w:hAnsi="Palatino Linotype" w:cs="Palatino Linotype"/>
        </w:rPr>
        <w:t>ofreciera</w:t>
      </w:r>
      <w:r w:rsidR="00622048" w:rsidRPr="00C35E9E">
        <w:rPr>
          <w:rFonts w:ascii="Palatino Linotype" w:eastAsia="Palatino Linotype" w:hAnsi="Palatino Linotype" w:cs="Palatino Linotype"/>
          <w:color w:val="000000"/>
        </w:rPr>
        <w:t xml:space="preserve"> pruebas y alegatos según corresponda al caso concreto, de esta forma para que el </w:t>
      </w:r>
      <w:r w:rsidR="00622048" w:rsidRPr="00C35E9E">
        <w:rPr>
          <w:rFonts w:ascii="Palatino Linotype" w:eastAsia="Palatino Linotype" w:hAnsi="Palatino Linotype" w:cs="Palatino Linotype"/>
          <w:b/>
          <w:bCs/>
          <w:color w:val="000000"/>
        </w:rPr>
        <w:t xml:space="preserve">SUJETO OBLIGADO </w:t>
      </w:r>
      <w:r w:rsidR="00622048" w:rsidRPr="00C35E9E">
        <w:rPr>
          <w:rFonts w:ascii="Palatino Linotype" w:eastAsia="Palatino Linotype" w:hAnsi="Palatino Linotype" w:cs="Palatino Linotype"/>
        </w:rPr>
        <w:t>presentará</w:t>
      </w:r>
      <w:r w:rsidR="00622048" w:rsidRPr="00C35E9E">
        <w:rPr>
          <w:rFonts w:ascii="Palatino Linotype" w:eastAsia="Palatino Linotype" w:hAnsi="Palatino Linotype" w:cs="Palatino Linotype"/>
          <w:color w:val="000000"/>
        </w:rPr>
        <w:t xml:space="preserve"> el Informe Justificado procedente.</w:t>
      </w:r>
    </w:p>
    <w:p w:rsidR="007D029B" w:rsidRPr="00C35E9E" w:rsidRDefault="007D029B">
      <w:pPr>
        <w:pBdr>
          <w:top w:val="nil"/>
          <w:left w:val="nil"/>
          <w:bottom w:val="nil"/>
          <w:right w:val="nil"/>
          <w:between w:val="nil"/>
        </w:pBdr>
        <w:tabs>
          <w:tab w:val="left" w:pos="0"/>
        </w:tabs>
        <w:spacing w:line="360" w:lineRule="auto"/>
        <w:ind w:right="-787"/>
        <w:jc w:val="both"/>
        <w:rPr>
          <w:rFonts w:ascii="Palatino Linotype" w:eastAsia="Palatino Linotype" w:hAnsi="Palatino Linotype" w:cs="Palatino Linotype"/>
          <w:i/>
          <w:iCs/>
          <w:color w:val="000000"/>
          <w:u w:val="single"/>
        </w:rPr>
      </w:pPr>
    </w:p>
    <w:p w:rsidR="007D029B" w:rsidRPr="00C35E9E" w:rsidRDefault="00622048">
      <w:pPr>
        <w:numPr>
          <w:ilvl w:val="0"/>
          <w:numId w:val="4"/>
        </w:numPr>
        <w:pBdr>
          <w:top w:val="nil"/>
          <w:left w:val="nil"/>
          <w:bottom w:val="nil"/>
          <w:right w:val="nil"/>
          <w:between w:val="nil"/>
        </w:pBdr>
        <w:tabs>
          <w:tab w:val="left" w:pos="0"/>
        </w:tabs>
        <w:spacing w:line="360" w:lineRule="auto"/>
        <w:ind w:left="0" w:right="-787" w:firstLine="0"/>
        <w:jc w:val="both"/>
        <w:rPr>
          <w:rFonts w:ascii="Palatino Linotype" w:eastAsia="Palatino Linotype" w:hAnsi="Palatino Linotype" w:cs="Palatino Linotype"/>
          <w:b/>
          <w:bCs/>
          <w:color w:val="000000"/>
        </w:rPr>
      </w:pPr>
      <w:r w:rsidRPr="00C35E9E">
        <w:rPr>
          <w:rFonts w:ascii="Palatino Linotype" w:eastAsia="Palatino Linotype" w:hAnsi="Palatino Linotype" w:cs="Palatino Linotype"/>
          <w:color w:val="000000"/>
        </w:rPr>
        <w:t>El Recurrente</w:t>
      </w:r>
      <w:r w:rsidRPr="00C35E9E">
        <w:rPr>
          <w:rFonts w:ascii="Palatino Linotype" w:eastAsia="Palatino Linotype" w:hAnsi="Palatino Linotype" w:cs="Palatino Linotype"/>
          <w:b/>
          <w:bCs/>
          <w:color w:val="000000"/>
        </w:rPr>
        <w:t xml:space="preserve"> </w:t>
      </w:r>
      <w:r w:rsidRPr="00C35E9E">
        <w:rPr>
          <w:rFonts w:ascii="Palatino Linotype" w:eastAsia="Palatino Linotype" w:hAnsi="Palatino Linotype" w:cs="Palatino Linotype"/>
          <w:color w:val="000000"/>
        </w:rPr>
        <w:t xml:space="preserve">dejó de realizar manifestaciones que a su derecho conviniera y asistiera. Por su parte, el Sujeto Obligado en fecha </w:t>
      </w:r>
      <w:r w:rsidRPr="00C35E9E">
        <w:rPr>
          <w:rFonts w:ascii="Palatino Linotype" w:eastAsia="Palatino Linotype" w:hAnsi="Palatino Linotype" w:cs="Palatino Linotype"/>
          <w:b/>
          <w:bCs/>
          <w:color w:val="000000"/>
        </w:rPr>
        <w:t xml:space="preserve"> veinticinco de agosto de dos mil veinticinco,</w:t>
      </w:r>
      <w:r w:rsidRPr="00C35E9E">
        <w:rPr>
          <w:rFonts w:ascii="Palatino Linotype" w:eastAsia="Palatino Linotype" w:hAnsi="Palatino Linotype" w:cs="Palatino Linotype"/>
          <w:color w:val="000000"/>
        </w:rPr>
        <w:t xml:space="preserve"> rindió el Informe Justificado, a través del archivo siguiente:</w:t>
      </w:r>
    </w:p>
    <w:p w:rsidR="007D029B" w:rsidRPr="00C35E9E" w:rsidRDefault="00622048">
      <w:pPr>
        <w:pBdr>
          <w:top w:val="nil"/>
          <w:left w:val="nil"/>
          <w:bottom w:val="nil"/>
          <w:right w:val="nil"/>
          <w:between w:val="nil"/>
        </w:pBdr>
        <w:tabs>
          <w:tab w:val="left" w:pos="567"/>
        </w:tabs>
        <w:ind w:left="567" w:right="-788"/>
        <w:jc w:val="both"/>
        <w:rPr>
          <w:rFonts w:ascii="Palatino Linotype" w:eastAsia="Palatino Linotype" w:hAnsi="Palatino Linotype" w:cs="Palatino Linotype"/>
          <w:b/>
          <w:bCs/>
          <w:i/>
          <w:iCs/>
          <w:color w:val="000000"/>
        </w:rPr>
      </w:pPr>
      <w:r w:rsidRPr="00C35E9E">
        <w:rPr>
          <w:rFonts w:ascii="Palatino Linotype" w:eastAsia="Palatino Linotype" w:hAnsi="Palatino Linotype" w:cs="Palatino Linotype"/>
          <w:i/>
          <w:iCs/>
          <w:color w:val="000000"/>
        </w:rPr>
        <w:tab/>
      </w:r>
      <w:r w:rsidRPr="00C35E9E">
        <w:rPr>
          <w:rFonts w:ascii="Palatino Linotype" w:eastAsia="Palatino Linotype" w:hAnsi="Palatino Linotype" w:cs="Palatino Linotype"/>
          <w:b/>
          <w:bCs/>
          <w:i/>
          <w:iCs/>
          <w:color w:val="000000"/>
        </w:rPr>
        <w:t>Informe Justificado Solicitud 399.pdf</w:t>
      </w:r>
    </w:p>
    <w:p w:rsidR="007D029B" w:rsidRPr="00C35E9E" w:rsidRDefault="00622048">
      <w:pPr>
        <w:pBdr>
          <w:top w:val="nil"/>
          <w:left w:val="nil"/>
          <w:bottom w:val="nil"/>
          <w:right w:val="nil"/>
          <w:between w:val="nil"/>
        </w:pBdr>
        <w:tabs>
          <w:tab w:val="left" w:pos="567"/>
        </w:tabs>
        <w:ind w:left="567" w:right="-788"/>
        <w:jc w:val="both"/>
        <w:rPr>
          <w:rFonts w:ascii="Palatino Linotype" w:eastAsia="Palatino Linotype" w:hAnsi="Palatino Linotype" w:cs="Palatino Linotype"/>
          <w:color w:val="000000"/>
        </w:rPr>
      </w:pPr>
      <w:r w:rsidRPr="00C35E9E">
        <w:rPr>
          <w:rFonts w:ascii="Palatino Linotype" w:eastAsia="Palatino Linotype" w:hAnsi="Palatino Linotype" w:cs="Palatino Linotype"/>
          <w:color w:val="000000"/>
        </w:rPr>
        <w:t>- Oficio No. NR/DIG/UT/USI/441/2025 de fecha 25 de agosto de 2025, suscrito por la Titular de la Unidad de Transparencia remite informe justificado, anexando la información proporcionada por la  Dirección de Mujeres, Inclusión y Equidad.</w:t>
      </w:r>
    </w:p>
    <w:p w:rsidR="007D029B" w:rsidRPr="00C35E9E" w:rsidRDefault="007D029B">
      <w:pPr>
        <w:pBdr>
          <w:top w:val="nil"/>
          <w:left w:val="nil"/>
          <w:bottom w:val="nil"/>
          <w:right w:val="nil"/>
          <w:between w:val="nil"/>
        </w:pBdr>
        <w:tabs>
          <w:tab w:val="left" w:pos="567"/>
        </w:tabs>
        <w:ind w:left="567" w:right="-788"/>
        <w:jc w:val="both"/>
        <w:rPr>
          <w:rFonts w:ascii="Palatino Linotype" w:eastAsia="Palatino Linotype" w:hAnsi="Palatino Linotype" w:cs="Palatino Linotype"/>
          <w:color w:val="000000"/>
        </w:rPr>
      </w:pPr>
    </w:p>
    <w:p w:rsidR="007D029B" w:rsidRPr="00C35E9E" w:rsidRDefault="00622048">
      <w:pPr>
        <w:pBdr>
          <w:top w:val="nil"/>
          <w:left w:val="nil"/>
          <w:bottom w:val="nil"/>
          <w:right w:val="nil"/>
          <w:between w:val="nil"/>
        </w:pBdr>
        <w:tabs>
          <w:tab w:val="left" w:pos="567"/>
        </w:tabs>
        <w:ind w:left="567" w:right="-788"/>
        <w:jc w:val="both"/>
        <w:rPr>
          <w:rFonts w:ascii="Palatino Linotype" w:eastAsia="Palatino Linotype" w:hAnsi="Palatino Linotype" w:cs="Palatino Linotype"/>
          <w:color w:val="000000"/>
        </w:rPr>
      </w:pPr>
      <w:r w:rsidRPr="00C35E9E">
        <w:rPr>
          <w:rFonts w:ascii="Palatino Linotype" w:eastAsia="Palatino Linotype" w:hAnsi="Palatino Linotype" w:cs="Palatino Linotype"/>
          <w:color w:val="000000"/>
        </w:rPr>
        <w:t>- Oficio: NR/DIG/UT/USI/424/2025 de fecha 15 de agosto de 2025, firmado por la Titular de la Unidad de Transparencia a través del cual solicita a la Directora de las Mujeres, Inclusión y Equidad, rendir informe justificado derivado de la interposición del medio de impugnación.</w:t>
      </w:r>
    </w:p>
    <w:p w:rsidR="007D029B" w:rsidRPr="00C35E9E" w:rsidRDefault="007D029B">
      <w:pPr>
        <w:pBdr>
          <w:top w:val="nil"/>
          <w:left w:val="nil"/>
          <w:bottom w:val="nil"/>
          <w:right w:val="nil"/>
          <w:between w:val="nil"/>
        </w:pBdr>
        <w:tabs>
          <w:tab w:val="left" w:pos="567"/>
        </w:tabs>
        <w:ind w:left="567" w:right="-788"/>
        <w:jc w:val="both"/>
        <w:rPr>
          <w:rFonts w:ascii="Palatino Linotype" w:eastAsia="Palatino Linotype" w:hAnsi="Palatino Linotype" w:cs="Palatino Linotype"/>
          <w:color w:val="000000"/>
        </w:rPr>
      </w:pPr>
    </w:p>
    <w:p w:rsidR="007D029B" w:rsidRPr="00C35E9E" w:rsidRDefault="00622048">
      <w:pPr>
        <w:pBdr>
          <w:top w:val="nil"/>
          <w:left w:val="nil"/>
          <w:bottom w:val="nil"/>
          <w:right w:val="nil"/>
          <w:between w:val="nil"/>
        </w:pBdr>
        <w:tabs>
          <w:tab w:val="left" w:pos="567"/>
        </w:tabs>
        <w:ind w:left="567" w:right="-788"/>
        <w:jc w:val="both"/>
        <w:rPr>
          <w:rFonts w:ascii="Palatino Linotype" w:eastAsia="Palatino Linotype" w:hAnsi="Palatino Linotype" w:cs="Palatino Linotype"/>
          <w:color w:val="000000"/>
        </w:rPr>
      </w:pPr>
      <w:r w:rsidRPr="00C35E9E">
        <w:rPr>
          <w:rFonts w:ascii="Palatino Linotype" w:eastAsia="Palatino Linotype" w:hAnsi="Palatino Linotype" w:cs="Palatino Linotype"/>
          <w:color w:val="000000"/>
        </w:rPr>
        <w:t xml:space="preserve">- Oficio: NR/DMlyE/265/2025 de fecha 25 de agosto de 2025, firmado por la </w:t>
      </w:r>
      <w:r w:rsidRPr="00C35E9E">
        <w:rPr>
          <w:rFonts w:ascii="Palatino Linotype" w:eastAsia="Palatino Linotype" w:hAnsi="Palatino Linotype" w:cs="Palatino Linotype"/>
          <w:b/>
          <w:bCs/>
          <w:color w:val="000000"/>
        </w:rPr>
        <w:t>Directora de las Mujeres, Inclusión y Equidad</w:t>
      </w:r>
      <w:r w:rsidRPr="00C35E9E">
        <w:rPr>
          <w:rFonts w:ascii="Palatino Linotype" w:eastAsia="Palatino Linotype" w:hAnsi="Palatino Linotype" w:cs="Palatino Linotype"/>
          <w:color w:val="000000"/>
        </w:rPr>
        <w:t>, a través del cual da atención a los puntos de inconformidad en el sentido siguiente:</w:t>
      </w:r>
    </w:p>
    <w:p w:rsidR="007D029B" w:rsidRPr="00C35E9E" w:rsidRDefault="007D029B">
      <w:pPr>
        <w:pBdr>
          <w:top w:val="nil"/>
          <w:left w:val="nil"/>
          <w:bottom w:val="nil"/>
          <w:right w:val="nil"/>
          <w:between w:val="nil"/>
        </w:pBdr>
        <w:tabs>
          <w:tab w:val="left" w:pos="567"/>
        </w:tabs>
        <w:ind w:left="567" w:right="-788"/>
        <w:jc w:val="both"/>
        <w:rPr>
          <w:rFonts w:ascii="Palatino Linotype" w:eastAsia="Palatino Linotype" w:hAnsi="Palatino Linotype" w:cs="Palatino Linotype"/>
          <w:color w:val="000000"/>
        </w:rPr>
      </w:pPr>
    </w:p>
    <w:p w:rsidR="007D029B" w:rsidRPr="00C35E9E" w:rsidRDefault="00622048">
      <w:pPr>
        <w:pBdr>
          <w:top w:val="nil"/>
          <w:left w:val="nil"/>
          <w:bottom w:val="nil"/>
          <w:right w:val="nil"/>
          <w:between w:val="nil"/>
        </w:pBdr>
        <w:tabs>
          <w:tab w:val="left" w:pos="567"/>
        </w:tabs>
        <w:ind w:left="567" w:right="-788"/>
        <w:jc w:val="both"/>
        <w:rPr>
          <w:rFonts w:ascii="Palatino Linotype" w:eastAsia="Palatino Linotype" w:hAnsi="Palatino Linotype" w:cs="Palatino Linotype"/>
          <w:i/>
          <w:iCs/>
          <w:color w:val="000000"/>
        </w:rPr>
      </w:pPr>
      <w:r w:rsidRPr="00C35E9E">
        <w:rPr>
          <w:rFonts w:ascii="Palatino Linotype" w:eastAsia="Palatino Linotype" w:hAnsi="Palatino Linotype" w:cs="Palatino Linotype"/>
          <w:i/>
          <w:iCs/>
          <w:color w:val="000000"/>
        </w:rPr>
        <w:t xml:space="preserve">1. Se manifiesta que, </w:t>
      </w:r>
      <w:r w:rsidRPr="00C35E9E">
        <w:rPr>
          <w:rFonts w:ascii="Palatino Linotype" w:eastAsia="Palatino Linotype" w:hAnsi="Palatino Linotype" w:cs="Palatino Linotype"/>
          <w:b/>
          <w:bCs/>
          <w:i/>
          <w:iCs/>
          <w:color w:val="000000"/>
        </w:rPr>
        <w:t>el pliego petitorio</w:t>
      </w:r>
      <w:r w:rsidRPr="00C35E9E">
        <w:rPr>
          <w:rFonts w:ascii="Palatino Linotype" w:eastAsia="Palatino Linotype" w:hAnsi="Palatino Linotype" w:cs="Palatino Linotype"/>
          <w:i/>
          <w:iCs/>
          <w:color w:val="000000"/>
        </w:rPr>
        <w:t xml:space="preserve"> al que hace alusión </w:t>
      </w:r>
      <w:r w:rsidRPr="00C35E9E">
        <w:rPr>
          <w:rFonts w:ascii="Palatino Linotype" w:eastAsia="Palatino Linotype" w:hAnsi="Palatino Linotype" w:cs="Palatino Linotype"/>
          <w:i/>
          <w:iCs/>
          <w:color w:val="000000"/>
          <w:u w:val="single"/>
        </w:rPr>
        <w:t>fue entregado de manera simbólica o protocolaria</w:t>
      </w:r>
      <w:r w:rsidRPr="00C35E9E">
        <w:rPr>
          <w:rFonts w:ascii="Palatino Linotype" w:eastAsia="Palatino Linotype" w:hAnsi="Palatino Linotype" w:cs="Palatino Linotype"/>
          <w:i/>
          <w:iCs/>
          <w:color w:val="000000"/>
        </w:rPr>
        <w:t xml:space="preserve"> por la Dirección de las Mujeres, Inclusión y Equidad, y el Departamento de Identidad, Diversidad y Derechos LGBTTTIQA+ a la Presidenta Municipal, …, no obstante, …, </w:t>
      </w:r>
      <w:r w:rsidRPr="00C35E9E">
        <w:rPr>
          <w:rFonts w:ascii="Palatino Linotype" w:eastAsia="Palatino Linotype" w:hAnsi="Palatino Linotype" w:cs="Palatino Linotype"/>
          <w:b/>
          <w:bCs/>
          <w:i/>
          <w:iCs/>
          <w:color w:val="000000"/>
        </w:rPr>
        <w:t>se hace entrega de una copia fiel del documento solicitado</w:t>
      </w:r>
      <w:r w:rsidRPr="00C35E9E">
        <w:rPr>
          <w:rFonts w:ascii="Palatino Linotype" w:eastAsia="Palatino Linotype" w:hAnsi="Palatino Linotype" w:cs="Palatino Linotype"/>
          <w:i/>
          <w:iCs/>
          <w:color w:val="000000"/>
        </w:rPr>
        <w:t>.</w:t>
      </w:r>
    </w:p>
    <w:p w:rsidR="007D029B" w:rsidRPr="00C35E9E" w:rsidRDefault="007D029B">
      <w:pPr>
        <w:pBdr>
          <w:top w:val="nil"/>
          <w:left w:val="nil"/>
          <w:bottom w:val="nil"/>
          <w:right w:val="nil"/>
          <w:between w:val="nil"/>
        </w:pBdr>
        <w:tabs>
          <w:tab w:val="left" w:pos="567"/>
        </w:tabs>
        <w:ind w:left="567" w:right="-788"/>
        <w:jc w:val="both"/>
        <w:rPr>
          <w:rFonts w:ascii="Palatino Linotype" w:eastAsia="Palatino Linotype" w:hAnsi="Palatino Linotype" w:cs="Palatino Linotype"/>
          <w:i/>
          <w:iCs/>
          <w:color w:val="000000"/>
        </w:rPr>
      </w:pPr>
    </w:p>
    <w:p w:rsidR="007D029B" w:rsidRPr="00C35E9E" w:rsidRDefault="00622048">
      <w:pPr>
        <w:pBdr>
          <w:top w:val="nil"/>
          <w:left w:val="nil"/>
          <w:bottom w:val="nil"/>
          <w:right w:val="nil"/>
          <w:between w:val="nil"/>
        </w:pBdr>
        <w:tabs>
          <w:tab w:val="left" w:pos="567"/>
        </w:tabs>
        <w:ind w:left="567" w:right="-788"/>
        <w:jc w:val="both"/>
        <w:rPr>
          <w:rFonts w:ascii="Palatino Linotype" w:eastAsia="Palatino Linotype" w:hAnsi="Palatino Linotype" w:cs="Palatino Linotype"/>
          <w:i/>
          <w:iCs/>
          <w:color w:val="000000"/>
        </w:rPr>
      </w:pPr>
      <w:r w:rsidRPr="00C35E9E">
        <w:rPr>
          <w:rFonts w:ascii="Palatino Linotype" w:eastAsia="Palatino Linotype" w:hAnsi="Palatino Linotype" w:cs="Palatino Linotype"/>
          <w:i/>
          <w:iCs/>
          <w:color w:val="000000"/>
        </w:rPr>
        <w:t xml:space="preserve">2. </w:t>
      </w:r>
      <w:r w:rsidRPr="00C35E9E">
        <w:rPr>
          <w:rFonts w:ascii="Palatino Linotype" w:eastAsia="Palatino Linotype" w:hAnsi="Palatino Linotype" w:cs="Palatino Linotype"/>
          <w:b/>
          <w:bCs/>
          <w:i/>
          <w:iCs/>
          <w:color w:val="000000"/>
        </w:rPr>
        <w:t>Se adjunta</w:t>
      </w:r>
      <w:r w:rsidRPr="00C35E9E">
        <w:rPr>
          <w:rFonts w:ascii="Palatino Linotype" w:eastAsia="Palatino Linotype" w:hAnsi="Palatino Linotype" w:cs="Palatino Linotype"/>
          <w:i/>
          <w:iCs/>
          <w:color w:val="000000"/>
        </w:rPr>
        <w:t xml:space="preserve"> al presente el </w:t>
      </w:r>
      <w:r w:rsidRPr="00C35E9E">
        <w:rPr>
          <w:rFonts w:ascii="Palatino Linotype" w:eastAsia="Palatino Linotype" w:hAnsi="Palatino Linotype" w:cs="Palatino Linotype"/>
          <w:b/>
          <w:bCs/>
          <w:i/>
          <w:iCs/>
          <w:color w:val="000000"/>
        </w:rPr>
        <w:t>Plan de Trabajo Anual propuesto por el Departamento de Identidad, Diversidad y Derechos LGBTTTIQA+</w:t>
      </w:r>
      <w:r w:rsidRPr="00C35E9E">
        <w:rPr>
          <w:rFonts w:ascii="Palatino Linotype" w:eastAsia="Palatino Linotype" w:hAnsi="Palatino Linotype" w:cs="Palatino Linotype"/>
          <w:i/>
          <w:iCs/>
          <w:color w:val="000000"/>
        </w:rPr>
        <w:t>, dicho documento plasma actividades que se contemplan para el cumplimiento del Presupuesto basado en Resultados Municipales, que contiene las metas cumplimentadas por el Departamento.</w:t>
      </w:r>
    </w:p>
    <w:p w:rsidR="007D029B" w:rsidRPr="00C35E9E" w:rsidRDefault="007D029B">
      <w:pPr>
        <w:pBdr>
          <w:top w:val="nil"/>
          <w:left w:val="nil"/>
          <w:bottom w:val="nil"/>
          <w:right w:val="nil"/>
          <w:between w:val="nil"/>
        </w:pBdr>
        <w:tabs>
          <w:tab w:val="left" w:pos="567"/>
        </w:tabs>
        <w:ind w:left="567" w:right="-788"/>
        <w:jc w:val="both"/>
        <w:rPr>
          <w:rFonts w:ascii="Palatino Linotype" w:eastAsia="Palatino Linotype" w:hAnsi="Palatino Linotype" w:cs="Palatino Linotype"/>
          <w:i/>
          <w:iCs/>
          <w:color w:val="000000"/>
        </w:rPr>
      </w:pPr>
    </w:p>
    <w:p w:rsidR="007D029B" w:rsidRPr="00C35E9E" w:rsidRDefault="00622048">
      <w:pPr>
        <w:pBdr>
          <w:top w:val="nil"/>
          <w:left w:val="nil"/>
          <w:bottom w:val="nil"/>
          <w:right w:val="nil"/>
          <w:between w:val="nil"/>
        </w:pBdr>
        <w:tabs>
          <w:tab w:val="left" w:pos="567"/>
        </w:tabs>
        <w:ind w:left="567" w:right="-788"/>
        <w:jc w:val="both"/>
        <w:rPr>
          <w:rFonts w:ascii="Palatino Linotype" w:eastAsia="Palatino Linotype" w:hAnsi="Palatino Linotype" w:cs="Palatino Linotype"/>
          <w:b/>
          <w:bCs/>
          <w:i/>
          <w:iCs/>
          <w:color w:val="000000"/>
        </w:rPr>
      </w:pPr>
      <w:r w:rsidRPr="00C35E9E">
        <w:rPr>
          <w:rFonts w:ascii="Palatino Linotype" w:eastAsia="Palatino Linotype" w:hAnsi="Palatino Linotype" w:cs="Palatino Linotype"/>
          <w:i/>
          <w:iCs/>
          <w:color w:val="000000"/>
        </w:rPr>
        <w:t>3.…</w:t>
      </w:r>
      <w:r w:rsidRPr="00C35E9E">
        <w:rPr>
          <w:color w:val="000000"/>
        </w:rPr>
        <w:t xml:space="preserve"> </w:t>
      </w:r>
      <w:r w:rsidRPr="00C35E9E">
        <w:rPr>
          <w:rFonts w:ascii="Palatino Linotype" w:eastAsia="Palatino Linotype" w:hAnsi="Palatino Linotype" w:cs="Palatino Linotype"/>
          <w:i/>
          <w:iCs/>
          <w:color w:val="000000"/>
        </w:rPr>
        <w:t xml:space="preserve">tras una búsqueda exhaustiva se logró identificar la información relativa a lo mencionado en la página de Facebook del Gobierno Municipal. Por lo cual, </w:t>
      </w:r>
      <w:r w:rsidRPr="00C35E9E">
        <w:rPr>
          <w:rFonts w:ascii="Palatino Linotype" w:eastAsia="Palatino Linotype" w:hAnsi="Palatino Linotype" w:cs="Palatino Linotype"/>
          <w:b/>
          <w:bCs/>
          <w:i/>
          <w:iCs/>
          <w:color w:val="000000"/>
        </w:rPr>
        <w:t>en seguimiento al asunto que nos ocupa, se anexa al presente, copia del oficio dirigido a la Dirección de Desarrollo Económico, mediante el cual la presente Dependencia solicita conocer si existe información respecto a la ampliación de los Nicocréditos y si tal acción prevé la extensión y/o participación de las poblaciones LGBTTTIQA+.</w:t>
      </w:r>
    </w:p>
    <w:p w:rsidR="007D029B" w:rsidRPr="00C35E9E" w:rsidRDefault="007D029B">
      <w:pPr>
        <w:pBdr>
          <w:top w:val="nil"/>
          <w:left w:val="nil"/>
          <w:bottom w:val="nil"/>
          <w:right w:val="nil"/>
          <w:between w:val="nil"/>
        </w:pBdr>
        <w:tabs>
          <w:tab w:val="left" w:pos="567"/>
        </w:tabs>
        <w:ind w:left="567" w:right="-788"/>
        <w:jc w:val="both"/>
        <w:rPr>
          <w:rFonts w:ascii="Palatino Linotype" w:eastAsia="Palatino Linotype" w:hAnsi="Palatino Linotype" w:cs="Palatino Linotype"/>
          <w:i/>
          <w:iCs/>
          <w:color w:val="000000"/>
        </w:rPr>
      </w:pPr>
    </w:p>
    <w:p w:rsidR="007D029B" w:rsidRPr="00C35E9E" w:rsidRDefault="00622048">
      <w:pPr>
        <w:pBdr>
          <w:top w:val="nil"/>
          <w:left w:val="nil"/>
          <w:bottom w:val="nil"/>
          <w:right w:val="nil"/>
          <w:between w:val="nil"/>
        </w:pBdr>
        <w:tabs>
          <w:tab w:val="left" w:pos="567"/>
        </w:tabs>
        <w:ind w:left="567" w:right="-788"/>
        <w:jc w:val="both"/>
        <w:rPr>
          <w:rFonts w:ascii="Palatino Linotype" w:eastAsia="Palatino Linotype" w:hAnsi="Palatino Linotype" w:cs="Palatino Linotype"/>
          <w:color w:val="000000"/>
        </w:rPr>
      </w:pPr>
      <w:r w:rsidRPr="00C35E9E">
        <w:rPr>
          <w:rFonts w:ascii="Palatino Linotype" w:eastAsia="Palatino Linotype" w:hAnsi="Palatino Linotype" w:cs="Palatino Linotype"/>
          <w:color w:val="000000"/>
        </w:rPr>
        <w:t>ANEXOS:</w:t>
      </w:r>
    </w:p>
    <w:p w:rsidR="007D029B" w:rsidRPr="00C35E9E" w:rsidRDefault="00622048">
      <w:pPr>
        <w:pBdr>
          <w:top w:val="nil"/>
          <w:left w:val="nil"/>
          <w:bottom w:val="nil"/>
          <w:right w:val="nil"/>
          <w:between w:val="nil"/>
        </w:pBdr>
        <w:tabs>
          <w:tab w:val="left" w:pos="567"/>
        </w:tabs>
        <w:ind w:left="567" w:right="-788"/>
        <w:jc w:val="both"/>
        <w:rPr>
          <w:rFonts w:ascii="Palatino Linotype" w:eastAsia="Palatino Linotype" w:hAnsi="Palatino Linotype" w:cs="Palatino Linotype"/>
          <w:b/>
          <w:bCs/>
          <w:color w:val="000000"/>
        </w:rPr>
      </w:pPr>
      <w:r w:rsidRPr="00C35E9E">
        <w:rPr>
          <w:rFonts w:ascii="Palatino Linotype" w:eastAsia="Palatino Linotype" w:hAnsi="Palatino Linotype" w:cs="Palatino Linotype"/>
          <w:b/>
          <w:bCs/>
          <w:color w:val="000000"/>
        </w:rPr>
        <w:t xml:space="preserve">- primer punto. </w:t>
      </w:r>
    </w:p>
    <w:p w:rsidR="007D029B" w:rsidRPr="00C35E9E" w:rsidRDefault="00622048">
      <w:pPr>
        <w:pBdr>
          <w:top w:val="nil"/>
          <w:left w:val="nil"/>
          <w:bottom w:val="nil"/>
          <w:right w:val="nil"/>
          <w:between w:val="nil"/>
        </w:pBdr>
        <w:tabs>
          <w:tab w:val="left" w:pos="567"/>
        </w:tabs>
        <w:ind w:left="567" w:right="-788"/>
        <w:jc w:val="both"/>
        <w:rPr>
          <w:rFonts w:ascii="Palatino Linotype" w:eastAsia="Palatino Linotype" w:hAnsi="Palatino Linotype" w:cs="Palatino Linotype"/>
          <w:color w:val="000000"/>
        </w:rPr>
      </w:pPr>
      <w:r w:rsidRPr="00C35E9E">
        <w:rPr>
          <w:rFonts w:ascii="Palatino Linotype" w:eastAsia="Palatino Linotype" w:hAnsi="Palatino Linotype" w:cs="Palatino Linotype"/>
          <w:color w:val="000000"/>
        </w:rPr>
        <w:t>Documento denominado “PLIEGO PETIORIO IDENTIDAD, DIVERSIDAD Y DERECHOS LGBTTTIQA+ NR”</w:t>
      </w:r>
    </w:p>
    <w:p w:rsidR="007D029B" w:rsidRPr="00C35E9E" w:rsidRDefault="007D029B">
      <w:pPr>
        <w:pBdr>
          <w:top w:val="nil"/>
          <w:left w:val="nil"/>
          <w:bottom w:val="nil"/>
          <w:right w:val="nil"/>
          <w:between w:val="nil"/>
        </w:pBdr>
        <w:tabs>
          <w:tab w:val="left" w:pos="567"/>
        </w:tabs>
        <w:ind w:left="567" w:right="-788"/>
        <w:jc w:val="both"/>
        <w:rPr>
          <w:rFonts w:ascii="Palatino Linotype" w:eastAsia="Palatino Linotype" w:hAnsi="Palatino Linotype" w:cs="Palatino Linotype"/>
          <w:color w:val="000000"/>
        </w:rPr>
      </w:pPr>
    </w:p>
    <w:p w:rsidR="007D029B" w:rsidRPr="00C35E9E" w:rsidRDefault="00622048">
      <w:pPr>
        <w:pBdr>
          <w:top w:val="nil"/>
          <w:left w:val="nil"/>
          <w:bottom w:val="nil"/>
          <w:right w:val="nil"/>
          <w:between w:val="nil"/>
        </w:pBdr>
        <w:tabs>
          <w:tab w:val="left" w:pos="567"/>
        </w:tabs>
        <w:ind w:left="567" w:right="-788"/>
        <w:jc w:val="both"/>
        <w:rPr>
          <w:rFonts w:ascii="Palatino Linotype" w:eastAsia="Palatino Linotype" w:hAnsi="Palatino Linotype" w:cs="Palatino Linotype"/>
          <w:b/>
          <w:bCs/>
          <w:color w:val="000000"/>
        </w:rPr>
      </w:pPr>
      <w:r w:rsidRPr="00C35E9E">
        <w:rPr>
          <w:rFonts w:ascii="Palatino Linotype" w:eastAsia="Palatino Linotype" w:hAnsi="Palatino Linotype" w:cs="Palatino Linotype"/>
          <w:b/>
          <w:bCs/>
          <w:color w:val="000000"/>
        </w:rPr>
        <w:t xml:space="preserve">- segundo punto. </w:t>
      </w:r>
    </w:p>
    <w:p w:rsidR="007D029B" w:rsidRPr="00C35E9E" w:rsidRDefault="00622048">
      <w:pPr>
        <w:pBdr>
          <w:top w:val="nil"/>
          <w:left w:val="nil"/>
          <w:bottom w:val="nil"/>
          <w:right w:val="nil"/>
          <w:between w:val="nil"/>
        </w:pBdr>
        <w:tabs>
          <w:tab w:val="left" w:pos="567"/>
        </w:tabs>
        <w:ind w:left="567" w:right="-788"/>
        <w:jc w:val="both"/>
        <w:rPr>
          <w:rFonts w:ascii="Palatino Linotype" w:eastAsia="Palatino Linotype" w:hAnsi="Palatino Linotype" w:cs="Palatino Linotype"/>
          <w:color w:val="000000"/>
        </w:rPr>
      </w:pPr>
      <w:r w:rsidRPr="00C35E9E">
        <w:rPr>
          <w:rFonts w:ascii="Palatino Linotype" w:eastAsia="Palatino Linotype" w:hAnsi="Palatino Linotype" w:cs="Palatino Linotype"/>
          <w:color w:val="000000"/>
        </w:rPr>
        <w:t>Documento denominado PLAN DE TRABAJO ANUAL. DEPARTAMENTO DE IDENTIDAD, DIVERSIDAD Y DERECHOS LGBTTTIQA+</w:t>
      </w:r>
    </w:p>
    <w:p w:rsidR="007D029B" w:rsidRPr="00C35E9E" w:rsidRDefault="007D029B">
      <w:pPr>
        <w:pBdr>
          <w:top w:val="nil"/>
          <w:left w:val="nil"/>
          <w:bottom w:val="nil"/>
          <w:right w:val="nil"/>
          <w:between w:val="nil"/>
        </w:pBdr>
        <w:tabs>
          <w:tab w:val="left" w:pos="567"/>
        </w:tabs>
        <w:ind w:left="567" w:right="-788"/>
        <w:jc w:val="both"/>
        <w:rPr>
          <w:rFonts w:ascii="Palatino Linotype" w:eastAsia="Palatino Linotype" w:hAnsi="Palatino Linotype" w:cs="Palatino Linotype"/>
          <w:color w:val="000000"/>
        </w:rPr>
      </w:pPr>
    </w:p>
    <w:p w:rsidR="007D029B" w:rsidRPr="00C35E9E" w:rsidRDefault="00622048">
      <w:pPr>
        <w:pBdr>
          <w:top w:val="nil"/>
          <w:left w:val="nil"/>
          <w:bottom w:val="nil"/>
          <w:right w:val="nil"/>
          <w:between w:val="nil"/>
        </w:pBdr>
        <w:tabs>
          <w:tab w:val="left" w:pos="567"/>
        </w:tabs>
        <w:ind w:left="567" w:right="-788"/>
        <w:jc w:val="both"/>
        <w:rPr>
          <w:rFonts w:ascii="Palatino Linotype" w:eastAsia="Palatino Linotype" w:hAnsi="Palatino Linotype" w:cs="Palatino Linotype"/>
          <w:b/>
          <w:bCs/>
          <w:color w:val="000000"/>
        </w:rPr>
      </w:pPr>
      <w:r w:rsidRPr="00C35E9E">
        <w:rPr>
          <w:rFonts w:ascii="Palatino Linotype" w:eastAsia="Palatino Linotype" w:hAnsi="Palatino Linotype" w:cs="Palatino Linotype"/>
          <w:b/>
          <w:bCs/>
          <w:color w:val="000000"/>
        </w:rPr>
        <w:t xml:space="preserve">- Tercer punto. </w:t>
      </w:r>
    </w:p>
    <w:p w:rsidR="007D029B" w:rsidRPr="00C35E9E" w:rsidRDefault="00622048">
      <w:pPr>
        <w:pBdr>
          <w:top w:val="nil"/>
          <w:left w:val="nil"/>
          <w:bottom w:val="nil"/>
          <w:right w:val="nil"/>
          <w:between w:val="nil"/>
        </w:pBdr>
        <w:tabs>
          <w:tab w:val="left" w:pos="567"/>
        </w:tabs>
        <w:ind w:left="567" w:right="-788"/>
        <w:jc w:val="both"/>
        <w:rPr>
          <w:rFonts w:ascii="Palatino Linotype" w:eastAsia="Palatino Linotype" w:hAnsi="Palatino Linotype" w:cs="Palatino Linotype"/>
          <w:i/>
          <w:iCs/>
          <w:color w:val="000000"/>
        </w:rPr>
      </w:pPr>
      <w:r w:rsidRPr="00C35E9E">
        <w:rPr>
          <w:rFonts w:ascii="Palatino Linotype" w:eastAsia="Palatino Linotype" w:hAnsi="Palatino Linotype" w:cs="Palatino Linotype"/>
          <w:color w:val="000000"/>
        </w:rPr>
        <w:t xml:space="preserve">ÓFICIO: NR/DMIyE/ClyE/DIDyDLGBTTTIQA+/030/2025 de fecha 22 de agosto de 2025, firmado por el Jefe del Departamento de Identidad, Diversidad y Derechos LGBTTTIQA+ y la Directora de las Mujeres, Inclusión y Equidad, dirigido al Director de Desarrollo Económico en el que solicita: </w:t>
      </w:r>
      <w:r w:rsidRPr="00C35E9E">
        <w:rPr>
          <w:rFonts w:ascii="Palatino Linotype" w:eastAsia="Palatino Linotype" w:hAnsi="Palatino Linotype" w:cs="Palatino Linotype"/>
          <w:i/>
          <w:iCs/>
          <w:color w:val="000000"/>
        </w:rPr>
        <w:t xml:space="preserve">“…se sirva informar si dentro de los programas de </w:t>
      </w:r>
      <w:r w:rsidRPr="00C35E9E">
        <w:rPr>
          <w:rFonts w:ascii="Palatino Linotype" w:eastAsia="Palatino Linotype" w:hAnsi="Palatino Linotype" w:cs="Palatino Linotype"/>
          <w:i/>
          <w:iCs/>
          <w:color w:val="000000"/>
        </w:rPr>
        <w:lastRenderedPageBreak/>
        <w:t>Nicocréditos se han considerado, o se tiene contemplado próximamente, ampliar los criterios de acceso con el propósito de beneficiar de manera directa a las poblaciones de la diversidad sexual y de género del municipio.” (Sic)</w:t>
      </w:r>
    </w:p>
    <w:p w:rsidR="007D029B" w:rsidRPr="00C35E9E" w:rsidRDefault="007D029B">
      <w:pPr>
        <w:pBdr>
          <w:top w:val="nil"/>
          <w:left w:val="nil"/>
          <w:bottom w:val="nil"/>
          <w:right w:val="nil"/>
          <w:between w:val="nil"/>
        </w:pBdr>
        <w:spacing w:line="360" w:lineRule="auto"/>
        <w:ind w:right="-787"/>
        <w:rPr>
          <w:rFonts w:ascii="Palatino Linotype" w:eastAsia="Palatino Linotype" w:hAnsi="Palatino Linotype" w:cs="Palatino Linotype"/>
          <w:b/>
          <w:bCs/>
          <w:i/>
          <w:iCs/>
          <w:color w:val="000000"/>
        </w:rPr>
      </w:pPr>
    </w:p>
    <w:p w:rsidR="007D029B" w:rsidRPr="00C35E9E" w:rsidRDefault="00622048">
      <w:pPr>
        <w:numPr>
          <w:ilvl w:val="0"/>
          <w:numId w:val="4"/>
        </w:numPr>
        <w:pBdr>
          <w:top w:val="nil"/>
          <w:left w:val="nil"/>
          <w:bottom w:val="nil"/>
          <w:right w:val="nil"/>
          <w:between w:val="nil"/>
        </w:pBdr>
        <w:tabs>
          <w:tab w:val="left" w:pos="0"/>
        </w:tabs>
        <w:spacing w:line="360" w:lineRule="auto"/>
        <w:ind w:left="0" w:right="-787" w:firstLine="0"/>
        <w:jc w:val="both"/>
        <w:rPr>
          <w:color w:val="000000"/>
        </w:rPr>
      </w:pPr>
      <w:r w:rsidRPr="00C35E9E">
        <w:rPr>
          <w:rFonts w:ascii="Palatino Linotype" w:eastAsia="Palatino Linotype" w:hAnsi="Palatino Linotype" w:cs="Palatino Linotype"/>
          <w:color w:val="000000"/>
        </w:rPr>
        <w:t>El</w:t>
      </w:r>
      <w:r w:rsidRPr="00C35E9E">
        <w:rPr>
          <w:rFonts w:ascii="Palatino Linotype" w:eastAsia="Palatino Linotype" w:hAnsi="Palatino Linotype" w:cs="Palatino Linotype"/>
          <w:b/>
          <w:bCs/>
          <w:color w:val="000000"/>
        </w:rPr>
        <w:t xml:space="preserve"> seis de octubre de dos mil veinticinco</w:t>
      </w:r>
      <w:r w:rsidRPr="00C35E9E">
        <w:rPr>
          <w:rFonts w:ascii="Palatino Linotype" w:eastAsia="Palatino Linotype" w:hAnsi="Palatino Linotype" w:cs="Palatino Linotype"/>
          <w:color w:val="000000"/>
        </w:rPr>
        <w:t xml:space="preserve"> se acordó </w:t>
      </w:r>
      <w:r w:rsidRPr="00C35E9E">
        <w:rPr>
          <w:rFonts w:ascii="Palatino Linotype" w:eastAsia="Palatino Linotype" w:hAnsi="Palatino Linotype" w:cs="Palatino Linotype"/>
          <w:b/>
          <w:bCs/>
          <w:color w:val="000000"/>
        </w:rPr>
        <w:t>ampliar el término para resolver</w:t>
      </w:r>
      <w:r w:rsidRPr="00C35E9E">
        <w:rPr>
          <w:rFonts w:ascii="Palatino Linotype" w:eastAsia="Palatino Linotype" w:hAnsi="Palatino Linotype" w:cs="Palatino Linotype"/>
          <w:color w:val="000000"/>
        </w:rPr>
        <w:t xml:space="preserve"> el presente asunto.</w:t>
      </w:r>
    </w:p>
    <w:p w:rsidR="007D029B" w:rsidRPr="00C35E9E" w:rsidRDefault="007D029B">
      <w:pPr>
        <w:pBdr>
          <w:top w:val="nil"/>
          <w:left w:val="nil"/>
          <w:bottom w:val="nil"/>
          <w:right w:val="nil"/>
          <w:between w:val="nil"/>
        </w:pBdr>
        <w:spacing w:line="360" w:lineRule="auto"/>
        <w:ind w:right="-787"/>
        <w:rPr>
          <w:rFonts w:ascii="Palatino Linotype" w:eastAsia="Palatino Linotype" w:hAnsi="Palatino Linotype" w:cs="Palatino Linotype"/>
          <w:color w:val="000000"/>
        </w:rPr>
      </w:pPr>
    </w:p>
    <w:p w:rsidR="007D029B" w:rsidRPr="00C35E9E" w:rsidRDefault="00622048">
      <w:pPr>
        <w:numPr>
          <w:ilvl w:val="0"/>
          <w:numId w:val="4"/>
        </w:numPr>
        <w:pBdr>
          <w:top w:val="nil"/>
          <w:left w:val="nil"/>
          <w:bottom w:val="nil"/>
          <w:right w:val="nil"/>
          <w:between w:val="nil"/>
        </w:pBdr>
        <w:tabs>
          <w:tab w:val="left" w:pos="0"/>
        </w:tabs>
        <w:spacing w:line="360" w:lineRule="auto"/>
        <w:ind w:left="0" w:right="-787" w:firstLine="0"/>
        <w:jc w:val="both"/>
        <w:rPr>
          <w:rFonts w:ascii="Palatino Linotype" w:eastAsia="Palatino Linotype" w:hAnsi="Palatino Linotype" w:cs="Palatino Linotype"/>
          <w:b/>
          <w:bCs/>
          <w:color w:val="000000"/>
        </w:rPr>
      </w:pPr>
      <w:bookmarkStart w:id="2" w:name="_heading=h.3znysh7" w:colFirst="0" w:colLast="0"/>
      <w:bookmarkEnd w:id="2"/>
      <w:r w:rsidRPr="00C35E9E">
        <w:rPr>
          <w:rFonts w:ascii="Palatino Linotype" w:eastAsia="Palatino Linotype" w:hAnsi="Palatino Linotype" w:cs="Palatino Linotype"/>
          <w:color w:val="000000"/>
        </w:rPr>
        <w:t xml:space="preserve">Seguidamente, en fecha </w:t>
      </w:r>
      <w:r w:rsidRPr="00C35E9E">
        <w:rPr>
          <w:rFonts w:ascii="Palatino Linotype" w:eastAsia="Palatino Linotype" w:hAnsi="Palatino Linotype" w:cs="Palatino Linotype"/>
          <w:b/>
          <w:bCs/>
          <w:color w:val="000000"/>
        </w:rPr>
        <w:t>diez de febrero de dos mil veintiséis</w:t>
      </w:r>
      <w:r w:rsidRPr="00C35E9E">
        <w:rPr>
          <w:rFonts w:ascii="Palatino Linotype" w:eastAsia="Palatino Linotype" w:hAnsi="Palatino Linotype" w:cs="Palatino Linotype"/>
          <w:color w:val="000000"/>
        </w:rPr>
        <w:t xml:space="preserve">, la Comisionada Ponente dictó el </w:t>
      </w:r>
      <w:r w:rsidRPr="00C35E9E">
        <w:rPr>
          <w:rFonts w:ascii="Palatino Linotype" w:eastAsia="Palatino Linotype" w:hAnsi="Palatino Linotype" w:cs="Palatino Linotype"/>
          <w:b/>
          <w:bCs/>
          <w:color w:val="000000"/>
        </w:rPr>
        <w:t>cierre del periodo de instrucción</w:t>
      </w:r>
      <w:r w:rsidRPr="00C35E9E">
        <w:rPr>
          <w:rFonts w:ascii="Palatino Linotype" w:eastAsia="Palatino Linotype" w:hAnsi="Palatino Linotype" w:cs="Palatino Linotype"/>
          <w:color w:val="000000"/>
        </w:rPr>
        <w:t xml:space="preserve"> y, ordenó la resolución que conforme a Derecho proceda.</w:t>
      </w:r>
    </w:p>
    <w:p w:rsidR="007D029B" w:rsidRPr="00C35E9E" w:rsidRDefault="007D029B">
      <w:pPr>
        <w:pBdr>
          <w:top w:val="nil"/>
          <w:left w:val="nil"/>
          <w:bottom w:val="nil"/>
          <w:right w:val="nil"/>
          <w:between w:val="nil"/>
        </w:pBdr>
        <w:ind w:right="-788"/>
        <w:jc w:val="both"/>
        <w:rPr>
          <w:rFonts w:ascii="Palatino Linotype" w:eastAsia="Palatino Linotype" w:hAnsi="Palatino Linotype" w:cs="Palatino Linotype"/>
          <w:b/>
          <w:bCs/>
          <w:color w:val="000000"/>
        </w:rPr>
      </w:pPr>
    </w:p>
    <w:p w:rsidR="007D029B" w:rsidRPr="00C35E9E" w:rsidRDefault="00622048">
      <w:pPr>
        <w:keepNext/>
        <w:keepLines/>
        <w:spacing w:line="360" w:lineRule="auto"/>
        <w:jc w:val="center"/>
        <w:rPr>
          <w:rFonts w:ascii="Palatino Linotype" w:eastAsia="Palatino Linotype" w:hAnsi="Palatino Linotype" w:cs="Palatino Linotype"/>
          <w:b/>
          <w:bCs/>
        </w:rPr>
      </w:pPr>
      <w:r w:rsidRPr="00C35E9E">
        <w:rPr>
          <w:rFonts w:ascii="Palatino Linotype" w:eastAsia="Palatino Linotype" w:hAnsi="Palatino Linotype" w:cs="Palatino Linotype"/>
          <w:b/>
          <w:bCs/>
        </w:rPr>
        <w:t xml:space="preserve">C O N S I D E R A N D O </w:t>
      </w:r>
    </w:p>
    <w:p w:rsidR="007D029B" w:rsidRPr="00C35E9E" w:rsidRDefault="007D029B">
      <w:pPr>
        <w:spacing w:line="360" w:lineRule="auto"/>
        <w:rPr>
          <w:rFonts w:ascii="Palatino Linotype" w:eastAsia="Palatino Linotype" w:hAnsi="Palatino Linotype" w:cs="Palatino Linotype"/>
        </w:rPr>
      </w:pPr>
    </w:p>
    <w:p w:rsidR="007D029B" w:rsidRPr="00C35E9E" w:rsidRDefault="00622048">
      <w:pPr>
        <w:keepNext/>
        <w:keepLines/>
        <w:spacing w:line="360" w:lineRule="auto"/>
        <w:rPr>
          <w:rFonts w:ascii="Palatino Linotype" w:eastAsia="Palatino Linotype" w:hAnsi="Palatino Linotype" w:cs="Palatino Linotype"/>
          <w:b/>
          <w:bCs/>
        </w:rPr>
      </w:pPr>
      <w:r w:rsidRPr="00C35E9E">
        <w:rPr>
          <w:rFonts w:ascii="Palatino Linotype" w:eastAsia="Palatino Linotype" w:hAnsi="Palatino Linotype" w:cs="Palatino Linotype"/>
          <w:b/>
          <w:bCs/>
        </w:rPr>
        <w:t>PRIMERO. De la competencia</w:t>
      </w:r>
    </w:p>
    <w:p w:rsidR="007D029B" w:rsidRPr="00C35E9E" w:rsidRDefault="00622048">
      <w:pPr>
        <w:numPr>
          <w:ilvl w:val="0"/>
          <w:numId w:val="4"/>
        </w:numPr>
        <w:pBdr>
          <w:top w:val="nil"/>
          <w:left w:val="nil"/>
          <w:bottom w:val="nil"/>
          <w:right w:val="nil"/>
          <w:between w:val="nil"/>
        </w:pBdr>
        <w:tabs>
          <w:tab w:val="left" w:pos="0"/>
        </w:tabs>
        <w:spacing w:line="360" w:lineRule="auto"/>
        <w:ind w:left="0" w:right="-787" w:firstLine="0"/>
        <w:jc w:val="both"/>
        <w:rPr>
          <w:rFonts w:ascii="Palatino Linotype" w:eastAsia="Palatino Linotype" w:hAnsi="Palatino Linotype" w:cs="Palatino Linotype"/>
          <w:color w:val="000000"/>
        </w:rPr>
      </w:pPr>
      <w:r w:rsidRPr="00C35E9E">
        <w:rPr>
          <w:rFonts w:ascii="Palatino Linotype" w:eastAsia="Palatino Linotype" w:hAnsi="Palatino Linotype" w:cs="Palatino Linotype"/>
          <w:color w:val="000000"/>
        </w:rPr>
        <w:t>Este Instituto de Transparencia, Acceso a la Información Pública y Protección de Datos Personales del Estado de México, es competente para conocer y resolver el presente recurso de revisión interpuesto por el Recurrente conforme a lo dispuesto en los artículos 6, apartado A, fracción IV de la Constitución Política de los Estados Unidos Mexicanos; 5, párrafos cuadragésimo cuarto, cuadragésimo quinto y cuadragésimo sexto, fracciones IV y V, de la Constitución Política del Estado Libre y Soberano de México; artículos 1, 2 fracción II, 13, 29, 36 fracciones I y II, 176, 178, 179, 181 párrafo tercero y 185 de la Ley de Transparencia y Acceso a la Información Pública del Estado de México y Municipios; 6, 9 fracciones I y XXIII, y 11 del Reglamento Interior del Instituto de Transparencia, Acceso a la Información Pública y Protección de Datos Personales del Estado de México y Municipios.</w:t>
      </w:r>
    </w:p>
    <w:p w:rsidR="007D029B" w:rsidRPr="00C35E9E" w:rsidRDefault="00622048">
      <w:pPr>
        <w:keepNext/>
        <w:keepLines/>
        <w:spacing w:line="360" w:lineRule="auto"/>
        <w:rPr>
          <w:rFonts w:ascii="Palatino Linotype" w:eastAsia="Palatino Linotype" w:hAnsi="Palatino Linotype" w:cs="Palatino Linotype"/>
          <w:b/>
          <w:bCs/>
        </w:rPr>
      </w:pPr>
      <w:r w:rsidRPr="00C35E9E">
        <w:rPr>
          <w:rFonts w:ascii="Palatino Linotype" w:eastAsia="Palatino Linotype" w:hAnsi="Palatino Linotype" w:cs="Palatino Linotype"/>
          <w:b/>
          <w:bCs/>
        </w:rPr>
        <w:lastRenderedPageBreak/>
        <w:t>SEGUNDO. De la oportunidad y procedencia.</w:t>
      </w:r>
    </w:p>
    <w:p w:rsidR="007D029B" w:rsidRPr="00C35E9E" w:rsidRDefault="00622048">
      <w:pPr>
        <w:numPr>
          <w:ilvl w:val="0"/>
          <w:numId w:val="4"/>
        </w:numPr>
        <w:pBdr>
          <w:top w:val="nil"/>
          <w:left w:val="nil"/>
          <w:bottom w:val="nil"/>
          <w:right w:val="nil"/>
          <w:between w:val="nil"/>
        </w:pBdr>
        <w:tabs>
          <w:tab w:val="left" w:pos="0"/>
        </w:tabs>
        <w:spacing w:line="360" w:lineRule="auto"/>
        <w:ind w:left="0" w:right="-787" w:firstLine="0"/>
        <w:jc w:val="both"/>
        <w:rPr>
          <w:rFonts w:ascii="Palatino Linotype" w:eastAsia="Palatino Linotype" w:hAnsi="Palatino Linotype" w:cs="Palatino Linotype"/>
        </w:rPr>
      </w:pPr>
      <w:r w:rsidRPr="00C35E9E">
        <w:rPr>
          <w:rFonts w:ascii="Palatino Linotype" w:eastAsia="Palatino Linotype" w:hAnsi="Palatino Linotype" w:cs="Palatino Linotype"/>
        </w:rPr>
        <w:t xml:space="preserve">El medio de impugnación fue presentado a través del </w:t>
      </w:r>
      <w:r w:rsidRPr="00C35E9E">
        <w:rPr>
          <w:rFonts w:ascii="Palatino Linotype" w:eastAsia="Palatino Linotype" w:hAnsi="Palatino Linotype" w:cs="Palatino Linotype"/>
          <w:b/>
          <w:bCs/>
        </w:rPr>
        <w:t>SAIMEX,</w:t>
      </w:r>
      <w:r w:rsidRPr="00C35E9E">
        <w:rPr>
          <w:rFonts w:ascii="Palatino Linotype" w:eastAsia="Palatino Linotype" w:hAnsi="Palatino Linotype" w:cs="Palatino Linotype"/>
        </w:rPr>
        <w:t xml:space="preserve"> en el formato previamente aprobado para tal efecto y dentro del plazo legal de quince días hábiles otorgados; para el caso en particular es de señalar que el </w:t>
      </w:r>
      <w:r w:rsidRPr="00C35E9E">
        <w:rPr>
          <w:rFonts w:ascii="Palatino Linotype" w:eastAsia="Palatino Linotype" w:hAnsi="Palatino Linotype" w:cs="Palatino Linotype"/>
          <w:b/>
          <w:bCs/>
        </w:rPr>
        <w:t>SUJETO OBLIGADO</w:t>
      </w:r>
      <w:r w:rsidRPr="00C35E9E">
        <w:rPr>
          <w:rFonts w:ascii="Palatino Linotype" w:eastAsia="Palatino Linotype" w:hAnsi="Palatino Linotype" w:cs="Palatino Linotype"/>
        </w:rPr>
        <w:t xml:space="preserve"> entregó respuesta el </w:t>
      </w:r>
      <w:r w:rsidRPr="00C35E9E">
        <w:rPr>
          <w:rFonts w:ascii="Palatino Linotype" w:eastAsia="Palatino Linotype" w:hAnsi="Palatino Linotype" w:cs="Palatino Linotype"/>
          <w:b/>
          <w:bCs/>
        </w:rPr>
        <w:t>trece de agosto de dos mil veinticinco</w:t>
      </w:r>
      <w:r w:rsidRPr="00C35E9E">
        <w:rPr>
          <w:rFonts w:ascii="Palatino Linotype" w:eastAsia="Palatino Linotype" w:hAnsi="Palatino Linotype" w:cs="Palatino Linotype"/>
        </w:rPr>
        <w:t xml:space="preserve">, de tal forma que el plazo para interponer el recurso transcurrió del </w:t>
      </w:r>
      <w:r w:rsidRPr="00C35E9E">
        <w:rPr>
          <w:rFonts w:ascii="Palatino Linotype" w:eastAsia="Palatino Linotype" w:hAnsi="Palatino Linotype" w:cs="Palatino Linotype"/>
          <w:b/>
          <w:bCs/>
        </w:rPr>
        <w:t xml:space="preserve">catorce de agosto al tres de septiembre de dos mil veinticinco, </w:t>
      </w:r>
      <w:r w:rsidRPr="00C35E9E">
        <w:rPr>
          <w:rFonts w:ascii="Palatino Linotype" w:eastAsia="Palatino Linotype" w:hAnsi="Palatino Linotype" w:cs="Palatino Linotype"/>
        </w:rPr>
        <w:t xml:space="preserve">en consecuencia, si el </w:t>
      </w:r>
      <w:r w:rsidRPr="00C35E9E">
        <w:rPr>
          <w:rFonts w:ascii="Palatino Linotype" w:eastAsia="Palatino Linotype" w:hAnsi="Palatino Linotype" w:cs="Palatino Linotype"/>
          <w:b/>
          <w:bCs/>
        </w:rPr>
        <w:t>PARTICULAR</w:t>
      </w:r>
      <w:r w:rsidRPr="00C35E9E">
        <w:rPr>
          <w:rFonts w:ascii="Palatino Linotype" w:eastAsia="Palatino Linotype" w:hAnsi="Palatino Linotype" w:cs="Palatino Linotype"/>
        </w:rPr>
        <w:t xml:space="preserve"> presentó su inconformidad el </w:t>
      </w:r>
      <w:r w:rsidRPr="00C35E9E">
        <w:rPr>
          <w:rFonts w:ascii="Palatino Linotype" w:eastAsia="Palatino Linotype" w:hAnsi="Palatino Linotype" w:cs="Palatino Linotype"/>
          <w:b/>
          <w:bCs/>
        </w:rPr>
        <w:t>trece agosto de dos mil veinticinco</w:t>
      </w:r>
      <w:r w:rsidRPr="00C35E9E">
        <w:rPr>
          <w:rFonts w:ascii="Palatino Linotype" w:eastAsia="Palatino Linotype" w:hAnsi="Palatino Linotype" w:cs="Palatino Linotype"/>
        </w:rPr>
        <w:t xml:space="preserve">, este  se encuentra dentro de los márgenes temporales previstos en el artículo 178 de la </w:t>
      </w:r>
      <w:r w:rsidRPr="00C35E9E">
        <w:rPr>
          <w:rFonts w:ascii="Palatino Linotype" w:eastAsia="Palatino Linotype" w:hAnsi="Palatino Linotype" w:cs="Palatino Linotype"/>
          <w:b/>
          <w:bCs/>
        </w:rPr>
        <w:t xml:space="preserve">Ley de Transparencia y Acceso a la Información Pública del Estado de México y Municipios </w:t>
      </w:r>
      <w:r w:rsidRPr="00C35E9E">
        <w:rPr>
          <w:rFonts w:ascii="Palatino Linotype" w:eastAsia="Palatino Linotype" w:hAnsi="Palatino Linotype" w:cs="Palatino Linotype"/>
        </w:rPr>
        <w:t xml:space="preserve">vigente. </w:t>
      </w:r>
    </w:p>
    <w:p w:rsidR="007D029B" w:rsidRPr="00C35E9E" w:rsidRDefault="007D029B">
      <w:pPr>
        <w:spacing w:line="360" w:lineRule="auto"/>
        <w:ind w:right="49"/>
        <w:jc w:val="both"/>
        <w:rPr>
          <w:rFonts w:ascii="Palatino Linotype" w:eastAsia="Palatino Linotype" w:hAnsi="Palatino Linotype" w:cs="Palatino Linotype"/>
        </w:rPr>
      </w:pPr>
      <w:bookmarkStart w:id="3" w:name="_heading=h.2et92p0" w:colFirst="0" w:colLast="0"/>
      <w:bookmarkEnd w:id="3"/>
    </w:p>
    <w:p w:rsidR="007D029B" w:rsidRPr="00C35E9E" w:rsidRDefault="00622048">
      <w:pPr>
        <w:pStyle w:val="Ttulo2"/>
        <w:rPr>
          <w:rFonts w:ascii="Palatino Linotype" w:eastAsia="Palatino Linotype" w:hAnsi="Palatino Linotype" w:cs="Palatino Linotype"/>
          <w:b/>
          <w:bCs/>
          <w:i/>
          <w:iCs/>
          <w:color w:val="000000"/>
          <w:sz w:val="24"/>
          <w:szCs w:val="24"/>
        </w:rPr>
      </w:pPr>
      <w:r w:rsidRPr="00C35E9E">
        <w:rPr>
          <w:rFonts w:ascii="Palatino Linotype" w:eastAsia="Palatino Linotype" w:hAnsi="Palatino Linotype" w:cs="Palatino Linotype"/>
          <w:b/>
          <w:bCs/>
          <w:color w:val="000000"/>
          <w:sz w:val="24"/>
          <w:szCs w:val="24"/>
        </w:rPr>
        <w:t xml:space="preserve">TERCERO. Del planteamiento de la </w:t>
      </w:r>
      <w:r w:rsidRPr="00C35E9E">
        <w:rPr>
          <w:rFonts w:ascii="Palatino Linotype" w:eastAsia="Palatino Linotype" w:hAnsi="Palatino Linotype" w:cs="Palatino Linotype"/>
          <w:b/>
          <w:bCs/>
          <w:i/>
          <w:iCs/>
          <w:color w:val="000000"/>
          <w:sz w:val="24"/>
          <w:szCs w:val="24"/>
        </w:rPr>
        <w:t>Litis.</w:t>
      </w:r>
    </w:p>
    <w:p w:rsidR="007D029B" w:rsidRPr="00C35E9E" w:rsidRDefault="00622048">
      <w:pPr>
        <w:numPr>
          <w:ilvl w:val="0"/>
          <w:numId w:val="4"/>
        </w:numPr>
        <w:pBdr>
          <w:top w:val="nil"/>
          <w:left w:val="nil"/>
          <w:bottom w:val="nil"/>
          <w:right w:val="nil"/>
          <w:between w:val="nil"/>
        </w:pBdr>
        <w:tabs>
          <w:tab w:val="left" w:pos="0"/>
        </w:tabs>
        <w:spacing w:line="360" w:lineRule="auto"/>
        <w:ind w:left="0" w:right="-787" w:firstLine="0"/>
        <w:jc w:val="both"/>
        <w:rPr>
          <w:rFonts w:ascii="Palatino Linotype" w:eastAsia="Palatino Linotype" w:hAnsi="Palatino Linotype" w:cs="Palatino Linotype"/>
          <w:color w:val="000000"/>
        </w:rPr>
      </w:pPr>
      <w:r w:rsidRPr="00C35E9E">
        <w:rPr>
          <w:rFonts w:ascii="Palatino Linotype" w:eastAsia="Palatino Linotype" w:hAnsi="Palatino Linotype" w:cs="Palatino Linotype"/>
          <w:color w:val="000000"/>
        </w:rPr>
        <w:t xml:space="preserve">Se </w:t>
      </w:r>
      <w:r w:rsidRPr="00C35E9E">
        <w:rPr>
          <w:rFonts w:ascii="Palatino Linotype" w:eastAsia="Palatino Linotype" w:hAnsi="Palatino Linotype" w:cs="Palatino Linotype"/>
        </w:rPr>
        <w:t>solicitó</w:t>
      </w:r>
      <w:r w:rsidRPr="00C35E9E">
        <w:rPr>
          <w:rFonts w:ascii="Palatino Linotype" w:eastAsia="Palatino Linotype" w:hAnsi="Palatino Linotype" w:cs="Palatino Linotype"/>
          <w:color w:val="000000"/>
        </w:rPr>
        <w:t xml:space="preserve"> tener acceso, a la información que a continuación se simplifica:</w:t>
      </w:r>
    </w:p>
    <w:p w:rsidR="007D029B" w:rsidRPr="00C35E9E" w:rsidRDefault="00622048">
      <w:pPr>
        <w:numPr>
          <w:ilvl w:val="0"/>
          <w:numId w:val="3"/>
        </w:numPr>
        <w:pBdr>
          <w:top w:val="nil"/>
          <w:left w:val="nil"/>
          <w:bottom w:val="nil"/>
          <w:right w:val="nil"/>
          <w:between w:val="nil"/>
        </w:pBdr>
        <w:ind w:right="-220"/>
        <w:jc w:val="both"/>
        <w:rPr>
          <w:rFonts w:ascii="Palatino Linotype" w:eastAsia="Palatino Linotype" w:hAnsi="Palatino Linotype" w:cs="Palatino Linotype"/>
          <w:i/>
          <w:iCs/>
          <w:color w:val="000000"/>
        </w:rPr>
      </w:pPr>
      <w:r w:rsidRPr="00C35E9E">
        <w:rPr>
          <w:rFonts w:ascii="Palatino Linotype" w:eastAsia="Palatino Linotype" w:hAnsi="Palatino Linotype" w:cs="Palatino Linotype"/>
          <w:i/>
          <w:iCs/>
          <w:color w:val="000000"/>
        </w:rPr>
        <w:t>Copia del pliego petitorio entregado por el titular del área de diversidad sexual a la Presidenta Municipal Yoselin Mendoza el día 27 de junio de la presente anualidad en la marcha lgbt+.</w:t>
      </w:r>
    </w:p>
    <w:p w:rsidR="007D029B" w:rsidRPr="00C35E9E" w:rsidRDefault="007D029B">
      <w:pPr>
        <w:pBdr>
          <w:top w:val="nil"/>
          <w:left w:val="nil"/>
          <w:bottom w:val="nil"/>
          <w:right w:val="nil"/>
          <w:between w:val="nil"/>
        </w:pBdr>
        <w:ind w:left="567" w:right="-220"/>
        <w:jc w:val="both"/>
        <w:rPr>
          <w:rFonts w:ascii="Palatino Linotype" w:eastAsia="Palatino Linotype" w:hAnsi="Palatino Linotype" w:cs="Palatino Linotype"/>
          <w:i/>
          <w:iCs/>
          <w:color w:val="000000"/>
        </w:rPr>
      </w:pPr>
    </w:p>
    <w:p w:rsidR="007D029B" w:rsidRPr="00C35E9E" w:rsidRDefault="00622048">
      <w:pPr>
        <w:numPr>
          <w:ilvl w:val="0"/>
          <w:numId w:val="3"/>
        </w:numPr>
        <w:pBdr>
          <w:top w:val="nil"/>
          <w:left w:val="nil"/>
          <w:bottom w:val="nil"/>
          <w:right w:val="nil"/>
          <w:between w:val="nil"/>
        </w:pBdr>
        <w:ind w:right="-220"/>
        <w:jc w:val="both"/>
        <w:rPr>
          <w:rFonts w:ascii="Palatino Linotype" w:eastAsia="Palatino Linotype" w:hAnsi="Palatino Linotype" w:cs="Palatino Linotype"/>
          <w:i/>
          <w:iCs/>
          <w:color w:val="000000"/>
        </w:rPr>
      </w:pPr>
      <w:r w:rsidRPr="00C35E9E">
        <w:rPr>
          <w:rFonts w:ascii="Palatino Linotype" w:eastAsia="Palatino Linotype" w:hAnsi="Palatino Linotype" w:cs="Palatino Linotype"/>
          <w:i/>
          <w:iCs/>
          <w:color w:val="000000"/>
        </w:rPr>
        <w:t xml:space="preserve">Plan de trabajo del área de diversidad sexual. </w:t>
      </w:r>
    </w:p>
    <w:p w:rsidR="007D029B" w:rsidRPr="00C35E9E" w:rsidRDefault="007D029B">
      <w:pPr>
        <w:pBdr>
          <w:top w:val="nil"/>
          <w:left w:val="nil"/>
          <w:bottom w:val="nil"/>
          <w:right w:val="nil"/>
          <w:between w:val="nil"/>
        </w:pBdr>
        <w:ind w:left="567" w:right="-220"/>
        <w:jc w:val="both"/>
        <w:rPr>
          <w:rFonts w:ascii="Palatino Linotype" w:eastAsia="Palatino Linotype" w:hAnsi="Palatino Linotype" w:cs="Palatino Linotype"/>
          <w:i/>
          <w:iCs/>
          <w:color w:val="000000"/>
        </w:rPr>
      </w:pPr>
    </w:p>
    <w:p w:rsidR="007D029B" w:rsidRPr="00C35E9E" w:rsidRDefault="00622048">
      <w:pPr>
        <w:numPr>
          <w:ilvl w:val="0"/>
          <w:numId w:val="3"/>
        </w:numPr>
        <w:pBdr>
          <w:top w:val="nil"/>
          <w:left w:val="nil"/>
          <w:bottom w:val="nil"/>
          <w:right w:val="nil"/>
          <w:between w:val="nil"/>
        </w:pBdr>
        <w:ind w:right="-220"/>
        <w:jc w:val="both"/>
        <w:rPr>
          <w:rFonts w:ascii="Palatino Linotype" w:eastAsia="Palatino Linotype" w:hAnsi="Palatino Linotype" w:cs="Palatino Linotype"/>
          <w:i/>
          <w:iCs/>
          <w:color w:val="000000"/>
        </w:rPr>
      </w:pPr>
      <w:r w:rsidRPr="00C35E9E">
        <w:rPr>
          <w:rFonts w:ascii="Palatino Linotype" w:eastAsia="Palatino Linotype" w:hAnsi="Palatino Linotype" w:cs="Palatino Linotype"/>
          <w:i/>
          <w:iCs/>
          <w:color w:val="000000"/>
        </w:rPr>
        <w:t>Informe de los avances respecto a los acuerdos establecidos en el "Foro de escucha de necesidades de la población LGBTTTIQA+ de Nicolás Romero" llevado a cabo el 07 de febrero del presente año.</w:t>
      </w:r>
    </w:p>
    <w:p w:rsidR="007D029B" w:rsidRPr="00C35E9E" w:rsidRDefault="007D029B">
      <w:pPr>
        <w:pBdr>
          <w:top w:val="nil"/>
          <w:left w:val="nil"/>
          <w:bottom w:val="nil"/>
          <w:right w:val="nil"/>
          <w:between w:val="nil"/>
        </w:pBdr>
        <w:ind w:left="1440" w:right="-788"/>
        <w:jc w:val="both"/>
        <w:rPr>
          <w:rFonts w:ascii="Palatino Linotype" w:eastAsia="Palatino Linotype" w:hAnsi="Palatino Linotype" w:cs="Palatino Linotype"/>
          <w:color w:val="000000"/>
        </w:rPr>
      </w:pPr>
    </w:p>
    <w:p w:rsidR="007D029B" w:rsidRPr="00C35E9E" w:rsidRDefault="007D029B">
      <w:pPr>
        <w:pBdr>
          <w:top w:val="nil"/>
          <w:left w:val="nil"/>
          <w:bottom w:val="nil"/>
          <w:right w:val="nil"/>
          <w:between w:val="nil"/>
        </w:pBdr>
        <w:ind w:left="1440" w:right="-788"/>
        <w:jc w:val="both"/>
        <w:rPr>
          <w:rFonts w:ascii="Palatino Linotype" w:eastAsia="Palatino Linotype" w:hAnsi="Palatino Linotype" w:cs="Palatino Linotype"/>
          <w:color w:val="000000"/>
        </w:rPr>
      </w:pPr>
    </w:p>
    <w:p w:rsidR="007D029B" w:rsidRPr="00C35E9E" w:rsidRDefault="00622048">
      <w:pPr>
        <w:numPr>
          <w:ilvl w:val="0"/>
          <w:numId w:val="4"/>
        </w:numPr>
        <w:pBdr>
          <w:top w:val="nil"/>
          <w:left w:val="nil"/>
          <w:bottom w:val="nil"/>
          <w:right w:val="nil"/>
          <w:between w:val="nil"/>
        </w:pBdr>
        <w:tabs>
          <w:tab w:val="left" w:pos="0"/>
        </w:tabs>
        <w:spacing w:line="360" w:lineRule="auto"/>
        <w:ind w:left="0" w:right="-787" w:firstLine="0"/>
        <w:jc w:val="both"/>
        <w:rPr>
          <w:rFonts w:ascii="Palatino Linotype" w:eastAsia="Palatino Linotype" w:hAnsi="Palatino Linotype" w:cs="Palatino Linotype"/>
          <w:color w:val="000000"/>
        </w:rPr>
      </w:pPr>
      <w:r w:rsidRPr="00C35E9E">
        <w:rPr>
          <w:rFonts w:ascii="Palatino Linotype" w:eastAsia="Palatino Linotype" w:hAnsi="Palatino Linotype" w:cs="Palatino Linotype"/>
        </w:rPr>
        <w:t>En respuesta, el Sujeto Obligado</w:t>
      </w:r>
      <w:r w:rsidRPr="00C35E9E">
        <w:rPr>
          <w:rFonts w:ascii="Palatino Linotype" w:eastAsia="Palatino Linotype" w:hAnsi="Palatino Linotype" w:cs="Palatino Linotype"/>
          <w:b/>
          <w:bCs/>
        </w:rPr>
        <w:t xml:space="preserve"> </w:t>
      </w:r>
      <w:r w:rsidRPr="00C35E9E">
        <w:rPr>
          <w:rFonts w:ascii="Palatino Linotype" w:eastAsia="Palatino Linotype" w:hAnsi="Palatino Linotype" w:cs="Palatino Linotype"/>
        </w:rPr>
        <w:t>remitió el archivo ya descrito en el anterior párrafo 2, inconforme con la respuesta, se interpuso recurso de revisión argumentando sustancialmente la entrega de información incompleta.</w:t>
      </w:r>
    </w:p>
    <w:p w:rsidR="007D029B" w:rsidRPr="00C35E9E" w:rsidRDefault="007D029B">
      <w:pPr>
        <w:ind w:left="720" w:right="-788"/>
        <w:jc w:val="both"/>
        <w:rPr>
          <w:rFonts w:ascii="Palatino Linotype" w:eastAsia="Palatino Linotype" w:hAnsi="Palatino Linotype" w:cs="Palatino Linotype"/>
          <w:i/>
          <w:iCs/>
          <w:color w:val="000000"/>
        </w:rPr>
      </w:pPr>
    </w:p>
    <w:p w:rsidR="007D029B" w:rsidRPr="00C35E9E" w:rsidRDefault="00622048">
      <w:pPr>
        <w:numPr>
          <w:ilvl w:val="0"/>
          <w:numId w:val="4"/>
        </w:numPr>
        <w:pBdr>
          <w:top w:val="nil"/>
          <w:left w:val="nil"/>
          <w:bottom w:val="nil"/>
          <w:right w:val="nil"/>
          <w:between w:val="nil"/>
        </w:pBdr>
        <w:tabs>
          <w:tab w:val="left" w:pos="0"/>
        </w:tabs>
        <w:spacing w:line="360" w:lineRule="auto"/>
        <w:ind w:left="0" w:right="-787" w:firstLine="0"/>
        <w:jc w:val="both"/>
        <w:rPr>
          <w:rFonts w:ascii="Palatino Linotype" w:eastAsia="Palatino Linotype" w:hAnsi="Palatino Linotype" w:cs="Palatino Linotype"/>
        </w:rPr>
      </w:pPr>
      <w:r w:rsidRPr="00C35E9E">
        <w:rPr>
          <w:rFonts w:ascii="Palatino Linotype" w:eastAsia="Palatino Linotype" w:hAnsi="Palatino Linotype" w:cs="Palatino Linotype"/>
        </w:rPr>
        <w:lastRenderedPageBreak/>
        <w:t xml:space="preserve">En dichas condiciones, la controversia a resolver en el presente proveído, corresponde a determinar si se actualiza la causal de procedencia prevista en el artículo </w:t>
      </w:r>
      <w:r w:rsidRPr="00C35E9E">
        <w:rPr>
          <w:rFonts w:ascii="Palatino Linotype" w:eastAsia="Palatino Linotype" w:hAnsi="Palatino Linotype" w:cs="Palatino Linotype"/>
          <w:b/>
          <w:bCs/>
        </w:rPr>
        <w:t>179, fracción V, de la Ley de Transparencia y Acceso a la Información Pública del Estado de México y Municipios</w:t>
      </w:r>
      <w:r w:rsidRPr="00C35E9E">
        <w:rPr>
          <w:rFonts w:ascii="Palatino Linotype" w:eastAsia="Palatino Linotype" w:hAnsi="Palatino Linotype" w:cs="Palatino Linotype"/>
        </w:rPr>
        <w:t xml:space="preserve">; </w:t>
      </w:r>
      <w:r w:rsidRPr="00C35E9E">
        <w:rPr>
          <w:rFonts w:ascii="Palatino Linotype" w:eastAsia="Palatino Linotype" w:hAnsi="Palatino Linotype" w:cs="Palatino Linotype"/>
          <w:color w:val="000000"/>
        </w:rPr>
        <w:t xml:space="preserve">fracción que determina la hipótesis relativa a </w:t>
      </w:r>
      <w:r w:rsidRPr="00C35E9E">
        <w:rPr>
          <w:rFonts w:ascii="Palatino Linotype" w:eastAsia="Palatino Linotype" w:hAnsi="Palatino Linotype" w:cs="Palatino Linotype"/>
          <w:b/>
          <w:bCs/>
          <w:color w:val="000000"/>
        </w:rPr>
        <w:t>la entrega de información incompleta</w:t>
      </w:r>
      <w:r w:rsidRPr="00C35E9E">
        <w:rPr>
          <w:rFonts w:ascii="Palatino Linotype" w:eastAsia="Palatino Linotype" w:hAnsi="Palatino Linotype" w:cs="Palatino Linotype"/>
          <w:color w:val="000000"/>
        </w:rPr>
        <w:t xml:space="preserve">; </w:t>
      </w:r>
      <w:r w:rsidRPr="00C35E9E">
        <w:rPr>
          <w:rFonts w:ascii="Palatino Linotype" w:eastAsia="Palatino Linotype" w:hAnsi="Palatino Linotype" w:cs="Palatino Linotype"/>
        </w:rPr>
        <w:t>contexto del cual se dolió el Recurrente al momento de interponer su inconformidad.</w:t>
      </w:r>
      <w:r w:rsidRPr="00C35E9E">
        <w:rPr>
          <w:rFonts w:ascii="Palatino Linotype" w:eastAsia="Palatino Linotype" w:hAnsi="Palatino Linotype" w:cs="Palatino Linotype"/>
          <w:color w:val="000000"/>
        </w:rPr>
        <w:t xml:space="preserve"> De modo tal que el presente recurso de revisión se </w:t>
      </w:r>
      <w:r w:rsidRPr="00C35E9E">
        <w:rPr>
          <w:rFonts w:ascii="Palatino Linotype" w:eastAsia="Palatino Linotype" w:hAnsi="Palatino Linotype" w:cs="Palatino Linotype"/>
        </w:rPr>
        <w:t>abocará</w:t>
      </w:r>
      <w:r w:rsidRPr="00C35E9E">
        <w:rPr>
          <w:rFonts w:ascii="Palatino Linotype" w:eastAsia="Palatino Linotype" w:hAnsi="Palatino Linotype" w:cs="Palatino Linotype"/>
          <w:color w:val="000000"/>
        </w:rPr>
        <w:t xml:space="preserve"> en determinar si el Sujeto Obligado con su respuesta ciertamente actualiza la causal de procedencia</w:t>
      </w:r>
      <w:r w:rsidRPr="00C35E9E">
        <w:rPr>
          <w:rFonts w:ascii="Palatino Linotype" w:eastAsia="Palatino Linotype" w:hAnsi="Palatino Linotype" w:cs="Palatino Linotype"/>
          <w:b/>
          <w:bCs/>
          <w:color w:val="000000"/>
        </w:rPr>
        <w:t xml:space="preserve"> </w:t>
      </w:r>
      <w:r w:rsidRPr="00C35E9E">
        <w:rPr>
          <w:rFonts w:ascii="Palatino Linotype" w:eastAsia="Palatino Linotype" w:hAnsi="Palatino Linotype" w:cs="Palatino Linotype"/>
          <w:color w:val="000000"/>
        </w:rPr>
        <w:t>señalada.</w:t>
      </w:r>
    </w:p>
    <w:p w:rsidR="007D029B" w:rsidRPr="00C35E9E" w:rsidRDefault="007D029B">
      <w:pPr>
        <w:spacing w:line="360" w:lineRule="auto"/>
        <w:ind w:right="-787"/>
        <w:rPr>
          <w:rFonts w:ascii="Palatino Linotype" w:eastAsia="Palatino Linotype" w:hAnsi="Palatino Linotype" w:cs="Palatino Linotype"/>
        </w:rPr>
      </w:pPr>
    </w:p>
    <w:p w:rsidR="007D029B" w:rsidRPr="00C35E9E" w:rsidRDefault="00622048">
      <w:pPr>
        <w:pStyle w:val="Ttulo2"/>
        <w:rPr>
          <w:rFonts w:ascii="Palatino Linotype" w:eastAsia="Palatino Linotype" w:hAnsi="Palatino Linotype" w:cs="Palatino Linotype"/>
          <w:b/>
          <w:bCs/>
          <w:color w:val="000000"/>
          <w:sz w:val="24"/>
          <w:szCs w:val="24"/>
        </w:rPr>
      </w:pPr>
      <w:bookmarkStart w:id="4" w:name="_heading=h.1t3h5sf" w:colFirst="0" w:colLast="0"/>
      <w:bookmarkEnd w:id="4"/>
      <w:r w:rsidRPr="00C35E9E">
        <w:rPr>
          <w:rFonts w:ascii="Palatino Linotype" w:eastAsia="Palatino Linotype" w:hAnsi="Palatino Linotype" w:cs="Palatino Linotype"/>
          <w:b/>
          <w:bCs/>
          <w:color w:val="000000"/>
          <w:sz w:val="24"/>
          <w:szCs w:val="24"/>
        </w:rPr>
        <w:t>CUARTO. Del estudio y resolución del asunto.</w:t>
      </w:r>
    </w:p>
    <w:p w:rsidR="007D029B" w:rsidRPr="00C35E9E" w:rsidRDefault="00622048">
      <w:pPr>
        <w:numPr>
          <w:ilvl w:val="0"/>
          <w:numId w:val="4"/>
        </w:numPr>
        <w:pBdr>
          <w:top w:val="nil"/>
          <w:left w:val="nil"/>
          <w:bottom w:val="nil"/>
          <w:right w:val="nil"/>
          <w:between w:val="nil"/>
        </w:pBdr>
        <w:tabs>
          <w:tab w:val="left" w:pos="0"/>
        </w:tabs>
        <w:spacing w:line="360" w:lineRule="auto"/>
        <w:ind w:left="0" w:right="-787" w:firstLine="0"/>
        <w:jc w:val="both"/>
        <w:rPr>
          <w:rFonts w:ascii="Palatino Linotype" w:eastAsia="Palatino Linotype" w:hAnsi="Palatino Linotype" w:cs="Palatino Linotype"/>
        </w:rPr>
      </w:pPr>
      <w:r w:rsidRPr="00C35E9E">
        <w:rPr>
          <w:rFonts w:ascii="Palatino Linotype" w:eastAsia="Palatino Linotype" w:hAnsi="Palatino Linotype" w:cs="Palatino Linotype"/>
        </w:rPr>
        <w:t>Determinado lo anterior; revisaremos la atención otorgada por el Sujeto Obligado a la solicitud que dio origen a este recurso, considerando imprescindible establecer lo que la regulación determina, por ello, en primer lugar, vamos a revisar lo que mandata nuestra Ley de Transparencia local, en su artículo 12, el cual establece que quienes generen, recopilen, administren, manejen, procesen, archiven o conserven información pública serán responsables de la misma, del mismo modo, el artículo 18, establece que los Sujetos Obligados deberán documentar todo acto que derive del ejercicio de sus facultades, competencias o funciones desde su origen la eventual publicidad y reutilización de la información que generen.</w:t>
      </w:r>
    </w:p>
    <w:p w:rsidR="007D029B" w:rsidRPr="00C35E9E" w:rsidRDefault="007D029B">
      <w:pPr>
        <w:spacing w:line="360" w:lineRule="auto"/>
        <w:ind w:right="-787"/>
        <w:jc w:val="both"/>
        <w:rPr>
          <w:rFonts w:ascii="Palatino Linotype" w:eastAsia="Palatino Linotype" w:hAnsi="Palatino Linotype" w:cs="Palatino Linotype"/>
        </w:rPr>
      </w:pPr>
    </w:p>
    <w:p w:rsidR="007D029B" w:rsidRPr="00C35E9E" w:rsidRDefault="00622048">
      <w:pPr>
        <w:numPr>
          <w:ilvl w:val="0"/>
          <w:numId w:val="4"/>
        </w:numPr>
        <w:spacing w:line="360" w:lineRule="auto"/>
        <w:ind w:left="0" w:right="-787" w:firstLine="0"/>
        <w:jc w:val="both"/>
        <w:rPr>
          <w:rFonts w:ascii="Palatino Linotype" w:eastAsia="Palatino Linotype" w:hAnsi="Palatino Linotype" w:cs="Palatino Linotype"/>
        </w:rPr>
      </w:pPr>
      <w:r w:rsidRPr="00C35E9E">
        <w:rPr>
          <w:rFonts w:ascii="Palatino Linotype" w:eastAsia="Palatino Linotype" w:hAnsi="Palatino Linotype" w:cs="Palatino Linotype"/>
        </w:rPr>
        <w:t>Asimismo, es relevante mencionar que el artículo 19, del ordenamiento local de la materia señala que se presume que la información debe existir si se refiere a las facultades, competencias y funciones que los ordenamientos jurídicos aplicables otorgan a los sujetos obligados y en caso de que dichas facultades no se hayan ejercido, se deberá motivar la respuesta en función de las causas que motivaron tal circunstancia.</w:t>
      </w:r>
    </w:p>
    <w:p w:rsidR="007D029B" w:rsidRPr="00C35E9E" w:rsidRDefault="007D029B">
      <w:pPr>
        <w:pBdr>
          <w:top w:val="nil"/>
          <w:left w:val="nil"/>
          <w:bottom w:val="nil"/>
          <w:right w:val="nil"/>
          <w:between w:val="nil"/>
        </w:pBdr>
        <w:spacing w:line="360" w:lineRule="auto"/>
        <w:ind w:left="720" w:right="-787"/>
        <w:rPr>
          <w:rFonts w:ascii="Palatino Linotype" w:eastAsia="Palatino Linotype" w:hAnsi="Palatino Linotype" w:cs="Palatino Linotype"/>
          <w:color w:val="000000"/>
        </w:rPr>
      </w:pPr>
    </w:p>
    <w:p w:rsidR="007D029B" w:rsidRPr="00C35E9E" w:rsidRDefault="00622048">
      <w:pPr>
        <w:numPr>
          <w:ilvl w:val="0"/>
          <w:numId w:val="4"/>
        </w:numPr>
        <w:spacing w:line="360" w:lineRule="auto"/>
        <w:ind w:left="0" w:right="-787" w:firstLine="0"/>
        <w:jc w:val="both"/>
        <w:rPr>
          <w:rFonts w:ascii="Palatino Linotype" w:eastAsia="Palatino Linotype" w:hAnsi="Palatino Linotype" w:cs="Palatino Linotype"/>
        </w:rPr>
      </w:pPr>
      <w:r w:rsidRPr="00C35E9E">
        <w:rPr>
          <w:rFonts w:ascii="Palatino Linotype" w:eastAsia="Palatino Linotype" w:hAnsi="Palatino Linotype" w:cs="Palatino Linotype"/>
        </w:rPr>
        <w:lastRenderedPageBreak/>
        <w:t>Los artículos antes citados, refieren que el derecho de acceso a la información pública es un derecho humano que abarca el solicitar, investigar, difundir y buscar información que se encuentre en los archivos de los sujetos obligados, ya sea porque estos las generaron o la poseen en atención a sus funciones, por lo que se le considera un bien común de dominio público, toda vez que al tratarse de acciones ejercidas por un servidor público, este lo hace en representación del Estado, por lo que le pertenece a todos y debe ser accesible a cualquier persona, ya sea que los particulares la puedan consultar por encontrarse publicada en cualquier medio de difusión o porque la requieren a través de una solicitud de acceso a la información, siempre y cuando no encuadre en una de las excepciones contempladas por la ley.</w:t>
      </w:r>
    </w:p>
    <w:p w:rsidR="007D029B" w:rsidRPr="00C35E9E" w:rsidRDefault="007D029B">
      <w:pPr>
        <w:pBdr>
          <w:top w:val="nil"/>
          <w:left w:val="nil"/>
          <w:bottom w:val="nil"/>
          <w:right w:val="nil"/>
          <w:between w:val="nil"/>
        </w:pBdr>
        <w:spacing w:line="360" w:lineRule="auto"/>
        <w:ind w:right="-787"/>
        <w:rPr>
          <w:rFonts w:ascii="Palatino Linotype" w:eastAsia="Palatino Linotype" w:hAnsi="Palatino Linotype" w:cs="Palatino Linotype"/>
          <w:color w:val="000000"/>
        </w:rPr>
      </w:pPr>
    </w:p>
    <w:p w:rsidR="007D029B" w:rsidRPr="00C35E9E" w:rsidRDefault="00622048">
      <w:pPr>
        <w:numPr>
          <w:ilvl w:val="0"/>
          <w:numId w:val="8"/>
        </w:numPr>
        <w:pBdr>
          <w:top w:val="nil"/>
          <w:left w:val="nil"/>
          <w:bottom w:val="nil"/>
          <w:right w:val="nil"/>
          <w:between w:val="nil"/>
        </w:pBdr>
        <w:spacing w:line="360" w:lineRule="auto"/>
        <w:ind w:right="-787"/>
        <w:rPr>
          <w:rFonts w:ascii="Palatino Linotype" w:eastAsia="Palatino Linotype" w:hAnsi="Palatino Linotype" w:cs="Palatino Linotype"/>
          <w:b/>
          <w:bCs/>
          <w:color w:val="000000"/>
        </w:rPr>
      </w:pPr>
      <w:r w:rsidRPr="00C35E9E">
        <w:rPr>
          <w:rFonts w:ascii="Palatino Linotype" w:eastAsia="Palatino Linotype" w:hAnsi="Palatino Linotype" w:cs="Palatino Linotype"/>
          <w:b/>
          <w:bCs/>
          <w:color w:val="000000"/>
        </w:rPr>
        <w:t>Del Sujeto Obligado.</w:t>
      </w:r>
    </w:p>
    <w:p w:rsidR="007D029B" w:rsidRPr="00C35E9E" w:rsidRDefault="00622048">
      <w:pPr>
        <w:numPr>
          <w:ilvl w:val="0"/>
          <w:numId w:val="4"/>
        </w:numPr>
        <w:spacing w:line="360" w:lineRule="auto"/>
        <w:ind w:left="0" w:right="-787" w:firstLine="0"/>
        <w:jc w:val="both"/>
      </w:pPr>
      <w:r w:rsidRPr="00C35E9E">
        <w:rPr>
          <w:rFonts w:ascii="Palatino Linotype" w:eastAsia="Palatino Linotype" w:hAnsi="Palatino Linotype" w:cs="Palatino Linotype"/>
        </w:rPr>
        <w:t>La administración pública municipal se divide en Centralizada, Descentralizada y Desconcentrada; la Centralizada se constituye por las dependencias que señala la Ley Orgánica Municipal del Estado de México, así como por aquellas que sean creadas por acuerdo de Cabildo, tal como lo señala el Bando Municipal 2025, entre las cuales se encuentran:</w:t>
      </w:r>
    </w:p>
    <w:p w:rsidR="007D029B" w:rsidRPr="00C35E9E" w:rsidRDefault="00622048">
      <w:pPr>
        <w:ind w:left="567" w:right="-220"/>
        <w:jc w:val="center"/>
        <w:rPr>
          <w:rFonts w:ascii="Palatino Linotype" w:eastAsia="Palatino Linotype" w:hAnsi="Palatino Linotype" w:cs="Palatino Linotype"/>
          <w:b/>
          <w:bCs/>
          <w:i/>
          <w:iCs/>
        </w:rPr>
      </w:pPr>
      <w:r w:rsidRPr="00C35E9E">
        <w:rPr>
          <w:rFonts w:ascii="Palatino Linotype" w:eastAsia="Palatino Linotype" w:hAnsi="Palatino Linotype" w:cs="Palatino Linotype"/>
          <w:b/>
          <w:bCs/>
          <w:i/>
          <w:iCs/>
        </w:rPr>
        <w:t>Bando Municipal 2025</w:t>
      </w:r>
    </w:p>
    <w:p w:rsidR="007D029B" w:rsidRPr="00C35E9E" w:rsidRDefault="007D029B">
      <w:pPr>
        <w:ind w:left="567" w:right="-220"/>
        <w:jc w:val="center"/>
        <w:rPr>
          <w:rFonts w:ascii="Palatino Linotype" w:eastAsia="Palatino Linotype" w:hAnsi="Palatino Linotype" w:cs="Palatino Linotype"/>
          <w:b/>
          <w:bCs/>
          <w:i/>
          <w:iCs/>
        </w:rPr>
      </w:pPr>
    </w:p>
    <w:p w:rsidR="007D029B" w:rsidRPr="00C35E9E" w:rsidRDefault="00622048">
      <w:pPr>
        <w:ind w:left="567" w:right="-788"/>
        <w:jc w:val="center"/>
        <w:rPr>
          <w:rFonts w:ascii="Palatino Linotype" w:eastAsia="Palatino Linotype" w:hAnsi="Palatino Linotype" w:cs="Palatino Linotype"/>
          <w:b/>
          <w:bCs/>
          <w:i/>
          <w:iCs/>
        </w:rPr>
      </w:pPr>
      <w:r w:rsidRPr="00C35E9E">
        <w:rPr>
          <w:rFonts w:ascii="Palatino Linotype" w:eastAsia="Palatino Linotype" w:hAnsi="Palatino Linotype" w:cs="Palatino Linotype"/>
          <w:b/>
          <w:bCs/>
          <w:i/>
          <w:iCs/>
        </w:rPr>
        <w:t>CAPÍTULO IV</w:t>
      </w:r>
    </w:p>
    <w:p w:rsidR="007D029B" w:rsidRPr="00C35E9E" w:rsidRDefault="00622048">
      <w:pPr>
        <w:ind w:left="567" w:right="-788"/>
        <w:jc w:val="center"/>
        <w:rPr>
          <w:rFonts w:ascii="Palatino Linotype" w:eastAsia="Palatino Linotype" w:hAnsi="Palatino Linotype" w:cs="Palatino Linotype"/>
          <w:b/>
          <w:bCs/>
          <w:i/>
          <w:iCs/>
        </w:rPr>
      </w:pPr>
      <w:r w:rsidRPr="00C35E9E">
        <w:rPr>
          <w:rFonts w:ascii="Palatino Linotype" w:eastAsia="Palatino Linotype" w:hAnsi="Palatino Linotype" w:cs="Palatino Linotype"/>
          <w:b/>
          <w:bCs/>
          <w:i/>
          <w:iCs/>
        </w:rPr>
        <w:t>DE LA ORGANIZACIÓN DE LA ADMINISTRACIÓN PÚBLICA MUNICIPAL</w:t>
      </w:r>
    </w:p>
    <w:p w:rsidR="007D029B" w:rsidRPr="00C35E9E" w:rsidRDefault="007D029B">
      <w:pPr>
        <w:ind w:left="567" w:right="-788"/>
        <w:jc w:val="both"/>
        <w:rPr>
          <w:rFonts w:ascii="Palatino Linotype" w:eastAsia="Palatino Linotype" w:hAnsi="Palatino Linotype" w:cs="Palatino Linotype"/>
          <w:b/>
          <w:bCs/>
          <w:i/>
          <w:iCs/>
        </w:rPr>
      </w:pPr>
    </w:p>
    <w:p w:rsidR="007D029B" w:rsidRPr="00C35E9E" w:rsidRDefault="00622048">
      <w:pPr>
        <w:ind w:left="567" w:right="-788"/>
        <w:jc w:val="both"/>
        <w:rPr>
          <w:rFonts w:ascii="Palatino Linotype" w:eastAsia="Palatino Linotype" w:hAnsi="Palatino Linotype" w:cs="Palatino Linotype"/>
          <w:i/>
          <w:iCs/>
        </w:rPr>
      </w:pPr>
      <w:r w:rsidRPr="00C35E9E">
        <w:rPr>
          <w:rFonts w:ascii="Palatino Linotype" w:eastAsia="Palatino Linotype" w:hAnsi="Palatino Linotype" w:cs="Palatino Linotype"/>
          <w:b/>
          <w:bCs/>
          <w:i/>
          <w:iCs/>
        </w:rPr>
        <w:t xml:space="preserve">Artículo 52. </w:t>
      </w:r>
      <w:r w:rsidRPr="00C35E9E">
        <w:rPr>
          <w:rFonts w:ascii="Palatino Linotype" w:eastAsia="Palatino Linotype" w:hAnsi="Palatino Linotype" w:cs="Palatino Linotype"/>
          <w:i/>
          <w:iCs/>
        </w:rPr>
        <w:t xml:space="preserve">La administración pública municipal está constituida por una estructura orgánica que actúa para el cumplimiento de los objetivos del Ayuntamiento de manera programada, con base en las políticas establecidas en el Plan de Desarrollo Municipal y las que dicte el Ejecutivo Municipal; por lo que, para el ejercicio de sus atribuciones y responsabilidades ejecutivas, el Gobierno Municipal se auxiliará con las dependencias, entidades y organismos auxiliares de la </w:t>
      </w:r>
      <w:r w:rsidRPr="00C35E9E">
        <w:rPr>
          <w:rFonts w:ascii="Palatino Linotype" w:eastAsia="Palatino Linotype" w:hAnsi="Palatino Linotype" w:cs="Palatino Linotype"/>
          <w:i/>
          <w:iCs/>
        </w:rPr>
        <w:lastRenderedPageBreak/>
        <w:t xml:space="preserve">administración pública municipal, que acuerde el Cabildo a propuesta de la Presidenta Municipal, las que estarán subordinadas a este servidor público. </w:t>
      </w:r>
    </w:p>
    <w:p w:rsidR="007D029B" w:rsidRPr="00C35E9E" w:rsidRDefault="007D029B">
      <w:pPr>
        <w:ind w:left="567" w:right="-788"/>
        <w:jc w:val="both"/>
        <w:rPr>
          <w:rFonts w:ascii="Palatino Linotype" w:eastAsia="Palatino Linotype" w:hAnsi="Palatino Linotype" w:cs="Palatino Linotype"/>
          <w:i/>
          <w:iCs/>
        </w:rPr>
      </w:pPr>
    </w:p>
    <w:p w:rsidR="007D029B" w:rsidRPr="00C35E9E" w:rsidRDefault="00622048">
      <w:pPr>
        <w:ind w:left="567" w:right="-788"/>
        <w:jc w:val="both"/>
        <w:rPr>
          <w:rFonts w:ascii="Palatino Linotype" w:eastAsia="Palatino Linotype" w:hAnsi="Palatino Linotype" w:cs="Palatino Linotype"/>
          <w:i/>
          <w:iCs/>
        </w:rPr>
      </w:pPr>
      <w:r w:rsidRPr="00C35E9E">
        <w:rPr>
          <w:rFonts w:ascii="Palatino Linotype" w:eastAsia="Palatino Linotype" w:hAnsi="Palatino Linotype" w:cs="Palatino Linotype"/>
          <w:i/>
          <w:iCs/>
        </w:rPr>
        <w:t xml:space="preserve">Para una mejor eficiencia, la administración pública municipal se divide en Centralizada, Descentralizada y Desconcentrada; la Centralizada se constituye por las dependencias que señala la Ley Orgánica Municipal del Estado de México, así como por aquellas que sean creadas por acuerdo de Cabildo. </w:t>
      </w:r>
    </w:p>
    <w:p w:rsidR="007D029B" w:rsidRPr="00C35E9E" w:rsidRDefault="007D029B">
      <w:pPr>
        <w:ind w:left="567" w:right="-788"/>
        <w:jc w:val="both"/>
        <w:rPr>
          <w:rFonts w:ascii="Palatino Linotype" w:eastAsia="Palatino Linotype" w:hAnsi="Palatino Linotype" w:cs="Palatino Linotype"/>
          <w:i/>
          <w:iCs/>
        </w:rPr>
      </w:pPr>
    </w:p>
    <w:p w:rsidR="007D029B" w:rsidRPr="00C35E9E" w:rsidRDefault="00622048">
      <w:pPr>
        <w:ind w:left="567" w:right="-788"/>
        <w:jc w:val="both"/>
        <w:rPr>
          <w:rFonts w:ascii="Palatino Linotype" w:eastAsia="Palatino Linotype" w:hAnsi="Palatino Linotype" w:cs="Palatino Linotype"/>
          <w:i/>
          <w:iCs/>
        </w:rPr>
      </w:pPr>
      <w:r w:rsidRPr="00C35E9E">
        <w:rPr>
          <w:rFonts w:ascii="Palatino Linotype" w:eastAsia="Palatino Linotype" w:hAnsi="Palatino Linotype" w:cs="Palatino Linotype"/>
          <w:i/>
          <w:iCs/>
        </w:rPr>
        <w:t xml:space="preserve">A. La </w:t>
      </w:r>
      <w:r w:rsidRPr="00C35E9E">
        <w:rPr>
          <w:rFonts w:ascii="Palatino Linotype" w:eastAsia="Palatino Linotype" w:hAnsi="Palatino Linotype" w:cs="Palatino Linotype"/>
          <w:b/>
          <w:bCs/>
          <w:i/>
          <w:iCs/>
        </w:rPr>
        <w:t>Administración Pública Centralizada</w:t>
      </w:r>
      <w:r w:rsidRPr="00C35E9E">
        <w:rPr>
          <w:rFonts w:ascii="Palatino Linotype" w:eastAsia="Palatino Linotype" w:hAnsi="Palatino Linotype" w:cs="Palatino Linotype"/>
          <w:i/>
          <w:iCs/>
        </w:rPr>
        <w:t xml:space="preserve"> se integra por:</w:t>
      </w:r>
    </w:p>
    <w:p w:rsidR="007D029B" w:rsidRPr="00C35E9E" w:rsidRDefault="00622048">
      <w:pPr>
        <w:ind w:left="567" w:right="-788"/>
        <w:jc w:val="both"/>
        <w:rPr>
          <w:rFonts w:ascii="Palatino Linotype" w:eastAsia="Palatino Linotype" w:hAnsi="Palatino Linotype" w:cs="Palatino Linotype"/>
          <w:i/>
          <w:iCs/>
        </w:rPr>
      </w:pPr>
      <w:r w:rsidRPr="00C35E9E">
        <w:rPr>
          <w:rFonts w:ascii="Palatino Linotype" w:eastAsia="Palatino Linotype" w:hAnsi="Palatino Linotype" w:cs="Palatino Linotype"/>
          <w:i/>
          <w:iCs/>
        </w:rPr>
        <w:t>I. Presidencia Municipal;</w:t>
      </w:r>
    </w:p>
    <w:p w:rsidR="007D029B" w:rsidRPr="00C35E9E" w:rsidRDefault="00622048">
      <w:pPr>
        <w:ind w:left="567" w:right="-788"/>
        <w:jc w:val="both"/>
        <w:rPr>
          <w:rFonts w:ascii="Palatino Linotype" w:eastAsia="Palatino Linotype" w:hAnsi="Palatino Linotype" w:cs="Palatino Linotype"/>
          <w:i/>
          <w:iCs/>
        </w:rPr>
      </w:pPr>
      <w:r w:rsidRPr="00C35E9E">
        <w:rPr>
          <w:rFonts w:ascii="Palatino Linotype" w:eastAsia="Palatino Linotype" w:hAnsi="Palatino Linotype" w:cs="Palatino Linotype"/>
          <w:i/>
          <w:iCs/>
        </w:rPr>
        <w:t xml:space="preserve">II. Secretaría del Ayuntamiento </w:t>
      </w:r>
    </w:p>
    <w:p w:rsidR="007D029B" w:rsidRPr="00C35E9E" w:rsidRDefault="00622048">
      <w:pPr>
        <w:ind w:left="567" w:right="-788"/>
        <w:jc w:val="both"/>
        <w:rPr>
          <w:rFonts w:ascii="Palatino Linotype" w:eastAsia="Palatino Linotype" w:hAnsi="Palatino Linotype" w:cs="Palatino Linotype"/>
          <w:i/>
          <w:iCs/>
        </w:rPr>
      </w:pPr>
      <w:r w:rsidRPr="00C35E9E">
        <w:rPr>
          <w:rFonts w:ascii="Palatino Linotype" w:eastAsia="Palatino Linotype" w:hAnsi="Palatino Linotype" w:cs="Palatino Linotype"/>
          <w:i/>
          <w:iCs/>
        </w:rPr>
        <w:t>III. Tesorería Municipal;</w:t>
      </w:r>
    </w:p>
    <w:p w:rsidR="007D029B" w:rsidRPr="00C35E9E" w:rsidRDefault="00622048">
      <w:pPr>
        <w:ind w:left="567" w:right="-788"/>
        <w:jc w:val="both"/>
        <w:rPr>
          <w:rFonts w:ascii="Palatino Linotype" w:eastAsia="Palatino Linotype" w:hAnsi="Palatino Linotype" w:cs="Palatino Linotype"/>
          <w:i/>
          <w:iCs/>
        </w:rPr>
      </w:pPr>
      <w:r w:rsidRPr="00C35E9E">
        <w:rPr>
          <w:rFonts w:ascii="Palatino Linotype" w:eastAsia="Palatino Linotype" w:hAnsi="Palatino Linotype" w:cs="Palatino Linotype"/>
          <w:i/>
          <w:iCs/>
        </w:rPr>
        <w:t xml:space="preserve">IV. Dirección de Administración; </w:t>
      </w:r>
    </w:p>
    <w:p w:rsidR="007D029B" w:rsidRPr="00C35E9E" w:rsidRDefault="00622048">
      <w:pPr>
        <w:ind w:left="567" w:right="-788"/>
        <w:jc w:val="both"/>
        <w:rPr>
          <w:rFonts w:ascii="Palatino Linotype" w:eastAsia="Palatino Linotype" w:hAnsi="Palatino Linotype" w:cs="Palatino Linotype"/>
          <w:i/>
          <w:iCs/>
        </w:rPr>
      </w:pPr>
      <w:r w:rsidRPr="00C35E9E">
        <w:rPr>
          <w:rFonts w:ascii="Palatino Linotype" w:eastAsia="Palatino Linotype" w:hAnsi="Palatino Linotype" w:cs="Palatino Linotype"/>
          <w:i/>
          <w:iCs/>
        </w:rPr>
        <w:t xml:space="preserve">V. Dirección General de Infraestructura Municipal; </w:t>
      </w:r>
    </w:p>
    <w:p w:rsidR="007D029B" w:rsidRPr="00C35E9E" w:rsidRDefault="00622048">
      <w:pPr>
        <w:ind w:left="567" w:right="-788"/>
        <w:jc w:val="both"/>
        <w:rPr>
          <w:rFonts w:ascii="Palatino Linotype" w:eastAsia="Palatino Linotype" w:hAnsi="Palatino Linotype" w:cs="Palatino Linotype"/>
          <w:i/>
          <w:iCs/>
        </w:rPr>
      </w:pPr>
      <w:r w:rsidRPr="00C35E9E">
        <w:rPr>
          <w:rFonts w:ascii="Palatino Linotype" w:eastAsia="Palatino Linotype" w:hAnsi="Palatino Linotype" w:cs="Palatino Linotype"/>
          <w:i/>
          <w:iCs/>
        </w:rPr>
        <w:t xml:space="preserve">VI. Dirección de Desarrollo Urbano; </w:t>
      </w:r>
    </w:p>
    <w:p w:rsidR="007D029B" w:rsidRPr="00C35E9E" w:rsidRDefault="00622048">
      <w:pPr>
        <w:ind w:left="567" w:right="-788"/>
        <w:jc w:val="both"/>
        <w:rPr>
          <w:rFonts w:ascii="Palatino Linotype" w:eastAsia="Palatino Linotype" w:hAnsi="Palatino Linotype" w:cs="Palatino Linotype"/>
          <w:i/>
          <w:iCs/>
        </w:rPr>
      </w:pPr>
      <w:r w:rsidRPr="00C35E9E">
        <w:rPr>
          <w:rFonts w:ascii="Palatino Linotype" w:eastAsia="Palatino Linotype" w:hAnsi="Palatino Linotype" w:cs="Palatino Linotype"/>
          <w:i/>
          <w:iCs/>
        </w:rPr>
        <w:t xml:space="preserve">VII. Dirección de Medio Ambiente; </w:t>
      </w:r>
    </w:p>
    <w:p w:rsidR="007D029B" w:rsidRPr="00C35E9E" w:rsidRDefault="00622048">
      <w:pPr>
        <w:ind w:left="567" w:right="-788"/>
        <w:jc w:val="both"/>
        <w:rPr>
          <w:rFonts w:ascii="Palatino Linotype" w:eastAsia="Palatino Linotype" w:hAnsi="Palatino Linotype" w:cs="Palatino Linotype"/>
          <w:i/>
          <w:iCs/>
        </w:rPr>
      </w:pPr>
      <w:r w:rsidRPr="00C35E9E">
        <w:rPr>
          <w:rFonts w:ascii="Palatino Linotype" w:eastAsia="Palatino Linotype" w:hAnsi="Palatino Linotype" w:cs="Palatino Linotype"/>
          <w:i/>
          <w:iCs/>
        </w:rPr>
        <w:t xml:space="preserve">VIII. Dirección de Desarrollo Económico; </w:t>
      </w:r>
    </w:p>
    <w:p w:rsidR="007D029B" w:rsidRPr="00C35E9E" w:rsidRDefault="00622048">
      <w:pPr>
        <w:ind w:left="567" w:right="-788"/>
        <w:jc w:val="both"/>
        <w:rPr>
          <w:rFonts w:ascii="Palatino Linotype" w:eastAsia="Palatino Linotype" w:hAnsi="Palatino Linotype" w:cs="Palatino Linotype"/>
          <w:i/>
          <w:iCs/>
        </w:rPr>
      </w:pPr>
      <w:r w:rsidRPr="00C35E9E">
        <w:rPr>
          <w:rFonts w:ascii="Palatino Linotype" w:eastAsia="Palatino Linotype" w:hAnsi="Palatino Linotype" w:cs="Palatino Linotype"/>
          <w:i/>
          <w:iCs/>
        </w:rPr>
        <w:t xml:space="preserve">IX. Dirección de Bienestar Social; </w:t>
      </w:r>
    </w:p>
    <w:p w:rsidR="007D029B" w:rsidRPr="00C35E9E" w:rsidRDefault="00622048">
      <w:pPr>
        <w:ind w:left="567" w:right="-788"/>
        <w:jc w:val="both"/>
        <w:rPr>
          <w:rFonts w:ascii="Palatino Linotype" w:eastAsia="Palatino Linotype" w:hAnsi="Palatino Linotype" w:cs="Palatino Linotype"/>
          <w:i/>
          <w:iCs/>
        </w:rPr>
      </w:pPr>
      <w:r w:rsidRPr="00C35E9E">
        <w:rPr>
          <w:rFonts w:ascii="Palatino Linotype" w:eastAsia="Palatino Linotype" w:hAnsi="Palatino Linotype" w:cs="Palatino Linotype"/>
          <w:i/>
          <w:iCs/>
        </w:rPr>
        <w:t xml:space="preserve">X. Dirección de Salud; </w:t>
      </w:r>
    </w:p>
    <w:p w:rsidR="007D029B" w:rsidRPr="00C35E9E" w:rsidRDefault="00622048">
      <w:pPr>
        <w:ind w:left="567" w:right="-788"/>
        <w:jc w:val="both"/>
        <w:rPr>
          <w:rFonts w:ascii="Palatino Linotype" w:eastAsia="Palatino Linotype" w:hAnsi="Palatino Linotype" w:cs="Palatino Linotype"/>
          <w:b/>
          <w:bCs/>
          <w:i/>
          <w:iCs/>
        </w:rPr>
      </w:pPr>
      <w:r w:rsidRPr="00C35E9E">
        <w:rPr>
          <w:rFonts w:ascii="Palatino Linotype" w:eastAsia="Palatino Linotype" w:hAnsi="Palatino Linotype" w:cs="Palatino Linotype"/>
          <w:b/>
          <w:bCs/>
          <w:i/>
          <w:iCs/>
        </w:rPr>
        <w:t xml:space="preserve">XI. Dirección de las Mujeres, Inclusión y Equidad; </w:t>
      </w:r>
    </w:p>
    <w:p w:rsidR="007D029B" w:rsidRPr="00C35E9E" w:rsidRDefault="00622048">
      <w:pPr>
        <w:ind w:left="567" w:right="-788"/>
        <w:jc w:val="both"/>
        <w:rPr>
          <w:rFonts w:ascii="Palatino Linotype" w:eastAsia="Palatino Linotype" w:hAnsi="Palatino Linotype" w:cs="Palatino Linotype"/>
          <w:i/>
          <w:iCs/>
        </w:rPr>
      </w:pPr>
      <w:r w:rsidRPr="00C35E9E">
        <w:rPr>
          <w:rFonts w:ascii="Palatino Linotype" w:eastAsia="Palatino Linotype" w:hAnsi="Palatino Linotype" w:cs="Palatino Linotype"/>
          <w:i/>
          <w:iCs/>
        </w:rPr>
        <w:t xml:space="preserve">XII. Dirección de Seguridad Pública y Protección Ciudadana; </w:t>
      </w:r>
    </w:p>
    <w:p w:rsidR="007D029B" w:rsidRPr="00C35E9E" w:rsidRDefault="00622048">
      <w:pPr>
        <w:ind w:left="567" w:right="-788"/>
        <w:jc w:val="both"/>
        <w:rPr>
          <w:rFonts w:ascii="Palatino Linotype" w:eastAsia="Palatino Linotype" w:hAnsi="Palatino Linotype" w:cs="Palatino Linotype"/>
          <w:i/>
          <w:iCs/>
        </w:rPr>
      </w:pPr>
      <w:r w:rsidRPr="00C35E9E">
        <w:rPr>
          <w:rFonts w:ascii="Palatino Linotype" w:eastAsia="Palatino Linotype" w:hAnsi="Palatino Linotype" w:cs="Palatino Linotype"/>
          <w:i/>
          <w:iCs/>
        </w:rPr>
        <w:t xml:space="preserve">XIII. Dirección de Innovación Gubernamental; y </w:t>
      </w:r>
    </w:p>
    <w:p w:rsidR="007D029B" w:rsidRPr="00C35E9E" w:rsidRDefault="00622048">
      <w:pPr>
        <w:ind w:left="567" w:right="-788"/>
        <w:jc w:val="both"/>
        <w:rPr>
          <w:rFonts w:ascii="Palatino Linotype" w:eastAsia="Palatino Linotype" w:hAnsi="Palatino Linotype" w:cs="Palatino Linotype"/>
          <w:i/>
          <w:iCs/>
        </w:rPr>
      </w:pPr>
      <w:r w:rsidRPr="00C35E9E">
        <w:rPr>
          <w:rFonts w:ascii="Palatino Linotype" w:eastAsia="Palatino Linotype" w:hAnsi="Palatino Linotype" w:cs="Palatino Linotype"/>
          <w:i/>
          <w:iCs/>
        </w:rPr>
        <w:t>XIV. Contraloría Municipal.</w:t>
      </w:r>
    </w:p>
    <w:p w:rsidR="007D029B" w:rsidRPr="00C35E9E" w:rsidRDefault="007D029B">
      <w:pPr>
        <w:ind w:left="567" w:right="-788"/>
        <w:jc w:val="both"/>
        <w:rPr>
          <w:rFonts w:ascii="Palatino Linotype" w:eastAsia="Palatino Linotype" w:hAnsi="Palatino Linotype" w:cs="Palatino Linotype"/>
          <w:i/>
          <w:iCs/>
        </w:rPr>
      </w:pPr>
    </w:p>
    <w:p w:rsidR="007D029B" w:rsidRPr="00C35E9E" w:rsidRDefault="00622048">
      <w:pPr>
        <w:ind w:left="567" w:right="-788"/>
        <w:jc w:val="center"/>
        <w:rPr>
          <w:rFonts w:ascii="Palatino Linotype" w:eastAsia="Palatino Linotype" w:hAnsi="Palatino Linotype" w:cs="Palatino Linotype"/>
          <w:b/>
          <w:bCs/>
          <w:i/>
          <w:iCs/>
        </w:rPr>
      </w:pPr>
      <w:r w:rsidRPr="00C35E9E">
        <w:rPr>
          <w:rFonts w:ascii="Palatino Linotype" w:eastAsia="Palatino Linotype" w:hAnsi="Palatino Linotype" w:cs="Palatino Linotype"/>
          <w:b/>
          <w:bCs/>
          <w:i/>
          <w:iCs/>
        </w:rPr>
        <w:t>SECCIÓN DÉCIMA PRIMERA</w:t>
      </w:r>
    </w:p>
    <w:p w:rsidR="007D029B" w:rsidRPr="00C35E9E" w:rsidRDefault="00622048">
      <w:pPr>
        <w:ind w:left="567" w:right="-788"/>
        <w:jc w:val="center"/>
        <w:rPr>
          <w:rFonts w:ascii="Palatino Linotype" w:eastAsia="Palatino Linotype" w:hAnsi="Palatino Linotype" w:cs="Palatino Linotype"/>
          <w:b/>
          <w:bCs/>
          <w:i/>
          <w:iCs/>
        </w:rPr>
      </w:pPr>
      <w:r w:rsidRPr="00C35E9E">
        <w:rPr>
          <w:rFonts w:ascii="Palatino Linotype" w:eastAsia="Palatino Linotype" w:hAnsi="Palatino Linotype" w:cs="Palatino Linotype"/>
          <w:b/>
          <w:bCs/>
          <w:i/>
          <w:iCs/>
        </w:rPr>
        <w:t>DIRECCIÓN DE LAS MUJERES, INCLUSIÓN Y EQUIDAD</w:t>
      </w:r>
    </w:p>
    <w:p w:rsidR="007D029B" w:rsidRPr="00C35E9E" w:rsidRDefault="007D029B">
      <w:pPr>
        <w:ind w:left="567" w:right="-788"/>
        <w:jc w:val="both"/>
        <w:rPr>
          <w:rFonts w:ascii="Palatino Linotype" w:eastAsia="Palatino Linotype" w:hAnsi="Palatino Linotype" w:cs="Palatino Linotype"/>
          <w:b/>
          <w:bCs/>
          <w:i/>
          <w:iCs/>
        </w:rPr>
      </w:pPr>
    </w:p>
    <w:p w:rsidR="007D029B" w:rsidRPr="00C35E9E" w:rsidRDefault="00622048">
      <w:pPr>
        <w:ind w:left="567" w:right="-788"/>
        <w:jc w:val="both"/>
        <w:rPr>
          <w:rFonts w:ascii="Palatino Linotype" w:eastAsia="Palatino Linotype" w:hAnsi="Palatino Linotype" w:cs="Palatino Linotype"/>
          <w:i/>
          <w:iCs/>
        </w:rPr>
      </w:pPr>
      <w:r w:rsidRPr="00C35E9E">
        <w:rPr>
          <w:rFonts w:ascii="Palatino Linotype" w:eastAsia="Palatino Linotype" w:hAnsi="Palatino Linotype" w:cs="Palatino Linotype"/>
          <w:b/>
          <w:bCs/>
          <w:i/>
          <w:iCs/>
        </w:rPr>
        <w:t>Artículo 87</w:t>
      </w:r>
      <w:r w:rsidRPr="00C35E9E">
        <w:rPr>
          <w:rFonts w:ascii="Palatino Linotype" w:eastAsia="Palatino Linotype" w:hAnsi="Palatino Linotype" w:cs="Palatino Linotype"/>
          <w:i/>
          <w:iCs/>
        </w:rPr>
        <w:t>. En materia de igualdad, equidad y la no discriminación hacia las mujeres la Dirección de las Mujeres, Inclusión y Equidad, promoverá el proceso al empoderamiento multidimensional de personas que históricamente han sido vulneradas; a través de los principios de igualdad y no discriminación, acceso a la justicia, información y participación, para que las y los nicolasromerenses cuenten con oportunidades que trasciendan en su vida, a fin de establecer un estado igualitario de acceso y ejercicio pleno de sus derechos.</w:t>
      </w:r>
    </w:p>
    <w:p w:rsidR="007D029B" w:rsidRPr="00C35E9E" w:rsidRDefault="00622048">
      <w:pPr>
        <w:ind w:left="567" w:right="-788" w:firstLine="152"/>
        <w:jc w:val="both"/>
        <w:rPr>
          <w:rFonts w:ascii="Palatino Linotype" w:eastAsia="Palatino Linotype" w:hAnsi="Palatino Linotype" w:cs="Palatino Linotype"/>
          <w:i/>
          <w:iCs/>
        </w:rPr>
      </w:pPr>
      <w:r w:rsidRPr="00C35E9E">
        <w:rPr>
          <w:rFonts w:ascii="Palatino Linotype" w:eastAsia="Palatino Linotype" w:hAnsi="Palatino Linotype" w:cs="Palatino Linotype"/>
          <w:i/>
          <w:iCs/>
        </w:rPr>
        <w:t xml:space="preserve">Asimismo, atenderá y diagnosticarán los elementos causales que generan desigualdades con la finalidad de diseñar mecanismos de integración comunitaria, desarrollo, promoción del respeto por la diversidad y generación de ambientes libres de discriminación, acoso, abuso y cualquier tipo </w:t>
      </w:r>
      <w:r w:rsidRPr="00C35E9E">
        <w:rPr>
          <w:rFonts w:ascii="Palatino Linotype" w:eastAsia="Palatino Linotype" w:hAnsi="Palatino Linotype" w:cs="Palatino Linotype"/>
          <w:i/>
          <w:iCs/>
        </w:rPr>
        <w:lastRenderedPageBreak/>
        <w:t xml:space="preserve">de violencia; e implementando y evaluando el desarrollo de estrategias, programas y acciones, que permiten el ejercicio pleno de sus derechos en una esfera igualitaria, en torno al reconocimiento del valor de la diversidad para sustentar procesos inclusivos de calidad; así como la comprensión de la equidad e inclusión como un mandato ético, político, social e intelectual que actualiza el tradicional compromiso de las y los nicolasromerenses con el desarrollo del municipio. </w:t>
      </w:r>
    </w:p>
    <w:p w:rsidR="007D029B" w:rsidRPr="00C35E9E" w:rsidRDefault="00622048">
      <w:pPr>
        <w:ind w:left="567" w:right="-788" w:firstLine="152"/>
        <w:jc w:val="both"/>
        <w:rPr>
          <w:rFonts w:ascii="Palatino Linotype" w:eastAsia="Palatino Linotype" w:hAnsi="Palatino Linotype" w:cs="Palatino Linotype"/>
          <w:i/>
          <w:iCs/>
        </w:rPr>
      </w:pPr>
      <w:r w:rsidRPr="00C35E9E">
        <w:rPr>
          <w:rFonts w:ascii="Palatino Linotype" w:eastAsia="Palatino Linotype" w:hAnsi="Palatino Linotype" w:cs="Palatino Linotype"/>
          <w:i/>
          <w:iCs/>
        </w:rPr>
        <w:t>Mediante el conjunto de estrategias, actividades y programas, se fomentara la participación económica, social y civil de la población universo para la cual fueron definidas, la cual se encuentra integrada por las poblaciones indígenas, afrodescendientes y mujeres residentes y originarias del municipio de Nicolás Romero, personas con alguna discapacidad física, auditiva, visual, intelectual, psicosocial o múltiple y la comunidad integrada por el segmento poblacional lésbico, gay, transgénero, transexual, bisexual, intersexual, queer, asexual y demás identidades fisiológicas, culturales, sexuales y sociales.</w:t>
      </w:r>
    </w:p>
    <w:p w:rsidR="007D029B" w:rsidRPr="00C35E9E" w:rsidRDefault="007D029B">
      <w:pPr>
        <w:ind w:right="-788"/>
        <w:jc w:val="both"/>
        <w:rPr>
          <w:rFonts w:ascii="Palatino Linotype" w:eastAsia="Palatino Linotype" w:hAnsi="Palatino Linotype" w:cs="Palatino Linotype"/>
          <w:i/>
          <w:iCs/>
        </w:rPr>
      </w:pPr>
    </w:p>
    <w:p w:rsidR="007D029B" w:rsidRPr="00C35E9E" w:rsidRDefault="00622048">
      <w:pPr>
        <w:ind w:left="567" w:right="-788"/>
        <w:jc w:val="both"/>
        <w:rPr>
          <w:rFonts w:ascii="Palatino Linotype" w:eastAsia="Palatino Linotype" w:hAnsi="Palatino Linotype" w:cs="Palatino Linotype"/>
          <w:i/>
          <w:iCs/>
        </w:rPr>
      </w:pPr>
      <w:r w:rsidRPr="00C35E9E">
        <w:rPr>
          <w:rFonts w:ascii="Palatino Linotype" w:eastAsia="Palatino Linotype" w:hAnsi="Palatino Linotype" w:cs="Palatino Linotype"/>
          <w:b/>
          <w:bCs/>
          <w:i/>
          <w:iCs/>
        </w:rPr>
        <w:t>Artículo 88</w:t>
      </w:r>
      <w:r w:rsidRPr="00C35E9E">
        <w:rPr>
          <w:rFonts w:ascii="Palatino Linotype" w:eastAsia="Palatino Linotype" w:hAnsi="Palatino Linotype" w:cs="Palatino Linotype"/>
          <w:i/>
          <w:iCs/>
        </w:rPr>
        <w:t>. …</w:t>
      </w:r>
    </w:p>
    <w:p w:rsidR="007D029B" w:rsidRPr="00C35E9E" w:rsidRDefault="007D029B">
      <w:pPr>
        <w:ind w:left="567" w:right="-788"/>
        <w:jc w:val="both"/>
        <w:rPr>
          <w:rFonts w:ascii="Palatino Linotype" w:eastAsia="Palatino Linotype" w:hAnsi="Palatino Linotype" w:cs="Palatino Linotype"/>
          <w:i/>
          <w:iCs/>
        </w:rPr>
      </w:pPr>
    </w:p>
    <w:p w:rsidR="007D029B" w:rsidRPr="00C35E9E" w:rsidRDefault="00622048">
      <w:pPr>
        <w:ind w:left="567" w:right="-788"/>
        <w:jc w:val="both"/>
        <w:rPr>
          <w:rFonts w:ascii="Palatino Linotype" w:eastAsia="Palatino Linotype" w:hAnsi="Palatino Linotype" w:cs="Palatino Linotype"/>
          <w:i/>
          <w:iCs/>
        </w:rPr>
      </w:pPr>
      <w:r w:rsidRPr="00C35E9E">
        <w:rPr>
          <w:rFonts w:ascii="Palatino Linotype" w:eastAsia="Palatino Linotype" w:hAnsi="Palatino Linotype" w:cs="Palatino Linotype"/>
          <w:b/>
          <w:bCs/>
          <w:i/>
          <w:iCs/>
        </w:rPr>
        <w:t>El Departamento de Identidad, Diversidad y Derechos LGBTTTIQA+</w:t>
      </w:r>
      <w:r w:rsidRPr="00C35E9E">
        <w:rPr>
          <w:rFonts w:ascii="Palatino Linotype" w:eastAsia="Palatino Linotype" w:hAnsi="Palatino Linotype" w:cs="Palatino Linotype"/>
          <w:i/>
          <w:iCs/>
        </w:rPr>
        <w:t>, se encarga de promover la inclusión, la educación sexual integral bajo un enfoque de diversidad y perspectiva de género, la prevención de vulneraciones a la salud sexual, reconocimiento de sus derechos, respeto a las distintas expresiones de género y de la orientación sexogenérica; así como del combate a los elementos socioculturales que han contribuido a las distintas prácticas históricas que lesionan la dignidad humana de la comunidad LGBTTTIQA+, tales como el maltrato, discriminación, exclusión, abuso y violencia, constituyendo a Nicolás Romero como un municipio de derechos y libertades que garantiza la dignidad de la comunidad LGBTTTIQA+, como uno de sus pilares del desarrollo comunitario, con la finalidad de promover una ciudadanía incluyente y diversa.</w:t>
      </w:r>
    </w:p>
    <w:p w:rsidR="007D029B" w:rsidRDefault="007D029B">
      <w:pPr>
        <w:ind w:left="1134" w:right="-788"/>
        <w:jc w:val="both"/>
        <w:rPr>
          <w:rFonts w:ascii="Palatino Linotype" w:eastAsia="Palatino Linotype" w:hAnsi="Palatino Linotype" w:cs="Palatino Linotype"/>
          <w:i/>
          <w:iCs/>
        </w:rPr>
      </w:pPr>
    </w:p>
    <w:p w:rsidR="00C35E9E" w:rsidRPr="00C35E9E" w:rsidRDefault="00C35E9E">
      <w:pPr>
        <w:ind w:left="1134" w:right="-788"/>
        <w:jc w:val="both"/>
        <w:rPr>
          <w:rFonts w:ascii="Palatino Linotype" w:eastAsia="Palatino Linotype" w:hAnsi="Palatino Linotype" w:cs="Palatino Linotype"/>
          <w:i/>
          <w:iCs/>
        </w:rPr>
      </w:pPr>
    </w:p>
    <w:p w:rsidR="007D029B" w:rsidRPr="00C35E9E" w:rsidRDefault="00622048">
      <w:pPr>
        <w:numPr>
          <w:ilvl w:val="0"/>
          <w:numId w:val="4"/>
        </w:numPr>
        <w:spacing w:line="360" w:lineRule="auto"/>
        <w:ind w:left="0" w:right="-787" w:firstLine="0"/>
        <w:jc w:val="both"/>
        <w:rPr>
          <w:rFonts w:ascii="Palatino Linotype" w:eastAsia="Palatino Linotype" w:hAnsi="Palatino Linotype" w:cs="Palatino Linotype"/>
        </w:rPr>
      </w:pPr>
      <w:r w:rsidRPr="00C35E9E">
        <w:rPr>
          <w:rFonts w:ascii="Palatino Linotype" w:eastAsia="Palatino Linotype" w:hAnsi="Palatino Linotype" w:cs="Palatino Linotype"/>
        </w:rPr>
        <w:t xml:space="preserve">De la normatividad antes enunciada, la </w:t>
      </w:r>
      <w:r w:rsidRPr="00C35E9E">
        <w:rPr>
          <w:rFonts w:ascii="Palatino Linotype" w:eastAsia="Palatino Linotype" w:hAnsi="Palatino Linotype" w:cs="Palatino Linotype"/>
          <w:b/>
          <w:bCs/>
        </w:rPr>
        <w:t>Dirección de las Mujeres, Inclusión y Equidad</w:t>
      </w:r>
      <w:r w:rsidRPr="00C35E9E">
        <w:rPr>
          <w:rFonts w:ascii="Palatino Linotype" w:eastAsia="Palatino Linotype" w:hAnsi="Palatino Linotype" w:cs="Palatino Linotype"/>
        </w:rPr>
        <w:t xml:space="preserve">, es la unidad administrativa encargada de promover los principios de igualdad y no discriminación, acceso a la justicia, información y participación, a través de estrategias, actividades y programas dirigidas a las personas que integran grupos en situación de vulnerabilidad, entre ellos la comunidad integrada por el segmento poblacional lésbico, gay, transgénero, transexual, bisexual, intersexual, queer, asexual y demás identidades fisiológicas, </w:t>
      </w:r>
      <w:r w:rsidRPr="00C35E9E">
        <w:rPr>
          <w:rFonts w:ascii="Palatino Linotype" w:eastAsia="Palatino Linotype" w:hAnsi="Palatino Linotype" w:cs="Palatino Linotype"/>
        </w:rPr>
        <w:lastRenderedPageBreak/>
        <w:t>culturales, sexuales y sociales. Asimismo, el Departamento de Identidad, Diversidad y Derechos LGBTTTIQA+, se encarga de atender los temas relacionados con la materia</w:t>
      </w:r>
    </w:p>
    <w:p w:rsidR="007D029B" w:rsidRPr="00C35E9E" w:rsidRDefault="007D029B">
      <w:pPr>
        <w:spacing w:line="360" w:lineRule="auto"/>
        <w:ind w:left="360" w:right="-787"/>
        <w:jc w:val="both"/>
      </w:pPr>
    </w:p>
    <w:p w:rsidR="007D029B" w:rsidRPr="00C35E9E" w:rsidRDefault="00622048">
      <w:pPr>
        <w:numPr>
          <w:ilvl w:val="0"/>
          <w:numId w:val="4"/>
        </w:numPr>
        <w:spacing w:line="360" w:lineRule="auto"/>
        <w:ind w:left="0" w:right="-787" w:firstLine="0"/>
        <w:jc w:val="both"/>
      </w:pPr>
      <w:r w:rsidRPr="00C35E9E">
        <w:rPr>
          <w:rFonts w:ascii="Palatino Linotype" w:eastAsia="Palatino Linotype" w:hAnsi="Palatino Linotype" w:cs="Palatino Linotype"/>
        </w:rPr>
        <w:t xml:space="preserve">De lo expuesto es de precisar que la respuesta fue emitida por la </w:t>
      </w:r>
      <w:r w:rsidRPr="00C35E9E">
        <w:rPr>
          <w:rFonts w:ascii="Palatino Linotype" w:eastAsia="Palatino Linotype" w:hAnsi="Palatino Linotype" w:cs="Palatino Linotype"/>
          <w:b/>
          <w:bCs/>
        </w:rPr>
        <w:t>Dirección de las Mujeres, Inclusión y Equidad</w:t>
      </w:r>
      <w:r w:rsidRPr="00C35E9E">
        <w:rPr>
          <w:rFonts w:ascii="Palatino Linotype" w:eastAsia="Palatino Linotype" w:hAnsi="Palatino Linotype" w:cs="Palatino Linotype"/>
        </w:rPr>
        <w:t xml:space="preserve">, por lo que podemos advertir que </w:t>
      </w:r>
      <w:r w:rsidRPr="00C35E9E">
        <w:rPr>
          <w:rFonts w:ascii="Palatino Linotype" w:eastAsia="Palatino Linotype" w:hAnsi="Palatino Linotype" w:cs="Palatino Linotype"/>
          <w:b/>
          <w:bCs/>
        </w:rPr>
        <w:t xml:space="preserve">EL SUJETO OBLIGADO </w:t>
      </w:r>
      <w:r w:rsidRPr="00C35E9E">
        <w:rPr>
          <w:rFonts w:ascii="Palatino Linotype" w:eastAsia="Palatino Linotype" w:hAnsi="Palatino Linotype" w:cs="Palatino Linotype"/>
        </w:rPr>
        <w:t>siguió el procedimiento inmerso en la normatividad aplicable, ya que turnó el requerimiento de información a la unidad administrativa competente, vigilando lo establecido por el artículo 162 de la Ley de Transparencia y Acceso a la Información Pública del Estado de México y Municipios, al turnar la solicitud de información al área en la que pudiera obrar la información de conformidad con la fracción XXXIX del artículo tercero de la legislación local vigente en materia de transparencia:</w:t>
      </w:r>
    </w:p>
    <w:p w:rsidR="007D029B" w:rsidRPr="00C35E9E" w:rsidRDefault="00622048">
      <w:pPr>
        <w:ind w:left="567" w:right="62"/>
        <w:jc w:val="both"/>
        <w:rPr>
          <w:rFonts w:ascii="Palatino Linotype" w:eastAsia="Palatino Linotype" w:hAnsi="Palatino Linotype" w:cs="Palatino Linotype"/>
          <w:i/>
          <w:iCs/>
        </w:rPr>
      </w:pPr>
      <w:r w:rsidRPr="00C35E9E">
        <w:rPr>
          <w:rFonts w:ascii="Palatino Linotype" w:eastAsia="Palatino Linotype" w:hAnsi="Palatino Linotype" w:cs="Palatino Linotype"/>
          <w:b/>
          <w:bCs/>
          <w:i/>
          <w:iCs/>
        </w:rPr>
        <w:t>XXXIX.</w:t>
      </w:r>
      <w:r w:rsidRPr="00C35E9E">
        <w:rPr>
          <w:rFonts w:ascii="Palatino Linotype" w:eastAsia="Palatino Linotype" w:hAnsi="Palatino Linotype" w:cs="Palatino Linotype"/>
          <w:i/>
          <w:iCs/>
        </w:rPr>
        <w:t xml:space="preserve"> </w:t>
      </w:r>
      <w:r w:rsidRPr="00C35E9E">
        <w:rPr>
          <w:rFonts w:ascii="Palatino Linotype" w:eastAsia="Palatino Linotype" w:hAnsi="Palatino Linotype" w:cs="Palatino Linotype"/>
          <w:b/>
          <w:bCs/>
          <w:i/>
          <w:iCs/>
        </w:rPr>
        <w:t>Servidor público habilitado</w:t>
      </w:r>
      <w:r w:rsidRPr="00C35E9E">
        <w:rPr>
          <w:rFonts w:ascii="Palatino Linotype" w:eastAsia="Palatino Linotype" w:hAnsi="Palatino Linotype" w:cs="Palatino Linotype"/>
          <w:i/>
          <w:iCs/>
        </w:rPr>
        <w:t>: Persona encargada dentro de las diversas unidades administrativas o áreas del sujeto obligado, de apoyar, gestionar y entregar la información o datos personales que se ubiquen en la misma, a sus respectivas unidades de transparencia; respecto de las solicitudes presentadas y aportar en primera instancia el fundamento y motivación de la clasificación de la información.</w:t>
      </w:r>
    </w:p>
    <w:p w:rsidR="007D029B" w:rsidRPr="00C35E9E" w:rsidRDefault="007D029B">
      <w:pPr>
        <w:spacing w:line="360" w:lineRule="auto"/>
        <w:ind w:left="708" w:right="62"/>
        <w:jc w:val="both"/>
        <w:rPr>
          <w:rFonts w:ascii="Palatino Linotype" w:eastAsia="Palatino Linotype" w:hAnsi="Palatino Linotype" w:cs="Palatino Linotype"/>
        </w:rPr>
      </w:pPr>
    </w:p>
    <w:p w:rsidR="007D029B" w:rsidRPr="00C35E9E" w:rsidRDefault="00622048">
      <w:pPr>
        <w:numPr>
          <w:ilvl w:val="0"/>
          <w:numId w:val="4"/>
        </w:numPr>
        <w:spacing w:line="360" w:lineRule="auto"/>
        <w:ind w:left="0" w:right="-787" w:firstLine="0"/>
        <w:jc w:val="both"/>
      </w:pPr>
      <w:r w:rsidRPr="00C35E9E">
        <w:rPr>
          <w:rFonts w:ascii="Palatino Linotype" w:eastAsia="Palatino Linotype" w:hAnsi="Palatino Linotype" w:cs="Palatino Linotype"/>
        </w:rPr>
        <w:t>Así las cosas, se advierte que efectivamente la Unidad de Transparencia cumplió con lo establecido en el artículo 162 de la Ley de Transparencia y Acceso a la Información Pública del Estado de México y Municipios, el cual menciona lo siguiente:</w:t>
      </w:r>
    </w:p>
    <w:p w:rsidR="007D029B" w:rsidRPr="00C35E9E" w:rsidRDefault="00622048">
      <w:pPr>
        <w:ind w:left="567" w:right="-220"/>
        <w:jc w:val="both"/>
        <w:rPr>
          <w:rFonts w:ascii="Palatino Linotype" w:eastAsia="Palatino Linotype" w:hAnsi="Palatino Linotype" w:cs="Palatino Linotype"/>
          <w:i/>
          <w:iCs/>
        </w:rPr>
      </w:pPr>
      <w:r w:rsidRPr="00C35E9E">
        <w:rPr>
          <w:rFonts w:ascii="Palatino Linotype" w:eastAsia="Palatino Linotype" w:hAnsi="Palatino Linotype" w:cs="Palatino Linotype"/>
          <w:i/>
          <w:iCs/>
        </w:rPr>
        <w:t>“</w:t>
      </w:r>
      <w:r w:rsidRPr="00C35E9E">
        <w:rPr>
          <w:rFonts w:ascii="Palatino Linotype" w:eastAsia="Palatino Linotype" w:hAnsi="Palatino Linotype" w:cs="Palatino Linotype"/>
          <w:b/>
          <w:bCs/>
          <w:i/>
          <w:iCs/>
        </w:rPr>
        <w:t>Artículo 162.</w:t>
      </w:r>
      <w:r w:rsidRPr="00C35E9E">
        <w:rPr>
          <w:rFonts w:ascii="Palatino Linotype" w:eastAsia="Palatino Linotype" w:hAnsi="Palatino Linotype" w:cs="Palatino Linotype"/>
          <w:i/>
          <w:iCs/>
        </w:rPr>
        <w:t xml:space="preserve"> Las unidades de transparencia deberán garantizar que las solicitudes se turnen a </w:t>
      </w:r>
      <w:r w:rsidRPr="00C35E9E">
        <w:rPr>
          <w:rFonts w:ascii="Palatino Linotype" w:eastAsia="Palatino Linotype" w:hAnsi="Palatino Linotype" w:cs="Palatino Linotype"/>
          <w:b/>
          <w:bCs/>
          <w:i/>
          <w:iCs/>
        </w:rPr>
        <w:t>todas las Áreas competentes</w:t>
      </w:r>
      <w:r w:rsidRPr="00C35E9E">
        <w:rPr>
          <w:rFonts w:ascii="Palatino Linotype" w:eastAsia="Palatino Linotype" w:hAnsi="Palatino Linotype" w:cs="Palatino Linotype"/>
          <w:i/>
          <w:iCs/>
        </w:rPr>
        <w:t xml:space="preserve"> que cuenten con la información o deban tenerla de acuerdo a sus facultades, competencias y funciones, con el objeto de que realicen una búsqueda exhaustiva y razonable de la información solicitada.”</w:t>
      </w:r>
    </w:p>
    <w:p w:rsidR="007D029B" w:rsidRPr="00C35E9E" w:rsidRDefault="007D029B">
      <w:pPr>
        <w:spacing w:line="360" w:lineRule="auto"/>
        <w:ind w:right="-787"/>
        <w:jc w:val="both"/>
        <w:rPr>
          <w:rFonts w:ascii="Palatino Linotype" w:eastAsia="Palatino Linotype" w:hAnsi="Palatino Linotype" w:cs="Palatino Linotype"/>
          <w:color w:val="000000"/>
        </w:rPr>
      </w:pPr>
    </w:p>
    <w:p w:rsidR="007D029B" w:rsidRPr="00C35E9E" w:rsidRDefault="00622048">
      <w:pPr>
        <w:numPr>
          <w:ilvl w:val="0"/>
          <w:numId w:val="4"/>
        </w:numPr>
        <w:spacing w:line="360" w:lineRule="auto"/>
        <w:ind w:left="0" w:right="-787" w:firstLine="0"/>
        <w:jc w:val="both"/>
        <w:rPr>
          <w:color w:val="000000"/>
        </w:rPr>
      </w:pPr>
      <w:r w:rsidRPr="00C35E9E">
        <w:rPr>
          <w:rFonts w:ascii="Palatino Linotype" w:eastAsia="Palatino Linotype" w:hAnsi="Palatino Linotype" w:cs="Palatino Linotype"/>
        </w:rPr>
        <w:t>Es</w:t>
      </w:r>
      <w:r w:rsidRPr="00C35E9E">
        <w:rPr>
          <w:rFonts w:ascii="Palatino Linotype" w:eastAsia="Palatino Linotype" w:hAnsi="Palatino Linotype" w:cs="Palatino Linotype"/>
          <w:color w:val="000000"/>
        </w:rPr>
        <w:t xml:space="preserve"> de </w:t>
      </w:r>
      <w:r w:rsidRPr="00C35E9E">
        <w:rPr>
          <w:rFonts w:ascii="Palatino Linotype" w:eastAsia="Palatino Linotype" w:hAnsi="Palatino Linotype" w:cs="Palatino Linotype"/>
        </w:rPr>
        <w:t>subrayar</w:t>
      </w:r>
      <w:r w:rsidRPr="00C35E9E">
        <w:rPr>
          <w:rFonts w:ascii="Palatino Linotype" w:eastAsia="Palatino Linotype" w:hAnsi="Palatino Linotype" w:cs="Palatino Linotype"/>
          <w:color w:val="000000"/>
        </w:rPr>
        <w:t xml:space="preserve"> que el derecho de acceso a la información pública, consiste en que la información solicitada conste en un soporte documental en cualquiera de sus formas, a saber: </w:t>
      </w:r>
      <w:r w:rsidRPr="00C35E9E">
        <w:rPr>
          <w:rFonts w:ascii="Palatino Linotype" w:eastAsia="Palatino Linotype" w:hAnsi="Palatino Linotype" w:cs="Palatino Linotype"/>
          <w:color w:val="000000"/>
        </w:rPr>
        <w:lastRenderedPageBreak/>
        <w:t xml:space="preserve">expedientes, reportes, estudios, actas, resoluciones, oficios, correspondencia, acuerdos, directivas, directrices, circulares, contratos, convenios, instructivos, notas, memorandos, estadísticas o bien, cualquier otro registro que documente el ejercicio de las facultades, funciones y competencias de los Sujetos Obligados; los que, podrán estar en cualquier medio, sea escrito, impreso, sonoro, visual, electrónico, informático u holográfico, de conformidad con el artículo 3, fracción XI, de la Ley de la materia, el cual dispone lo siguiente: </w:t>
      </w:r>
    </w:p>
    <w:p w:rsidR="007D029B" w:rsidRPr="00C35E9E" w:rsidRDefault="00622048">
      <w:pPr>
        <w:ind w:left="567" w:right="-220"/>
        <w:jc w:val="both"/>
        <w:rPr>
          <w:rFonts w:ascii="Palatino Linotype" w:eastAsia="Palatino Linotype" w:hAnsi="Palatino Linotype" w:cs="Palatino Linotype"/>
          <w:i/>
          <w:iCs/>
          <w:color w:val="000000"/>
        </w:rPr>
      </w:pPr>
      <w:r w:rsidRPr="00C35E9E">
        <w:rPr>
          <w:rFonts w:ascii="Palatino Linotype" w:eastAsia="Palatino Linotype" w:hAnsi="Palatino Linotype" w:cs="Palatino Linotype"/>
          <w:i/>
          <w:iCs/>
          <w:color w:val="000000"/>
        </w:rPr>
        <w:t>“</w:t>
      </w:r>
      <w:r w:rsidRPr="00C35E9E">
        <w:rPr>
          <w:rFonts w:ascii="Palatino Linotype" w:eastAsia="Palatino Linotype" w:hAnsi="Palatino Linotype" w:cs="Palatino Linotype"/>
          <w:b/>
          <w:bCs/>
          <w:i/>
          <w:iCs/>
          <w:color w:val="000000"/>
        </w:rPr>
        <w:t xml:space="preserve">Artículo 3. </w:t>
      </w:r>
      <w:r w:rsidRPr="00C35E9E">
        <w:rPr>
          <w:rFonts w:ascii="Palatino Linotype" w:eastAsia="Palatino Linotype" w:hAnsi="Palatino Linotype" w:cs="Palatino Linotype"/>
          <w:i/>
          <w:iCs/>
          <w:color w:val="000000"/>
        </w:rPr>
        <w:t>Para los efectos de la presente Ley se entenderá por:</w:t>
      </w:r>
    </w:p>
    <w:p w:rsidR="007D029B" w:rsidRPr="00C35E9E" w:rsidRDefault="00622048">
      <w:pPr>
        <w:ind w:left="567" w:right="-220"/>
        <w:jc w:val="both"/>
        <w:rPr>
          <w:rFonts w:ascii="Palatino Linotype" w:eastAsia="Palatino Linotype" w:hAnsi="Palatino Linotype" w:cs="Palatino Linotype"/>
          <w:i/>
          <w:iCs/>
          <w:color w:val="000000"/>
        </w:rPr>
      </w:pPr>
      <w:r w:rsidRPr="00C35E9E">
        <w:rPr>
          <w:rFonts w:ascii="Palatino Linotype" w:eastAsia="Palatino Linotype" w:hAnsi="Palatino Linotype" w:cs="Palatino Linotype"/>
          <w:i/>
          <w:iCs/>
          <w:color w:val="000000"/>
        </w:rPr>
        <w:t>(…)</w:t>
      </w:r>
    </w:p>
    <w:p w:rsidR="007D029B" w:rsidRPr="00C35E9E" w:rsidRDefault="00622048">
      <w:pPr>
        <w:ind w:left="567" w:right="-220"/>
        <w:jc w:val="both"/>
        <w:rPr>
          <w:rFonts w:ascii="Palatino Linotype" w:eastAsia="Palatino Linotype" w:hAnsi="Palatino Linotype" w:cs="Palatino Linotype"/>
          <w:i/>
          <w:iCs/>
          <w:color w:val="000000"/>
        </w:rPr>
      </w:pPr>
      <w:r w:rsidRPr="00C35E9E">
        <w:rPr>
          <w:rFonts w:ascii="Palatino Linotype" w:eastAsia="Palatino Linotype" w:hAnsi="Palatino Linotype" w:cs="Palatino Linotype"/>
          <w:b/>
          <w:bCs/>
          <w:i/>
          <w:iCs/>
          <w:color w:val="000000"/>
        </w:rPr>
        <w:t>XI. Documento:</w:t>
      </w:r>
      <w:r w:rsidRPr="00C35E9E">
        <w:rPr>
          <w:rFonts w:ascii="Palatino Linotype" w:eastAsia="Palatino Linotype" w:hAnsi="Palatino Linotype" w:cs="Palatino Linotype"/>
          <w:i/>
          <w:iCs/>
          <w:color w:val="000000"/>
        </w:rPr>
        <w:t xml:space="preserve"> Los expedientes, reportes, estudios, actas, resoluciones, oficios, correspondencia, acuerdos, directivas, directrices, circulares, contratos, convenios, instructivos, notas, memorandos, estadísticas o bien, cualquier otro registro que documente el ejercicio de las facultades, funciones y competencias de los sujetos obligados, sus servidores públicos e integrantes, sin importar su fuente o fecha de elaboración. Los documentos podrán estar en cualquier medio, sea escrito, impreso, sonoro, visual, electrónico, informático u holográfico;</w:t>
      </w:r>
    </w:p>
    <w:p w:rsidR="007D029B" w:rsidRPr="00C35E9E" w:rsidRDefault="00622048">
      <w:pPr>
        <w:spacing w:line="360" w:lineRule="auto"/>
        <w:ind w:left="567" w:right="-220"/>
        <w:jc w:val="both"/>
        <w:rPr>
          <w:rFonts w:ascii="Palatino Linotype" w:eastAsia="Palatino Linotype" w:hAnsi="Palatino Linotype" w:cs="Palatino Linotype"/>
          <w:i/>
          <w:iCs/>
          <w:color w:val="000000"/>
        </w:rPr>
      </w:pPr>
      <w:r w:rsidRPr="00C35E9E">
        <w:rPr>
          <w:rFonts w:ascii="Palatino Linotype" w:eastAsia="Palatino Linotype" w:hAnsi="Palatino Linotype" w:cs="Palatino Linotype"/>
          <w:i/>
          <w:iCs/>
          <w:color w:val="000000"/>
        </w:rPr>
        <w:t>(…)”</w:t>
      </w:r>
    </w:p>
    <w:p w:rsidR="007D029B" w:rsidRPr="00C35E9E" w:rsidRDefault="007D029B">
      <w:pPr>
        <w:ind w:right="-787"/>
        <w:jc w:val="both"/>
        <w:rPr>
          <w:rFonts w:ascii="Palatino Linotype" w:eastAsia="Palatino Linotype" w:hAnsi="Palatino Linotype" w:cs="Palatino Linotype"/>
        </w:rPr>
      </w:pPr>
    </w:p>
    <w:p w:rsidR="007D029B" w:rsidRPr="00C35E9E" w:rsidRDefault="00622048">
      <w:pPr>
        <w:numPr>
          <w:ilvl w:val="0"/>
          <w:numId w:val="4"/>
        </w:numPr>
        <w:spacing w:line="360" w:lineRule="auto"/>
        <w:ind w:left="0" w:right="-787" w:firstLine="0"/>
        <w:jc w:val="both"/>
        <w:rPr>
          <w:color w:val="000000"/>
        </w:rPr>
      </w:pPr>
      <w:r w:rsidRPr="00C35E9E">
        <w:rPr>
          <w:rFonts w:ascii="Palatino Linotype" w:eastAsia="Palatino Linotype" w:hAnsi="Palatino Linotype" w:cs="Palatino Linotype"/>
          <w:color w:val="000000"/>
        </w:rPr>
        <w:t xml:space="preserve">Siendo </w:t>
      </w:r>
      <w:r w:rsidRPr="00C35E9E">
        <w:rPr>
          <w:rFonts w:ascii="Palatino Linotype" w:eastAsia="Palatino Linotype" w:hAnsi="Palatino Linotype" w:cs="Palatino Linotype"/>
        </w:rPr>
        <w:t>aplicable</w:t>
      </w:r>
      <w:r w:rsidRPr="00C35E9E">
        <w:rPr>
          <w:rFonts w:ascii="Palatino Linotype" w:eastAsia="Palatino Linotype" w:hAnsi="Palatino Linotype" w:cs="Palatino Linotype"/>
          <w:color w:val="000000"/>
        </w:rPr>
        <w:t xml:space="preserve"> el Criterio de interpretación en el orden administrativo número 0002-11, emitido por Acuerdo del Pleno del Instituto de Transparencia y Acceso a la Información Pública del Estado de México y Municipios; publicado en el Periódico Oficial del Gobierno del Estado Libre y Soberano de México “Gaceta del Gobierno”, el diecinueve de octubre de dos mil once, cuyo rubro y texto dispone:</w:t>
      </w:r>
    </w:p>
    <w:p w:rsidR="007D029B" w:rsidRPr="00C35E9E" w:rsidRDefault="00622048">
      <w:pPr>
        <w:ind w:left="567" w:right="-220"/>
        <w:jc w:val="both"/>
        <w:rPr>
          <w:rFonts w:ascii="Palatino Linotype" w:eastAsia="Palatino Linotype" w:hAnsi="Palatino Linotype" w:cs="Palatino Linotype"/>
          <w:b/>
          <w:bCs/>
          <w:i/>
          <w:iCs/>
        </w:rPr>
      </w:pPr>
      <w:r w:rsidRPr="00C35E9E">
        <w:rPr>
          <w:rFonts w:ascii="Palatino Linotype" w:eastAsia="Palatino Linotype" w:hAnsi="Palatino Linotype" w:cs="Palatino Linotype"/>
          <w:b/>
          <w:bCs/>
        </w:rPr>
        <w:t>“</w:t>
      </w:r>
      <w:r w:rsidRPr="00C35E9E">
        <w:rPr>
          <w:rFonts w:ascii="Palatino Linotype" w:eastAsia="Palatino Linotype" w:hAnsi="Palatino Linotype" w:cs="Palatino Linotype"/>
          <w:b/>
          <w:bCs/>
          <w:i/>
          <w:iCs/>
        </w:rPr>
        <w:t>CRITERIO 0002-11</w:t>
      </w:r>
    </w:p>
    <w:p w:rsidR="007D029B" w:rsidRPr="00C35E9E" w:rsidRDefault="00622048">
      <w:pPr>
        <w:ind w:left="567" w:right="-220"/>
        <w:jc w:val="both"/>
        <w:rPr>
          <w:rFonts w:ascii="Palatino Linotype" w:eastAsia="Palatino Linotype" w:hAnsi="Palatino Linotype" w:cs="Palatino Linotype"/>
          <w:i/>
          <w:iCs/>
        </w:rPr>
      </w:pPr>
      <w:r w:rsidRPr="00C35E9E">
        <w:rPr>
          <w:rFonts w:ascii="Palatino Linotype" w:eastAsia="Palatino Linotype" w:hAnsi="Palatino Linotype" w:cs="Palatino Linotype"/>
          <w:b/>
          <w:bCs/>
          <w:i/>
          <w:iCs/>
        </w:rPr>
        <w:t>INFORMACIÓN PÚBLICA, CONCEPTO DE, EN MATERIA DE TRANSPARENCIA. INTERPRETACIÓN SISTEMÁTICA DE LOS ARTÍCULOS 2°, FRACCIÓN V, XV, Y XVI, 3°, 4°, 11 Y 41.</w:t>
      </w:r>
      <w:r w:rsidRPr="00C35E9E">
        <w:rPr>
          <w:rFonts w:ascii="Palatino Linotype" w:eastAsia="Palatino Linotype" w:hAnsi="Palatino Linotype" w:cs="Palatino Linotype"/>
          <w:i/>
          <w:iCs/>
        </w:rPr>
        <w:t xml:space="preserve"> De conformidad con los artículos antes referidos, el derecho de acceso a la información pública, se define en cuanto a su alcance y resultado material, el acceso a los archivos, registros y documentos públicos, administrados, generados o en posesión de los órganos u organismos públicos, en virtud del ejercicio de sus funciones de derecho público, sin importar su fuente, soporte o fecha de elaboración.</w:t>
      </w:r>
    </w:p>
    <w:p w:rsidR="007D029B" w:rsidRPr="00C35E9E" w:rsidRDefault="00622048">
      <w:pPr>
        <w:ind w:left="567" w:right="-220"/>
        <w:jc w:val="both"/>
        <w:rPr>
          <w:rFonts w:ascii="Palatino Linotype" w:eastAsia="Palatino Linotype" w:hAnsi="Palatino Linotype" w:cs="Palatino Linotype"/>
          <w:i/>
          <w:iCs/>
        </w:rPr>
      </w:pPr>
      <w:r w:rsidRPr="00C35E9E">
        <w:rPr>
          <w:rFonts w:ascii="Palatino Linotype" w:eastAsia="Palatino Linotype" w:hAnsi="Palatino Linotype" w:cs="Palatino Linotype"/>
          <w:i/>
          <w:iCs/>
        </w:rPr>
        <w:lastRenderedPageBreak/>
        <w:t>En consecuencia el acceso a la información se refiere a que se cumplan cualquiera de los siguientes tres supuestos:</w:t>
      </w:r>
    </w:p>
    <w:p w:rsidR="007D029B" w:rsidRPr="00C35E9E" w:rsidRDefault="00622048">
      <w:pPr>
        <w:ind w:left="567" w:right="-220"/>
        <w:jc w:val="both"/>
        <w:rPr>
          <w:rFonts w:ascii="Palatino Linotype" w:eastAsia="Palatino Linotype" w:hAnsi="Palatino Linotype" w:cs="Palatino Linotype"/>
          <w:b/>
          <w:bCs/>
          <w:i/>
          <w:iCs/>
        </w:rPr>
      </w:pPr>
      <w:r w:rsidRPr="00C35E9E">
        <w:rPr>
          <w:rFonts w:ascii="Palatino Linotype" w:eastAsia="Palatino Linotype" w:hAnsi="Palatino Linotype" w:cs="Palatino Linotype"/>
          <w:b/>
          <w:bCs/>
          <w:i/>
          <w:iCs/>
        </w:rPr>
        <w:t xml:space="preserve">1) </w:t>
      </w:r>
      <w:r w:rsidRPr="00C35E9E">
        <w:rPr>
          <w:rFonts w:ascii="Palatino Linotype" w:eastAsia="Palatino Linotype" w:hAnsi="Palatino Linotype" w:cs="Palatino Linotype"/>
          <w:b/>
          <w:bCs/>
          <w:i/>
          <w:iCs/>
          <w:u w:val="single"/>
        </w:rPr>
        <w:t>Que se trate de información registrada en cualquier soporte documental, que en ejercicio de las atribuciones conferidas, sea generada por los Sujetos Obligados;</w:t>
      </w:r>
    </w:p>
    <w:p w:rsidR="007D029B" w:rsidRPr="00C35E9E" w:rsidRDefault="00622048">
      <w:pPr>
        <w:ind w:left="567" w:right="-220"/>
        <w:jc w:val="both"/>
        <w:rPr>
          <w:rFonts w:ascii="Palatino Linotype" w:eastAsia="Palatino Linotype" w:hAnsi="Palatino Linotype" w:cs="Palatino Linotype"/>
          <w:i/>
          <w:iCs/>
        </w:rPr>
      </w:pPr>
      <w:r w:rsidRPr="00C35E9E">
        <w:rPr>
          <w:rFonts w:ascii="Palatino Linotype" w:eastAsia="Palatino Linotype" w:hAnsi="Palatino Linotype" w:cs="Palatino Linotype"/>
          <w:i/>
          <w:iCs/>
        </w:rPr>
        <w:t>2) Que se trate de información registrada en cualquier soporte documental, que en ejercicio de las atribuciones conferidas, sea administrada por los Sujetos Obligados, y</w:t>
      </w:r>
    </w:p>
    <w:p w:rsidR="007D029B" w:rsidRPr="00C35E9E" w:rsidRDefault="00622048">
      <w:pPr>
        <w:ind w:left="567" w:right="-220"/>
        <w:jc w:val="both"/>
        <w:rPr>
          <w:rFonts w:ascii="Palatino Linotype" w:eastAsia="Palatino Linotype" w:hAnsi="Palatino Linotype" w:cs="Palatino Linotype"/>
          <w:i/>
          <w:iCs/>
        </w:rPr>
      </w:pPr>
      <w:r w:rsidRPr="00C35E9E">
        <w:rPr>
          <w:rFonts w:ascii="Palatino Linotype" w:eastAsia="Palatino Linotype" w:hAnsi="Palatino Linotype" w:cs="Palatino Linotype"/>
          <w:i/>
          <w:iCs/>
        </w:rPr>
        <w:t>3) Que se trate de información registrada en cualquier soporte documental, que en ejercicio de las atribuciones conferidas, se encuentre en posesión de los Sujetos Obligados.”</w:t>
      </w:r>
    </w:p>
    <w:p w:rsidR="007D029B" w:rsidRPr="00C35E9E" w:rsidRDefault="00622048">
      <w:pPr>
        <w:tabs>
          <w:tab w:val="left" w:pos="851"/>
        </w:tabs>
        <w:spacing w:line="360" w:lineRule="auto"/>
        <w:ind w:left="567" w:right="-220"/>
        <w:rPr>
          <w:rFonts w:ascii="Palatino Linotype" w:eastAsia="Palatino Linotype" w:hAnsi="Palatino Linotype" w:cs="Palatino Linotype"/>
        </w:rPr>
      </w:pPr>
      <w:r w:rsidRPr="00C35E9E">
        <w:rPr>
          <w:rFonts w:ascii="Palatino Linotype" w:eastAsia="Palatino Linotype" w:hAnsi="Palatino Linotype" w:cs="Palatino Linotype"/>
        </w:rPr>
        <w:t>(Énfasis Añadido)</w:t>
      </w:r>
    </w:p>
    <w:p w:rsidR="007D029B" w:rsidRPr="00C35E9E" w:rsidRDefault="007D029B">
      <w:pPr>
        <w:pBdr>
          <w:top w:val="nil"/>
          <w:left w:val="nil"/>
          <w:bottom w:val="nil"/>
          <w:right w:val="nil"/>
          <w:between w:val="nil"/>
        </w:pBdr>
        <w:ind w:right="-787"/>
        <w:jc w:val="both"/>
        <w:rPr>
          <w:rFonts w:ascii="Palatino Linotype" w:eastAsia="Palatino Linotype" w:hAnsi="Palatino Linotype" w:cs="Palatino Linotype"/>
          <w:color w:val="000000"/>
        </w:rPr>
      </w:pPr>
    </w:p>
    <w:p w:rsidR="007D029B" w:rsidRPr="00C35E9E" w:rsidRDefault="00622048">
      <w:pPr>
        <w:numPr>
          <w:ilvl w:val="0"/>
          <w:numId w:val="4"/>
        </w:numPr>
        <w:spacing w:line="360" w:lineRule="auto"/>
        <w:ind w:left="0" w:right="-787" w:firstLine="0"/>
        <w:jc w:val="both"/>
        <w:rPr>
          <w:color w:val="000000"/>
        </w:rPr>
      </w:pPr>
      <w:r w:rsidRPr="00C35E9E">
        <w:rPr>
          <w:rFonts w:ascii="Palatino Linotype" w:eastAsia="Palatino Linotype" w:hAnsi="Palatino Linotype" w:cs="Palatino Linotype"/>
          <w:color w:val="000000"/>
        </w:rPr>
        <w:t xml:space="preserve">Por su </w:t>
      </w:r>
      <w:r w:rsidRPr="00C35E9E">
        <w:rPr>
          <w:rFonts w:ascii="Palatino Linotype" w:eastAsia="Palatino Linotype" w:hAnsi="Palatino Linotype" w:cs="Palatino Linotype"/>
        </w:rPr>
        <w:t>parte</w:t>
      </w:r>
      <w:r w:rsidRPr="00C35E9E">
        <w:rPr>
          <w:rFonts w:ascii="Palatino Linotype" w:eastAsia="Palatino Linotype" w:hAnsi="Palatino Linotype" w:cs="Palatino Linotype"/>
          <w:color w:val="000000"/>
        </w:rPr>
        <w:t xml:space="preserve"> los artículos 160 y 166, de la Ley local en la materia, que se reproduce de la siguiente forma:</w:t>
      </w:r>
    </w:p>
    <w:p w:rsidR="007D029B" w:rsidRPr="00C35E9E" w:rsidRDefault="00622048">
      <w:pPr>
        <w:ind w:left="566" w:right="-220"/>
        <w:jc w:val="both"/>
        <w:rPr>
          <w:rFonts w:ascii="Palatino Linotype" w:eastAsia="Palatino Linotype" w:hAnsi="Palatino Linotype" w:cs="Palatino Linotype"/>
          <w:i/>
          <w:iCs/>
        </w:rPr>
      </w:pPr>
      <w:r w:rsidRPr="00C35E9E">
        <w:rPr>
          <w:rFonts w:ascii="Palatino Linotype" w:eastAsia="Palatino Linotype" w:hAnsi="Palatino Linotype" w:cs="Palatino Linotype"/>
          <w:i/>
          <w:iCs/>
        </w:rPr>
        <w:t>“</w:t>
      </w:r>
      <w:r w:rsidRPr="00C35E9E">
        <w:rPr>
          <w:rFonts w:ascii="Palatino Linotype" w:eastAsia="Palatino Linotype" w:hAnsi="Palatino Linotype" w:cs="Palatino Linotype"/>
          <w:b/>
          <w:bCs/>
          <w:i/>
          <w:iCs/>
        </w:rPr>
        <w:t>Artículo 160.</w:t>
      </w:r>
      <w:r w:rsidRPr="00C35E9E">
        <w:rPr>
          <w:rFonts w:ascii="Palatino Linotype" w:eastAsia="Palatino Linotype" w:hAnsi="Palatino Linotype" w:cs="Palatino Linotype"/>
          <w:i/>
          <w:iCs/>
        </w:rPr>
        <w:t xml:space="preserve"> </w:t>
      </w:r>
      <w:r w:rsidRPr="00C35E9E">
        <w:rPr>
          <w:rFonts w:ascii="Palatino Linotype" w:eastAsia="Palatino Linotype" w:hAnsi="Palatino Linotype" w:cs="Palatino Linotype"/>
          <w:i/>
          <w:iCs/>
          <w:u w:val="single"/>
        </w:rPr>
        <w:t>Los sujetos obligados deberán otorgar acceso a los documentos que se encuentren en sus archivos o que estén obligados a documentar de acuerdo con sus facultades, competencias o funciones en el formato que el solicitante manifieste, de entre aquellos formatos existentes, conforme a las características físicas de la información o del lugar donde se encuentre así lo permita</w:t>
      </w:r>
      <w:r w:rsidRPr="00C35E9E">
        <w:rPr>
          <w:rFonts w:ascii="Palatino Linotype" w:eastAsia="Palatino Linotype" w:hAnsi="Palatino Linotype" w:cs="Palatino Linotype"/>
          <w:i/>
          <w:iCs/>
        </w:rPr>
        <w:t>.</w:t>
      </w:r>
    </w:p>
    <w:p w:rsidR="007D029B" w:rsidRPr="00C35E9E" w:rsidRDefault="007D029B">
      <w:pPr>
        <w:ind w:left="566" w:right="-220"/>
        <w:jc w:val="both"/>
        <w:rPr>
          <w:rFonts w:ascii="Palatino Linotype" w:eastAsia="Palatino Linotype" w:hAnsi="Palatino Linotype" w:cs="Palatino Linotype"/>
          <w:i/>
          <w:iCs/>
        </w:rPr>
      </w:pPr>
    </w:p>
    <w:p w:rsidR="007D029B" w:rsidRPr="00C35E9E" w:rsidRDefault="00622048">
      <w:pPr>
        <w:ind w:left="566" w:right="-220"/>
        <w:jc w:val="both"/>
        <w:rPr>
          <w:rFonts w:ascii="Palatino Linotype" w:eastAsia="Palatino Linotype" w:hAnsi="Palatino Linotype" w:cs="Palatino Linotype"/>
          <w:i/>
          <w:iCs/>
        </w:rPr>
      </w:pPr>
      <w:r w:rsidRPr="00C35E9E">
        <w:rPr>
          <w:rFonts w:ascii="Palatino Linotype" w:eastAsia="Palatino Linotype" w:hAnsi="Palatino Linotype" w:cs="Palatino Linotype"/>
          <w:i/>
          <w:iCs/>
        </w:rPr>
        <w:t>En caso que la información solicitada consista en bases de datos se deberá privilegiar la entrega de la misma en formatos abiertos.</w:t>
      </w:r>
    </w:p>
    <w:p w:rsidR="007D029B" w:rsidRPr="00C35E9E" w:rsidRDefault="00622048">
      <w:pPr>
        <w:ind w:left="566" w:right="-220"/>
        <w:jc w:val="both"/>
        <w:rPr>
          <w:rFonts w:ascii="Palatino Linotype" w:eastAsia="Palatino Linotype" w:hAnsi="Palatino Linotype" w:cs="Palatino Linotype"/>
          <w:i/>
          <w:iCs/>
          <w:u w:val="single"/>
        </w:rPr>
      </w:pPr>
      <w:r w:rsidRPr="00C35E9E">
        <w:rPr>
          <w:rFonts w:ascii="Palatino Linotype" w:eastAsia="Palatino Linotype" w:hAnsi="Palatino Linotype" w:cs="Palatino Linotype"/>
          <w:b/>
          <w:bCs/>
          <w:i/>
          <w:iCs/>
        </w:rPr>
        <w:t>Artículo 166.</w:t>
      </w:r>
      <w:r w:rsidRPr="00C35E9E">
        <w:rPr>
          <w:rFonts w:ascii="Palatino Linotype" w:eastAsia="Palatino Linotype" w:hAnsi="Palatino Linotype" w:cs="Palatino Linotype"/>
          <w:i/>
          <w:iCs/>
        </w:rPr>
        <w:t xml:space="preserve"> </w:t>
      </w:r>
      <w:r w:rsidRPr="00C35E9E">
        <w:rPr>
          <w:rFonts w:ascii="Palatino Linotype" w:eastAsia="Palatino Linotype" w:hAnsi="Palatino Linotype" w:cs="Palatino Linotype"/>
          <w:i/>
          <w:iCs/>
          <w:u w:val="single"/>
        </w:rPr>
        <w:t>La obligación de acceso a la información pública se tendrá por cumplida cuando el solicitante tenga a su disposición la información requerida, o cuando realice la consulta de la misma en el lugar en el que ésta se localice.</w:t>
      </w:r>
    </w:p>
    <w:p w:rsidR="007D029B" w:rsidRPr="00C35E9E" w:rsidRDefault="007D029B">
      <w:pPr>
        <w:ind w:right="-787"/>
        <w:jc w:val="both"/>
        <w:rPr>
          <w:rFonts w:ascii="Palatino Linotype" w:eastAsia="Palatino Linotype" w:hAnsi="Palatino Linotype" w:cs="Palatino Linotype"/>
        </w:rPr>
      </w:pPr>
    </w:p>
    <w:p w:rsidR="007D029B" w:rsidRPr="00C35E9E" w:rsidRDefault="00622048">
      <w:pPr>
        <w:numPr>
          <w:ilvl w:val="0"/>
          <w:numId w:val="4"/>
        </w:numPr>
        <w:spacing w:line="360" w:lineRule="auto"/>
        <w:ind w:left="0" w:right="-787" w:firstLine="0"/>
        <w:jc w:val="both"/>
        <w:rPr>
          <w:color w:val="000000"/>
        </w:rPr>
      </w:pPr>
      <w:r w:rsidRPr="00C35E9E">
        <w:rPr>
          <w:rFonts w:ascii="Palatino Linotype" w:eastAsia="Palatino Linotype" w:hAnsi="Palatino Linotype" w:cs="Palatino Linotype"/>
          <w:color w:val="000000"/>
        </w:rPr>
        <w:t>Así que la obligación de los Sujetos Obligados de dar acceso a la información pública que generen, administren o posean, se tendrá por cumplida cuando el solicitante tenga a su disposición la información requerida, o cuando realice la consulta de la misma en el lugar que ésta se localice, siempre y cuando así resultare procedente.</w:t>
      </w:r>
    </w:p>
    <w:p w:rsidR="007D029B" w:rsidRPr="00C35E9E" w:rsidRDefault="007D029B">
      <w:pPr>
        <w:spacing w:line="360" w:lineRule="auto"/>
        <w:ind w:right="-787"/>
        <w:jc w:val="both"/>
        <w:rPr>
          <w:color w:val="000000"/>
        </w:rPr>
      </w:pPr>
    </w:p>
    <w:p w:rsidR="007D029B" w:rsidRPr="00C35E9E" w:rsidRDefault="00622048">
      <w:pPr>
        <w:numPr>
          <w:ilvl w:val="0"/>
          <w:numId w:val="4"/>
        </w:numPr>
        <w:spacing w:line="360" w:lineRule="auto"/>
        <w:ind w:left="0" w:right="-787" w:firstLine="0"/>
        <w:jc w:val="both"/>
        <w:rPr>
          <w:rFonts w:ascii="Palatino Linotype" w:eastAsia="Palatino Linotype" w:hAnsi="Palatino Linotype" w:cs="Palatino Linotype"/>
          <w:i/>
          <w:iCs/>
          <w:u w:val="single"/>
        </w:rPr>
      </w:pPr>
      <w:r w:rsidRPr="00C35E9E">
        <w:rPr>
          <w:rFonts w:ascii="Palatino Linotype" w:eastAsia="Palatino Linotype" w:hAnsi="Palatino Linotype" w:cs="Palatino Linotype"/>
        </w:rPr>
        <w:t xml:space="preserve">Ahora bien, toda vez que el recurrente se dolió por la entrega de información incompleta, en el siguiente cuadro se analizará la información solicitada, la entregada en </w:t>
      </w:r>
      <w:r w:rsidRPr="00C35E9E">
        <w:rPr>
          <w:rFonts w:ascii="Palatino Linotype" w:eastAsia="Palatino Linotype" w:hAnsi="Palatino Linotype" w:cs="Palatino Linotype"/>
        </w:rPr>
        <w:lastRenderedPageBreak/>
        <w:t>respuesta, la remitida mediante informe justificado, a fin de determinar si el Sujeto Obligado colma con el requerimiento hecho por el particular:</w:t>
      </w:r>
    </w:p>
    <w:p w:rsidR="007D029B" w:rsidRPr="00C35E9E" w:rsidRDefault="007D029B">
      <w:pPr>
        <w:pBdr>
          <w:top w:val="nil"/>
          <w:left w:val="nil"/>
          <w:bottom w:val="nil"/>
          <w:right w:val="nil"/>
          <w:between w:val="nil"/>
        </w:pBdr>
        <w:ind w:right="-574"/>
        <w:jc w:val="both"/>
        <w:rPr>
          <w:rFonts w:ascii="Palatino Linotype" w:eastAsia="Palatino Linotype" w:hAnsi="Palatino Linotype" w:cs="Palatino Linotype"/>
          <w:i/>
          <w:iCs/>
          <w:color w:val="000000"/>
        </w:rPr>
      </w:pPr>
    </w:p>
    <w:p w:rsidR="007D029B" w:rsidRPr="00C35E9E" w:rsidRDefault="007D029B">
      <w:pPr>
        <w:spacing w:line="360" w:lineRule="auto"/>
        <w:ind w:right="-787"/>
        <w:rPr>
          <w:rFonts w:ascii="Palatino Linotype" w:eastAsia="Palatino Linotype" w:hAnsi="Palatino Linotype" w:cs="Palatino Linotype"/>
          <w:i/>
          <w:iCs/>
          <w:u w:val="single"/>
        </w:rPr>
      </w:pPr>
    </w:p>
    <w:tbl>
      <w:tblPr>
        <w:tblStyle w:val="a"/>
        <w:tblW w:w="9776" w:type="dxa"/>
        <w:tblInd w:w="0" w:type="dxa"/>
        <w:tblBorders>
          <w:top w:val="dotted" w:sz="4" w:space="0" w:color="000000"/>
          <w:left w:val="dotted" w:sz="4" w:space="0" w:color="000000"/>
          <w:bottom w:val="dotted" w:sz="4" w:space="0" w:color="000000"/>
          <w:right w:val="dotted" w:sz="4" w:space="0" w:color="000000"/>
          <w:insideH w:val="dotted" w:sz="4" w:space="0" w:color="000000"/>
          <w:insideV w:val="dotted" w:sz="4" w:space="0" w:color="000000"/>
        </w:tblBorders>
        <w:tblLayout w:type="fixed"/>
        <w:tblLook w:val="0400" w:firstRow="0" w:lastRow="0" w:firstColumn="0" w:lastColumn="0" w:noHBand="0" w:noVBand="1"/>
      </w:tblPr>
      <w:tblGrid>
        <w:gridCol w:w="1492"/>
        <w:gridCol w:w="1842"/>
        <w:gridCol w:w="2262"/>
        <w:gridCol w:w="2262"/>
        <w:gridCol w:w="1918"/>
      </w:tblGrid>
      <w:tr w:rsidR="007D029B" w:rsidRPr="00C35E9E">
        <w:trPr>
          <w:tblHeader/>
        </w:trPr>
        <w:tc>
          <w:tcPr>
            <w:tcW w:w="1492" w:type="dxa"/>
            <w:shd w:val="clear" w:color="auto" w:fill="D9D9D9"/>
            <w:vAlign w:val="center"/>
          </w:tcPr>
          <w:p w:rsidR="007D029B" w:rsidRPr="00C35E9E" w:rsidRDefault="00622048">
            <w:pPr>
              <w:pBdr>
                <w:top w:val="nil"/>
                <w:left w:val="nil"/>
                <w:bottom w:val="nil"/>
                <w:right w:val="nil"/>
                <w:between w:val="nil"/>
              </w:pBdr>
              <w:ind w:right="100"/>
              <w:jc w:val="center"/>
              <w:rPr>
                <w:rFonts w:ascii="Palatino Linotype" w:eastAsia="Palatino Linotype" w:hAnsi="Palatino Linotype" w:cs="Palatino Linotype"/>
                <w:b/>
                <w:bCs/>
                <w:color w:val="000000"/>
              </w:rPr>
            </w:pPr>
            <w:r w:rsidRPr="00C35E9E">
              <w:rPr>
                <w:rFonts w:ascii="Palatino Linotype" w:eastAsia="Palatino Linotype" w:hAnsi="Palatino Linotype" w:cs="Palatino Linotype"/>
                <w:b/>
                <w:bCs/>
                <w:color w:val="000000"/>
              </w:rPr>
              <w:t>Información solicitada</w:t>
            </w:r>
          </w:p>
        </w:tc>
        <w:tc>
          <w:tcPr>
            <w:tcW w:w="1842" w:type="dxa"/>
            <w:shd w:val="clear" w:color="auto" w:fill="D9D9D9"/>
            <w:vAlign w:val="center"/>
          </w:tcPr>
          <w:p w:rsidR="007D029B" w:rsidRPr="00C35E9E" w:rsidRDefault="00622048">
            <w:pPr>
              <w:pBdr>
                <w:top w:val="nil"/>
                <w:left w:val="nil"/>
                <w:bottom w:val="nil"/>
                <w:right w:val="nil"/>
                <w:between w:val="nil"/>
              </w:pBdr>
              <w:ind w:right="12"/>
              <w:jc w:val="center"/>
              <w:rPr>
                <w:rFonts w:ascii="Palatino Linotype" w:eastAsia="Palatino Linotype" w:hAnsi="Palatino Linotype" w:cs="Palatino Linotype"/>
                <w:b/>
                <w:bCs/>
                <w:color w:val="000000"/>
              </w:rPr>
            </w:pPr>
            <w:r w:rsidRPr="00C35E9E">
              <w:rPr>
                <w:rFonts w:ascii="Palatino Linotype" w:eastAsia="Palatino Linotype" w:hAnsi="Palatino Linotype" w:cs="Palatino Linotype"/>
                <w:b/>
                <w:bCs/>
                <w:color w:val="000000"/>
              </w:rPr>
              <w:t>Respuesta</w:t>
            </w:r>
          </w:p>
        </w:tc>
        <w:tc>
          <w:tcPr>
            <w:tcW w:w="2262" w:type="dxa"/>
            <w:shd w:val="clear" w:color="auto" w:fill="D9D9D9"/>
          </w:tcPr>
          <w:p w:rsidR="007D029B" w:rsidRPr="00C35E9E" w:rsidRDefault="00622048">
            <w:pPr>
              <w:pBdr>
                <w:top w:val="nil"/>
                <w:left w:val="nil"/>
                <w:bottom w:val="nil"/>
                <w:right w:val="nil"/>
                <w:between w:val="nil"/>
              </w:pBdr>
              <w:ind w:right="12"/>
              <w:jc w:val="center"/>
              <w:rPr>
                <w:rFonts w:ascii="Palatino Linotype" w:eastAsia="Palatino Linotype" w:hAnsi="Palatino Linotype" w:cs="Palatino Linotype"/>
                <w:b/>
                <w:bCs/>
                <w:color w:val="000000"/>
              </w:rPr>
            </w:pPr>
            <w:r w:rsidRPr="00C35E9E">
              <w:rPr>
                <w:rFonts w:ascii="Palatino Linotype" w:eastAsia="Palatino Linotype" w:hAnsi="Palatino Linotype" w:cs="Palatino Linotype"/>
                <w:b/>
                <w:bCs/>
                <w:color w:val="000000"/>
              </w:rPr>
              <w:t>Inconformidad</w:t>
            </w:r>
          </w:p>
        </w:tc>
        <w:tc>
          <w:tcPr>
            <w:tcW w:w="2262" w:type="dxa"/>
            <w:shd w:val="clear" w:color="auto" w:fill="D9D9D9"/>
          </w:tcPr>
          <w:p w:rsidR="007D029B" w:rsidRPr="00C35E9E" w:rsidRDefault="00622048">
            <w:pPr>
              <w:pBdr>
                <w:top w:val="nil"/>
                <w:left w:val="nil"/>
                <w:bottom w:val="nil"/>
                <w:right w:val="nil"/>
                <w:between w:val="nil"/>
              </w:pBdr>
              <w:ind w:right="12"/>
              <w:jc w:val="center"/>
              <w:rPr>
                <w:rFonts w:ascii="Palatino Linotype" w:eastAsia="Palatino Linotype" w:hAnsi="Palatino Linotype" w:cs="Palatino Linotype"/>
                <w:b/>
                <w:bCs/>
                <w:color w:val="000000"/>
              </w:rPr>
            </w:pPr>
            <w:r w:rsidRPr="00C35E9E">
              <w:rPr>
                <w:rFonts w:ascii="Palatino Linotype" w:eastAsia="Palatino Linotype" w:hAnsi="Palatino Linotype" w:cs="Palatino Linotype"/>
                <w:b/>
                <w:bCs/>
                <w:color w:val="000000"/>
              </w:rPr>
              <w:t>Informe justificado</w:t>
            </w:r>
          </w:p>
        </w:tc>
        <w:tc>
          <w:tcPr>
            <w:tcW w:w="1918" w:type="dxa"/>
            <w:shd w:val="clear" w:color="auto" w:fill="D9D9D9"/>
            <w:vAlign w:val="center"/>
          </w:tcPr>
          <w:p w:rsidR="007D029B" w:rsidRPr="00C35E9E" w:rsidRDefault="00622048">
            <w:pPr>
              <w:pBdr>
                <w:top w:val="nil"/>
                <w:left w:val="nil"/>
                <w:bottom w:val="nil"/>
                <w:right w:val="nil"/>
                <w:between w:val="nil"/>
              </w:pBdr>
              <w:ind w:right="12"/>
              <w:jc w:val="center"/>
              <w:rPr>
                <w:rFonts w:ascii="Palatino Linotype" w:eastAsia="Palatino Linotype" w:hAnsi="Palatino Linotype" w:cs="Palatino Linotype"/>
                <w:b/>
                <w:bCs/>
                <w:color w:val="000000"/>
              </w:rPr>
            </w:pPr>
            <w:r w:rsidRPr="00C35E9E">
              <w:rPr>
                <w:rFonts w:ascii="Palatino Linotype" w:eastAsia="Palatino Linotype" w:hAnsi="Palatino Linotype" w:cs="Palatino Linotype"/>
                <w:b/>
                <w:bCs/>
                <w:color w:val="000000"/>
              </w:rPr>
              <w:t>¿Colma?</w:t>
            </w:r>
          </w:p>
        </w:tc>
      </w:tr>
      <w:tr w:rsidR="007D029B" w:rsidRPr="00C35E9E">
        <w:tc>
          <w:tcPr>
            <w:tcW w:w="1492" w:type="dxa"/>
            <w:vAlign w:val="center"/>
          </w:tcPr>
          <w:p w:rsidR="007D029B" w:rsidRPr="00C35E9E" w:rsidRDefault="00622048">
            <w:pPr>
              <w:numPr>
                <w:ilvl w:val="0"/>
                <w:numId w:val="5"/>
              </w:numPr>
              <w:pBdr>
                <w:top w:val="nil"/>
                <w:left w:val="nil"/>
                <w:bottom w:val="nil"/>
                <w:right w:val="nil"/>
                <w:between w:val="nil"/>
              </w:pBdr>
              <w:ind w:left="137" w:right="127" w:firstLine="0"/>
              <w:jc w:val="center"/>
              <w:rPr>
                <w:rFonts w:ascii="Palatino Linotype" w:eastAsia="Palatino Linotype" w:hAnsi="Palatino Linotype" w:cs="Palatino Linotype"/>
                <w:i/>
                <w:iCs/>
                <w:color w:val="000000"/>
              </w:rPr>
            </w:pPr>
            <w:r w:rsidRPr="00C35E9E">
              <w:rPr>
                <w:rFonts w:ascii="Palatino Linotype" w:eastAsia="Palatino Linotype" w:hAnsi="Palatino Linotype" w:cs="Palatino Linotype"/>
                <w:i/>
                <w:iCs/>
                <w:color w:val="000000"/>
              </w:rPr>
              <w:t>Copia del pliego petitorio entregado por el titular del área de diversidad sexual a la Presidenta Municipal Yoselin Mendoza el día 27 de junio de la presente anualidad en la marcha lgbt+.</w:t>
            </w:r>
          </w:p>
          <w:p w:rsidR="007D029B" w:rsidRPr="00C35E9E" w:rsidRDefault="007D029B">
            <w:pPr>
              <w:pBdr>
                <w:top w:val="nil"/>
                <w:left w:val="nil"/>
                <w:bottom w:val="nil"/>
                <w:right w:val="nil"/>
                <w:between w:val="nil"/>
              </w:pBdr>
              <w:ind w:left="137" w:right="127"/>
              <w:jc w:val="center"/>
              <w:rPr>
                <w:rFonts w:ascii="Palatino Linotype" w:eastAsia="Palatino Linotype" w:hAnsi="Palatino Linotype" w:cs="Palatino Linotype"/>
                <w:i/>
                <w:iCs/>
              </w:rPr>
            </w:pPr>
          </w:p>
        </w:tc>
        <w:tc>
          <w:tcPr>
            <w:tcW w:w="1842" w:type="dxa"/>
            <w:vAlign w:val="center"/>
          </w:tcPr>
          <w:p w:rsidR="007D029B" w:rsidRPr="00C35E9E" w:rsidRDefault="00622048">
            <w:pPr>
              <w:pBdr>
                <w:top w:val="nil"/>
                <w:left w:val="nil"/>
                <w:bottom w:val="nil"/>
                <w:right w:val="nil"/>
                <w:between w:val="nil"/>
              </w:pBdr>
              <w:ind w:left="63" w:right="144"/>
              <w:jc w:val="center"/>
              <w:rPr>
                <w:rFonts w:ascii="Palatino Linotype" w:eastAsia="Palatino Linotype" w:hAnsi="Palatino Linotype" w:cs="Palatino Linotype"/>
                <w:color w:val="000000"/>
              </w:rPr>
            </w:pPr>
            <w:r w:rsidRPr="00C35E9E">
              <w:rPr>
                <w:rFonts w:ascii="Palatino Linotype" w:eastAsia="Palatino Linotype" w:hAnsi="Palatino Linotype" w:cs="Palatino Linotype"/>
                <w:color w:val="000000"/>
              </w:rPr>
              <w:t>Documento de fecha 27 de junio de 2025, firmado por el Jefe del Departamento de Identidad, Diversidad y Derechos LGBTTTIQA+ y la Directora de las Mujeres, Inclusión y Equidad, dirigido a la Presidenta Municipal Constitucional de Nicolás Romero, cuyo asunto consiste en un pliego petitorio.</w:t>
            </w:r>
          </w:p>
        </w:tc>
        <w:tc>
          <w:tcPr>
            <w:tcW w:w="2262" w:type="dxa"/>
            <w:vAlign w:val="center"/>
          </w:tcPr>
          <w:p w:rsidR="007D029B" w:rsidRPr="00C35E9E" w:rsidRDefault="00622048">
            <w:pPr>
              <w:pBdr>
                <w:top w:val="nil"/>
                <w:left w:val="nil"/>
                <w:bottom w:val="nil"/>
                <w:right w:val="nil"/>
                <w:between w:val="nil"/>
              </w:pBdr>
              <w:ind w:right="12"/>
              <w:jc w:val="center"/>
              <w:rPr>
                <w:rFonts w:ascii="Palatino Linotype" w:eastAsia="Palatino Linotype" w:hAnsi="Palatino Linotype" w:cs="Palatino Linotype"/>
                <w:i/>
                <w:iCs/>
                <w:color w:val="000000"/>
              </w:rPr>
            </w:pPr>
            <w:r w:rsidRPr="00C35E9E">
              <w:rPr>
                <w:rFonts w:ascii="Palatino Linotype" w:eastAsia="Palatino Linotype" w:hAnsi="Palatino Linotype" w:cs="Palatino Linotype"/>
                <w:i/>
                <w:iCs/>
                <w:color w:val="000000"/>
              </w:rPr>
              <w:t>El pliego petitorio entregado a la Presidenta Municipal era un documento vasto en cantidad de hojas, en cambio lo entregado en la respuesta son dos cuartillas.</w:t>
            </w:r>
          </w:p>
        </w:tc>
        <w:tc>
          <w:tcPr>
            <w:tcW w:w="2262" w:type="dxa"/>
            <w:vAlign w:val="center"/>
          </w:tcPr>
          <w:p w:rsidR="007D029B" w:rsidRPr="00C35E9E" w:rsidRDefault="00622048">
            <w:pPr>
              <w:pBdr>
                <w:top w:val="nil"/>
                <w:left w:val="nil"/>
                <w:bottom w:val="nil"/>
                <w:right w:val="nil"/>
                <w:between w:val="nil"/>
              </w:pBdr>
              <w:ind w:right="12"/>
              <w:jc w:val="center"/>
              <w:rPr>
                <w:rFonts w:ascii="Palatino Linotype" w:eastAsia="Palatino Linotype" w:hAnsi="Palatino Linotype" w:cs="Palatino Linotype"/>
                <w:color w:val="000000"/>
              </w:rPr>
            </w:pPr>
            <w:r w:rsidRPr="00C35E9E">
              <w:rPr>
                <w:rFonts w:ascii="Palatino Linotype" w:eastAsia="Palatino Linotype" w:hAnsi="Palatino Linotype" w:cs="Palatino Linotype"/>
                <w:color w:val="000000"/>
              </w:rPr>
              <w:t xml:space="preserve">El pliego petitorio entregado en respuesta, </w:t>
            </w:r>
            <w:r w:rsidRPr="00C35E9E">
              <w:rPr>
                <w:rFonts w:ascii="Palatino Linotype" w:eastAsia="Palatino Linotype" w:hAnsi="Palatino Linotype" w:cs="Palatino Linotype"/>
                <w:color w:val="000000"/>
                <w:u w:val="single"/>
              </w:rPr>
              <w:t>fue el  entregado de manera simbólica o protocolaria</w:t>
            </w:r>
            <w:r w:rsidRPr="00C35E9E">
              <w:rPr>
                <w:rFonts w:ascii="Palatino Linotype" w:eastAsia="Palatino Linotype" w:hAnsi="Palatino Linotype" w:cs="Palatino Linotype"/>
                <w:color w:val="000000"/>
              </w:rPr>
              <w:t xml:space="preserve"> a la Presidenta Municipal, no obstante, </w:t>
            </w:r>
            <w:r w:rsidRPr="00C35E9E">
              <w:rPr>
                <w:rFonts w:ascii="Palatino Linotype" w:eastAsia="Palatino Linotype" w:hAnsi="Palatino Linotype" w:cs="Palatino Linotype"/>
                <w:b/>
                <w:bCs/>
                <w:color w:val="000000"/>
              </w:rPr>
              <w:t>se hace entrega de una copia fiel del documento solicitado.</w:t>
            </w:r>
          </w:p>
        </w:tc>
        <w:tc>
          <w:tcPr>
            <w:tcW w:w="1918" w:type="dxa"/>
            <w:vAlign w:val="center"/>
          </w:tcPr>
          <w:p w:rsidR="007D029B" w:rsidRPr="00C35E9E" w:rsidRDefault="00622048">
            <w:pPr>
              <w:pBdr>
                <w:top w:val="nil"/>
                <w:left w:val="nil"/>
                <w:bottom w:val="nil"/>
                <w:right w:val="nil"/>
                <w:between w:val="nil"/>
              </w:pBdr>
              <w:ind w:right="12"/>
              <w:jc w:val="center"/>
              <w:rPr>
                <w:rFonts w:ascii="Palatino Linotype" w:eastAsia="Palatino Linotype" w:hAnsi="Palatino Linotype" w:cs="Palatino Linotype"/>
                <w:b/>
                <w:bCs/>
                <w:color w:val="000000"/>
              </w:rPr>
            </w:pPr>
            <w:r w:rsidRPr="00C35E9E">
              <w:rPr>
                <w:rFonts w:ascii="Palatino Linotype" w:eastAsia="Palatino Linotype" w:hAnsi="Palatino Linotype" w:cs="Palatino Linotype"/>
                <w:b/>
                <w:bCs/>
                <w:color w:val="000000"/>
              </w:rPr>
              <w:t>SI</w:t>
            </w:r>
          </w:p>
          <w:p w:rsidR="007D029B" w:rsidRPr="00C35E9E" w:rsidRDefault="007D029B">
            <w:pPr>
              <w:pBdr>
                <w:top w:val="nil"/>
                <w:left w:val="nil"/>
                <w:bottom w:val="nil"/>
                <w:right w:val="nil"/>
                <w:between w:val="nil"/>
              </w:pBdr>
              <w:ind w:right="12"/>
              <w:jc w:val="center"/>
              <w:rPr>
                <w:rFonts w:ascii="Palatino Linotype" w:eastAsia="Palatino Linotype" w:hAnsi="Palatino Linotype" w:cs="Palatino Linotype"/>
                <w:b/>
                <w:bCs/>
                <w:color w:val="000000"/>
              </w:rPr>
            </w:pPr>
          </w:p>
          <w:p w:rsidR="007D029B" w:rsidRPr="00C35E9E" w:rsidRDefault="00622048">
            <w:pPr>
              <w:pBdr>
                <w:top w:val="nil"/>
                <w:left w:val="nil"/>
                <w:bottom w:val="nil"/>
                <w:right w:val="nil"/>
                <w:between w:val="nil"/>
              </w:pBdr>
              <w:ind w:right="12"/>
              <w:jc w:val="center"/>
              <w:rPr>
                <w:rFonts w:ascii="Palatino Linotype" w:eastAsia="Palatino Linotype" w:hAnsi="Palatino Linotype" w:cs="Palatino Linotype"/>
                <w:color w:val="000000"/>
              </w:rPr>
            </w:pPr>
            <w:r w:rsidRPr="00C35E9E">
              <w:rPr>
                <w:rFonts w:ascii="Palatino Linotype" w:eastAsia="Palatino Linotype" w:hAnsi="Palatino Linotype" w:cs="Palatino Linotype"/>
                <w:color w:val="000000"/>
              </w:rPr>
              <w:t>Se entrega la información requerida.</w:t>
            </w:r>
          </w:p>
        </w:tc>
      </w:tr>
      <w:tr w:rsidR="007D029B" w:rsidRPr="00C35E9E">
        <w:tc>
          <w:tcPr>
            <w:tcW w:w="1492" w:type="dxa"/>
            <w:vAlign w:val="center"/>
          </w:tcPr>
          <w:p w:rsidR="007D029B" w:rsidRPr="00C35E9E" w:rsidRDefault="00622048">
            <w:pPr>
              <w:numPr>
                <w:ilvl w:val="0"/>
                <w:numId w:val="5"/>
              </w:numPr>
              <w:pBdr>
                <w:top w:val="nil"/>
                <w:left w:val="nil"/>
                <w:bottom w:val="nil"/>
                <w:right w:val="nil"/>
                <w:between w:val="nil"/>
              </w:pBdr>
              <w:ind w:left="137" w:right="127" w:firstLine="0"/>
              <w:jc w:val="both"/>
              <w:rPr>
                <w:rFonts w:ascii="Palatino Linotype" w:eastAsia="Palatino Linotype" w:hAnsi="Palatino Linotype" w:cs="Palatino Linotype"/>
                <w:i/>
                <w:iCs/>
                <w:color w:val="000000"/>
              </w:rPr>
            </w:pPr>
            <w:r w:rsidRPr="00C35E9E">
              <w:rPr>
                <w:rFonts w:ascii="Palatino Linotype" w:eastAsia="Palatino Linotype" w:hAnsi="Palatino Linotype" w:cs="Palatino Linotype"/>
                <w:i/>
                <w:iCs/>
                <w:color w:val="000000"/>
              </w:rPr>
              <w:t xml:space="preserve">Plan de trabajo del área de diversidad sexual. </w:t>
            </w:r>
          </w:p>
          <w:p w:rsidR="007D029B" w:rsidRPr="00C35E9E" w:rsidRDefault="007D029B">
            <w:pPr>
              <w:pBdr>
                <w:top w:val="nil"/>
                <w:left w:val="nil"/>
                <w:bottom w:val="nil"/>
                <w:right w:val="nil"/>
                <w:between w:val="nil"/>
              </w:pBdr>
              <w:ind w:left="137" w:right="127"/>
              <w:jc w:val="both"/>
              <w:rPr>
                <w:rFonts w:ascii="Palatino Linotype" w:eastAsia="Palatino Linotype" w:hAnsi="Palatino Linotype" w:cs="Palatino Linotype"/>
                <w:i/>
                <w:iCs/>
              </w:rPr>
            </w:pPr>
          </w:p>
        </w:tc>
        <w:tc>
          <w:tcPr>
            <w:tcW w:w="1842" w:type="dxa"/>
          </w:tcPr>
          <w:p w:rsidR="007D029B" w:rsidRPr="00C35E9E" w:rsidRDefault="00622048">
            <w:pPr>
              <w:pBdr>
                <w:top w:val="nil"/>
                <w:left w:val="nil"/>
                <w:bottom w:val="nil"/>
                <w:right w:val="nil"/>
                <w:between w:val="nil"/>
              </w:pBdr>
              <w:ind w:left="63" w:right="144"/>
              <w:jc w:val="both"/>
              <w:rPr>
                <w:rFonts w:ascii="Palatino Linotype" w:eastAsia="Palatino Linotype" w:hAnsi="Palatino Linotype" w:cs="Palatino Linotype"/>
                <w:color w:val="000000"/>
              </w:rPr>
            </w:pPr>
            <w:r w:rsidRPr="00C35E9E">
              <w:rPr>
                <w:rFonts w:ascii="Palatino Linotype" w:eastAsia="Palatino Linotype" w:hAnsi="Palatino Linotype" w:cs="Palatino Linotype"/>
                <w:color w:val="000000"/>
              </w:rPr>
              <w:t xml:space="preserve">El Plan anual de Trabajo del Departamento de Identidad Diversidad y Derechos </w:t>
            </w:r>
            <w:r w:rsidRPr="00C35E9E">
              <w:rPr>
                <w:rFonts w:ascii="Palatino Linotype" w:eastAsia="Palatino Linotype" w:hAnsi="Palatino Linotype" w:cs="Palatino Linotype"/>
                <w:color w:val="000000"/>
              </w:rPr>
              <w:lastRenderedPageBreak/>
              <w:t>LGBTTTIQA+ está basado en el cumplimiento de Presupuesto basado en Resultados Municipales, por ende, las acciones del Departamento para el presente año se representan de las metas enlistadas.</w:t>
            </w:r>
          </w:p>
        </w:tc>
        <w:tc>
          <w:tcPr>
            <w:tcW w:w="2262" w:type="dxa"/>
          </w:tcPr>
          <w:p w:rsidR="007D029B" w:rsidRPr="00C35E9E" w:rsidRDefault="00622048">
            <w:pPr>
              <w:jc w:val="center"/>
              <w:rPr>
                <w:rFonts w:ascii="Palatino Linotype" w:eastAsia="Palatino Linotype" w:hAnsi="Palatino Linotype" w:cs="Palatino Linotype"/>
                <w:i/>
                <w:iCs/>
                <w:color w:val="000000"/>
              </w:rPr>
            </w:pPr>
            <w:r w:rsidRPr="00C35E9E">
              <w:rPr>
                <w:rFonts w:ascii="Palatino Linotype" w:eastAsia="Palatino Linotype" w:hAnsi="Palatino Linotype" w:cs="Palatino Linotype"/>
                <w:i/>
                <w:iCs/>
                <w:color w:val="000000"/>
              </w:rPr>
              <w:lastRenderedPageBreak/>
              <w:t>No se hace entrega del plan de trabajo, únicamente se mencionan las metas.</w:t>
            </w:r>
          </w:p>
        </w:tc>
        <w:tc>
          <w:tcPr>
            <w:tcW w:w="2262" w:type="dxa"/>
          </w:tcPr>
          <w:p w:rsidR="007D029B" w:rsidRPr="00C35E9E" w:rsidRDefault="00622048">
            <w:pPr>
              <w:jc w:val="center"/>
              <w:rPr>
                <w:rFonts w:ascii="Palatino Linotype" w:eastAsia="Palatino Linotype" w:hAnsi="Palatino Linotype" w:cs="Palatino Linotype"/>
                <w:color w:val="000000"/>
              </w:rPr>
            </w:pPr>
            <w:r w:rsidRPr="00C35E9E">
              <w:rPr>
                <w:rFonts w:ascii="Palatino Linotype" w:eastAsia="Palatino Linotype" w:hAnsi="Palatino Linotype" w:cs="Palatino Linotype"/>
                <w:i/>
                <w:iCs/>
                <w:color w:val="000000"/>
              </w:rPr>
              <w:t xml:space="preserve">Se adjunta al presente el Plan de Trabajo Anual propuesto por el Departamento de Identidad, Diversidad </w:t>
            </w:r>
            <w:r w:rsidRPr="00C35E9E">
              <w:rPr>
                <w:rFonts w:ascii="Palatino Linotype" w:eastAsia="Palatino Linotype" w:hAnsi="Palatino Linotype" w:cs="Palatino Linotype"/>
                <w:i/>
                <w:iCs/>
                <w:color w:val="000000"/>
              </w:rPr>
              <w:lastRenderedPageBreak/>
              <w:t>y Derechos LGBTTTIQA+</w:t>
            </w:r>
          </w:p>
        </w:tc>
        <w:tc>
          <w:tcPr>
            <w:tcW w:w="1918" w:type="dxa"/>
          </w:tcPr>
          <w:p w:rsidR="007D029B" w:rsidRPr="00C35E9E" w:rsidRDefault="00622048">
            <w:pPr>
              <w:pBdr>
                <w:top w:val="nil"/>
                <w:left w:val="nil"/>
                <w:bottom w:val="nil"/>
                <w:right w:val="nil"/>
                <w:between w:val="nil"/>
              </w:pBdr>
              <w:ind w:right="12"/>
              <w:jc w:val="center"/>
              <w:rPr>
                <w:rFonts w:ascii="Palatino Linotype" w:eastAsia="Palatino Linotype" w:hAnsi="Palatino Linotype" w:cs="Palatino Linotype"/>
                <w:b/>
                <w:bCs/>
                <w:color w:val="000000"/>
              </w:rPr>
            </w:pPr>
            <w:r w:rsidRPr="00C35E9E">
              <w:rPr>
                <w:rFonts w:ascii="Palatino Linotype" w:eastAsia="Palatino Linotype" w:hAnsi="Palatino Linotype" w:cs="Palatino Linotype"/>
                <w:b/>
                <w:bCs/>
                <w:color w:val="000000"/>
              </w:rPr>
              <w:lastRenderedPageBreak/>
              <w:t>SI</w:t>
            </w:r>
          </w:p>
          <w:p w:rsidR="007D029B" w:rsidRPr="00C35E9E" w:rsidRDefault="007D029B">
            <w:pPr>
              <w:pBdr>
                <w:top w:val="nil"/>
                <w:left w:val="nil"/>
                <w:bottom w:val="nil"/>
                <w:right w:val="nil"/>
                <w:between w:val="nil"/>
              </w:pBdr>
              <w:ind w:right="12"/>
              <w:jc w:val="center"/>
              <w:rPr>
                <w:rFonts w:ascii="Palatino Linotype" w:eastAsia="Palatino Linotype" w:hAnsi="Palatino Linotype" w:cs="Palatino Linotype"/>
                <w:b/>
                <w:bCs/>
                <w:color w:val="000000"/>
              </w:rPr>
            </w:pPr>
          </w:p>
          <w:p w:rsidR="007D029B" w:rsidRPr="00C35E9E" w:rsidRDefault="00622048">
            <w:pPr>
              <w:jc w:val="center"/>
            </w:pPr>
            <w:r w:rsidRPr="00C35E9E">
              <w:rPr>
                <w:rFonts w:ascii="Palatino Linotype" w:eastAsia="Palatino Linotype" w:hAnsi="Palatino Linotype" w:cs="Palatino Linotype"/>
                <w:color w:val="000000"/>
              </w:rPr>
              <w:t>Se entrega la información requerida.</w:t>
            </w:r>
          </w:p>
        </w:tc>
      </w:tr>
      <w:tr w:rsidR="007D029B" w:rsidRPr="00C35E9E">
        <w:tc>
          <w:tcPr>
            <w:tcW w:w="1492" w:type="dxa"/>
            <w:vAlign w:val="center"/>
          </w:tcPr>
          <w:p w:rsidR="007D029B" w:rsidRPr="00C35E9E" w:rsidRDefault="00622048">
            <w:pPr>
              <w:numPr>
                <w:ilvl w:val="0"/>
                <w:numId w:val="5"/>
              </w:numPr>
              <w:pBdr>
                <w:top w:val="nil"/>
                <w:left w:val="nil"/>
                <w:bottom w:val="nil"/>
                <w:right w:val="nil"/>
                <w:between w:val="nil"/>
              </w:pBdr>
              <w:ind w:left="137" w:right="127" w:firstLine="0"/>
              <w:jc w:val="both"/>
              <w:rPr>
                <w:rFonts w:ascii="Palatino Linotype" w:eastAsia="Palatino Linotype" w:hAnsi="Palatino Linotype" w:cs="Palatino Linotype"/>
                <w:i/>
                <w:iCs/>
                <w:color w:val="000000"/>
              </w:rPr>
            </w:pPr>
            <w:r w:rsidRPr="00C35E9E">
              <w:rPr>
                <w:rFonts w:ascii="Palatino Linotype" w:eastAsia="Palatino Linotype" w:hAnsi="Palatino Linotype" w:cs="Palatino Linotype"/>
                <w:i/>
                <w:iCs/>
                <w:color w:val="000000"/>
              </w:rPr>
              <w:t xml:space="preserve">Informe de los avances respecto a los acuerdos establecidos en el "Foro de escucha de necesidades de la población LGBTTTIQA+ de Nicolás Romero" llevado a cabo el 07 de </w:t>
            </w:r>
            <w:r w:rsidRPr="00C35E9E">
              <w:rPr>
                <w:rFonts w:ascii="Palatino Linotype" w:eastAsia="Palatino Linotype" w:hAnsi="Palatino Linotype" w:cs="Palatino Linotype"/>
                <w:i/>
                <w:iCs/>
                <w:color w:val="000000"/>
              </w:rPr>
              <w:lastRenderedPageBreak/>
              <w:t>febrero del presente año.</w:t>
            </w:r>
          </w:p>
          <w:p w:rsidR="007D029B" w:rsidRPr="00C35E9E" w:rsidRDefault="007D029B">
            <w:pPr>
              <w:pBdr>
                <w:top w:val="nil"/>
                <w:left w:val="nil"/>
                <w:bottom w:val="nil"/>
                <w:right w:val="nil"/>
                <w:between w:val="nil"/>
              </w:pBdr>
              <w:ind w:left="137" w:right="127"/>
              <w:jc w:val="both"/>
              <w:rPr>
                <w:rFonts w:ascii="Palatino Linotype" w:eastAsia="Palatino Linotype" w:hAnsi="Palatino Linotype" w:cs="Palatino Linotype"/>
                <w:i/>
                <w:iCs/>
              </w:rPr>
            </w:pPr>
          </w:p>
        </w:tc>
        <w:tc>
          <w:tcPr>
            <w:tcW w:w="1842" w:type="dxa"/>
          </w:tcPr>
          <w:p w:rsidR="007D029B" w:rsidRPr="00C35E9E" w:rsidRDefault="00622048">
            <w:pPr>
              <w:pBdr>
                <w:top w:val="nil"/>
                <w:left w:val="nil"/>
                <w:bottom w:val="nil"/>
                <w:right w:val="nil"/>
                <w:between w:val="nil"/>
              </w:pBdr>
              <w:ind w:left="63" w:right="144"/>
              <w:jc w:val="both"/>
              <w:rPr>
                <w:rFonts w:ascii="Palatino Linotype" w:eastAsia="Palatino Linotype" w:hAnsi="Palatino Linotype" w:cs="Palatino Linotype"/>
                <w:color w:val="000000"/>
              </w:rPr>
            </w:pPr>
            <w:r w:rsidRPr="00C35E9E">
              <w:rPr>
                <w:rFonts w:ascii="Palatino Linotype" w:eastAsia="Palatino Linotype" w:hAnsi="Palatino Linotype" w:cs="Palatino Linotype"/>
                <w:color w:val="000000"/>
              </w:rPr>
              <w:lastRenderedPageBreak/>
              <w:t xml:space="preserve">Toda vez que en dicho evento no se cumplimentó con el aforo mínimo de personas que amerita un "foro", </w:t>
            </w:r>
            <w:r w:rsidRPr="00C35E9E">
              <w:rPr>
                <w:rFonts w:ascii="Palatino Linotype" w:eastAsia="Palatino Linotype" w:hAnsi="Palatino Linotype" w:cs="Palatino Linotype"/>
                <w:b/>
                <w:bCs/>
                <w:color w:val="000000"/>
              </w:rPr>
              <w:t>se llevó a cabo una actividad de escucha activa</w:t>
            </w:r>
            <w:r w:rsidRPr="00C35E9E">
              <w:rPr>
                <w:rFonts w:ascii="Palatino Linotype" w:eastAsia="Palatino Linotype" w:hAnsi="Palatino Linotype" w:cs="Palatino Linotype"/>
                <w:color w:val="000000"/>
              </w:rPr>
              <w:t xml:space="preserve"> con las personas de la sociedad civil que asistieron. Asimismo, tras una búsqueda </w:t>
            </w:r>
            <w:r w:rsidRPr="00C35E9E">
              <w:rPr>
                <w:rFonts w:ascii="Palatino Linotype" w:eastAsia="Palatino Linotype" w:hAnsi="Palatino Linotype" w:cs="Palatino Linotype"/>
                <w:color w:val="000000"/>
              </w:rPr>
              <w:lastRenderedPageBreak/>
              <w:t>exhaustiva de información se logró identificar que n</w:t>
            </w:r>
            <w:r w:rsidRPr="00C35E9E">
              <w:rPr>
                <w:rFonts w:ascii="Palatino Linotype" w:eastAsia="Palatino Linotype" w:hAnsi="Palatino Linotype" w:cs="Palatino Linotype"/>
                <w:b/>
                <w:bCs/>
                <w:color w:val="000000"/>
              </w:rPr>
              <w:t>o se generaron acuerdos formales derivados del evento mencionado.</w:t>
            </w:r>
          </w:p>
        </w:tc>
        <w:tc>
          <w:tcPr>
            <w:tcW w:w="2262" w:type="dxa"/>
          </w:tcPr>
          <w:p w:rsidR="007D029B" w:rsidRPr="00C35E9E" w:rsidRDefault="00622048">
            <w:pPr>
              <w:jc w:val="center"/>
              <w:rPr>
                <w:rFonts w:ascii="Palatino Linotype" w:eastAsia="Palatino Linotype" w:hAnsi="Palatino Linotype" w:cs="Palatino Linotype"/>
                <w:i/>
                <w:iCs/>
                <w:color w:val="000000"/>
              </w:rPr>
            </w:pPr>
            <w:r w:rsidRPr="00C35E9E">
              <w:rPr>
                <w:rFonts w:ascii="Palatino Linotype" w:eastAsia="Palatino Linotype" w:hAnsi="Palatino Linotype" w:cs="Palatino Linotype"/>
                <w:i/>
                <w:iCs/>
                <w:color w:val="000000"/>
              </w:rPr>
              <w:lastRenderedPageBreak/>
              <w:t>En la página oficial de Facebook del Gobierno Municipal de Nicolás Romero se afirma que sí hubo foro y se promete que se ampliará un programa para la comunidad LGBTTTIQA+.</w:t>
            </w:r>
          </w:p>
          <w:p w:rsidR="007D029B" w:rsidRPr="00C35E9E" w:rsidRDefault="007D029B">
            <w:pPr>
              <w:jc w:val="center"/>
              <w:rPr>
                <w:rFonts w:ascii="Palatino Linotype" w:eastAsia="Palatino Linotype" w:hAnsi="Palatino Linotype" w:cs="Palatino Linotype"/>
                <w:b/>
                <w:bCs/>
                <w:i/>
                <w:iCs/>
                <w:color w:val="000000"/>
              </w:rPr>
            </w:pPr>
          </w:p>
          <w:p w:rsidR="007D029B" w:rsidRPr="00C35E9E" w:rsidRDefault="00622048">
            <w:pPr>
              <w:jc w:val="center"/>
              <w:rPr>
                <w:rFonts w:ascii="Palatino Linotype" w:eastAsia="Palatino Linotype" w:hAnsi="Palatino Linotype" w:cs="Palatino Linotype"/>
                <w:color w:val="000000"/>
              </w:rPr>
            </w:pPr>
            <w:r w:rsidRPr="00C35E9E">
              <w:rPr>
                <w:rFonts w:ascii="Palatino Linotype" w:eastAsia="Palatino Linotype" w:hAnsi="Palatino Linotype" w:cs="Palatino Linotype"/>
                <w:color w:val="000000"/>
              </w:rPr>
              <w:t>Se anexa captura de pantalla de publicación en una red social.</w:t>
            </w:r>
          </w:p>
        </w:tc>
        <w:tc>
          <w:tcPr>
            <w:tcW w:w="2262" w:type="dxa"/>
          </w:tcPr>
          <w:p w:rsidR="007D029B" w:rsidRPr="00C35E9E" w:rsidRDefault="00622048">
            <w:pPr>
              <w:ind w:right="66"/>
              <w:jc w:val="center"/>
              <w:rPr>
                <w:rFonts w:ascii="Palatino Linotype" w:eastAsia="Palatino Linotype" w:hAnsi="Palatino Linotype" w:cs="Palatino Linotype"/>
                <w:color w:val="000000"/>
              </w:rPr>
            </w:pPr>
            <w:r w:rsidRPr="00C35E9E">
              <w:rPr>
                <w:rFonts w:ascii="Palatino Linotype" w:eastAsia="Palatino Linotype" w:hAnsi="Palatino Linotype" w:cs="Palatino Linotype"/>
                <w:i/>
                <w:iCs/>
                <w:color w:val="000000"/>
              </w:rPr>
              <w:t xml:space="preserve">Tras una búsqueda exhaustiva se logró identificar la información relativa a lo mencionado en la página de Facebook del Gobierno Municipal. Por lo cual, en seguimiento al asunto que nos ocupa, se anexa al presente, copia del oficio dirigido a la Dirección de Desarrollo Económico, mediante el cual la presente Dependencia solicita conocer si </w:t>
            </w:r>
            <w:r w:rsidRPr="00C35E9E">
              <w:rPr>
                <w:rFonts w:ascii="Palatino Linotype" w:eastAsia="Palatino Linotype" w:hAnsi="Palatino Linotype" w:cs="Palatino Linotype"/>
                <w:i/>
                <w:iCs/>
                <w:color w:val="000000"/>
              </w:rPr>
              <w:lastRenderedPageBreak/>
              <w:t>existe información respecto a la ampliación de los Nicocréditos y si tal acción prevé la extensión y/o participación de las poblaciones LGBTTTIQA+.</w:t>
            </w:r>
          </w:p>
        </w:tc>
        <w:tc>
          <w:tcPr>
            <w:tcW w:w="1918" w:type="dxa"/>
          </w:tcPr>
          <w:p w:rsidR="007D029B" w:rsidRPr="00C35E9E" w:rsidRDefault="00622048">
            <w:pPr>
              <w:pBdr>
                <w:top w:val="nil"/>
                <w:left w:val="nil"/>
                <w:bottom w:val="nil"/>
                <w:right w:val="nil"/>
                <w:between w:val="nil"/>
              </w:pBdr>
              <w:ind w:right="12"/>
              <w:jc w:val="center"/>
              <w:rPr>
                <w:rFonts w:ascii="Palatino Linotype" w:eastAsia="Palatino Linotype" w:hAnsi="Palatino Linotype" w:cs="Palatino Linotype"/>
                <w:b/>
                <w:bCs/>
                <w:color w:val="000000"/>
              </w:rPr>
            </w:pPr>
            <w:r w:rsidRPr="00C35E9E">
              <w:rPr>
                <w:rFonts w:ascii="Palatino Linotype" w:eastAsia="Palatino Linotype" w:hAnsi="Palatino Linotype" w:cs="Palatino Linotype"/>
                <w:b/>
                <w:bCs/>
                <w:color w:val="000000"/>
              </w:rPr>
              <w:lastRenderedPageBreak/>
              <w:t>Parcialmente</w:t>
            </w:r>
          </w:p>
          <w:p w:rsidR="007D029B" w:rsidRPr="00C35E9E" w:rsidRDefault="007D029B">
            <w:pPr>
              <w:pBdr>
                <w:top w:val="nil"/>
                <w:left w:val="nil"/>
                <w:bottom w:val="nil"/>
                <w:right w:val="nil"/>
                <w:between w:val="nil"/>
              </w:pBdr>
              <w:ind w:right="12"/>
              <w:jc w:val="center"/>
              <w:rPr>
                <w:rFonts w:ascii="Palatino Linotype" w:eastAsia="Palatino Linotype" w:hAnsi="Palatino Linotype" w:cs="Palatino Linotype"/>
                <w:b/>
                <w:bCs/>
                <w:color w:val="000000"/>
              </w:rPr>
            </w:pPr>
          </w:p>
          <w:p w:rsidR="007D029B" w:rsidRPr="00C35E9E" w:rsidRDefault="00622048">
            <w:pPr>
              <w:jc w:val="center"/>
              <w:rPr>
                <w:rFonts w:ascii="Palatino Linotype" w:eastAsia="Palatino Linotype" w:hAnsi="Palatino Linotype" w:cs="Palatino Linotype"/>
                <w:color w:val="000000"/>
              </w:rPr>
            </w:pPr>
            <w:r w:rsidRPr="00C35E9E">
              <w:rPr>
                <w:rFonts w:ascii="Palatino Linotype" w:eastAsia="Palatino Linotype" w:hAnsi="Palatino Linotype" w:cs="Palatino Linotype"/>
                <w:color w:val="000000"/>
              </w:rPr>
              <w:t xml:space="preserve">Se entrega el oficio a través del cual se le solicita al Director de Desarrollo Económica informar al respecto del programa y el anuncio hecho en el Foro en mención; no obstante, tal información no señala los avances o estatus </w:t>
            </w:r>
            <w:r w:rsidRPr="00C35E9E">
              <w:rPr>
                <w:rFonts w:ascii="Palatino Linotype" w:eastAsia="Palatino Linotype" w:hAnsi="Palatino Linotype" w:cs="Palatino Linotype"/>
                <w:color w:val="000000"/>
              </w:rPr>
              <w:lastRenderedPageBreak/>
              <w:t>actual sobre tal mención.</w:t>
            </w:r>
          </w:p>
        </w:tc>
      </w:tr>
    </w:tbl>
    <w:p w:rsidR="007D029B" w:rsidRPr="00C35E9E" w:rsidRDefault="007D029B">
      <w:pPr>
        <w:spacing w:line="360" w:lineRule="auto"/>
        <w:ind w:right="-787"/>
        <w:jc w:val="both"/>
        <w:rPr>
          <w:rFonts w:ascii="Palatino Linotype" w:eastAsia="Palatino Linotype" w:hAnsi="Palatino Linotype" w:cs="Palatino Linotype"/>
          <w:i/>
          <w:iCs/>
        </w:rPr>
      </w:pPr>
    </w:p>
    <w:p w:rsidR="007D029B" w:rsidRPr="00C35E9E" w:rsidRDefault="007D029B">
      <w:pPr>
        <w:spacing w:line="360" w:lineRule="auto"/>
        <w:ind w:right="-787"/>
        <w:jc w:val="both"/>
        <w:rPr>
          <w:rFonts w:ascii="Palatino Linotype" w:eastAsia="Palatino Linotype" w:hAnsi="Palatino Linotype" w:cs="Palatino Linotype"/>
          <w:i/>
          <w:iCs/>
        </w:rPr>
      </w:pPr>
    </w:p>
    <w:p w:rsidR="007D029B" w:rsidRPr="00C35E9E" w:rsidRDefault="00622048">
      <w:pPr>
        <w:numPr>
          <w:ilvl w:val="0"/>
          <w:numId w:val="4"/>
        </w:numPr>
        <w:spacing w:line="360" w:lineRule="auto"/>
        <w:ind w:left="0" w:right="-787" w:firstLine="0"/>
        <w:jc w:val="both"/>
        <w:rPr>
          <w:rFonts w:ascii="Palatino Linotype" w:eastAsia="Palatino Linotype" w:hAnsi="Palatino Linotype" w:cs="Palatino Linotype"/>
          <w:i/>
          <w:iCs/>
        </w:rPr>
      </w:pPr>
      <w:r w:rsidRPr="00C35E9E">
        <w:rPr>
          <w:rFonts w:ascii="Palatino Linotype" w:eastAsia="Palatino Linotype" w:hAnsi="Palatino Linotype" w:cs="Palatino Linotype"/>
        </w:rPr>
        <w:t xml:space="preserve">En virtud del análisis de las documentales entregadas a través de informe justificado, al haber remitido los documentos en los que se advierte el PLIEGO PETIORIO IDENTIDAD, DIVERSIDAD Y DERECHOS LGBTTTIQA+ y el </w:t>
      </w:r>
      <w:r w:rsidRPr="00C35E9E">
        <w:rPr>
          <w:rFonts w:ascii="Palatino Linotype" w:eastAsia="Palatino Linotype" w:hAnsi="Palatino Linotype" w:cs="Palatino Linotype"/>
          <w:color w:val="000000"/>
        </w:rPr>
        <w:t xml:space="preserve">PLAN DE TRABAJO ANUAL. DEPARTAMENTO DE IDENTIDAD, DIVERSIDAD Y DERECHOS LGBTTTIQA+, información que es de interés para el solicitante, </w:t>
      </w:r>
      <w:r w:rsidRPr="00C35E9E">
        <w:rPr>
          <w:rFonts w:ascii="Palatino Linotype" w:eastAsia="Palatino Linotype" w:hAnsi="Palatino Linotype" w:cs="Palatino Linotype"/>
          <w:b/>
          <w:bCs/>
          <w:color w:val="000000"/>
        </w:rPr>
        <w:t>se tienen por colmados estos puntos de solicitud</w:t>
      </w:r>
      <w:r w:rsidRPr="00C35E9E">
        <w:rPr>
          <w:rFonts w:ascii="Palatino Linotype" w:eastAsia="Palatino Linotype" w:hAnsi="Palatino Linotype" w:cs="Palatino Linotype"/>
          <w:color w:val="000000"/>
        </w:rPr>
        <w:t>.</w:t>
      </w:r>
    </w:p>
    <w:p w:rsidR="007D029B" w:rsidRPr="00C35E9E" w:rsidRDefault="007D029B">
      <w:pPr>
        <w:spacing w:line="360" w:lineRule="auto"/>
        <w:ind w:right="-787"/>
        <w:jc w:val="both"/>
        <w:rPr>
          <w:rFonts w:ascii="Palatino Linotype" w:eastAsia="Palatino Linotype" w:hAnsi="Palatino Linotype" w:cs="Palatino Linotype"/>
          <w:i/>
          <w:iCs/>
        </w:rPr>
      </w:pPr>
    </w:p>
    <w:p w:rsidR="007D029B" w:rsidRPr="00C35E9E" w:rsidRDefault="00622048">
      <w:pPr>
        <w:numPr>
          <w:ilvl w:val="0"/>
          <w:numId w:val="4"/>
        </w:numPr>
        <w:spacing w:line="360" w:lineRule="auto"/>
        <w:ind w:left="0" w:right="-787" w:firstLine="0"/>
        <w:jc w:val="both"/>
        <w:rPr>
          <w:rFonts w:ascii="Palatino Linotype" w:eastAsia="Palatino Linotype" w:hAnsi="Palatino Linotype" w:cs="Palatino Linotype"/>
          <w:b/>
          <w:bCs/>
          <w:i/>
          <w:iCs/>
        </w:rPr>
      </w:pPr>
      <w:r w:rsidRPr="00C35E9E">
        <w:rPr>
          <w:rFonts w:ascii="Palatino Linotype" w:eastAsia="Palatino Linotype" w:hAnsi="Palatino Linotype" w:cs="Palatino Linotype"/>
        </w:rPr>
        <w:t xml:space="preserve">Ahora bien, respecto del punto de solicitud </w:t>
      </w:r>
      <w:r w:rsidRPr="00C35E9E">
        <w:rPr>
          <w:rFonts w:ascii="Palatino Linotype" w:eastAsia="Palatino Linotype" w:hAnsi="Palatino Linotype" w:cs="Palatino Linotype"/>
          <w:i/>
          <w:iCs/>
          <w:u w:val="single"/>
        </w:rPr>
        <w:t>Informe de los avances respecto a los acuerdos establecidos en el "Foro de escucha de necesidades de la población LGBTTTIQA+ de Nicolás Romero" llevado a cabo el 07 de febrero del presente año</w:t>
      </w:r>
      <w:r w:rsidRPr="00C35E9E">
        <w:rPr>
          <w:rFonts w:ascii="Palatino Linotype" w:eastAsia="Palatino Linotype" w:hAnsi="Palatino Linotype" w:cs="Palatino Linotype"/>
        </w:rPr>
        <w:t xml:space="preserve">, el Sujeto Obligado a través de respuesta primigenia se señaló que </w:t>
      </w:r>
      <w:r w:rsidRPr="00C35E9E">
        <w:rPr>
          <w:rFonts w:ascii="Palatino Linotype" w:eastAsia="Palatino Linotype" w:hAnsi="Palatino Linotype" w:cs="Palatino Linotype"/>
          <w:i/>
          <w:iCs/>
        </w:rPr>
        <w:t xml:space="preserve">toda vez que en dicho evento no se cumplimentó con el aforo mínimo de personas que amerita un "foro", </w:t>
      </w:r>
      <w:r w:rsidRPr="00C35E9E">
        <w:rPr>
          <w:rFonts w:ascii="Palatino Linotype" w:eastAsia="Palatino Linotype" w:hAnsi="Palatino Linotype" w:cs="Palatino Linotype"/>
          <w:b/>
          <w:bCs/>
          <w:i/>
          <w:iCs/>
        </w:rPr>
        <w:t>se llevó a cabo una actividad de escucha activa</w:t>
      </w:r>
      <w:r w:rsidRPr="00C35E9E">
        <w:rPr>
          <w:rFonts w:ascii="Palatino Linotype" w:eastAsia="Palatino Linotype" w:hAnsi="Palatino Linotype" w:cs="Palatino Linotype"/>
          <w:i/>
          <w:iCs/>
        </w:rPr>
        <w:t xml:space="preserve"> con las personas de la sociedad civil que asistieron. Asimismo, tras una búsqueda exhaustiva de información se logró identificar que n</w:t>
      </w:r>
      <w:r w:rsidRPr="00C35E9E">
        <w:rPr>
          <w:rFonts w:ascii="Palatino Linotype" w:eastAsia="Palatino Linotype" w:hAnsi="Palatino Linotype" w:cs="Palatino Linotype"/>
          <w:b/>
          <w:bCs/>
          <w:i/>
          <w:iCs/>
        </w:rPr>
        <w:t>o se generaron acuerdos formales derivados del evento mencionado</w:t>
      </w:r>
      <w:r w:rsidRPr="00C35E9E">
        <w:rPr>
          <w:rFonts w:ascii="Palatino Linotype" w:eastAsia="Palatino Linotype" w:hAnsi="Palatino Linotype" w:cs="Palatino Linotype"/>
        </w:rPr>
        <w:t xml:space="preserve">, posteriormente, a través de </w:t>
      </w:r>
      <w:r w:rsidRPr="00C35E9E">
        <w:rPr>
          <w:rFonts w:ascii="Palatino Linotype" w:eastAsia="Palatino Linotype" w:hAnsi="Palatino Linotype" w:cs="Palatino Linotype"/>
        </w:rPr>
        <w:lastRenderedPageBreak/>
        <w:t xml:space="preserve">informe justificado señaló que </w:t>
      </w:r>
      <w:r w:rsidRPr="00C35E9E">
        <w:rPr>
          <w:rFonts w:ascii="Palatino Linotype" w:eastAsia="Palatino Linotype" w:hAnsi="Palatino Linotype" w:cs="Palatino Linotype"/>
          <w:i/>
          <w:iCs/>
        </w:rPr>
        <w:t xml:space="preserve">Tras una búsqueda exhaustiva </w:t>
      </w:r>
      <w:r w:rsidRPr="00C35E9E">
        <w:rPr>
          <w:rFonts w:ascii="Palatino Linotype" w:eastAsia="Palatino Linotype" w:hAnsi="Palatino Linotype" w:cs="Palatino Linotype"/>
          <w:b/>
          <w:bCs/>
          <w:i/>
          <w:iCs/>
        </w:rPr>
        <w:t>se logró identificar la información relativa a lo mencionado en la página de Facebook del Gobierno Municipal</w:t>
      </w:r>
      <w:r w:rsidRPr="00C35E9E">
        <w:rPr>
          <w:rFonts w:ascii="Palatino Linotype" w:eastAsia="Palatino Linotype" w:hAnsi="Palatino Linotype" w:cs="Palatino Linotype"/>
          <w:i/>
          <w:iCs/>
        </w:rPr>
        <w:t xml:space="preserve">. </w:t>
      </w:r>
      <w:r w:rsidRPr="00C35E9E">
        <w:rPr>
          <w:rFonts w:ascii="Palatino Linotype" w:eastAsia="Palatino Linotype" w:hAnsi="Palatino Linotype" w:cs="Palatino Linotype"/>
          <w:b/>
          <w:bCs/>
          <w:i/>
          <w:iCs/>
        </w:rPr>
        <w:t>Por lo cual, en seguimiento al asunto que nos ocupa, se anexa al presente, copia del oficio dirigido a la Dirección de Desarrollo Económico, mediante el cual la presente Dependencia solicita conocer si existe información respecto a la ampliación de los Nicocréditos y si tal acción prevé la extensión y/o participación de las poblaciones LGBTTTIQA+</w:t>
      </w:r>
      <w:r w:rsidRPr="00C35E9E">
        <w:rPr>
          <w:rFonts w:ascii="Palatino Linotype" w:eastAsia="Palatino Linotype" w:hAnsi="Palatino Linotype" w:cs="Palatino Linotype"/>
          <w:b/>
          <w:bCs/>
        </w:rPr>
        <w:t xml:space="preserve">, </w:t>
      </w:r>
      <w:r w:rsidRPr="00C35E9E">
        <w:rPr>
          <w:rFonts w:ascii="Palatino Linotype" w:eastAsia="Palatino Linotype" w:hAnsi="Palatino Linotype" w:cs="Palatino Linotype"/>
        </w:rPr>
        <w:t>adjuntando el mencionado oficio tal como se muestra en la imagen siguiente:</w:t>
      </w:r>
    </w:p>
    <w:p w:rsidR="007D029B" w:rsidRPr="00C35E9E" w:rsidRDefault="007D029B">
      <w:pPr>
        <w:spacing w:line="360" w:lineRule="auto"/>
        <w:ind w:right="-787"/>
        <w:jc w:val="both"/>
        <w:rPr>
          <w:rFonts w:ascii="Palatino Linotype" w:eastAsia="Palatino Linotype" w:hAnsi="Palatino Linotype" w:cs="Palatino Linotype"/>
        </w:rPr>
      </w:pPr>
    </w:p>
    <w:p w:rsidR="007D029B" w:rsidRPr="00C35E9E" w:rsidRDefault="00622048">
      <w:pPr>
        <w:spacing w:line="360" w:lineRule="auto"/>
        <w:ind w:right="-787"/>
        <w:jc w:val="center"/>
        <w:rPr>
          <w:rFonts w:ascii="Palatino Linotype" w:eastAsia="Palatino Linotype" w:hAnsi="Palatino Linotype" w:cs="Palatino Linotype"/>
        </w:rPr>
      </w:pPr>
      <w:r w:rsidRPr="00C35E9E">
        <w:rPr>
          <w:rFonts w:ascii="Palatino Linotype" w:eastAsia="Palatino Linotype" w:hAnsi="Palatino Linotype" w:cs="Palatino Linotype"/>
          <w:noProof/>
          <w:lang w:val="es-MX"/>
        </w:rPr>
        <w:drawing>
          <wp:inline distT="0" distB="0" distL="0" distR="0">
            <wp:extent cx="4559442" cy="4840100"/>
            <wp:effectExtent l="0" t="0" r="0" b="0"/>
            <wp:docPr id="4"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8"/>
                    <a:srcRect/>
                    <a:stretch>
                      <a:fillRect/>
                    </a:stretch>
                  </pic:blipFill>
                  <pic:spPr>
                    <a:xfrm>
                      <a:off x="0" y="0"/>
                      <a:ext cx="4559442" cy="4840100"/>
                    </a:xfrm>
                    <a:prstGeom prst="rect">
                      <a:avLst/>
                    </a:prstGeom>
                    <a:ln/>
                  </pic:spPr>
                </pic:pic>
              </a:graphicData>
            </a:graphic>
          </wp:inline>
        </w:drawing>
      </w:r>
    </w:p>
    <w:p w:rsidR="007D029B" w:rsidRPr="00C35E9E" w:rsidRDefault="00622048">
      <w:pPr>
        <w:numPr>
          <w:ilvl w:val="0"/>
          <w:numId w:val="4"/>
        </w:numPr>
        <w:spacing w:line="360" w:lineRule="auto"/>
        <w:ind w:left="0" w:right="-787" w:firstLine="0"/>
        <w:jc w:val="both"/>
        <w:rPr>
          <w:rFonts w:ascii="Palatino Linotype" w:eastAsia="Palatino Linotype" w:hAnsi="Palatino Linotype" w:cs="Palatino Linotype"/>
          <w:i/>
          <w:iCs/>
        </w:rPr>
      </w:pPr>
      <w:r w:rsidRPr="00C35E9E">
        <w:rPr>
          <w:rFonts w:ascii="Palatino Linotype" w:eastAsia="Palatino Linotype" w:hAnsi="Palatino Linotype" w:cs="Palatino Linotype"/>
        </w:rPr>
        <w:lastRenderedPageBreak/>
        <w:t xml:space="preserve">Tal documento se encuentra firmado por el Jefe del Departamento de Identidad, Diversidad y Derechos LGBTTTIQA+ y la Directora de las Mujeres, Inclusión y Equidad, dirigido al Director de Desarrollo Económico en el que solicita: </w:t>
      </w:r>
      <w:r w:rsidRPr="00C35E9E">
        <w:rPr>
          <w:rFonts w:ascii="Palatino Linotype" w:eastAsia="Palatino Linotype" w:hAnsi="Palatino Linotype" w:cs="Palatino Linotype"/>
          <w:i/>
          <w:iCs/>
        </w:rPr>
        <w:t>“…se sirva informar si dentro de los programas de Nicocréditos se han considerado, o se tiene contemplado próximamente, ampliar los criterios de acceso con el propósito de beneficiar de manera directa a las poblaciones de la diversidad sexual y de género del municipio.”</w:t>
      </w:r>
      <w:r w:rsidRPr="00C35E9E">
        <w:rPr>
          <w:rFonts w:ascii="Palatino Linotype" w:eastAsia="Palatino Linotype" w:hAnsi="Palatino Linotype" w:cs="Palatino Linotype"/>
        </w:rPr>
        <w:t>; no obstante tal documental no se puede tener como válida para colmar el punto de solicitud impugnado, toda vez que aún persiste la falta de información entregada al particular sobre los avances respecto a los acuerdos establecidos en el Foro de referencia.</w:t>
      </w:r>
    </w:p>
    <w:p w:rsidR="007D029B" w:rsidRPr="00C35E9E" w:rsidRDefault="007D029B">
      <w:pPr>
        <w:spacing w:line="360" w:lineRule="auto"/>
        <w:ind w:right="-787"/>
        <w:jc w:val="both"/>
        <w:rPr>
          <w:rFonts w:ascii="Palatino Linotype" w:eastAsia="Palatino Linotype" w:hAnsi="Palatino Linotype" w:cs="Palatino Linotype"/>
          <w:i/>
          <w:iCs/>
        </w:rPr>
      </w:pPr>
    </w:p>
    <w:p w:rsidR="007D029B" w:rsidRPr="00C35E9E" w:rsidRDefault="00622048">
      <w:pPr>
        <w:numPr>
          <w:ilvl w:val="0"/>
          <w:numId w:val="4"/>
        </w:numPr>
        <w:spacing w:line="360" w:lineRule="auto"/>
        <w:ind w:left="0" w:right="-787" w:firstLine="0"/>
        <w:jc w:val="both"/>
        <w:rPr>
          <w:rFonts w:ascii="Palatino Linotype" w:eastAsia="Palatino Linotype" w:hAnsi="Palatino Linotype" w:cs="Palatino Linotype"/>
          <w:i/>
          <w:iCs/>
        </w:rPr>
      </w:pPr>
      <w:r w:rsidRPr="00C35E9E">
        <w:rPr>
          <w:rFonts w:ascii="Palatino Linotype" w:eastAsia="Palatino Linotype" w:hAnsi="Palatino Linotype" w:cs="Palatino Linotype"/>
        </w:rPr>
        <w:t>Asimismo, si bien el particular anexó una captura de pantalla de una publicación de la página de Facebook del Sujeto Obligado, esta Ponencia realizó una búsqueda al respecto del tema, localizando una nota periodística en la página web de “La entrevista Estado de México”, titulada “</w:t>
      </w:r>
      <w:r w:rsidRPr="00C35E9E">
        <w:rPr>
          <w:rFonts w:ascii="Palatino Linotype" w:eastAsia="Palatino Linotype" w:hAnsi="Palatino Linotype" w:cs="Palatino Linotype"/>
          <w:b/>
          <w:bCs/>
        </w:rPr>
        <w:t>Alcaldesa de Nicolás Romero reitera apoyo a las personas  de la comunidad LGBTTTIQA+”</w:t>
      </w:r>
      <w:r w:rsidRPr="00C35E9E">
        <w:rPr>
          <w:rFonts w:ascii="Palatino Linotype" w:eastAsia="Palatino Linotype" w:hAnsi="Palatino Linotype" w:cs="Palatino Linotype"/>
        </w:rPr>
        <w:t xml:space="preserve">, de fecha 14 de febrero de 2025, en la que se menciona </w:t>
      </w:r>
      <w:r w:rsidRPr="00C35E9E">
        <w:rPr>
          <w:rFonts w:ascii="Palatino Linotype" w:eastAsia="Palatino Linotype" w:hAnsi="Palatino Linotype" w:cs="Palatino Linotype"/>
          <w:i/>
          <w:iCs/>
        </w:rPr>
        <w:t xml:space="preserve">“Además, </w:t>
      </w:r>
      <w:r w:rsidRPr="00C35E9E">
        <w:rPr>
          <w:rFonts w:ascii="Palatino Linotype" w:eastAsia="Palatino Linotype" w:hAnsi="Palatino Linotype" w:cs="Palatino Linotype"/>
          <w:b/>
          <w:bCs/>
          <w:i/>
          <w:iCs/>
          <w:u w:val="single"/>
        </w:rPr>
        <w:t>la edil anunció que el programa “Nicocréditos”, actualmente exclusivo para mujeres emprendedoras, podrá ampliarse y beneficiar a esta comunidad, para que inicien o fortalezcan un negocio</w:t>
      </w:r>
      <w:r w:rsidRPr="00C35E9E">
        <w:rPr>
          <w:rFonts w:ascii="Palatino Linotype" w:eastAsia="Palatino Linotype" w:hAnsi="Palatino Linotype" w:cs="Palatino Linotype"/>
          <w:i/>
          <w:iCs/>
        </w:rPr>
        <w:t>. Al foro también acudieron funcionarios municipales, del gobierno estatal y miembros del cabildo.” (Sic)</w:t>
      </w:r>
      <w:r w:rsidRPr="00C35E9E">
        <w:rPr>
          <w:rFonts w:ascii="Palatino Linotype" w:eastAsia="Palatino Linotype" w:hAnsi="Palatino Linotype" w:cs="Palatino Linotype"/>
        </w:rPr>
        <w:t xml:space="preserve">¸consultable en el link </w:t>
      </w:r>
      <w:hyperlink r:id="rId9">
        <w:r w:rsidRPr="00C35E9E">
          <w:rPr>
            <w:rFonts w:ascii="Palatino Linotype" w:eastAsia="Palatino Linotype" w:hAnsi="Palatino Linotype" w:cs="Palatino Linotype"/>
            <w:color w:val="0563C1"/>
            <w:u w:val="single"/>
          </w:rPr>
          <w:t>https://laentrevistaenlinea.com/alcaldesa-de-nicolas-romero-reitera-apoyo-a-las-personas-de-la-comunidad-lgbtttiqa/</w:t>
        </w:r>
      </w:hyperlink>
      <w:r w:rsidRPr="00C35E9E">
        <w:rPr>
          <w:rFonts w:ascii="Palatino Linotype" w:eastAsia="Palatino Linotype" w:hAnsi="Palatino Linotype" w:cs="Palatino Linotype"/>
        </w:rPr>
        <w:t xml:space="preserve">  , en la página web “impressiones mx”, titulada </w:t>
      </w:r>
      <w:r w:rsidRPr="00C35E9E">
        <w:rPr>
          <w:rFonts w:ascii="Palatino Linotype" w:eastAsia="Palatino Linotype" w:hAnsi="Palatino Linotype" w:cs="Palatino Linotype"/>
          <w:b/>
          <w:bCs/>
        </w:rPr>
        <w:t>Nicolás Romero en apoyo a la comunidad LGBTTTIQA+</w:t>
      </w:r>
      <w:r w:rsidRPr="00C35E9E">
        <w:rPr>
          <w:rFonts w:ascii="Palatino Linotype" w:eastAsia="Palatino Linotype" w:hAnsi="Palatino Linotype" w:cs="Palatino Linotype"/>
        </w:rPr>
        <w:t xml:space="preserve">, de fecha 13 de febrero de 2025, en la que se menciona </w:t>
      </w:r>
      <w:r w:rsidRPr="00C35E9E">
        <w:rPr>
          <w:rFonts w:ascii="Palatino Linotype" w:eastAsia="Palatino Linotype" w:hAnsi="Palatino Linotype" w:cs="Palatino Linotype"/>
          <w:i/>
          <w:iCs/>
        </w:rPr>
        <w:t>“En este marco, la alcaldesa anunció la </w:t>
      </w:r>
      <w:r w:rsidRPr="00C35E9E">
        <w:rPr>
          <w:rFonts w:ascii="Palatino Linotype" w:eastAsia="Palatino Linotype" w:hAnsi="Palatino Linotype" w:cs="Palatino Linotype"/>
          <w:b/>
          <w:bCs/>
          <w:i/>
          <w:iCs/>
        </w:rPr>
        <w:t>posible ampliación del programa «Nicocréditos»</w:t>
      </w:r>
      <w:r w:rsidRPr="00C35E9E">
        <w:rPr>
          <w:rFonts w:ascii="Palatino Linotype" w:eastAsia="Palatino Linotype" w:hAnsi="Palatino Linotype" w:cs="Palatino Linotype"/>
          <w:i/>
          <w:iCs/>
        </w:rPr>
        <w:t>, actualmente destinado a mujeres emprendedoras, para que también beneficie a la comunidad </w:t>
      </w:r>
      <w:r w:rsidRPr="00C35E9E">
        <w:rPr>
          <w:rFonts w:ascii="Palatino Linotype" w:eastAsia="Palatino Linotype" w:hAnsi="Palatino Linotype" w:cs="Palatino Linotype"/>
          <w:b/>
          <w:bCs/>
          <w:i/>
          <w:iCs/>
        </w:rPr>
        <w:t>LGBTTTIQA+</w:t>
      </w:r>
      <w:r w:rsidRPr="00C35E9E">
        <w:rPr>
          <w:rFonts w:ascii="Palatino Linotype" w:eastAsia="Palatino Linotype" w:hAnsi="Palatino Linotype" w:cs="Palatino Linotype"/>
          <w:i/>
          <w:iCs/>
        </w:rPr>
        <w:t xml:space="preserve">, impulsando así el inicio o fortalecimiento de sus negocios.( </w:t>
      </w:r>
      <w:r w:rsidRPr="00C35E9E">
        <w:rPr>
          <w:rFonts w:ascii="Palatino Linotype" w:eastAsia="Palatino Linotype" w:hAnsi="Palatino Linotype" w:cs="Palatino Linotype"/>
          <w:i/>
          <w:iCs/>
        </w:rPr>
        <w:lastRenderedPageBreak/>
        <w:t xml:space="preserve">Sic), </w:t>
      </w:r>
      <w:r w:rsidRPr="00C35E9E">
        <w:rPr>
          <w:rFonts w:ascii="Palatino Linotype" w:eastAsia="Palatino Linotype" w:hAnsi="Palatino Linotype" w:cs="Palatino Linotype"/>
        </w:rPr>
        <w:t xml:space="preserve">consultable en el link </w:t>
      </w:r>
      <w:hyperlink r:id="rId10">
        <w:r w:rsidRPr="00C35E9E">
          <w:rPr>
            <w:rFonts w:ascii="Palatino Linotype" w:eastAsia="Palatino Linotype" w:hAnsi="Palatino Linotype" w:cs="Palatino Linotype"/>
            <w:color w:val="0563C1"/>
            <w:u w:val="single"/>
          </w:rPr>
          <w:t>https://impressiones.com.mx/nicolas-romero-en-apoyo-a-la-comunidad-lgbtttiqa/</w:t>
        </w:r>
      </w:hyperlink>
      <w:r w:rsidRPr="00C35E9E">
        <w:rPr>
          <w:rFonts w:ascii="Palatino Linotype" w:eastAsia="Palatino Linotype" w:hAnsi="Palatino Linotype" w:cs="Palatino Linotype"/>
        </w:rPr>
        <w:t xml:space="preserve">  tal como se muestra en las imágenes siguientes:</w:t>
      </w:r>
    </w:p>
    <w:p w:rsidR="007D029B" w:rsidRPr="00C35E9E" w:rsidRDefault="00622048">
      <w:pPr>
        <w:spacing w:line="360" w:lineRule="auto"/>
        <w:ind w:right="-787"/>
        <w:jc w:val="center"/>
        <w:rPr>
          <w:rFonts w:ascii="Palatino Linotype" w:eastAsia="Palatino Linotype" w:hAnsi="Palatino Linotype" w:cs="Palatino Linotype"/>
          <w:i/>
          <w:iCs/>
        </w:rPr>
      </w:pPr>
      <w:r w:rsidRPr="00C35E9E">
        <w:rPr>
          <w:rFonts w:ascii="Palatino Linotype" w:eastAsia="Palatino Linotype" w:hAnsi="Palatino Linotype" w:cs="Palatino Linotype"/>
          <w:i/>
          <w:iCs/>
          <w:noProof/>
          <w:lang w:val="es-MX"/>
        </w:rPr>
        <w:drawing>
          <wp:inline distT="0" distB="0" distL="0" distR="0">
            <wp:extent cx="2802986" cy="3056849"/>
            <wp:effectExtent l="0" t="0" r="0" b="0"/>
            <wp:docPr id="6"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1"/>
                    <a:srcRect/>
                    <a:stretch>
                      <a:fillRect/>
                    </a:stretch>
                  </pic:blipFill>
                  <pic:spPr>
                    <a:xfrm>
                      <a:off x="0" y="0"/>
                      <a:ext cx="2802986" cy="3056849"/>
                    </a:xfrm>
                    <a:prstGeom prst="rect">
                      <a:avLst/>
                    </a:prstGeom>
                    <a:ln/>
                  </pic:spPr>
                </pic:pic>
              </a:graphicData>
            </a:graphic>
          </wp:inline>
        </w:drawing>
      </w:r>
    </w:p>
    <w:p w:rsidR="007D029B" w:rsidRPr="00C35E9E" w:rsidRDefault="00622048">
      <w:pPr>
        <w:spacing w:line="360" w:lineRule="auto"/>
        <w:ind w:right="-787"/>
        <w:jc w:val="center"/>
        <w:rPr>
          <w:rFonts w:ascii="Palatino Linotype" w:eastAsia="Palatino Linotype" w:hAnsi="Palatino Linotype" w:cs="Palatino Linotype"/>
          <w:i/>
          <w:iCs/>
        </w:rPr>
      </w:pPr>
      <w:r w:rsidRPr="00C35E9E">
        <w:rPr>
          <w:rFonts w:ascii="Palatino Linotype" w:eastAsia="Palatino Linotype" w:hAnsi="Palatino Linotype" w:cs="Palatino Linotype"/>
          <w:i/>
          <w:iCs/>
          <w:noProof/>
          <w:lang w:val="es-MX"/>
        </w:rPr>
        <w:drawing>
          <wp:inline distT="0" distB="0" distL="0" distR="0">
            <wp:extent cx="2971909" cy="3335814"/>
            <wp:effectExtent l="0" t="0" r="0" b="0"/>
            <wp:docPr id="5"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2"/>
                    <a:srcRect/>
                    <a:stretch>
                      <a:fillRect/>
                    </a:stretch>
                  </pic:blipFill>
                  <pic:spPr>
                    <a:xfrm>
                      <a:off x="0" y="0"/>
                      <a:ext cx="2971909" cy="3335814"/>
                    </a:xfrm>
                    <a:prstGeom prst="rect">
                      <a:avLst/>
                    </a:prstGeom>
                    <a:ln/>
                  </pic:spPr>
                </pic:pic>
              </a:graphicData>
            </a:graphic>
          </wp:inline>
        </w:drawing>
      </w:r>
    </w:p>
    <w:p w:rsidR="007D029B" w:rsidRPr="00C35E9E" w:rsidRDefault="00622048">
      <w:pPr>
        <w:numPr>
          <w:ilvl w:val="0"/>
          <w:numId w:val="4"/>
        </w:numPr>
        <w:spacing w:line="360" w:lineRule="auto"/>
        <w:ind w:left="0" w:right="-787" w:firstLine="0"/>
        <w:jc w:val="both"/>
        <w:rPr>
          <w:color w:val="000000"/>
        </w:rPr>
      </w:pPr>
      <w:r w:rsidRPr="00C35E9E">
        <w:rPr>
          <w:rFonts w:ascii="Palatino Linotype" w:eastAsia="Palatino Linotype" w:hAnsi="Palatino Linotype" w:cs="Palatino Linotype"/>
          <w:color w:val="000000"/>
        </w:rPr>
        <w:lastRenderedPageBreak/>
        <w:t xml:space="preserve">Al respecto </w:t>
      </w:r>
      <w:r w:rsidRPr="00C35E9E">
        <w:rPr>
          <w:rFonts w:ascii="Palatino Linotype" w:eastAsia="Palatino Linotype" w:hAnsi="Palatino Linotype" w:cs="Palatino Linotype"/>
        </w:rPr>
        <w:t>conviene</w:t>
      </w:r>
      <w:r w:rsidRPr="00C35E9E">
        <w:rPr>
          <w:rFonts w:ascii="Palatino Linotype" w:eastAsia="Palatino Linotype" w:hAnsi="Palatino Linotype" w:cs="Palatino Linotype"/>
          <w:color w:val="000000"/>
        </w:rPr>
        <w:t xml:space="preserve"> señalar que, si bien es cierto, las notas periodísticas o publicaciones plasmadas en la red de Internet constituyen el Derecho a la Libre Expresión de los profesionales en la materia (artículo 7 de la Constitución Política de los Estados Unidos Mexicanos), en los que se plasman opiniones, señalamientos o comentarios respecto de diversos hechos que se suscitan en un lugar y tiempo determinados, también lo es que dichas publicaciones encontrada por la ponencia arrojan indicios sobre los hechos a que se refieren. Sirve de apoyo a lo anterior, la Jurisprudencia y Tesis Aisladas que enseguida se reproducen: </w:t>
      </w:r>
    </w:p>
    <w:p w:rsidR="007D029B" w:rsidRPr="00C35E9E" w:rsidRDefault="00622048">
      <w:pPr>
        <w:ind w:left="567" w:right="-716"/>
        <w:jc w:val="both"/>
        <w:rPr>
          <w:rFonts w:ascii="Palatino Linotype" w:eastAsia="Palatino Linotype" w:hAnsi="Palatino Linotype" w:cs="Palatino Linotype"/>
          <w:i/>
          <w:iCs/>
        </w:rPr>
      </w:pPr>
      <w:r w:rsidRPr="00C35E9E">
        <w:rPr>
          <w:rFonts w:ascii="Palatino Linotype" w:eastAsia="Palatino Linotype" w:hAnsi="Palatino Linotype" w:cs="Palatino Linotype"/>
          <w:b/>
          <w:bCs/>
          <w:i/>
          <w:iCs/>
        </w:rPr>
        <w:t>“NOTAS PERIODÍSTICAS. ELEMENTOS PARA DETERMINAR SU FUERZA INDICIARIA.</w:t>
      </w:r>
      <w:r w:rsidRPr="00C35E9E">
        <w:rPr>
          <w:rFonts w:ascii="Palatino Linotype" w:eastAsia="Palatino Linotype" w:hAnsi="Palatino Linotype" w:cs="Palatino Linotype"/>
          <w:i/>
          <w:iCs/>
        </w:rPr>
        <w:t xml:space="preserve"> Los medios probatorios que se hacen consistir en notas periodísticas, sólo pueden arrojar indicios sobre los hechos a que se refieren, pero para calificar si se trata de indicios simples o de indicios de mayor grado convictivo, el juzgador debe ponderar las circunstancias existentes en cada caso concreto. Así, si se aportaron varias notas, provenientes de distintos órganos de información, atribuidas a diferentes autores y coincidentes en lo sustancial, y si además no obra constancia de que el afectado con su contenido haya ofrecido algún mentís sobre lo que en las noticias se le atribuye, y en el juicio donde se presenten se concreta a manifestar que esos medios informativos carecen de valor probatorio, pero omite pronunciarse sobre la certeza o falsedad de los hechos consignados en ellos, al sopesar todas esas circunstancias con la aplicación de las reglas de la lógica, la sana crítica y las máximas de experiencia, en términos del artículo 16, apartado 1, de la Ley General del Sistema de Medios de Impugnación en Materia Electoral, o de la ley que sea aplicable, esto permite otorgar mayor calidad indiciaria a los citados medios de prueba, y por tanto, a que los elementos faltantes para alcanzar la fuerza probatoria plena sean menores que en los casos en que no medien tales circunstancias.” </w:t>
      </w:r>
    </w:p>
    <w:p w:rsidR="007D029B" w:rsidRPr="00C35E9E" w:rsidRDefault="007D029B">
      <w:pPr>
        <w:spacing w:line="360" w:lineRule="auto"/>
        <w:ind w:left="567" w:right="822"/>
        <w:jc w:val="both"/>
        <w:rPr>
          <w:rFonts w:ascii="Palatino Linotype" w:eastAsia="Palatino Linotype" w:hAnsi="Palatino Linotype" w:cs="Palatino Linotype"/>
          <w:i/>
          <w:iCs/>
        </w:rPr>
      </w:pPr>
    </w:p>
    <w:p w:rsidR="007D029B" w:rsidRPr="00C35E9E" w:rsidRDefault="00622048">
      <w:pPr>
        <w:ind w:left="567" w:right="-716"/>
        <w:jc w:val="both"/>
        <w:rPr>
          <w:rFonts w:ascii="Palatino Linotype" w:eastAsia="Palatino Linotype" w:hAnsi="Palatino Linotype" w:cs="Palatino Linotype"/>
          <w:i/>
          <w:iCs/>
        </w:rPr>
      </w:pPr>
      <w:r w:rsidRPr="00C35E9E">
        <w:rPr>
          <w:rFonts w:ascii="Palatino Linotype" w:eastAsia="Palatino Linotype" w:hAnsi="Palatino Linotype" w:cs="Palatino Linotype"/>
          <w:b/>
          <w:bCs/>
          <w:i/>
          <w:iCs/>
        </w:rPr>
        <w:t xml:space="preserve">INDICIO. CONCEPTO DE. </w:t>
      </w:r>
      <w:r w:rsidRPr="00C35E9E">
        <w:rPr>
          <w:rFonts w:ascii="Palatino Linotype" w:eastAsia="Palatino Linotype" w:hAnsi="Palatino Linotype" w:cs="Palatino Linotype"/>
          <w:i/>
          <w:iCs/>
        </w:rPr>
        <w:t xml:space="preserve">El "indicio" es una circunstancia cierta de la que se puede sacar, por inducción lógica, una conclusión acerca de la existencia (o inexistencia) de un hecho a probar; por tanto, la convicción indiciaria se basa en un silogismo en el que la premisa mayor (abstracta y problemática), se funda en la experiencia o en el sentido común, la premisa menor (concreta y cierta) se apoya o constituye la comprobación del hecho, y la conclusión, sacada de la referencia de la premisa menor a la premisa mayor, el indicio, por consiguiente, se diferencia de la presunción en que el dato genérico y probable agrega el dato específico y cierto, a lo abstracto une lo concreto; de lo que antecede ya se desprende sin dificultad que requisito primordial de la prueba indiciaria es la certeza de la circunstancia indiciante, o sea, que el indicio presupone </w:t>
      </w:r>
      <w:r w:rsidRPr="00C35E9E">
        <w:rPr>
          <w:rFonts w:ascii="Palatino Linotype" w:eastAsia="Palatino Linotype" w:hAnsi="Palatino Linotype" w:cs="Palatino Linotype"/>
          <w:i/>
          <w:iCs/>
        </w:rPr>
        <w:lastRenderedPageBreak/>
        <w:t xml:space="preserve">necesariamente la demostración de circunstancias indispensables por las que se arguye indirecta pero lógicamente el hecho que hay que probar mediante un proceso deductivo, con la misma certeza que da la prueba directa. </w:t>
      </w:r>
    </w:p>
    <w:p w:rsidR="007D029B" w:rsidRPr="00C35E9E" w:rsidRDefault="007D029B">
      <w:pPr>
        <w:spacing w:line="360" w:lineRule="auto"/>
        <w:ind w:left="567" w:right="822"/>
        <w:jc w:val="both"/>
        <w:rPr>
          <w:rFonts w:ascii="Palatino Linotype" w:eastAsia="Palatino Linotype" w:hAnsi="Palatino Linotype" w:cs="Palatino Linotype"/>
          <w:i/>
          <w:iCs/>
        </w:rPr>
      </w:pPr>
    </w:p>
    <w:p w:rsidR="007D029B" w:rsidRPr="00C35E9E" w:rsidRDefault="00622048">
      <w:pPr>
        <w:ind w:left="567" w:right="-574"/>
        <w:jc w:val="both"/>
        <w:rPr>
          <w:rFonts w:ascii="Palatino Linotype" w:eastAsia="Palatino Linotype" w:hAnsi="Palatino Linotype" w:cs="Palatino Linotype"/>
          <w:i/>
          <w:iCs/>
        </w:rPr>
      </w:pPr>
      <w:r w:rsidRPr="00C35E9E">
        <w:rPr>
          <w:rFonts w:ascii="Palatino Linotype" w:eastAsia="Palatino Linotype" w:hAnsi="Palatino Linotype" w:cs="Palatino Linotype"/>
          <w:i/>
          <w:iCs/>
        </w:rPr>
        <w:t xml:space="preserve">SEGUNDO TRIBUNAL COLEGIADO DEL SEXTO CIRCUITO. </w:t>
      </w:r>
    </w:p>
    <w:p w:rsidR="007D029B" w:rsidRPr="00C35E9E" w:rsidRDefault="00622048">
      <w:pPr>
        <w:ind w:left="567" w:right="-574"/>
        <w:jc w:val="both"/>
        <w:rPr>
          <w:rFonts w:ascii="Palatino Linotype" w:eastAsia="Palatino Linotype" w:hAnsi="Palatino Linotype" w:cs="Palatino Linotype"/>
          <w:i/>
          <w:iCs/>
        </w:rPr>
      </w:pPr>
      <w:r w:rsidRPr="00C35E9E">
        <w:rPr>
          <w:rFonts w:ascii="Palatino Linotype" w:eastAsia="Palatino Linotype" w:hAnsi="Palatino Linotype" w:cs="Palatino Linotype"/>
          <w:i/>
          <w:iCs/>
        </w:rPr>
        <w:t>Amparo directo 317/87. Juan Antonio Ibarra Chaire y coags. 12 de julio de 1988. Unanimidad de votos. Ponente: José Galván Rojas. Secretario: Vicente Martínez Sánchez.</w:t>
      </w:r>
    </w:p>
    <w:p w:rsidR="007D029B" w:rsidRPr="00C35E9E" w:rsidRDefault="007D029B">
      <w:pPr>
        <w:ind w:left="567" w:right="-574"/>
        <w:jc w:val="both"/>
        <w:rPr>
          <w:rFonts w:ascii="Palatino Linotype" w:eastAsia="Palatino Linotype" w:hAnsi="Palatino Linotype" w:cs="Palatino Linotype"/>
          <w:i/>
          <w:iCs/>
        </w:rPr>
      </w:pPr>
    </w:p>
    <w:p w:rsidR="007D029B" w:rsidRPr="00C35E9E" w:rsidRDefault="00622048">
      <w:pPr>
        <w:ind w:left="567" w:right="-574"/>
        <w:jc w:val="both"/>
        <w:rPr>
          <w:rFonts w:ascii="Palatino Linotype" w:eastAsia="Palatino Linotype" w:hAnsi="Palatino Linotype" w:cs="Palatino Linotype"/>
          <w:i/>
          <w:iCs/>
        </w:rPr>
      </w:pPr>
      <w:r w:rsidRPr="00C35E9E">
        <w:rPr>
          <w:rFonts w:ascii="Palatino Linotype" w:eastAsia="Palatino Linotype" w:hAnsi="Palatino Linotype" w:cs="Palatino Linotype"/>
          <w:b/>
          <w:bCs/>
          <w:i/>
          <w:iCs/>
        </w:rPr>
        <w:t xml:space="preserve">INDICIOS. REQUISITOS PARA QUE GENEREN PRESUNCIÓN DE CERTEZA. </w:t>
      </w:r>
      <w:r w:rsidRPr="00C35E9E">
        <w:rPr>
          <w:rFonts w:ascii="Palatino Linotype" w:eastAsia="Palatino Linotype" w:hAnsi="Palatino Linotype" w:cs="Palatino Linotype"/>
          <w:i/>
          <w:iCs/>
        </w:rPr>
        <w:t xml:space="preserve">Nada impide que para acreditar la veracidad de un hecho, el juzgador se valga de una presunción que se derive de varios indicios. En esta hipótesis deben cumplirse los principios de la lógica inferencial de probabilidad, a saber: la fiabilidad de los hechos o datos conocidos, esto es, que no exista duda alguna acerca de su veracidad; la pluralidad de indicios, que se refiere a la necesidad de que existan varios datos que permitan conocer o inferir la existencia de otro no percibido y que conduzcan siempre a una misma conclusión; la pertinencia, que significa que haya relación entre la pluralidad de los datos conocidos; y la coherencia, o sea, que debe existir armonía o concordancia entre los datos mencionados; principios que a su vez encuentran respaldo en el artículo 402 de la ley adjetiva civil para el Distrito Federal que previene que los medios de prueba aportados y admitidos serán valorados en su conjunto por el juzgador, atendiendo a las reglas de la lógica y la experiencia, pues los principios enunciados forman parte tanto de la lógica de probabilidades, como de la experiencia misma, razón por la cual, cuando concurren esas exigencias, y se da un muy alto grado de probabilidad de que los hechos acaecieron en la forma narrada por una de las partes, son aptos para generar la presunción de certeza. </w:t>
      </w:r>
    </w:p>
    <w:p w:rsidR="007D029B" w:rsidRPr="00C35E9E" w:rsidRDefault="007D029B">
      <w:pPr>
        <w:spacing w:line="360" w:lineRule="auto"/>
        <w:ind w:right="-787"/>
        <w:jc w:val="both"/>
        <w:rPr>
          <w:rFonts w:ascii="Palatino Linotype" w:eastAsia="Palatino Linotype" w:hAnsi="Palatino Linotype" w:cs="Palatino Linotype"/>
          <w:color w:val="000000"/>
        </w:rPr>
      </w:pPr>
    </w:p>
    <w:p w:rsidR="007D029B" w:rsidRPr="00C35E9E" w:rsidRDefault="00622048">
      <w:pPr>
        <w:numPr>
          <w:ilvl w:val="0"/>
          <w:numId w:val="4"/>
        </w:numPr>
        <w:spacing w:line="360" w:lineRule="auto"/>
        <w:ind w:left="0" w:right="-787" w:firstLine="0"/>
        <w:jc w:val="both"/>
        <w:rPr>
          <w:rFonts w:ascii="Palatino Linotype" w:eastAsia="Palatino Linotype" w:hAnsi="Palatino Linotype" w:cs="Palatino Linotype"/>
          <w:color w:val="000000"/>
        </w:rPr>
      </w:pPr>
      <w:r w:rsidRPr="00C35E9E">
        <w:rPr>
          <w:rFonts w:ascii="Palatino Linotype" w:eastAsia="Palatino Linotype" w:hAnsi="Palatino Linotype" w:cs="Palatino Linotype"/>
          <w:color w:val="000000"/>
        </w:rPr>
        <w:t xml:space="preserve">En ese tenor, si bien es cierto que las páginas de internet no son un medio oficial, también lo es que se trata de indicios que demuestran las tareas o labores que llegan a realizar en este caso los servidores públicos en ejercicio de sus facultades, competencias y/o funciones. </w:t>
      </w:r>
    </w:p>
    <w:p w:rsidR="007D029B" w:rsidRPr="00C35E9E" w:rsidRDefault="007D029B">
      <w:pPr>
        <w:spacing w:line="360" w:lineRule="auto"/>
        <w:ind w:right="-787"/>
        <w:jc w:val="both"/>
        <w:rPr>
          <w:rFonts w:ascii="Palatino Linotype" w:eastAsia="Palatino Linotype" w:hAnsi="Palatino Linotype" w:cs="Palatino Linotype"/>
          <w:color w:val="000000"/>
        </w:rPr>
      </w:pPr>
    </w:p>
    <w:p w:rsidR="007D029B" w:rsidRPr="00C35E9E" w:rsidRDefault="00622048">
      <w:pPr>
        <w:numPr>
          <w:ilvl w:val="0"/>
          <w:numId w:val="4"/>
        </w:numPr>
        <w:spacing w:line="360" w:lineRule="auto"/>
        <w:ind w:left="0" w:right="-787" w:firstLine="0"/>
        <w:jc w:val="both"/>
        <w:rPr>
          <w:rFonts w:ascii="Palatino Linotype" w:eastAsia="Palatino Linotype" w:hAnsi="Palatino Linotype" w:cs="Palatino Linotype"/>
          <w:color w:val="000000"/>
        </w:rPr>
      </w:pPr>
      <w:r w:rsidRPr="00C35E9E">
        <w:rPr>
          <w:rFonts w:ascii="Palatino Linotype" w:eastAsia="Palatino Linotype" w:hAnsi="Palatino Linotype" w:cs="Palatino Linotype"/>
          <w:color w:val="000000"/>
        </w:rPr>
        <w:t xml:space="preserve">En tal virtud, al obrar indicios de la información en páginas de internet, como lo son las publicaciones del mismo Sujeto Obligado en sus páginas oficiales o medios tecnológicos de comunicación, demuestran que cuenta con la información en alguna de sus áreas administrativas, este tipo de información es susceptible de considerarse como un hecho </w:t>
      </w:r>
      <w:r w:rsidRPr="00C35E9E">
        <w:rPr>
          <w:rFonts w:ascii="Palatino Linotype" w:eastAsia="Palatino Linotype" w:hAnsi="Palatino Linotype" w:cs="Palatino Linotype"/>
          <w:color w:val="000000"/>
        </w:rPr>
        <w:lastRenderedPageBreak/>
        <w:t>notorio el cual puede ser valorado, por formar parte del conocimiento público, lo cual se robustece con la siguiente tesis aislada emitida por los Tribunales Colegiados de Circuito y publica</w:t>
      </w:r>
      <w:bookmarkStart w:id="5" w:name="_GoBack"/>
      <w:bookmarkEnd w:id="5"/>
      <w:r w:rsidRPr="00C35E9E">
        <w:rPr>
          <w:rFonts w:ascii="Palatino Linotype" w:eastAsia="Palatino Linotype" w:hAnsi="Palatino Linotype" w:cs="Palatino Linotype"/>
          <w:color w:val="000000"/>
        </w:rPr>
        <w:t xml:space="preserve">da en el Semanario Judicial de la Federación: </w:t>
      </w:r>
    </w:p>
    <w:p w:rsidR="007D029B" w:rsidRPr="00C35E9E" w:rsidRDefault="00622048">
      <w:pPr>
        <w:ind w:left="567" w:right="-716"/>
        <w:jc w:val="both"/>
        <w:rPr>
          <w:rFonts w:ascii="Palatino Linotype" w:eastAsia="Palatino Linotype" w:hAnsi="Palatino Linotype" w:cs="Palatino Linotype"/>
          <w:i/>
          <w:iCs/>
        </w:rPr>
      </w:pPr>
      <w:bookmarkStart w:id="6" w:name="_heading=h.twccsft3y8yv" w:colFirst="0" w:colLast="0"/>
      <w:bookmarkEnd w:id="6"/>
      <w:r w:rsidRPr="00C35E9E">
        <w:rPr>
          <w:rFonts w:ascii="Palatino Linotype" w:eastAsia="Palatino Linotype" w:hAnsi="Palatino Linotype" w:cs="Palatino Linotype"/>
          <w:b/>
          <w:bCs/>
          <w:i/>
          <w:iCs/>
        </w:rPr>
        <w:t xml:space="preserve">“PÁGINAS WEB O ELECTRÓNICAS. SU CONTENIDO ES UN HECHO NOTORIO Y SUSCEPTIBLE DE SER VALORADO EN UNA DECISIÓN JUDICIAL. </w:t>
      </w:r>
      <w:r w:rsidRPr="00C35E9E">
        <w:rPr>
          <w:rFonts w:ascii="Palatino Linotype" w:eastAsia="Palatino Linotype" w:hAnsi="Palatino Linotype" w:cs="Palatino Linotype"/>
          <w:i/>
          <w:iCs/>
        </w:rPr>
        <w:t>Los datos publicados en documentos o páginas situados en redes informáticas constituyen un hecho notorio por formar parte del conocimiento público a través de tales medios al momento en que se dicta una resolución judicial, de conformidad con el artículo 88 del Código Federal de Procedimientos Civiles. El acceso al uso de Internet para buscar información sobre la existencia de personas morales, establecimientos mercantiles, domicilios y en general cualquier dato publicado en redes informáticas, forma parte de la cultura normal de sectores específicos de la sociedad dependiendo del tipo de información 1 2004949. I.3o.C.35 K (10a.). Tribunales Colegiados de Circuito. Décima Época. Semanario Judicial de la Federación y su Gaceta. Libro XXVI, Noviembre de 2013, Pág. 1373. Recurso de Revisión: 03023/INFOEM/IP/RR/2021 Sujeto Obligado: Ayuntamiento de Coacalco de Berriozábal Comisionado por returno: Luis Gustavo Parra Noriega Página 21 de 28 de que se trate. De ahí que, si bien no es posible afirmar que esa información se encuentra al alcance de todos los sectores de la sociedad, lo cierto es que sí es posible determinar si por el tipo de datos un hecho forma parte de la cultura normal de un sector de la sociedad y pueda ser considerado como notorio por el juzgador y, consecuentemente, valorado en una decisión judicial, por tratarse de un dato u opinión común indiscutible, no por el número de personas que conocen ese hecho, sino por la notoriedad, accesibilidad, aceptación e imparcialidad de este conocimiento. Por tanto, el contenido de una página de Internet que refleja hechos propios de una de las partes en cualquier juicio, puede ser tomado como prueba plena, a menos que haya una en contrario que no fue creada por orden del interesado, ya que se le reputará autor y podrá perjudicarle lo que ofrezca en sus términos.</w:t>
      </w:r>
    </w:p>
    <w:p w:rsidR="007D029B" w:rsidRPr="00C35E9E" w:rsidRDefault="00622048">
      <w:pPr>
        <w:ind w:left="567" w:right="-716"/>
        <w:jc w:val="both"/>
        <w:rPr>
          <w:rFonts w:ascii="Palatino Linotype" w:eastAsia="Palatino Linotype" w:hAnsi="Palatino Linotype" w:cs="Palatino Linotype"/>
          <w:i/>
          <w:iCs/>
        </w:rPr>
      </w:pPr>
      <w:r w:rsidRPr="00C35E9E">
        <w:rPr>
          <w:rFonts w:ascii="Palatino Linotype" w:eastAsia="Palatino Linotype" w:hAnsi="Palatino Linotype" w:cs="Palatino Linotype"/>
          <w:i/>
          <w:iCs/>
        </w:rPr>
        <w:t xml:space="preserve"> TERCER TRIBUNAL COLEGIADO EN MATERIA CIVIL DEL PRIMER CIRCUITO. </w:t>
      </w:r>
    </w:p>
    <w:p w:rsidR="007D029B" w:rsidRPr="00C35E9E" w:rsidRDefault="00622048">
      <w:pPr>
        <w:ind w:left="567" w:right="-716"/>
        <w:jc w:val="both"/>
        <w:rPr>
          <w:rFonts w:ascii="Palatino Linotype" w:eastAsia="Palatino Linotype" w:hAnsi="Palatino Linotype" w:cs="Palatino Linotype"/>
          <w:i/>
          <w:iCs/>
        </w:rPr>
      </w:pPr>
      <w:r w:rsidRPr="00C35E9E">
        <w:rPr>
          <w:rFonts w:ascii="Palatino Linotype" w:eastAsia="Palatino Linotype" w:hAnsi="Palatino Linotype" w:cs="Palatino Linotype"/>
          <w:i/>
          <w:iCs/>
        </w:rPr>
        <w:t xml:space="preserve">Amparo en revisión 365/2012. Mardygras, S.A. de C.V. 7 de diciembre de 2012. Unanimidad de votos. Ponente: Neófito López Ramos. Secretaria: Ana Lilia Osorno Arroyo.” </w:t>
      </w:r>
    </w:p>
    <w:p w:rsidR="007D029B" w:rsidRPr="00C35E9E" w:rsidRDefault="00622048">
      <w:pPr>
        <w:ind w:left="567" w:right="-716"/>
        <w:jc w:val="both"/>
        <w:rPr>
          <w:rFonts w:ascii="Palatino Linotype" w:eastAsia="Palatino Linotype" w:hAnsi="Palatino Linotype" w:cs="Palatino Linotype"/>
          <w:i/>
          <w:iCs/>
        </w:rPr>
      </w:pPr>
      <w:r w:rsidRPr="00C35E9E">
        <w:rPr>
          <w:rFonts w:ascii="Palatino Linotype" w:eastAsia="Palatino Linotype" w:hAnsi="Palatino Linotype" w:cs="Palatino Linotype"/>
          <w:i/>
          <w:iCs/>
        </w:rPr>
        <w:t xml:space="preserve">(Énfasis añadido) </w:t>
      </w:r>
    </w:p>
    <w:p w:rsidR="007D029B" w:rsidRPr="00C35E9E" w:rsidRDefault="007D029B">
      <w:pPr>
        <w:spacing w:line="360" w:lineRule="auto"/>
        <w:ind w:right="-592"/>
        <w:jc w:val="both"/>
        <w:rPr>
          <w:rFonts w:ascii="Palatino Linotype" w:eastAsia="Palatino Linotype" w:hAnsi="Palatino Linotype" w:cs="Palatino Linotype"/>
          <w:i/>
          <w:iCs/>
        </w:rPr>
      </w:pPr>
    </w:p>
    <w:p w:rsidR="007D029B" w:rsidRPr="00C35E9E" w:rsidRDefault="00622048">
      <w:pPr>
        <w:numPr>
          <w:ilvl w:val="0"/>
          <w:numId w:val="4"/>
        </w:numPr>
        <w:spacing w:line="360" w:lineRule="auto"/>
        <w:ind w:left="0" w:right="-787" w:firstLine="0"/>
        <w:jc w:val="both"/>
        <w:rPr>
          <w:rFonts w:ascii="Palatino Linotype" w:eastAsia="Palatino Linotype" w:hAnsi="Palatino Linotype" w:cs="Palatino Linotype"/>
          <w:color w:val="000000"/>
        </w:rPr>
      </w:pPr>
      <w:r w:rsidRPr="00C35E9E">
        <w:rPr>
          <w:rFonts w:ascii="Palatino Linotype" w:eastAsia="Palatino Linotype" w:hAnsi="Palatino Linotype" w:cs="Palatino Linotype"/>
        </w:rPr>
        <w:t>Es así que, aún y cuando la información proviene de una publicación en página y red social oficiales del Sujeto Obligado, así como en medios de comunicación tecnológicos, muestra elementos que permiten presumir la existencia del hecho.</w:t>
      </w:r>
    </w:p>
    <w:p w:rsidR="007D029B" w:rsidRPr="00C35E9E" w:rsidRDefault="00622048">
      <w:pPr>
        <w:numPr>
          <w:ilvl w:val="0"/>
          <w:numId w:val="4"/>
        </w:numPr>
        <w:spacing w:line="360" w:lineRule="auto"/>
        <w:ind w:left="0" w:right="-787" w:firstLine="0"/>
        <w:jc w:val="both"/>
        <w:rPr>
          <w:rFonts w:ascii="Palatino Linotype" w:eastAsia="Palatino Linotype" w:hAnsi="Palatino Linotype" w:cs="Palatino Linotype"/>
          <w:color w:val="000000"/>
        </w:rPr>
      </w:pPr>
      <w:r w:rsidRPr="00C35E9E">
        <w:rPr>
          <w:rFonts w:ascii="Palatino Linotype" w:eastAsia="Palatino Linotype" w:hAnsi="Palatino Linotype" w:cs="Palatino Linotype"/>
          <w:color w:val="000000"/>
        </w:rPr>
        <w:lastRenderedPageBreak/>
        <w:t xml:space="preserve">De lo anterior, se presume la posibilidad de la existencia de la documentación relacionada con la información requerida, toda vez que el </w:t>
      </w:r>
      <w:r w:rsidRPr="00C35E9E">
        <w:rPr>
          <w:rFonts w:ascii="Palatino Linotype" w:eastAsia="Palatino Linotype" w:hAnsi="Palatino Linotype" w:cs="Palatino Linotype"/>
          <w:b/>
          <w:bCs/>
          <w:color w:val="000000"/>
        </w:rPr>
        <w:t>SUJETO OBLIGADO</w:t>
      </w:r>
      <w:r w:rsidRPr="00C35E9E">
        <w:rPr>
          <w:rFonts w:ascii="Palatino Linotype" w:eastAsia="Palatino Linotype" w:hAnsi="Palatino Linotype" w:cs="Palatino Linotype"/>
          <w:color w:val="000000"/>
        </w:rPr>
        <w:t xml:space="preserve"> se encuentra constreñido a documentar todo acto de autoridad que éste realice derivado de sus funciones, atribuciones y competencias. </w:t>
      </w:r>
    </w:p>
    <w:p w:rsidR="007D029B" w:rsidRPr="00C35E9E" w:rsidRDefault="007D029B">
      <w:pPr>
        <w:spacing w:line="360" w:lineRule="auto"/>
        <w:ind w:right="-787"/>
        <w:jc w:val="both"/>
        <w:rPr>
          <w:rFonts w:ascii="Palatino Linotype" w:eastAsia="Palatino Linotype" w:hAnsi="Palatino Linotype" w:cs="Palatino Linotype"/>
          <w:color w:val="000000"/>
        </w:rPr>
      </w:pPr>
    </w:p>
    <w:p w:rsidR="007D029B" w:rsidRPr="00C35E9E" w:rsidRDefault="00622048">
      <w:pPr>
        <w:numPr>
          <w:ilvl w:val="0"/>
          <w:numId w:val="4"/>
        </w:numPr>
        <w:spacing w:line="360" w:lineRule="auto"/>
        <w:ind w:left="0" w:right="-787" w:firstLine="0"/>
        <w:jc w:val="both"/>
        <w:rPr>
          <w:rFonts w:ascii="Palatino Linotype" w:eastAsia="Palatino Linotype" w:hAnsi="Palatino Linotype" w:cs="Palatino Linotype"/>
          <w:b/>
          <w:bCs/>
        </w:rPr>
      </w:pPr>
      <w:r w:rsidRPr="00C35E9E">
        <w:rPr>
          <w:rFonts w:ascii="Palatino Linotype" w:eastAsia="Palatino Linotype" w:hAnsi="Palatino Linotype" w:cs="Palatino Linotype"/>
          <w:color w:val="000000"/>
        </w:rPr>
        <w:t>Por lo anterior, este Organismo Garante, estima procedente</w:t>
      </w:r>
      <w:r w:rsidRPr="00C35E9E">
        <w:rPr>
          <w:rFonts w:ascii="Palatino Linotype" w:eastAsia="Palatino Linotype" w:hAnsi="Palatino Linotype" w:cs="Palatino Linotype"/>
          <w:b/>
          <w:bCs/>
          <w:color w:val="000000"/>
        </w:rPr>
        <w:t xml:space="preserve"> MODIFICAR</w:t>
      </w:r>
      <w:r w:rsidRPr="00C35E9E">
        <w:rPr>
          <w:rFonts w:ascii="Palatino Linotype" w:eastAsia="Palatino Linotype" w:hAnsi="Palatino Linotype" w:cs="Palatino Linotype"/>
          <w:color w:val="000000"/>
        </w:rPr>
        <w:t xml:space="preserve"> la respuesta emitida por el Sujeto Obligado y </w:t>
      </w:r>
      <w:r w:rsidRPr="00C35E9E">
        <w:rPr>
          <w:rFonts w:ascii="Palatino Linotype" w:eastAsia="Palatino Linotype" w:hAnsi="Palatino Linotype" w:cs="Palatino Linotype"/>
          <w:b/>
          <w:bCs/>
          <w:color w:val="000000"/>
        </w:rPr>
        <w:t>ORDENAR</w:t>
      </w:r>
      <w:r w:rsidRPr="00C35E9E">
        <w:rPr>
          <w:rFonts w:ascii="Palatino Linotype" w:eastAsia="Palatino Linotype" w:hAnsi="Palatino Linotype" w:cs="Palatino Linotype"/>
          <w:color w:val="000000"/>
        </w:rPr>
        <w:t xml:space="preserve"> se haga entrega de</w:t>
      </w:r>
      <w:r w:rsidRPr="00C35E9E">
        <w:rPr>
          <w:rFonts w:ascii="Palatino Linotype" w:eastAsia="Palatino Linotype" w:hAnsi="Palatino Linotype" w:cs="Palatino Linotype"/>
        </w:rPr>
        <w:t>l</w:t>
      </w:r>
      <w:r w:rsidRPr="00C35E9E">
        <w:rPr>
          <w:rFonts w:ascii="Palatino Linotype" w:eastAsia="Palatino Linotype" w:hAnsi="Palatino Linotype" w:cs="Palatino Linotype"/>
          <w:b/>
          <w:bCs/>
        </w:rPr>
        <w:t xml:space="preserve"> documento en el que conste adviertan los avances respecto a los acuerdos establecidos en el foro “Yo quiero ser escuchade” llevado a cabo el 07 de febrero de 2025, de ser procedente en versión pública.</w:t>
      </w:r>
    </w:p>
    <w:p w:rsidR="007D029B" w:rsidRPr="00C35E9E" w:rsidRDefault="007D029B">
      <w:pPr>
        <w:spacing w:line="360" w:lineRule="auto"/>
        <w:ind w:right="-787"/>
        <w:jc w:val="both"/>
        <w:rPr>
          <w:rFonts w:ascii="Palatino Linotype" w:eastAsia="Palatino Linotype" w:hAnsi="Palatino Linotype" w:cs="Palatino Linotype"/>
        </w:rPr>
      </w:pPr>
    </w:p>
    <w:p w:rsidR="007D029B" w:rsidRPr="00C35E9E" w:rsidRDefault="00622048">
      <w:pPr>
        <w:keepNext/>
        <w:keepLines/>
        <w:spacing w:after="160" w:line="360" w:lineRule="auto"/>
        <w:rPr>
          <w:rFonts w:ascii="Palatino Linotype" w:eastAsia="Palatino Linotype" w:hAnsi="Palatino Linotype" w:cs="Palatino Linotype"/>
          <w:b/>
          <w:bCs/>
          <w:color w:val="000000"/>
        </w:rPr>
      </w:pPr>
      <w:r w:rsidRPr="00C35E9E">
        <w:rPr>
          <w:rFonts w:ascii="Palatino Linotype" w:eastAsia="Palatino Linotype" w:hAnsi="Palatino Linotype" w:cs="Palatino Linotype"/>
          <w:b/>
          <w:bCs/>
          <w:color w:val="000000"/>
        </w:rPr>
        <w:t>QUINTO. De la versión pública.</w:t>
      </w:r>
    </w:p>
    <w:p w:rsidR="007D029B" w:rsidRPr="00C35E9E" w:rsidRDefault="00622048">
      <w:pPr>
        <w:keepNext/>
        <w:keepLines/>
        <w:numPr>
          <w:ilvl w:val="0"/>
          <w:numId w:val="7"/>
        </w:numPr>
        <w:tabs>
          <w:tab w:val="left" w:pos="284"/>
        </w:tabs>
        <w:spacing w:after="160" w:line="360" w:lineRule="auto"/>
        <w:rPr>
          <w:rFonts w:ascii="Palatino Linotype" w:eastAsia="Palatino Linotype" w:hAnsi="Palatino Linotype" w:cs="Palatino Linotype"/>
          <w:b/>
          <w:bCs/>
          <w:color w:val="000000"/>
        </w:rPr>
      </w:pPr>
      <w:r w:rsidRPr="00C35E9E">
        <w:rPr>
          <w:rFonts w:ascii="Palatino Linotype" w:eastAsia="Palatino Linotype" w:hAnsi="Palatino Linotype" w:cs="Palatino Linotype"/>
          <w:b/>
          <w:bCs/>
          <w:color w:val="000000"/>
        </w:rPr>
        <w:t xml:space="preserve">Nociones generales. </w:t>
      </w:r>
    </w:p>
    <w:p w:rsidR="007D029B" w:rsidRPr="00C35E9E" w:rsidRDefault="00622048">
      <w:pPr>
        <w:numPr>
          <w:ilvl w:val="0"/>
          <w:numId w:val="4"/>
        </w:numPr>
        <w:spacing w:line="360" w:lineRule="auto"/>
        <w:ind w:left="0" w:right="-787" w:firstLine="0"/>
        <w:jc w:val="both"/>
        <w:rPr>
          <w:rFonts w:ascii="Palatino Linotype" w:eastAsia="Palatino Linotype" w:hAnsi="Palatino Linotype" w:cs="Palatino Linotype"/>
        </w:rPr>
      </w:pPr>
      <w:r w:rsidRPr="00C35E9E">
        <w:rPr>
          <w:rFonts w:ascii="Palatino Linotype" w:eastAsia="Palatino Linotype" w:hAnsi="Palatino Linotype" w:cs="Palatino Linotype"/>
          <w:color w:val="000000"/>
        </w:rPr>
        <w:t>Debido</w:t>
      </w:r>
      <w:r w:rsidRPr="00C35E9E">
        <w:rPr>
          <w:rFonts w:ascii="Palatino Linotype" w:eastAsia="Palatino Linotype" w:hAnsi="Palatino Linotype" w:cs="Palatino Linotype"/>
        </w:rPr>
        <w:t xml:space="preserve"> a la información solicitada por el </w:t>
      </w:r>
      <w:r w:rsidRPr="00C35E9E">
        <w:rPr>
          <w:rFonts w:ascii="Palatino Linotype" w:eastAsia="Palatino Linotype" w:hAnsi="Palatino Linotype" w:cs="Palatino Linotype"/>
          <w:b/>
          <w:bCs/>
        </w:rPr>
        <w:t>RECURRENTE</w:t>
      </w:r>
      <w:r w:rsidRPr="00C35E9E">
        <w:rPr>
          <w:rFonts w:ascii="Palatino Linotype" w:eastAsia="Palatino Linotype" w:hAnsi="Palatino Linotype" w:cs="Palatino Linotype"/>
        </w:rPr>
        <w:t xml:space="preserve">, en el caso de obrar datos personales susceptibles de protegerse, así como información susceptible de clasificarse como confidencial, el </w:t>
      </w:r>
      <w:r w:rsidRPr="00C35E9E">
        <w:rPr>
          <w:rFonts w:ascii="Palatino Linotype" w:eastAsia="Palatino Linotype" w:hAnsi="Palatino Linotype" w:cs="Palatino Linotype"/>
          <w:b/>
          <w:bCs/>
        </w:rPr>
        <w:t xml:space="preserve">SUJETO OBLIGADO </w:t>
      </w:r>
      <w:r w:rsidRPr="00C35E9E">
        <w:rPr>
          <w:rFonts w:ascii="Palatino Linotype" w:eastAsia="Palatino Linotype" w:hAnsi="Palatino Linotype" w:cs="Palatino Linotype"/>
        </w:rPr>
        <w:t xml:space="preserve">deberá de hacer la adecuada versión pública, protegiendo los datos que no son susceptibles de ser proporcionados. </w:t>
      </w:r>
    </w:p>
    <w:p w:rsidR="007D029B" w:rsidRPr="00C35E9E" w:rsidRDefault="007D029B">
      <w:pPr>
        <w:tabs>
          <w:tab w:val="left" w:pos="0"/>
          <w:tab w:val="left" w:pos="284"/>
        </w:tabs>
        <w:spacing w:line="360" w:lineRule="auto"/>
        <w:ind w:right="49"/>
        <w:jc w:val="both"/>
        <w:rPr>
          <w:rFonts w:ascii="Palatino Linotype" w:eastAsia="Palatino Linotype" w:hAnsi="Palatino Linotype" w:cs="Palatino Linotype"/>
          <w:highlight w:val="yellow"/>
        </w:rPr>
      </w:pPr>
    </w:p>
    <w:p w:rsidR="007D029B" w:rsidRPr="00C35E9E" w:rsidRDefault="00622048">
      <w:pPr>
        <w:numPr>
          <w:ilvl w:val="0"/>
          <w:numId w:val="4"/>
        </w:numPr>
        <w:spacing w:line="360" w:lineRule="auto"/>
        <w:ind w:left="0" w:right="-787" w:firstLine="0"/>
        <w:jc w:val="both"/>
        <w:rPr>
          <w:rFonts w:ascii="Palatino Linotype" w:eastAsia="Palatino Linotype" w:hAnsi="Palatino Linotype" w:cs="Palatino Linotype"/>
          <w:color w:val="000000"/>
        </w:rPr>
      </w:pPr>
      <w:r w:rsidRPr="00C35E9E">
        <w:rPr>
          <w:rFonts w:ascii="Palatino Linotype" w:eastAsia="Palatino Linotype" w:hAnsi="Palatino Linotype" w:cs="Palatino Linotype"/>
          <w:color w:val="000000"/>
        </w:rPr>
        <w:t>No pasa desapercibido para este Órgano Garante que los sujetos obligados</w:t>
      </w:r>
      <w:r w:rsidRPr="00C35E9E">
        <w:rPr>
          <w:rFonts w:ascii="Palatino Linotype" w:eastAsia="Palatino Linotype" w:hAnsi="Palatino Linotype" w:cs="Palatino Linotype"/>
          <w:b/>
          <w:bCs/>
          <w:color w:val="000000"/>
        </w:rPr>
        <w:t xml:space="preserve"> </w:t>
      </w:r>
      <w:r w:rsidRPr="00C35E9E">
        <w:rPr>
          <w:rFonts w:ascii="Palatino Linotype" w:eastAsia="Palatino Linotype" w:hAnsi="Palatino Linotype" w:cs="Palatino Linotype"/>
          <w:color w:val="000000"/>
        </w:rPr>
        <w:t>serán responsables de los datos personales en su posesión y que, en caso de localizarse datos concernientes a terceros, éstos no podrán difundir, distribuir o comercializar los datos personales.  Cabe destacar que, para la realización de la clasificación de la información, se deben seguir una serie de pasos y procedimientos, por lo que es menester reiterar los mismos:</w:t>
      </w:r>
    </w:p>
    <w:p w:rsidR="007D029B" w:rsidRPr="00C35E9E" w:rsidRDefault="007D029B">
      <w:pPr>
        <w:tabs>
          <w:tab w:val="left" w:pos="284"/>
        </w:tabs>
        <w:spacing w:after="160" w:line="360" w:lineRule="auto"/>
        <w:ind w:right="49"/>
        <w:jc w:val="both"/>
        <w:rPr>
          <w:rFonts w:ascii="Palatino Linotype" w:eastAsia="Palatino Linotype" w:hAnsi="Palatino Linotype" w:cs="Palatino Linotype"/>
          <w:color w:val="000000"/>
        </w:rPr>
      </w:pPr>
    </w:p>
    <w:tbl>
      <w:tblPr>
        <w:tblStyle w:val="a0"/>
        <w:tblW w:w="9634" w:type="dxa"/>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2689"/>
        <w:gridCol w:w="6945"/>
      </w:tblGrid>
      <w:tr w:rsidR="007D029B" w:rsidRPr="00C35E9E" w:rsidTr="00C35E9E">
        <w:tc>
          <w:tcPr>
            <w:tcW w:w="2689" w:type="dxa"/>
          </w:tcPr>
          <w:p w:rsidR="007D029B" w:rsidRPr="00C35E9E" w:rsidRDefault="00622048">
            <w:pPr>
              <w:tabs>
                <w:tab w:val="left" w:pos="284"/>
              </w:tabs>
              <w:spacing w:line="360" w:lineRule="auto"/>
              <w:rPr>
                <w:rFonts w:ascii="Palatino Linotype" w:eastAsia="Palatino Linotype" w:hAnsi="Palatino Linotype" w:cs="Palatino Linotype"/>
                <w:b/>
                <w:bCs/>
              </w:rPr>
            </w:pPr>
            <w:r w:rsidRPr="00C35E9E">
              <w:rPr>
                <w:rFonts w:ascii="Palatino Linotype" w:eastAsia="Palatino Linotype" w:hAnsi="Palatino Linotype" w:cs="Palatino Linotype"/>
                <w:b/>
                <w:bCs/>
              </w:rPr>
              <w:lastRenderedPageBreak/>
              <w:t>a) Requisitos previos.</w:t>
            </w:r>
          </w:p>
        </w:tc>
        <w:tc>
          <w:tcPr>
            <w:tcW w:w="6945" w:type="dxa"/>
          </w:tcPr>
          <w:p w:rsidR="007D029B" w:rsidRPr="00C35E9E" w:rsidRDefault="00622048">
            <w:pPr>
              <w:tabs>
                <w:tab w:val="left" w:pos="284"/>
              </w:tabs>
              <w:spacing w:line="360" w:lineRule="auto"/>
              <w:ind w:right="49"/>
              <w:jc w:val="both"/>
              <w:rPr>
                <w:rFonts w:ascii="Palatino Linotype" w:eastAsia="Palatino Linotype" w:hAnsi="Palatino Linotype" w:cs="Palatino Linotype"/>
                <w:b/>
                <w:bCs/>
                <w:color w:val="000000"/>
              </w:rPr>
            </w:pPr>
            <w:r w:rsidRPr="00C35E9E">
              <w:rPr>
                <w:rFonts w:ascii="Palatino Linotype" w:eastAsia="Palatino Linotype" w:hAnsi="Palatino Linotype" w:cs="Palatino Linotype"/>
                <w:b/>
                <w:bCs/>
                <w:color w:val="000000"/>
              </w:rPr>
              <w:t xml:space="preserve">Los artículos 100 y 122 de la Ley Estatal y de la Ley General, vigente a la fecha de la solicitud de información, respectivamente, señalan que si los Sujetos Obligados determinan que la información actualiza alguno de los supuestos de clasificación, es deber de los titulares de las áreas proponer su clasificación y no del Comité de Transparencia. </w:t>
            </w:r>
          </w:p>
          <w:p w:rsidR="007D029B" w:rsidRPr="00C35E9E" w:rsidRDefault="00622048">
            <w:pPr>
              <w:tabs>
                <w:tab w:val="left" w:pos="284"/>
              </w:tabs>
              <w:spacing w:line="360" w:lineRule="auto"/>
              <w:ind w:right="49"/>
              <w:jc w:val="both"/>
              <w:rPr>
                <w:rFonts w:ascii="Palatino Linotype" w:eastAsia="Palatino Linotype" w:hAnsi="Palatino Linotype" w:cs="Palatino Linotype"/>
                <w:b/>
                <w:bCs/>
                <w:color w:val="000000"/>
              </w:rPr>
            </w:pPr>
            <w:r w:rsidRPr="00C35E9E">
              <w:rPr>
                <w:rFonts w:ascii="Palatino Linotype" w:eastAsia="Palatino Linotype" w:hAnsi="Palatino Linotype" w:cs="Palatino Linotype"/>
                <w:b/>
                <w:bCs/>
                <w:color w:val="000000"/>
              </w:rPr>
              <w:t>Al hacerlo tienen que precisar de qué información se trata, señalando el supuesto de clasificación (confidencialidad o reserva).</w:t>
            </w:r>
          </w:p>
          <w:p w:rsidR="007D029B" w:rsidRPr="00C35E9E" w:rsidRDefault="00622048">
            <w:pPr>
              <w:tabs>
                <w:tab w:val="left" w:pos="284"/>
              </w:tabs>
              <w:spacing w:line="360" w:lineRule="auto"/>
              <w:ind w:right="49"/>
              <w:jc w:val="both"/>
              <w:rPr>
                <w:rFonts w:ascii="Palatino Linotype" w:eastAsia="Palatino Linotype" w:hAnsi="Palatino Linotype" w:cs="Palatino Linotype"/>
                <w:b/>
                <w:bCs/>
                <w:color w:val="000000"/>
              </w:rPr>
            </w:pPr>
            <w:r w:rsidRPr="00C35E9E">
              <w:rPr>
                <w:rFonts w:ascii="Palatino Linotype" w:eastAsia="Palatino Linotype" w:hAnsi="Palatino Linotype" w:cs="Palatino Linotype"/>
                <w:b/>
                <w:bCs/>
                <w:color w:val="000000"/>
              </w:rPr>
              <w:t>Además, se debe señalar el procedimiento, de los tres que establecen los artículos 132 y 106 de la Ley Estatal y General, respectivamente.</w:t>
            </w:r>
          </w:p>
          <w:p w:rsidR="007D029B" w:rsidRPr="00C35E9E" w:rsidRDefault="00622048">
            <w:pPr>
              <w:tabs>
                <w:tab w:val="left" w:pos="284"/>
              </w:tabs>
              <w:spacing w:line="360" w:lineRule="auto"/>
              <w:jc w:val="both"/>
              <w:rPr>
                <w:rFonts w:ascii="Palatino Linotype" w:eastAsia="Palatino Linotype" w:hAnsi="Palatino Linotype" w:cs="Palatino Linotype"/>
                <w:b/>
                <w:bCs/>
              </w:rPr>
            </w:pPr>
            <w:r w:rsidRPr="00C35E9E">
              <w:rPr>
                <w:rFonts w:ascii="Palatino Linotype" w:eastAsia="Palatino Linotype" w:hAnsi="Palatino Linotype" w:cs="Palatino Linotype"/>
                <w:b/>
                <w:bCs/>
                <w:color w:val="000000"/>
              </w:rPr>
              <w:t xml:space="preserve">El último de estos requisitos previos consiste en que no se pueden emitir acuerdos de carácter general ni particular, esto es, </w:t>
            </w:r>
            <w:r w:rsidRPr="00C35E9E">
              <w:rPr>
                <w:rFonts w:ascii="Palatino Linotype" w:eastAsia="Palatino Linotype" w:hAnsi="Palatino Linotype" w:cs="Palatino Linotype"/>
                <w:b/>
                <w:bCs/>
                <w:color w:val="000000"/>
                <w:u w:val="single"/>
              </w:rPr>
              <w:t>no se puede hacer un acuerdo para clasificar de manera general todos los documentos de un expediente o área, sin</w:t>
            </w:r>
            <w:r w:rsidRPr="00C35E9E">
              <w:rPr>
                <w:rFonts w:ascii="Palatino Linotype" w:eastAsia="Palatino Linotype" w:hAnsi="Palatino Linotype" w:cs="Palatino Linotype"/>
                <w:b/>
                <w:bCs/>
                <w:color w:val="000000"/>
              </w:rPr>
              <w:t xml:space="preserve"> individualizar su análisis y tampoco se puede hacer un acuerdo por cada dato que se vaya a clasificar dentro de un documento con diez datos, por ejemplo, susceptibles de ser clasificados.</w:t>
            </w:r>
          </w:p>
        </w:tc>
      </w:tr>
      <w:tr w:rsidR="007D029B" w:rsidRPr="00C35E9E" w:rsidTr="00C35E9E">
        <w:tc>
          <w:tcPr>
            <w:tcW w:w="2689" w:type="dxa"/>
          </w:tcPr>
          <w:p w:rsidR="007D029B" w:rsidRPr="00C35E9E" w:rsidRDefault="00622048">
            <w:pPr>
              <w:tabs>
                <w:tab w:val="left" w:pos="284"/>
              </w:tabs>
              <w:spacing w:line="360" w:lineRule="auto"/>
              <w:rPr>
                <w:rFonts w:ascii="Palatino Linotype" w:eastAsia="Palatino Linotype" w:hAnsi="Palatino Linotype" w:cs="Palatino Linotype"/>
                <w:b/>
                <w:bCs/>
              </w:rPr>
            </w:pPr>
            <w:r w:rsidRPr="00C35E9E">
              <w:rPr>
                <w:rFonts w:ascii="Palatino Linotype" w:eastAsia="Palatino Linotype" w:hAnsi="Palatino Linotype" w:cs="Palatino Linotype"/>
                <w:b/>
                <w:bCs/>
              </w:rPr>
              <w:t>b) Supuestos de clasificación.</w:t>
            </w:r>
          </w:p>
        </w:tc>
        <w:tc>
          <w:tcPr>
            <w:tcW w:w="6945" w:type="dxa"/>
          </w:tcPr>
          <w:p w:rsidR="007D029B" w:rsidRPr="00C35E9E" w:rsidRDefault="00622048">
            <w:pPr>
              <w:tabs>
                <w:tab w:val="left" w:pos="284"/>
              </w:tabs>
              <w:spacing w:line="360" w:lineRule="auto"/>
              <w:ind w:right="49"/>
              <w:jc w:val="both"/>
              <w:rPr>
                <w:rFonts w:ascii="Palatino Linotype" w:eastAsia="Palatino Linotype" w:hAnsi="Palatino Linotype" w:cs="Palatino Linotype"/>
                <w:color w:val="000000"/>
              </w:rPr>
            </w:pPr>
            <w:r w:rsidRPr="00C35E9E">
              <w:rPr>
                <w:rFonts w:ascii="Palatino Linotype" w:eastAsia="Palatino Linotype" w:hAnsi="Palatino Linotype" w:cs="Palatino Linotype"/>
                <w:color w:val="000000"/>
              </w:rPr>
              <w:t>Las disposiciones constitucionales y legales en la materia establecen los dos supuestos generales para clasificar la información: por reserva y por confidencialidad.</w:t>
            </w:r>
          </w:p>
          <w:p w:rsidR="007D029B" w:rsidRPr="00C35E9E" w:rsidRDefault="00622048">
            <w:pPr>
              <w:tabs>
                <w:tab w:val="left" w:pos="284"/>
              </w:tabs>
              <w:spacing w:line="360" w:lineRule="auto"/>
              <w:ind w:right="49"/>
              <w:jc w:val="both"/>
              <w:rPr>
                <w:rFonts w:ascii="Palatino Linotype" w:eastAsia="Palatino Linotype" w:hAnsi="Palatino Linotype" w:cs="Palatino Linotype"/>
                <w:color w:val="000000"/>
              </w:rPr>
            </w:pPr>
            <w:r w:rsidRPr="00C35E9E">
              <w:rPr>
                <w:rFonts w:ascii="Palatino Linotype" w:eastAsia="Palatino Linotype" w:hAnsi="Palatino Linotype" w:cs="Palatino Linotype"/>
                <w:color w:val="000000"/>
              </w:rPr>
              <w:lastRenderedPageBreak/>
              <w:t>Los artículos 116 y 143 de la Ley Estatal y de la Ley General, vigente a la fecha de la solicitud de información, respectivamente, señalan los supuestos para que la información pueda ser clasificada como confidencial. Mientras que los artículos 105 y 130 de la Ley Estatal y de la Ley General, vigente a la fecha de la solicitud de información, respectivamente, señalan que la aplicación de estos supuestos debe realizarse de manera restrictiva y limitada, por lo que debe acreditarse que se cumple con esta condición y no se pueden ampliar las excepciones o supuestos de clasificación aduciendo analogía o mayoría de razón.</w:t>
            </w:r>
          </w:p>
          <w:p w:rsidR="007D029B" w:rsidRPr="00C35E9E" w:rsidRDefault="00622048">
            <w:pPr>
              <w:tabs>
                <w:tab w:val="left" w:pos="284"/>
              </w:tabs>
              <w:spacing w:line="360" w:lineRule="auto"/>
              <w:jc w:val="both"/>
              <w:rPr>
                <w:rFonts w:ascii="Palatino Linotype" w:eastAsia="Palatino Linotype" w:hAnsi="Palatino Linotype" w:cs="Palatino Linotype"/>
              </w:rPr>
            </w:pPr>
            <w:r w:rsidRPr="00C35E9E">
              <w:rPr>
                <w:rFonts w:ascii="Palatino Linotype" w:eastAsia="Palatino Linotype" w:hAnsi="Palatino Linotype" w:cs="Palatino Linotype"/>
                <w:color w:val="000000"/>
              </w:rPr>
              <w:t xml:space="preserve">El </w:t>
            </w:r>
            <w:r w:rsidRPr="00C35E9E">
              <w:rPr>
                <w:rFonts w:ascii="Palatino Linotype" w:eastAsia="Palatino Linotype" w:hAnsi="Palatino Linotype" w:cs="Palatino Linotype"/>
                <w:b/>
                <w:bCs/>
                <w:color w:val="000000"/>
              </w:rPr>
              <w:t>Sujeto Obligado</w:t>
            </w:r>
            <w:r w:rsidRPr="00C35E9E">
              <w:rPr>
                <w:rFonts w:ascii="Palatino Linotype" w:eastAsia="Palatino Linotype" w:hAnsi="Palatino Linotype" w:cs="Palatino Linotype"/>
                <w:color w:val="000000"/>
              </w:rPr>
              <w:t xml:space="preserve"> debe identificar claramente el tipo de información y hacer un juicio de subsunción o encaje para acreditar que el supuesto de hecho corresponde estrictamente con la hipótesis jurídica. Esto también lo debe de realizar el servidor público habilitado y el titular del área que administra la información.</w:t>
            </w:r>
          </w:p>
        </w:tc>
      </w:tr>
      <w:tr w:rsidR="007D029B" w:rsidRPr="00C35E9E" w:rsidTr="00C35E9E">
        <w:tc>
          <w:tcPr>
            <w:tcW w:w="2689" w:type="dxa"/>
          </w:tcPr>
          <w:p w:rsidR="007D029B" w:rsidRPr="00C35E9E" w:rsidRDefault="00622048">
            <w:pPr>
              <w:tabs>
                <w:tab w:val="left" w:pos="284"/>
              </w:tabs>
              <w:spacing w:line="360" w:lineRule="auto"/>
              <w:rPr>
                <w:rFonts w:ascii="Palatino Linotype" w:eastAsia="Palatino Linotype" w:hAnsi="Palatino Linotype" w:cs="Palatino Linotype"/>
                <w:b/>
                <w:bCs/>
              </w:rPr>
            </w:pPr>
            <w:r w:rsidRPr="00C35E9E">
              <w:rPr>
                <w:rFonts w:ascii="Palatino Linotype" w:eastAsia="Palatino Linotype" w:hAnsi="Palatino Linotype" w:cs="Palatino Linotype"/>
                <w:b/>
                <w:bCs/>
              </w:rPr>
              <w:lastRenderedPageBreak/>
              <w:t>c) Formalidades para emitir el acuerdo de clasificación.</w:t>
            </w:r>
          </w:p>
        </w:tc>
        <w:tc>
          <w:tcPr>
            <w:tcW w:w="6945" w:type="dxa"/>
          </w:tcPr>
          <w:p w:rsidR="007D029B" w:rsidRPr="00C35E9E" w:rsidRDefault="00622048">
            <w:pPr>
              <w:tabs>
                <w:tab w:val="left" w:pos="284"/>
              </w:tabs>
              <w:spacing w:line="360" w:lineRule="auto"/>
              <w:ind w:right="49"/>
              <w:jc w:val="both"/>
              <w:rPr>
                <w:rFonts w:ascii="Palatino Linotype" w:eastAsia="Palatino Linotype" w:hAnsi="Palatino Linotype" w:cs="Palatino Linotype"/>
                <w:color w:val="000000"/>
              </w:rPr>
            </w:pPr>
            <w:r w:rsidRPr="00C35E9E">
              <w:rPr>
                <w:rFonts w:ascii="Palatino Linotype" w:eastAsia="Palatino Linotype" w:hAnsi="Palatino Linotype" w:cs="Palatino Linotype"/>
                <w:color w:val="000000"/>
              </w:rPr>
              <w:t xml:space="preserve">El Comité de Transparencia, según lo dispuesto en los artículos cuenta con las facultades para aprobar, modificar o revocar la clasificación de la información que haya propuesto. </w:t>
            </w:r>
          </w:p>
          <w:p w:rsidR="007D029B" w:rsidRPr="00C35E9E" w:rsidRDefault="00622048">
            <w:pPr>
              <w:tabs>
                <w:tab w:val="left" w:pos="284"/>
              </w:tabs>
              <w:spacing w:line="360" w:lineRule="auto"/>
              <w:ind w:right="49"/>
              <w:jc w:val="both"/>
              <w:rPr>
                <w:rFonts w:ascii="Palatino Linotype" w:eastAsia="Palatino Linotype" w:hAnsi="Palatino Linotype" w:cs="Palatino Linotype"/>
                <w:color w:val="000000"/>
              </w:rPr>
            </w:pPr>
            <w:r w:rsidRPr="00C35E9E">
              <w:rPr>
                <w:rFonts w:ascii="Palatino Linotype" w:eastAsia="Palatino Linotype" w:hAnsi="Palatino Linotype" w:cs="Palatino Linotype"/>
                <w:color w:val="000000"/>
              </w:rPr>
              <w:t xml:space="preserve">Es necesario que </w:t>
            </w:r>
            <w:r w:rsidRPr="00C35E9E">
              <w:rPr>
                <w:rFonts w:ascii="Palatino Linotype" w:eastAsia="Palatino Linotype" w:hAnsi="Palatino Linotype" w:cs="Palatino Linotype"/>
                <w:b/>
                <w:bCs/>
                <w:color w:val="000000"/>
                <w:u w:val="single"/>
              </w:rPr>
              <w:t>el acto reúna con los requisitos elementales</w:t>
            </w:r>
            <w:r w:rsidRPr="00C35E9E">
              <w:rPr>
                <w:rFonts w:ascii="Palatino Linotype" w:eastAsia="Palatino Linotype" w:hAnsi="Palatino Linotype" w:cs="Palatino Linotype"/>
                <w:color w:val="000000"/>
              </w:rPr>
              <w:t>, entre ellos, que la autoridad que va a emitir el acto de autoridad sea la legalmente facultada para ello.</w:t>
            </w:r>
          </w:p>
          <w:p w:rsidR="007D029B" w:rsidRPr="00C35E9E" w:rsidRDefault="00622048">
            <w:pPr>
              <w:tabs>
                <w:tab w:val="left" w:pos="284"/>
              </w:tabs>
              <w:spacing w:line="360" w:lineRule="auto"/>
              <w:jc w:val="both"/>
              <w:rPr>
                <w:rFonts w:ascii="Palatino Linotype" w:eastAsia="Palatino Linotype" w:hAnsi="Palatino Linotype" w:cs="Palatino Linotype"/>
              </w:rPr>
            </w:pPr>
            <w:r w:rsidRPr="00C35E9E">
              <w:rPr>
                <w:rFonts w:ascii="Palatino Linotype" w:eastAsia="Palatino Linotype" w:hAnsi="Palatino Linotype" w:cs="Palatino Linotype"/>
                <w:color w:val="000000"/>
              </w:rPr>
              <w:lastRenderedPageBreak/>
              <w:t>La decisión de aprobar, modificar o revocar la clasificación deberá de asentarse en un documento que registre la determinación a la que se llegue después de un análisis minucioso a partir de lo propuesto por el Titular del I. área que administra la información, cuyo análisis debe integrarse en la agenda de los asuntos a tratar en las sesiones, se insiste, a partir de las decisiones adoptadas previamente por los titulares de áreas y que son sujetas a control, en primera instancia, por el Comité de Transparencia.</w:t>
            </w:r>
          </w:p>
        </w:tc>
      </w:tr>
      <w:tr w:rsidR="007D029B" w:rsidRPr="00C35E9E" w:rsidTr="00C35E9E">
        <w:tc>
          <w:tcPr>
            <w:tcW w:w="2689" w:type="dxa"/>
          </w:tcPr>
          <w:p w:rsidR="007D029B" w:rsidRPr="00C35E9E" w:rsidRDefault="007D029B">
            <w:pPr>
              <w:tabs>
                <w:tab w:val="left" w:pos="284"/>
              </w:tabs>
              <w:spacing w:line="360" w:lineRule="auto"/>
              <w:rPr>
                <w:rFonts w:ascii="Palatino Linotype" w:eastAsia="Palatino Linotype" w:hAnsi="Palatino Linotype" w:cs="Palatino Linotype"/>
                <w:b/>
                <w:bCs/>
              </w:rPr>
            </w:pPr>
          </w:p>
          <w:p w:rsidR="007D029B" w:rsidRPr="00C35E9E" w:rsidRDefault="00622048">
            <w:pPr>
              <w:tabs>
                <w:tab w:val="left" w:pos="284"/>
              </w:tabs>
              <w:spacing w:line="360" w:lineRule="auto"/>
              <w:jc w:val="both"/>
              <w:rPr>
                <w:rFonts w:ascii="Palatino Linotype" w:eastAsia="Palatino Linotype" w:hAnsi="Palatino Linotype" w:cs="Palatino Linotype"/>
                <w:b/>
                <w:bCs/>
              </w:rPr>
            </w:pPr>
            <w:r w:rsidRPr="00C35E9E">
              <w:rPr>
                <w:rFonts w:ascii="Palatino Linotype" w:eastAsia="Palatino Linotype" w:hAnsi="Palatino Linotype" w:cs="Palatino Linotype"/>
                <w:b/>
                <w:bCs/>
                <w:color w:val="000000"/>
              </w:rPr>
              <w:t xml:space="preserve">d) Requisitos de fondo del acuerdo de clasificación. </w:t>
            </w:r>
          </w:p>
        </w:tc>
        <w:tc>
          <w:tcPr>
            <w:tcW w:w="6945" w:type="dxa"/>
          </w:tcPr>
          <w:p w:rsidR="007D029B" w:rsidRPr="00C35E9E" w:rsidRDefault="00622048">
            <w:pPr>
              <w:tabs>
                <w:tab w:val="left" w:pos="284"/>
              </w:tabs>
              <w:spacing w:line="360" w:lineRule="auto"/>
              <w:ind w:right="49"/>
              <w:jc w:val="both"/>
              <w:rPr>
                <w:rFonts w:ascii="Palatino Linotype" w:eastAsia="Palatino Linotype" w:hAnsi="Palatino Linotype" w:cs="Palatino Linotype"/>
                <w:color w:val="000000"/>
              </w:rPr>
            </w:pPr>
            <w:r w:rsidRPr="00C35E9E">
              <w:rPr>
                <w:rFonts w:ascii="Palatino Linotype" w:eastAsia="Palatino Linotype" w:hAnsi="Palatino Linotype" w:cs="Palatino Linotype"/>
                <w:color w:val="000000"/>
              </w:rPr>
              <w:t xml:space="preserve">Como se ha señalado antes, al hacer el juicio de subsunción o encaje entre el supuesto de hecho y la hipótesis jurídica, se debe acreditar la estricta correspondencia entre un elemento y otro. Ahora, en esta parte del procedimiento, que se desahoga en sede del Comité de Transparencia, la ley señala que la carga de la prueba, para justificar las restricciones, corresponde a los </w:t>
            </w:r>
            <w:r w:rsidRPr="00C35E9E">
              <w:rPr>
                <w:rFonts w:ascii="Palatino Linotype" w:eastAsia="Palatino Linotype" w:hAnsi="Palatino Linotype" w:cs="Palatino Linotype"/>
                <w:b/>
                <w:bCs/>
                <w:color w:val="000000"/>
              </w:rPr>
              <w:t>Sujetos Obligados</w:t>
            </w:r>
            <w:r w:rsidRPr="00C35E9E">
              <w:rPr>
                <w:rFonts w:ascii="Palatino Linotype" w:eastAsia="Palatino Linotype" w:hAnsi="Palatino Linotype" w:cs="Palatino Linotype"/>
                <w:color w:val="000000"/>
              </w:rPr>
              <w:t xml:space="preserve">, por lo que deberán fundar y motivar debidamente la clasificación. </w:t>
            </w:r>
          </w:p>
          <w:p w:rsidR="007D029B" w:rsidRPr="00C35E9E" w:rsidRDefault="00622048">
            <w:pPr>
              <w:tabs>
                <w:tab w:val="left" w:pos="284"/>
              </w:tabs>
              <w:spacing w:line="360" w:lineRule="auto"/>
              <w:ind w:right="49"/>
              <w:jc w:val="both"/>
              <w:rPr>
                <w:rFonts w:ascii="Palatino Linotype" w:eastAsia="Palatino Linotype" w:hAnsi="Palatino Linotype" w:cs="Palatino Linotype"/>
                <w:color w:val="000000"/>
              </w:rPr>
            </w:pPr>
            <w:r w:rsidRPr="00C35E9E">
              <w:rPr>
                <w:rFonts w:ascii="Palatino Linotype" w:eastAsia="Palatino Linotype" w:hAnsi="Palatino Linotype" w:cs="Palatino Linotype"/>
                <w:color w:val="000000"/>
              </w:rPr>
              <w:t xml:space="preserve">De lo anterior, se desprende que para una correcta </w:t>
            </w:r>
            <w:r w:rsidRPr="00C35E9E">
              <w:rPr>
                <w:rFonts w:ascii="Palatino Linotype" w:eastAsia="Palatino Linotype" w:hAnsi="Palatino Linotype" w:cs="Palatino Linotype"/>
                <w:b/>
                <w:bCs/>
                <w:color w:val="000000"/>
              </w:rPr>
              <w:t>clasificación total o parcial</w:t>
            </w:r>
            <w:r w:rsidRPr="00C35E9E">
              <w:rPr>
                <w:rFonts w:ascii="Palatino Linotype" w:eastAsia="Palatino Linotype" w:hAnsi="Palatino Linotype" w:cs="Palatino Linotype"/>
                <w:color w:val="000000"/>
              </w:rPr>
              <w:t>, esto es determinar los datos que se suprimen en las versiones públicas, es necesario fundar y motivar, de manera correcta, la clasificación; considerando que todo acto que la autoridad pronuncie en el ejercicio de sus atribuciones, debe expresar los fundamentos legales que le dieron origen y las razones por las que se deben aplicar al caso concreto.</w:t>
            </w:r>
          </w:p>
          <w:p w:rsidR="007D029B" w:rsidRPr="00C35E9E" w:rsidRDefault="00622048">
            <w:pPr>
              <w:tabs>
                <w:tab w:val="left" w:pos="284"/>
              </w:tabs>
              <w:spacing w:line="360" w:lineRule="auto"/>
              <w:ind w:right="49"/>
              <w:jc w:val="both"/>
              <w:rPr>
                <w:rFonts w:ascii="Palatino Linotype" w:eastAsia="Palatino Linotype" w:hAnsi="Palatino Linotype" w:cs="Palatino Linotype"/>
                <w:color w:val="000000"/>
              </w:rPr>
            </w:pPr>
            <w:r w:rsidRPr="00C35E9E">
              <w:rPr>
                <w:rFonts w:ascii="Palatino Linotype" w:eastAsia="Palatino Linotype" w:hAnsi="Palatino Linotype" w:cs="Palatino Linotype"/>
                <w:color w:val="000000"/>
              </w:rPr>
              <w:lastRenderedPageBreak/>
              <w:t>Así, en un acto de autoridad se cumple con la debida fundamentación cuando se cita el precepto legal aplicable al caso concreto y la debida motivación cuando se expresan las razones, motivos o circunstancias que tomó en cuenta la autoridad para adecuar el hecho a los fundamentos de derecho. De este modo, la persona que se sienta afectada pueda impugnar la decisión, permitiéndole una real y auténtica defensa.</w:t>
            </w:r>
          </w:p>
          <w:p w:rsidR="007D029B" w:rsidRPr="00C35E9E" w:rsidRDefault="00622048">
            <w:pPr>
              <w:tabs>
                <w:tab w:val="left" w:pos="284"/>
              </w:tabs>
              <w:spacing w:line="360" w:lineRule="auto"/>
              <w:ind w:right="49"/>
              <w:jc w:val="both"/>
              <w:rPr>
                <w:rFonts w:ascii="Palatino Linotype" w:eastAsia="Palatino Linotype" w:hAnsi="Palatino Linotype" w:cs="Palatino Linotype"/>
                <w:color w:val="000000"/>
              </w:rPr>
            </w:pPr>
            <w:r w:rsidRPr="00C35E9E">
              <w:rPr>
                <w:rFonts w:ascii="Palatino Linotype" w:eastAsia="Palatino Linotype" w:hAnsi="Palatino Linotype" w:cs="Palatino Linotype"/>
                <w:color w:val="000000"/>
              </w:rPr>
              <w:t>En ese mismo sentido, el numeral trigésimo tercero fracción V de los Lineamientos Generales, precisa que para motivar la clasificación se deben acreditar las circunstancias de tiempo, modo y lugar.</w:t>
            </w:r>
          </w:p>
          <w:p w:rsidR="007D029B" w:rsidRPr="00C35E9E" w:rsidRDefault="00622048">
            <w:pPr>
              <w:tabs>
                <w:tab w:val="left" w:pos="284"/>
              </w:tabs>
              <w:spacing w:line="360" w:lineRule="auto"/>
              <w:ind w:right="49"/>
              <w:jc w:val="both"/>
              <w:rPr>
                <w:rFonts w:ascii="Palatino Linotype" w:eastAsia="Palatino Linotype" w:hAnsi="Palatino Linotype" w:cs="Palatino Linotype"/>
                <w:color w:val="000000"/>
              </w:rPr>
            </w:pPr>
            <w:r w:rsidRPr="00C35E9E">
              <w:rPr>
                <w:rFonts w:ascii="Palatino Linotype" w:eastAsia="Palatino Linotype" w:hAnsi="Palatino Linotype" w:cs="Palatino Linotype"/>
                <w:color w:val="000000"/>
              </w:rPr>
              <w:t xml:space="preserve">Ahora bien, </w:t>
            </w:r>
            <w:r w:rsidRPr="00C35E9E">
              <w:rPr>
                <w:rFonts w:ascii="Palatino Linotype" w:eastAsia="Palatino Linotype" w:hAnsi="Palatino Linotype" w:cs="Palatino Linotype"/>
                <w:b/>
                <w:bCs/>
                <w:color w:val="000000"/>
                <w:u w:val="single"/>
              </w:rPr>
              <w:t>para cada caso además de fundar y motivar</w:t>
            </w:r>
            <w:r w:rsidRPr="00C35E9E">
              <w:rPr>
                <w:rFonts w:ascii="Palatino Linotype" w:eastAsia="Palatino Linotype" w:hAnsi="Palatino Linotype" w:cs="Palatino Linotype"/>
                <w:color w:val="000000"/>
              </w:rPr>
              <w:t>, se debe identificar con claridad que datos contenidos en las documentales que son susceptibles de suprimirse, por ejemplo; Clave Única de Registro de Población (CURP), Registro Federal de Contribuyentes (R.F.C.), claves de seguros, préstamos o descuentos personales, secretos bancario, fiduciario, industrial, comercial, fiscal, bursátil y postal, cuya titularidad corresponda a particulares, entre otros.</w:t>
            </w:r>
          </w:p>
        </w:tc>
      </w:tr>
      <w:tr w:rsidR="007D029B" w:rsidRPr="00C35E9E" w:rsidTr="00C35E9E">
        <w:tc>
          <w:tcPr>
            <w:tcW w:w="2689" w:type="dxa"/>
          </w:tcPr>
          <w:p w:rsidR="007D029B" w:rsidRPr="00C35E9E" w:rsidRDefault="00622048">
            <w:pPr>
              <w:tabs>
                <w:tab w:val="left" w:pos="284"/>
              </w:tabs>
              <w:spacing w:line="360" w:lineRule="auto"/>
              <w:ind w:right="49"/>
              <w:jc w:val="both"/>
              <w:rPr>
                <w:rFonts w:ascii="Palatino Linotype" w:eastAsia="Palatino Linotype" w:hAnsi="Palatino Linotype" w:cs="Palatino Linotype"/>
                <w:b/>
                <w:bCs/>
              </w:rPr>
            </w:pPr>
            <w:r w:rsidRPr="00C35E9E">
              <w:rPr>
                <w:rFonts w:ascii="Palatino Linotype" w:eastAsia="Palatino Linotype" w:hAnsi="Palatino Linotype" w:cs="Palatino Linotype"/>
                <w:b/>
                <w:bCs/>
              </w:rPr>
              <w:lastRenderedPageBreak/>
              <w:t xml:space="preserve">e) Condiciones especiales de la clasificación de la </w:t>
            </w:r>
            <w:r w:rsidRPr="00C35E9E">
              <w:rPr>
                <w:rFonts w:ascii="Palatino Linotype" w:eastAsia="Palatino Linotype" w:hAnsi="Palatino Linotype" w:cs="Palatino Linotype"/>
                <w:b/>
                <w:bCs/>
              </w:rPr>
              <w:lastRenderedPageBreak/>
              <w:t xml:space="preserve">información como confidencial. </w:t>
            </w:r>
          </w:p>
        </w:tc>
        <w:tc>
          <w:tcPr>
            <w:tcW w:w="6945" w:type="dxa"/>
          </w:tcPr>
          <w:p w:rsidR="007D029B" w:rsidRPr="00C35E9E" w:rsidRDefault="00622048">
            <w:pPr>
              <w:tabs>
                <w:tab w:val="left" w:pos="284"/>
              </w:tabs>
              <w:spacing w:line="360" w:lineRule="auto"/>
              <w:ind w:right="49"/>
              <w:jc w:val="both"/>
              <w:rPr>
                <w:rFonts w:ascii="Palatino Linotype" w:eastAsia="Palatino Linotype" w:hAnsi="Palatino Linotype" w:cs="Palatino Linotype"/>
                <w:color w:val="000000"/>
              </w:rPr>
            </w:pPr>
            <w:r w:rsidRPr="00C35E9E">
              <w:rPr>
                <w:rFonts w:ascii="Palatino Linotype" w:eastAsia="Palatino Linotype" w:hAnsi="Palatino Linotype" w:cs="Palatino Linotype"/>
                <w:color w:val="000000"/>
              </w:rPr>
              <w:lastRenderedPageBreak/>
              <w:t xml:space="preserve">Los artículos 148 y 120 de la Ley Estatal y de la Ley General, vigente a la fecha de la solicitud de información, respectivamente, establecen que aun tratándose de datos </w:t>
            </w:r>
            <w:r w:rsidRPr="00C35E9E">
              <w:rPr>
                <w:rFonts w:ascii="Palatino Linotype" w:eastAsia="Palatino Linotype" w:hAnsi="Palatino Linotype" w:cs="Palatino Linotype"/>
                <w:color w:val="000000"/>
              </w:rPr>
              <w:lastRenderedPageBreak/>
              <w:t xml:space="preserve">personales, se podrán proporcionar, incluso sin solicitar el consentimiento de su titular. </w:t>
            </w:r>
          </w:p>
          <w:p w:rsidR="007D029B" w:rsidRPr="00C35E9E" w:rsidRDefault="00622048">
            <w:pPr>
              <w:tabs>
                <w:tab w:val="left" w:pos="284"/>
              </w:tabs>
              <w:spacing w:line="360" w:lineRule="auto"/>
              <w:ind w:right="49"/>
              <w:jc w:val="both"/>
              <w:rPr>
                <w:rFonts w:ascii="Palatino Linotype" w:eastAsia="Palatino Linotype" w:hAnsi="Palatino Linotype" w:cs="Palatino Linotype"/>
                <w:color w:val="000000"/>
              </w:rPr>
            </w:pPr>
            <w:r w:rsidRPr="00C35E9E">
              <w:rPr>
                <w:rFonts w:ascii="Palatino Linotype" w:eastAsia="Palatino Linotype" w:hAnsi="Palatino Linotype" w:cs="Palatino Linotype"/>
                <w:color w:val="000000"/>
              </w:rPr>
              <w:t xml:space="preserve">En el caso de lo señalado en la fracción IV, será el Instituto quien deba aplicar la prueba de interés público, considerando también que como recientemente ha discutido la Suprema Corte de Justicia de la Nación, los servidores públicos nos encontramos sujetos a un régimen menor de protección. </w:t>
            </w:r>
          </w:p>
          <w:p w:rsidR="007D029B" w:rsidRPr="00C35E9E" w:rsidRDefault="00622048">
            <w:pPr>
              <w:tabs>
                <w:tab w:val="left" w:pos="284"/>
              </w:tabs>
              <w:spacing w:line="360" w:lineRule="auto"/>
              <w:rPr>
                <w:rFonts w:ascii="Palatino Linotype" w:eastAsia="Palatino Linotype" w:hAnsi="Palatino Linotype" w:cs="Palatino Linotype"/>
              </w:rPr>
            </w:pPr>
            <w:r w:rsidRPr="00C35E9E">
              <w:rPr>
                <w:rFonts w:ascii="Palatino Linotype" w:eastAsia="Palatino Linotype" w:hAnsi="Palatino Linotype" w:cs="Palatino Linotype"/>
                <w:color w:val="000000"/>
              </w:rPr>
              <w:t>Pero si la información que se pretende clasificar como confidencial no se encuentra en los supuestos de los artículos señalados y es posible, se deberá consultar al titular de los datos si permite o no el acceso. De no ser posible, la realización de la consulta, procede, fundando y motivando, la clasificación.</w:t>
            </w:r>
          </w:p>
        </w:tc>
      </w:tr>
    </w:tbl>
    <w:p w:rsidR="007D029B" w:rsidRPr="00C35E9E" w:rsidRDefault="007D029B">
      <w:pPr>
        <w:tabs>
          <w:tab w:val="left" w:pos="284"/>
        </w:tabs>
        <w:spacing w:line="360" w:lineRule="auto"/>
        <w:rPr>
          <w:rFonts w:ascii="Palatino Linotype" w:eastAsia="Palatino Linotype" w:hAnsi="Palatino Linotype" w:cs="Palatino Linotype"/>
          <w:color w:val="000000"/>
        </w:rPr>
      </w:pPr>
    </w:p>
    <w:p w:rsidR="007D029B" w:rsidRPr="00C35E9E" w:rsidRDefault="007D029B">
      <w:pPr>
        <w:rPr>
          <w:rFonts w:ascii="Palatino Linotype" w:eastAsia="Palatino Linotype" w:hAnsi="Palatino Linotype" w:cs="Palatino Linotype"/>
        </w:rPr>
      </w:pPr>
    </w:p>
    <w:p w:rsidR="007D029B" w:rsidRPr="00C35E9E" w:rsidRDefault="00622048">
      <w:pPr>
        <w:numPr>
          <w:ilvl w:val="0"/>
          <w:numId w:val="4"/>
        </w:numPr>
        <w:spacing w:line="360" w:lineRule="auto"/>
        <w:ind w:left="0" w:right="-787" w:firstLine="0"/>
        <w:jc w:val="both"/>
        <w:rPr>
          <w:rFonts w:ascii="Palatino Linotype" w:eastAsia="Palatino Linotype" w:hAnsi="Palatino Linotype" w:cs="Palatino Linotype"/>
        </w:rPr>
      </w:pPr>
      <w:r w:rsidRPr="00C35E9E">
        <w:rPr>
          <w:rFonts w:ascii="Palatino Linotype" w:eastAsia="Palatino Linotype" w:hAnsi="Palatino Linotype" w:cs="Palatino Linotype"/>
        </w:rPr>
        <w:t xml:space="preserve">En ese </w:t>
      </w:r>
      <w:r w:rsidRPr="00C35E9E">
        <w:rPr>
          <w:rFonts w:ascii="Palatino Linotype" w:eastAsia="Palatino Linotype" w:hAnsi="Palatino Linotype" w:cs="Palatino Linotype"/>
          <w:color w:val="000000"/>
        </w:rPr>
        <w:t>sentido</w:t>
      </w:r>
      <w:r w:rsidRPr="00C35E9E">
        <w:rPr>
          <w:rFonts w:ascii="Palatino Linotype" w:eastAsia="Palatino Linotype" w:hAnsi="Palatino Linotype" w:cs="Palatino Linotype"/>
        </w:rPr>
        <w:t xml:space="preserve">, el </w:t>
      </w:r>
      <w:r w:rsidRPr="00C35E9E">
        <w:rPr>
          <w:rFonts w:ascii="Palatino Linotype" w:eastAsia="Palatino Linotype" w:hAnsi="Palatino Linotype" w:cs="Palatino Linotype"/>
          <w:b/>
          <w:bCs/>
        </w:rPr>
        <w:t>SUJETO OBLIGADO</w:t>
      </w:r>
      <w:r w:rsidRPr="00C35E9E">
        <w:rPr>
          <w:rFonts w:ascii="Palatino Linotype" w:eastAsia="Palatino Linotype" w:hAnsi="Palatino Linotype" w:cs="Palatino Linotype"/>
        </w:rPr>
        <w:t xml:space="preserve"> deberá de emitir el Acuerdo del Comité de Transparencia, </w:t>
      </w:r>
      <w:r w:rsidRPr="00C35E9E">
        <w:rPr>
          <w:rFonts w:ascii="Palatino Linotype" w:eastAsia="Palatino Linotype" w:hAnsi="Palatino Linotype" w:cs="Palatino Linotype"/>
          <w:color w:val="000000"/>
        </w:rPr>
        <w:t>mediante</w:t>
      </w:r>
      <w:r w:rsidRPr="00C35E9E">
        <w:rPr>
          <w:rFonts w:ascii="Palatino Linotype" w:eastAsia="Palatino Linotype" w:hAnsi="Palatino Linotype" w:cs="Palatino Linotype"/>
        </w:rPr>
        <w:t xml:space="preserve"> el cual de manera fundada y motivada establezca las razones que llevaron al Sujeto </w:t>
      </w:r>
      <w:r w:rsidRPr="00C35E9E">
        <w:rPr>
          <w:rFonts w:ascii="Palatino Linotype" w:eastAsia="Palatino Linotype" w:hAnsi="Palatino Linotype" w:cs="Palatino Linotype"/>
          <w:color w:val="000000"/>
        </w:rPr>
        <w:t>Obligado</w:t>
      </w:r>
      <w:r w:rsidRPr="00C35E9E">
        <w:rPr>
          <w:rFonts w:ascii="Palatino Linotype" w:eastAsia="Palatino Linotype" w:hAnsi="Palatino Linotype" w:cs="Palatino Linotype"/>
        </w:rPr>
        <w:t xml:space="preserve"> a testar, suprimir o eliminar datos de dicho soporte documental, ya que no hacerlo, se reitera que lo entregado no tendría un sustento jurídico ni resultaría ser una versión pública, sino más bien una documentación ilegible, incompleta o tachada; ya que el no justificar las causas o motivos por las que no se aprecian determinados datos -ya sea porque se testan o suprimen- deja al solicitante en estado de incertidumbre, al no conocer o comprender porque no aparecen en la documentación respectiva.</w:t>
      </w:r>
    </w:p>
    <w:p w:rsidR="007D029B" w:rsidRPr="00C35E9E" w:rsidRDefault="007D029B">
      <w:pPr>
        <w:tabs>
          <w:tab w:val="left" w:pos="284"/>
        </w:tabs>
        <w:spacing w:line="360" w:lineRule="auto"/>
        <w:ind w:right="276"/>
        <w:jc w:val="both"/>
        <w:rPr>
          <w:rFonts w:ascii="Palatino Linotype" w:eastAsia="Palatino Linotype" w:hAnsi="Palatino Linotype" w:cs="Palatino Linotype"/>
          <w:color w:val="000000"/>
        </w:rPr>
      </w:pPr>
    </w:p>
    <w:p w:rsidR="007D029B" w:rsidRPr="00C35E9E" w:rsidRDefault="00622048">
      <w:pPr>
        <w:numPr>
          <w:ilvl w:val="0"/>
          <w:numId w:val="4"/>
        </w:numPr>
        <w:spacing w:line="360" w:lineRule="auto"/>
        <w:ind w:left="0" w:right="-787" w:firstLine="0"/>
        <w:jc w:val="both"/>
        <w:rPr>
          <w:rFonts w:ascii="Palatino Linotype" w:eastAsia="Palatino Linotype" w:hAnsi="Palatino Linotype" w:cs="Palatino Linotype"/>
          <w:b/>
          <w:bCs/>
        </w:rPr>
      </w:pPr>
      <w:r w:rsidRPr="00C35E9E">
        <w:rPr>
          <w:rFonts w:ascii="Palatino Linotype" w:eastAsia="Palatino Linotype" w:hAnsi="Palatino Linotype" w:cs="Palatino Linotype"/>
        </w:rPr>
        <w:lastRenderedPageBreak/>
        <w:t xml:space="preserve">Derivado de lo </w:t>
      </w:r>
      <w:r w:rsidRPr="00C35E9E">
        <w:rPr>
          <w:rFonts w:ascii="Palatino Linotype" w:eastAsia="Palatino Linotype" w:hAnsi="Palatino Linotype" w:cs="Palatino Linotype"/>
          <w:color w:val="000000"/>
        </w:rPr>
        <w:t>establecido</w:t>
      </w:r>
      <w:r w:rsidRPr="00C35E9E">
        <w:rPr>
          <w:rFonts w:ascii="Palatino Linotype" w:eastAsia="Palatino Linotype" w:hAnsi="Palatino Linotype" w:cs="Palatino Linotype"/>
        </w:rPr>
        <w:t xml:space="preserve"> en párrafos anteriores, si el </w:t>
      </w:r>
      <w:r w:rsidRPr="00C35E9E">
        <w:rPr>
          <w:rFonts w:ascii="Palatino Linotype" w:eastAsia="Palatino Linotype" w:hAnsi="Palatino Linotype" w:cs="Palatino Linotype"/>
          <w:b/>
          <w:bCs/>
        </w:rPr>
        <w:t>SUJETO OBLIGADO</w:t>
      </w:r>
      <w:r w:rsidRPr="00C35E9E">
        <w:rPr>
          <w:rFonts w:ascii="Palatino Linotype" w:eastAsia="Palatino Linotype" w:hAnsi="Palatino Linotype" w:cs="Palatino Linotype"/>
        </w:rPr>
        <w:t xml:space="preserve"> incumple con estas formalidades y entrega la información sin proteger los datos personales o testando </w:t>
      </w:r>
      <w:r w:rsidRPr="00C35E9E">
        <w:rPr>
          <w:rFonts w:ascii="Palatino Linotype" w:eastAsia="Palatino Linotype" w:hAnsi="Palatino Linotype" w:cs="Palatino Linotype"/>
          <w:color w:val="000000"/>
        </w:rPr>
        <w:t>datos</w:t>
      </w:r>
      <w:r w:rsidRPr="00C35E9E">
        <w:rPr>
          <w:rFonts w:ascii="Palatino Linotype" w:eastAsia="Palatino Linotype" w:hAnsi="Palatino Linotype" w:cs="Palatino Linotype"/>
        </w:rPr>
        <w:t xml:space="preserve"> considerados como públicos incumple con lo que estipulan las disposiciones legales establecidas, asimismo que si entrega un documento testado sin el debido acuerdo de clasificación.</w:t>
      </w:r>
    </w:p>
    <w:p w:rsidR="007D029B" w:rsidRPr="00C35E9E" w:rsidRDefault="007D029B">
      <w:pPr>
        <w:spacing w:line="360" w:lineRule="auto"/>
        <w:ind w:right="-787"/>
        <w:jc w:val="both"/>
        <w:rPr>
          <w:rFonts w:ascii="Palatino Linotype" w:eastAsia="Palatino Linotype" w:hAnsi="Palatino Linotype" w:cs="Palatino Linotype"/>
          <w:b/>
          <w:bCs/>
        </w:rPr>
      </w:pPr>
    </w:p>
    <w:p w:rsidR="007D029B" w:rsidRPr="00C35E9E" w:rsidRDefault="00622048">
      <w:pPr>
        <w:numPr>
          <w:ilvl w:val="0"/>
          <w:numId w:val="4"/>
        </w:numPr>
        <w:spacing w:line="360" w:lineRule="auto"/>
        <w:ind w:left="0" w:right="-787" w:firstLine="0"/>
        <w:jc w:val="both"/>
        <w:rPr>
          <w:rFonts w:ascii="Palatino Linotype" w:eastAsia="Palatino Linotype" w:hAnsi="Palatino Linotype" w:cs="Palatino Linotype"/>
        </w:rPr>
      </w:pPr>
      <w:r w:rsidRPr="00C35E9E">
        <w:rPr>
          <w:rFonts w:ascii="Palatino Linotype" w:eastAsia="Palatino Linotype" w:hAnsi="Palatino Linotype" w:cs="Palatino Linotype"/>
        </w:rPr>
        <w:t xml:space="preserve">En razón de lo </w:t>
      </w:r>
      <w:r w:rsidRPr="00C35E9E">
        <w:rPr>
          <w:rFonts w:ascii="Palatino Linotype" w:eastAsia="Palatino Linotype" w:hAnsi="Palatino Linotype" w:cs="Palatino Linotype"/>
          <w:color w:val="000000"/>
        </w:rPr>
        <w:t>expuesto</w:t>
      </w:r>
      <w:r w:rsidRPr="00C35E9E">
        <w:rPr>
          <w:rFonts w:ascii="Palatino Linotype" w:eastAsia="Palatino Linotype" w:hAnsi="Palatino Linotype" w:cs="Palatino Linotype"/>
        </w:rPr>
        <w:t xml:space="preserve">, y con fundamento en lo prescrito en los artículos </w:t>
      </w:r>
      <w:r w:rsidRPr="00C35E9E">
        <w:rPr>
          <w:rFonts w:ascii="Palatino Linotype" w:eastAsia="Palatino Linotype" w:hAnsi="Palatino Linotype" w:cs="Palatino Linotype"/>
          <w:color w:val="000000"/>
        </w:rPr>
        <w:t>5, párrafos cuadragésimo cuarto, cuadragésimo quinto y cuadragésimo sexto, fracciones IV y V, de la Constitución Política del Estado Libre y Soberano de México</w:t>
      </w:r>
      <w:r w:rsidRPr="00C35E9E">
        <w:rPr>
          <w:rFonts w:ascii="Palatino Linotype" w:eastAsia="Palatino Linotype" w:hAnsi="Palatino Linotype" w:cs="Palatino Linotype"/>
        </w:rPr>
        <w:t>; 2, fracción II; 29, 36 fracciones I y II; 176, 178, 179, 181 y 185 de la Ley de Transparencia y Acceso a la Información Pública del Estado de México y Municipios, este Pleno:</w:t>
      </w:r>
    </w:p>
    <w:p w:rsidR="007D029B" w:rsidRPr="00C35E9E" w:rsidRDefault="007D029B">
      <w:pPr>
        <w:ind w:right="278"/>
        <w:rPr>
          <w:rFonts w:ascii="Palatino Linotype" w:eastAsia="Palatino Linotype" w:hAnsi="Palatino Linotype" w:cs="Palatino Linotype"/>
        </w:rPr>
      </w:pPr>
    </w:p>
    <w:p w:rsidR="007D029B" w:rsidRPr="00C35E9E" w:rsidRDefault="00622048">
      <w:pPr>
        <w:spacing w:line="360" w:lineRule="auto"/>
        <w:ind w:right="-858"/>
        <w:jc w:val="center"/>
        <w:rPr>
          <w:rFonts w:ascii="Palatino Linotype" w:eastAsia="Palatino Linotype" w:hAnsi="Palatino Linotype" w:cs="Palatino Linotype"/>
          <w:b/>
          <w:bCs/>
        </w:rPr>
      </w:pPr>
      <w:r w:rsidRPr="00C35E9E">
        <w:rPr>
          <w:rFonts w:ascii="Palatino Linotype" w:eastAsia="Palatino Linotype" w:hAnsi="Palatino Linotype" w:cs="Palatino Linotype"/>
          <w:b/>
          <w:bCs/>
        </w:rPr>
        <w:t>R E S U E L V E</w:t>
      </w:r>
    </w:p>
    <w:p w:rsidR="007D029B" w:rsidRPr="00C35E9E" w:rsidRDefault="007D029B">
      <w:pPr>
        <w:spacing w:line="360" w:lineRule="auto"/>
        <w:ind w:right="-787"/>
        <w:jc w:val="center"/>
        <w:rPr>
          <w:rFonts w:ascii="Palatino Linotype" w:eastAsia="Palatino Linotype" w:hAnsi="Palatino Linotype" w:cs="Palatino Linotype"/>
          <w:b/>
          <w:bCs/>
        </w:rPr>
      </w:pPr>
    </w:p>
    <w:p w:rsidR="007D029B" w:rsidRPr="00C35E9E" w:rsidRDefault="00622048">
      <w:pPr>
        <w:spacing w:line="360" w:lineRule="auto"/>
        <w:ind w:right="-787"/>
        <w:jc w:val="both"/>
        <w:rPr>
          <w:rFonts w:ascii="Palatino Linotype" w:eastAsia="Palatino Linotype" w:hAnsi="Palatino Linotype" w:cs="Palatino Linotype"/>
          <w:b/>
          <w:bCs/>
        </w:rPr>
      </w:pPr>
      <w:r w:rsidRPr="00C35E9E">
        <w:rPr>
          <w:rFonts w:ascii="Palatino Linotype" w:eastAsia="Palatino Linotype" w:hAnsi="Palatino Linotype" w:cs="Palatino Linotype"/>
          <w:b/>
          <w:bCs/>
        </w:rPr>
        <w:t>PRIMERO</w:t>
      </w:r>
      <w:r w:rsidRPr="00C35E9E">
        <w:rPr>
          <w:rFonts w:ascii="Palatino Linotype" w:eastAsia="Palatino Linotype" w:hAnsi="Palatino Linotype" w:cs="Palatino Linotype"/>
        </w:rPr>
        <w:t xml:space="preserve">. Resultan </w:t>
      </w:r>
      <w:r w:rsidRPr="00C35E9E">
        <w:rPr>
          <w:rFonts w:ascii="Palatino Linotype" w:eastAsia="Palatino Linotype" w:hAnsi="Palatino Linotype" w:cs="Palatino Linotype"/>
          <w:b/>
          <w:bCs/>
        </w:rPr>
        <w:t>FUNDADAS</w:t>
      </w:r>
      <w:r w:rsidRPr="00C35E9E">
        <w:rPr>
          <w:rFonts w:ascii="Palatino Linotype" w:eastAsia="Palatino Linotype" w:hAnsi="Palatino Linotype" w:cs="Palatino Linotype"/>
        </w:rPr>
        <w:t xml:space="preserve"> las razones o motivos de inconformidad hechos valer en el recurso de revisión </w:t>
      </w:r>
      <w:r w:rsidRPr="00C35E9E">
        <w:rPr>
          <w:rFonts w:ascii="Palatino Linotype" w:eastAsia="Palatino Linotype" w:hAnsi="Palatino Linotype" w:cs="Palatino Linotype"/>
          <w:b/>
          <w:bCs/>
          <w:color w:val="000000"/>
        </w:rPr>
        <w:t>09538/INFOEM/IP/RR/2025</w:t>
      </w:r>
      <w:r w:rsidRPr="00C35E9E">
        <w:rPr>
          <w:rFonts w:ascii="Palatino Linotype" w:eastAsia="Palatino Linotype" w:hAnsi="Palatino Linotype" w:cs="Palatino Linotype"/>
        </w:rPr>
        <w:t>,</w:t>
      </w:r>
      <w:r w:rsidRPr="00C35E9E">
        <w:rPr>
          <w:rFonts w:ascii="Palatino Linotype" w:eastAsia="Palatino Linotype" w:hAnsi="Palatino Linotype" w:cs="Palatino Linotype"/>
          <w:b/>
          <w:bCs/>
        </w:rPr>
        <w:t xml:space="preserve"> </w:t>
      </w:r>
      <w:r w:rsidRPr="00C35E9E">
        <w:rPr>
          <w:rFonts w:ascii="Palatino Linotype" w:eastAsia="Palatino Linotype" w:hAnsi="Palatino Linotype" w:cs="Palatino Linotype"/>
        </w:rPr>
        <w:t xml:space="preserve">en términos del </w:t>
      </w:r>
      <w:r w:rsidRPr="00C35E9E">
        <w:rPr>
          <w:rFonts w:ascii="Palatino Linotype" w:eastAsia="Palatino Linotype" w:hAnsi="Palatino Linotype" w:cs="Palatino Linotype"/>
          <w:b/>
          <w:bCs/>
        </w:rPr>
        <w:t xml:space="preserve">Considerando CUARTO </w:t>
      </w:r>
      <w:r w:rsidRPr="00C35E9E">
        <w:rPr>
          <w:rFonts w:ascii="Palatino Linotype" w:eastAsia="Palatino Linotype" w:hAnsi="Palatino Linotype" w:cs="Palatino Linotype"/>
        </w:rPr>
        <w:t>de la presente resolución</w:t>
      </w:r>
      <w:r w:rsidRPr="00C35E9E">
        <w:rPr>
          <w:rFonts w:ascii="Palatino Linotype" w:eastAsia="Palatino Linotype" w:hAnsi="Palatino Linotype" w:cs="Palatino Linotype"/>
          <w:b/>
          <w:bCs/>
        </w:rPr>
        <w:t>.</w:t>
      </w:r>
    </w:p>
    <w:p w:rsidR="007D029B" w:rsidRPr="00C35E9E" w:rsidRDefault="007D029B">
      <w:pPr>
        <w:spacing w:line="360" w:lineRule="auto"/>
        <w:ind w:right="276"/>
        <w:jc w:val="both"/>
        <w:rPr>
          <w:rFonts w:ascii="Palatino Linotype" w:eastAsia="Palatino Linotype" w:hAnsi="Palatino Linotype" w:cs="Palatino Linotype"/>
          <w:b/>
          <w:bCs/>
        </w:rPr>
      </w:pPr>
    </w:p>
    <w:p w:rsidR="007D029B" w:rsidRPr="00C35E9E" w:rsidRDefault="00622048">
      <w:pPr>
        <w:spacing w:line="360" w:lineRule="auto"/>
        <w:ind w:right="-787"/>
        <w:jc w:val="both"/>
        <w:rPr>
          <w:rFonts w:ascii="Palatino Linotype" w:eastAsia="Palatino Linotype" w:hAnsi="Palatino Linotype" w:cs="Palatino Linotype"/>
        </w:rPr>
      </w:pPr>
      <w:bookmarkStart w:id="7" w:name="_heading=h.1ksv4uv" w:colFirst="0" w:colLast="0"/>
      <w:bookmarkEnd w:id="7"/>
      <w:r w:rsidRPr="00C35E9E">
        <w:rPr>
          <w:rFonts w:ascii="Palatino Linotype" w:eastAsia="Palatino Linotype" w:hAnsi="Palatino Linotype" w:cs="Palatino Linotype"/>
          <w:b/>
          <w:bCs/>
        </w:rPr>
        <w:t>SEGUNDO.</w:t>
      </w:r>
      <w:r w:rsidRPr="00C35E9E">
        <w:rPr>
          <w:rFonts w:ascii="Palatino Linotype" w:eastAsia="Palatino Linotype" w:hAnsi="Palatino Linotype" w:cs="Palatino Linotype"/>
          <w:color w:val="2F5496"/>
        </w:rPr>
        <w:t xml:space="preserve"> </w:t>
      </w:r>
      <w:r w:rsidRPr="00C35E9E">
        <w:rPr>
          <w:rFonts w:ascii="Palatino Linotype" w:eastAsia="Palatino Linotype" w:hAnsi="Palatino Linotype" w:cs="Palatino Linotype"/>
          <w:color w:val="000000"/>
        </w:rPr>
        <w:t xml:space="preserve">Se </w:t>
      </w:r>
      <w:r w:rsidRPr="00C35E9E">
        <w:rPr>
          <w:rFonts w:ascii="Palatino Linotype" w:eastAsia="Palatino Linotype" w:hAnsi="Palatino Linotype" w:cs="Palatino Linotype"/>
          <w:b/>
          <w:bCs/>
          <w:color w:val="000000"/>
        </w:rPr>
        <w:t xml:space="preserve">MODIFICA </w:t>
      </w:r>
      <w:r w:rsidRPr="00C35E9E">
        <w:rPr>
          <w:rFonts w:ascii="Palatino Linotype" w:eastAsia="Palatino Linotype" w:hAnsi="Palatino Linotype" w:cs="Palatino Linotype"/>
          <w:color w:val="000000"/>
        </w:rPr>
        <w:t xml:space="preserve">la respuesta emitida por el </w:t>
      </w:r>
      <w:r w:rsidRPr="00C35E9E">
        <w:rPr>
          <w:rFonts w:ascii="Palatino Linotype" w:eastAsia="Palatino Linotype" w:hAnsi="Palatino Linotype" w:cs="Palatino Linotype"/>
          <w:b/>
          <w:bCs/>
        </w:rPr>
        <w:t xml:space="preserve">Ayuntamiento de Nicolás Romero </w:t>
      </w:r>
      <w:r w:rsidRPr="00C35E9E">
        <w:rPr>
          <w:rFonts w:ascii="Palatino Linotype" w:eastAsia="Palatino Linotype" w:hAnsi="Palatino Linotype" w:cs="Palatino Linotype"/>
          <w:color w:val="000000"/>
        </w:rPr>
        <w:t xml:space="preserve">y se </w:t>
      </w:r>
      <w:r w:rsidRPr="00C35E9E">
        <w:rPr>
          <w:rFonts w:ascii="Palatino Linotype" w:eastAsia="Palatino Linotype" w:hAnsi="Palatino Linotype" w:cs="Palatino Linotype"/>
          <w:b/>
          <w:bCs/>
          <w:color w:val="000000"/>
        </w:rPr>
        <w:t>ORDENA</w:t>
      </w:r>
      <w:r w:rsidRPr="00C35E9E">
        <w:rPr>
          <w:rFonts w:ascii="Palatino Linotype" w:eastAsia="Palatino Linotype" w:hAnsi="Palatino Linotype" w:cs="Palatino Linotype"/>
          <w:color w:val="000000"/>
        </w:rPr>
        <w:t xml:space="preserve"> entregar, vía Sistema de Acceso a la Información Mexiquense </w:t>
      </w:r>
      <w:r w:rsidRPr="00C35E9E">
        <w:rPr>
          <w:rFonts w:ascii="Palatino Linotype" w:eastAsia="Palatino Linotype" w:hAnsi="Palatino Linotype" w:cs="Palatino Linotype"/>
          <w:b/>
          <w:bCs/>
          <w:color w:val="000000"/>
        </w:rPr>
        <w:t>(SAIMEX),</w:t>
      </w:r>
      <w:r w:rsidRPr="00C35E9E">
        <w:rPr>
          <w:rFonts w:ascii="Palatino Linotype" w:eastAsia="Palatino Linotype" w:hAnsi="Palatino Linotype" w:cs="Palatino Linotype"/>
        </w:rPr>
        <w:t xml:space="preserve"> previa búsqueda exhaustiva y razonable, de ser procedente en versión pública, al 09 de julio de 2025, la siguiente información:</w:t>
      </w:r>
    </w:p>
    <w:p w:rsidR="007D029B" w:rsidRPr="00C35E9E" w:rsidRDefault="007D029B">
      <w:pPr>
        <w:spacing w:line="360" w:lineRule="auto"/>
        <w:ind w:right="-787"/>
        <w:jc w:val="both"/>
        <w:rPr>
          <w:rFonts w:ascii="Palatino Linotype" w:eastAsia="Palatino Linotype" w:hAnsi="Palatino Linotype" w:cs="Palatino Linotype"/>
        </w:rPr>
      </w:pPr>
    </w:p>
    <w:p w:rsidR="007D029B" w:rsidRPr="00C35E9E" w:rsidRDefault="00622048">
      <w:pPr>
        <w:numPr>
          <w:ilvl w:val="0"/>
          <w:numId w:val="6"/>
        </w:numPr>
        <w:pBdr>
          <w:top w:val="nil"/>
          <w:left w:val="nil"/>
          <w:bottom w:val="nil"/>
          <w:right w:val="nil"/>
          <w:between w:val="nil"/>
        </w:pBdr>
        <w:tabs>
          <w:tab w:val="left" w:pos="8080"/>
        </w:tabs>
        <w:spacing w:line="360" w:lineRule="auto"/>
        <w:ind w:right="-433"/>
        <w:jc w:val="both"/>
        <w:rPr>
          <w:rFonts w:ascii="Palatino Linotype" w:eastAsia="Palatino Linotype" w:hAnsi="Palatino Linotype" w:cs="Palatino Linotype"/>
          <w:b/>
          <w:bCs/>
          <w:color w:val="000000"/>
        </w:rPr>
      </w:pPr>
      <w:r w:rsidRPr="00C35E9E">
        <w:rPr>
          <w:rFonts w:ascii="Palatino Linotype" w:eastAsia="Palatino Linotype" w:hAnsi="Palatino Linotype" w:cs="Palatino Linotype"/>
          <w:b/>
          <w:bCs/>
          <w:color w:val="000000"/>
        </w:rPr>
        <w:lastRenderedPageBreak/>
        <w:t>El documento en el que conste adviertan los avances respecto a los acuerdos establecidos en el foro “Yo quiero ser escuchade”, llevado a cabo el 07 de febrero de 2025.</w:t>
      </w:r>
    </w:p>
    <w:p w:rsidR="007D029B" w:rsidRPr="00C35E9E" w:rsidRDefault="007D029B">
      <w:pPr>
        <w:pBdr>
          <w:top w:val="nil"/>
          <w:left w:val="nil"/>
          <w:bottom w:val="nil"/>
          <w:right w:val="nil"/>
          <w:between w:val="nil"/>
        </w:pBdr>
        <w:tabs>
          <w:tab w:val="left" w:pos="8080"/>
        </w:tabs>
        <w:spacing w:line="360" w:lineRule="auto"/>
        <w:ind w:right="-433"/>
        <w:jc w:val="both"/>
        <w:rPr>
          <w:rFonts w:ascii="Palatino Linotype" w:eastAsia="Palatino Linotype" w:hAnsi="Palatino Linotype" w:cs="Palatino Linotype"/>
          <w:color w:val="000000"/>
        </w:rPr>
      </w:pPr>
    </w:p>
    <w:p w:rsidR="007D029B" w:rsidRPr="00C35E9E" w:rsidRDefault="00622048" w:rsidP="00CB049C">
      <w:pPr>
        <w:pBdr>
          <w:top w:val="nil"/>
          <w:left w:val="nil"/>
          <w:bottom w:val="nil"/>
          <w:right w:val="nil"/>
          <w:between w:val="nil"/>
        </w:pBdr>
        <w:tabs>
          <w:tab w:val="left" w:pos="8080"/>
        </w:tabs>
        <w:spacing w:line="360" w:lineRule="auto"/>
        <w:ind w:right="-433"/>
        <w:jc w:val="both"/>
        <w:rPr>
          <w:rFonts w:ascii="Palatino Linotype" w:eastAsia="Palatino Linotype" w:hAnsi="Palatino Linotype" w:cs="Palatino Linotype"/>
          <w:b/>
          <w:bCs/>
          <w:color w:val="000000"/>
        </w:rPr>
      </w:pPr>
      <w:r w:rsidRPr="00C35E9E">
        <w:rPr>
          <w:rFonts w:ascii="Palatino Linotype" w:eastAsia="Palatino Linotype" w:hAnsi="Palatino Linotype" w:cs="Palatino Linotype"/>
          <w:color w:val="000000"/>
        </w:rPr>
        <w:t xml:space="preserve">Para efectos de lo anterior, de ser procedente, deberá emitir el Acuerdo del Comité de Transparencia en términos de los artículos 49, fracción VIII y 132, fracción II, de la Ley de Transparencia y Acceso a la Información Pública del Estado de México y Municipios, en el que funde y motive las razones sobre los datos que se supriman o eliminen dentro del soporte documental respectivo objeto de las versiones públicas que se formulen y se pongan a disposición del </w:t>
      </w:r>
      <w:r w:rsidRPr="00C35E9E">
        <w:rPr>
          <w:rFonts w:ascii="Palatino Linotype" w:eastAsia="Palatino Linotype" w:hAnsi="Palatino Linotype" w:cs="Palatino Linotype"/>
          <w:b/>
          <w:bCs/>
          <w:color w:val="000000"/>
        </w:rPr>
        <w:t>RECURRENTE.</w:t>
      </w:r>
    </w:p>
    <w:p w:rsidR="007D029B" w:rsidRPr="00C35E9E" w:rsidRDefault="007D029B">
      <w:pPr>
        <w:spacing w:line="360" w:lineRule="auto"/>
        <w:jc w:val="both"/>
        <w:rPr>
          <w:rFonts w:ascii="Palatino Linotype" w:eastAsia="Palatino Linotype" w:hAnsi="Palatino Linotype" w:cs="Palatino Linotype"/>
          <w:b/>
          <w:bCs/>
        </w:rPr>
      </w:pPr>
    </w:p>
    <w:p w:rsidR="007D029B" w:rsidRPr="00C35E9E" w:rsidRDefault="00622048">
      <w:pPr>
        <w:spacing w:line="360" w:lineRule="auto"/>
        <w:ind w:right="-787"/>
        <w:jc w:val="both"/>
        <w:rPr>
          <w:rFonts w:ascii="Palatino Linotype" w:eastAsia="Palatino Linotype" w:hAnsi="Palatino Linotype" w:cs="Palatino Linotype"/>
          <w:color w:val="000000"/>
          <w:highlight w:val="white"/>
        </w:rPr>
      </w:pPr>
      <w:r w:rsidRPr="00C35E9E">
        <w:rPr>
          <w:rFonts w:ascii="Palatino Linotype" w:eastAsia="Palatino Linotype" w:hAnsi="Palatino Linotype" w:cs="Palatino Linotype"/>
          <w:b/>
          <w:bCs/>
        </w:rPr>
        <w:t xml:space="preserve">TERCERO. </w:t>
      </w:r>
      <w:r w:rsidRPr="00C35E9E">
        <w:rPr>
          <w:rFonts w:ascii="Palatino Linotype" w:eastAsia="Palatino Linotype" w:hAnsi="Palatino Linotype" w:cs="Palatino Linotype"/>
          <w:b/>
          <w:bCs/>
          <w:color w:val="222222"/>
        </w:rPr>
        <w:t>NOTIFÍQUESE</w:t>
      </w:r>
      <w:r w:rsidRPr="00C35E9E">
        <w:rPr>
          <w:rFonts w:ascii="Palatino Linotype" w:eastAsia="Palatino Linotype" w:hAnsi="Palatino Linotype" w:cs="Palatino Linotype"/>
          <w:color w:val="222222"/>
        </w:rPr>
        <w:t xml:space="preserve"> la presente resolución al Titular de la Unidad de Transparencia del Sujeto Obligado vía SAIMEX, para que conforme al artículo 186 último párrafo, 189 segundo párrafo y 194 de la Ley de Transparencia y Acceso a la Información Pública del Estado de México y Municipios; </w:t>
      </w:r>
      <w:r w:rsidRPr="00C35E9E">
        <w:rPr>
          <w:rFonts w:ascii="Palatino Linotype" w:eastAsia="Palatino Linotype" w:hAnsi="Palatino Linotype" w:cs="Palatino Linotype"/>
          <w:b/>
          <w:bCs/>
          <w:color w:val="222222"/>
        </w:rPr>
        <w:t xml:space="preserve">dé cumplimiento a lo ordenado dentro del plazo </w:t>
      </w:r>
      <w:r w:rsidRPr="00C35E9E">
        <w:rPr>
          <w:rFonts w:ascii="Palatino Linotype" w:eastAsia="Palatino Linotype" w:hAnsi="Palatino Linotype" w:cs="Palatino Linotype"/>
        </w:rPr>
        <w:t>de</w:t>
      </w:r>
      <w:r w:rsidRPr="00C35E9E">
        <w:rPr>
          <w:rFonts w:ascii="Palatino Linotype" w:eastAsia="Palatino Linotype" w:hAnsi="Palatino Linotype" w:cs="Palatino Linotype"/>
          <w:b/>
          <w:bCs/>
          <w:color w:val="222222"/>
        </w:rPr>
        <w:t xml:space="preserve"> diez días hábiles, </w:t>
      </w:r>
      <w:r w:rsidRPr="00C35E9E">
        <w:rPr>
          <w:rFonts w:ascii="Palatino Linotype" w:eastAsia="Palatino Linotype" w:hAnsi="Palatino Linotype" w:cs="Palatino Linotype"/>
          <w:color w:val="222222"/>
        </w:rPr>
        <w:t>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rsidR="007D029B" w:rsidRPr="00C35E9E" w:rsidRDefault="007D029B">
      <w:pPr>
        <w:spacing w:line="360" w:lineRule="auto"/>
        <w:jc w:val="both"/>
        <w:rPr>
          <w:rFonts w:ascii="Palatino Linotype" w:eastAsia="Palatino Linotype" w:hAnsi="Palatino Linotype" w:cs="Palatino Linotype"/>
        </w:rPr>
      </w:pPr>
    </w:p>
    <w:p w:rsidR="007D029B" w:rsidRPr="00C35E9E" w:rsidRDefault="00622048">
      <w:pPr>
        <w:spacing w:line="360" w:lineRule="auto"/>
        <w:ind w:right="-787"/>
        <w:jc w:val="both"/>
        <w:rPr>
          <w:rFonts w:ascii="Palatino Linotype" w:eastAsia="Palatino Linotype" w:hAnsi="Palatino Linotype" w:cs="Palatino Linotype"/>
        </w:rPr>
      </w:pPr>
      <w:bookmarkStart w:id="8" w:name="_heading=h.3rdcrjn" w:colFirst="0" w:colLast="0"/>
      <w:bookmarkEnd w:id="8"/>
      <w:r w:rsidRPr="00C35E9E">
        <w:rPr>
          <w:rFonts w:ascii="Palatino Linotype" w:eastAsia="Palatino Linotype" w:hAnsi="Palatino Linotype" w:cs="Palatino Linotype"/>
          <w:b/>
          <w:bCs/>
        </w:rPr>
        <w:t xml:space="preserve">CUARTO. </w:t>
      </w:r>
      <w:r w:rsidRPr="00C35E9E">
        <w:rPr>
          <w:rFonts w:ascii="Palatino Linotype" w:eastAsia="Palatino Linotype" w:hAnsi="Palatino Linotype" w:cs="Palatino Linotype"/>
        </w:rPr>
        <w:t xml:space="preserve">De conformidad con el artículo 198 de la Ley de Transparencia y Acceso a la Información Pública del Estado de México y Municipios, de considerarlo procedente, el </w:t>
      </w:r>
      <w:r w:rsidRPr="00C35E9E">
        <w:rPr>
          <w:rFonts w:ascii="Palatino Linotype" w:eastAsia="Palatino Linotype" w:hAnsi="Palatino Linotype" w:cs="Palatino Linotype"/>
          <w:b/>
          <w:bCs/>
        </w:rPr>
        <w:lastRenderedPageBreak/>
        <w:t>SUJETO OBLIGADO</w:t>
      </w:r>
      <w:r w:rsidRPr="00C35E9E">
        <w:rPr>
          <w:rFonts w:ascii="Palatino Linotype" w:eastAsia="Palatino Linotype" w:hAnsi="Palatino Linotype" w:cs="Palatino Linotype"/>
        </w:rPr>
        <w:t xml:space="preserve"> de manera fundada y motivada, podrá solicitar una ampliación de plazo para el cumplimiento de la presente resolución.</w:t>
      </w:r>
    </w:p>
    <w:p w:rsidR="007D029B" w:rsidRPr="00C35E9E" w:rsidRDefault="007D029B">
      <w:pPr>
        <w:spacing w:line="360" w:lineRule="auto"/>
        <w:ind w:right="276"/>
        <w:jc w:val="both"/>
        <w:rPr>
          <w:rFonts w:ascii="Palatino Linotype" w:eastAsia="Palatino Linotype" w:hAnsi="Palatino Linotype" w:cs="Palatino Linotype"/>
        </w:rPr>
      </w:pPr>
    </w:p>
    <w:p w:rsidR="007D029B" w:rsidRPr="00C35E9E" w:rsidRDefault="00622048">
      <w:pPr>
        <w:spacing w:line="360" w:lineRule="auto"/>
        <w:ind w:right="-787"/>
        <w:jc w:val="both"/>
        <w:rPr>
          <w:rFonts w:ascii="Palatino Linotype" w:eastAsia="Palatino Linotype" w:hAnsi="Palatino Linotype" w:cs="Palatino Linotype"/>
        </w:rPr>
      </w:pPr>
      <w:r w:rsidRPr="00C35E9E">
        <w:rPr>
          <w:rFonts w:ascii="Palatino Linotype" w:eastAsia="Palatino Linotype" w:hAnsi="Palatino Linotype" w:cs="Palatino Linotype"/>
          <w:b/>
          <w:bCs/>
        </w:rPr>
        <w:t xml:space="preserve">QUINTO. </w:t>
      </w:r>
      <w:r w:rsidRPr="00C35E9E">
        <w:rPr>
          <w:rFonts w:ascii="Palatino Linotype" w:eastAsia="Palatino Linotype" w:hAnsi="Palatino Linotype" w:cs="Palatino Linotype"/>
        </w:rPr>
        <w:t>Notifíquese</w:t>
      </w:r>
      <w:r w:rsidRPr="00C35E9E">
        <w:rPr>
          <w:rFonts w:ascii="Palatino Linotype" w:eastAsia="Palatino Linotype" w:hAnsi="Palatino Linotype" w:cs="Palatino Linotype"/>
          <w:b/>
          <w:bCs/>
          <w:color w:val="222222"/>
        </w:rPr>
        <w:t xml:space="preserve"> </w:t>
      </w:r>
      <w:r w:rsidRPr="00C35E9E">
        <w:rPr>
          <w:rFonts w:ascii="Palatino Linotype" w:eastAsia="Palatino Linotype" w:hAnsi="Palatino Linotype" w:cs="Palatino Linotype"/>
          <w:color w:val="222222"/>
        </w:rPr>
        <w:t xml:space="preserve">a </w:t>
      </w:r>
      <w:r w:rsidRPr="00C35E9E">
        <w:rPr>
          <w:rFonts w:ascii="Palatino Linotype" w:eastAsia="Palatino Linotype" w:hAnsi="Palatino Linotype" w:cs="Palatino Linotype"/>
          <w:b/>
          <w:bCs/>
          <w:color w:val="222222"/>
        </w:rPr>
        <w:t>EL RECURRENTE</w:t>
      </w:r>
      <w:r w:rsidRPr="00C35E9E">
        <w:rPr>
          <w:rFonts w:ascii="Palatino Linotype" w:eastAsia="Palatino Linotype" w:hAnsi="Palatino Linotype" w:cs="Palatino Linotype"/>
          <w:color w:val="222222"/>
        </w:rPr>
        <w:t xml:space="preserve"> la presente resolución vía SAIMEX</w:t>
      </w:r>
      <w:r w:rsidRPr="00C35E9E">
        <w:rPr>
          <w:rFonts w:ascii="Palatino Linotype" w:eastAsia="Palatino Linotype" w:hAnsi="Palatino Linotype" w:cs="Palatino Linotype"/>
        </w:rPr>
        <w:t>.</w:t>
      </w:r>
    </w:p>
    <w:p w:rsidR="007D029B" w:rsidRPr="00C35E9E" w:rsidRDefault="007D029B">
      <w:pPr>
        <w:tabs>
          <w:tab w:val="left" w:pos="8080"/>
        </w:tabs>
        <w:spacing w:line="360" w:lineRule="auto"/>
        <w:jc w:val="both"/>
        <w:rPr>
          <w:rFonts w:ascii="Palatino Linotype" w:eastAsia="Palatino Linotype" w:hAnsi="Palatino Linotype" w:cs="Palatino Linotype"/>
        </w:rPr>
      </w:pPr>
    </w:p>
    <w:p w:rsidR="007D029B" w:rsidRPr="00C35E9E" w:rsidRDefault="00622048">
      <w:pPr>
        <w:spacing w:line="360" w:lineRule="auto"/>
        <w:ind w:right="-787"/>
        <w:jc w:val="both"/>
        <w:rPr>
          <w:rFonts w:ascii="Palatino Linotype" w:eastAsia="Palatino Linotype" w:hAnsi="Palatino Linotype" w:cs="Palatino Linotype"/>
        </w:rPr>
      </w:pPr>
      <w:r w:rsidRPr="00C35E9E">
        <w:rPr>
          <w:rFonts w:ascii="Palatino Linotype" w:eastAsia="Palatino Linotype" w:hAnsi="Palatino Linotype" w:cs="Palatino Linotype"/>
          <w:b/>
          <w:bCs/>
        </w:rPr>
        <w:t xml:space="preserve">SEXTO. </w:t>
      </w:r>
      <w:r w:rsidRPr="00C35E9E">
        <w:rPr>
          <w:rFonts w:ascii="Palatino Linotype" w:eastAsia="Palatino Linotype" w:hAnsi="Palatino Linotype" w:cs="Palatino Linotype"/>
          <w:color w:val="000000"/>
        </w:rPr>
        <w:t xml:space="preserve">Se hace del conocimiento de </w:t>
      </w:r>
      <w:r w:rsidRPr="00C35E9E">
        <w:rPr>
          <w:rFonts w:ascii="Palatino Linotype" w:eastAsia="Palatino Linotype" w:hAnsi="Palatino Linotype" w:cs="Palatino Linotype"/>
          <w:b/>
          <w:bCs/>
          <w:color w:val="000000"/>
        </w:rPr>
        <w:t>EL RECURRENTE</w:t>
      </w:r>
      <w:r w:rsidRPr="00C35E9E">
        <w:rPr>
          <w:rFonts w:ascii="Palatino Linotype" w:eastAsia="Palatino Linotype" w:hAnsi="Palatino Linotype" w:cs="Palatino Linotype"/>
          <w:color w:val="000000"/>
        </w:rPr>
        <w:t xml:space="preserve"> que, de conformidad con lo establecido en el artículo 196 de la Ley de Transparencia y Acceso a la Información Pública del Estado de </w:t>
      </w:r>
      <w:r w:rsidRPr="00C35E9E">
        <w:rPr>
          <w:rFonts w:ascii="Palatino Linotype" w:eastAsia="Palatino Linotype" w:hAnsi="Palatino Linotype" w:cs="Palatino Linotype"/>
        </w:rPr>
        <w:t>México</w:t>
      </w:r>
      <w:r w:rsidRPr="00C35E9E">
        <w:rPr>
          <w:rFonts w:ascii="Palatino Linotype" w:eastAsia="Palatino Linotype" w:hAnsi="Palatino Linotype" w:cs="Palatino Linotype"/>
          <w:color w:val="000000"/>
        </w:rPr>
        <w:t xml:space="preserve"> y Municipios, en caso de que considere que la resolución le cause algún perjuicio podrá </w:t>
      </w:r>
      <w:r w:rsidRPr="00C35E9E">
        <w:rPr>
          <w:rFonts w:ascii="Palatino Linotype" w:eastAsia="Palatino Linotype" w:hAnsi="Palatino Linotype" w:cs="Palatino Linotype"/>
        </w:rPr>
        <w:t>impugnar vía</w:t>
      </w:r>
      <w:r w:rsidRPr="00C35E9E">
        <w:rPr>
          <w:rFonts w:ascii="Palatino Linotype" w:eastAsia="Palatino Linotype" w:hAnsi="Palatino Linotype" w:cs="Palatino Linotype"/>
          <w:color w:val="000000"/>
        </w:rPr>
        <w:t xml:space="preserve"> Juicio de Amparo en los términos de las leyes aplicables.</w:t>
      </w:r>
    </w:p>
    <w:p w:rsidR="007D029B" w:rsidRPr="00C35E9E" w:rsidRDefault="007D029B">
      <w:pPr>
        <w:spacing w:line="360" w:lineRule="auto"/>
        <w:ind w:right="-787"/>
        <w:jc w:val="both"/>
        <w:rPr>
          <w:rFonts w:ascii="Palatino Linotype" w:eastAsia="Palatino Linotype" w:hAnsi="Palatino Linotype" w:cs="Palatino Linotype"/>
        </w:rPr>
      </w:pPr>
    </w:p>
    <w:p w:rsidR="00CB049C" w:rsidRPr="00C35E9E" w:rsidRDefault="00CB049C" w:rsidP="00CB049C">
      <w:pPr>
        <w:spacing w:before="240" w:after="240" w:line="360" w:lineRule="auto"/>
        <w:ind w:right="-716" w:firstLine="1"/>
        <w:jc w:val="both"/>
        <w:rPr>
          <w:rFonts w:ascii="Palatino Linotype" w:hAnsi="Palatino Linotype"/>
        </w:rPr>
      </w:pPr>
      <w:bookmarkStart w:id="9" w:name="_Hlk99014733"/>
      <w:r w:rsidRPr="00C35E9E">
        <w:rPr>
          <w:rFonts w:ascii="Palatino Linotype" w:hAnsi="Palatino Linotype" w:cs="Palatino Linotype"/>
        </w:rPr>
        <w:t xml:space="preserve">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QUINTA SESIÓN ORDINARIA, CELEBRADA EL ONCE (11) DE FEBRERO DE DOS MIL VEINTISÉIS, ANTE EL SECRETARIO TÉCNICO DEL PLENO </w:t>
      </w:r>
      <w:r w:rsidRPr="00C35E9E">
        <w:rPr>
          <w:rFonts w:ascii="Palatino Linotype" w:hAnsi="Palatino Linotype" w:cs="Palatino Linotype"/>
          <w:color w:val="000000" w:themeColor="text1"/>
        </w:rPr>
        <w:t>ALEXIS TAPIA RAMÍREZ.</w:t>
      </w:r>
    </w:p>
    <w:bookmarkEnd w:id="9"/>
    <w:p w:rsidR="007D029B" w:rsidRPr="00C35E9E" w:rsidRDefault="007D029B">
      <w:pPr>
        <w:spacing w:line="360" w:lineRule="auto"/>
        <w:ind w:right="-787"/>
        <w:jc w:val="both"/>
        <w:rPr>
          <w:rFonts w:ascii="Palatino Linotype" w:eastAsia="Palatino Linotype" w:hAnsi="Palatino Linotype" w:cs="Palatino Linotype"/>
        </w:rPr>
      </w:pPr>
    </w:p>
    <w:p w:rsidR="007D029B" w:rsidRPr="00C35E9E" w:rsidRDefault="007D029B">
      <w:pPr>
        <w:spacing w:line="360" w:lineRule="auto"/>
        <w:ind w:right="-787"/>
        <w:jc w:val="both"/>
        <w:rPr>
          <w:rFonts w:ascii="Palatino Linotype" w:eastAsia="Palatino Linotype" w:hAnsi="Palatino Linotype" w:cs="Palatino Linotype"/>
        </w:rPr>
      </w:pPr>
    </w:p>
    <w:p w:rsidR="007D029B" w:rsidRPr="00C35E9E" w:rsidRDefault="007D029B">
      <w:pPr>
        <w:spacing w:line="360" w:lineRule="auto"/>
        <w:ind w:right="-787"/>
        <w:jc w:val="both"/>
        <w:rPr>
          <w:rFonts w:ascii="Palatino Linotype" w:eastAsia="Palatino Linotype" w:hAnsi="Palatino Linotype" w:cs="Palatino Linotype"/>
        </w:rPr>
      </w:pPr>
    </w:p>
    <w:p w:rsidR="007D029B" w:rsidRPr="00C35E9E" w:rsidRDefault="007D029B">
      <w:pPr>
        <w:spacing w:line="360" w:lineRule="auto"/>
        <w:ind w:right="-787"/>
        <w:jc w:val="both"/>
        <w:rPr>
          <w:rFonts w:ascii="Palatino Linotype" w:eastAsia="Palatino Linotype" w:hAnsi="Palatino Linotype" w:cs="Palatino Linotype"/>
        </w:rPr>
      </w:pPr>
    </w:p>
    <w:p w:rsidR="007D029B" w:rsidRPr="00C35E9E" w:rsidRDefault="007D029B">
      <w:pPr>
        <w:spacing w:line="360" w:lineRule="auto"/>
        <w:ind w:right="-787"/>
        <w:jc w:val="both"/>
        <w:rPr>
          <w:rFonts w:ascii="Palatino Linotype" w:eastAsia="Palatino Linotype" w:hAnsi="Palatino Linotype" w:cs="Palatino Linotype"/>
        </w:rPr>
      </w:pPr>
    </w:p>
    <w:p w:rsidR="007D029B" w:rsidRPr="00C35E9E" w:rsidRDefault="007D029B">
      <w:pPr>
        <w:spacing w:line="360" w:lineRule="auto"/>
        <w:ind w:right="-787"/>
        <w:jc w:val="both"/>
        <w:rPr>
          <w:rFonts w:ascii="Palatino Linotype" w:eastAsia="Palatino Linotype" w:hAnsi="Palatino Linotype" w:cs="Palatino Linotype"/>
        </w:rPr>
      </w:pPr>
    </w:p>
    <w:p w:rsidR="007D029B" w:rsidRPr="00C35E9E" w:rsidRDefault="007D029B">
      <w:pPr>
        <w:spacing w:line="360" w:lineRule="auto"/>
        <w:ind w:right="-787"/>
        <w:jc w:val="both"/>
        <w:rPr>
          <w:rFonts w:ascii="Palatino Linotype" w:eastAsia="Palatino Linotype" w:hAnsi="Palatino Linotype" w:cs="Palatino Linotype"/>
        </w:rPr>
      </w:pPr>
    </w:p>
    <w:p w:rsidR="007D029B" w:rsidRPr="00C35E9E" w:rsidRDefault="007D029B">
      <w:pPr>
        <w:spacing w:line="360" w:lineRule="auto"/>
        <w:ind w:right="-787"/>
        <w:jc w:val="both"/>
        <w:rPr>
          <w:rFonts w:ascii="Palatino Linotype" w:eastAsia="Palatino Linotype" w:hAnsi="Palatino Linotype" w:cs="Palatino Linotype"/>
        </w:rPr>
      </w:pPr>
    </w:p>
    <w:p w:rsidR="007D029B" w:rsidRPr="00C35E9E" w:rsidRDefault="007D029B">
      <w:pPr>
        <w:spacing w:line="360" w:lineRule="auto"/>
        <w:ind w:right="-787"/>
        <w:jc w:val="both"/>
        <w:rPr>
          <w:rFonts w:ascii="Palatino Linotype" w:eastAsia="Palatino Linotype" w:hAnsi="Palatino Linotype" w:cs="Palatino Linotype"/>
        </w:rPr>
      </w:pPr>
    </w:p>
    <w:p w:rsidR="007D029B" w:rsidRPr="00C35E9E" w:rsidRDefault="007D029B">
      <w:pPr>
        <w:spacing w:line="360" w:lineRule="auto"/>
        <w:ind w:right="-787"/>
        <w:jc w:val="both"/>
        <w:rPr>
          <w:rFonts w:ascii="Palatino Linotype" w:eastAsia="Palatino Linotype" w:hAnsi="Palatino Linotype" w:cs="Palatino Linotype"/>
        </w:rPr>
      </w:pPr>
    </w:p>
    <w:p w:rsidR="007D029B" w:rsidRPr="00C35E9E" w:rsidRDefault="007D029B">
      <w:pPr>
        <w:spacing w:line="360" w:lineRule="auto"/>
        <w:ind w:right="-787"/>
        <w:rPr>
          <w:rFonts w:ascii="Palatino Linotype" w:eastAsia="Palatino Linotype" w:hAnsi="Palatino Linotype" w:cs="Palatino Linotype"/>
        </w:rPr>
      </w:pPr>
    </w:p>
    <w:p w:rsidR="007D029B" w:rsidRPr="00C35E9E" w:rsidRDefault="007D029B">
      <w:pPr>
        <w:tabs>
          <w:tab w:val="left" w:pos="3374"/>
        </w:tabs>
        <w:spacing w:line="360" w:lineRule="auto"/>
        <w:ind w:right="-787"/>
        <w:rPr>
          <w:rFonts w:ascii="Palatino Linotype" w:eastAsia="Palatino Linotype" w:hAnsi="Palatino Linotype" w:cs="Palatino Linotype"/>
        </w:rPr>
      </w:pPr>
      <w:bookmarkStart w:id="10" w:name="_heading=h.lnxbz9" w:colFirst="0" w:colLast="0"/>
      <w:bookmarkEnd w:id="10"/>
    </w:p>
    <w:sectPr w:rsidR="007D029B" w:rsidRPr="00C35E9E">
      <w:headerReference w:type="even" r:id="rId13"/>
      <w:headerReference w:type="default" r:id="rId14"/>
      <w:footerReference w:type="default" r:id="rId15"/>
      <w:headerReference w:type="first" r:id="rId16"/>
      <w:footerReference w:type="first" r:id="rId17"/>
      <w:pgSz w:w="12240" w:h="15840"/>
      <w:pgMar w:top="2268" w:right="1474" w:bottom="1702" w:left="1701" w:header="709" w:footer="709"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9444B" w:rsidRDefault="0029444B">
      <w:r>
        <w:separator/>
      </w:r>
    </w:p>
  </w:endnote>
  <w:endnote w:type="continuationSeparator" w:id="0">
    <w:p w:rsidR="0029444B" w:rsidRDefault="002944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embedRegular r:id="rId1" w:fontKey="{33BC7523-68C3-43F0-B4B1-2AEA102DF051}"/>
  </w:font>
  <w:font w:name="Palatino Linotype">
    <w:panose1 w:val="02040502050505030304"/>
    <w:charset w:val="00"/>
    <w:family w:val="roman"/>
    <w:pitch w:val="variable"/>
    <w:sig w:usb0="E0000287" w:usb1="40000013" w:usb2="00000000" w:usb3="00000000" w:csb0="0000019F" w:csb1="00000000"/>
    <w:embedRegular r:id="rId2" w:fontKey="{6BC2A965-3EF6-4245-B711-3EA5D0CA1CCC}"/>
    <w:embedBold r:id="rId3" w:fontKey="{3FAFC58F-275C-4889-B21E-057A7C4C2A8E}"/>
    <w:embedItalic r:id="rId4" w:fontKey="{6D8187CF-3113-4D63-A464-B612EC3DCC34}"/>
    <w:embedBoldItalic r:id="rId5" w:fontKey="{A0916A97-8DC8-4999-8A98-18C39B49DCE4}"/>
  </w:font>
  <w:font w:name="Calibri">
    <w:panose1 w:val="020F0502020204030204"/>
    <w:charset w:val="00"/>
    <w:family w:val="swiss"/>
    <w:pitch w:val="variable"/>
    <w:sig w:usb0="E4002EFF" w:usb1="C200247B" w:usb2="00000009" w:usb3="00000000" w:csb0="000001FF" w:csb1="00000000"/>
    <w:embedRegular r:id="rId6" w:fontKey="{5579E4F8-BF36-427C-808F-2278A2215771}"/>
    <w:embedBold r:id="rId7" w:fontKey="{F8C2FD47-2219-429E-969E-DF98121830E0}"/>
  </w:font>
  <w:font w:name="Calibri Light">
    <w:panose1 w:val="020F0302020204030204"/>
    <w:charset w:val="00"/>
    <w:family w:val="swiss"/>
    <w:pitch w:val="variable"/>
    <w:sig w:usb0="E4002EFF" w:usb1="C200247B" w:usb2="00000009" w:usb3="00000000" w:csb0="000001FF" w:csb1="00000000"/>
    <w:embedRegular r:id="rId8" w:fontKey="{E4E7330C-E616-43E7-827E-50D1C665E9F9}"/>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9" w:fontKey="{8C811454-7A56-49B9-88AF-5C14503800DD}"/>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D029B" w:rsidRPr="00262FAB" w:rsidRDefault="00622048">
    <w:pPr>
      <w:pBdr>
        <w:top w:val="nil"/>
        <w:left w:val="nil"/>
        <w:bottom w:val="nil"/>
        <w:right w:val="nil"/>
        <w:between w:val="nil"/>
      </w:pBdr>
      <w:tabs>
        <w:tab w:val="center" w:pos="4419"/>
        <w:tab w:val="right" w:pos="8838"/>
      </w:tabs>
      <w:jc w:val="right"/>
      <w:rPr>
        <w:rFonts w:ascii="Palatino Linotype" w:eastAsia="Palatino Linotype" w:hAnsi="Palatino Linotype" w:cs="Palatino Linotype"/>
        <w:b/>
        <w:color w:val="000000"/>
        <w:sz w:val="22"/>
        <w:szCs w:val="20"/>
      </w:rPr>
    </w:pPr>
    <w:r w:rsidRPr="00262FAB">
      <w:rPr>
        <w:rFonts w:ascii="Palatino Linotype" w:eastAsia="Palatino Linotype" w:hAnsi="Palatino Linotype" w:cs="Palatino Linotype"/>
        <w:b/>
        <w:color w:val="000000"/>
        <w:sz w:val="22"/>
        <w:szCs w:val="20"/>
      </w:rPr>
      <w:t xml:space="preserve">Página </w:t>
    </w:r>
    <w:r w:rsidRPr="00262FAB">
      <w:rPr>
        <w:rFonts w:ascii="Palatino Linotype" w:eastAsia="Palatino Linotype" w:hAnsi="Palatino Linotype" w:cs="Palatino Linotype"/>
        <w:b/>
        <w:color w:val="000000"/>
        <w:sz w:val="22"/>
        <w:szCs w:val="20"/>
      </w:rPr>
      <w:fldChar w:fldCharType="begin"/>
    </w:r>
    <w:r w:rsidRPr="00262FAB">
      <w:rPr>
        <w:rFonts w:ascii="Palatino Linotype" w:eastAsia="Palatino Linotype" w:hAnsi="Palatino Linotype" w:cs="Palatino Linotype"/>
        <w:b/>
        <w:color w:val="000000"/>
        <w:sz w:val="22"/>
        <w:szCs w:val="20"/>
      </w:rPr>
      <w:instrText>PAGE</w:instrText>
    </w:r>
    <w:r w:rsidRPr="00262FAB">
      <w:rPr>
        <w:rFonts w:ascii="Palatino Linotype" w:eastAsia="Palatino Linotype" w:hAnsi="Palatino Linotype" w:cs="Palatino Linotype"/>
        <w:b/>
        <w:color w:val="000000"/>
        <w:sz w:val="22"/>
        <w:szCs w:val="20"/>
      </w:rPr>
      <w:fldChar w:fldCharType="separate"/>
    </w:r>
    <w:r w:rsidR="00A959FC">
      <w:rPr>
        <w:rFonts w:ascii="Palatino Linotype" w:eastAsia="Palatino Linotype" w:hAnsi="Palatino Linotype" w:cs="Palatino Linotype"/>
        <w:b/>
        <w:noProof/>
        <w:color w:val="000000"/>
        <w:sz w:val="22"/>
        <w:szCs w:val="20"/>
      </w:rPr>
      <w:t>24</w:t>
    </w:r>
    <w:r w:rsidRPr="00262FAB">
      <w:rPr>
        <w:rFonts w:ascii="Palatino Linotype" w:eastAsia="Palatino Linotype" w:hAnsi="Palatino Linotype" w:cs="Palatino Linotype"/>
        <w:b/>
        <w:color w:val="000000"/>
        <w:sz w:val="22"/>
        <w:szCs w:val="20"/>
      </w:rPr>
      <w:fldChar w:fldCharType="end"/>
    </w:r>
    <w:r w:rsidRPr="00262FAB">
      <w:rPr>
        <w:rFonts w:ascii="Palatino Linotype" w:eastAsia="Palatino Linotype" w:hAnsi="Palatino Linotype" w:cs="Palatino Linotype"/>
        <w:b/>
        <w:color w:val="000000"/>
        <w:sz w:val="22"/>
        <w:szCs w:val="20"/>
      </w:rPr>
      <w:t xml:space="preserve"> de </w:t>
    </w:r>
    <w:r w:rsidRPr="00262FAB">
      <w:rPr>
        <w:rFonts w:ascii="Palatino Linotype" w:eastAsia="Palatino Linotype" w:hAnsi="Palatino Linotype" w:cs="Palatino Linotype"/>
        <w:b/>
        <w:color w:val="000000"/>
        <w:sz w:val="22"/>
        <w:szCs w:val="20"/>
      </w:rPr>
      <w:fldChar w:fldCharType="begin"/>
    </w:r>
    <w:r w:rsidRPr="00262FAB">
      <w:rPr>
        <w:rFonts w:ascii="Palatino Linotype" w:eastAsia="Palatino Linotype" w:hAnsi="Palatino Linotype" w:cs="Palatino Linotype"/>
        <w:b/>
        <w:color w:val="000000"/>
        <w:sz w:val="22"/>
        <w:szCs w:val="20"/>
      </w:rPr>
      <w:instrText>NUMPAGES</w:instrText>
    </w:r>
    <w:r w:rsidRPr="00262FAB">
      <w:rPr>
        <w:rFonts w:ascii="Palatino Linotype" w:eastAsia="Palatino Linotype" w:hAnsi="Palatino Linotype" w:cs="Palatino Linotype"/>
        <w:b/>
        <w:color w:val="000000"/>
        <w:sz w:val="22"/>
        <w:szCs w:val="20"/>
      </w:rPr>
      <w:fldChar w:fldCharType="separate"/>
    </w:r>
    <w:r w:rsidR="00A959FC">
      <w:rPr>
        <w:rFonts w:ascii="Palatino Linotype" w:eastAsia="Palatino Linotype" w:hAnsi="Palatino Linotype" w:cs="Palatino Linotype"/>
        <w:b/>
        <w:noProof/>
        <w:color w:val="000000"/>
        <w:sz w:val="22"/>
        <w:szCs w:val="20"/>
      </w:rPr>
      <w:t>33</w:t>
    </w:r>
    <w:r w:rsidRPr="00262FAB">
      <w:rPr>
        <w:rFonts w:ascii="Palatino Linotype" w:eastAsia="Palatino Linotype" w:hAnsi="Palatino Linotype" w:cs="Palatino Linotype"/>
        <w:b/>
        <w:color w:val="000000"/>
        <w:sz w:val="22"/>
        <w:szCs w:val="20"/>
      </w:rPr>
      <w:fldChar w:fldCharType="end"/>
    </w:r>
  </w:p>
  <w:p w:rsidR="007D029B" w:rsidRDefault="007D029B">
    <w:pPr>
      <w:pBdr>
        <w:top w:val="nil"/>
        <w:left w:val="nil"/>
        <w:bottom w:val="nil"/>
        <w:right w:val="nil"/>
        <w:between w:val="nil"/>
      </w:pBdr>
      <w:tabs>
        <w:tab w:val="center" w:pos="4419"/>
        <w:tab w:val="right" w:pos="8838"/>
      </w:tabs>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D029B" w:rsidRPr="00262FAB" w:rsidRDefault="00622048">
    <w:pPr>
      <w:pBdr>
        <w:top w:val="nil"/>
        <w:left w:val="nil"/>
        <w:bottom w:val="nil"/>
        <w:right w:val="nil"/>
        <w:between w:val="nil"/>
      </w:pBdr>
      <w:tabs>
        <w:tab w:val="center" w:pos="4419"/>
        <w:tab w:val="right" w:pos="8838"/>
      </w:tabs>
      <w:jc w:val="right"/>
      <w:rPr>
        <w:rFonts w:ascii="Palatino Linotype" w:eastAsia="Palatino Linotype" w:hAnsi="Palatino Linotype" w:cs="Palatino Linotype"/>
        <w:b/>
        <w:color w:val="000000"/>
        <w:sz w:val="22"/>
        <w:szCs w:val="20"/>
      </w:rPr>
    </w:pPr>
    <w:r w:rsidRPr="00262FAB">
      <w:rPr>
        <w:rFonts w:ascii="Palatino Linotype" w:eastAsia="Palatino Linotype" w:hAnsi="Palatino Linotype" w:cs="Palatino Linotype"/>
        <w:b/>
        <w:color w:val="000000"/>
        <w:sz w:val="22"/>
        <w:szCs w:val="20"/>
      </w:rPr>
      <w:t xml:space="preserve">Página </w:t>
    </w:r>
    <w:r w:rsidRPr="00262FAB">
      <w:rPr>
        <w:rFonts w:ascii="Palatino Linotype" w:eastAsia="Palatino Linotype" w:hAnsi="Palatino Linotype" w:cs="Palatino Linotype"/>
        <w:b/>
        <w:color w:val="000000"/>
        <w:sz w:val="22"/>
        <w:szCs w:val="20"/>
      </w:rPr>
      <w:fldChar w:fldCharType="begin"/>
    </w:r>
    <w:r w:rsidRPr="00262FAB">
      <w:rPr>
        <w:rFonts w:ascii="Palatino Linotype" w:eastAsia="Palatino Linotype" w:hAnsi="Palatino Linotype" w:cs="Palatino Linotype"/>
        <w:b/>
        <w:color w:val="000000"/>
        <w:sz w:val="22"/>
        <w:szCs w:val="20"/>
      </w:rPr>
      <w:instrText>PAGE</w:instrText>
    </w:r>
    <w:r w:rsidRPr="00262FAB">
      <w:rPr>
        <w:rFonts w:ascii="Palatino Linotype" w:eastAsia="Palatino Linotype" w:hAnsi="Palatino Linotype" w:cs="Palatino Linotype"/>
        <w:b/>
        <w:color w:val="000000"/>
        <w:sz w:val="22"/>
        <w:szCs w:val="20"/>
      </w:rPr>
      <w:fldChar w:fldCharType="separate"/>
    </w:r>
    <w:r w:rsidR="00A959FC">
      <w:rPr>
        <w:rFonts w:ascii="Palatino Linotype" w:eastAsia="Palatino Linotype" w:hAnsi="Palatino Linotype" w:cs="Palatino Linotype"/>
        <w:b/>
        <w:noProof/>
        <w:color w:val="000000"/>
        <w:sz w:val="22"/>
        <w:szCs w:val="20"/>
      </w:rPr>
      <w:t>1</w:t>
    </w:r>
    <w:r w:rsidRPr="00262FAB">
      <w:rPr>
        <w:rFonts w:ascii="Palatino Linotype" w:eastAsia="Palatino Linotype" w:hAnsi="Palatino Linotype" w:cs="Palatino Linotype"/>
        <w:b/>
        <w:color w:val="000000"/>
        <w:sz w:val="22"/>
        <w:szCs w:val="20"/>
      </w:rPr>
      <w:fldChar w:fldCharType="end"/>
    </w:r>
    <w:r w:rsidRPr="00262FAB">
      <w:rPr>
        <w:rFonts w:ascii="Palatino Linotype" w:eastAsia="Palatino Linotype" w:hAnsi="Palatino Linotype" w:cs="Palatino Linotype"/>
        <w:b/>
        <w:color w:val="000000"/>
        <w:sz w:val="22"/>
        <w:szCs w:val="20"/>
      </w:rPr>
      <w:t xml:space="preserve"> de </w:t>
    </w:r>
    <w:r w:rsidRPr="00262FAB">
      <w:rPr>
        <w:rFonts w:ascii="Palatino Linotype" w:eastAsia="Palatino Linotype" w:hAnsi="Palatino Linotype" w:cs="Palatino Linotype"/>
        <w:b/>
        <w:color w:val="000000"/>
        <w:sz w:val="22"/>
        <w:szCs w:val="20"/>
      </w:rPr>
      <w:fldChar w:fldCharType="begin"/>
    </w:r>
    <w:r w:rsidRPr="00262FAB">
      <w:rPr>
        <w:rFonts w:ascii="Palatino Linotype" w:eastAsia="Palatino Linotype" w:hAnsi="Palatino Linotype" w:cs="Palatino Linotype"/>
        <w:b/>
        <w:color w:val="000000"/>
        <w:sz w:val="22"/>
        <w:szCs w:val="20"/>
      </w:rPr>
      <w:instrText>NUMPAGES</w:instrText>
    </w:r>
    <w:r w:rsidRPr="00262FAB">
      <w:rPr>
        <w:rFonts w:ascii="Palatino Linotype" w:eastAsia="Palatino Linotype" w:hAnsi="Palatino Linotype" w:cs="Palatino Linotype"/>
        <w:b/>
        <w:color w:val="000000"/>
        <w:sz w:val="22"/>
        <w:szCs w:val="20"/>
      </w:rPr>
      <w:fldChar w:fldCharType="separate"/>
    </w:r>
    <w:r w:rsidR="00A959FC">
      <w:rPr>
        <w:rFonts w:ascii="Palatino Linotype" w:eastAsia="Palatino Linotype" w:hAnsi="Palatino Linotype" w:cs="Palatino Linotype"/>
        <w:b/>
        <w:noProof/>
        <w:color w:val="000000"/>
        <w:sz w:val="22"/>
        <w:szCs w:val="20"/>
      </w:rPr>
      <w:t>33</w:t>
    </w:r>
    <w:r w:rsidRPr="00262FAB">
      <w:rPr>
        <w:rFonts w:ascii="Palatino Linotype" w:eastAsia="Palatino Linotype" w:hAnsi="Palatino Linotype" w:cs="Palatino Linotype"/>
        <w:b/>
        <w:color w:val="000000"/>
        <w:sz w:val="22"/>
        <w:szCs w:val="20"/>
      </w:rPr>
      <w:fldChar w:fldCharType="end"/>
    </w:r>
  </w:p>
  <w:p w:rsidR="007D029B" w:rsidRDefault="007D029B">
    <w:pPr>
      <w:pBdr>
        <w:top w:val="nil"/>
        <w:left w:val="nil"/>
        <w:bottom w:val="nil"/>
        <w:right w:val="nil"/>
        <w:between w:val="nil"/>
      </w:pBdr>
      <w:tabs>
        <w:tab w:val="center" w:pos="4419"/>
        <w:tab w:val="right" w:pos="8838"/>
      </w:tabs>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9444B" w:rsidRDefault="0029444B">
      <w:r>
        <w:separator/>
      </w:r>
    </w:p>
  </w:footnote>
  <w:footnote w:type="continuationSeparator" w:id="0">
    <w:p w:rsidR="0029444B" w:rsidRDefault="0029444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D029B" w:rsidRDefault="0029444B">
    <w:pPr>
      <w:pBdr>
        <w:top w:val="nil"/>
        <w:left w:val="nil"/>
        <w:bottom w:val="nil"/>
        <w:right w:val="nil"/>
        <w:between w:val="nil"/>
      </w:pBdr>
      <w:tabs>
        <w:tab w:val="center" w:pos="4419"/>
        <w:tab w:val="right" w:pos="8838"/>
      </w:tabs>
      <w:rPr>
        <w:color w:val="000000"/>
      </w:rPr>
    </w:pPr>
    <w:r>
      <w:rPr>
        <w:color w:val="00000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49" type="#_x0000_t75" alt="" style="position:absolute;margin-left:0;margin-top:0;width:609.4pt;height:793.75pt;z-index:-251657728;mso-position-horizontal:center;mso-position-horizontal-relative:margin;mso-position-vertical:center;mso-position-vertical-relative:margin">
          <v:imagedata r:id="rId1" o:title="image1"/>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1"/>
      <w:tblW w:w="7087" w:type="dxa"/>
      <w:tblInd w:w="3261" w:type="dxa"/>
      <w:tblLayout w:type="fixed"/>
      <w:tblLook w:val="0400" w:firstRow="0" w:lastRow="0" w:firstColumn="0" w:lastColumn="0" w:noHBand="0" w:noVBand="1"/>
    </w:tblPr>
    <w:tblGrid>
      <w:gridCol w:w="2835"/>
      <w:gridCol w:w="4252"/>
    </w:tblGrid>
    <w:tr w:rsidR="007D029B" w:rsidTr="00262FAB">
      <w:trPr>
        <w:trHeight w:val="227"/>
      </w:trPr>
      <w:tc>
        <w:tcPr>
          <w:tcW w:w="2835" w:type="dxa"/>
        </w:tcPr>
        <w:p w:rsidR="007D029B" w:rsidRPr="00262FAB" w:rsidRDefault="00622048">
          <w:pPr>
            <w:jc w:val="right"/>
            <w:rPr>
              <w:rFonts w:ascii="Palatino Linotype" w:eastAsia="Palatino Linotype" w:hAnsi="Palatino Linotype" w:cs="Palatino Linotype"/>
              <w:b/>
              <w:bCs/>
              <w:szCs w:val="22"/>
            </w:rPr>
          </w:pPr>
          <w:r w:rsidRPr="00262FAB">
            <w:rPr>
              <w:rFonts w:ascii="Palatino Linotype" w:eastAsia="Palatino Linotype" w:hAnsi="Palatino Linotype" w:cs="Palatino Linotype"/>
              <w:b/>
              <w:bCs/>
              <w:szCs w:val="22"/>
            </w:rPr>
            <w:t>Recurso de Revisión:</w:t>
          </w:r>
        </w:p>
      </w:tc>
      <w:tc>
        <w:tcPr>
          <w:tcW w:w="4252" w:type="dxa"/>
        </w:tcPr>
        <w:p w:rsidR="007D029B" w:rsidRPr="00262FAB" w:rsidRDefault="00622048">
          <w:pPr>
            <w:pBdr>
              <w:top w:val="nil"/>
              <w:left w:val="nil"/>
              <w:bottom w:val="nil"/>
              <w:right w:val="nil"/>
              <w:between w:val="nil"/>
            </w:pBdr>
            <w:tabs>
              <w:tab w:val="right" w:pos="8838"/>
            </w:tabs>
            <w:ind w:right="-1285"/>
            <w:rPr>
              <w:rFonts w:ascii="Palatino Linotype" w:eastAsia="Palatino Linotype" w:hAnsi="Palatino Linotype" w:cs="Palatino Linotype"/>
              <w:color w:val="000000"/>
              <w:szCs w:val="22"/>
              <w:highlight w:val="green"/>
            </w:rPr>
          </w:pPr>
          <w:r w:rsidRPr="00262FAB">
            <w:rPr>
              <w:rFonts w:ascii="Palatino Linotype" w:eastAsia="Palatino Linotype" w:hAnsi="Palatino Linotype" w:cs="Palatino Linotype"/>
              <w:color w:val="000000"/>
              <w:szCs w:val="22"/>
            </w:rPr>
            <w:t>09538/INFOEM/IP/RR/2025</w:t>
          </w:r>
        </w:p>
      </w:tc>
    </w:tr>
    <w:tr w:rsidR="007D029B" w:rsidTr="00262FAB">
      <w:trPr>
        <w:trHeight w:val="342"/>
      </w:trPr>
      <w:tc>
        <w:tcPr>
          <w:tcW w:w="2835" w:type="dxa"/>
        </w:tcPr>
        <w:p w:rsidR="007D029B" w:rsidRPr="00262FAB" w:rsidRDefault="00622048">
          <w:pPr>
            <w:jc w:val="right"/>
            <w:rPr>
              <w:rFonts w:ascii="Palatino Linotype" w:eastAsia="Palatino Linotype" w:hAnsi="Palatino Linotype" w:cs="Palatino Linotype"/>
              <w:b/>
              <w:bCs/>
              <w:szCs w:val="22"/>
            </w:rPr>
          </w:pPr>
          <w:r w:rsidRPr="00262FAB">
            <w:rPr>
              <w:rFonts w:ascii="Palatino Linotype" w:eastAsia="Palatino Linotype" w:hAnsi="Palatino Linotype" w:cs="Palatino Linotype"/>
              <w:b/>
              <w:bCs/>
              <w:szCs w:val="22"/>
            </w:rPr>
            <w:t>Sujeto Obligado:</w:t>
          </w:r>
        </w:p>
      </w:tc>
      <w:tc>
        <w:tcPr>
          <w:tcW w:w="4252" w:type="dxa"/>
        </w:tcPr>
        <w:p w:rsidR="007D029B" w:rsidRPr="00262FAB" w:rsidRDefault="00622048">
          <w:pPr>
            <w:rPr>
              <w:rFonts w:ascii="Palatino Linotype" w:eastAsia="Palatino Linotype" w:hAnsi="Palatino Linotype" w:cs="Palatino Linotype"/>
              <w:color w:val="000000"/>
              <w:szCs w:val="22"/>
            </w:rPr>
          </w:pPr>
          <w:r w:rsidRPr="00262FAB">
            <w:rPr>
              <w:rFonts w:ascii="Palatino Linotype" w:eastAsia="Palatino Linotype" w:hAnsi="Palatino Linotype" w:cs="Palatino Linotype"/>
              <w:color w:val="000000"/>
              <w:szCs w:val="22"/>
            </w:rPr>
            <w:t>Ayuntamiento de Nicolás Romero</w:t>
          </w:r>
        </w:p>
      </w:tc>
    </w:tr>
    <w:tr w:rsidR="007D029B" w:rsidTr="00262FAB">
      <w:trPr>
        <w:trHeight w:val="342"/>
      </w:trPr>
      <w:tc>
        <w:tcPr>
          <w:tcW w:w="2835" w:type="dxa"/>
        </w:tcPr>
        <w:p w:rsidR="007D029B" w:rsidRPr="00262FAB" w:rsidRDefault="00622048">
          <w:pPr>
            <w:jc w:val="right"/>
            <w:rPr>
              <w:rFonts w:ascii="Palatino Linotype" w:eastAsia="Palatino Linotype" w:hAnsi="Palatino Linotype" w:cs="Palatino Linotype"/>
              <w:b/>
              <w:bCs/>
              <w:szCs w:val="22"/>
            </w:rPr>
          </w:pPr>
          <w:r w:rsidRPr="00262FAB">
            <w:rPr>
              <w:rFonts w:ascii="Palatino Linotype" w:eastAsia="Palatino Linotype" w:hAnsi="Palatino Linotype" w:cs="Palatino Linotype"/>
              <w:b/>
              <w:bCs/>
              <w:szCs w:val="22"/>
            </w:rPr>
            <w:t>Comisionada Ponente:</w:t>
          </w:r>
        </w:p>
      </w:tc>
      <w:tc>
        <w:tcPr>
          <w:tcW w:w="4252" w:type="dxa"/>
        </w:tcPr>
        <w:p w:rsidR="007D029B" w:rsidRPr="00262FAB" w:rsidRDefault="00622048">
          <w:pPr>
            <w:pBdr>
              <w:top w:val="nil"/>
              <w:left w:val="nil"/>
              <w:bottom w:val="nil"/>
              <w:right w:val="nil"/>
              <w:between w:val="nil"/>
            </w:pBdr>
            <w:tabs>
              <w:tab w:val="right" w:pos="8838"/>
            </w:tabs>
            <w:ind w:right="-1285"/>
            <w:rPr>
              <w:rFonts w:ascii="Palatino Linotype" w:eastAsia="Palatino Linotype" w:hAnsi="Palatino Linotype" w:cs="Palatino Linotype"/>
              <w:color w:val="000000"/>
              <w:szCs w:val="22"/>
            </w:rPr>
          </w:pPr>
          <w:r w:rsidRPr="00262FAB">
            <w:rPr>
              <w:rFonts w:ascii="Palatino Linotype" w:eastAsia="Palatino Linotype" w:hAnsi="Palatino Linotype" w:cs="Palatino Linotype"/>
              <w:color w:val="000000"/>
              <w:szCs w:val="22"/>
            </w:rPr>
            <w:t>María del Rosario Mejía Ayala</w:t>
          </w:r>
        </w:p>
      </w:tc>
    </w:tr>
  </w:tbl>
  <w:p w:rsidR="007D029B" w:rsidRDefault="0029444B">
    <w:pPr>
      <w:rPr>
        <w:color w:val="000000"/>
        <w:sz w:val="14"/>
        <w:szCs w:val="14"/>
      </w:rPr>
    </w:pPr>
    <w:r>
      <w:rPr>
        <w:color w:val="000000"/>
        <w:sz w:val="14"/>
        <w:szCs w:val="1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1" type="#_x0000_t75" alt="" style="position:absolute;margin-left:-82.3pt;margin-top:-113.5pt;width:609.4pt;height:793.75pt;z-index:-251659776;mso-position-horizontal-relative:margin;mso-position-vertical-relative:margin">
          <v:imagedata r:id="rId1" o:title="image1"/>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2"/>
      <w:tblW w:w="7087" w:type="dxa"/>
      <w:tblInd w:w="3402" w:type="dxa"/>
      <w:tblLayout w:type="fixed"/>
      <w:tblLook w:val="0400" w:firstRow="0" w:lastRow="0" w:firstColumn="0" w:lastColumn="0" w:noHBand="0" w:noVBand="1"/>
    </w:tblPr>
    <w:tblGrid>
      <w:gridCol w:w="2835"/>
      <w:gridCol w:w="4252"/>
    </w:tblGrid>
    <w:tr w:rsidR="007D029B" w:rsidTr="00262FAB">
      <w:trPr>
        <w:trHeight w:val="227"/>
      </w:trPr>
      <w:tc>
        <w:tcPr>
          <w:tcW w:w="2835" w:type="dxa"/>
        </w:tcPr>
        <w:p w:rsidR="007D029B" w:rsidRPr="00262FAB" w:rsidRDefault="00622048">
          <w:pPr>
            <w:jc w:val="right"/>
            <w:rPr>
              <w:rFonts w:ascii="Palatino Linotype" w:eastAsia="Palatino Linotype" w:hAnsi="Palatino Linotype" w:cs="Palatino Linotype"/>
              <w:b/>
              <w:bCs/>
              <w:szCs w:val="22"/>
            </w:rPr>
          </w:pPr>
          <w:r w:rsidRPr="00262FAB">
            <w:rPr>
              <w:rFonts w:ascii="Palatino Linotype" w:eastAsia="Palatino Linotype" w:hAnsi="Palatino Linotype" w:cs="Palatino Linotype"/>
              <w:b/>
              <w:bCs/>
              <w:szCs w:val="22"/>
            </w:rPr>
            <w:t>Recurso de Revisión:</w:t>
          </w:r>
        </w:p>
      </w:tc>
      <w:tc>
        <w:tcPr>
          <w:tcW w:w="4252" w:type="dxa"/>
        </w:tcPr>
        <w:p w:rsidR="007D029B" w:rsidRPr="00262FAB" w:rsidRDefault="00622048">
          <w:pPr>
            <w:pBdr>
              <w:top w:val="nil"/>
              <w:left w:val="nil"/>
              <w:bottom w:val="nil"/>
              <w:right w:val="nil"/>
              <w:between w:val="nil"/>
            </w:pBdr>
            <w:tabs>
              <w:tab w:val="right" w:pos="8838"/>
            </w:tabs>
            <w:ind w:right="-1285"/>
            <w:rPr>
              <w:rFonts w:ascii="Palatino Linotype" w:eastAsia="Palatino Linotype" w:hAnsi="Palatino Linotype" w:cs="Palatino Linotype"/>
              <w:color w:val="000000"/>
              <w:szCs w:val="22"/>
              <w:highlight w:val="green"/>
            </w:rPr>
          </w:pPr>
          <w:r w:rsidRPr="00262FAB">
            <w:rPr>
              <w:rFonts w:ascii="Palatino Linotype" w:eastAsia="Palatino Linotype" w:hAnsi="Palatino Linotype" w:cs="Palatino Linotype"/>
              <w:color w:val="000000"/>
              <w:szCs w:val="22"/>
            </w:rPr>
            <w:t>09538/INFOEM/IP/RR/2025</w:t>
          </w:r>
        </w:p>
      </w:tc>
    </w:tr>
    <w:tr w:rsidR="007D029B" w:rsidTr="00262FAB">
      <w:trPr>
        <w:trHeight w:val="242"/>
      </w:trPr>
      <w:tc>
        <w:tcPr>
          <w:tcW w:w="2835" w:type="dxa"/>
        </w:tcPr>
        <w:p w:rsidR="007D029B" w:rsidRPr="00262FAB" w:rsidRDefault="00622048">
          <w:pPr>
            <w:jc w:val="right"/>
            <w:rPr>
              <w:rFonts w:ascii="Palatino Linotype" w:eastAsia="Palatino Linotype" w:hAnsi="Palatino Linotype" w:cs="Palatino Linotype"/>
              <w:b/>
              <w:bCs/>
              <w:szCs w:val="22"/>
            </w:rPr>
          </w:pPr>
          <w:r w:rsidRPr="00262FAB">
            <w:rPr>
              <w:rFonts w:ascii="Palatino Linotype" w:eastAsia="Palatino Linotype" w:hAnsi="Palatino Linotype" w:cs="Palatino Linotype"/>
              <w:b/>
              <w:bCs/>
              <w:szCs w:val="22"/>
            </w:rPr>
            <w:t>Recurrente:</w:t>
          </w:r>
        </w:p>
      </w:tc>
      <w:tc>
        <w:tcPr>
          <w:tcW w:w="4252" w:type="dxa"/>
        </w:tcPr>
        <w:p w:rsidR="007D029B" w:rsidRPr="00262FAB" w:rsidRDefault="00A959FC">
          <w:pPr>
            <w:pBdr>
              <w:top w:val="nil"/>
              <w:left w:val="nil"/>
              <w:bottom w:val="nil"/>
              <w:right w:val="nil"/>
              <w:between w:val="nil"/>
            </w:pBdr>
            <w:tabs>
              <w:tab w:val="right" w:pos="8838"/>
              <w:tab w:val="left" w:pos="521"/>
            </w:tabs>
            <w:rPr>
              <w:rFonts w:ascii="Palatino Linotype" w:eastAsia="Palatino Linotype" w:hAnsi="Palatino Linotype" w:cs="Palatino Linotype"/>
              <w:color w:val="000000"/>
              <w:szCs w:val="22"/>
              <w:highlight w:val="green"/>
            </w:rPr>
          </w:pPr>
          <w:r>
            <w:rPr>
              <w:rFonts w:ascii="Palatino Linotype" w:eastAsia="Palatino Linotype" w:hAnsi="Palatino Linotype" w:cs="Palatino Linotype"/>
              <w:color w:val="000000"/>
              <w:szCs w:val="22"/>
            </w:rPr>
            <w:t>XXXX</w:t>
          </w:r>
        </w:p>
      </w:tc>
    </w:tr>
    <w:tr w:rsidR="007D029B" w:rsidTr="00262FAB">
      <w:trPr>
        <w:trHeight w:val="342"/>
      </w:trPr>
      <w:tc>
        <w:tcPr>
          <w:tcW w:w="2835" w:type="dxa"/>
        </w:tcPr>
        <w:p w:rsidR="007D029B" w:rsidRPr="00262FAB" w:rsidRDefault="00622048">
          <w:pPr>
            <w:jc w:val="right"/>
            <w:rPr>
              <w:rFonts w:ascii="Palatino Linotype" w:eastAsia="Palatino Linotype" w:hAnsi="Palatino Linotype" w:cs="Palatino Linotype"/>
              <w:b/>
              <w:bCs/>
              <w:szCs w:val="22"/>
            </w:rPr>
          </w:pPr>
          <w:r w:rsidRPr="00262FAB">
            <w:rPr>
              <w:rFonts w:ascii="Palatino Linotype" w:eastAsia="Palatino Linotype" w:hAnsi="Palatino Linotype" w:cs="Palatino Linotype"/>
              <w:b/>
              <w:bCs/>
              <w:szCs w:val="22"/>
            </w:rPr>
            <w:t>Sujeto Obligado:</w:t>
          </w:r>
        </w:p>
      </w:tc>
      <w:tc>
        <w:tcPr>
          <w:tcW w:w="4252" w:type="dxa"/>
        </w:tcPr>
        <w:p w:rsidR="007D029B" w:rsidRPr="00262FAB" w:rsidRDefault="00622048">
          <w:pPr>
            <w:rPr>
              <w:rFonts w:ascii="Palatino Linotype" w:eastAsia="Palatino Linotype" w:hAnsi="Palatino Linotype" w:cs="Palatino Linotype"/>
              <w:color w:val="000000"/>
              <w:szCs w:val="22"/>
            </w:rPr>
          </w:pPr>
          <w:r w:rsidRPr="00262FAB">
            <w:rPr>
              <w:rFonts w:ascii="Palatino Linotype" w:eastAsia="Palatino Linotype" w:hAnsi="Palatino Linotype" w:cs="Palatino Linotype"/>
              <w:color w:val="000000"/>
              <w:szCs w:val="22"/>
            </w:rPr>
            <w:t>Ayuntamiento de Nicolás Romero</w:t>
          </w:r>
        </w:p>
      </w:tc>
    </w:tr>
    <w:tr w:rsidR="007D029B" w:rsidTr="00262FAB">
      <w:trPr>
        <w:trHeight w:val="342"/>
      </w:trPr>
      <w:tc>
        <w:tcPr>
          <w:tcW w:w="2835" w:type="dxa"/>
        </w:tcPr>
        <w:p w:rsidR="007D029B" w:rsidRPr="00262FAB" w:rsidRDefault="00622048">
          <w:pPr>
            <w:jc w:val="right"/>
            <w:rPr>
              <w:rFonts w:ascii="Palatino Linotype" w:eastAsia="Palatino Linotype" w:hAnsi="Palatino Linotype" w:cs="Palatino Linotype"/>
              <w:b/>
              <w:bCs/>
              <w:szCs w:val="22"/>
            </w:rPr>
          </w:pPr>
          <w:r w:rsidRPr="00262FAB">
            <w:rPr>
              <w:rFonts w:ascii="Palatino Linotype" w:eastAsia="Palatino Linotype" w:hAnsi="Palatino Linotype" w:cs="Palatino Linotype"/>
              <w:b/>
              <w:bCs/>
              <w:szCs w:val="22"/>
            </w:rPr>
            <w:t>Comisionada Ponente:</w:t>
          </w:r>
        </w:p>
      </w:tc>
      <w:tc>
        <w:tcPr>
          <w:tcW w:w="4252" w:type="dxa"/>
        </w:tcPr>
        <w:p w:rsidR="007D029B" w:rsidRPr="00262FAB" w:rsidRDefault="00622048">
          <w:pPr>
            <w:pBdr>
              <w:top w:val="nil"/>
              <w:left w:val="nil"/>
              <w:bottom w:val="nil"/>
              <w:right w:val="nil"/>
              <w:between w:val="nil"/>
            </w:pBdr>
            <w:tabs>
              <w:tab w:val="right" w:pos="8838"/>
            </w:tabs>
            <w:ind w:right="-1285"/>
            <w:rPr>
              <w:rFonts w:ascii="Palatino Linotype" w:eastAsia="Palatino Linotype" w:hAnsi="Palatino Linotype" w:cs="Palatino Linotype"/>
              <w:color w:val="000000"/>
              <w:szCs w:val="22"/>
            </w:rPr>
          </w:pPr>
          <w:r w:rsidRPr="00262FAB">
            <w:rPr>
              <w:rFonts w:ascii="Palatino Linotype" w:eastAsia="Palatino Linotype" w:hAnsi="Palatino Linotype" w:cs="Palatino Linotype"/>
              <w:color w:val="000000"/>
              <w:szCs w:val="22"/>
            </w:rPr>
            <w:t>María del Rosario Mejía Ayala</w:t>
          </w:r>
        </w:p>
      </w:tc>
    </w:tr>
  </w:tbl>
  <w:p w:rsidR="007D029B" w:rsidRDefault="0029444B">
    <w:pPr>
      <w:pBdr>
        <w:top w:val="nil"/>
        <w:left w:val="nil"/>
        <w:bottom w:val="nil"/>
        <w:right w:val="nil"/>
        <w:between w:val="nil"/>
      </w:pBdr>
      <w:tabs>
        <w:tab w:val="center" w:pos="4419"/>
        <w:tab w:val="right" w:pos="8838"/>
      </w:tabs>
      <w:rPr>
        <w:color w:val="000000"/>
        <w:sz w:val="16"/>
        <w:szCs w:val="16"/>
      </w:rPr>
    </w:pPr>
    <w:r>
      <w:rPr>
        <w:color w:val="000000"/>
        <w:sz w:val="16"/>
        <w:szCs w:val="16"/>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50" type="#_x0000_t75" alt="" style="position:absolute;margin-left:-64.65pt;margin-top:-115.9pt;width:609.4pt;height:793.75pt;z-index:-251658752;mso-position-horizontal-relative:margin;mso-position-vertical-relative:margin">
          <v:imagedata r:id="rId1" o:title="image1"/>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864B49"/>
    <w:multiLevelType w:val="hybridMultilevel"/>
    <w:tmpl w:val="171E3D7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22C529BC"/>
    <w:multiLevelType w:val="multilevel"/>
    <w:tmpl w:val="9DE271A8"/>
    <w:lvl w:ilvl="0">
      <w:start w:val="1"/>
      <w:numFmt w:val="bullet"/>
      <w:lvlText w:val="●"/>
      <w:lvlJc w:val="left"/>
      <w:pPr>
        <w:ind w:left="778" w:hanging="360"/>
      </w:pPr>
      <w:rPr>
        <w:rFonts w:ascii="Noto Sans Symbols" w:eastAsia="Noto Sans Symbols" w:hAnsi="Noto Sans Symbols" w:cs="Noto Sans Symbols"/>
      </w:rPr>
    </w:lvl>
    <w:lvl w:ilvl="1">
      <w:start w:val="1"/>
      <w:numFmt w:val="bullet"/>
      <w:lvlText w:val="o"/>
      <w:lvlJc w:val="left"/>
      <w:pPr>
        <w:ind w:left="1498" w:hanging="360"/>
      </w:pPr>
      <w:rPr>
        <w:rFonts w:ascii="Courier New" w:eastAsia="Courier New" w:hAnsi="Courier New" w:cs="Courier New"/>
      </w:rPr>
    </w:lvl>
    <w:lvl w:ilvl="2">
      <w:start w:val="1"/>
      <w:numFmt w:val="bullet"/>
      <w:lvlText w:val="▪"/>
      <w:lvlJc w:val="left"/>
      <w:pPr>
        <w:ind w:left="2218" w:hanging="360"/>
      </w:pPr>
      <w:rPr>
        <w:rFonts w:ascii="Noto Sans Symbols" w:eastAsia="Noto Sans Symbols" w:hAnsi="Noto Sans Symbols" w:cs="Noto Sans Symbols"/>
      </w:rPr>
    </w:lvl>
    <w:lvl w:ilvl="3">
      <w:start w:val="1"/>
      <w:numFmt w:val="bullet"/>
      <w:lvlText w:val="●"/>
      <w:lvlJc w:val="left"/>
      <w:pPr>
        <w:ind w:left="2938" w:hanging="360"/>
      </w:pPr>
      <w:rPr>
        <w:rFonts w:ascii="Noto Sans Symbols" w:eastAsia="Noto Sans Symbols" w:hAnsi="Noto Sans Symbols" w:cs="Noto Sans Symbols"/>
      </w:rPr>
    </w:lvl>
    <w:lvl w:ilvl="4">
      <w:start w:val="1"/>
      <w:numFmt w:val="bullet"/>
      <w:lvlText w:val="o"/>
      <w:lvlJc w:val="left"/>
      <w:pPr>
        <w:ind w:left="3658" w:hanging="360"/>
      </w:pPr>
      <w:rPr>
        <w:rFonts w:ascii="Courier New" w:eastAsia="Courier New" w:hAnsi="Courier New" w:cs="Courier New"/>
      </w:rPr>
    </w:lvl>
    <w:lvl w:ilvl="5">
      <w:start w:val="1"/>
      <w:numFmt w:val="bullet"/>
      <w:lvlText w:val="▪"/>
      <w:lvlJc w:val="left"/>
      <w:pPr>
        <w:ind w:left="4378" w:hanging="360"/>
      </w:pPr>
      <w:rPr>
        <w:rFonts w:ascii="Noto Sans Symbols" w:eastAsia="Noto Sans Symbols" w:hAnsi="Noto Sans Symbols" w:cs="Noto Sans Symbols"/>
      </w:rPr>
    </w:lvl>
    <w:lvl w:ilvl="6">
      <w:start w:val="1"/>
      <w:numFmt w:val="bullet"/>
      <w:lvlText w:val="●"/>
      <w:lvlJc w:val="left"/>
      <w:pPr>
        <w:ind w:left="5098" w:hanging="360"/>
      </w:pPr>
      <w:rPr>
        <w:rFonts w:ascii="Noto Sans Symbols" w:eastAsia="Noto Sans Symbols" w:hAnsi="Noto Sans Symbols" w:cs="Noto Sans Symbols"/>
      </w:rPr>
    </w:lvl>
    <w:lvl w:ilvl="7">
      <w:start w:val="1"/>
      <w:numFmt w:val="bullet"/>
      <w:lvlText w:val="o"/>
      <w:lvlJc w:val="left"/>
      <w:pPr>
        <w:ind w:left="5818" w:hanging="360"/>
      </w:pPr>
      <w:rPr>
        <w:rFonts w:ascii="Courier New" w:eastAsia="Courier New" w:hAnsi="Courier New" w:cs="Courier New"/>
      </w:rPr>
    </w:lvl>
    <w:lvl w:ilvl="8">
      <w:start w:val="1"/>
      <w:numFmt w:val="bullet"/>
      <w:lvlText w:val="▪"/>
      <w:lvlJc w:val="left"/>
      <w:pPr>
        <w:ind w:left="6538" w:hanging="360"/>
      </w:pPr>
      <w:rPr>
        <w:rFonts w:ascii="Noto Sans Symbols" w:eastAsia="Noto Sans Symbols" w:hAnsi="Noto Sans Symbols" w:cs="Noto Sans Symbols"/>
      </w:rPr>
    </w:lvl>
  </w:abstractNum>
  <w:abstractNum w:abstractNumId="2" w15:restartNumberingAfterBreak="0">
    <w:nsid w:val="2DA843BA"/>
    <w:multiLevelType w:val="multilevel"/>
    <w:tmpl w:val="03ECBAFC"/>
    <w:lvl w:ilvl="0">
      <w:start w:val="1"/>
      <w:numFmt w:val="decimal"/>
      <w:lvlText w:val="%1)"/>
      <w:lvlJc w:val="left"/>
      <w:pPr>
        <w:ind w:left="1571" w:hanging="360"/>
      </w:pPr>
    </w:lvl>
    <w:lvl w:ilvl="1">
      <w:start w:val="1"/>
      <w:numFmt w:val="lowerLetter"/>
      <w:lvlText w:val="%2."/>
      <w:lvlJc w:val="left"/>
      <w:pPr>
        <w:ind w:left="2291" w:hanging="360"/>
      </w:pPr>
    </w:lvl>
    <w:lvl w:ilvl="2">
      <w:start w:val="1"/>
      <w:numFmt w:val="lowerRoman"/>
      <w:lvlText w:val="%3."/>
      <w:lvlJc w:val="right"/>
      <w:pPr>
        <w:ind w:left="3011" w:hanging="180"/>
      </w:pPr>
    </w:lvl>
    <w:lvl w:ilvl="3">
      <w:start w:val="1"/>
      <w:numFmt w:val="decimal"/>
      <w:lvlText w:val="%4."/>
      <w:lvlJc w:val="left"/>
      <w:pPr>
        <w:ind w:left="3731" w:hanging="360"/>
      </w:pPr>
    </w:lvl>
    <w:lvl w:ilvl="4">
      <w:start w:val="1"/>
      <w:numFmt w:val="lowerLetter"/>
      <w:lvlText w:val="%5."/>
      <w:lvlJc w:val="left"/>
      <w:pPr>
        <w:ind w:left="4451" w:hanging="360"/>
      </w:pPr>
    </w:lvl>
    <w:lvl w:ilvl="5">
      <w:start w:val="1"/>
      <w:numFmt w:val="lowerRoman"/>
      <w:lvlText w:val="%6."/>
      <w:lvlJc w:val="right"/>
      <w:pPr>
        <w:ind w:left="5171" w:hanging="180"/>
      </w:pPr>
    </w:lvl>
    <w:lvl w:ilvl="6">
      <w:start w:val="1"/>
      <w:numFmt w:val="decimal"/>
      <w:lvlText w:val="%7."/>
      <w:lvlJc w:val="left"/>
      <w:pPr>
        <w:ind w:left="5891" w:hanging="360"/>
      </w:pPr>
    </w:lvl>
    <w:lvl w:ilvl="7">
      <w:start w:val="1"/>
      <w:numFmt w:val="lowerLetter"/>
      <w:lvlText w:val="%8."/>
      <w:lvlJc w:val="left"/>
      <w:pPr>
        <w:ind w:left="6611" w:hanging="360"/>
      </w:pPr>
    </w:lvl>
    <w:lvl w:ilvl="8">
      <w:start w:val="1"/>
      <w:numFmt w:val="lowerRoman"/>
      <w:lvlText w:val="%9."/>
      <w:lvlJc w:val="right"/>
      <w:pPr>
        <w:ind w:left="7331" w:hanging="180"/>
      </w:pPr>
    </w:lvl>
  </w:abstractNum>
  <w:abstractNum w:abstractNumId="3" w15:restartNumberingAfterBreak="0">
    <w:nsid w:val="370B55C0"/>
    <w:multiLevelType w:val="multilevel"/>
    <w:tmpl w:val="D7628B16"/>
    <w:lvl w:ilvl="0">
      <w:start w:val="1"/>
      <w:numFmt w:val="decimal"/>
      <w:lvlText w:val="%1)"/>
      <w:lvlJc w:val="left"/>
      <w:pPr>
        <w:ind w:left="1286" w:hanging="360"/>
      </w:pPr>
    </w:lvl>
    <w:lvl w:ilvl="1">
      <w:start w:val="1"/>
      <w:numFmt w:val="lowerLetter"/>
      <w:lvlText w:val="%2."/>
      <w:lvlJc w:val="left"/>
      <w:pPr>
        <w:ind w:left="2006" w:hanging="360"/>
      </w:pPr>
    </w:lvl>
    <w:lvl w:ilvl="2">
      <w:start w:val="1"/>
      <w:numFmt w:val="lowerRoman"/>
      <w:lvlText w:val="%3."/>
      <w:lvlJc w:val="right"/>
      <w:pPr>
        <w:ind w:left="2726" w:hanging="180"/>
      </w:pPr>
    </w:lvl>
    <w:lvl w:ilvl="3">
      <w:start w:val="1"/>
      <w:numFmt w:val="decimal"/>
      <w:lvlText w:val="%4."/>
      <w:lvlJc w:val="left"/>
      <w:pPr>
        <w:ind w:left="3446" w:hanging="360"/>
      </w:pPr>
    </w:lvl>
    <w:lvl w:ilvl="4">
      <w:start w:val="1"/>
      <w:numFmt w:val="lowerLetter"/>
      <w:lvlText w:val="%5."/>
      <w:lvlJc w:val="left"/>
      <w:pPr>
        <w:ind w:left="4166" w:hanging="360"/>
      </w:pPr>
    </w:lvl>
    <w:lvl w:ilvl="5">
      <w:start w:val="1"/>
      <w:numFmt w:val="lowerRoman"/>
      <w:lvlText w:val="%6."/>
      <w:lvlJc w:val="right"/>
      <w:pPr>
        <w:ind w:left="4886" w:hanging="180"/>
      </w:pPr>
    </w:lvl>
    <w:lvl w:ilvl="6">
      <w:start w:val="1"/>
      <w:numFmt w:val="decimal"/>
      <w:lvlText w:val="%7."/>
      <w:lvlJc w:val="left"/>
      <w:pPr>
        <w:ind w:left="5606" w:hanging="360"/>
      </w:pPr>
    </w:lvl>
    <w:lvl w:ilvl="7">
      <w:start w:val="1"/>
      <w:numFmt w:val="lowerLetter"/>
      <w:lvlText w:val="%8."/>
      <w:lvlJc w:val="left"/>
      <w:pPr>
        <w:ind w:left="6326" w:hanging="360"/>
      </w:pPr>
    </w:lvl>
    <w:lvl w:ilvl="8">
      <w:start w:val="1"/>
      <w:numFmt w:val="lowerRoman"/>
      <w:lvlText w:val="%9."/>
      <w:lvlJc w:val="right"/>
      <w:pPr>
        <w:ind w:left="7046" w:hanging="180"/>
      </w:pPr>
    </w:lvl>
  </w:abstractNum>
  <w:abstractNum w:abstractNumId="4" w15:restartNumberingAfterBreak="0">
    <w:nsid w:val="64CC260F"/>
    <w:multiLevelType w:val="multilevel"/>
    <w:tmpl w:val="A75CDDCA"/>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68635A82"/>
    <w:multiLevelType w:val="multilevel"/>
    <w:tmpl w:val="009E0C66"/>
    <w:lvl w:ilvl="0">
      <w:start w:val="1"/>
      <w:numFmt w:val="decimal"/>
      <w:lvlText w:val="%1)"/>
      <w:lvlJc w:val="lef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6" w15:restartNumberingAfterBreak="0">
    <w:nsid w:val="6BA97855"/>
    <w:multiLevelType w:val="multilevel"/>
    <w:tmpl w:val="4558CD92"/>
    <w:lvl w:ilvl="0">
      <w:start w:val="1"/>
      <w:numFmt w:val="bullet"/>
      <w:lvlText w:val="●"/>
      <w:lvlJc w:val="left"/>
      <w:pPr>
        <w:ind w:left="1069" w:hanging="360"/>
      </w:pPr>
      <w:rPr>
        <w:rFonts w:ascii="Noto Sans Symbols" w:eastAsia="Noto Sans Symbols" w:hAnsi="Noto Sans Symbols" w:cs="Noto Sans Symbols"/>
      </w:rPr>
    </w:lvl>
    <w:lvl w:ilvl="1">
      <w:start w:val="1"/>
      <w:numFmt w:val="bullet"/>
      <w:lvlText w:val="o"/>
      <w:lvlJc w:val="left"/>
      <w:pPr>
        <w:ind w:left="1789" w:hanging="360"/>
      </w:pPr>
      <w:rPr>
        <w:rFonts w:ascii="Courier New" w:eastAsia="Courier New" w:hAnsi="Courier New" w:cs="Courier New"/>
      </w:rPr>
    </w:lvl>
    <w:lvl w:ilvl="2">
      <w:start w:val="1"/>
      <w:numFmt w:val="bullet"/>
      <w:lvlText w:val="▪"/>
      <w:lvlJc w:val="left"/>
      <w:pPr>
        <w:ind w:left="2509" w:hanging="360"/>
      </w:pPr>
      <w:rPr>
        <w:rFonts w:ascii="Noto Sans Symbols" w:eastAsia="Noto Sans Symbols" w:hAnsi="Noto Sans Symbols" w:cs="Noto Sans Symbols"/>
      </w:rPr>
    </w:lvl>
    <w:lvl w:ilvl="3">
      <w:start w:val="1"/>
      <w:numFmt w:val="bullet"/>
      <w:lvlText w:val="●"/>
      <w:lvlJc w:val="left"/>
      <w:pPr>
        <w:ind w:left="3229" w:hanging="360"/>
      </w:pPr>
      <w:rPr>
        <w:rFonts w:ascii="Noto Sans Symbols" w:eastAsia="Noto Sans Symbols" w:hAnsi="Noto Sans Symbols" w:cs="Noto Sans Symbols"/>
      </w:rPr>
    </w:lvl>
    <w:lvl w:ilvl="4">
      <w:start w:val="1"/>
      <w:numFmt w:val="bullet"/>
      <w:lvlText w:val="o"/>
      <w:lvlJc w:val="left"/>
      <w:pPr>
        <w:ind w:left="3949" w:hanging="360"/>
      </w:pPr>
      <w:rPr>
        <w:rFonts w:ascii="Courier New" w:eastAsia="Courier New" w:hAnsi="Courier New" w:cs="Courier New"/>
      </w:rPr>
    </w:lvl>
    <w:lvl w:ilvl="5">
      <w:start w:val="1"/>
      <w:numFmt w:val="bullet"/>
      <w:lvlText w:val="▪"/>
      <w:lvlJc w:val="left"/>
      <w:pPr>
        <w:ind w:left="4669" w:hanging="360"/>
      </w:pPr>
      <w:rPr>
        <w:rFonts w:ascii="Noto Sans Symbols" w:eastAsia="Noto Sans Symbols" w:hAnsi="Noto Sans Symbols" w:cs="Noto Sans Symbols"/>
      </w:rPr>
    </w:lvl>
    <w:lvl w:ilvl="6">
      <w:start w:val="1"/>
      <w:numFmt w:val="bullet"/>
      <w:lvlText w:val="●"/>
      <w:lvlJc w:val="left"/>
      <w:pPr>
        <w:ind w:left="5389" w:hanging="360"/>
      </w:pPr>
      <w:rPr>
        <w:rFonts w:ascii="Noto Sans Symbols" w:eastAsia="Noto Sans Symbols" w:hAnsi="Noto Sans Symbols" w:cs="Noto Sans Symbols"/>
      </w:rPr>
    </w:lvl>
    <w:lvl w:ilvl="7">
      <w:start w:val="1"/>
      <w:numFmt w:val="bullet"/>
      <w:lvlText w:val="o"/>
      <w:lvlJc w:val="left"/>
      <w:pPr>
        <w:ind w:left="6109" w:hanging="360"/>
      </w:pPr>
      <w:rPr>
        <w:rFonts w:ascii="Courier New" w:eastAsia="Courier New" w:hAnsi="Courier New" w:cs="Courier New"/>
      </w:rPr>
    </w:lvl>
    <w:lvl w:ilvl="8">
      <w:start w:val="1"/>
      <w:numFmt w:val="bullet"/>
      <w:lvlText w:val="▪"/>
      <w:lvlJc w:val="left"/>
      <w:pPr>
        <w:ind w:left="6829" w:hanging="360"/>
      </w:pPr>
      <w:rPr>
        <w:rFonts w:ascii="Noto Sans Symbols" w:eastAsia="Noto Sans Symbols" w:hAnsi="Noto Sans Symbols" w:cs="Noto Sans Symbols"/>
      </w:rPr>
    </w:lvl>
  </w:abstractNum>
  <w:abstractNum w:abstractNumId="7" w15:restartNumberingAfterBreak="0">
    <w:nsid w:val="6DF80BB2"/>
    <w:multiLevelType w:val="multilevel"/>
    <w:tmpl w:val="E06C1EB0"/>
    <w:lvl w:ilvl="0">
      <w:start w:val="1"/>
      <w:numFmt w:val="bullet"/>
      <w:lvlText w:val="▪"/>
      <w:lvlJc w:val="left"/>
      <w:pPr>
        <w:ind w:left="1287" w:hanging="360"/>
      </w:pPr>
      <w:rPr>
        <w:rFonts w:ascii="Noto Sans Symbols" w:eastAsia="Noto Sans Symbols" w:hAnsi="Noto Sans Symbols" w:cs="Noto Sans Symbols"/>
      </w:rPr>
    </w:lvl>
    <w:lvl w:ilvl="1">
      <w:start w:val="1"/>
      <w:numFmt w:val="bullet"/>
      <w:lvlText w:val="o"/>
      <w:lvlJc w:val="left"/>
      <w:pPr>
        <w:ind w:left="2007" w:hanging="360"/>
      </w:pPr>
      <w:rPr>
        <w:rFonts w:ascii="Courier New" w:eastAsia="Courier New" w:hAnsi="Courier New" w:cs="Courier New"/>
      </w:rPr>
    </w:lvl>
    <w:lvl w:ilvl="2">
      <w:start w:val="1"/>
      <w:numFmt w:val="bullet"/>
      <w:lvlText w:val="▪"/>
      <w:lvlJc w:val="left"/>
      <w:pPr>
        <w:ind w:left="2727" w:hanging="360"/>
      </w:pPr>
      <w:rPr>
        <w:rFonts w:ascii="Noto Sans Symbols" w:eastAsia="Noto Sans Symbols" w:hAnsi="Noto Sans Symbols" w:cs="Noto Sans Symbols"/>
      </w:rPr>
    </w:lvl>
    <w:lvl w:ilvl="3">
      <w:start w:val="1"/>
      <w:numFmt w:val="bullet"/>
      <w:lvlText w:val="●"/>
      <w:lvlJc w:val="left"/>
      <w:pPr>
        <w:ind w:left="3447" w:hanging="360"/>
      </w:pPr>
      <w:rPr>
        <w:rFonts w:ascii="Noto Sans Symbols" w:eastAsia="Noto Sans Symbols" w:hAnsi="Noto Sans Symbols" w:cs="Noto Sans Symbols"/>
      </w:rPr>
    </w:lvl>
    <w:lvl w:ilvl="4">
      <w:start w:val="1"/>
      <w:numFmt w:val="bullet"/>
      <w:lvlText w:val="o"/>
      <w:lvlJc w:val="left"/>
      <w:pPr>
        <w:ind w:left="4167" w:hanging="360"/>
      </w:pPr>
      <w:rPr>
        <w:rFonts w:ascii="Courier New" w:eastAsia="Courier New" w:hAnsi="Courier New" w:cs="Courier New"/>
      </w:rPr>
    </w:lvl>
    <w:lvl w:ilvl="5">
      <w:start w:val="1"/>
      <w:numFmt w:val="bullet"/>
      <w:lvlText w:val="▪"/>
      <w:lvlJc w:val="left"/>
      <w:pPr>
        <w:ind w:left="4887" w:hanging="360"/>
      </w:pPr>
      <w:rPr>
        <w:rFonts w:ascii="Noto Sans Symbols" w:eastAsia="Noto Sans Symbols" w:hAnsi="Noto Sans Symbols" w:cs="Noto Sans Symbols"/>
      </w:rPr>
    </w:lvl>
    <w:lvl w:ilvl="6">
      <w:start w:val="1"/>
      <w:numFmt w:val="bullet"/>
      <w:lvlText w:val="●"/>
      <w:lvlJc w:val="left"/>
      <w:pPr>
        <w:ind w:left="5607" w:hanging="360"/>
      </w:pPr>
      <w:rPr>
        <w:rFonts w:ascii="Noto Sans Symbols" w:eastAsia="Noto Sans Symbols" w:hAnsi="Noto Sans Symbols" w:cs="Noto Sans Symbols"/>
      </w:rPr>
    </w:lvl>
    <w:lvl w:ilvl="7">
      <w:start w:val="1"/>
      <w:numFmt w:val="bullet"/>
      <w:lvlText w:val="o"/>
      <w:lvlJc w:val="left"/>
      <w:pPr>
        <w:ind w:left="6327" w:hanging="360"/>
      </w:pPr>
      <w:rPr>
        <w:rFonts w:ascii="Courier New" w:eastAsia="Courier New" w:hAnsi="Courier New" w:cs="Courier New"/>
      </w:rPr>
    </w:lvl>
    <w:lvl w:ilvl="8">
      <w:start w:val="1"/>
      <w:numFmt w:val="bullet"/>
      <w:lvlText w:val="▪"/>
      <w:lvlJc w:val="left"/>
      <w:pPr>
        <w:ind w:left="7047" w:hanging="360"/>
      </w:pPr>
      <w:rPr>
        <w:rFonts w:ascii="Noto Sans Symbols" w:eastAsia="Noto Sans Symbols" w:hAnsi="Noto Sans Symbols" w:cs="Noto Sans Symbols"/>
      </w:rPr>
    </w:lvl>
  </w:abstractNum>
  <w:abstractNum w:abstractNumId="8" w15:restartNumberingAfterBreak="0">
    <w:nsid w:val="77C75FB5"/>
    <w:multiLevelType w:val="multilevel"/>
    <w:tmpl w:val="F6AE12A4"/>
    <w:lvl w:ilvl="0">
      <w:start w:val="1"/>
      <w:numFmt w:val="decimal"/>
      <w:pStyle w:val="Listaconvietas2"/>
      <w:lvlText w:val="%1."/>
      <w:lvlJc w:val="left"/>
      <w:pPr>
        <w:ind w:left="360" w:hanging="360"/>
      </w:pPr>
      <w:rPr>
        <w:rFonts w:ascii="Palatino Linotype" w:eastAsia="Palatino Linotype" w:hAnsi="Palatino Linotype" w:cs="Palatino Linotype"/>
        <w:b/>
        <w:bCs/>
        <w:i w:val="0"/>
        <w:iCs w:val="0"/>
        <w:color w:val="0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6"/>
  </w:num>
  <w:num w:numId="2">
    <w:abstractNumId w:val="7"/>
  </w:num>
  <w:num w:numId="3">
    <w:abstractNumId w:val="5"/>
  </w:num>
  <w:num w:numId="4">
    <w:abstractNumId w:val="8"/>
  </w:num>
  <w:num w:numId="5">
    <w:abstractNumId w:val="3"/>
  </w:num>
  <w:num w:numId="6">
    <w:abstractNumId w:val="2"/>
  </w:num>
  <w:num w:numId="7">
    <w:abstractNumId w:val="4"/>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embedTrueTypeFonts/>
  <w:proofState w:spelling="clean" w:grammar="clean"/>
  <w:defaultTabStop w:val="720"/>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029B"/>
    <w:rsid w:val="0003563F"/>
    <w:rsid w:val="00245C96"/>
    <w:rsid w:val="00262FAB"/>
    <w:rsid w:val="0029444B"/>
    <w:rsid w:val="003A7E6D"/>
    <w:rsid w:val="00622048"/>
    <w:rsid w:val="00672AA3"/>
    <w:rsid w:val="007D029B"/>
    <w:rsid w:val="008B3CDA"/>
    <w:rsid w:val="00A959FC"/>
    <w:rsid w:val="00C35E9E"/>
    <w:rsid w:val="00CB049C"/>
    <w:rsid w:val="00E267B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5:docId w15:val="{21B62551-B429-45D9-BA2D-DD33FD402E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4"/>
        <w:szCs w:val="24"/>
        <w:lang w:val="es-ES_tradnl"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keepNext/>
      <w:keepLines/>
      <w:spacing w:before="240"/>
      <w:outlineLvl w:val="0"/>
    </w:pPr>
    <w:rPr>
      <w:color w:val="2F5496"/>
      <w:sz w:val="32"/>
      <w:szCs w:val="32"/>
    </w:rPr>
  </w:style>
  <w:style w:type="paragraph" w:styleId="Ttulo2">
    <w:name w:val="heading 2"/>
    <w:basedOn w:val="Normal"/>
    <w:next w:val="Normal"/>
    <w:pPr>
      <w:keepNext/>
      <w:keepLines/>
      <w:spacing w:before="40"/>
      <w:outlineLvl w:val="1"/>
    </w:pPr>
    <w:rPr>
      <w:color w:val="2F5496"/>
      <w:sz w:val="26"/>
      <w:szCs w:val="26"/>
    </w:rPr>
  </w:style>
  <w:style w:type="paragraph" w:styleId="Ttulo3">
    <w:name w:val="heading 3"/>
    <w:basedOn w:val="Normal"/>
    <w:next w:val="Normal"/>
    <w:pPr>
      <w:keepNext/>
      <w:keepLines/>
      <w:spacing w:before="280" w:after="80"/>
      <w:outlineLvl w:val="2"/>
    </w:pPr>
    <w:rPr>
      <w:b/>
      <w:bCs/>
      <w:sz w:val="28"/>
      <w:szCs w:val="28"/>
    </w:rPr>
  </w:style>
  <w:style w:type="paragraph" w:styleId="Ttulo4">
    <w:name w:val="heading 4"/>
    <w:basedOn w:val="Normal"/>
    <w:next w:val="Normal"/>
    <w:pPr>
      <w:keepNext/>
      <w:keepLines/>
      <w:spacing w:before="240" w:after="40"/>
      <w:outlineLvl w:val="3"/>
    </w:pPr>
    <w:rPr>
      <w:b/>
      <w:bCs/>
    </w:rPr>
  </w:style>
  <w:style w:type="paragraph" w:styleId="Ttulo5">
    <w:name w:val="heading 5"/>
    <w:basedOn w:val="Normal"/>
    <w:next w:val="Normal"/>
    <w:pPr>
      <w:keepNext/>
      <w:keepLines/>
      <w:spacing w:before="220" w:after="40"/>
      <w:outlineLvl w:val="4"/>
    </w:pPr>
    <w:rPr>
      <w:b/>
      <w:bCs/>
      <w:sz w:val="22"/>
      <w:szCs w:val="22"/>
    </w:rPr>
  </w:style>
  <w:style w:type="paragraph" w:styleId="Ttulo6">
    <w:name w:val="heading 6"/>
    <w:basedOn w:val="Normal"/>
    <w:next w:val="Normal"/>
    <w:pPr>
      <w:keepNext/>
      <w:keepLines/>
      <w:spacing w:before="200" w:after="40"/>
      <w:outlineLvl w:val="5"/>
    </w:pPr>
    <w:rPr>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Puesto">
    <w:name w:val="Title"/>
    <w:basedOn w:val="Normal"/>
    <w:next w:val="Normal"/>
    <w:pPr>
      <w:keepNext/>
      <w:keepLines/>
      <w:spacing w:before="480" w:after="120"/>
    </w:pPr>
    <w:rPr>
      <w:b/>
      <w:bCs/>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2">
    <w:name w:val="Table Normal2"/>
    <w:tblPr>
      <w:tblCellMar>
        <w:top w:w="0" w:type="dxa"/>
        <w:left w:w="0" w:type="dxa"/>
        <w:bottom w:w="0" w:type="dxa"/>
        <w:right w:w="0" w:type="dxa"/>
      </w:tblCellMar>
    </w:tblPr>
  </w:style>
  <w:style w:type="table" w:customStyle="1" w:styleId="TableNormal1">
    <w:name w:val="Table Normal1"/>
    <w:tblPr>
      <w:tblCellMar>
        <w:top w:w="0" w:type="dxa"/>
        <w:left w:w="0" w:type="dxa"/>
        <w:bottom w:w="0" w:type="dxa"/>
        <w:right w:w="0" w:type="dxa"/>
      </w:tblCellMar>
    </w:tblPr>
  </w:style>
  <w:style w:type="character" w:customStyle="1" w:styleId="Ttulo1Car">
    <w:name w:val="Título 1 Car"/>
    <w:basedOn w:val="Fuentedeprrafopredeter"/>
    <w:uiPriority w:val="9"/>
    <w:rsid w:val="00942616"/>
    <w:rPr>
      <w:rFonts w:asciiTheme="majorHAnsi" w:eastAsiaTheme="majorEastAsia" w:hAnsiTheme="majorHAnsi" w:cstheme="majorBidi"/>
      <w:color w:val="2F5496" w:themeColor="accent1" w:themeShade="BF"/>
      <w:sz w:val="32"/>
      <w:szCs w:val="32"/>
      <w:lang w:val="es-ES_tradnl" w:eastAsia="es-ES"/>
    </w:rPr>
  </w:style>
  <w:style w:type="character" w:customStyle="1" w:styleId="Ttulo2Car">
    <w:name w:val="Título 2 Car"/>
    <w:basedOn w:val="Fuentedeprrafopredeter"/>
    <w:uiPriority w:val="9"/>
    <w:rsid w:val="00942616"/>
    <w:rPr>
      <w:rFonts w:asciiTheme="majorHAnsi" w:eastAsiaTheme="majorEastAsia" w:hAnsiTheme="majorHAnsi" w:cstheme="majorBidi"/>
      <w:color w:val="2F5496" w:themeColor="accent1" w:themeShade="BF"/>
      <w:sz w:val="26"/>
      <w:szCs w:val="26"/>
      <w:lang w:val="es-ES_tradnl" w:eastAsia="es-ES"/>
    </w:rPr>
  </w:style>
  <w:style w:type="paragraph" w:styleId="Encabezado">
    <w:name w:val="header"/>
    <w:basedOn w:val="Normal"/>
    <w:link w:val="EncabezadoCar"/>
    <w:uiPriority w:val="99"/>
    <w:unhideWhenUsed/>
    <w:rsid w:val="00942616"/>
    <w:pPr>
      <w:tabs>
        <w:tab w:val="center" w:pos="4419"/>
        <w:tab w:val="right" w:pos="8838"/>
      </w:tabs>
    </w:pPr>
  </w:style>
  <w:style w:type="character" w:customStyle="1" w:styleId="EncabezadoCar">
    <w:name w:val="Encabezado Car"/>
    <w:basedOn w:val="Fuentedeprrafopredeter"/>
    <w:link w:val="Encabezado"/>
    <w:uiPriority w:val="99"/>
    <w:rsid w:val="00942616"/>
    <w:rPr>
      <w:rFonts w:eastAsiaTheme="minorEastAsia"/>
      <w:sz w:val="24"/>
      <w:szCs w:val="24"/>
      <w:lang w:val="es-ES_tradnl" w:eastAsia="es-ES"/>
    </w:rPr>
  </w:style>
  <w:style w:type="paragraph" w:styleId="Piedepgina">
    <w:name w:val="footer"/>
    <w:basedOn w:val="Normal"/>
    <w:link w:val="PiedepginaCar"/>
    <w:uiPriority w:val="99"/>
    <w:unhideWhenUsed/>
    <w:rsid w:val="00942616"/>
    <w:pPr>
      <w:tabs>
        <w:tab w:val="center" w:pos="4419"/>
        <w:tab w:val="right" w:pos="8838"/>
      </w:tabs>
    </w:pPr>
  </w:style>
  <w:style w:type="character" w:customStyle="1" w:styleId="PiedepginaCar">
    <w:name w:val="Pie de página Car"/>
    <w:basedOn w:val="Fuentedeprrafopredeter"/>
    <w:link w:val="Piedepgina"/>
    <w:uiPriority w:val="99"/>
    <w:rsid w:val="00942616"/>
    <w:rPr>
      <w:rFonts w:eastAsiaTheme="minorEastAsia"/>
      <w:sz w:val="24"/>
      <w:szCs w:val="24"/>
      <w:lang w:val="es-ES_tradnl" w:eastAsia="es-ES"/>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qFormat/>
    <w:locked/>
    <w:rsid w:val="00942616"/>
    <w:rPr>
      <w:sz w:val="20"/>
      <w:szCs w:val="20"/>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942616"/>
    <w:rPr>
      <w:rFonts w:eastAsiaTheme="minorHAnsi"/>
      <w:sz w:val="20"/>
      <w:szCs w:val="20"/>
      <w:lang w:val="es-MX" w:eastAsia="en-US"/>
    </w:rPr>
  </w:style>
  <w:style w:type="character" w:customStyle="1" w:styleId="TextonotapieCar1">
    <w:name w:val="Texto nota pie Car1"/>
    <w:basedOn w:val="Fuentedeprrafopredeter"/>
    <w:uiPriority w:val="99"/>
    <w:semiHidden/>
    <w:rsid w:val="00942616"/>
    <w:rPr>
      <w:rFonts w:eastAsiaTheme="minorEastAsia"/>
      <w:sz w:val="20"/>
      <w:szCs w:val="20"/>
      <w:lang w:val="es-ES_tradnl" w:eastAsia="es-ES"/>
    </w:rPr>
  </w:style>
  <w:style w:type="character" w:styleId="Refdenotaalpie">
    <w:name w:val="footnote reference"/>
    <w:aliases w:val="Footnotes refss,Texto de nota al pie,Ref. de nota al pie 2,Appel note de bas de page,referencia nota al pie,BVI fnr,Footnote number,f,4_G,16 Point,Superscript 6 Point,Texto nota al pie,Footnote Reference Char3,Ref,de nota al pie,註腳內容"/>
    <w:basedOn w:val="Fuentedeprrafopredeter"/>
    <w:uiPriority w:val="99"/>
    <w:unhideWhenUsed/>
    <w:qFormat/>
    <w:rsid w:val="00942616"/>
    <w:rPr>
      <w:vertAlign w:val="superscript"/>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942616"/>
    <w:pPr>
      <w:ind w:left="720"/>
      <w:contextualSpacing/>
    </w:p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942616"/>
    <w:rPr>
      <w:rFonts w:eastAsiaTheme="minorEastAsia"/>
      <w:sz w:val="24"/>
      <w:szCs w:val="24"/>
      <w:lang w:val="es-ES_tradnl" w:eastAsia="es-ES"/>
    </w:rPr>
  </w:style>
  <w:style w:type="table" w:styleId="Tablanormal1">
    <w:name w:val="Plain Table 1"/>
    <w:basedOn w:val="Tablanormal"/>
    <w:uiPriority w:val="41"/>
    <w:rsid w:val="00942616"/>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Hipervnculo">
    <w:name w:val="Hyperlink"/>
    <w:aliases w:val="Hipervínculo1,Hipervínculo11,Hipervínculo12,Hipervínculo13,Hipervínculo14,Hipervínculo15"/>
    <w:basedOn w:val="Fuentedeprrafopredeter"/>
    <w:uiPriority w:val="99"/>
    <w:unhideWhenUsed/>
    <w:qFormat/>
    <w:rsid w:val="004D1B9C"/>
    <w:rPr>
      <w:color w:val="0563C1" w:themeColor="hyperlink"/>
      <w:u w:val="single"/>
    </w:rPr>
  </w:style>
  <w:style w:type="table" w:styleId="Tablaconcuadrcula">
    <w:name w:val="Table Grid"/>
    <w:basedOn w:val="Tablanormal"/>
    <w:uiPriority w:val="59"/>
    <w:rsid w:val="002847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inespaciadoCar">
    <w:name w:val="Sin espaciado Car"/>
    <w:aliases w:val="Francesa Car,INAI Car"/>
    <w:link w:val="Sinespaciado"/>
    <w:uiPriority w:val="1"/>
    <w:locked/>
    <w:rsid w:val="00893F39"/>
    <w:rPr>
      <w:rFonts w:ascii="Times New Roman" w:eastAsia="Times New Roman" w:hAnsi="Times New Roman" w:cs="Times New Roman"/>
    </w:rPr>
  </w:style>
  <w:style w:type="paragraph" w:styleId="Sinespaciado">
    <w:name w:val="No Spacing"/>
    <w:aliases w:val="Francesa,INAI"/>
    <w:link w:val="SinespaciadoCar"/>
    <w:uiPriority w:val="1"/>
    <w:qFormat/>
    <w:rsid w:val="00893F39"/>
    <w:rPr>
      <w:rFonts w:ascii="Times New Roman" w:eastAsia="Times New Roman" w:hAnsi="Times New Roman" w:cs="Times New Roman"/>
    </w:rPr>
  </w:style>
  <w:style w:type="table" w:customStyle="1" w:styleId="9">
    <w:name w:val="9"/>
    <w:basedOn w:val="TableNormal1"/>
    <w:tblPr>
      <w:tblStyleRowBandSize w:val="1"/>
      <w:tblStyleColBandSize w:val="1"/>
      <w:tblCellMar>
        <w:left w:w="70" w:type="dxa"/>
        <w:right w:w="70" w:type="dxa"/>
      </w:tblCellMar>
    </w:tblPr>
  </w:style>
  <w:style w:type="table" w:customStyle="1" w:styleId="8">
    <w:name w:val="8"/>
    <w:basedOn w:val="TableNormal1"/>
    <w:tblPr>
      <w:tblStyleRowBandSize w:val="1"/>
      <w:tblStyleColBandSize w:val="1"/>
      <w:tblCellMar>
        <w:left w:w="70" w:type="dxa"/>
        <w:right w:w="70" w:type="dxa"/>
      </w:tblCellMar>
    </w:tblPr>
  </w:style>
  <w:style w:type="table" w:customStyle="1" w:styleId="7">
    <w:name w:val="7"/>
    <w:basedOn w:val="TableNormal1"/>
    <w:tblPr>
      <w:tblStyleRowBandSize w:val="1"/>
      <w:tblStyleColBandSize w:val="1"/>
      <w:tblCellMar>
        <w:left w:w="115" w:type="dxa"/>
        <w:right w:w="115" w:type="dxa"/>
      </w:tblCellMar>
    </w:tblPr>
  </w:style>
  <w:style w:type="table" w:customStyle="1" w:styleId="6">
    <w:name w:val="6"/>
    <w:basedOn w:val="TableNormal1"/>
    <w:tblPr>
      <w:tblStyleRowBandSize w:val="1"/>
      <w:tblStyleColBandSize w:val="1"/>
      <w:tblCellMar>
        <w:left w:w="70" w:type="dxa"/>
        <w:right w:w="70" w:type="dxa"/>
      </w:tblCellMar>
    </w:tblPr>
  </w:style>
  <w:style w:type="table" w:customStyle="1" w:styleId="5">
    <w:name w:val="5"/>
    <w:basedOn w:val="TableNormal1"/>
    <w:tblPr>
      <w:tblStyleRowBandSize w:val="1"/>
      <w:tblStyleColBandSize w:val="1"/>
      <w:tblCellMar>
        <w:left w:w="70" w:type="dxa"/>
        <w:right w:w="70" w:type="dxa"/>
      </w:tblCellMar>
    </w:tblPr>
  </w:style>
  <w:style w:type="paragraph" w:styleId="Listaconvietas2">
    <w:name w:val="List Bullet 2"/>
    <w:basedOn w:val="Normal"/>
    <w:uiPriority w:val="99"/>
    <w:unhideWhenUsed/>
    <w:qFormat/>
    <w:rsid w:val="00F91287"/>
    <w:pPr>
      <w:numPr>
        <w:numId w:val="4"/>
      </w:numPr>
      <w:contextualSpacing/>
    </w:pPr>
    <w:rPr>
      <w:rFonts w:ascii="Times New Roman" w:eastAsia="Times New Roman" w:hAnsi="Times New Roman" w:cs="Times New Roman"/>
      <w:sz w:val="20"/>
      <w:szCs w:val="20"/>
    </w:rPr>
  </w:style>
  <w:style w:type="table" w:customStyle="1" w:styleId="4">
    <w:name w:val="4"/>
    <w:basedOn w:val="TableNormal2"/>
    <w:tblPr>
      <w:tblStyleRowBandSize w:val="1"/>
      <w:tblStyleColBandSize w:val="1"/>
      <w:tblCellMar>
        <w:left w:w="115" w:type="dxa"/>
        <w:right w:w="115" w:type="dxa"/>
      </w:tblCellMar>
    </w:tblPr>
  </w:style>
  <w:style w:type="table" w:customStyle="1" w:styleId="3">
    <w:name w:val="3"/>
    <w:basedOn w:val="TableNormal2"/>
    <w:tblPr>
      <w:tblStyleRowBandSize w:val="1"/>
      <w:tblStyleColBandSize w:val="1"/>
      <w:tblCellMar>
        <w:left w:w="115" w:type="dxa"/>
        <w:right w:w="115" w:type="dxa"/>
      </w:tblCellMar>
    </w:tblPr>
  </w:style>
  <w:style w:type="table" w:customStyle="1" w:styleId="2">
    <w:name w:val="2"/>
    <w:basedOn w:val="TableNormal2"/>
    <w:tblPr>
      <w:tblStyleRowBandSize w:val="1"/>
      <w:tblStyleColBandSize w:val="1"/>
      <w:tblCellMar>
        <w:left w:w="70" w:type="dxa"/>
        <w:right w:w="70" w:type="dxa"/>
      </w:tblCellMar>
    </w:tblPr>
  </w:style>
  <w:style w:type="table" w:customStyle="1" w:styleId="1">
    <w:name w:val="1"/>
    <w:basedOn w:val="TableNormal2"/>
    <w:tblPr>
      <w:tblStyleRowBandSize w:val="1"/>
      <w:tblStyleColBandSize w:val="1"/>
      <w:tblCellMar>
        <w:left w:w="70" w:type="dxa"/>
        <w:right w:w="70" w:type="dxa"/>
      </w:tblCellMar>
    </w:tblPr>
  </w:style>
  <w:style w:type="paragraph" w:styleId="NormalWeb">
    <w:name w:val="Normal (Web)"/>
    <w:basedOn w:val="Normal"/>
    <w:uiPriority w:val="99"/>
    <w:rsid w:val="00E23049"/>
    <w:pPr>
      <w:spacing w:before="100" w:beforeAutospacing="1" w:after="100" w:afterAutospacing="1"/>
    </w:pPr>
    <w:rPr>
      <w:rFonts w:ascii="Times New Roman" w:eastAsia="Times New Roman" w:hAnsi="Times New Roman" w:cs="Times New Roman"/>
      <w:lang w:val="es-ES"/>
    </w:rPr>
  </w:style>
  <w:style w:type="paragraph" w:customStyle="1" w:styleId="Default">
    <w:name w:val="Default"/>
    <w:rsid w:val="00444D78"/>
    <w:pPr>
      <w:autoSpaceDE w:val="0"/>
      <w:autoSpaceDN w:val="0"/>
      <w:adjustRightInd w:val="0"/>
    </w:pPr>
    <w:rPr>
      <w:rFonts w:ascii="Arial" w:eastAsiaTheme="minorHAnsi" w:hAnsi="Arial" w:cs="Arial"/>
      <w:color w:val="000000"/>
      <w:lang w:val="es-MX" w:eastAsia="en-US"/>
    </w:rPr>
  </w:style>
  <w:style w:type="table" w:customStyle="1" w:styleId="TableNormal3">
    <w:name w:val="TableNormal"/>
    <w:rsid w:val="001C7DD9"/>
    <w:tblPr>
      <w:tblCellMar>
        <w:top w:w="0" w:type="dxa"/>
        <w:left w:w="0" w:type="dxa"/>
        <w:bottom w:w="0" w:type="dxa"/>
        <w:right w:w="0" w:type="dxa"/>
      </w:tblCellMar>
    </w:tblPr>
  </w:style>
  <w:style w:type="paragraph" w:styleId="Subttulo">
    <w:name w:val="Subtitle"/>
    <w:basedOn w:val="Normal"/>
    <w:next w:val="Normal"/>
    <w:pPr>
      <w:keepNext/>
      <w:keepLines/>
      <w:spacing w:before="360" w:after="80"/>
    </w:pPr>
    <w:rPr>
      <w:rFonts w:ascii="Georgia" w:eastAsia="Georgia" w:hAnsi="Georgia" w:cs="Georgia"/>
      <w:i/>
      <w:iCs/>
      <w:color w:val="666666"/>
      <w:sz w:val="48"/>
      <w:szCs w:val="48"/>
    </w:rPr>
  </w:style>
  <w:style w:type="table" w:customStyle="1" w:styleId="a">
    <w:basedOn w:val="TableNormal0"/>
    <w:tblPr>
      <w:tblStyleRowBandSize w:val="1"/>
      <w:tblStyleColBandSize w:val="1"/>
    </w:tblPr>
  </w:style>
  <w:style w:type="table" w:customStyle="1" w:styleId="a0">
    <w:basedOn w:val="TableNormal0"/>
    <w:tblPr>
      <w:tblStyleRowBandSize w:val="1"/>
      <w:tblStyleColBandSize w:val="1"/>
      <w:tblCellMar>
        <w:left w:w="115" w:type="dxa"/>
        <w:right w:w="115" w:type="dxa"/>
      </w:tblCellMar>
    </w:tblPr>
  </w:style>
  <w:style w:type="table" w:customStyle="1" w:styleId="a1">
    <w:basedOn w:val="TableNormal0"/>
    <w:tblPr>
      <w:tblStyleRowBandSize w:val="1"/>
      <w:tblStyleColBandSize w:val="1"/>
      <w:tblCellMar>
        <w:left w:w="115" w:type="dxa"/>
        <w:right w:w="115" w:type="dxa"/>
      </w:tblCellMar>
    </w:tblPr>
  </w:style>
  <w:style w:type="table" w:customStyle="1" w:styleId="a2">
    <w:basedOn w:val="TableNormal0"/>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impressiones.com.mx/nicolas-romero-en-apoyo-a-la-comunidad-lgbtttiqa/"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laentrevistaenlinea.com/alcaldesa-de-nicolas-romero-reitera-apoyo-a-las-personas-de-la-comunidad-lgbtttiqa/" TargetMode="External"/><Relationship Id="rId14" Type="http://schemas.openxmlformats.org/officeDocument/2006/relationships/header" Target="head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_rels/header2.xml.rels><?xml version="1.0" encoding="UTF-8" standalone="yes"?>
<Relationships xmlns="http://schemas.openxmlformats.org/package/2006/relationships"><Relationship Id="rId1" Type="http://schemas.openxmlformats.org/officeDocument/2006/relationships/image" Target="media/image4.jpeg"/></Relationships>
</file>

<file path=word/_rels/header3.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jcdkbMvbfk0Ybmjcj/pmnv2XBmg==">CgMxLjAyCGguZ2pkZ3hzMgloLjFmb2I5dGUyCWguM3pueXNoNzIJaC4yZXQ5MnAwMgloLjF0M2g1c2YyDmgudHdjY3NmdDN5OHl2MgloLjFrc3Y0dXYyCWguM3JkY3JqbjIIaC5sbnhiejk4AHIhMWRQejAwWDBtSXdLel9HYl9KbGh5THRYSFNNY3B5VDky</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33</Pages>
  <Words>8339</Words>
  <Characters>45870</Characters>
  <Application>Microsoft Office Word</Application>
  <DocSecurity>0</DocSecurity>
  <Lines>382</Lines>
  <Paragraphs>108</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54101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Paola Belen Sanchez Estrada</dc:creator>
  <cp:lastModifiedBy>Cuenta Microsoft</cp:lastModifiedBy>
  <cp:revision>9</cp:revision>
  <cp:lastPrinted>2026-02-13T16:00:00Z</cp:lastPrinted>
  <dcterms:created xsi:type="dcterms:W3CDTF">2026-02-04T17:20:00Z</dcterms:created>
  <dcterms:modified xsi:type="dcterms:W3CDTF">2026-02-24T00:35:00Z</dcterms:modified>
</cp:coreProperties>
</file>