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2E8F6" w14:textId="3D3E76EB" w:rsidR="000D134C" w:rsidRPr="00697DB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97DB2">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697DB2">
        <w:rPr>
          <w:rFonts w:ascii="Palatino Linotype" w:eastAsia="Times New Roman" w:hAnsi="Palatino Linotype" w:cs="Palatino Linotype"/>
          <w:b/>
          <w:color w:val="000000"/>
          <w:sz w:val="24"/>
          <w:szCs w:val="24"/>
          <w:lang w:val="es-ES_tradnl" w:eastAsia="es-MX"/>
        </w:rPr>
        <w:t xml:space="preserve">a </w:t>
      </w:r>
      <w:r w:rsidR="00816859" w:rsidRPr="00697DB2">
        <w:rPr>
          <w:rFonts w:ascii="Palatino Linotype" w:eastAsia="Times New Roman" w:hAnsi="Palatino Linotype" w:cs="Palatino Linotype"/>
          <w:b/>
          <w:color w:val="000000"/>
          <w:sz w:val="24"/>
          <w:szCs w:val="24"/>
          <w:lang w:val="es-ES_tradnl" w:eastAsia="es-MX"/>
        </w:rPr>
        <w:t>quince de abril</w:t>
      </w:r>
      <w:r w:rsidR="00897B0E" w:rsidRPr="00697DB2">
        <w:rPr>
          <w:rFonts w:ascii="Palatino Linotype" w:eastAsia="Times New Roman" w:hAnsi="Palatino Linotype" w:cs="Palatino Linotype"/>
          <w:b/>
          <w:color w:val="000000"/>
          <w:sz w:val="24"/>
          <w:szCs w:val="24"/>
          <w:lang w:val="es-ES_tradnl" w:eastAsia="es-MX"/>
        </w:rPr>
        <w:t xml:space="preserve"> de dos mil </w:t>
      </w:r>
      <w:r w:rsidR="003235A9" w:rsidRPr="00697DB2">
        <w:rPr>
          <w:rFonts w:ascii="Palatino Linotype" w:eastAsia="Times New Roman" w:hAnsi="Palatino Linotype" w:cs="Palatino Linotype"/>
          <w:b/>
          <w:color w:val="000000"/>
          <w:sz w:val="24"/>
          <w:szCs w:val="24"/>
          <w:lang w:val="es-ES_tradnl" w:eastAsia="es-MX"/>
        </w:rPr>
        <w:t>veintiséis</w:t>
      </w:r>
      <w:r w:rsidRPr="00697DB2">
        <w:rPr>
          <w:rFonts w:ascii="Palatino Linotype" w:eastAsia="Times New Roman" w:hAnsi="Palatino Linotype" w:cs="Palatino Linotype"/>
          <w:b/>
          <w:color w:val="000000"/>
          <w:sz w:val="24"/>
          <w:szCs w:val="24"/>
          <w:lang w:val="es-ES_tradnl" w:eastAsia="es-MX"/>
        </w:rPr>
        <w:t>.</w:t>
      </w:r>
    </w:p>
    <w:p w14:paraId="46CFF95D" w14:textId="77777777" w:rsidR="000D134C" w:rsidRPr="00697DB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9E3004" w14:textId="790373B9" w:rsidR="000D134C" w:rsidRPr="00697DB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97DB2">
        <w:rPr>
          <w:rFonts w:ascii="Palatino Linotype" w:eastAsia="Times New Roman" w:hAnsi="Palatino Linotype" w:cs="Palatino Linotype"/>
          <w:b/>
          <w:color w:val="000000"/>
          <w:sz w:val="24"/>
          <w:szCs w:val="24"/>
          <w:lang w:val="es-ES_tradnl" w:eastAsia="es-MX"/>
        </w:rPr>
        <w:t>VISTO</w:t>
      </w:r>
      <w:r w:rsidRPr="00697DB2">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00897B0E" w:rsidRPr="00697DB2">
        <w:rPr>
          <w:rFonts w:ascii="Palatino Linotype" w:eastAsia="Times New Roman" w:hAnsi="Palatino Linotype" w:cs="Palatino Linotype"/>
          <w:b/>
          <w:color w:val="000000"/>
          <w:sz w:val="24"/>
          <w:szCs w:val="24"/>
          <w:lang w:val="es-ES_tradnl" w:eastAsia="es-MX"/>
        </w:rPr>
        <w:t>0</w:t>
      </w:r>
      <w:r w:rsidR="00816859" w:rsidRPr="00697DB2">
        <w:rPr>
          <w:rFonts w:ascii="Palatino Linotype" w:eastAsia="Times New Roman" w:hAnsi="Palatino Linotype" w:cs="Palatino Linotype"/>
          <w:b/>
          <w:color w:val="000000"/>
          <w:sz w:val="24"/>
          <w:szCs w:val="24"/>
          <w:lang w:val="es-ES_tradnl" w:eastAsia="es-MX"/>
        </w:rPr>
        <w:t>3</w:t>
      </w:r>
      <w:r w:rsidR="00EC6A3F" w:rsidRPr="00697DB2">
        <w:rPr>
          <w:rFonts w:ascii="Palatino Linotype" w:eastAsia="Times New Roman" w:hAnsi="Palatino Linotype" w:cs="Palatino Linotype"/>
          <w:b/>
          <w:color w:val="000000"/>
          <w:sz w:val="24"/>
          <w:szCs w:val="24"/>
          <w:lang w:val="es-ES_tradnl" w:eastAsia="es-MX"/>
        </w:rPr>
        <w:t>375</w:t>
      </w:r>
      <w:r w:rsidRPr="00697DB2">
        <w:rPr>
          <w:rFonts w:ascii="Palatino Linotype" w:eastAsia="Times New Roman" w:hAnsi="Palatino Linotype" w:cs="Palatino Linotype"/>
          <w:b/>
          <w:color w:val="000000"/>
          <w:sz w:val="24"/>
          <w:szCs w:val="24"/>
          <w:lang w:val="es-ES_tradnl" w:eastAsia="es-MX"/>
        </w:rPr>
        <w:t>/INFOEM/IP/RR/202</w:t>
      </w:r>
      <w:r w:rsidR="00816859" w:rsidRPr="00697DB2">
        <w:rPr>
          <w:rFonts w:ascii="Palatino Linotype" w:eastAsia="Times New Roman" w:hAnsi="Palatino Linotype" w:cs="Palatino Linotype"/>
          <w:b/>
          <w:color w:val="000000"/>
          <w:sz w:val="24"/>
          <w:szCs w:val="24"/>
          <w:lang w:val="es-ES_tradnl" w:eastAsia="es-MX"/>
        </w:rPr>
        <w:t>6</w:t>
      </w:r>
      <w:bookmarkEnd w:id="0"/>
      <w:r w:rsidRPr="00697DB2">
        <w:rPr>
          <w:rFonts w:ascii="Palatino Linotype" w:eastAsia="Times New Roman" w:hAnsi="Palatino Linotype" w:cs="Palatino Linotype"/>
          <w:color w:val="000000"/>
          <w:sz w:val="24"/>
          <w:szCs w:val="24"/>
          <w:lang w:val="es-ES_tradnl" w:eastAsia="es-MX"/>
        </w:rPr>
        <w:t xml:space="preserve">, </w:t>
      </w:r>
      <w:r w:rsidR="005D394B" w:rsidRPr="00697DB2">
        <w:rPr>
          <w:rFonts w:ascii="Palatino Linotype" w:eastAsia="Times New Roman" w:hAnsi="Palatino Linotype" w:cs="Palatino Linotype"/>
          <w:color w:val="000000"/>
          <w:sz w:val="24"/>
          <w:szCs w:val="24"/>
          <w:lang w:val="es-ES_tradnl" w:eastAsia="es-MX"/>
        </w:rPr>
        <w:t>interpuesto por persona que no señala nombre o seudónimo</w:t>
      </w:r>
      <w:r w:rsidR="005D394B" w:rsidRPr="00697DB2">
        <w:rPr>
          <w:rFonts w:ascii="Palatino Linotype" w:eastAsia="Times New Roman" w:hAnsi="Palatino Linotype" w:cs="Arial"/>
          <w:sz w:val="24"/>
          <w:szCs w:val="24"/>
          <w:lang w:val="es-ES_tradnl" w:eastAsia="es-MX"/>
        </w:rPr>
        <w:t xml:space="preserve">, </w:t>
      </w:r>
      <w:r w:rsidR="005D394B" w:rsidRPr="00697DB2">
        <w:rPr>
          <w:rFonts w:ascii="Palatino Linotype" w:eastAsia="Times New Roman" w:hAnsi="Palatino Linotype" w:cs="Palatino Linotype"/>
          <w:color w:val="000000"/>
          <w:sz w:val="24"/>
          <w:szCs w:val="24"/>
          <w:lang w:val="es-ES_tradnl" w:eastAsia="es-MX"/>
        </w:rPr>
        <w:t xml:space="preserve">en lo sucesivo el </w:t>
      </w:r>
      <w:r w:rsidR="005D394B" w:rsidRPr="00697DB2">
        <w:rPr>
          <w:rFonts w:ascii="Palatino Linotype" w:eastAsia="Times New Roman" w:hAnsi="Palatino Linotype" w:cs="Palatino Linotype"/>
          <w:b/>
          <w:color w:val="000000"/>
          <w:sz w:val="24"/>
          <w:szCs w:val="24"/>
          <w:lang w:val="es-ES_tradnl" w:eastAsia="es-MX"/>
        </w:rPr>
        <w:t>Recurrente</w:t>
      </w:r>
      <w:r w:rsidRPr="00697DB2">
        <w:rPr>
          <w:rFonts w:ascii="Palatino Linotype" w:eastAsia="Times New Roman" w:hAnsi="Palatino Linotype" w:cs="Palatino Linotype"/>
          <w:color w:val="000000"/>
          <w:sz w:val="24"/>
          <w:szCs w:val="24"/>
          <w:lang w:val="es-ES_tradnl" w:eastAsia="es-MX"/>
        </w:rPr>
        <w:t xml:space="preserve">, en contra de la </w:t>
      </w:r>
      <w:r w:rsidR="005D394B" w:rsidRPr="00697DB2">
        <w:rPr>
          <w:rFonts w:ascii="Palatino Linotype" w:eastAsia="Times New Roman" w:hAnsi="Palatino Linotype" w:cs="Palatino Linotype"/>
          <w:color w:val="000000"/>
          <w:sz w:val="24"/>
          <w:szCs w:val="24"/>
          <w:lang w:val="es-ES_tradnl" w:eastAsia="es-MX"/>
        </w:rPr>
        <w:t xml:space="preserve">falta de </w:t>
      </w:r>
      <w:r w:rsidRPr="00697DB2">
        <w:rPr>
          <w:rFonts w:ascii="Palatino Linotype" w:eastAsia="Times New Roman" w:hAnsi="Palatino Linotype" w:cs="Palatino Linotype"/>
          <w:color w:val="000000"/>
          <w:sz w:val="24"/>
          <w:szCs w:val="24"/>
          <w:lang w:val="es-ES_tradnl" w:eastAsia="es-MX"/>
        </w:rPr>
        <w:t xml:space="preserve">respuesta del </w:t>
      </w:r>
      <w:r w:rsidR="0092771D" w:rsidRPr="00697DB2">
        <w:rPr>
          <w:rFonts w:ascii="Palatino Linotype" w:hAnsi="Palatino Linotype"/>
          <w:b/>
          <w:bCs/>
          <w:color w:val="000000"/>
          <w:sz w:val="24"/>
          <w:szCs w:val="24"/>
        </w:rPr>
        <w:t xml:space="preserve">Ayuntamiento de </w:t>
      </w:r>
      <w:r w:rsidR="00565940" w:rsidRPr="00697DB2">
        <w:rPr>
          <w:rFonts w:ascii="Palatino Linotype" w:hAnsi="Palatino Linotype"/>
          <w:b/>
          <w:bCs/>
          <w:color w:val="000000"/>
          <w:sz w:val="24"/>
          <w:szCs w:val="24"/>
        </w:rPr>
        <w:t>Tepotzotlán</w:t>
      </w:r>
      <w:r w:rsidRPr="00697DB2">
        <w:rPr>
          <w:rFonts w:ascii="Palatino Linotype" w:eastAsia="Times New Roman" w:hAnsi="Palatino Linotype" w:cs="Palatino Linotype"/>
          <w:color w:val="000000"/>
          <w:sz w:val="24"/>
          <w:szCs w:val="24"/>
          <w:lang w:val="es-ES_tradnl" w:eastAsia="es-MX"/>
        </w:rPr>
        <w:t>, en lo subsecuente</w:t>
      </w:r>
      <w:r w:rsidRPr="00697DB2">
        <w:rPr>
          <w:rFonts w:ascii="Palatino Linotype" w:eastAsia="Times New Roman" w:hAnsi="Palatino Linotype" w:cs="Palatino Linotype"/>
          <w:b/>
          <w:color w:val="000000"/>
          <w:sz w:val="24"/>
          <w:szCs w:val="24"/>
          <w:lang w:val="es-ES_tradnl" w:eastAsia="es-MX"/>
        </w:rPr>
        <w:t xml:space="preserve"> </w:t>
      </w:r>
      <w:r w:rsidRPr="00697DB2">
        <w:rPr>
          <w:rFonts w:ascii="Palatino Linotype" w:eastAsia="Times New Roman" w:hAnsi="Palatino Linotype" w:cs="Palatino Linotype"/>
          <w:color w:val="000000"/>
          <w:sz w:val="24"/>
          <w:szCs w:val="24"/>
          <w:lang w:val="es-ES_tradnl" w:eastAsia="es-MX"/>
        </w:rPr>
        <w:t>el</w:t>
      </w:r>
      <w:r w:rsidRPr="00697DB2">
        <w:rPr>
          <w:rFonts w:ascii="Palatino Linotype" w:eastAsia="Times New Roman" w:hAnsi="Palatino Linotype" w:cs="Palatino Linotype"/>
          <w:b/>
          <w:color w:val="000000"/>
          <w:sz w:val="24"/>
          <w:szCs w:val="24"/>
          <w:lang w:val="es-ES_tradnl" w:eastAsia="es-MX"/>
        </w:rPr>
        <w:t xml:space="preserve"> Sujeto Obligado, </w:t>
      </w:r>
      <w:r w:rsidRPr="00697DB2">
        <w:rPr>
          <w:rFonts w:ascii="Palatino Linotype" w:eastAsia="Times New Roman" w:hAnsi="Palatino Linotype" w:cs="Palatino Linotype"/>
          <w:color w:val="000000"/>
          <w:sz w:val="24"/>
          <w:szCs w:val="24"/>
          <w:lang w:val="es-ES_tradnl" w:eastAsia="es-MX"/>
        </w:rPr>
        <w:t>se procede a dictar la presente resolución.</w:t>
      </w:r>
    </w:p>
    <w:p w14:paraId="56A4CB04" w14:textId="77777777" w:rsidR="000D134C" w:rsidRPr="00697DB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0D2FD3" w14:textId="77777777" w:rsidR="000D134C" w:rsidRPr="00697DB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3F05D30" w14:textId="77777777" w:rsidR="000D134C" w:rsidRPr="00697DB2" w:rsidRDefault="000D134C" w:rsidP="005C2A3E">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697DB2">
        <w:rPr>
          <w:rFonts w:ascii="Palatino Linotype" w:eastAsia="Times New Roman" w:hAnsi="Palatino Linotype" w:cs="Times New Roman"/>
          <w:b/>
          <w:color w:val="000000" w:themeColor="text1"/>
          <w:sz w:val="32"/>
          <w:szCs w:val="32"/>
          <w:lang w:val="es-ES_tradnl" w:eastAsia="es-ES"/>
        </w:rPr>
        <w:t>ANTECEDENTES</w:t>
      </w:r>
    </w:p>
    <w:p w14:paraId="0733C25F" w14:textId="77777777" w:rsidR="000D134C" w:rsidRPr="00697DB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7B4785F" w14:textId="77777777" w:rsidR="000D134C" w:rsidRPr="00697DB2"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97DB2">
        <w:rPr>
          <w:rFonts w:ascii="Palatino Linotype" w:eastAsia="Times New Roman" w:hAnsi="Palatino Linotype" w:cs="Times New Roman"/>
          <w:b/>
          <w:color w:val="000000" w:themeColor="text1"/>
          <w:sz w:val="28"/>
          <w:szCs w:val="28"/>
          <w:lang w:val="es-ES_tradnl" w:eastAsia="es-MX"/>
        </w:rPr>
        <w:t>PRIMERO. De la Solicitud de Información.</w:t>
      </w:r>
    </w:p>
    <w:p w14:paraId="117AC7C1" w14:textId="49B05B74" w:rsidR="000D134C" w:rsidRPr="00697DB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97DB2">
        <w:rPr>
          <w:rFonts w:ascii="Palatino Linotype" w:eastAsia="Times New Roman" w:hAnsi="Palatino Linotype" w:cs="Palatino Linotype"/>
          <w:color w:val="000000"/>
          <w:sz w:val="24"/>
          <w:szCs w:val="24"/>
          <w:lang w:val="es-ES_tradnl" w:eastAsia="es-MX"/>
        </w:rPr>
        <w:t xml:space="preserve">Con fecha </w:t>
      </w:r>
      <w:r w:rsidR="00EC6A3F" w:rsidRPr="00697DB2">
        <w:rPr>
          <w:rFonts w:ascii="Palatino Linotype" w:eastAsia="Times New Roman" w:hAnsi="Palatino Linotype" w:cs="Palatino Linotype"/>
          <w:color w:val="000000"/>
          <w:sz w:val="24"/>
          <w:szCs w:val="24"/>
          <w:lang w:val="es-ES_tradnl" w:eastAsia="es-MX"/>
        </w:rPr>
        <w:t>ocho</w:t>
      </w:r>
      <w:r w:rsidR="00816859" w:rsidRPr="00697DB2">
        <w:rPr>
          <w:rFonts w:ascii="Palatino Linotype" w:eastAsia="Times New Roman" w:hAnsi="Palatino Linotype" w:cs="Palatino Linotype"/>
          <w:color w:val="000000"/>
          <w:sz w:val="24"/>
          <w:szCs w:val="24"/>
          <w:lang w:val="es-ES_tradnl" w:eastAsia="es-MX"/>
        </w:rPr>
        <w:t xml:space="preserve"> de febrero de dos mil veintiséis</w:t>
      </w:r>
      <w:r w:rsidRPr="00697DB2">
        <w:rPr>
          <w:rFonts w:ascii="Palatino Linotype" w:eastAsia="Times New Roman" w:hAnsi="Palatino Linotype" w:cs="Palatino Linotype"/>
          <w:color w:val="000000"/>
          <w:sz w:val="24"/>
          <w:szCs w:val="24"/>
          <w:lang w:val="es-ES_tradnl" w:eastAsia="es-MX"/>
        </w:rPr>
        <w:t xml:space="preserve">, </w:t>
      </w:r>
      <w:r w:rsidR="005D394B" w:rsidRPr="00697DB2">
        <w:rPr>
          <w:rFonts w:ascii="Palatino Linotype" w:eastAsia="Times New Roman" w:hAnsi="Palatino Linotype" w:cs="Palatino Linotype"/>
          <w:color w:val="000000"/>
          <w:sz w:val="24"/>
          <w:szCs w:val="24"/>
          <w:lang w:val="es-ES_tradnl" w:eastAsia="es-MX"/>
        </w:rPr>
        <w:t>e</w:t>
      </w:r>
      <w:r w:rsidRPr="00697DB2">
        <w:rPr>
          <w:rFonts w:ascii="Palatino Linotype" w:eastAsia="Times New Roman" w:hAnsi="Palatino Linotype" w:cs="Palatino Linotype"/>
          <w:color w:val="000000"/>
          <w:sz w:val="24"/>
          <w:szCs w:val="24"/>
          <w:lang w:val="es-ES_tradnl" w:eastAsia="es-MX"/>
        </w:rPr>
        <w:t xml:space="preserve">l Recurrente presentó mediante el Sistema de Acceso a la Información Mexiquense (SAIMEX), solicitud de información registrada con el número de </w:t>
      </w:r>
      <w:r w:rsidRPr="00697DB2">
        <w:rPr>
          <w:rFonts w:ascii="Palatino Linotype" w:eastAsia="Times New Roman" w:hAnsi="Palatino Linotype" w:cs="Palatino Linotype"/>
          <w:sz w:val="24"/>
          <w:szCs w:val="24"/>
          <w:lang w:val="es-ES_tradnl" w:eastAsia="es-MX"/>
        </w:rPr>
        <w:t>expediente</w:t>
      </w:r>
      <w:r w:rsidRPr="00697DB2">
        <w:rPr>
          <w:rFonts w:ascii="Verdana" w:eastAsia="Times New Roman" w:hAnsi="Verdana" w:cs="Calibri"/>
          <w:b/>
          <w:bCs/>
          <w:color w:val="FF0000"/>
          <w:sz w:val="24"/>
          <w:lang w:val="es-ES_tradnl" w:eastAsia="es-MX"/>
        </w:rPr>
        <w:t> </w:t>
      </w:r>
      <w:r w:rsidRPr="00697DB2">
        <w:rPr>
          <w:color w:val="000000"/>
          <w:sz w:val="27"/>
          <w:szCs w:val="27"/>
        </w:rPr>
        <w:t> </w:t>
      </w:r>
      <w:r w:rsidRPr="00697DB2">
        <w:rPr>
          <w:rFonts w:ascii="Verdana" w:hAnsi="Verdana"/>
          <w:b/>
          <w:bCs/>
          <w:color w:val="FF0000"/>
          <w:sz w:val="20"/>
          <w:szCs w:val="20"/>
        </w:rPr>
        <w:t> </w:t>
      </w:r>
      <w:r w:rsidR="00EC6A3F" w:rsidRPr="00697DB2">
        <w:rPr>
          <w:rFonts w:ascii="Palatino Linotype" w:hAnsi="Palatino Linotype"/>
          <w:b/>
          <w:bCs/>
          <w:sz w:val="24"/>
          <w:szCs w:val="24"/>
        </w:rPr>
        <w:t>00568/TEPOTZOT/IP/2026</w:t>
      </w:r>
      <w:r w:rsidRPr="00697DB2">
        <w:rPr>
          <w:rFonts w:ascii="Palatino Linotype" w:eastAsia="Times New Roman" w:hAnsi="Palatino Linotype" w:cs="Palatino Linotype"/>
          <w:b/>
          <w:sz w:val="24"/>
          <w:szCs w:val="24"/>
          <w:lang w:val="es-ES_tradnl" w:eastAsia="es-MX"/>
        </w:rPr>
        <w:t>,</w:t>
      </w:r>
      <w:r w:rsidR="00FD7DE7" w:rsidRPr="00697DB2">
        <w:rPr>
          <w:rFonts w:ascii="Palatino Linotype" w:eastAsia="Times New Roman" w:hAnsi="Palatino Linotype" w:cs="Palatino Linotype"/>
          <w:b/>
          <w:sz w:val="24"/>
          <w:szCs w:val="24"/>
          <w:lang w:val="es-ES_tradnl" w:eastAsia="es-MX"/>
        </w:rPr>
        <w:t xml:space="preserve"> </w:t>
      </w:r>
      <w:r w:rsidR="00FD7DE7" w:rsidRPr="00697DB2">
        <w:rPr>
          <w:rFonts w:ascii="Palatino Linotype" w:eastAsia="Times New Roman" w:hAnsi="Palatino Linotype" w:cs="Palatino Linotype"/>
          <w:bCs/>
          <w:sz w:val="24"/>
          <w:szCs w:val="24"/>
          <w:lang w:val="es-ES_tradnl" w:eastAsia="es-MX"/>
        </w:rPr>
        <w:t>no obstante, por corresponder a día inhábil, se tiene por presentada el nueve, del mismo mes y año,</w:t>
      </w:r>
      <w:r w:rsidRPr="00697DB2">
        <w:rPr>
          <w:rFonts w:ascii="Palatino Linotype" w:eastAsia="Times New Roman" w:hAnsi="Palatino Linotype" w:cs="Palatino Linotype"/>
          <w:b/>
          <w:sz w:val="24"/>
          <w:szCs w:val="24"/>
          <w:lang w:val="es-ES_tradnl" w:eastAsia="es-MX"/>
        </w:rPr>
        <w:t xml:space="preserve"> </w:t>
      </w:r>
      <w:r w:rsidRPr="00697DB2">
        <w:rPr>
          <w:rFonts w:ascii="Palatino Linotype" w:eastAsia="Times New Roman" w:hAnsi="Palatino Linotype" w:cs="Palatino Linotype"/>
          <w:color w:val="000000"/>
          <w:sz w:val="24"/>
          <w:szCs w:val="24"/>
          <w:lang w:val="es-ES_tradnl" w:eastAsia="es-MX"/>
        </w:rPr>
        <w:t>mediante la cual solicitó información en el tenor siguiente:</w:t>
      </w:r>
    </w:p>
    <w:p w14:paraId="2E4DF887" w14:textId="77777777" w:rsidR="000D134C" w:rsidRPr="00697DB2" w:rsidRDefault="000D134C" w:rsidP="005C2A3E">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00441C7A" w14:textId="6224E481" w:rsidR="000D134C" w:rsidRPr="00697DB2" w:rsidRDefault="000D134C"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697DB2">
        <w:rPr>
          <w:rFonts w:ascii="Palatino Linotype" w:eastAsia="Times New Roman" w:hAnsi="Palatino Linotype" w:cs="Palatino Linotype"/>
          <w:i/>
          <w:iCs/>
          <w:color w:val="000000"/>
          <w:sz w:val="24"/>
          <w:szCs w:val="24"/>
          <w:lang w:val="es-ES_tradnl" w:eastAsia="es-MX"/>
        </w:rPr>
        <w:t>“</w:t>
      </w:r>
      <w:r w:rsidR="00C355B5" w:rsidRPr="00697DB2">
        <w:rPr>
          <w:rFonts w:ascii="Palatino Linotype" w:hAnsi="Palatino Linotype"/>
          <w:i/>
          <w:color w:val="000000"/>
          <w:sz w:val="24"/>
          <w:szCs w:val="24"/>
        </w:rPr>
        <w:t>El nombre de cada obra, la ubicación y el costo de cada una de las realizadas en el 2025, con el nombre de la empresa que la construyó</w:t>
      </w:r>
      <w:r w:rsidR="00565940" w:rsidRPr="00697DB2">
        <w:rPr>
          <w:rFonts w:ascii="Palatino Linotype" w:hAnsi="Palatino Linotype"/>
          <w:i/>
          <w:color w:val="000000"/>
          <w:sz w:val="24"/>
          <w:szCs w:val="24"/>
        </w:rPr>
        <w:t>.</w:t>
      </w:r>
      <w:r w:rsidRPr="00697DB2">
        <w:rPr>
          <w:rFonts w:ascii="Palatino Linotype" w:hAnsi="Palatino Linotype"/>
          <w:i/>
          <w:iCs/>
          <w:color w:val="000000"/>
          <w:sz w:val="24"/>
          <w:szCs w:val="24"/>
        </w:rPr>
        <w:t>”</w:t>
      </w:r>
      <w:r w:rsidRPr="00697DB2">
        <w:rPr>
          <w:rFonts w:ascii="Verdana" w:hAnsi="Verdana"/>
          <w:color w:val="000000"/>
          <w:sz w:val="14"/>
          <w:szCs w:val="14"/>
        </w:rPr>
        <w:t xml:space="preserve"> </w:t>
      </w:r>
      <w:r w:rsidRPr="00697DB2">
        <w:rPr>
          <w:rFonts w:ascii="Palatino Linotype" w:eastAsia="Times New Roman" w:hAnsi="Palatino Linotype" w:cs="Palatino Linotype"/>
          <w:i/>
          <w:color w:val="000000"/>
          <w:szCs w:val="24"/>
          <w:lang w:val="es-ES_tradnl" w:eastAsia="es-MX"/>
        </w:rPr>
        <w:t xml:space="preserve"> (Sic)</w:t>
      </w:r>
    </w:p>
    <w:p w14:paraId="50052818" w14:textId="77777777" w:rsidR="00273D73" w:rsidRPr="00697DB2" w:rsidRDefault="00273D73"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70E00E43" w14:textId="77777777" w:rsidR="000D134C" w:rsidRPr="00697DB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97DB2">
        <w:rPr>
          <w:rFonts w:ascii="Palatino Linotype" w:eastAsia="Times New Roman" w:hAnsi="Palatino Linotype" w:cs="Palatino Linotype"/>
          <w:color w:val="000000"/>
          <w:sz w:val="24"/>
          <w:szCs w:val="24"/>
          <w:lang w:val="es-ES_tradnl" w:eastAsia="es-MX"/>
        </w:rPr>
        <w:lastRenderedPageBreak/>
        <w:t xml:space="preserve">Modalidad de entrega: </w:t>
      </w:r>
      <w:r w:rsidRPr="00697DB2">
        <w:rPr>
          <w:rFonts w:ascii="Palatino Linotype" w:eastAsia="Times New Roman" w:hAnsi="Palatino Linotype" w:cs="Palatino Linotype"/>
          <w:b/>
          <w:color w:val="000000"/>
          <w:sz w:val="24"/>
          <w:szCs w:val="24"/>
          <w:lang w:val="es-ES_tradnl" w:eastAsia="es-MX"/>
        </w:rPr>
        <w:t>A través del SAIMEX</w:t>
      </w:r>
      <w:r w:rsidRPr="00697DB2">
        <w:rPr>
          <w:rFonts w:ascii="Palatino Linotype" w:eastAsia="Times New Roman" w:hAnsi="Palatino Linotype" w:cs="Palatino Linotype"/>
          <w:color w:val="000000"/>
          <w:sz w:val="24"/>
          <w:szCs w:val="24"/>
          <w:lang w:val="es-ES_tradnl" w:eastAsia="es-MX"/>
        </w:rPr>
        <w:t>.</w:t>
      </w:r>
    </w:p>
    <w:p w14:paraId="5E901DFE" w14:textId="77777777" w:rsidR="000D134C" w:rsidRPr="00697DB2" w:rsidRDefault="000D134C" w:rsidP="005C2A3E">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59DB8AA4" w14:textId="0053F0D5" w:rsidR="000D134C" w:rsidRPr="00697DB2"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97DB2">
        <w:rPr>
          <w:rFonts w:ascii="Palatino Linotype" w:eastAsia="Times New Roman" w:hAnsi="Palatino Linotype" w:cs="Times New Roman"/>
          <w:b/>
          <w:color w:val="000000" w:themeColor="text1"/>
          <w:sz w:val="28"/>
          <w:szCs w:val="28"/>
          <w:lang w:val="es-ES_tradnl" w:eastAsia="es-MX"/>
        </w:rPr>
        <w:t xml:space="preserve">SEGUNDO. De la </w:t>
      </w:r>
      <w:r w:rsidR="0031107D" w:rsidRPr="00697DB2">
        <w:rPr>
          <w:rFonts w:ascii="Palatino Linotype" w:eastAsia="Times New Roman" w:hAnsi="Palatino Linotype" w:cs="Times New Roman"/>
          <w:b/>
          <w:color w:val="000000" w:themeColor="text1"/>
          <w:sz w:val="28"/>
          <w:szCs w:val="28"/>
          <w:lang w:val="es-ES_tradnl" w:eastAsia="es-MX"/>
        </w:rPr>
        <w:t xml:space="preserve">falta de </w:t>
      </w:r>
      <w:r w:rsidRPr="00697DB2">
        <w:rPr>
          <w:rFonts w:ascii="Palatino Linotype" w:eastAsia="Times New Roman" w:hAnsi="Palatino Linotype" w:cs="Times New Roman"/>
          <w:b/>
          <w:color w:val="000000" w:themeColor="text1"/>
          <w:sz w:val="28"/>
          <w:szCs w:val="28"/>
          <w:lang w:val="es-ES_tradnl" w:eastAsia="es-MX"/>
        </w:rPr>
        <w:t>respuesta del Sujeto Obligado.</w:t>
      </w:r>
    </w:p>
    <w:p w14:paraId="10050049" w14:textId="77777777" w:rsidR="0031107D" w:rsidRPr="00697DB2" w:rsidRDefault="0031107D" w:rsidP="0031107D">
      <w:pPr>
        <w:spacing w:before="240" w:line="360" w:lineRule="auto"/>
        <w:jc w:val="both"/>
        <w:rPr>
          <w:rFonts w:ascii="Palatino Linotype" w:hAnsi="Palatino Linotype" w:cs="Arial"/>
          <w:b/>
          <w:sz w:val="24"/>
          <w:szCs w:val="24"/>
        </w:rPr>
      </w:pPr>
      <w:r w:rsidRPr="00697DB2">
        <w:rPr>
          <w:rFonts w:ascii="Palatino Linotype" w:hAnsi="Palatino Linotype" w:cs="Arial"/>
          <w:sz w:val="24"/>
          <w:szCs w:val="24"/>
        </w:rPr>
        <w:t xml:space="preserve">El </w:t>
      </w:r>
      <w:r w:rsidRPr="00697DB2">
        <w:rPr>
          <w:rFonts w:ascii="Palatino Linotype" w:hAnsi="Palatino Linotype" w:cs="Arial"/>
          <w:b/>
          <w:sz w:val="24"/>
          <w:szCs w:val="24"/>
        </w:rPr>
        <w:t>Sujeto Obligado</w:t>
      </w:r>
      <w:r w:rsidRPr="00697DB2">
        <w:rPr>
          <w:rFonts w:ascii="Palatino Linotype" w:hAnsi="Palatino Linotype" w:cs="Arial"/>
          <w:sz w:val="24"/>
          <w:szCs w:val="24"/>
        </w:rPr>
        <w:t xml:space="preserve"> no proporcionó respuesta a la solicitud de información dentro del plazo de quince días establecido en el artículo 163 de la Ley de Transparencia y Acceso a la Información Pública del Estado de México y Municipios.</w:t>
      </w:r>
    </w:p>
    <w:p w14:paraId="5B875FDE" w14:textId="77777777" w:rsidR="000D134C" w:rsidRPr="00697DB2" w:rsidRDefault="000D134C" w:rsidP="005C2A3E">
      <w:pPr>
        <w:spacing w:after="0" w:line="360" w:lineRule="auto"/>
        <w:contextualSpacing/>
        <w:jc w:val="both"/>
        <w:rPr>
          <w:rFonts w:ascii="Palatino Linotype" w:hAnsi="Palatino Linotype"/>
          <w:sz w:val="24"/>
          <w:szCs w:val="24"/>
        </w:rPr>
      </w:pPr>
    </w:p>
    <w:p w14:paraId="7375AE13" w14:textId="77777777" w:rsidR="000D134C" w:rsidRPr="00697DB2"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97DB2">
        <w:rPr>
          <w:rFonts w:ascii="Palatino Linotype" w:eastAsia="Times New Roman" w:hAnsi="Palatino Linotype" w:cs="Times New Roman"/>
          <w:b/>
          <w:color w:val="000000" w:themeColor="text1"/>
          <w:sz w:val="28"/>
          <w:szCs w:val="28"/>
          <w:lang w:val="es-ES_tradnl" w:eastAsia="es-MX"/>
        </w:rPr>
        <w:t>TERCERO. Del recurso de revisión.</w:t>
      </w:r>
    </w:p>
    <w:p w14:paraId="69B00BEE" w14:textId="04055D05" w:rsidR="008B2521" w:rsidRPr="00697DB2" w:rsidRDefault="008B2521" w:rsidP="008B2521">
      <w:pPr>
        <w:spacing w:after="0" w:line="360" w:lineRule="auto"/>
        <w:jc w:val="both"/>
        <w:rPr>
          <w:rFonts w:ascii="Palatino Linotype" w:eastAsia="Palatino Linotype" w:hAnsi="Palatino Linotype" w:cs="Palatino Linotype"/>
          <w:b/>
          <w:sz w:val="24"/>
          <w:szCs w:val="24"/>
          <w:lang w:eastAsia="es-MX"/>
        </w:rPr>
      </w:pPr>
      <w:r w:rsidRPr="00697DB2">
        <w:rPr>
          <w:rFonts w:ascii="Palatino Linotype" w:eastAsia="Palatino Linotype" w:hAnsi="Palatino Linotype" w:cs="Palatino Linotype"/>
          <w:sz w:val="24"/>
          <w:szCs w:val="24"/>
          <w:lang w:eastAsia="es-MX"/>
        </w:rPr>
        <w:t>Ante la falta de respuesta</w:t>
      </w:r>
      <w:r w:rsidRPr="00697DB2">
        <w:rPr>
          <w:rFonts w:ascii="Palatino Linotype" w:eastAsia="Palatino Linotype" w:hAnsi="Palatino Linotype" w:cs="Palatino Linotype"/>
          <w:b/>
          <w:sz w:val="24"/>
          <w:szCs w:val="24"/>
          <w:lang w:eastAsia="es-MX"/>
        </w:rPr>
        <w:t xml:space="preserve"> </w:t>
      </w:r>
      <w:r w:rsidRPr="00697DB2">
        <w:rPr>
          <w:rFonts w:ascii="Palatino Linotype" w:eastAsia="Palatino Linotype" w:hAnsi="Palatino Linotype" w:cs="Palatino Linotype"/>
          <w:sz w:val="24"/>
          <w:szCs w:val="24"/>
          <w:lang w:eastAsia="es-MX"/>
        </w:rPr>
        <w:t xml:space="preserve">del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xml:space="preserve">, la parte </w:t>
      </w:r>
      <w:r w:rsidRPr="00697DB2">
        <w:rPr>
          <w:rFonts w:ascii="Palatino Linotype" w:eastAsia="Palatino Linotype" w:hAnsi="Palatino Linotype" w:cs="Palatino Linotype"/>
          <w:b/>
          <w:sz w:val="24"/>
          <w:szCs w:val="24"/>
          <w:lang w:eastAsia="es-MX"/>
        </w:rPr>
        <w:t>Recurrente</w:t>
      </w:r>
      <w:r w:rsidRPr="00697DB2">
        <w:rPr>
          <w:rFonts w:ascii="Palatino Linotype" w:eastAsia="Palatino Linotype" w:hAnsi="Palatino Linotype" w:cs="Palatino Linotype"/>
          <w:sz w:val="24"/>
          <w:szCs w:val="24"/>
          <w:lang w:eastAsia="es-MX"/>
        </w:rPr>
        <w:t xml:space="preserve"> interpuso el recurso de revisión en fecha </w:t>
      </w:r>
      <w:r w:rsidRPr="00697DB2">
        <w:rPr>
          <w:rFonts w:ascii="Palatino Linotype" w:eastAsia="Palatino Linotype" w:hAnsi="Palatino Linotype" w:cs="Palatino Linotype"/>
          <w:b/>
          <w:sz w:val="24"/>
          <w:szCs w:val="24"/>
          <w:lang w:val="es-ES_tradnl" w:eastAsia="es-MX"/>
        </w:rPr>
        <w:t>veinte de marzo de dos mil veintiséis</w:t>
      </w:r>
      <w:r w:rsidRPr="00697DB2">
        <w:rPr>
          <w:rFonts w:ascii="Palatino Linotype" w:eastAsia="Palatino Linotype" w:hAnsi="Palatino Linotype" w:cs="Palatino Linotype"/>
          <w:sz w:val="24"/>
          <w:szCs w:val="24"/>
          <w:lang w:eastAsia="es-MX"/>
        </w:rPr>
        <w:t>, registrado</w:t>
      </w:r>
      <w:r w:rsidRPr="00697DB2">
        <w:rPr>
          <w:rFonts w:ascii="Palatino Linotype" w:eastAsia="Palatino Linotype" w:hAnsi="Palatino Linotype" w:cs="Palatino Linotype"/>
          <w:b/>
          <w:sz w:val="24"/>
          <w:szCs w:val="24"/>
          <w:lang w:eastAsia="es-MX"/>
        </w:rPr>
        <w:t xml:space="preserve"> </w:t>
      </w:r>
      <w:r w:rsidRPr="00697DB2">
        <w:rPr>
          <w:rFonts w:ascii="Palatino Linotype" w:eastAsia="Palatino Linotype" w:hAnsi="Palatino Linotype" w:cs="Palatino Linotype"/>
          <w:sz w:val="24"/>
          <w:szCs w:val="24"/>
          <w:lang w:eastAsia="es-MX"/>
        </w:rPr>
        <w:t xml:space="preserve">en el </w:t>
      </w:r>
      <w:r w:rsidRPr="00697DB2">
        <w:rPr>
          <w:rFonts w:ascii="Palatino Linotype" w:eastAsia="Palatino Linotype" w:hAnsi="Palatino Linotype" w:cs="Palatino Linotype"/>
          <w:b/>
          <w:sz w:val="24"/>
          <w:szCs w:val="24"/>
          <w:lang w:eastAsia="es-MX"/>
        </w:rPr>
        <w:t xml:space="preserve">SAIMEX </w:t>
      </w:r>
      <w:r w:rsidRPr="00697DB2">
        <w:rPr>
          <w:rFonts w:ascii="Palatino Linotype" w:eastAsia="Palatino Linotype" w:hAnsi="Palatino Linotype" w:cs="Palatino Linotype"/>
          <w:sz w:val="24"/>
          <w:szCs w:val="24"/>
          <w:lang w:eastAsia="es-MX"/>
        </w:rPr>
        <w:t xml:space="preserve">con el número de expediente </w:t>
      </w:r>
      <w:r w:rsidRPr="00697DB2">
        <w:rPr>
          <w:rFonts w:ascii="Palatino Linotype" w:eastAsia="Palatino Linotype" w:hAnsi="Palatino Linotype" w:cs="Palatino Linotype"/>
          <w:b/>
          <w:sz w:val="24"/>
          <w:szCs w:val="24"/>
          <w:lang w:val="es-ES_tradnl" w:eastAsia="es-MX"/>
        </w:rPr>
        <w:t>03375/INFOEM/IP/RR/2026</w:t>
      </w:r>
      <w:r w:rsidRPr="00697DB2">
        <w:rPr>
          <w:rFonts w:ascii="Palatino Linotype" w:eastAsia="Palatino Linotype" w:hAnsi="Palatino Linotype" w:cs="Palatino Linotype"/>
          <w:sz w:val="24"/>
          <w:szCs w:val="24"/>
          <w:lang w:eastAsia="es-MX"/>
        </w:rPr>
        <w:t>, y señaló como acto impugnado y razones o motivos de inconformidad, lo siguiente:</w:t>
      </w:r>
    </w:p>
    <w:p w14:paraId="6283396E" w14:textId="77777777" w:rsidR="002F11B1" w:rsidRPr="00697DB2" w:rsidRDefault="002F11B1"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E21ECD" w14:textId="77777777" w:rsidR="000D134C" w:rsidRPr="00697DB2"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697DB2">
        <w:rPr>
          <w:rFonts w:ascii="Palatino Linotype" w:hAnsi="Palatino Linotype" w:cs="Palatino Linotype"/>
          <w:b/>
          <w:i/>
          <w:sz w:val="24"/>
          <w:szCs w:val="24"/>
          <w:lang w:val="es-ES_tradnl" w:eastAsia="es-MX"/>
        </w:rPr>
        <w:t xml:space="preserve">Acto Impugnado y </w:t>
      </w:r>
    </w:p>
    <w:p w14:paraId="1DC46CDA" w14:textId="21C3B8FA" w:rsidR="000D134C" w:rsidRPr="00697DB2" w:rsidRDefault="000D134C" w:rsidP="00782BAF">
      <w:pPr>
        <w:spacing w:after="0" w:line="360" w:lineRule="auto"/>
        <w:ind w:left="425" w:right="565"/>
        <w:jc w:val="both"/>
        <w:rPr>
          <w:rFonts w:ascii="Times New Roman" w:eastAsia="Times New Roman" w:hAnsi="Times New Roman" w:cs="Times New Roman"/>
          <w:sz w:val="24"/>
          <w:szCs w:val="24"/>
          <w:lang w:eastAsia="es-MX"/>
        </w:rPr>
      </w:pPr>
      <w:r w:rsidRPr="00697DB2">
        <w:rPr>
          <w:rFonts w:ascii="Palatino Linotype" w:hAnsi="Palatino Linotype"/>
          <w:i/>
          <w:iCs/>
          <w:color w:val="000000"/>
          <w:sz w:val="24"/>
          <w:szCs w:val="24"/>
        </w:rPr>
        <w:t>“</w:t>
      </w:r>
      <w:r w:rsidR="00C355B5" w:rsidRPr="00697DB2">
        <w:rPr>
          <w:rFonts w:ascii="Palatino Linotype" w:hAnsi="Palatino Linotype"/>
          <w:i/>
          <w:iCs/>
          <w:color w:val="000000"/>
          <w:sz w:val="24"/>
          <w:szCs w:val="24"/>
        </w:rPr>
        <w:t>Sin respuesta</w:t>
      </w:r>
      <w:r w:rsidR="00B06B14" w:rsidRPr="00697DB2">
        <w:rPr>
          <w:rFonts w:ascii="Palatino Linotype" w:hAnsi="Palatino Linotype"/>
          <w:i/>
          <w:iCs/>
          <w:color w:val="000000"/>
          <w:sz w:val="24"/>
          <w:szCs w:val="24"/>
        </w:rPr>
        <w:t>.</w:t>
      </w:r>
      <w:r w:rsidRPr="00697DB2">
        <w:rPr>
          <w:rFonts w:ascii="Palatino Linotype" w:hAnsi="Palatino Linotype"/>
          <w:i/>
          <w:color w:val="000000"/>
          <w:sz w:val="24"/>
          <w:szCs w:val="24"/>
        </w:rPr>
        <w:t>” (Sic)</w:t>
      </w:r>
    </w:p>
    <w:p w14:paraId="13909A86" w14:textId="77777777" w:rsidR="000D134C" w:rsidRPr="00697DB2" w:rsidRDefault="000D134C" w:rsidP="005C2A3E">
      <w:pPr>
        <w:pStyle w:val="Prrafodelista"/>
        <w:spacing w:after="0" w:line="360" w:lineRule="auto"/>
        <w:ind w:left="785" w:right="567"/>
        <w:jc w:val="both"/>
        <w:rPr>
          <w:rFonts w:ascii="Palatino Linotype" w:hAnsi="Palatino Linotype"/>
          <w:i/>
          <w:color w:val="000000"/>
          <w:sz w:val="24"/>
          <w:szCs w:val="24"/>
        </w:rPr>
      </w:pPr>
    </w:p>
    <w:p w14:paraId="2D84CA6B" w14:textId="0A32981F" w:rsidR="000D134C" w:rsidRPr="00697DB2"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697DB2">
        <w:rPr>
          <w:rFonts w:ascii="Palatino Linotype" w:eastAsia="Times New Roman" w:hAnsi="Palatino Linotype" w:cs="Palatino Linotype"/>
          <w:b/>
          <w:i/>
          <w:sz w:val="24"/>
          <w:szCs w:val="24"/>
          <w:lang w:val="es-ES_tradnl" w:eastAsia="es-MX"/>
        </w:rPr>
        <w:t xml:space="preserve"> Motivos de Inconformidad</w:t>
      </w:r>
      <w:r w:rsidRPr="00697DB2">
        <w:rPr>
          <w:rFonts w:ascii="Palatino Linotype" w:hAnsi="Palatino Linotype" w:cs="Palatino Linotype"/>
          <w:b/>
          <w:i/>
          <w:sz w:val="24"/>
          <w:szCs w:val="24"/>
          <w:lang w:val="es-ES_tradnl" w:eastAsia="es-MX"/>
        </w:rPr>
        <w:t xml:space="preserve">: </w:t>
      </w:r>
    </w:p>
    <w:p w14:paraId="5A562623" w14:textId="7B220EF8" w:rsidR="000D134C" w:rsidRPr="00697DB2" w:rsidRDefault="000D134C" w:rsidP="005C2A3E">
      <w:pPr>
        <w:spacing w:after="0" w:line="360" w:lineRule="auto"/>
        <w:ind w:left="425" w:right="567"/>
        <w:contextualSpacing/>
        <w:jc w:val="both"/>
        <w:rPr>
          <w:rFonts w:ascii="Palatino Linotype" w:eastAsia="Times New Roman" w:hAnsi="Palatino Linotype" w:cs="Palatino Linotype"/>
          <w:bCs/>
          <w:i/>
          <w:color w:val="000000"/>
          <w:lang w:eastAsia="es-MX"/>
        </w:rPr>
      </w:pPr>
      <w:r w:rsidRPr="00697DB2">
        <w:rPr>
          <w:rFonts w:ascii="Palatino Linotype" w:eastAsia="Times New Roman" w:hAnsi="Palatino Linotype" w:cs="Palatino Linotype"/>
          <w:bCs/>
          <w:i/>
          <w:color w:val="000000"/>
          <w:sz w:val="24"/>
          <w:szCs w:val="24"/>
          <w:lang w:eastAsia="es-MX"/>
        </w:rPr>
        <w:t>“</w:t>
      </w:r>
      <w:r w:rsidR="00C355B5" w:rsidRPr="00697DB2">
        <w:rPr>
          <w:rFonts w:ascii="Palatino Linotype" w:hAnsi="Palatino Linotype"/>
          <w:i/>
          <w:color w:val="000000"/>
          <w:sz w:val="24"/>
          <w:szCs w:val="24"/>
        </w:rPr>
        <w:t>Sin respuesta</w:t>
      </w:r>
      <w:r w:rsidRPr="00697DB2">
        <w:rPr>
          <w:rFonts w:ascii="Palatino Linotype" w:hAnsi="Palatino Linotype"/>
          <w:i/>
          <w:color w:val="000000"/>
          <w:sz w:val="24"/>
          <w:szCs w:val="24"/>
        </w:rPr>
        <w:t>” (Sic)</w:t>
      </w:r>
    </w:p>
    <w:p w14:paraId="3602008E" w14:textId="77777777" w:rsidR="000D134C" w:rsidRPr="00697DB2" w:rsidRDefault="000D134C" w:rsidP="005C2A3E">
      <w:pPr>
        <w:spacing w:after="0" w:line="360" w:lineRule="auto"/>
        <w:ind w:right="567"/>
        <w:contextualSpacing/>
        <w:jc w:val="both"/>
        <w:rPr>
          <w:rFonts w:ascii="Palatino Linotype" w:eastAsia="Times New Roman" w:hAnsi="Palatino Linotype" w:cs="Palatino Linotype"/>
          <w:b/>
          <w:i/>
          <w:color w:val="000000"/>
          <w:lang w:eastAsia="es-MX"/>
        </w:rPr>
      </w:pPr>
    </w:p>
    <w:p w14:paraId="05DC1A63" w14:textId="77777777" w:rsidR="000D134C" w:rsidRPr="00697DB2" w:rsidRDefault="000D134C" w:rsidP="005C2A3E">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67ECF06D" w14:textId="31D6E82A" w:rsidR="000D134C" w:rsidRPr="00697DB2"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97DB2">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07D062BD" w14:textId="192B3CF2" w:rsidR="000D134C" w:rsidRPr="00697DB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97DB2">
        <w:rPr>
          <w:rFonts w:ascii="Palatino Linotype" w:eastAsia="Times New Roman" w:hAnsi="Palatino Linotype" w:cs="Palatino Linotype"/>
          <w:color w:val="000000"/>
          <w:sz w:val="24"/>
          <w:szCs w:val="24"/>
          <w:lang w:val="es-ES_tradnl" w:eastAsia="es-MX"/>
        </w:rPr>
        <w:t xml:space="preserve">Medio de impugnación que le fue turnado al </w:t>
      </w:r>
      <w:r w:rsidRPr="00697DB2">
        <w:rPr>
          <w:rFonts w:ascii="Palatino Linotype" w:eastAsia="Times New Roman" w:hAnsi="Palatino Linotype" w:cs="Palatino Linotype"/>
          <w:b/>
          <w:color w:val="000000"/>
          <w:sz w:val="24"/>
          <w:szCs w:val="24"/>
          <w:lang w:val="es-ES_tradnl" w:eastAsia="es-MX"/>
        </w:rPr>
        <w:t>Comisionado Presidente José Martínez Vilchis</w:t>
      </w:r>
      <w:r w:rsidRPr="00697DB2">
        <w:rPr>
          <w:rFonts w:ascii="Palatino Linotype" w:eastAsia="Times New Roman" w:hAnsi="Palatino Linotype" w:cs="Palatino Linotype"/>
          <w:color w:val="000000"/>
          <w:sz w:val="24"/>
          <w:szCs w:val="24"/>
          <w:lang w:val="es-ES_tradnl" w:eastAsia="es-MX"/>
        </w:rPr>
        <w:t xml:space="preserve">, por medio del sistema electrónico en términos del numeral 185 fracción I de la </w:t>
      </w:r>
      <w:r w:rsidRPr="00697DB2">
        <w:rPr>
          <w:rFonts w:ascii="Palatino Linotype" w:eastAsia="Times New Roman" w:hAnsi="Palatino Linotype" w:cs="Palatino Linotype"/>
          <w:color w:val="000000"/>
          <w:sz w:val="24"/>
          <w:szCs w:val="24"/>
          <w:lang w:val="es-ES_tradnl" w:eastAsia="es-MX"/>
        </w:rPr>
        <w:lastRenderedPageBreak/>
        <w:t>Ley de Transparencia y Acceso a la información Pública del Estado de México y Municipios, al cual recayó acuerdo de admisión de fecha</w:t>
      </w:r>
      <w:r w:rsidRPr="00697DB2">
        <w:rPr>
          <w:rFonts w:ascii="Palatino Linotype" w:eastAsia="Times New Roman" w:hAnsi="Palatino Linotype" w:cs="Palatino Linotype"/>
          <w:b/>
          <w:color w:val="000000"/>
          <w:sz w:val="24"/>
          <w:szCs w:val="24"/>
          <w:lang w:val="es-ES_tradnl" w:eastAsia="es-MX"/>
        </w:rPr>
        <w:t xml:space="preserve"> </w:t>
      </w:r>
      <w:r w:rsidR="00360F55" w:rsidRPr="00697DB2">
        <w:rPr>
          <w:rFonts w:ascii="Palatino Linotype" w:eastAsia="Times New Roman" w:hAnsi="Palatino Linotype" w:cs="Palatino Linotype"/>
          <w:b/>
          <w:color w:val="000000"/>
          <w:sz w:val="24"/>
          <w:szCs w:val="24"/>
          <w:lang w:val="es-ES_tradnl" w:eastAsia="es-MX"/>
        </w:rPr>
        <w:t>veintitrés</w:t>
      </w:r>
      <w:r w:rsidR="00EC30D5" w:rsidRPr="00697DB2">
        <w:rPr>
          <w:rFonts w:ascii="Palatino Linotype" w:eastAsia="Times New Roman" w:hAnsi="Palatino Linotype" w:cs="Palatino Linotype"/>
          <w:b/>
          <w:color w:val="000000"/>
          <w:sz w:val="24"/>
          <w:szCs w:val="24"/>
          <w:lang w:val="es-ES_tradnl" w:eastAsia="es-MX"/>
        </w:rPr>
        <w:t xml:space="preserve"> de marzo de dos mil veintiséis</w:t>
      </w:r>
      <w:r w:rsidRPr="00697DB2">
        <w:rPr>
          <w:rFonts w:ascii="Palatino Linotype" w:eastAsia="Times New Roman" w:hAnsi="Palatino Linotype" w:cs="Palatino Linotype"/>
          <w:color w:val="000000"/>
          <w:sz w:val="24"/>
          <w:szCs w:val="24"/>
          <w:lang w:val="es-ES_tradnl" w:eastAsia="es-MX"/>
        </w:rPr>
        <w:t xml:space="preserve">, </w:t>
      </w:r>
      <w:r w:rsidRPr="00697DB2">
        <w:rPr>
          <w:rFonts w:ascii="Palatino Linotype" w:eastAsia="Times New Roman" w:hAnsi="Palatino Linotype" w:cs="Palatino Linotype"/>
          <w:sz w:val="24"/>
          <w:szCs w:val="24"/>
          <w:lang w:val="es-ES_tradnl" w:eastAsia="es-MX"/>
        </w:rPr>
        <w:t>otorgándose</w:t>
      </w:r>
      <w:r w:rsidRPr="00697DB2">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06897AB" w14:textId="77777777" w:rsidR="000D134C" w:rsidRPr="00697DB2" w:rsidRDefault="000D134C" w:rsidP="005C2A3E">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78F5F01" w14:textId="77777777" w:rsidR="000D134C" w:rsidRPr="00697DB2"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97DB2">
        <w:rPr>
          <w:rFonts w:ascii="Palatino Linotype" w:eastAsia="Times New Roman" w:hAnsi="Palatino Linotype" w:cs="Times New Roman"/>
          <w:b/>
          <w:color w:val="000000" w:themeColor="text1"/>
          <w:sz w:val="28"/>
          <w:szCs w:val="28"/>
          <w:lang w:val="es-ES_tradnl" w:eastAsia="es-MX"/>
        </w:rPr>
        <w:t>QUINTO. De la etapa de instrucción.</w:t>
      </w:r>
    </w:p>
    <w:p w14:paraId="3E6F8BB7" w14:textId="77777777" w:rsidR="00A416A0" w:rsidRPr="00697DB2" w:rsidRDefault="00A416A0" w:rsidP="00A416A0">
      <w:pPr>
        <w:spacing w:after="0" w:line="360" w:lineRule="auto"/>
        <w:jc w:val="both"/>
        <w:rPr>
          <w:rFonts w:ascii="Palatino Linotype" w:eastAsia="Calibri" w:hAnsi="Palatino Linotype" w:cs="Calibri"/>
          <w:sz w:val="24"/>
          <w:szCs w:val="24"/>
          <w:lang w:eastAsia="es-MX"/>
        </w:rPr>
      </w:pPr>
      <w:r w:rsidRPr="00697DB2">
        <w:rPr>
          <w:rFonts w:ascii="Palatino Linotype" w:eastAsia="Calibri" w:hAnsi="Palatino Linotype" w:cs="Arial"/>
          <w:sz w:val="24"/>
          <w:szCs w:val="24"/>
          <w:lang w:eastAsia="es-MX"/>
        </w:rPr>
        <w:t>De las constancias que obran en el expediente electrónico del SAIMEX, se advierte que el Sujeto Obligado fue omiso al rendir su informe justificado. De igual manera, se advierte que el Recurrente</w:t>
      </w:r>
      <w:r w:rsidRPr="00697DB2">
        <w:rPr>
          <w:rFonts w:ascii="Palatino Linotype" w:eastAsia="Calibri" w:hAnsi="Palatino Linotype" w:cs="Arial"/>
          <w:b/>
          <w:sz w:val="24"/>
          <w:szCs w:val="24"/>
          <w:lang w:eastAsia="es-MX"/>
        </w:rPr>
        <w:t>,</w:t>
      </w:r>
      <w:r w:rsidRPr="00697DB2">
        <w:rPr>
          <w:rFonts w:ascii="Palatino Linotype" w:eastAsia="Calibri" w:hAnsi="Palatino Linotype" w:cs="Arial"/>
          <w:sz w:val="24"/>
          <w:szCs w:val="24"/>
          <w:lang w:eastAsia="es-MX"/>
        </w:rPr>
        <w:t xml:space="preserve"> omitió rendir dentro del término de Ley, las manifestaciones que a sus intereses conviniera.</w:t>
      </w:r>
    </w:p>
    <w:p w14:paraId="584FC206" w14:textId="77777777" w:rsidR="00A416A0" w:rsidRPr="00697DB2" w:rsidRDefault="00A416A0" w:rsidP="00A416A0">
      <w:pPr>
        <w:spacing w:after="0" w:line="360" w:lineRule="auto"/>
        <w:jc w:val="both"/>
        <w:rPr>
          <w:rFonts w:ascii="Palatino Linotype" w:eastAsia="Calibri" w:hAnsi="Palatino Linotype" w:cs="Arial"/>
          <w:sz w:val="24"/>
          <w:szCs w:val="24"/>
          <w:lang w:eastAsia="es-MX"/>
        </w:rPr>
      </w:pPr>
    </w:p>
    <w:p w14:paraId="06D33228" w14:textId="77777777" w:rsidR="00A416A0" w:rsidRPr="00697DB2" w:rsidRDefault="00A416A0" w:rsidP="00A416A0">
      <w:pPr>
        <w:spacing w:after="0" w:line="360" w:lineRule="auto"/>
        <w:jc w:val="both"/>
        <w:rPr>
          <w:rFonts w:ascii="Palatino Linotype" w:eastAsia="Calibri" w:hAnsi="Palatino Linotype" w:cs="Arial"/>
          <w:sz w:val="24"/>
          <w:szCs w:val="24"/>
          <w:lang w:eastAsia="es-MX"/>
        </w:rPr>
      </w:pPr>
      <w:r w:rsidRPr="00697DB2">
        <w:rPr>
          <w:rFonts w:ascii="Palatino Linotype" w:eastAsia="Calibri" w:hAnsi="Palatino Linotype" w:cs="Arial"/>
          <w:sz w:val="24"/>
          <w:szCs w:val="24"/>
          <w:lang w:eastAsia="es-MX"/>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6F37D111" w14:textId="77777777" w:rsidR="00A416A0" w:rsidRPr="00697DB2" w:rsidRDefault="00A416A0" w:rsidP="00A416A0">
      <w:pPr>
        <w:spacing w:after="0" w:line="360" w:lineRule="auto"/>
        <w:jc w:val="both"/>
        <w:rPr>
          <w:rFonts w:ascii="Palatino Linotype" w:eastAsia="Calibri" w:hAnsi="Palatino Linotype" w:cs="Arial"/>
          <w:b/>
          <w:sz w:val="28"/>
          <w:szCs w:val="28"/>
          <w:lang w:eastAsia="es-MX"/>
        </w:rPr>
      </w:pPr>
    </w:p>
    <w:p w14:paraId="4B5C5D48" w14:textId="77777777" w:rsidR="00A416A0" w:rsidRPr="00697DB2" w:rsidRDefault="00A416A0" w:rsidP="00A416A0">
      <w:pPr>
        <w:spacing w:after="0" w:line="360" w:lineRule="auto"/>
        <w:jc w:val="both"/>
        <w:rPr>
          <w:rFonts w:ascii="Palatino Linotype" w:eastAsia="Calibri" w:hAnsi="Palatino Linotype" w:cs="Arial"/>
          <w:b/>
          <w:sz w:val="28"/>
          <w:szCs w:val="28"/>
          <w:lang w:eastAsia="es-MX"/>
        </w:rPr>
      </w:pPr>
      <w:r w:rsidRPr="00697DB2">
        <w:rPr>
          <w:rFonts w:ascii="Palatino Linotype" w:eastAsia="Calibri" w:hAnsi="Palatino Linotype" w:cs="Arial"/>
          <w:b/>
          <w:sz w:val="28"/>
          <w:szCs w:val="28"/>
          <w:lang w:eastAsia="es-MX"/>
        </w:rPr>
        <w:t>SEXTO. Del Cierre de Instrucción.</w:t>
      </w:r>
    </w:p>
    <w:p w14:paraId="31736069" w14:textId="3C1E9DC8" w:rsidR="00A416A0" w:rsidRPr="00697DB2" w:rsidRDefault="00A416A0" w:rsidP="00A416A0">
      <w:pPr>
        <w:spacing w:after="0" w:line="360" w:lineRule="auto"/>
        <w:jc w:val="both"/>
        <w:rPr>
          <w:rFonts w:ascii="Palatino Linotype" w:eastAsia="Calibri" w:hAnsi="Palatino Linotype" w:cs="Arial"/>
          <w:sz w:val="24"/>
          <w:szCs w:val="24"/>
          <w:lang w:eastAsia="es-MX"/>
        </w:rPr>
      </w:pPr>
      <w:r w:rsidRPr="00697DB2">
        <w:rPr>
          <w:rFonts w:ascii="Palatino Linotype" w:eastAsia="Calibri" w:hAnsi="Palatino Linotype" w:cs="Arial"/>
          <w:sz w:val="24"/>
          <w:szCs w:val="24"/>
          <w:lang w:eastAsia="es-MX"/>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3A40D5" w:rsidRPr="00697DB2">
        <w:rPr>
          <w:rFonts w:ascii="Palatino Linotype" w:eastAsia="Calibri" w:hAnsi="Palatino Linotype" w:cs="Arial"/>
          <w:b/>
          <w:sz w:val="24"/>
          <w:szCs w:val="24"/>
          <w:lang w:eastAsia="es-MX"/>
        </w:rPr>
        <w:t>nueve de abril</w:t>
      </w:r>
      <w:r w:rsidRPr="00697DB2">
        <w:rPr>
          <w:rFonts w:ascii="Palatino Linotype" w:eastAsia="Calibri" w:hAnsi="Palatino Linotype" w:cs="Arial"/>
          <w:b/>
          <w:sz w:val="24"/>
          <w:szCs w:val="24"/>
          <w:lang w:eastAsia="es-MX"/>
        </w:rPr>
        <w:t xml:space="preserve"> de dos mil veintiséis</w:t>
      </w:r>
      <w:r w:rsidRPr="00697DB2">
        <w:rPr>
          <w:rFonts w:ascii="Palatino Linotype" w:eastAsia="Calibri" w:hAnsi="Palatino Linotype" w:cs="Arial"/>
          <w:sz w:val="24"/>
          <w:szCs w:val="24"/>
          <w:lang w:eastAsia="es-MX"/>
        </w:rPr>
        <w:t xml:space="preserve">, en términos del artículo 185 fracción VI de la Ley de Transparencia y Acceso a la Información Pública del </w:t>
      </w:r>
      <w:r w:rsidRPr="00697DB2">
        <w:rPr>
          <w:rFonts w:ascii="Palatino Linotype" w:eastAsia="Calibri" w:hAnsi="Palatino Linotype" w:cs="Arial"/>
          <w:sz w:val="24"/>
          <w:szCs w:val="24"/>
          <w:lang w:eastAsia="es-MX"/>
        </w:rPr>
        <w:lastRenderedPageBreak/>
        <w:t>Estado de México y Municipios, ordenándose turnar el expediente a la resolución que en derecho proceda.</w:t>
      </w:r>
    </w:p>
    <w:p w14:paraId="32465A09"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4FF8E675" w14:textId="77777777" w:rsidR="00A416A0" w:rsidRPr="00697DB2" w:rsidRDefault="00A416A0" w:rsidP="00A416A0">
      <w:pPr>
        <w:spacing w:after="0" w:line="360" w:lineRule="auto"/>
        <w:jc w:val="center"/>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b/>
          <w:sz w:val="28"/>
          <w:szCs w:val="28"/>
          <w:lang w:eastAsia="es-MX"/>
        </w:rPr>
        <w:t xml:space="preserve">C O N S I D E R A N D O </w:t>
      </w:r>
    </w:p>
    <w:p w14:paraId="1AADF285"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1E3D8DE4" w14:textId="77777777" w:rsidR="00A416A0" w:rsidRPr="00697DB2" w:rsidRDefault="00A416A0" w:rsidP="00A416A0">
      <w:pPr>
        <w:spacing w:after="0" w:line="360" w:lineRule="auto"/>
        <w:jc w:val="both"/>
        <w:rPr>
          <w:rFonts w:ascii="Palatino Linotype" w:eastAsia="Palatino Linotype" w:hAnsi="Palatino Linotype" w:cs="Palatino Linotype"/>
          <w:sz w:val="28"/>
          <w:szCs w:val="24"/>
          <w:lang w:eastAsia="es-MX"/>
        </w:rPr>
      </w:pPr>
      <w:r w:rsidRPr="00697DB2">
        <w:rPr>
          <w:rFonts w:ascii="Palatino Linotype" w:eastAsia="Palatino Linotype" w:hAnsi="Palatino Linotype" w:cs="Palatino Linotype"/>
          <w:b/>
          <w:sz w:val="28"/>
          <w:szCs w:val="24"/>
          <w:lang w:eastAsia="es-MX"/>
        </w:rPr>
        <w:t>PRIMERO. De la competencia</w:t>
      </w:r>
      <w:r w:rsidRPr="00697DB2">
        <w:rPr>
          <w:rFonts w:ascii="Palatino Linotype" w:eastAsia="Palatino Linotype" w:hAnsi="Palatino Linotype" w:cs="Palatino Linotype"/>
          <w:sz w:val="28"/>
          <w:szCs w:val="24"/>
          <w:lang w:eastAsia="es-MX"/>
        </w:rPr>
        <w:t>.</w:t>
      </w:r>
    </w:p>
    <w:p w14:paraId="3A7938CC" w14:textId="77777777" w:rsidR="00A416A0" w:rsidRPr="00697DB2" w:rsidRDefault="00A416A0" w:rsidP="00A416A0">
      <w:pPr>
        <w:spacing w:after="0" w:line="360" w:lineRule="auto"/>
        <w:jc w:val="both"/>
        <w:rPr>
          <w:rFonts w:ascii="Palatino Linotype" w:eastAsia="Calibri" w:hAnsi="Palatino Linotype" w:cs="Calibri"/>
          <w:sz w:val="24"/>
          <w:lang w:val="es-ES" w:eastAsia="es-MX"/>
        </w:rPr>
      </w:pPr>
      <w:r w:rsidRPr="00697DB2">
        <w:rPr>
          <w:rFonts w:ascii="Palatino Linotype" w:eastAsia="Calibri" w:hAnsi="Palatino Linotype" w:cs="Calibri"/>
          <w:sz w:val="24"/>
          <w:lang w:val="es-ES" w:eastAsia="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84C333"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1B41543F" w14:textId="77777777" w:rsidR="00A416A0" w:rsidRPr="00697DB2" w:rsidRDefault="00A416A0" w:rsidP="00A416A0">
      <w:pPr>
        <w:spacing w:after="0" w:line="360" w:lineRule="auto"/>
        <w:jc w:val="both"/>
        <w:rPr>
          <w:rFonts w:ascii="Palatino Linotype" w:eastAsia="Palatino Linotype" w:hAnsi="Palatino Linotype" w:cs="Palatino Linotype"/>
          <w:sz w:val="28"/>
          <w:szCs w:val="24"/>
          <w:lang w:eastAsia="es-MX"/>
        </w:rPr>
      </w:pPr>
      <w:r w:rsidRPr="00697DB2">
        <w:rPr>
          <w:rFonts w:ascii="Palatino Linotype" w:eastAsia="Palatino Linotype" w:hAnsi="Palatino Linotype" w:cs="Palatino Linotype"/>
          <w:b/>
          <w:sz w:val="28"/>
          <w:szCs w:val="24"/>
          <w:lang w:eastAsia="es-MX"/>
        </w:rPr>
        <w:t>SEGUNDO. De la Oportunidad y Procedencia del Recurso de Revisión</w:t>
      </w:r>
      <w:r w:rsidRPr="00697DB2">
        <w:rPr>
          <w:rFonts w:ascii="Palatino Linotype" w:eastAsia="Palatino Linotype" w:hAnsi="Palatino Linotype" w:cs="Palatino Linotype"/>
          <w:sz w:val="28"/>
          <w:szCs w:val="24"/>
          <w:lang w:eastAsia="es-MX"/>
        </w:rPr>
        <w:t>.</w:t>
      </w:r>
    </w:p>
    <w:p w14:paraId="3449AAC3" w14:textId="77777777" w:rsidR="00A416A0" w:rsidRPr="00697DB2" w:rsidRDefault="00A416A0" w:rsidP="00A416A0">
      <w:pPr>
        <w:spacing w:after="0" w:line="360" w:lineRule="auto"/>
        <w:jc w:val="both"/>
        <w:rPr>
          <w:rFonts w:ascii="Palatino Linotype" w:eastAsia="Palatino Linotype" w:hAnsi="Palatino Linotype" w:cs="Palatino Linotype"/>
          <w:b/>
          <w:sz w:val="24"/>
          <w:szCs w:val="24"/>
          <w:lang w:eastAsia="es-MX"/>
        </w:rPr>
      </w:pPr>
      <w:r w:rsidRPr="00697DB2">
        <w:rPr>
          <w:rFonts w:ascii="Palatino Linotype" w:eastAsia="Palatino Linotype" w:hAnsi="Palatino Linotype" w:cs="Palatino Linotype"/>
          <w:sz w:val="24"/>
          <w:szCs w:val="24"/>
          <w:lang w:eastAsia="es-MX"/>
        </w:rPr>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w:t>
      </w:r>
      <w:r w:rsidRPr="00697DB2">
        <w:rPr>
          <w:rFonts w:ascii="Palatino Linotype" w:eastAsia="Palatino Linotype" w:hAnsi="Palatino Linotype" w:cs="Palatino Linotype"/>
          <w:sz w:val="24"/>
          <w:szCs w:val="24"/>
          <w:lang w:eastAsia="es-MX"/>
        </w:rPr>
        <w:lastRenderedPageBreak/>
        <w:t>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0928C552"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7C26A364"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697DB2">
        <w:rPr>
          <w:rFonts w:ascii="Palatino Linotype" w:eastAsia="Palatino Linotype" w:hAnsi="Palatino Linotype" w:cs="Palatino Linotype"/>
          <w:b/>
          <w:sz w:val="24"/>
          <w:szCs w:val="24"/>
          <w:lang w:eastAsia="es-MX"/>
        </w:rPr>
        <w:t>Recurrente</w:t>
      </w:r>
      <w:r w:rsidRPr="00697DB2">
        <w:rPr>
          <w:rFonts w:ascii="Palatino Linotype" w:eastAsia="Palatino Linotype" w:hAnsi="Palatino Linotype" w:cs="Palatino Linotype"/>
          <w:sz w:val="24"/>
          <w:szCs w:val="24"/>
          <w:lang w:eastAsia="es-MX"/>
        </w:rPr>
        <w:t xml:space="preserve">, por lo que, en el presente caso, al haber sido presentado el recurso de revisión vía </w:t>
      </w:r>
      <w:r w:rsidRPr="00697DB2">
        <w:rPr>
          <w:rFonts w:ascii="Palatino Linotype" w:eastAsia="Palatino Linotype" w:hAnsi="Palatino Linotype" w:cs="Palatino Linotype"/>
          <w:b/>
          <w:sz w:val="24"/>
          <w:szCs w:val="24"/>
          <w:lang w:eastAsia="es-MX"/>
        </w:rPr>
        <w:t>SAIMEX</w:t>
      </w:r>
      <w:r w:rsidRPr="00697DB2">
        <w:rPr>
          <w:rFonts w:ascii="Palatino Linotype" w:eastAsia="Palatino Linotype" w:hAnsi="Palatino Linotype" w:cs="Palatino Linotype"/>
          <w:sz w:val="24"/>
          <w:szCs w:val="24"/>
          <w:lang w:eastAsia="es-MX"/>
        </w:rPr>
        <w:t>, dicho requisito resulta innecesario.</w:t>
      </w:r>
    </w:p>
    <w:p w14:paraId="715733E7"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396F196F" w14:textId="77777777" w:rsidR="00A416A0" w:rsidRPr="00697DB2" w:rsidRDefault="00A416A0" w:rsidP="00A416A0">
      <w:pPr>
        <w:spacing w:before="240" w:after="240" w:line="360" w:lineRule="auto"/>
        <w:jc w:val="both"/>
        <w:rPr>
          <w:rFonts w:ascii="Palatino Linotype" w:eastAsia="Palatino Linotype" w:hAnsi="Palatino Linotype" w:cs="Palatino Linotype"/>
          <w:i/>
          <w:sz w:val="24"/>
          <w:szCs w:val="24"/>
          <w:lang w:eastAsia="es-MX"/>
        </w:rPr>
      </w:pPr>
      <w:r w:rsidRPr="00697DB2">
        <w:rPr>
          <w:rFonts w:ascii="Palatino Linotype" w:eastAsia="Palatino Linotype" w:hAnsi="Palatino Linotype" w:cs="Palatino Linotype"/>
          <w:sz w:val="24"/>
          <w:szCs w:val="24"/>
          <w:lang w:eastAsia="es-MX"/>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xml:space="preserve">, hipótesis jurídica que se actualiza en este caso, aunado a que la parte </w:t>
      </w:r>
      <w:r w:rsidRPr="00697DB2">
        <w:rPr>
          <w:rFonts w:ascii="Palatino Linotype" w:eastAsia="Palatino Linotype" w:hAnsi="Palatino Linotype" w:cs="Palatino Linotype"/>
          <w:b/>
          <w:sz w:val="24"/>
          <w:szCs w:val="24"/>
          <w:lang w:eastAsia="es-MX"/>
        </w:rPr>
        <w:t>Recurrente</w:t>
      </w:r>
      <w:r w:rsidRPr="00697DB2">
        <w:rPr>
          <w:rFonts w:ascii="Palatino Linotype" w:eastAsia="Palatino Linotype" w:hAnsi="Palatino Linotype" w:cs="Palatino Linotype"/>
          <w:sz w:val="24"/>
          <w:szCs w:val="24"/>
          <w:lang w:eastAsia="es-MX"/>
        </w:rPr>
        <w:t xml:space="preserve"> combate falta de trámite por el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xml:space="preserve"> y expresa motivos de inconformidad en contra de dicha circunstancia.</w:t>
      </w:r>
    </w:p>
    <w:p w14:paraId="762F7C2E"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16BBEE25"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Asimismo, no se actualiza ninguna causa de improcedencia de las referidas en el artículo 191 de la Ley de Transparencia y Acceso a la Información Pública del Estado de México y Municipios, ni mucho menos se hizo valer causa de improcedencia alguna por las </w:t>
      </w:r>
      <w:r w:rsidRPr="00697DB2">
        <w:rPr>
          <w:rFonts w:ascii="Palatino Linotype" w:eastAsia="Palatino Linotype" w:hAnsi="Palatino Linotype" w:cs="Palatino Linotype"/>
          <w:sz w:val="24"/>
          <w:szCs w:val="24"/>
          <w:lang w:eastAsia="es-MX"/>
        </w:rPr>
        <w:lastRenderedPageBreak/>
        <w:t>partes, que resulte dable abordar, encontrándose actualizados todos los presupuestos procedimentales para atender el fondo del asunto, en los términos del considerando posterior.</w:t>
      </w:r>
    </w:p>
    <w:p w14:paraId="42ABB79D"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50AFE863" w14:textId="77777777" w:rsidR="00A416A0" w:rsidRPr="00697DB2" w:rsidRDefault="00A416A0" w:rsidP="00A416A0">
      <w:pPr>
        <w:widowControl w:val="0"/>
        <w:spacing w:after="0" w:line="360" w:lineRule="auto"/>
        <w:jc w:val="both"/>
        <w:rPr>
          <w:rFonts w:ascii="Palatino Linotype" w:eastAsia="Palatino Linotype" w:hAnsi="Palatino Linotype" w:cs="Palatino Linotype"/>
          <w:b/>
          <w:sz w:val="28"/>
          <w:szCs w:val="28"/>
          <w:lang w:eastAsia="es-MX"/>
        </w:rPr>
      </w:pPr>
      <w:r w:rsidRPr="00697DB2">
        <w:rPr>
          <w:rFonts w:ascii="Palatino Linotype" w:eastAsia="Palatino Linotype" w:hAnsi="Palatino Linotype" w:cs="Palatino Linotype"/>
          <w:b/>
          <w:sz w:val="28"/>
          <w:szCs w:val="28"/>
          <w:lang w:eastAsia="es-MX"/>
        </w:rPr>
        <w:t xml:space="preserve">TERCERO. Estudio y resolución del asunto. </w:t>
      </w:r>
    </w:p>
    <w:p w14:paraId="0772FC74" w14:textId="77777777" w:rsidR="00A416A0" w:rsidRPr="00697DB2" w:rsidRDefault="00A416A0" w:rsidP="00A416A0">
      <w:pPr>
        <w:spacing w:after="0" w:line="360" w:lineRule="auto"/>
        <w:jc w:val="both"/>
        <w:rPr>
          <w:rFonts w:ascii="Palatino Linotype" w:eastAsia="Palatino Linotype" w:hAnsi="Palatino Linotype" w:cs="Palatino Linotype"/>
          <w:color w:val="000000"/>
          <w:sz w:val="24"/>
          <w:szCs w:val="24"/>
          <w:lang w:eastAsia="es-MX"/>
        </w:rPr>
      </w:pPr>
      <w:r w:rsidRPr="00697DB2">
        <w:rPr>
          <w:rFonts w:ascii="Palatino Linotype" w:eastAsia="Palatino Linotype" w:hAnsi="Palatino Linotype" w:cs="Palatino Linotype"/>
          <w:sz w:val="24"/>
          <w:szCs w:val="24"/>
          <w:lang w:eastAsia="es-MX"/>
        </w:rPr>
        <w:t xml:space="preserve">El derecho de acceso a la información pública es un </w:t>
      </w:r>
      <w:r w:rsidRPr="00697DB2">
        <w:rPr>
          <w:rFonts w:ascii="Palatino Linotype" w:eastAsia="Palatino Linotype" w:hAnsi="Palatino Linotype" w:cs="Palatino Linotype"/>
          <w:color w:val="000000"/>
          <w:sz w:val="24"/>
          <w:szCs w:val="24"/>
          <w:lang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14BA37D"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2DCBD8D7"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Por lo que en cumplimiento a las obligaciones que establece nuestra Carta Magna, la Constitución Estatal y la Ley de la materia le imponen, el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xml:space="preserve"> fue omiso en dar respuesta a la solicitud de información dentro de los plazos establecidos en la Ley de Transparencia Loca.</w:t>
      </w:r>
    </w:p>
    <w:p w14:paraId="004A6F33"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4298A8C1"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Asimismo, los motivos o razones de inconformidad expuestos por la parte Recurrente, se adolece de la falta de respuesta a la solicitud de acceso a la información formulada, por lo que se actualiza la causal de procedencia establecida </w:t>
      </w:r>
      <w:r w:rsidRPr="00697DB2">
        <w:rPr>
          <w:rFonts w:ascii="Palatino Linotype" w:eastAsia="Palatino Linotype" w:hAnsi="Palatino Linotype" w:cs="Palatino Linotype"/>
          <w:color w:val="000000"/>
          <w:sz w:val="24"/>
          <w:szCs w:val="24"/>
          <w:lang w:eastAsia="es-MX"/>
        </w:rPr>
        <w:t xml:space="preserve">en la fracción VII del artículo 179 </w:t>
      </w:r>
      <w:r w:rsidRPr="00697DB2">
        <w:rPr>
          <w:rFonts w:ascii="Palatino Linotype" w:eastAsia="Palatino Linotype" w:hAnsi="Palatino Linotype" w:cs="Palatino Linotype"/>
          <w:color w:val="000000"/>
          <w:sz w:val="24"/>
          <w:szCs w:val="24"/>
          <w:lang w:eastAsia="es-MX"/>
        </w:rPr>
        <w:lastRenderedPageBreak/>
        <w:t>de la Ley de Transparencia y Acceso a la Información Pública del Estado de México y Municipios,</w:t>
      </w:r>
      <w:r w:rsidRPr="00697DB2">
        <w:rPr>
          <w:rFonts w:ascii="Palatino Linotype" w:eastAsia="Palatino Linotype" w:hAnsi="Palatino Linotype" w:cs="Palatino Linotype"/>
          <w:b/>
          <w:color w:val="000000"/>
          <w:sz w:val="24"/>
          <w:szCs w:val="24"/>
          <w:lang w:eastAsia="es-MX"/>
        </w:rPr>
        <w:t xml:space="preserve"> </w:t>
      </w:r>
      <w:r w:rsidRPr="00697DB2">
        <w:rPr>
          <w:rFonts w:ascii="Palatino Linotype" w:eastAsia="Palatino Linotype" w:hAnsi="Palatino Linotype" w:cs="Palatino Linotype"/>
          <w:color w:val="000000"/>
          <w:sz w:val="24"/>
          <w:szCs w:val="24"/>
          <w:lang w:eastAsia="es-MX"/>
        </w:rPr>
        <w:t>y</w:t>
      </w:r>
      <w:r w:rsidRPr="00697DB2">
        <w:rPr>
          <w:rFonts w:ascii="Palatino Linotype" w:eastAsia="Palatino Linotype" w:hAnsi="Palatino Linotype" w:cs="Palatino Linotype"/>
          <w:b/>
          <w:color w:val="000000"/>
          <w:sz w:val="24"/>
          <w:szCs w:val="24"/>
          <w:lang w:eastAsia="es-MX"/>
        </w:rPr>
        <w:t xml:space="preserve"> </w:t>
      </w:r>
      <w:r w:rsidRPr="00697DB2">
        <w:rPr>
          <w:rFonts w:ascii="Palatino Linotype" w:eastAsia="Palatino Linotype" w:hAnsi="Palatino Linotype" w:cs="Palatino Linotype"/>
          <w:sz w:val="24"/>
          <w:szCs w:val="24"/>
          <w:lang w:eastAsia="es-MX"/>
        </w:rPr>
        <w:t>por tanto, procedente la interposición del recurso de revisión.</w:t>
      </w:r>
    </w:p>
    <w:p w14:paraId="758EDAEA"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04713354"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En consecuencia, las razones o motivos de inconformidad hechos valer, resultan </w:t>
      </w:r>
      <w:r w:rsidRPr="00697DB2">
        <w:rPr>
          <w:rFonts w:ascii="Palatino Linotype" w:eastAsia="Palatino Linotype" w:hAnsi="Palatino Linotype" w:cs="Palatino Linotype"/>
          <w:b/>
          <w:sz w:val="24"/>
          <w:szCs w:val="24"/>
          <w:lang w:eastAsia="es-MX"/>
        </w:rPr>
        <w:t>fundadas y procedentes</w:t>
      </w:r>
      <w:r w:rsidRPr="00697DB2">
        <w:rPr>
          <w:rFonts w:ascii="Palatino Linotype" w:eastAsia="Palatino Linotype" w:hAnsi="Palatino Linotype" w:cs="Palatino Linotype"/>
          <w:sz w:val="24"/>
          <w:szCs w:val="24"/>
          <w:lang w:eastAsia="es-MX"/>
        </w:rPr>
        <w:t xml:space="preserve">, en virtud de las constancias que obran en el expediente electrónico SAIMEX, se acredita que el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xml:space="preserve"> fue omiso en responder la solicitud de información hecha por la parte </w:t>
      </w:r>
      <w:r w:rsidRPr="00697DB2">
        <w:rPr>
          <w:rFonts w:ascii="Palatino Linotype" w:eastAsia="Palatino Linotype" w:hAnsi="Palatino Linotype" w:cs="Palatino Linotype"/>
          <w:b/>
          <w:sz w:val="24"/>
          <w:szCs w:val="24"/>
          <w:lang w:eastAsia="es-MX"/>
        </w:rPr>
        <w:t>Recurrente</w:t>
      </w:r>
      <w:r w:rsidRPr="00697DB2">
        <w:rPr>
          <w:rFonts w:ascii="Palatino Linotype" w:eastAsia="Palatino Linotype" w:hAnsi="Palatino Linotype" w:cs="Palatino Linotype"/>
          <w:sz w:val="24"/>
          <w:szCs w:val="24"/>
          <w:lang w:eastAsia="es-MX"/>
        </w:rPr>
        <w:t xml:space="preserve">, es decir, incumplió las obligaciones que se le imponen como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de conformidad con lo establecido en los artículos 4, 12, 23 fracción IV, 24 último párrafo y 160 de la Ley de Transparencia y Acceso a la Información Pública del Estado de México y Municipios.</w:t>
      </w:r>
    </w:p>
    <w:p w14:paraId="05CADBC9"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525E5F52" w14:textId="77777777" w:rsidR="00A416A0" w:rsidRPr="00697DB2"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097BBA90" w14:textId="77777777" w:rsidR="00A416A0" w:rsidRPr="00697DB2"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p>
    <w:p w14:paraId="6AB0DDC2" w14:textId="77777777" w:rsidR="00A416A0" w:rsidRPr="00697DB2"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El artículo 53, fracciones II, IV y V de la Ley de Transparencia Local establece que las Unidades de Transparencia tienen, entre otras, las funciones de recibir, tramitar y dar </w:t>
      </w:r>
      <w:r w:rsidRPr="00697DB2">
        <w:rPr>
          <w:rFonts w:ascii="Palatino Linotype" w:eastAsia="Palatino Linotype" w:hAnsi="Palatino Linotype" w:cs="Palatino Linotype"/>
          <w:sz w:val="24"/>
          <w:szCs w:val="24"/>
          <w:lang w:eastAsia="es-MX"/>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1E384534" w14:textId="77777777" w:rsidR="00A416A0" w:rsidRPr="00697DB2"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p>
    <w:p w14:paraId="6FC39AAE" w14:textId="77777777" w:rsidR="00A416A0" w:rsidRPr="00697DB2" w:rsidRDefault="00A416A0" w:rsidP="00A416A0">
      <w:pPr>
        <w:spacing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3E11E74B"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4FE2F93E" w14:textId="77777777" w:rsidR="00A416A0" w:rsidRPr="00697DB2" w:rsidRDefault="00A416A0" w:rsidP="00A416A0">
      <w:pPr>
        <w:spacing w:after="0" w:line="360" w:lineRule="auto"/>
        <w:jc w:val="both"/>
        <w:rPr>
          <w:rFonts w:ascii="Palatino Linotype" w:eastAsia="Palatino Linotype" w:hAnsi="Palatino Linotype" w:cs="Palatino Linotype"/>
          <w:i/>
          <w:sz w:val="24"/>
          <w:szCs w:val="24"/>
          <w:lang w:eastAsia="es-MX"/>
        </w:rPr>
      </w:pPr>
      <w:r w:rsidRPr="00697DB2">
        <w:rPr>
          <w:rFonts w:ascii="Palatino Linotype" w:eastAsia="Palatino Linotype" w:hAnsi="Palatino Linotype" w:cs="Palatino Linotype"/>
          <w:sz w:val="24"/>
          <w:szCs w:val="24"/>
          <w:lang w:eastAsia="es-MX"/>
        </w:rPr>
        <w:t xml:space="preserve">En consecuencia, según lo dispuesto por el artículo 150 de la Ley de Transparencia y Acceso a la Información Pública del Estado de México y Municipios, el </w:t>
      </w:r>
      <w:r w:rsidRPr="00697DB2">
        <w:rPr>
          <w:rFonts w:ascii="Palatino Linotype" w:eastAsia="Palatino Linotype" w:hAnsi="Palatino Linotype" w:cs="Palatino Linotype"/>
          <w:i/>
          <w:sz w:val="24"/>
          <w:szCs w:val="24"/>
          <w:lang w:eastAsia="es-MX"/>
        </w:rPr>
        <w:t xml:space="preserve">procedimiento de acceso a la información es la garantía primaria del derecho en cuestión, </w:t>
      </w:r>
      <w:r w:rsidRPr="00697DB2">
        <w:rPr>
          <w:rFonts w:ascii="Palatino Linotype" w:eastAsia="Palatino Linotype" w:hAnsi="Palatino Linotype" w:cs="Palatino Linotype"/>
          <w:sz w:val="24"/>
          <w:szCs w:val="24"/>
          <w:lang w:eastAsia="es-MX"/>
        </w:rPr>
        <w:t xml:space="preserve">por lo tanto, la falta de respuesta a una solicitud de acceso a la información constituye un incumplimiento del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xml:space="preserve"> a su deber de garantizar el derecho, lo que constituye una vulneración al mismo.</w:t>
      </w:r>
    </w:p>
    <w:p w14:paraId="5180A6EC"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4F909F0C"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Por lo que, en cumplimiento a esta resolución, el </w:t>
      </w:r>
      <w:r w:rsidRPr="00697DB2">
        <w:rPr>
          <w:rFonts w:ascii="Palatino Linotype" w:eastAsia="Palatino Linotype" w:hAnsi="Palatino Linotype" w:cs="Palatino Linotype"/>
          <w:b/>
          <w:sz w:val="24"/>
          <w:szCs w:val="24"/>
          <w:lang w:eastAsia="es-MX"/>
        </w:rPr>
        <w:t xml:space="preserve">Sujeto Obligado </w:t>
      </w:r>
      <w:r w:rsidRPr="00697DB2">
        <w:rPr>
          <w:rFonts w:ascii="Palatino Linotype" w:eastAsia="Palatino Linotype" w:hAnsi="Palatino Linotype" w:cs="Palatino Linotype"/>
          <w:sz w:val="24"/>
          <w:szCs w:val="24"/>
          <w:lang w:eastAsia="es-MX"/>
        </w:rPr>
        <w:t xml:space="preserve">deberá dar atención a la solicitud de información, puesto que el silencio administrativo que hizo patente al </w:t>
      </w:r>
      <w:r w:rsidRPr="00697DB2">
        <w:rPr>
          <w:rFonts w:ascii="Palatino Linotype" w:eastAsia="Palatino Linotype" w:hAnsi="Palatino Linotype" w:cs="Palatino Linotype"/>
          <w:sz w:val="24"/>
          <w:szCs w:val="24"/>
          <w:lang w:eastAsia="es-MX"/>
        </w:rPr>
        <w:lastRenderedPageBreak/>
        <w:t>omitir dar respuesta trae como consecuencia que se le ordene dar atención a la solicitud entregando la información solicitada, lo cual deberá llevar a cabo en ejercicio de sus atribuciones y con arreglo a lo dispuesto por la ley de la materia.</w:t>
      </w:r>
    </w:p>
    <w:p w14:paraId="7A327E1A"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7E1C971D"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29DE347D" w14:textId="77777777" w:rsidR="00A416A0" w:rsidRPr="00697DB2" w:rsidRDefault="00A416A0" w:rsidP="00A416A0">
      <w:pPr>
        <w:numPr>
          <w:ilvl w:val="0"/>
          <w:numId w:val="29"/>
        </w:numPr>
        <w:spacing w:after="0" w:line="360" w:lineRule="auto"/>
        <w:jc w:val="both"/>
        <w:rPr>
          <w:rFonts w:ascii="Calibri" w:eastAsia="Calibri" w:hAnsi="Calibri" w:cs="Calibri"/>
          <w:b/>
          <w:sz w:val="28"/>
          <w:szCs w:val="28"/>
          <w:lang w:eastAsia="es-MX"/>
        </w:rPr>
      </w:pPr>
      <w:r w:rsidRPr="00697DB2">
        <w:rPr>
          <w:rFonts w:ascii="Palatino Linotype" w:eastAsia="Palatino Linotype" w:hAnsi="Palatino Linotype" w:cs="Palatino Linotype"/>
          <w:b/>
          <w:sz w:val="28"/>
          <w:szCs w:val="28"/>
          <w:lang w:eastAsia="es-MX"/>
        </w:rPr>
        <w:t>De la clasificación de la información</w:t>
      </w:r>
    </w:p>
    <w:p w14:paraId="4C906A1D"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B43B80B" w14:textId="77777777" w:rsidR="00A416A0" w:rsidRPr="00697DB2" w:rsidRDefault="00A416A0" w:rsidP="00A416A0">
      <w:pPr>
        <w:spacing w:line="360" w:lineRule="auto"/>
        <w:jc w:val="both"/>
        <w:rPr>
          <w:rFonts w:ascii="Palatino Linotype" w:eastAsia="Palatino Linotype" w:hAnsi="Palatino Linotype" w:cs="Palatino Linotype"/>
          <w:sz w:val="24"/>
          <w:szCs w:val="24"/>
          <w:lang w:eastAsia="es-MX"/>
        </w:rPr>
      </w:pPr>
    </w:p>
    <w:p w14:paraId="4FF87236"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La Ley de Transparencia y Acceso a la Información Pública del Estado de México y Municipios, en sus artículos 140 y 143 prevé los siguientes supuestos para clasificar la información como reservada o confidencial.</w:t>
      </w:r>
    </w:p>
    <w:p w14:paraId="094250E5"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50261B69" w14:textId="77777777" w:rsidR="00A416A0" w:rsidRPr="00697DB2" w:rsidRDefault="00A416A0" w:rsidP="00A416A0">
      <w:pPr>
        <w:spacing w:line="360" w:lineRule="auto"/>
        <w:jc w:val="both"/>
        <w:rPr>
          <w:rFonts w:ascii="Palatino Linotype" w:eastAsia="Palatino Linotype" w:hAnsi="Palatino Linotype" w:cs="Palatino Linotype"/>
          <w:sz w:val="24"/>
          <w:szCs w:val="24"/>
          <w:lang w:eastAsia="es-MX"/>
        </w:rPr>
      </w:pPr>
      <w:bookmarkStart w:id="1" w:name="_gjdgxs" w:colFirst="0" w:colLast="0"/>
      <w:bookmarkEnd w:id="1"/>
      <w:r w:rsidRPr="00697DB2">
        <w:rPr>
          <w:rFonts w:ascii="Palatino Linotype" w:eastAsia="Palatino Linotype" w:hAnsi="Palatino Linotype" w:cs="Palatino Linotype"/>
          <w:sz w:val="24"/>
          <w:szCs w:val="24"/>
          <w:lang w:eastAsia="es-MX"/>
        </w:rPr>
        <w:t xml:space="preserve">Por lo que para dar atención a la solicitud de información, si el Sujeto Obligado advierte que la información solicitada contiene datos personales que sean susceptibles de ser </w:t>
      </w:r>
      <w:r w:rsidRPr="00697DB2">
        <w:rPr>
          <w:rFonts w:ascii="Palatino Linotype" w:eastAsia="Palatino Linotype" w:hAnsi="Palatino Linotype" w:cs="Palatino Linotype"/>
          <w:sz w:val="24"/>
          <w:szCs w:val="24"/>
          <w:lang w:eastAsia="es-MX"/>
        </w:rPr>
        <w:lastRenderedPageBreak/>
        <w:t xml:space="preserve">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60F66A27"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6853404B"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CD66D30"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2927B284"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72F830E4"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36788AD9"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xml:space="preserve"> a concluir que, el caso particular se ajusta al supuesto previsto por la norma legal invocada como fundamento; siendo que, además, en todo momento, se debe aplicar una prueba de daño, entendida esta como la responsabilidad de los Sujetos </w:t>
      </w:r>
      <w:r w:rsidRPr="00697DB2">
        <w:rPr>
          <w:rFonts w:ascii="Palatino Linotype" w:eastAsia="Palatino Linotype" w:hAnsi="Palatino Linotype" w:cs="Palatino Linotype"/>
          <w:sz w:val="24"/>
          <w:szCs w:val="24"/>
          <w:lang w:eastAsia="es-MX"/>
        </w:rPr>
        <w:lastRenderedPageBreak/>
        <w:t>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9736F96" w14:textId="77777777" w:rsidR="00A416A0" w:rsidRPr="00697DB2" w:rsidRDefault="00A416A0" w:rsidP="00A416A0">
      <w:pPr>
        <w:spacing w:line="360" w:lineRule="auto"/>
        <w:ind w:right="51"/>
        <w:jc w:val="both"/>
        <w:rPr>
          <w:rFonts w:ascii="Palatino Linotype" w:eastAsia="Palatino Linotype" w:hAnsi="Palatino Linotype" w:cs="Palatino Linotype"/>
          <w:sz w:val="24"/>
          <w:szCs w:val="24"/>
          <w:lang w:eastAsia="es-MX"/>
        </w:rPr>
      </w:pPr>
    </w:p>
    <w:p w14:paraId="6C8CB5A4" w14:textId="77777777" w:rsidR="00A416A0" w:rsidRPr="00697DB2" w:rsidRDefault="00A416A0" w:rsidP="00A416A0">
      <w:pPr>
        <w:spacing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6D2140D9" w14:textId="77777777" w:rsidR="00A416A0" w:rsidRPr="00697DB2" w:rsidRDefault="00A416A0" w:rsidP="00A416A0">
      <w:pPr>
        <w:spacing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FC1B0CE"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4A89EEF"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43E61755"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Por lo tanto, es necesario que el Comité de Transparencia emita un Acuerdo de Clasificación que cumpla con las formalidades previstas en los artículos 137, 143 y 149 de </w:t>
      </w:r>
      <w:r w:rsidRPr="00697DB2">
        <w:rPr>
          <w:rFonts w:ascii="Palatino Linotype" w:eastAsia="Palatino Linotype" w:hAnsi="Palatino Linotype" w:cs="Palatino Linotype"/>
          <w:sz w:val="24"/>
          <w:szCs w:val="24"/>
          <w:lang w:eastAsia="es-MX"/>
        </w:rPr>
        <w:lastRenderedPageBreak/>
        <w:t>la Ley de Transparencia y Acceso a la Información Pública del Estado de México y Municipios</w:t>
      </w:r>
      <w:r w:rsidRPr="00697DB2">
        <w:rPr>
          <w:rFonts w:ascii="Palatino Linotype" w:eastAsia="Palatino Linotype" w:hAnsi="Palatino Linotype" w:cs="Palatino Linotype"/>
          <w:i/>
          <w:sz w:val="24"/>
          <w:szCs w:val="24"/>
          <w:lang w:eastAsia="es-MX"/>
        </w:rPr>
        <w:t>.</w:t>
      </w:r>
    </w:p>
    <w:p w14:paraId="6D19EFEB"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1715F49F" w14:textId="77777777" w:rsidR="00A416A0" w:rsidRPr="00697DB2" w:rsidRDefault="00A416A0" w:rsidP="00A416A0">
      <w:pPr>
        <w:numPr>
          <w:ilvl w:val="0"/>
          <w:numId w:val="25"/>
        </w:numPr>
        <w:tabs>
          <w:tab w:val="left" w:pos="7938"/>
        </w:tabs>
        <w:spacing w:after="0" w:line="360" w:lineRule="auto"/>
        <w:ind w:left="426"/>
        <w:jc w:val="both"/>
        <w:rPr>
          <w:rFonts w:ascii="Calibri" w:eastAsia="Calibri" w:hAnsi="Calibri" w:cs="Calibri"/>
          <w:b/>
          <w:sz w:val="28"/>
          <w:szCs w:val="28"/>
          <w:lang w:eastAsia="es-MX"/>
        </w:rPr>
      </w:pPr>
      <w:r w:rsidRPr="00697DB2">
        <w:rPr>
          <w:rFonts w:ascii="Palatino Linotype" w:eastAsia="Palatino Linotype" w:hAnsi="Palatino Linotype" w:cs="Palatino Linotype"/>
          <w:b/>
          <w:sz w:val="28"/>
          <w:szCs w:val="28"/>
          <w:lang w:eastAsia="es-MX"/>
        </w:rPr>
        <w:t xml:space="preserve">De la vista a los órganos de control interno competentes </w:t>
      </w:r>
    </w:p>
    <w:p w14:paraId="4056411E" w14:textId="77777777" w:rsidR="00A416A0" w:rsidRPr="00697DB2" w:rsidRDefault="00A416A0" w:rsidP="00A416A0">
      <w:pPr>
        <w:spacing w:line="360" w:lineRule="auto"/>
        <w:ind w:right="49"/>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Como ya se mencionó el</w:t>
      </w:r>
      <w:r w:rsidRPr="00697DB2">
        <w:rPr>
          <w:rFonts w:ascii="Palatino Linotype" w:eastAsia="Palatino Linotype" w:hAnsi="Palatino Linotype" w:cs="Palatino Linotype"/>
          <w:b/>
          <w:sz w:val="24"/>
          <w:szCs w:val="24"/>
          <w:lang w:eastAsia="es-MX"/>
        </w:rPr>
        <w:t xml:space="preserve"> Sujeto Obligado</w:t>
      </w:r>
      <w:r w:rsidRPr="00697DB2">
        <w:rPr>
          <w:rFonts w:ascii="Palatino Linotype" w:eastAsia="Palatino Linotype" w:hAnsi="Palatino Linotype" w:cs="Palatino Linotype"/>
          <w:sz w:val="24"/>
          <w:szCs w:val="24"/>
          <w:lang w:eastAsia="es-MX"/>
        </w:rPr>
        <w:t>, no proporcionó respuesta a la solicitud de acceso a la información pública, en el término previsto en el artículo 163 de la Ley de Transparencia y Acceso a la Información Pública por lo que ordena dar vista</w:t>
      </w:r>
      <w:r w:rsidRPr="00697DB2">
        <w:rPr>
          <w:rFonts w:ascii="Palatino Linotype" w:eastAsia="Palatino Linotype" w:hAnsi="Palatino Linotype" w:cs="Palatino Linotype"/>
          <w:b/>
          <w:sz w:val="24"/>
          <w:szCs w:val="24"/>
          <w:lang w:eastAsia="es-MX"/>
        </w:rPr>
        <w:t xml:space="preserve"> </w:t>
      </w:r>
      <w:r w:rsidRPr="00697DB2">
        <w:rPr>
          <w:rFonts w:ascii="Palatino Linotype" w:eastAsia="Palatino Linotype" w:hAnsi="Palatino Linotype" w:cs="Palatino Linotype"/>
          <w:sz w:val="24"/>
          <w:szCs w:val="24"/>
          <w:lang w:eastAsia="es-MX"/>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0CEF12" w14:textId="77777777" w:rsidR="00A416A0" w:rsidRPr="00697DB2" w:rsidRDefault="00A416A0" w:rsidP="00A416A0">
      <w:pPr>
        <w:spacing w:line="360" w:lineRule="auto"/>
        <w:ind w:right="49"/>
        <w:jc w:val="both"/>
        <w:rPr>
          <w:rFonts w:ascii="Palatino Linotype" w:eastAsia="Palatino Linotype" w:hAnsi="Palatino Linotype" w:cs="Palatino Linotype"/>
          <w:sz w:val="24"/>
          <w:szCs w:val="24"/>
          <w:lang w:eastAsia="es-MX"/>
        </w:rPr>
      </w:pPr>
    </w:p>
    <w:p w14:paraId="333C50D8" w14:textId="57381066"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 xml:space="preserve">Por lo tanto, de lo expuesto y con fundamento en la fracción IV del artículo 186, de la Ley de Transparencia y Acceso a la Información Pública del Estado de México y Municipios, se </w:t>
      </w:r>
      <w:r w:rsidRPr="00697DB2">
        <w:rPr>
          <w:rFonts w:ascii="Palatino Linotype" w:eastAsia="Palatino Linotype" w:hAnsi="Palatino Linotype" w:cs="Palatino Linotype"/>
          <w:b/>
          <w:sz w:val="24"/>
          <w:szCs w:val="24"/>
          <w:lang w:eastAsia="es-MX"/>
        </w:rPr>
        <w:t>ORDENA</w:t>
      </w:r>
      <w:r w:rsidRPr="00697DB2">
        <w:rPr>
          <w:rFonts w:ascii="Palatino Linotype" w:eastAsia="Palatino Linotype" w:hAnsi="Palatino Linotype" w:cs="Palatino Linotype"/>
          <w:sz w:val="24"/>
          <w:szCs w:val="24"/>
          <w:lang w:eastAsia="es-MX"/>
        </w:rPr>
        <w:t xml:space="preserve"> al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xml:space="preserve">, atienda la solicitud de información </w:t>
      </w:r>
      <w:r w:rsidR="00360F55" w:rsidRPr="00697DB2">
        <w:rPr>
          <w:rFonts w:ascii="Palatino Linotype" w:eastAsia="Palatino Linotype" w:hAnsi="Palatino Linotype" w:cs="Palatino Linotype"/>
          <w:b/>
          <w:bCs/>
          <w:sz w:val="24"/>
          <w:szCs w:val="24"/>
          <w:lang w:eastAsia="es-MX"/>
        </w:rPr>
        <w:t>00568/TEPOTZOT/IP/2026</w:t>
      </w:r>
      <w:r w:rsidRPr="00697DB2">
        <w:rPr>
          <w:rFonts w:ascii="Palatino Linotype" w:eastAsia="Palatino Linotype" w:hAnsi="Palatino Linotype" w:cs="Palatino Linotype"/>
          <w:b/>
          <w:sz w:val="24"/>
          <w:szCs w:val="24"/>
          <w:lang w:eastAsia="es-MX"/>
        </w:rPr>
        <w:t>,</w:t>
      </w:r>
      <w:r w:rsidRPr="00697DB2">
        <w:rPr>
          <w:rFonts w:ascii="Palatino Linotype" w:eastAsia="Palatino Linotype" w:hAnsi="Palatino Linotype" w:cs="Palatino Linotype"/>
          <w:sz w:val="24"/>
          <w:szCs w:val="24"/>
          <w:lang w:eastAsia="es-MX"/>
        </w:rPr>
        <w:t xml:space="preserve"> que han sido materia del presente fallo</w:t>
      </w:r>
    </w:p>
    <w:p w14:paraId="2BF63700"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sz w:val="24"/>
          <w:szCs w:val="24"/>
          <w:lang w:eastAsia="es-MX"/>
        </w:rPr>
        <w:t>Por lo antes expuesto y fundado es de resolverse y,</w:t>
      </w:r>
    </w:p>
    <w:p w14:paraId="1FA8CE3F"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29FD1929" w14:textId="77777777" w:rsidR="00A416A0" w:rsidRPr="00697DB2" w:rsidRDefault="00A416A0" w:rsidP="00A416A0">
      <w:pPr>
        <w:spacing w:after="0" w:line="360" w:lineRule="auto"/>
        <w:ind w:left="426"/>
        <w:jc w:val="center"/>
        <w:rPr>
          <w:rFonts w:ascii="Palatino Linotype" w:eastAsia="Palatino Linotype" w:hAnsi="Palatino Linotype" w:cs="Palatino Linotype"/>
          <w:b/>
          <w:color w:val="000000"/>
          <w:sz w:val="28"/>
          <w:szCs w:val="28"/>
          <w:lang w:eastAsia="es-MX"/>
        </w:rPr>
      </w:pPr>
      <w:r w:rsidRPr="00697DB2">
        <w:rPr>
          <w:rFonts w:ascii="Palatino Linotype" w:eastAsia="Palatino Linotype" w:hAnsi="Palatino Linotype" w:cs="Palatino Linotype"/>
          <w:b/>
          <w:color w:val="000000"/>
          <w:sz w:val="28"/>
          <w:szCs w:val="28"/>
          <w:lang w:eastAsia="es-MX"/>
        </w:rPr>
        <w:t>SE    RESUELVE</w:t>
      </w:r>
    </w:p>
    <w:p w14:paraId="6DBAFE4D" w14:textId="77777777" w:rsidR="00A416A0" w:rsidRPr="00697DB2" w:rsidRDefault="00A416A0" w:rsidP="00A416A0">
      <w:pPr>
        <w:spacing w:after="0" w:line="360" w:lineRule="auto"/>
        <w:ind w:left="426"/>
        <w:jc w:val="center"/>
        <w:rPr>
          <w:rFonts w:ascii="Palatino Linotype" w:eastAsia="Palatino Linotype" w:hAnsi="Palatino Linotype" w:cs="Palatino Linotype"/>
          <w:b/>
          <w:color w:val="000000"/>
          <w:sz w:val="28"/>
          <w:szCs w:val="28"/>
          <w:lang w:eastAsia="es-MX"/>
        </w:rPr>
      </w:pPr>
    </w:p>
    <w:p w14:paraId="39BAC9F5"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b/>
          <w:sz w:val="28"/>
          <w:szCs w:val="28"/>
          <w:lang w:eastAsia="es-MX"/>
        </w:rPr>
        <w:lastRenderedPageBreak/>
        <w:t>PRIMERO.</w:t>
      </w:r>
      <w:r w:rsidRPr="00697DB2">
        <w:rPr>
          <w:rFonts w:ascii="Palatino Linotype" w:eastAsia="Palatino Linotype" w:hAnsi="Palatino Linotype" w:cs="Palatino Linotype"/>
          <w:sz w:val="24"/>
          <w:szCs w:val="24"/>
          <w:lang w:eastAsia="es-MX"/>
        </w:rPr>
        <w:t xml:space="preserve"> Resultan fundadas las razones o motivos de inconformidad hechos valer por la parte </w:t>
      </w:r>
      <w:r w:rsidRPr="00697DB2">
        <w:rPr>
          <w:rFonts w:ascii="Palatino Linotype" w:eastAsia="Palatino Linotype" w:hAnsi="Palatino Linotype" w:cs="Palatino Linotype"/>
          <w:b/>
          <w:sz w:val="24"/>
          <w:szCs w:val="24"/>
          <w:lang w:eastAsia="es-MX"/>
        </w:rPr>
        <w:t>Recurrente,</w:t>
      </w:r>
      <w:r w:rsidRPr="00697DB2">
        <w:rPr>
          <w:rFonts w:ascii="Palatino Linotype" w:eastAsia="Palatino Linotype" w:hAnsi="Palatino Linotype" w:cs="Palatino Linotype"/>
          <w:sz w:val="24"/>
          <w:szCs w:val="24"/>
          <w:lang w:eastAsia="es-MX"/>
        </w:rPr>
        <w:t xml:space="preserve"> en términos del considerando </w:t>
      </w:r>
      <w:r w:rsidRPr="00697DB2">
        <w:rPr>
          <w:rFonts w:ascii="Palatino Linotype" w:eastAsia="Palatino Linotype" w:hAnsi="Palatino Linotype" w:cs="Palatino Linotype"/>
          <w:b/>
          <w:sz w:val="24"/>
          <w:szCs w:val="24"/>
          <w:lang w:eastAsia="es-MX"/>
        </w:rPr>
        <w:t>TERCERO</w:t>
      </w:r>
      <w:r w:rsidRPr="00697DB2">
        <w:rPr>
          <w:rFonts w:ascii="Palatino Linotype" w:eastAsia="Palatino Linotype" w:hAnsi="Palatino Linotype" w:cs="Palatino Linotype"/>
          <w:sz w:val="24"/>
          <w:szCs w:val="24"/>
          <w:lang w:eastAsia="es-MX"/>
        </w:rPr>
        <w:t>, de la presente resolución.</w:t>
      </w:r>
    </w:p>
    <w:p w14:paraId="4DE28AC1"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06F1E449" w14:textId="1FB1C142"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697DB2">
        <w:rPr>
          <w:rFonts w:ascii="Palatino Linotype" w:eastAsia="Palatino Linotype" w:hAnsi="Palatino Linotype" w:cs="Palatino Linotype"/>
          <w:b/>
          <w:sz w:val="28"/>
          <w:szCs w:val="28"/>
          <w:lang w:eastAsia="es-MX"/>
        </w:rPr>
        <w:t>SEGUNDO.</w:t>
      </w:r>
      <w:r w:rsidRPr="00697DB2">
        <w:rPr>
          <w:rFonts w:ascii="Palatino Linotype" w:eastAsia="Palatino Linotype" w:hAnsi="Palatino Linotype" w:cs="Palatino Linotype"/>
          <w:sz w:val="24"/>
          <w:szCs w:val="24"/>
          <w:lang w:eastAsia="es-MX"/>
        </w:rPr>
        <w:t xml:space="preserve"> Se </w:t>
      </w:r>
      <w:r w:rsidRPr="00697DB2">
        <w:rPr>
          <w:rFonts w:ascii="Palatino Linotype" w:eastAsia="Palatino Linotype" w:hAnsi="Palatino Linotype" w:cs="Palatino Linotype"/>
          <w:b/>
          <w:sz w:val="24"/>
          <w:szCs w:val="24"/>
          <w:lang w:eastAsia="es-MX"/>
        </w:rPr>
        <w:t>ORDENA</w:t>
      </w:r>
      <w:r w:rsidRPr="00697DB2">
        <w:rPr>
          <w:rFonts w:ascii="Palatino Linotype" w:eastAsia="Palatino Linotype" w:hAnsi="Palatino Linotype" w:cs="Palatino Linotype"/>
          <w:sz w:val="24"/>
          <w:szCs w:val="24"/>
          <w:lang w:eastAsia="es-MX"/>
        </w:rPr>
        <w:t xml:space="preserve"> al </w:t>
      </w:r>
      <w:r w:rsidRPr="00697DB2">
        <w:rPr>
          <w:rFonts w:ascii="Palatino Linotype" w:eastAsia="Palatino Linotype" w:hAnsi="Palatino Linotype" w:cs="Palatino Linotype"/>
          <w:b/>
          <w:sz w:val="24"/>
          <w:szCs w:val="24"/>
          <w:lang w:eastAsia="es-MX"/>
        </w:rPr>
        <w:t>Sujeto Obligado</w:t>
      </w:r>
      <w:r w:rsidRPr="00697DB2">
        <w:rPr>
          <w:rFonts w:ascii="Palatino Linotype" w:eastAsia="Palatino Linotype" w:hAnsi="Palatino Linotype" w:cs="Palatino Linotype"/>
          <w:sz w:val="24"/>
          <w:szCs w:val="24"/>
          <w:lang w:eastAsia="es-MX"/>
        </w:rPr>
        <w:t xml:space="preserve"> atienda la solicitud de información </w:t>
      </w:r>
      <w:r w:rsidR="00360F55" w:rsidRPr="00697DB2">
        <w:rPr>
          <w:rFonts w:ascii="Palatino Linotype" w:eastAsia="Palatino Linotype" w:hAnsi="Palatino Linotype" w:cs="Palatino Linotype"/>
          <w:b/>
          <w:bCs/>
          <w:sz w:val="24"/>
          <w:szCs w:val="24"/>
          <w:lang w:eastAsia="es-MX"/>
        </w:rPr>
        <w:t>00568/TEPOTZOT/IP/2026</w:t>
      </w:r>
      <w:r w:rsidRPr="00697DB2">
        <w:rPr>
          <w:rFonts w:ascii="Palatino Linotype" w:eastAsia="Palatino Linotype" w:hAnsi="Palatino Linotype" w:cs="Palatino Linotype"/>
          <w:sz w:val="24"/>
          <w:szCs w:val="24"/>
          <w:lang w:eastAsia="es-MX"/>
        </w:rPr>
        <w:t xml:space="preserve">, vía Sistema de Acceso a la Información Mexiquense (SAIMEX), en términos del Considerando </w:t>
      </w:r>
      <w:r w:rsidRPr="00697DB2">
        <w:rPr>
          <w:rFonts w:ascii="Palatino Linotype" w:eastAsia="Palatino Linotype" w:hAnsi="Palatino Linotype" w:cs="Palatino Linotype"/>
          <w:b/>
          <w:sz w:val="24"/>
          <w:szCs w:val="24"/>
          <w:lang w:eastAsia="es-MX"/>
        </w:rPr>
        <w:t xml:space="preserve">TERCERO </w:t>
      </w:r>
      <w:r w:rsidRPr="00697DB2">
        <w:rPr>
          <w:rFonts w:ascii="Palatino Linotype" w:eastAsia="Palatino Linotype" w:hAnsi="Palatino Linotype" w:cs="Palatino Linotype"/>
          <w:sz w:val="24"/>
          <w:szCs w:val="24"/>
          <w:lang w:eastAsia="es-MX"/>
        </w:rPr>
        <w:t>de esta resolución</w:t>
      </w:r>
      <w:r w:rsidRPr="00697DB2">
        <w:rPr>
          <w:rFonts w:ascii="Palatino Linotype" w:eastAsia="Palatino Linotype" w:hAnsi="Palatino Linotype" w:cs="Palatino Linotype"/>
          <w:b/>
          <w:sz w:val="24"/>
          <w:szCs w:val="24"/>
          <w:lang w:eastAsia="es-MX"/>
        </w:rPr>
        <w:t>.</w:t>
      </w:r>
    </w:p>
    <w:p w14:paraId="08CF73A7" w14:textId="77777777" w:rsidR="00A416A0" w:rsidRPr="00697DB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19948AD0" w14:textId="77777777" w:rsidR="00A416A0" w:rsidRPr="00697DB2" w:rsidRDefault="00A416A0" w:rsidP="00A416A0">
      <w:pPr>
        <w:tabs>
          <w:tab w:val="left" w:pos="8647"/>
        </w:tabs>
        <w:spacing w:after="0" w:line="360" w:lineRule="auto"/>
        <w:ind w:right="51"/>
        <w:jc w:val="both"/>
        <w:rPr>
          <w:rFonts w:ascii="Palatino Linotype" w:eastAsia="Calibri" w:hAnsi="Palatino Linotype" w:cs="Arial"/>
          <w:sz w:val="24"/>
          <w:szCs w:val="24"/>
          <w:lang w:eastAsia="es-MX"/>
        </w:rPr>
      </w:pPr>
      <w:r w:rsidRPr="00697DB2">
        <w:rPr>
          <w:rFonts w:ascii="Palatino Linotype" w:eastAsia="Calibri" w:hAnsi="Palatino Linotype" w:cs="Arial"/>
          <w:b/>
          <w:sz w:val="28"/>
          <w:szCs w:val="24"/>
          <w:lang w:eastAsia="es-MX"/>
        </w:rPr>
        <w:t>TERCERO</w:t>
      </w:r>
      <w:r w:rsidRPr="00697DB2">
        <w:rPr>
          <w:rFonts w:ascii="Palatino Linotype" w:eastAsia="Calibri" w:hAnsi="Palatino Linotype" w:cs="Arial"/>
          <w:b/>
          <w:sz w:val="24"/>
          <w:szCs w:val="24"/>
          <w:lang w:eastAsia="es-MX"/>
        </w:rPr>
        <w:t>.</w:t>
      </w:r>
      <w:r w:rsidRPr="00697DB2">
        <w:rPr>
          <w:rFonts w:ascii="Palatino Linotype" w:eastAsia="Calibri" w:hAnsi="Palatino Linotype" w:cs="Arial"/>
          <w:sz w:val="24"/>
          <w:szCs w:val="24"/>
          <w:lang w:eastAsia="es-MX"/>
        </w:rPr>
        <w:t xml:space="preserve"> </w:t>
      </w:r>
      <w:r w:rsidRPr="00697DB2">
        <w:rPr>
          <w:rFonts w:ascii="Palatino Linotype" w:eastAsia="Calibri" w:hAnsi="Palatino Linotype" w:cs="Arial"/>
          <w:b/>
          <w:sz w:val="24"/>
          <w:szCs w:val="24"/>
          <w:lang w:eastAsia="es-MX"/>
        </w:rPr>
        <w:t>Notifíquese</w:t>
      </w:r>
      <w:r w:rsidRPr="00697DB2">
        <w:rPr>
          <w:rFonts w:ascii="Palatino Linotype" w:eastAsia="Times New Roman" w:hAnsi="Palatino Linotype" w:cs="Arial"/>
          <w:sz w:val="24"/>
          <w:szCs w:val="24"/>
          <w:lang w:val="es-ES" w:eastAsia="es-ES"/>
        </w:rPr>
        <w:t xml:space="preserve"> a través del SAIMEX,</w:t>
      </w:r>
      <w:r w:rsidRPr="00697DB2">
        <w:rPr>
          <w:rFonts w:ascii="Palatino Linotype" w:eastAsia="Calibri" w:hAnsi="Palatino Linotype" w:cs="Arial"/>
          <w:b/>
          <w:i/>
          <w:sz w:val="24"/>
          <w:szCs w:val="24"/>
          <w:lang w:eastAsia="es-MX"/>
        </w:rPr>
        <w:t xml:space="preserve"> </w:t>
      </w:r>
      <w:r w:rsidRPr="00697DB2">
        <w:rPr>
          <w:rFonts w:ascii="Palatino Linotype" w:eastAsia="Calibri" w:hAnsi="Palatino Linotype" w:cs="Arial"/>
          <w:sz w:val="24"/>
          <w:szCs w:val="24"/>
          <w:lang w:eastAsia="es-MX"/>
        </w:rPr>
        <w:t>al Titular de la Unidad de Transparencia del</w:t>
      </w:r>
      <w:r w:rsidRPr="00697DB2">
        <w:rPr>
          <w:rFonts w:ascii="Palatino Linotype" w:eastAsia="Calibri" w:hAnsi="Palatino Linotype" w:cs="Arial"/>
          <w:b/>
          <w:sz w:val="24"/>
          <w:szCs w:val="24"/>
          <w:lang w:eastAsia="es-MX"/>
        </w:rPr>
        <w:t xml:space="preserve"> Sujeto Obligado</w:t>
      </w:r>
      <w:r w:rsidRPr="00697DB2">
        <w:rPr>
          <w:rFonts w:ascii="Palatino Linotype" w:eastAsia="Calibri" w:hAnsi="Palatino Linotype" w:cs="Arial"/>
          <w:sz w:val="24"/>
          <w:szCs w:val="24"/>
          <w:lang w:eastAsia="es-MX"/>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697DB2">
        <w:rPr>
          <w:rFonts w:ascii="Palatino Linotype" w:eastAsia="Calibri" w:hAnsi="Palatino Linotype" w:cs="Arial"/>
          <w:b/>
          <w:sz w:val="24"/>
          <w:szCs w:val="32"/>
          <w:lang w:val="es-ES_tradnl" w:eastAsia="es-MX"/>
        </w:rPr>
        <w:t>y</w:t>
      </w:r>
      <w:r w:rsidRPr="00697DB2">
        <w:rPr>
          <w:rFonts w:ascii="Palatino Linotype" w:eastAsia="Calibri" w:hAnsi="Palatino Linotype" w:cs="Arial"/>
          <w:sz w:val="24"/>
          <w:szCs w:val="32"/>
          <w:lang w:val="es-ES_tradnl" w:eastAsia="es-MX"/>
        </w:rPr>
        <w:t xml:space="preserve"> </w:t>
      </w:r>
      <w:r w:rsidRPr="00697DB2">
        <w:rPr>
          <w:rFonts w:ascii="Palatino Linotype" w:eastAsia="Palatino Linotype" w:hAnsi="Palatino Linotype" w:cs="Palatino Linotype"/>
          <w:b/>
          <w:color w:val="000000"/>
          <w:sz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29E096D" w14:textId="77777777" w:rsidR="00A416A0" w:rsidRPr="00697DB2" w:rsidRDefault="00A416A0" w:rsidP="00A416A0">
      <w:pPr>
        <w:tabs>
          <w:tab w:val="left" w:pos="8647"/>
        </w:tabs>
        <w:spacing w:after="0" w:line="360" w:lineRule="auto"/>
        <w:ind w:right="51"/>
        <w:jc w:val="both"/>
        <w:rPr>
          <w:rFonts w:ascii="Palatino Linotype" w:eastAsia="Calibri" w:hAnsi="Palatino Linotype" w:cs="Arial"/>
          <w:sz w:val="24"/>
          <w:szCs w:val="24"/>
          <w:lang w:eastAsia="es-MX"/>
        </w:rPr>
      </w:pPr>
    </w:p>
    <w:p w14:paraId="33DC9FD2" w14:textId="77777777" w:rsidR="00A416A0" w:rsidRPr="00697DB2" w:rsidRDefault="00A416A0" w:rsidP="00A416A0">
      <w:pPr>
        <w:spacing w:after="0" w:line="360" w:lineRule="auto"/>
        <w:jc w:val="both"/>
        <w:rPr>
          <w:rFonts w:ascii="Palatino Linotype" w:eastAsia="Times New Roman" w:hAnsi="Palatino Linotype" w:cs="Arial"/>
          <w:sz w:val="24"/>
          <w:szCs w:val="24"/>
          <w:lang w:val="es-ES" w:eastAsia="es-ES"/>
        </w:rPr>
      </w:pPr>
      <w:r w:rsidRPr="00697DB2">
        <w:rPr>
          <w:rFonts w:ascii="Palatino Linotype" w:eastAsia="Times New Roman" w:hAnsi="Palatino Linotype" w:cs="Arial"/>
          <w:b/>
          <w:sz w:val="28"/>
          <w:szCs w:val="24"/>
          <w:lang w:val="es-ES" w:eastAsia="es-ES"/>
        </w:rPr>
        <w:t>CUARTO</w:t>
      </w:r>
      <w:r w:rsidRPr="00697DB2">
        <w:rPr>
          <w:rFonts w:ascii="Palatino Linotype" w:eastAsia="Times New Roman" w:hAnsi="Palatino Linotype" w:cs="Arial"/>
          <w:b/>
          <w:sz w:val="24"/>
          <w:szCs w:val="24"/>
          <w:lang w:val="es-ES" w:eastAsia="es-ES"/>
        </w:rPr>
        <w:t>. Notifíquese</w:t>
      </w:r>
      <w:r w:rsidRPr="00697DB2">
        <w:rPr>
          <w:rFonts w:ascii="Palatino Linotype" w:eastAsia="Times New Roman" w:hAnsi="Palatino Linotype" w:cs="Arial"/>
          <w:sz w:val="24"/>
          <w:szCs w:val="24"/>
          <w:lang w:val="es-ES" w:eastAsia="es-ES"/>
        </w:rPr>
        <w:t xml:space="preserve"> </w:t>
      </w:r>
      <w:r w:rsidRPr="00697DB2">
        <w:rPr>
          <w:rFonts w:ascii="Palatino Linotype" w:eastAsia="Times New Roman" w:hAnsi="Palatino Linotype" w:cs="Arial"/>
          <w:b/>
          <w:sz w:val="24"/>
          <w:szCs w:val="24"/>
          <w:lang w:val="es-ES" w:eastAsia="es-ES"/>
        </w:rPr>
        <w:t>a la Recurrente</w:t>
      </w:r>
      <w:r w:rsidRPr="00697DB2">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w:t>
      </w:r>
      <w:r w:rsidRPr="00697DB2">
        <w:rPr>
          <w:rFonts w:ascii="Palatino Linotype" w:eastAsia="Times New Roman" w:hAnsi="Palatino Linotype" w:cs="Arial"/>
          <w:sz w:val="24"/>
          <w:szCs w:val="24"/>
          <w:lang w:val="es-ES" w:eastAsia="es-ES"/>
        </w:rPr>
        <w:lastRenderedPageBreak/>
        <w:t>aplicables de acuerdo con lo estipulado en el artículo 196 de la Ley de Transparencia y Acceso a la Información Pública del Estado de México y Municipios.</w:t>
      </w:r>
    </w:p>
    <w:p w14:paraId="31EC13A1" w14:textId="77777777" w:rsidR="00A416A0" w:rsidRPr="00697DB2" w:rsidRDefault="00A416A0" w:rsidP="00A416A0">
      <w:pPr>
        <w:spacing w:after="0" w:line="360" w:lineRule="auto"/>
        <w:jc w:val="both"/>
        <w:rPr>
          <w:rFonts w:ascii="Palatino Linotype" w:eastAsia="Calibri" w:hAnsi="Palatino Linotype" w:cs="Calibri"/>
          <w:sz w:val="24"/>
          <w:szCs w:val="24"/>
          <w:lang w:eastAsia="es-ES_tradnl"/>
        </w:rPr>
      </w:pPr>
    </w:p>
    <w:p w14:paraId="48B9E73F" w14:textId="77777777" w:rsidR="00A416A0" w:rsidRPr="00697DB2" w:rsidRDefault="00A416A0" w:rsidP="00A416A0">
      <w:pPr>
        <w:spacing w:after="0" w:line="360" w:lineRule="auto"/>
        <w:jc w:val="both"/>
        <w:rPr>
          <w:rFonts w:ascii="Palatino Linotype" w:eastAsia="Calibri" w:hAnsi="Palatino Linotype" w:cs="Times New Roman"/>
          <w:sz w:val="24"/>
          <w:szCs w:val="24"/>
          <w:lang w:eastAsia="es-ES_tradnl"/>
        </w:rPr>
      </w:pPr>
      <w:r w:rsidRPr="00697DB2">
        <w:rPr>
          <w:rFonts w:ascii="Palatino Linotype" w:eastAsia="Calibri" w:hAnsi="Palatino Linotype" w:cs="Times New Roman"/>
          <w:b/>
          <w:sz w:val="28"/>
          <w:szCs w:val="24"/>
          <w:lang w:eastAsia="es-ES_tradnl"/>
        </w:rPr>
        <w:t>QUINTO</w:t>
      </w:r>
      <w:r w:rsidRPr="00697DB2">
        <w:rPr>
          <w:rFonts w:ascii="Palatino Linotype" w:eastAsia="Calibri" w:hAnsi="Palatino Linotype" w:cs="Times New Roman"/>
          <w:b/>
          <w:sz w:val="24"/>
          <w:szCs w:val="24"/>
          <w:lang w:eastAsia="es-ES_tradnl"/>
        </w:rPr>
        <w:t>.</w:t>
      </w:r>
      <w:r w:rsidRPr="00697DB2">
        <w:rPr>
          <w:rFonts w:ascii="Palatino Linotype" w:eastAsia="Calibri" w:hAnsi="Palatino Linotype" w:cs="Times New Roman"/>
          <w:sz w:val="24"/>
          <w:szCs w:val="24"/>
          <w:lang w:eastAsia="es-ES_tradnl"/>
        </w:rPr>
        <w:t xml:space="preserve"> </w:t>
      </w:r>
      <w:r w:rsidRPr="00697DB2">
        <w:rPr>
          <w:rFonts w:ascii="Palatino Linotype" w:eastAsia="Calibri" w:hAnsi="Palatino Linotype" w:cs="Times New Roman"/>
          <w:b/>
          <w:sz w:val="24"/>
          <w:szCs w:val="24"/>
          <w:lang w:eastAsia="es-ES_tradnl"/>
        </w:rPr>
        <w:t>Notifíquese</w:t>
      </w:r>
      <w:r w:rsidRPr="00697DB2">
        <w:rPr>
          <w:rFonts w:ascii="Palatino Linotype" w:eastAsia="Calibri" w:hAnsi="Palatino Linotype" w:cs="Times New Roman"/>
          <w:sz w:val="24"/>
          <w:szCs w:val="24"/>
          <w:lang w:eastAsia="es-ES_tradnl"/>
        </w:rPr>
        <w:t xml:space="preserve"> al </w:t>
      </w:r>
      <w:r w:rsidRPr="00697DB2">
        <w:rPr>
          <w:rFonts w:ascii="Palatino Linotype" w:eastAsia="Calibri" w:hAnsi="Palatino Linotype" w:cs="Times New Roman"/>
          <w:b/>
          <w:sz w:val="24"/>
          <w:szCs w:val="24"/>
          <w:lang w:eastAsia="es-ES_tradnl"/>
        </w:rPr>
        <w:t>Recurrente</w:t>
      </w:r>
      <w:r w:rsidRPr="00697DB2">
        <w:rPr>
          <w:rFonts w:ascii="Palatino Linotype" w:eastAsia="Calibr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697DB2">
        <w:rPr>
          <w:rFonts w:ascii="Palatino Linotype" w:eastAsia="Calibri" w:hAnsi="Palatino Linotype" w:cs="Times New Roman"/>
          <w:b/>
          <w:sz w:val="24"/>
          <w:szCs w:val="24"/>
          <w:lang w:eastAsia="es-ES_tradnl"/>
        </w:rPr>
        <w:t>Sujeto Obligado</w:t>
      </w:r>
      <w:r w:rsidRPr="00697DB2">
        <w:rPr>
          <w:rFonts w:ascii="Palatino Linotype" w:eastAsia="Calibri" w:hAnsi="Palatino Linotype" w:cs="Times New Roman"/>
          <w:sz w:val="24"/>
          <w:szCs w:val="24"/>
          <w:lang w:eastAsia="es-ES_tradnl"/>
        </w:rPr>
        <w:t>, en cumplimiento a esta Resolución.</w:t>
      </w:r>
    </w:p>
    <w:p w14:paraId="1EE93AF9" w14:textId="77777777" w:rsidR="00A416A0" w:rsidRPr="00697DB2" w:rsidRDefault="00A416A0" w:rsidP="00A416A0">
      <w:pPr>
        <w:spacing w:after="0" w:line="360" w:lineRule="auto"/>
        <w:jc w:val="both"/>
        <w:rPr>
          <w:rFonts w:ascii="Palatino Linotype" w:eastAsia="Calibri" w:hAnsi="Palatino Linotype" w:cs="Times New Roman"/>
          <w:sz w:val="24"/>
          <w:szCs w:val="24"/>
          <w:lang w:eastAsia="es-ES_tradnl"/>
        </w:rPr>
      </w:pPr>
    </w:p>
    <w:p w14:paraId="74882930" w14:textId="77777777" w:rsidR="00A416A0" w:rsidRPr="00697DB2" w:rsidRDefault="00A416A0" w:rsidP="00A416A0">
      <w:pPr>
        <w:spacing w:after="0" w:line="360" w:lineRule="auto"/>
        <w:jc w:val="both"/>
        <w:rPr>
          <w:rFonts w:ascii="Palatino Linotype" w:eastAsia="Calibri" w:hAnsi="Palatino Linotype" w:cs="Calibri"/>
          <w:sz w:val="24"/>
          <w:szCs w:val="24"/>
          <w:lang w:eastAsia="es-ES_tradnl"/>
        </w:rPr>
      </w:pPr>
      <w:r w:rsidRPr="00697DB2">
        <w:rPr>
          <w:rFonts w:ascii="Palatino Linotype" w:eastAsia="Calibri" w:hAnsi="Palatino Linotype" w:cs="Times New Roman"/>
          <w:b/>
          <w:sz w:val="28"/>
          <w:szCs w:val="24"/>
          <w:lang w:eastAsia="es-ES_tradnl"/>
        </w:rPr>
        <w:t>SEXTO</w:t>
      </w:r>
      <w:r w:rsidRPr="00697DB2">
        <w:rPr>
          <w:rFonts w:ascii="Palatino Linotype" w:eastAsia="Calibri" w:hAnsi="Palatino Linotype" w:cs="Times New Roman"/>
          <w:b/>
          <w:sz w:val="24"/>
          <w:szCs w:val="24"/>
          <w:lang w:eastAsia="es-ES_tradnl"/>
        </w:rPr>
        <w:t xml:space="preserve">. - </w:t>
      </w:r>
      <w:r w:rsidRPr="00697DB2">
        <w:rPr>
          <w:rFonts w:ascii="Palatino Linotype" w:eastAsia="Calibri" w:hAnsi="Palatino Linotype" w:cs="Calibri"/>
          <w:b/>
          <w:sz w:val="24"/>
          <w:szCs w:val="24"/>
          <w:lang w:eastAsia="es-ES_tradnl"/>
        </w:rPr>
        <w:t xml:space="preserve">Gírese </w:t>
      </w:r>
      <w:r w:rsidRPr="00697DB2">
        <w:rPr>
          <w:rFonts w:ascii="Palatino Linotype" w:eastAsia="Calibri" w:hAnsi="Palatino Linotype" w:cs="Calibr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697DB2">
        <w:rPr>
          <w:rFonts w:ascii="Palatino Linotype" w:eastAsia="Calibri" w:hAnsi="Palatino Linotype" w:cs="Calibri"/>
          <w:b/>
          <w:bCs/>
          <w:sz w:val="24"/>
          <w:szCs w:val="24"/>
          <w:lang w:eastAsia="es-ES_tradnl"/>
        </w:rPr>
        <w:t>TERCERO</w:t>
      </w:r>
      <w:r w:rsidRPr="00697DB2">
        <w:rPr>
          <w:rFonts w:ascii="Palatino Linotype" w:eastAsia="Calibri" w:hAnsi="Palatino Linotype" w:cs="Calibri"/>
          <w:sz w:val="24"/>
          <w:szCs w:val="24"/>
          <w:lang w:eastAsia="es-ES_tradnl"/>
        </w:rPr>
        <w:t xml:space="preserve"> de la presente resolución.</w:t>
      </w:r>
    </w:p>
    <w:p w14:paraId="26A10243" w14:textId="77777777" w:rsidR="00A416A0" w:rsidRPr="00697DB2" w:rsidRDefault="00A416A0" w:rsidP="00A416A0">
      <w:pPr>
        <w:spacing w:after="0" w:line="360" w:lineRule="auto"/>
        <w:jc w:val="both"/>
        <w:rPr>
          <w:rFonts w:ascii="Palatino Linotype" w:eastAsia="Palatino Linotype" w:hAnsi="Palatino Linotype" w:cs="Palatino Linotype"/>
          <w:sz w:val="24"/>
          <w:szCs w:val="24"/>
          <w:lang w:eastAsia="es-MX"/>
        </w:rPr>
      </w:pPr>
    </w:p>
    <w:p w14:paraId="5F971D81" w14:textId="68D3BD36" w:rsidR="000D134C" w:rsidRPr="00F444C4" w:rsidRDefault="000D134C" w:rsidP="00432E3D">
      <w:pPr>
        <w:spacing w:after="0" w:line="360" w:lineRule="auto"/>
        <w:jc w:val="both"/>
        <w:rPr>
          <w:rFonts w:ascii="Palatino Linotype" w:eastAsia="Times New Roman" w:hAnsi="Palatino Linotype" w:cs="Arial"/>
          <w:sz w:val="20"/>
          <w:lang w:val="es-ES_tradnl" w:eastAsia="es-MX"/>
        </w:rPr>
      </w:pPr>
      <w:r w:rsidRPr="00697DB2">
        <w:rPr>
          <w:rFonts w:ascii="Palatino Linotype" w:eastAsia="Times New Roman" w:hAnsi="Palatino Linotype" w:cs="Arial"/>
          <w:sz w:val="24"/>
          <w:szCs w:val="24"/>
          <w:lang w:val="es-ES_tradnl" w:eastAsia="es-MX"/>
        </w:rPr>
        <w:t xml:space="preserve">ASÍ LO RESUELVE, POR </w:t>
      </w:r>
      <w:r w:rsidRPr="00697DB2">
        <w:rPr>
          <w:rFonts w:ascii="Palatino Linotype" w:eastAsia="Times New Roman" w:hAnsi="Palatino Linotype" w:cs="Arial"/>
          <w:b/>
          <w:sz w:val="24"/>
          <w:szCs w:val="24"/>
          <w:lang w:val="es-ES_tradnl" w:eastAsia="es-MX"/>
        </w:rPr>
        <w:t xml:space="preserve">UNANIMIDAD DE VOTOS </w:t>
      </w:r>
      <w:r w:rsidRPr="00697DB2">
        <w:rPr>
          <w:rFonts w:ascii="Palatino Linotype" w:eastAsia="Times New Roman" w:hAnsi="Palatino Linotype" w:cs="Arial"/>
          <w:sz w:val="24"/>
          <w:szCs w:val="24"/>
          <w:lang w:val="es-ES_tradnl" w:eastAsia="es-MX"/>
        </w:rPr>
        <w:t>EL PLENO DEL</w:t>
      </w:r>
      <w:r w:rsidRPr="00697DB2">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697DB2">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w:t>
      </w:r>
      <w:r w:rsidR="00A31C9B" w:rsidRPr="00697DB2">
        <w:rPr>
          <w:rFonts w:ascii="Palatino Linotype" w:eastAsia="Times New Roman" w:hAnsi="Palatino Linotype" w:cs="Arial"/>
          <w:sz w:val="24"/>
          <w:szCs w:val="24"/>
          <w:lang w:val="es-ES_tradnl" w:eastAsia="es-MX"/>
        </w:rPr>
        <w:t xml:space="preserve"> </w:t>
      </w:r>
      <w:r w:rsidRPr="00697DB2">
        <w:rPr>
          <w:rFonts w:ascii="Palatino Linotype" w:eastAsia="Times New Roman" w:hAnsi="Palatino Linotype" w:cs="Arial"/>
          <w:sz w:val="24"/>
          <w:szCs w:val="24"/>
          <w:lang w:val="es-ES_tradnl" w:eastAsia="es-MX"/>
        </w:rPr>
        <w:t>EN LA</w:t>
      </w:r>
      <w:r w:rsidRPr="00697DB2">
        <w:rPr>
          <w:rFonts w:ascii="Palatino Linotype" w:eastAsia="Times New Roman" w:hAnsi="Palatino Linotype" w:cs="Arial"/>
          <w:sz w:val="24"/>
          <w:szCs w:val="24"/>
          <w:lang w:val="es-419" w:eastAsia="es-MX"/>
        </w:rPr>
        <w:t xml:space="preserve"> </w:t>
      </w:r>
      <w:r w:rsidR="003A40D5" w:rsidRPr="00697DB2">
        <w:rPr>
          <w:rFonts w:ascii="Palatino Linotype" w:eastAsia="Times New Roman" w:hAnsi="Palatino Linotype" w:cs="Arial"/>
          <w:b/>
          <w:sz w:val="24"/>
          <w:szCs w:val="24"/>
          <w:lang w:val="es-419" w:eastAsia="es-MX"/>
        </w:rPr>
        <w:t xml:space="preserve">DÉCIMA TERCERA </w:t>
      </w:r>
      <w:r w:rsidRPr="00697DB2">
        <w:rPr>
          <w:rFonts w:ascii="Palatino Linotype" w:eastAsia="Times New Roman" w:hAnsi="Palatino Linotype" w:cs="Arial"/>
          <w:b/>
          <w:sz w:val="24"/>
          <w:szCs w:val="24"/>
          <w:lang w:val="es-419" w:eastAsia="es-MX"/>
        </w:rPr>
        <w:t xml:space="preserve">SESIÓN ORDINARIA CELEBRADA </w:t>
      </w:r>
      <w:r w:rsidR="001A39B3" w:rsidRPr="00697DB2">
        <w:rPr>
          <w:rFonts w:ascii="Palatino Linotype" w:eastAsia="Times New Roman" w:hAnsi="Palatino Linotype" w:cs="Arial"/>
          <w:b/>
          <w:sz w:val="24"/>
          <w:szCs w:val="24"/>
          <w:lang w:val="es-419" w:eastAsia="es-MX"/>
        </w:rPr>
        <w:t xml:space="preserve">EL QUINCE DE ABRIL </w:t>
      </w:r>
      <w:r w:rsidRPr="00697DB2">
        <w:rPr>
          <w:rFonts w:ascii="Palatino Linotype" w:eastAsia="Times New Roman" w:hAnsi="Palatino Linotype" w:cs="Arial"/>
          <w:b/>
          <w:sz w:val="24"/>
          <w:szCs w:val="24"/>
          <w:lang w:val="es-419" w:eastAsia="es-MX"/>
        </w:rPr>
        <w:t xml:space="preserve">DE DOS MIL </w:t>
      </w:r>
      <w:r w:rsidR="006D5161" w:rsidRPr="00697DB2">
        <w:rPr>
          <w:rFonts w:ascii="Palatino Linotype" w:eastAsia="Times New Roman" w:hAnsi="Palatino Linotype" w:cs="Arial"/>
          <w:b/>
          <w:sz w:val="24"/>
          <w:szCs w:val="24"/>
          <w:lang w:val="es-419" w:eastAsia="es-MX"/>
        </w:rPr>
        <w:t>VEINTISÉIS</w:t>
      </w:r>
      <w:r w:rsidRPr="00697DB2">
        <w:rPr>
          <w:rFonts w:ascii="Palatino Linotype" w:eastAsia="Times New Roman" w:hAnsi="Palatino Linotype" w:cs="Arial"/>
          <w:sz w:val="24"/>
          <w:szCs w:val="24"/>
          <w:lang w:val="es-ES_tradnl" w:eastAsia="es-MX"/>
        </w:rPr>
        <w:t>, ANTE EL SECRETARIO TÉCNICO D</w:t>
      </w:r>
      <w:r w:rsidR="00242265" w:rsidRPr="00697DB2">
        <w:rPr>
          <w:rFonts w:ascii="Palatino Linotype" w:eastAsia="Times New Roman" w:hAnsi="Palatino Linotype" w:cs="Arial"/>
          <w:sz w:val="24"/>
          <w:szCs w:val="24"/>
          <w:lang w:val="es-ES_tradnl" w:eastAsia="es-MX"/>
        </w:rPr>
        <w:t>EL PLENO, ALEXIS TAPIA RAMÍREZ.</w:t>
      </w:r>
      <w:r w:rsidRPr="00697DB2">
        <w:rPr>
          <w:rFonts w:ascii="Palatino Linotype" w:eastAsia="Times New Roman" w:hAnsi="Palatino Linotype" w:cs="Arial"/>
          <w:sz w:val="24"/>
          <w:szCs w:val="24"/>
          <w:lang w:val="es-ES_tradnl" w:eastAsia="es-MX"/>
        </w:rPr>
        <w:t>-----------------------------------------------------------------------------------------------------------------------------------</w:t>
      </w:r>
    </w:p>
    <w:p w14:paraId="01A958CD"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58C072EF"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6A061915"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6FD3344"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AA47C1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3A382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B89254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681153"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E6D72CB"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D9C730"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8BB566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5EF7335"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E238966"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45B0364"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129DFE8E"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523B3E4A" w14:textId="77777777" w:rsidR="000D134C" w:rsidRDefault="000D134C" w:rsidP="005C2A3E">
      <w:pPr>
        <w:spacing w:after="0" w:line="360" w:lineRule="auto"/>
      </w:pPr>
    </w:p>
    <w:p w14:paraId="45D17945" w14:textId="77777777" w:rsidR="000D134C" w:rsidRDefault="000D134C" w:rsidP="005C2A3E">
      <w:pPr>
        <w:spacing w:after="0" w:line="360" w:lineRule="auto"/>
      </w:pPr>
    </w:p>
    <w:p w14:paraId="1026247C" w14:textId="77777777" w:rsidR="000D134C" w:rsidRDefault="000D134C" w:rsidP="005C2A3E">
      <w:pPr>
        <w:spacing w:after="0" w:line="360" w:lineRule="auto"/>
      </w:pPr>
    </w:p>
    <w:p w14:paraId="2252696A" w14:textId="77777777" w:rsidR="000D134C" w:rsidRDefault="000D134C" w:rsidP="005C2A3E">
      <w:pPr>
        <w:spacing w:after="0" w:line="360" w:lineRule="auto"/>
      </w:pPr>
    </w:p>
    <w:p w14:paraId="4EA2BC1B" w14:textId="77777777" w:rsidR="000D134C" w:rsidRDefault="000D134C" w:rsidP="005C2A3E">
      <w:pPr>
        <w:spacing w:after="0" w:line="360" w:lineRule="auto"/>
      </w:pPr>
    </w:p>
    <w:p w14:paraId="54174547" w14:textId="77777777" w:rsidR="000D134C" w:rsidRDefault="000D134C" w:rsidP="005C2A3E">
      <w:pPr>
        <w:spacing w:after="0"/>
      </w:pPr>
    </w:p>
    <w:p w14:paraId="1BC99D18" w14:textId="77777777" w:rsidR="000D134C" w:rsidRDefault="000D134C" w:rsidP="005C2A3E">
      <w:pPr>
        <w:spacing w:after="0"/>
      </w:pPr>
    </w:p>
    <w:p w14:paraId="209C7591" w14:textId="77777777" w:rsidR="000D134C" w:rsidRDefault="000D134C" w:rsidP="005C2A3E">
      <w:pPr>
        <w:spacing w:after="0"/>
      </w:pPr>
    </w:p>
    <w:p w14:paraId="2D56F8F8" w14:textId="77777777" w:rsidR="00F27565" w:rsidRDefault="00F27565" w:rsidP="005C2A3E">
      <w:pPr>
        <w:spacing w:after="0"/>
      </w:pPr>
    </w:p>
    <w:sectPr w:rsidR="00F27565" w:rsidSect="0027169F">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4B994" w14:textId="77777777" w:rsidR="009F1D0E" w:rsidRDefault="009F1D0E" w:rsidP="000D134C">
      <w:pPr>
        <w:spacing w:after="0" w:line="240" w:lineRule="auto"/>
      </w:pPr>
      <w:r>
        <w:separator/>
      </w:r>
    </w:p>
  </w:endnote>
  <w:endnote w:type="continuationSeparator" w:id="0">
    <w:p w14:paraId="1EA61209" w14:textId="77777777" w:rsidR="009F1D0E" w:rsidRDefault="009F1D0E" w:rsidP="000D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70A2" w14:textId="387BD767" w:rsidR="008F16FA" w:rsidRPr="00871A91" w:rsidRDefault="008F16FA"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A3A66">
      <w:rPr>
        <w:rFonts w:ascii="Palatino Linotype" w:hAnsi="Palatino Linotype"/>
        <w:b/>
        <w:bCs/>
        <w:noProof/>
        <w:sz w:val="20"/>
      </w:rPr>
      <w:t>3</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A3A66">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E2A3" w14:textId="311BB8D1" w:rsidR="008F16FA" w:rsidRPr="00871A91" w:rsidRDefault="008F16FA"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A3A66">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A3A66">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DA532" w14:textId="77777777" w:rsidR="009F1D0E" w:rsidRDefault="009F1D0E" w:rsidP="000D134C">
      <w:pPr>
        <w:spacing w:after="0" w:line="240" w:lineRule="auto"/>
      </w:pPr>
      <w:r>
        <w:separator/>
      </w:r>
    </w:p>
  </w:footnote>
  <w:footnote w:type="continuationSeparator" w:id="0">
    <w:p w14:paraId="405D22E9" w14:textId="77777777" w:rsidR="009F1D0E" w:rsidRDefault="009F1D0E" w:rsidP="000D1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5559" w14:textId="77777777" w:rsidR="008F16FA" w:rsidRDefault="009F1D0E">
    <w:pPr>
      <w:pStyle w:val="Encabezado"/>
    </w:pPr>
    <w:r>
      <w:rPr>
        <w:noProof/>
        <w:lang w:val="es-MX" w:eastAsia="es-MX"/>
      </w:rPr>
      <w:pict w14:anchorId="5BA21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8F16FA" w:rsidRPr="00B17577" w14:paraId="58CB8F55" w14:textId="77777777" w:rsidTr="0027169F">
      <w:trPr>
        <w:trHeight w:val="237"/>
      </w:trPr>
      <w:tc>
        <w:tcPr>
          <w:tcW w:w="5180" w:type="dxa"/>
          <w:hideMark/>
        </w:tcPr>
        <w:p w14:paraId="2701CCC2" w14:textId="77777777" w:rsidR="008F16FA" w:rsidRPr="00F70BDE" w:rsidRDefault="008F16FA"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0B18FDC1" w14:textId="7E13A9EE" w:rsidR="008F16FA" w:rsidRPr="00F70BDE" w:rsidRDefault="00EC6A3F" w:rsidP="00123693">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03375/</w:t>
          </w:r>
          <w:r w:rsidR="008F16FA" w:rsidRPr="00B50740">
            <w:rPr>
              <w:rFonts w:ascii="Palatino Linotype" w:hAnsi="Palatino Linotype" w:cs="Arial"/>
              <w:b/>
              <w:bCs/>
              <w:sz w:val="24"/>
              <w:szCs w:val="24"/>
            </w:rPr>
            <w:t>INFOEM/IP/RR/202</w:t>
          </w:r>
          <w:r w:rsidR="001A38E2">
            <w:rPr>
              <w:rFonts w:ascii="Palatino Linotype" w:hAnsi="Palatino Linotype" w:cs="Arial"/>
              <w:b/>
              <w:bCs/>
              <w:sz w:val="24"/>
              <w:szCs w:val="24"/>
            </w:rPr>
            <w:t>6</w:t>
          </w:r>
        </w:p>
      </w:tc>
    </w:tr>
    <w:tr w:rsidR="008F16FA" w14:paraId="662610CC" w14:textId="77777777" w:rsidTr="0027169F">
      <w:trPr>
        <w:trHeight w:val="252"/>
      </w:trPr>
      <w:tc>
        <w:tcPr>
          <w:tcW w:w="5180" w:type="dxa"/>
          <w:hideMark/>
        </w:tcPr>
        <w:p w14:paraId="14468EE4" w14:textId="77777777" w:rsidR="008F16FA" w:rsidRPr="00F70BDE" w:rsidRDefault="008F16FA"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1E48097" w14:textId="2903BEA9" w:rsidR="008F16FA" w:rsidRPr="00F70BDE" w:rsidRDefault="008F16FA" w:rsidP="0027169F">
          <w:pPr>
            <w:spacing w:after="120" w:line="240" w:lineRule="auto"/>
            <w:ind w:left="-81" w:right="71"/>
            <w:jc w:val="right"/>
            <w:rPr>
              <w:rFonts w:ascii="Palatino Linotype" w:hAnsi="Palatino Linotype" w:cs="Arial"/>
              <w:sz w:val="24"/>
              <w:szCs w:val="24"/>
            </w:rPr>
          </w:pPr>
          <w:r w:rsidRPr="00123693">
            <w:rPr>
              <w:rFonts w:ascii="Palatino Linotype" w:hAnsi="Palatino Linotype"/>
              <w:b/>
              <w:bCs/>
              <w:color w:val="000000"/>
              <w:sz w:val="24"/>
              <w:szCs w:val="24"/>
            </w:rPr>
            <w:t>Ayuntamiento de Tepotzotlán</w:t>
          </w:r>
        </w:p>
      </w:tc>
    </w:tr>
    <w:tr w:rsidR="008F16FA" w:rsidRPr="00F63239" w14:paraId="56646647" w14:textId="77777777" w:rsidTr="0027169F">
      <w:trPr>
        <w:trHeight w:val="357"/>
      </w:trPr>
      <w:tc>
        <w:tcPr>
          <w:tcW w:w="5180" w:type="dxa"/>
          <w:hideMark/>
        </w:tcPr>
        <w:p w14:paraId="5D5F4A55" w14:textId="77777777" w:rsidR="008F16FA" w:rsidRPr="00F70BDE" w:rsidRDefault="008F16FA" w:rsidP="0027169F">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2BB3921F" w14:textId="77777777" w:rsidR="008F16FA" w:rsidRPr="0092771D" w:rsidRDefault="008F16FA" w:rsidP="0027169F">
          <w:pPr>
            <w:spacing w:after="120" w:line="240" w:lineRule="auto"/>
            <w:ind w:left="-486" w:right="71"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p w14:paraId="22F970AD" w14:textId="77777777" w:rsidR="008F16FA" w:rsidRPr="00F70BDE" w:rsidRDefault="008F16FA" w:rsidP="0027169F">
          <w:pPr>
            <w:spacing w:after="120" w:line="240" w:lineRule="auto"/>
            <w:ind w:left="-486" w:right="71" w:firstLine="567"/>
            <w:jc w:val="right"/>
            <w:rPr>
              <w:rFonts w:ascii="Palatino Linotype" w:hAnsi="Palatino Linotype" w:cs="Arial"/>
              <w:sz w:val="24"/>
              <w:szCs w:val="24"/>
            </w:rPr>
          </w:pPr>
        </w:p>
      </w:tc>
    </w:tr>
  </w:tbl>
  <w:p w14:paraId="64B48BEE" w14:textId="77777777" w:rsidR="008F16FA" w:rsidRPr="00871A91" w:rsidRDefault="009F1D0E">
    <w:pPr>
      <w:pStyle w:val="Encabezado"/>
      <w:rPr>
        <w:sz w:val="2"/>
      </w:rPr>
    </w:pPr>
    <w:r>
      <w:rPr>
        <w:noProof/>
        <w:lang w:val="es-MX" w:eastAsia="es-MX"/>
      </w:rPr>
      <w:pict w14:anchorId="74830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8F16F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F16FA" w:rsidRPr="00F70BDE" w14:paraId="45B19BE3" w14:textId="77777777" w:rsidTr="0027169F">
      <w:trPr>
        <w:trHeight w:val="227"/>
      </w:trPr>
      <w:tc>
        <w:tcPr>
          <w:tcW w:w="5103" w:type="dxa"/>
          <w:hideMark/>
        </w:tcPr>
        <w:p w14:paraId="0BAEB94E"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907A77F" w14:textId="484B4A68" w:rsidR="008F16FA" w:rsidRPr="00F70BDE" w:rsidRDefault="008F16FA" w:rsidP="00123693">
          <w:pPr>
            <w:spacing w:after="120" w:line="240" w:lineRule="auto"/>
            <w:ind w:left="-486" w:right="68" w:firstLine="558"/>
            <w:jc w:val="right"/>
            <w:rPr>
              <w:rFonts w:ascii="Palatino Linotype" w:hAnsi="Palatino Linotype" w:cs="Arial"/>
              <w:b/>
              <w:bCs/>
              <w:sz w:val="24"/>
              <w:szCs w:val="24"/>
            </w:rPr>
          </w:pPr>
          <w:r w:rsidRPr="00B50740">
            <w:rPr>
              <w:rFonts w:ascii="Palatino Linotype" w:hAnsi="Palatino Linotype" w:cs="Arial"/>
              <w:b/>
              <w:bCs/>
              <w:sz w:val="24"/>
              <w:szCs w:val="24"/>
            </w:rPr>
            <w:t>0</w:t>
          </w:r>
          <w:r w:rsidR="00803F59">
            <w:rPr>
              <w:rFonts w:ascii="Palatino Linotype" w:hAnsi="Palatino Linotype" w:cs="Arial"/>
              <w:b/>
              <w:bCs/>
              <w:sz w:val="24"/>
              <w:szCs w:val="24"/>
            </w:rPr>
            <w:t>3</w:t>
          </w:r>
          <w:r w:rsidR="00EC6A3F">
            <w:rPr>
              <w:rFonts w:ascii="Palatino Linotype" w:hAnsi="Palatino Linotype" w:cs="Arial"/>
              <w:b/>
              <w:bCs/>
              <w:sz w:val="24"/>
              <w:szCs w:val="24"/>
            </w:rPr>
            <w:t>375</w:t>
          </w:r>
          <w:r w:rsidRPr="00B50740">
            <w:rPr>
              <w:rFonts w:ascii="Palatino Linotype" w:hAnsi="Palatino Linotype" w:cs="Arial"/>
              <w:b/>
              <w:bCs/>
              <w:sz w:val="24"/>
              <w:szCs w:val="24"/>
            </w:rPr>
            <w:t>/INFOEM/IP/RR/202</w:t>
          </w:r>
          <w:r w:rsidR="00803F59">
            <w:rPr>
              <w:rFonts w:ascii="Palatino Linotype" w:hAnsi="Palatino Linotype" w:cs="Arial"/>
              <w:b/>
              <w:bCs/>
              <w:sz w:val="24"/>
              <w:szCs w:val="24"/>
            </w:rPr>
            <w:t>6</w:t>
          </w:r>
        </w:p>
      </w:tc>
    </w:tr>
    <w:tr w:rsidR="008F16FA" w:rsidRPr="00F70BDE" w14:paraId="6328A4D5" w14:textId="77777777" w:rsidTr="0027169F">
      <w:trPr>
        <w:trHeight w:val="227"/>
      </w:trPr>
      <w:tc>
        <w:tcPr>
          <w:tcW w:w="5103" w:type="dxa"/>
        </w:tcPr>
        <w:p w14:paraId="49B62AC2"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6C931F67" w14:textId="2EDBC379" w:rsidR="008F16FA" w:rsidRPr="00F70BDE" w:rsidRDefault="005A3A66" w:rsidP="00516DE7">
          <w:pPr>
            <w:spacing w:after="120" w:line="240" w:lineRule="auto"/>
            <w:ind w:left="-486" w:right="68" w:firstLine="558"/>
            <w:jc w:val="right"/>
            <w:rPr>
              <w:rFonts w:ascii="Palatino Linotype" w:hAnsi="Palatino Linotype" w:cs="Arial"/>
              <w:b/>
              <w:bCs/>
              <w:sz w:val="24"/>
              <w:szCs w:val="24"/>
            </w:rPr>
          </w:pPr>
          <w:proofErr w:type="spellStart"/>
          <w:r>
            <w:rPr>
              <w:rFonts w:ascii="Palatino Linotype" w:hAnsi="Palatino Linotype" w:cs="Arial"/>
              <w:b/>
              <w:bCs/>
              <w:sz w:val="24"/>
              <w:szCs w:val="24"/>
            </w:rPr>
            <w:t>xxxxx</w:t>
          </w:r>
          <w:proofErr w:type="spellEnd"/>
        </w:p>
      </w:tc>
    </w:tr>
    <w:tr w:rsidR="008F16FA" w:rsidRPr="00F70BDE" w14:paraId="4DFEB549" w14:textId="77777777" w:rsidTr="0027169F">
      <w:trPr>
        <w:trHeight w:val="242"/>
      </w:trPr>
      <w:tc>
        <w:tcPr>
          <w:tcW w:w="5103" w:type="dxa"/>
          <w:hideMark/>
        </w:tcPr>
        <w:p w14:paraId="2948674E"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9AFF2B3" w14:textId="62D884D4" w:rsidR="008F16FA" w:rsidRPr="00056169" w:rsidRDefault="008F16FA" w:rsidP="0027169F">
          <w:pPr>
            <w:spacing w:after="120" w:line="240" w:lineRule="auto"/>
            <w:ind w:left="-70" w:right="68"/>
            <w:jc w:val="right"/>
            <w:rPr>
              <w:rFonts w:ascii="Palatino Linotype" w:hAnsi="Palatino Linotype" w:cs="Arial"/>
              <w:sz w:val="24"/>
              <w:szCs w:val="24"/>
            </w:rPr>
          </w:pPr>
          <w:r w:rsidRPr="00123693">
            <w:rPr>
              <w:rFonts w:ascii="Palatino Linotype" w:hAnsi="Palatino Linotype"/>
              <w:b/>
              <w:bCs/>
              <w:color w:val="000000"/>
              <w:sz w:val="24"/>
              <w:szCs w:val="24"/>
            </w:rPr>
            <w:t>Ayuntamiento de Tepotzotlán</w:t>
          </w:r>
        </w:p>
      </w:tc>
    </w:tr>
    <w:tr w:rsidR="008F16FA" w:rsidRPr="00F70BDE" w14:paraId="3E04D042" w14:textId="77777777" w:rsidTr="0027169F">
      <w:trPr>
        <w:trHeight w:val="342"/>
      </w:trPr>
      <w:tc>
        <w:tcPr>
          <w:tcW w:w="5103" w:type="dxa"/>
          <w:hideMark/>
        </w:tcPr>
        <w:p w14:paraId="3F7D9FD0" w14:textId="77777777" w:rsidR="008F16FA" w:rsidRPr="00F70BDE" w:rsidRDefault="008F16FA" w:rsidP="0027169F">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168D6C9" w14:textId="77777777" w:rsidR="008F16FA" w:rsidRPr="0092771D" w:rsidRDefault="008F16FA" w:rsidP="0027169F">
          <w:pPr>
            <w:spacing w:after="120" w:line="240" w:lineRule="auto"/>
            <w:ind w:left="-486" w:right="68"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tc>
    </w:tr>
  </w:tbl>
  <w:p w14:paraId="59B65BC0" w14:textId="77777777" w:rsidR="008F16FA" w:rsidRPr="00871A91" w:rsidRDefault="008F16FA">
    <w:pPr>
      <w:pStyle w:val="Encabezado"/>
      <w:rPr>
        <w:sz w:val="2"/>
      </w:rPr>
    </w:pPr>
    <w:r>
      <w:rPr>
        <w:noProof/>
        <w:lang w:val="es-MX" w:eastAsia="es-MX"/>
      </w:rPr>
      <w:drawing>
        <wp:anchor distT="0" distB="0" distL="114300" distR="114300" simplePos="0" relativeHeight="251659264" behindDoc="1" locked="0" layoutInCell="0" allowOverlap="1" wp14:anchorId="62CBB23F" wp14:editId="3B82036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64DDA"/>
    <w:multiLevelType w:val="hybridMultilevel"/>
    <w:tmpl w:val="A74241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B35237"/>
    <w:multiLevelType w:val="hybridMultilevel"/>
    <w:tmpl w:val="5F6074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6D4516"/>
    <w:multiLevelType w:val="hybridMultilevel"/>
    <w:tmpl w:val="85626674"/>
    <w:lvl w:ilvl="0" w:tplc="B1323AEA">
      <w:start w:val="4749"/>
      <w:numFmt w:val="bullet"/>
      <w:lvlText w:val=""/>
      <w:lvlJc w:val="left"/>
      <w:pPr>
        <w:ind w:left="720" w:hanging="360"/>
      </w:pPr>
      <w:rPr>
        <w:rFonts w:ascii="Symbol" w:eastAsiaTheme="minorHAnsi"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262319"/>
    <w:multiLevelType w:val="hybridMultilevel"/>
    <w:tmpl w:val="F066029C"/>
    <w:lvl w:ilvl="0" w:tplc="686ECFFE">
      <w:start w:val="4749"/>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C215E57"/>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D3A77C2"/>
    <w:multiLevelType w:val="multilevel"/>
    <w:tmpl w:val="407E71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1F4C40"/>
    <w:multiLevelType w:val="multilevel"/>
    <w:tmpl w:val="DCA41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E57FB1"/>
    <w:multiLevelType w:val="hybridMultilevel"/>
    <w:tmpl w:val="5388F0E0"/>
    <w:lvl w:ilvl="0" w:tplc="71A0602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0" w15:restartNumberingAfterBreak="0">
    <w:nsid w:val="2D507FB6"/>
    <w:multiLevelType w:val="hybridMultilevel"/>
    <w:tmpl w:val="B56CA7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2" w15:restartNumberingAfterBreak="0">
    <w:nsid w:val="32DA189A"/>
    <w:multiLevelType w:val="hybridMultilevel"/>
    <w:tmpl w:val="41A25E30"/>
    <w:lvl w:ilvl="0" w:tplc="9032571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F33948"/>
    <w:multiLevelType w:val="hybridMultilevel"/>
    <w:tmpl w:val="9F7E42C2"/>
    <w:lvl w:ilvl="0" w:tplc="3AB21526">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4" w15:restartNumberingAfterBreak="0">
    <w:nsid w:val="392E5AC8"/>
    <w:multiLevelType w:val="multilevel"/>
    <w:tmpl w:val="F01C13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3DA4FAF"/>
    <w:multiLevelType w:val="hybridMultilevel"/>
    <w:tmpl w:val="72AA58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1A29C9"/>
    <w:multiLevelType w:val="hybridMultilevel"/>
    <w:tmpl w:val="8F4E0E2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6EF14FA"/>
    <w:multiLevelType w:val="multilevel"/>
    <w:tmpl w:val="EE865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41B628E"/>
    <w:multiLevelType w:val="hybridMultilevel"/>
    <w:tmpl w:val="EF2608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ED41B5A"/>
    <w:multiLevelType w:val="multilevel"/>
    <w:tmpl w:val="05642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2A3AEC"/>
    <w:multiLevelType w:val="multilevel"/>
    <w:tmpl w:val="18C8F9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12B46B2"/>
    <w:multiLevelType w:val="hybridMultilevel"/>
    <w:tmpl w:val="BBF4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45650D4"/>
    <w:multiLevelType w:val="multilevel"/>
    <w:tmpl w:val="5A945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6EC19CA"/>
    <w:multiLevelType w:val="hybridMultilevel"/>
    <w:tmpl w:val="10E81606"/>
    <w:lvl w:ilvl="0" w:tplc="6206F53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15:restartNumberingAfterBreak="0">
    <w:nsid w:val="7B0C51AA"/>
    <w:multiLevelType w:val="multilevel"/>
    <w:tmpl w:val="4F8AC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5"/>
  </w:num>
  <w:num w:numId="4">
    <w:abstractNumId w:val="0"/>
  </w:num>
  <w:num w:numId="5">
    <w:abstractNumId w:val="2"/>
  </w:num>
  <w:num w:numId="6">
    <w:abstractNumId w:val="4"/>
  </w:num>
  <w:num w:numId="7">
    <w:abstractNumId w:val="28"/>
  </w:num>
  <w:num w:numId="8">
    <w:abstractNumId w:val="17"/>
  </w:num>
  <w:num w:numId="9">
    <w:abstractNumId w:val="14"/>
  </w:num>
  <w:num w:numId="10">
    <w:abstractNumId w:val="22"/>
  </w:num>
  <w:num w:numId="11">
    <w:abstractNumId w:val="25"/>
  </w:num>
  <w:num w:numId="12">
    <w:abstractNumId w:val="27"/>
  </w:num>
  <w:num w:numId="13">
    <w:abstractNumId w:val="6"/>
  </w:num>
  <w:num w:numId="14">
    <w:abstractNumId w:val="7"/>
  </w:num>
  <w:num w:numId="15">
    <w:abstractNumId w:val="12"/>
  </w:num>
  <w:num w:numId="16">
    <w:abstractNumId w:val="1"/>
  </w:num>
  <w:num w:numId="17">
    <w:abstractNumId w:val="15"/>
  </w:num>
  <w:num w:numId="18">
    <w:abstractNumId w:val="23"/>
  </w:num>
  <w:num w:numId="19">
    <w:abstractNumId w:val="18"/>
  </w:num>
  <w:num w:numId="20">
    <w:abstractNumId w:val="21"/>
  </w:num>
  <w:num w:numId="21">
    <w:abstractNumId w:val="16"/>
  </w:num>
  <w:num w:numId="22">
    <w:abstractNumId w:val="10"/>
  </w:num>
  <w:num w:numId="23">
    <w:abstractNumId w:val="24"/>
  </w:num>
  <w:num w:numId="24">
    <w:abstractNumId w:val="26"/>
  </w:num>
  <w:num w:numId="25">
    <w:abstractNumId w:val="19"/>
  </w:num>
  <w:num w:numId="26">
    <w:abstractNumId w:val="13"/>
  </w:num>
  <w:num w:numId="27">
    <w:abstractNumId w:val="8"/>
  </w:num>
  <w:num w:numId="28">
    <w:abstractNumId w:val="20"/>
  </w:num>
  <w:num w:numId="2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4C"/>
    <w:rsid w:val="0000731F"/>
    <w:rsid w:val="0001755A"/>
    <w:rsid w:val="00021120"/>
    <w:rsid w:val="00027CC9"/>
    <w:rsid w:val="000329DF"/>
    <w:rsid w:val="00036896"/>
    <w:rsid w:val="000406BF"/>
    <w:rsid w:val="00052210"/>
    <w:rsid w:val="000620A3"/>
    <w:rsid w:val="00067548"/>
    <w:rsid w:val="0008225C"/>
    <w:rsid w:val="00085910"/>
    <w:rsid w:val="000B4E09"/>
    <w:rsid w:val="000B56C0"/>
    <w:rsid w:val="000C7439"/>
    <w:rsid w:val="000D134C"/>
    <w:rsid w:val="000E59FE"/>
    <w:rsid w:val="000F41B0"/>
    <w:rsid w:val="00123693"/>
    <w:rsid w:val="00127888"/>
    <w:rsid w:val="001319D6"/>
    <w:rsid w:val="001439C3"/>
    <w:rsid w:val="001440D9"/>
    <w:rsid w:val="00155D8D"/>
    <w:rsid w:val="0015619D"/>
    <w:rsid w:val="001612A3"/>
    <w:rsid w:val="0017130D"/>
    <w:rsid w:val="00176925"/>
    <w:rsid w:val="001838D0"/>
    <w:rsid w:val="00190B14"/>
    <w:rsid w:val="001A38E2"/>
    <w:rsid w:val="001A39B3"/>
    <w:rsid w:val="001C1E1B"/>
    <w:rsid w:val="001C6F6C"/>
    <w:rsid w:val="001D5FC0"/>
    <w:rsid w:val="001E370B"/>
    <w:rsid w:val="001F12A0"/>
    <w:rsid w:val="00201590"/>
    <w:rsid w:val="00202397"/>
    <w:rsid w:val="0020690A"/>
    <w:rsid w:val="002214C6"/>
    <w:rsid w:val="00225201"/>
    <w:rsid w:val="002302D6"/>
    <w:rsid w:val="002356E1"/>
    <w:rsid w:val="00242265"/>
    <w:rsid w:val="00257555"/>
    <w:rsid w:val="00263B15"/>
    <w:rsid w:val="0027169F"/>
    <w:rsid w:val="002724A9"/>
    <w:rsid w:val="00273D73"/>
    <w:rsid w:val="00275AFA"/>
    <w:rsid w:val="00285B3F"/>
    <w:rsid w:val="00287630"/>
    <w:rsid w:val="00287997"/>
    <w:rsid w:val="002A5311"/>
    <w:rsid w:val="002B315C"/>
    <w:rsid w:val="002B5FA3"/>
    <w:rsid w:val="002B79A5"/>
    <w:rsid w:val="002F044F"/>
    <w:rsid w:val="002F11B1"/>
    <w:rsid w:val="002F3C7A"/>
    <w:rsid w:val="002F67DD"/>
    <w:rsid w:val="00303EF2"/>
    <w:rsid w:val="0030595D"/>
    <w:rsid w:val="003102E9"/>
    <w:rsid w:val="0031107D"/>
    <w:rsid w:val="003147C5"/>
    <w:rsid w:val="003235A9"/>
    <w:rsid w:val="00332FA6"/>
    <w:rsid w:val="00333974"/>
    <w:rsid w:val="00342337"/>
    <w:rsid w:val="0034567E"/>
    <w:rsid w:val="00347145"/>
    <w:rsid w:val="0035046C"/>
    <w:rsid w:val="003530A6"/>
    <w:rsid w:val="00360F55"/>
    <w:rsid w:val="003640D6"/>
    <w:rsid w:val="003A14FF"/>
    <w:rsid w:val="003A20BC"/>
    <w:rsid w:val="003A40D5"/>
    <w:rsid w:val="003A5225"/>
    <w:rsid w:val="003A71F6"/>
    <w:rsid w:val="003B1A3F"/>
    <w:rsid w:val="003B225B"/>
    <w:rsid w:val="003B2C54"/>
    <w:rsid w:val="003B4D81"/>
    <w:rsid w:val="003B7645"/>
    <w:rsid w:val="003C266B"/>
    <w:rsid w:val="003C551A"/>
    <w:rsid w:val="003C5E75"/>
    <w:rsid w:val="003D09C8"/>
    <w:rsid w:val="003D1BEA"/>
    <w:rsid w:val="003F2D96"/>
    <w:rsid w:val="003F3835"/>
    <w:rsid w:val="003F52EF"/>
    <w:rsid w:val="004046C6"/>
    <w:rsid w:val="00431501"/>
    <w:rsid w:val="00432E3D"/>
    <w:rsid w:val="00435DDC"/>
    <w:rsid w:val="00437829"/>
    <w:rsid w:val="00444516"/>
    <w:rsid w:val="00450BDD"/>
    <w:rsid w:val="00454923"/>
    <w:rsid w:val="00457AD8"/>
    <w:rsid w:val="00470C95"/>
    <w:rsid w:val="0048312C"/>
    <w:rsid w:val="00487C1F"/>
    <w:rsid w:val="00497F3A"/>
    <w:rsid w:val="004A157D"/>
    <w:rsid w:val="004B5B75"/>
    <w:rsid w:val="004C0C18"/>
    <w:rsid w:val="004C2EB5"/>
    <w:rsid w:val="004E21CE"/>
    <w:rsid w:val="004E4894"/>
    <w:rsid w:val="00500758"/>
    <w:rsid w:val="00510365"/>
    <w:rsid w:val="00512DB1"/>
    <w:rsid w:val="00514BE0"/>
    <w:rsid w:val="00516DE7"/>
    <w:rsid w:val="0052262E"/>
    <w:rsid w:val="00524258"/>
    <w:rsid w:val="00534385"/>
    <w:rsid w:val="00560EC9"/>
    <w:rsid w:val="0056377E"/>
    <w:rsid w:val="00565940"/>
    <w:rsid w:val="00575B44"/>
    <w:rsid w:val="00582A5E"/>
    <w:rsid w:val="005959E2"/>
    <w:rsid w:val="00597B06"/>
    <w:rsid w:val="005A314A"/>
    <w:rsid w:val="005A3A66"/>
    <w:rsid w:val="005B35B4"/>
    <w:rsid w:val="005C2A3E"/>
    <w:rsid w:val="005D394B"/>
    <w:rsid w:val="005D522B"/>
    <w:rsid w:val="005E3FCB"/>
    <w:rsid w:val="005F1572"/>
    <w:rsid w:val="005F25D5"/>
    <w:rsid w:val="005F557C"/>
    <w:rsid w:val="005F7112"/>
    <w:rsid w:val="00605635"/>
    <w:rsid w:val="00622CF1"/>
    <w:rsid w:val="00634956"/>
    <w:rsid w:val="00643D14"/>
    <w:rsid w:val="00647BE3"/>
    <w:rsid w:val="00663AFD"/>
    <w:rsid w:val="00664B02"/>
    <w:rsid w:val="00664D8D"/>
    <w:rsid w:val="00670466"/>
    <w:rsid w:val="00683379"/>
    <w:rsid w:val="00683FEC"/>
    <w:rsid w:val="00697DB2"/>
    <w:rsid w:val="006A0A55"/>
    <w:rsid w:val="006A0C8C"/>
    <w:rsid w:val="006D03BE"/>
    <w:rsid w:val="006D5161"/>
    <w:rsid w:val="006D5DD2"/>
    <w:rsid w:val="006F4A7F"/>
    <w:rsid w:val="007325E2"/>
    <w:rsid w:val="00747169"/>
    <w:rsid w:val="007615D4"/>
    <w:rsid w:val="00763371"/>
    <w:rsid w:val="00772B6A"/>
    <w:rsid w:val="00773107"/>
    <w:rsid w:val="00782BAF"/>
    <w:rsid w:val="007C355E"/>
    <w:rsid w:val="007D46DF"/>
    <w:rsid w:val="007E4DBE"/>
    <w:rsid w:val="007E73DB"/>
    <w:rsid w:val="007F4A8C"/>
    <w:rsid w:val="00803A0A"/>
    <w:rsid w:val="00803F59"/>
    <w:rsid w:val="00816859"/>
    <w:rsid w:val="008169A7"/>
    <w:rsid w:val="008266B6"/>
    <w:rsid w:val="00847824"/>
    <w:rsid w:val="00852EE0"/>
    <w:rsid w:val="008579AE"/>
    <w:rsid w:val="008763BA"/>
    <w:rsid w:val="00897B0E"/>
    <w:rsid w:val="008A60A3"/>
    <w:rsid w:val="008B0240"/>
    <w:rsid w:val="008B2521"/>
    <w:rsid w:val="008C5B6E"/>
    <w:rsid w:val="008C73BE"/>
    <w:rsid w:val="008D22BB"/>
    <w:rsid w:val="008E046C"/>
    <w:rsid w:val="008E77E8"/>
    <w:rsid w:val="008F16FA"/>
    <w:rsid w:val="008F4401"/>
    <w:rsid w:val="009032BB"/>
    <w:rsid w:val="00906047"/>
    <w:rsid w:val="00913699"/>
    <w:rsid w:val="0092189C"/>
    <w:rsid w:val="0092771D"/>
    <w:rsid w:val="00931495"/>
    <w:rsid w:val="0094345E"/>
    <w:rsid w:val="009512F4"/>
    <w:rsid w:val="009530DA"/>
    <w:rsid w:val="009634D7"/>
    <w:rsid w:val="00973C6A"/>
    <w:rsid w:val="00976F57"/>
    <w:rsid w:val="009945E0"/>
    <w:rsid w:val="00996620"/>
    <w:rsid w:val="009A360D"/>
    <w:rsid w:val="009B46EE"/>
    <w:rsid w:val="009C0CAD"/>
    <w:rsid w:val="009C5158"/>
    <w:rsid w:val="009C5726"/>
    <w:rsid w:val="009D14BA"/>
    <w:rsid w:val="009F1D0E"/>
    <w:rsid w:val="00A31C9B"/>
    <w:rsid w:val="00A348DE"/>
    <w:rsid w:val="00A416A0"/>
    <w:rsid w:val="00A45768"/>
    <w:rsid w:val="00A52AFC"/>
    <w:rsid w:val="00A53D6C"/>
    <w:rsid w:val="00A5511F"/>
    <w:rsid w:val="00A55B11"/>
    <w:rsid w:val="00A66C01"/>
    <w:rsid w:val="00A71856"/>
    <w:rsid w:val="00A979D5"/>
    <w:rsid w:val="00AA7F92"/>
    <w:rsid w:val="00AB3F3A"/>
    <w:rsid w:val="00AB529D"/>
    <w:rsid w:val="00AC1A5E"/>
    <w:rsid w:val="00AC3BB6"/>
    <w:rsid w:val="00AC4653"/>
    <w:rsid w:val="00AE1A2E"/>
    <w:rsid w:val="00AE39F6"/>
    <w:rsid w:val="00AE692D"/>
    <w:rsid w:val="00AE6D43"/>
    <w:rsid w:val="00AE71DB"/>
    <w:rsid w:val="00AF3EDD"/>
    <w:rsid w:val="00B0361F"/>
    <w:rsid w:val="00B06B14"/>
    <w:rsid w:val="00B10F8C"/>
    <w:rsid w:val="00B155D3"/>
    <w:rsid w:val="00B25976"/>
    <w:rsid w:val="00B455FB"/>
    <w:rsid w:val="00B50740"/>
    <w:rsid w:val="00B571FF"/>
    <w:rsid w:val="00B813C7"/>
    <w:rsid w:val="00B85733"/>
    <w:rsid w:val="00B861D9"/>
    <w:rsid w:val="00B94D15"/>
    <w:rsid w:val="00BB0723"/>
    <w:rsid w:val="00BB2BA4"/>
    <w:rsid w:val="00BB4B99"/>
    <w:rsid w:val="00BB73F6"/>
    <w:rsid w:val="00BC0786"/>
    <w:rsid w:val="00BC2A15"/>
    <w:rsid w:val="00BC7773"/>
    <w:rsid w:val="00BD3885"/>
    <w:rsid w:val="00BE6583"/>
    <w:rsid w:val="00C165C6"/>
    <w:rsid w:val="00C20E1A"/>
    <w:rsid w:val="00C26459"/>
    <w:rsid w:val="00C355B5"/>
    <w:rsid w:val="00C379C8"/>
    <w:rsid w:val="00C408FD"/>
    <w:rsid w:val="00C42826"/>
    <w:rsid w:val="00C54F68"/>
    <w:rsid w:val="00C572E1"/>
    <w:rsid w:val="00C614D1"/>
    <w:rsid w:val="00C66174"/>
    <w:rsid w:val="00C70B4B"/>
    <w:rsid w:val="00C8761A"/>
    <w:rsid w:val="00C94FA5"/>
    <w:rsid w:val="00CA42CC"/>
    <w:rsid w:val="00CB2B24"/>
    <w:rsid w:val="00CC023A"/>
    <w:rsid w:val="00CC1723"/>
    <w:rsid w:val="00CC34FC"/>
    <w:rsid w:val="00CC396A"/>
    <w:rsid w:val="00CD561C"/>
    <w:rsid w:val="00CE1137"/>
    <w:rsid w:val="00CE4C85"/>
    <w:rsid w:val="00D05370"/>
    <w:rsid w:val="00D07DF0"/>
    <w:rsid w:val="00D15FA3"/>
    <w:rsid w:val="00D17D99"/>
    <w:rsid w:val="00D2692D"/>
    <w:rsid w:val="00D3624B"/>
    <w:rsid w:val="00D441AF"/>
    <w:rsid w:val="00D6089A"/>
    <w:rsid w:val="00D61947"/>
    <w:rsid w:val="00D61B6F"/>
    <w:rsid w:val="00D67F3A"/>
    <w:rsid w:val="00D84A81"/>
    <w:rsid w:val="00D9382F"/>
    <w:rsid w:val="00D96E56"/>
    <w:rsid w:val="00DB4177"/>
    <w:rsid w:val="00DC49A0"/>
    <w:rsid w:val="00DD180D"/>
    <w:rsid w:val="00DE5EB7"/>
    <w:rsid w:val="00DE6A51"/>
    <w:rsid w:val="00DF203E"/>
    <w:rsid w:val="00DF38D1"/>
    <w:rsid w:val="00DF6FB6"/>
    <w:rsid w:val="00DF78B5"/>
    <w:rsid w:val="00E2583E"/>
    <w:rsid w:val="00E26EAE"/>
    <w:rsid w:val="00E42D13"/>
    <w:rsid w:val="00E50D8B"/>
    <w:rsid w:val="00E50FDC"/>
    <w:rsid w:val="00E52E30"/>
    <w:rsid w:val="00E5305A"/>
    <w:rsid w:val="00E53061"/>
    <w:rsid w:val="00E64858"/>
    <w:rsid w:val="00E65ED9"/>
    <w:rsid w:val="00E70459"/>
    <w:rsid w:val="00E838EA"/>
    <w:rsid w:val="00E86606"/>
    <w:rsid w:val="00EA017B"/>
    <w:rsid w:val="00EA263B"/>
    <w:rsid w:val="00EA3D96"/>
    <w:rsid w:val="00EA5B54"/>
    <w:rsid w:val="00EA7E10"/>
    <w:rsid w:val="00EB6E7D"/>
    <w:rsid w:val="00EC30D5"/>
    <w:rsid w:val="00EC6A3F"/>
    <w:rsid w:val="00ED59B8"/>
    <w:rsid w:val="00ED5F3C"/>
    <w:rsid w:val="00ED62F5"/>
    <w:rsid w:val="00F11C89"/>
    <w:rsid w:val="00F22D91"/>
    <w:rsid w:val="00F27565"/>
    <w:rsid w:val="00F31760"/>
    <w:rsid w:val="00F3681D"/>
    <w:rsid w:val="00F375A2"/>
    <w:rsid w:val="00F52561"/>
    <w:rsid w:val="00F562EE"/>
    <w:rsid w:val="00F57F6A"/>
    <w:rsid w:val="00F901B6"/>
    <w:rsid w:val="00F90369"/>
    <w:rsid w:val="00FA3553"/>
    <w:rsid w:val="00FA3AB5"/>
    <w:rsid w:val="00FB716C"/>
    <w:rsid w:val="00FC1EA6"/>
    <w:rsid w:val="00FC4160"/>
    <w:rsid w:val="00FD33B3"/>
    <w:rsid w:val="00FD7DE7"/>
    <w:rsid w:val="00FE217A"/>
    <w:rsid w:val="00FE232D"/>
    <w:rsid w:val="00FE3EE1"/>
    <w:rsid w:val="00FF022F"/>
    <w:rsid w:val="00FF38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BDF471"/>
  <w15:chartTrackingRefBased/>
  <w15:docId w15:val="{387D6C65-46A4-450D-82C0-BF40C2A9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34C"/>
  </w:style>
  <w:style w:type="paragraph" w:styleId="Ttulo1">
    <w:name w:val="heading 1"/>
    <w:basedOn w:val="Normal"/>
    <w:next w:val="Normal"/>
    <w:link w:val="Ttulo1Car"/>
    <w:uiPriority w:val="9"/>
    <w:qFormat/>
    <w:rsid w:val="000D13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0D13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D134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0D134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0D134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0D134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134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134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134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134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0D134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0D134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0D134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0D134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0D134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134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134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134C"/>
    <w:rPr>
      <w:rFonts w:eastAsiaTheme="majorEastAsia" w:cstheme="majorBidi"/>
      <w:color w:val="272727" w:themeColor="text1" w:themeTint="D8"/>
    </w:rPr>
  </w:style>
  <w:style w:type="paragraph" w:styleId="Puesto">
    <w:name w:val="Title"/>
    <w:basedOn w:val="Normal"/>
    <w:next w:val="Normal"/>
    <w:link w:val="PuestoCar"/>
    <w:uiPriority w:val="10"/>
    <w:qFormat/>
    <w:rsid w:val="000D1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D13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134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134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134C"/>
    <w:pPr>
      <w:spacing w:before="160"/>
      <w:jc w:val="center"/>
    </w:pPr>
    <w:rPr>
      <w:i/>
      <w:iCs/>
      <w:color w:val="404040" w:themeColor="text1" w:themeTint="BF"/>
    </w:rPr>
  </w:style>
  <w:style w:type="character" w:customStyle="1" w:styleId="CitaCar">
    <w:name w:val="Cita Car"/>
    <w:basedOn w:val="Fuentedeprrafopredeter"/>
    <w:link w:val="Cita"/>
    <w:uiPriority w:val="29"/>
    <w:rsid w:val="000D134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D134C"/>
    <w:pPr>
      <w:ind w:left="720"/>
      <w:contextualSpacing/>
    </w:pPr>
  </w:style>
  <w:style w:type="character" w:styleId="nfasisintenso">
    <w:name w:val="Intense Emphasis"/>
    <w:basedOn w:val="Fuentedeprrafopredeter"/>
    <w:uiPriority w:val="21"/>
    <w:qFormat/>
    <w:rsid w:val="000D134C"/>
    <w:rPr>
      <w:i/>
      <w:iCs/>
      <w:color w:val="2E74B5" w:themeColor="accent1" w:themeShade="BF"/>
    </w:rPr>
  </w:style>
  <w:style w:type="paragraph" w:styleId="Citadestacada">
    <w:name w:val="Intense Quote"/>
    <w:basedOn w:val="Normal"/>
    <w:next w:val="Normal"/>
    <w:link w:val="CitadestacadaCar"/>
    <w:uiPriority w:val="30"/>
    <w:qFormat/>
    <w:rsid w:val="000D13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0D134C"/>
    <w:rPr>
      <w:i/>
      <w:iCs/>
      <w:color w:val="2E74B5" w:themeColor="accent1" w:themeShade="BF"/>
    </w:rPr>
  </w:style>
  <w:style w:type="character" w:styleId="Referenciaintensa">
    <w:name w:val="Intense Reference"/>
    <w:basedOn w:val="Fuentedeprrafopredeter"/>
    <w:uiPriority w:val="32"/>
    <w:qFormat/>
    <w:rsid w:val="000D134C"/>
    <w:rPr>
      <w:b/>
      <w:bCs/>
      <w:smallCaps/>
      <w:color w:val="2E74B5" w:themeColor="accent1" w:themeShade="BF"/>
      <w:spacing w:val="5"/>
    </w:rPr>
  </w:style>
  <w:style w:type="paragraph" w:styleId="Encabezado">
    <w:name w:val="header"/>
    <w:basedOn w:val="Normal"/>
    <w:link w:val="Encabezado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D134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D134C"/>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D134C"/>
  </w:style>
  <w:style w:type="character" w:styleId="Hipervnculo">
    <w:name w:val="Hyperlink"/>
    <w:aliases w:val="Hipervínculo1,Hipervínculo11,Hipervínculo12,Hipervínculo13,Hipervínculo14,Hipervínculo15"/>
    <w:basedOn w:val="Fuentedeprrafopredeter"/>
    <w:uiPriority w:val="99"/>
    <w:unhideWhenUsed/>
    <w:rsid w:val="000D134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134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D134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D134C"/>
    <w:rPr>
      <w:rFonts w:ascii="Times New Roman" w:eastAsia="Times New Roman" w:hAnsi="Times New Roman" w:cs="Times New Roman"/>
      <w:sz w:val="20"/>
      <w:szCs w:val="20"/>
      <w:lang w:val="es-ES" w:eastAsia="es-ES"/>
    </w:rPr>
  </w:style>
  <w:style w:type="paragraph" w:customStyle="1" w:styleId="Citas">
    <w:name w:val="Citas"/>
    <w:basedOn w:val="Normal"/>
    <w:qFormat/>
    <w:rsid w:val="000D134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0D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D134C"/>
    <w:rPr>
      <w:color w:val="605E5C"/>
      <w:shd w:val="clear" w:color="auto" w:fill="E1DFDD"/>
    </w:rPr>
  </w:style>
  <w:style w:type="character" w:customStyle="1" w:styleId="Mencinsinresolver2">
    <w:name w:val="Mención sin resolver2"/>
    <w:basedOn w:val="Fuentedeprrafopredeter"/>
    <w:uiPriority w:val="99"/>
    <w:semiHidden/>
    <w:unhideWhenUsed/>
    <w:rsid w:val="00287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46271">
      <w:bodyDiv w:val="1"/>
      <w:marLeft w:val="0"/>
      <w:marRight w:val="0"/>
      <w:marTop w:val="0"/>
      <w:marBottom w:val="0"/>
      <w:divBdr>
        <w:top w:val="none" w:sz="0" w:space="0" w:color="auto"/>
        <w:left w:val="none" w:sz="0" w:space="0" w:color="auto"/>
        <w:bottom w:val="none" w:sz="0" w:space="0" w:color="auto"/>
        <w:right w:val="none" w:sz="0" w:space="0" w:color="auto"/>
      </w:divBdr>
    </w:div>
    <w:div w:id="1197305004">
      <w:bodyDiv w:val="1"/>
      <w:marLeft w:val="0"/>
      <w:marRight w:val="0"/>
      <w:marTop w:val="0"/>
      <w:marBottom w:val="0"/>
      <w:divBdr>
        <w:top w:val="none" w:sz="0" w:space="0" w:color="auto"/>
        <w:left w:val="none" w:sz="0" w:space="0" w:color="auto"/>
        <w:bottom w:val="none" w:sz="0" w:space="0" w:color="auto"/>
        <w:right w:val="none" w:sz="0" w:space="0" w:color="auto"/>
      </w:divBdr>
    </w:div>
    <w:div w:id="1242181776">
      <w:bodyDiv w:val="1"/>
      <w:marLeft w:val="0"/>
      <w:marRight w:val="0"/>
      <w:marTop w:val="0"/>
      <w:marBottom w:val="0"/>
      <w:divBdr>
        <w:top w:val="none" w:sz="0" w:space="0" w:color="auto"/>
        <w:left w:val="none" w:sz="0" w:space="0" w:color="auto"/>
        <w:bottom w:val="none" w:sz="0" w:space="0" w:color="auto"/>
        <w:right w:val="none" w:sz="0" w:space="0" w:color="auto"/>
      </w:divBdr>
    </w:div>
    <w:div w:id="1292975513">
      <w:bodyDiv w:val="1"/>
      <w:marLeft w:val="0"/>
      <w:marRight w:val="0"/>
      <w:marTop w:val="0"/>
      <w:marBottom w:val="0"/>
      <w:divBdr>
        <w:top w:val="none" w:sz="0" w:space="0" w:color="auto"/>
        <w:left w:val="none" w:sz="0" w:space="0" w:color="auto"/>
        <w:bottom w:val="none" w:sz="0" w:space="0" w:color="auto"/>
        <w:right w:val="none" w:sz="0" w:space="0" w:color="auto"/>
      </w:divBdr>
    </w:div>
    <w:div w:id="1741319092">
      <w:bodyDiv w:val="1"/>
      <w:marLeft w:val="0"/>
      <w:marRight w:val="0"/>
      <w:marTop w:val="0"/>
      <w:marBottom w:val="0"/>
      <w:divBdr>
        <w:top w:val="none" w:sz="0" w:space="0" w:color="auto"/>
        <w:left w:val="none" w:sz="0" w:space="0" w:color="auto"/>
        <w:bottom w:val="none" w:sz="0" w:space="0" w:color="auto"/>
        <w:right w:val="none" w:sz="0" w:space="0" w:color="auto"/>
      </w:divBdr>
    </w:div>
    <w:div w:id="1803381339">
      <w:bodyDiv w:val="1"/>
      <w:marLeft w:val="0"/>
      <w:marRight w:val="0"/>
      <w:marTop w:val="0"/>
      <w:marBottom w:val="0"/>
      <w:divBdr>
        <w:top w:val="none" w:sz="0" w:space="0" w:color="auto"/>
        <w:left w:val="none" w:sz="0" w:space="0" w:color="auto"/>
        <w:bottom w:val="none" w:sz="0" w:space="0" w:color="auto"/>
        <w:right w:val="none" w:sz="0" w:space="0" w:color="auto"/>
      </w:divBdr>
    </w:div>
    <w:div w:id="212757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1E944-189F-4FE5-B03D-06714CC9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3192</Words>
  <Characters>17561</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9</cp:revision>
  <cp:lastPrinted>2026-04-17T15:51:00Z</cp:lastPrinted>
  <dcterms:created xsi:type="dcterms:W3CDTF">2026-04-08T22:09:00Z</dcterms:created>
  <dcterms:modified xsi:type="dcterms:W3CDTF">2026-04-24T16:09:00Z</dcterms:modified>
</cp:coreProperties>
</file>