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CAA" w:rsidRDefault="00DA73C8">
      <w:pPr>
        <w:spacing w:line="360" w:lineRule="auto"/>
        <w:ind w:right="-876"/>
        <w:jc w:val="both"/>
        <w:rPr>
          <w:rFonts w:ascii="Palatino Linotype" w:eastAsia="Palatino Linotype" w:hAnsi="Palatino Linotype" w:cs="Palatino Linotype"/>
          <w:b/>
          <w:bCs/>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E00467">
        <w:rPr>
          <w:rFonts w:ascii="Palatino Linotype" w:eastAsia="Palatino Linotype" w:hAnsi="Palatino Linotype" w:cs="Palatino Linotype"/>
          <w:b/>
          <w:bCs/>
        </w:rPr>
        <w:t xml:space="preserve">fecha veinticinco </w:t>
      </w:r>
      <w:r w:rsidR="008C70AC">
        <w:rPr>
          <w:rFonts w:ascii="Palatino Linotype" w:eastAsia="Palatino Linotype" w:hAnsi="Palatino Linotype" w:cs="Palatino Linotype"/>
          <w:b/>
          <w:bCs/>
        </w:rPr>
        <w:t xml:space="preserve">(25) </w:t>
      </w:r>
      <w:r>
        <w:rPr>
          <w:rFonts w:ascii="Palatino Linotype" w:eastAsia="Palatino Linotype" w:hAnsi="Palatino Linotype" w:cs="Palatino Linotype"/>
          <w:b/>
          <w:bCs/>
        </w:rPr>
        <w:t>de junio de dos mil veintiséis.</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spacing w:line="360" w:lineRule="auto"/>
        <w:ind w:right="-876"/>
        <w:jc w:val="both"/>
        <w:rPr>
          <w:rFonts w:ascii="Palatino Linotype" w:eastAsia="Palatino Linotype" w:hAnsi="Palatino Linotype" w:cs="Palatino Linotype"/>
        </w:rPr>
      </w:pPr>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bCs/>
        </w:rPr>
        <w:t xml:space="preserve">00828/INFOEM/IP/RR/2026, </w:t>
      </w:r>
      <w:r>
        <w:rPr>
          <w:rFonts w:ascii="Palatino Linotype" w:eastAsia="Palatino Linotype" w:hAnsi="Palatino Linotype" w:cs="Palatino Linotype"/>
        </w:rPr>
        <w:t xml:space="preserve">promovido por </w:t>
      </w:r>
      <w:r w:rsidR="002526F4">
        <w:rPr>
          <w:rFonts w:ascii="Palatino Linotype" w:eastAsia="Palatino Linotype" w:hAnsi="Palatino Linotype" w:cs="Palatino Linotype"/>
          <w:b/>
          <w:bCs/>
        </w:rPr>
        <w:t>XXXX</w:t>
      </w:r>
      <w:r>
        <w:rPr>
          <w:rFonts w:ascii="Palatino Linotype" w:eastAsia="Palatino Linotype" w:hAnsi="Palatino Linotype" w:cs="Palatino Linotype"/>
          <w:b/>
          <w:bCs/>
        </w:rPr>
        <w:t>,</w:t>
      </w:r>
      <w:r>
        <w:rPr>
          <w:rFonts w:ascii="Palatino Linotype" w:eastAsia="Palatino Linotype" w:hAnsi="Palatino Linotype" w:cs="Palatino Linotype"/>
        </w:rPr>
        <w:t xml:space="preserve"> a quien en lo sucesivo se identificará como </w:t>
      </w:r>
      <w:r>
        <w:rPr>
          <w:rFonts w:ascii="Palatino Linotype" w:eastAsia="Palatino Linotype" w:hAnsi="Palatino Linotype" w:cs="Palatino Linotype"/>
          <w:b/>
          <w:bCs/>
        </w:rPr>
        <w:t>EL RECURRENTE</w:t>
      </w:r>
      <w:r w:rsidR="00E00467">
        <w:rPr>
          <w:rFonts w:ascii="Palatino Linotype" w:eastAsia="Palatino Linotype" w:hAnsi="Palatino Linotype" w:cs="Palatino Linotype"/>
        </w:rPr>
        <w:t>, en contra de la respuesta del</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Sistema Municipal Para el Desarrollo Integral de la Familia de Lerma, </w:t>
      </w:r>
      <w:r>
        <w:rPr>
          <w:rFonts w:ascii="Palatino Linotype" w:eastAsia="Palatino Linotype" w:hAnsi="Palatino Linotype" w:cs="Palatino Linotype"/>
        </w:rPr>
        <w:t>en adelante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xml:space="preserve">, por lo que se procede a dictar la presente resolución, con base en los siguientes: </w:t>
      </w:r>
    </w:p>
    <w:p w:rsidR="00230CAA" w:rsidRDefault="00230CAA">
      <w:pPr>
        <w:spacing w:line="360" w:lineRule="auto"/>
        <w:ind w:right="-876"/>
        <w:jc w:val="both"/>
        <w:rPr>
          <w:rFonts w:ascii="Palatino Linotype" w:eastAsia="Palatino Linotype" w:hAnsi="Palatino Linotype" w:cs="Palatino Linotype"/>
          <w:b/>
          <w:bCs/>
        </w:rPr>
      </w:pPr>
    </w:p>
    <w:p w:rsidR="00230CAA" w:rsidRDefault="00DA73C8">
      <w:pPr>
        <w:keepNext/>
        <w:keepLines/>
        <w:spacing w:line="360" w:lineRule="auto"/>
        <w:ind w:right="-876"/>
        <w:jc w:val="center"/>
        <w:rPr>
          <w:rFonts w:ascii="Palatino Linotype" w:eastAsia="Palatino Linotype" w:hAnsi="Palatino Linotype" w:cs="Palatino Linotype"/>
          <w:b/>
          <w:bCs/>
        </w:rPr>
      </w:pPr>
      <w:bookmarkStart w:id="0" w:name="_heading=h.gjdgxs" w:colFirst="0" w:colLast="0"/>
      <w:bookmarkEnd w:id="0"/>
      <w:r>
        <w:rPr>
          <w:rFonts w:ascii="Palatino Linotype" w:eastAsia="Palatino Linotype" w:hAnsi="Palatino Linotype" w:cs="Palatino Linotype"/>
          <w:b/>
          <w:bCs/>
        </w:rPr>
        <w:t>A N T E C E D E N T E S</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bookmarkStart w:id="1" w:name="_heading=h.diauz6eotkdo" w:colFirst="0" w:colLast="0"/>
      <w:bookmarkEnd w:id="1"/>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dieciocho de noviembre de dos mil veinticinco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a través de la Plataforma Nacional de Transparencia (PNT), vinculada al Sistema de Acceso a la Información Mexiquense (SAIMEX), presentó una solicitud de información registrada con el número </w:t>
      </w:r>
      <w:r>
        <w:rPr>
          <w:rFonts w:ascii="Palatino Linotype" w:eastAsia="Palatino Linotype" w:hAnsi="Palatino Linotype" w:cs="Palatino Linotype"/>
          <w:b/>
          <w:bCs/>
          <w:color w:val="000000"/>
        </w:rPr>
        <w:t xml:space="preserve">00025/DIFLERMA/IP/2025, </w:t>
      </w:r>
      <w:r>
        <w:rPr>
          <w:rFonts w:ascii="Palatino Linotype" w:eastAsia="Palatino Linotype" w:hAnsi="Palatino Linotype" w:cs="Palatino Linotype"/>
        </w:rPr>
        <w:t>en la que se</w:t>
      </w:r>
      <w:r>
        <w:rPr>
          <w:rFonts w:ascii="Palatino Linotype" w:eastAsia="Palatino Linotype" w:hAnsi="Palatino Linotype" w:cs="Palatino Linotype"/>
          <w:color w:val="000000"/>
        </w:rPr>
        <w:t xml:space="preserve"> solicitó lo siguiente:</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“Con fundamento en el derecho de Acceso a la Información Pública y la Ley de Transparencia del Estado de México, solicito la siguiente información sobre los servidores públicos que se mencionan a continuación, y que han laborado o laboran en el Sistema Municipal DIF de Lerma: 1. Información Específica por Servidor Público Para cada uno de los siguientes ciudadanos: SANCHEZ AVILA HUMBERTO LINARES ZARATE MARTIN ROJAS MARTINEZ DELFINA MARTINEZ RIOS MA DEL CARMEN RODRIGUEZ VELAZQUEZ MARIA GUADALUPE LINARES ZARATE MARTIN HERNANDEZ DOMINGUEZ ANA </w:t>
      </w:r>
      <w:r>
        <w:rPr>
          <w:rFonts w:ascii="Palatino Linotype" w:eastAsia="Palatino Linotype" w:hAnsi="Palatino Linotype" w:cs="Palatino Linotype"/>
          <w:i/>
          <w:iCs/>
          <w:color w:val="000000"/>
        </w:rPr>
        <w:lastRenderedPageBreak/>
        <w:t xml:space="preserve">CAROLINA PALAFOX RODRIGUEZ LUCERO MARTINEZ GAMA JESUS EDGAR NERI VILLAVICENCIO YANELY PEREZ ALVA RAUL RIVERA HERNANDEZ RAQUEL VARA TORREZ ERICK GORDILLO ORDOÑEZ LAURA ANDREA OSCAR MANUEL HERNANDEZ CRUZ GARCIA ORTEGA SILVIA RIVERA HERNANDEZ RAQUEL MOTE MARTINEZ MARISOL Favor de proporcionar: a. Puesto o cargo que desempeñó o desempeña. b. Fecha de inicio de la relación laboral c. Estatus laboral actual (especificar si aún sigue laborando en la institución a la fecha de la respuesta). d. Fecha de término de la relación laboral e. Causa o motivo específico de la separación o baja (e.g., renuncia voluntaria, término de contrato, rescisión de contrato, etc.). f. Si la causa de la separación fue una renuncia voluntaria, solicito copia de la carta de renuncia o documento análogo, en versión pública (protegiendo los datos personales sensibles no indispensables, pero manteniendo visible el motivo de la renuncia, la fecha y la firma). Agradezco de antemano su atención a la presente.” (Sic) </w:t>
      </w:r>
    </w:p>
    <w:p w:rsidR="00230CAA" w:rsidRDefault="00230CAA">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señaló como modalidad de entrega a través de correo electrónico.</w:t>
      </w:r>
    </w:p>
    <w:p w:rsidR="00230CAA" w:rsidRDefault="00230CAA">
      <w:pPr>
        <w:pBdr>
          <w:top w:val="nil"/>
          <w:left w:val="nil"/>
          <w:bottom w:val="nil"/>
          <w:right w:val="nil"/>
          <w:between w:val="nil"/>
        </w:pBdr>
        <w:ind w:left="720"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nueve de diciembre de dos mil veinticinco</w:t>
      </w:r>
      <w:r>
        <w:rPr>
          <w:rFonts w:ascii="Palatino Linotype" w:eastAsia="Palatino Linotype" w:hAnsi="Palatino Linotype" w:cs="Palatino Linotype"/>
          <w:color w:val="000000"/>
        </w:rPr>
        <w:t>, el Sujeto Obligado dio respuesta a la solicitud de información en los siguientes términos:</w:t>
      </w:r>
    </w:p>
    <w:tbl>
      <w:tblPr>
        <w:tblStyle w:val="a"/>
        <w:tblW w:w="8364" w:type="dxa"/>
        <w:jc w:val="center"/>
        <w:tblInd w:w="0" w:type="dxa"/>
        <w:tblLayout w:type="fixed"/>
        <w:tblLook w:val="0400" w:firstRow="0" w:lastRow="0" w:firstColumn="0" w:lastColumn="0" w:noHBand="0" w:noVBand="1"/>
      </w:tblPr>
      <w:tblGrid>
        <w:gridCol w:w="8364"/>
      </w:tblGrid>
      <w:tr w:rsidR="00230CAA" w:rsidTr="008C70AC">
        <w:trPr>
          <w:trHeight w:val="302"/>
          <w:jc w:val="center"/>
        </w:trPr>
        <w:tc>
          <w:tcPr>
            <w:tcW w:w="8364" w:type="dxa"/>
            <w:vAlign w:val="center"/>
          </w:tcPr>
          <w:p w:rsidR="00230CAA" w:rsidRDefault="00DA73C8" w:rsidP="008C70AC">
            <w:pPr>
              <w:ind w:right="992"/>
              <w:jc w:val="right"/>
              <w:rPr>
                <w:rFonts w:ascii="Palatino Linotype" w:eastAsia="Palatino Linotype" w:hAnsi="Palatino Linotype" w:cs="Palatino Linotype"/>
                <w:i/>
                <w:iCs/>
              </w:rPr>
            </w:pPr>
            <w:r>
              <w:rPr>
                <w:rFonts w:ascii="Palatino Linotype" w:eastAsia="Palatino Linotype" w:hAnsi="Palatino Linotype" w:cs="Palatino Linotype"/>
                <w:i/>
                <w:iCs/>
              </w:rPr>
              <w:br/>
              <w:t>“l Para el Desarrollo Integral de la Familia de Lerma, México a 09 de Diciembre de 2025</w:t>
            </w:r>
          </w:p>
        </w:tc>
      </w:tr>
      <w:tr w:rsidR="00230CAA" w:rsidTr="008C70AC">
        <w:trPr>
          <w:trHeight w:val="302"/>
          <w:jc w:val="center"/>
        </w:trPr>
        <w:tc>
          <w:tcPr>
            <w:tcW w:w="8364" w:type="dxa"/>
            <w:vAlign w:val="center"/>
          </w:tcPr>
          <w:p w:rsidR="00230CAA" w:rsidRDefault="00DA73C8" w:rsidP="008C70AC">
            <w:pPr>
              <w:ind w:right="992"/>
              <w:jc w:val="right"/>
              <w:rPr>
                <w:rFonts w:ascii="Palatino Linotype" w:eastAsia="Palatino Linotype" w:hAnsi="Palatino Linotype" w:cs="Palatino Linotype"/>
                <w:i/>
                <w:iCs/>
              </w:rPr>
            </w:pPr>
            <w:r>
              <w:rPr>
                <w:rFonts w:ascii="Palatino Linotype" w:eastAsia="Palatino Linotype" w:hAnsi="Palatino Linotype" w:cs="Palatino Linotype"/>
                <w:i/>
                <w:iCs/>
              </w:rPr>
              <w:t>Nombre del solicitante:</w:t>
            </w:r>
          </w:p>
        </w:tc>
      </w:tr>
      <w:tr w:rsidR="00230CAA" w:rsidTr="008C70AC">
        <w:trPr>
          <w:trHeight w:val="302"/>
          <w:jc w:val="center"/>
        </w:trPr>
        <w:tc>
          <w:tcPr>
            <w:tcW w:w="8364" w:type="dxa"/>
            <w:vAlign w:val="center"/>
          </w:tcPr>
          <w:p w:rsidR="00230CAA" w:rsidRDefault="00DA73C8" w:rsidP="008C70AC">
            <w:pPr>
              <w:ind w:right="992"/>
              <w:jc w:val="right"/>
              <w:rPr>
                <w:rFonts w:ascii="Palatino Linotype" w:eastAsia="Palatino Linotype" w:hAnsi="Palatino Linotype" w:cs="Palatino Linotype"/>
                <w:i/>
                <w:iCs/>
              </w:rPr>
            </w:pPr>
            <w:r>
              <w:rPr>
                <w:rFonts w:ascii="Palatino Linotype" w:eastAsia="Palatino Linotype" w:hAnsi="Palatino Linotype" w:cs="Palatino Linotype"/>
                <w:i/>
                <w:iCs/>
              </w:rPr>
              <w:t>Folio de la solicitud: 00025/DIFLERMA/IP/2025</w:t>
            </w:r>
          </w:p>
        </w:tc>
      </w:tr>
      <w:tr w:rsidR="00230CAA" w:rsidTr="008C70AC">
        <w:trPr>
          <w:trHeight w:val="454"/>
          <w:jc w:val="center"/>
        </w:trPr>
        <w:tc>
          <w:tcPr>
            <w:tcW w:w="8364" w:type="dxa"/>
            <w:vAlign w:val="center"/>
          </w:tcPr>
          <w:p w:rsidR="00230CAA" w:rsidRDefault="00230CAA" w:rsidP="008C70AC">
            <w:pPr>
              <w:ind w:right="992"/>
              <w:jc w:val="right"/>
              <w:rPr>
                <w:rFonts w:ascii="Palatino Linotype" w:eastAsia="Palatino Linotype" w:hAnsi="Palatino Linotype" w:cs="Palatino Linotype"/>
                <w:i/>
                <w:iCs/>
              </w:rPr>
            </w:pPr>
          </w:p>
        </w:tc>
      </w:tr>
      <w:tr w:rsidR="00230CAA" w:rsidTr="008C70AC">
        <w:trPr>
          <w:trHeight w:val="151"/>
          <w:jc w:val="center"/>
        </w:trPr>
        <w:tc>
          <w:tcPr>
            <w:tcW w:w="8364" w:type="dxa"/>
            <w:vAlign w:val="center"/>
          </w:tcPr>
          <w:p w:rsidR="00230CAA" w:rsidRDefault="00DA73C8" w:rsidP="008C70AC">
            <w:pPr>
              <w:ind w:right="992"/>
              <w:jc w:val="both"/>
              <w:rPr>
                <w:rFonts w:ascii="Palatino Linotype" w:eastAsia="Palatino Linotype" w:hAnsi="Palatino Linotype" w:cs="Palatino Linotype"/>
                <w:i/>
                <w:iCs/>
              </w:rPr>
            </w:pPr>
            <w:r>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30CAA" w:rsidTr="008C70AC">
        <w:trPr>
          <w:trHeight w:val="378"/>
          <w:jc w:val="center"/>
        </w:trPr>
        <w:tc>
          <w:tcPr>
            <w:tcW w:w="8364" w:type="dxa"/>
            <w:vAlign w:val="center"/>
          </w:tcPr>
          <w:p w:rsidR="00230CAA" w:rsidRDefault="00230CAA" w:rsidP="008C70AC">
            <w:pPr>
              <w:ind w:right="992"/>
              <w:jc w:val="both"/>
              <w:rPr>
                <w:rFonts w:ascii="Palatino Linotype" w:eastAsia="Palatino Linotype" w:hAnsi="Palatino Linotype" w:cs="Palatino Linotype"/>
                <w:i/>
                <w:iCs/>
              </w:rPr>
            </w:pPr>
          </w:p>
        </w:tc>
      </w:tr>
      <w:tr w:rsidR="00230CAA" w:rsidTr="008C70AC">
        <w:trPr>
          <w:trHeight w:val="151"/>
          <w:jc w:val="center"/>
        </w:trPr>
        <w:tc>
          <w:tcPr>
            <w:tcW w:w="8364" w:type="dxa"/>
            <w:vAlign w:val="center"/>
          </w:tcPr>
          <w:p w:rsidR="00230CAA" w:rsidRDefault="00DA73C8" w:rsidP="002526F4">
            <w:pPr>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SOLICITANTE P R E S E N T E. En atención a su solicitud de información pública presentada en fecha dieciocho de noviembre del año en curso, a través de la Plataforma Nacional de Transparencia con el número de folio 00025/DIFLERMA/IP/2025, en la cual requiere lo siguiente: DESCRIPCIÓN CLARA Y PRECISA DE LA INFORMACIÓN SOLICITADA: Con fundamento en el derecho de Acceso a la Información Pública y la Ley de Transparencia del Estado de México, solicito la siguiente información sobre los servidores públicos que se mencionan a continuación, y que han laborado o laboran en el Sistema Municipal DIF de Lerma: 1. Información Específica por Servidor Público Para cada uno de los siguientes ciudadanos: SANCHEZ AVILA HUMBERTO LINARES ZARATE MARTIN ROJAS MARTINEZ DELFINA MARTINEZ RIOS MA DEL CARMEN RODRIGUEZ VELAZQUEZ MARIA GUADALUPE LINARES ZARATE MARTIN HERNANDEZ DOMINGUEZ ANA CAROLINA PALAFOX RODRIGUEZ LUCERO MARTINEZ GAMA JESUS EDGAR NERI VILLAVICENCIO YANELY PEREZ ALVA RAUL RIVERA HERNANDEZ RAQUEL VARA TORREZ ERICK GORDILLO ORDOÑEZ LAURA ANDREA OSCAR MANUEL HERNANDEZ CRUZ GARCIA ORTEGA SILVIA RIVERA HERNANDEZ RAQUEL MOTE MARTINEZ MARISOL Favor de proporcionar: a. Puesto o cargo que desempeñó o desempeña. b. Fecha de inicio de la relación laboral c. Estatus laboral actual (especificar si aún sigue laborando en la institución a la fecha de la respuesta). d. Fecha de término de la relación laboral e. Causa o motivo específico de la separación o baja (e.g., renuncia voluntaria, término de contrato, rescisión de contrato, etc.). f. Si la causa de la separación fue una renuncia voluntaria, solicito copia de la carta de renuncia o documento análogo, en versión pública (protegiendo los datos personales sensibles no indispensables, pero manteniendo visible el motivo de la renuncia, la fecha y la firma)..(sic) Al respecto y con fundamento en lo dispuesto por los artículos 6, 16, 122, apartado A, fracciones III y V, de la Constitución Política de los Estados Unidos Mexicanos, 3 fracción XXXIX, 12 párrafo segundo, 59 fracciones I, II y III, 19 párrafo primero, 23 fracción IV, 53 fracciones II, V, VI, 59 fracciones I, II, III, 162 y 163 de la Ley de Transparencia y Acceso a la Información Pública del Estado de México y Municipios, me permito notificarle que se efectuó una búsqueda exhaustiva y razonable de la información solicitada en los archivos que obran en poder de la Jefatura de Recursos Humanos del SMDIF Lerma, respecto de la información solicitada. Con relación a su petición se le precisa lo siguiente: NOMBRE DEL SERVIDOR PÚBLICO PUESTO FECHA DE ALTA MOTIVO DE ALTA ROJAS MARTINEZ DELFINA COCINERA 01/03/2024 NUEVO INGRESO MARTINEZ RIOS MA. DEL </w:t>
            </w:r>
            <w:r>
              <w:rPr>
                <w:rFonts w:ascii="Palatino Linotype" w:eastAsia="Palatino Linotype" w:hAnsi="Palatino Linotype" w:cs="Palatino Linotype"/>
                <w:i/>
                <w:iCs/>
              </w:rPr>
              <w:lastRenderedPageBreak/>
              <w:t xml:space="preserve">CARMEN COCINERA 01/08/2024 NUEVO INGRESO RODRIGUEZ VELAZQUEZ MARIA GUADALUPE INTENDENTE 01/03/2023 NUEVO INGRESO HERNANDEZ DOMINGUEZ ANA CAROLINA PROMOTORA DE ALIMENTACION 16/01/2024 NUEVO INGRESO RIVERA HERNANDEZ RAQUEL INTENDENTE 16/04/2022 NUEVO INGRESO GORDILLO ORDOÑEZ LAURA ANDREA ODONTOLOGA 01/02/2022 NUEVO INGRESO HERNANDEZ CRUZ OSCAR MANUEL ENCARGADO DE ESTILISMO 01/07/2024 NUEVO INGRESO MOTE MARTINEZ MARISOL PRESIDENTA HONORARIA 01/01/2025 Propuesta por el Titular del Poder Ejecutivo Municipal y ratificada por el Cabildo Municipal. En ese sentido, se le informa al solicitante que, en atención a los procedimientos establecidos en la legislación vigente, se utilizaron criterios de búsqueda exhaustivos y razonables, determinándose elementos de modo, tiempo y lugar para darle certeza de que se agotaron todos los procesos de identificación de la información indicada en la solicitud. Por lo anterior, hago de su conocimiento que la búsqueda de la información solicitada, se efectúo en los archivos de la Jefatura de Recursos Humanos del SMDIF de Lerma, teniéndose que la información sujeta a la entrega es CONFIDENCIAL, por lo que se efectúo el procedimiento ante el Comité de Transparencia de la CLASIFICACIÓN COMO INFORMACIÓN CONFIDENCIAL, por medio de la Octava Sesión Extraordinaria 2025 del Comité de Transparencia de este Sujeto Obligado. En lo que respecta a la información indicada con relación a las personas que han sido bajas en este SMDIF de Lerma y en atención a la naturaleza de la información solicitada, así como de las copias de las renuncias, con fundamento en los artículos 19 párrafo tercero, 49 fracción II y XIII, 169 fracción II y 170 de la Ley de Transparencia y Acceso a la Información Pública del Estado de México y Municipios, el Comité de Transparencia del SMDIF de Lerma, a través del Acuerdo de número CT/SMDIFLERMA/ACTA/EXT/008/2025, efectúo la CLASIFICACIÓN COMO INFORMACIÓN CONFIDENCIAL. Precisando que se determinó la CONFIDENCIALIDAD de la información relacionada a la Solicitud con número de folio 00025/DIFLERMA/IP/2025, respecto de las personas que han sido baja en este SMDIF de Lerma y en atención a la naturaleza de la información solicitada, así como de las copias de las renuncias. . (SE ANEXA RESOLUTIVO CORRESPONDIENTE) Lo anterior, de conformidad con lo establecido en los artículos 12 y 24 de la Ley de Transparencia y Acceso a la Información Pública del Estado de México y Municipios, mismos que a la letra dicen: Artículo 12. Quienes generen, recopilen, administren, manejen, procesen, archiven o conserven información pública serán responsables de la misma en los términos de las disposiciones jurídicas aplicables. Los sujetos obligados </w:t>
            </w:r>
            <w:r>
              <w:rPr>
                <w:rFonts w:ascii="Palatino Linotype" w:eastAsia="Palatino Linotype" w:hAnsi="Palatino Linotype" w:cs="Palatino Linotype"/>
                <w:i/>
                <w:iCs/>
              </w:rPr>
              <w:lastRenderedPageBreak/>
              <w:t>sólo proporcionarán la información pública que se les requiere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…Los sujetos obligados solo proporcionarán la información pública que generen, administren o posean en el ejercicio de sus atribuciones.” Aunado a ello, el Pleno del Instituto de Transparencia y Acceso a la Información Pública del Estado de México y Municipios, aprobó el Criterio de Interpretación en el Orden Administrativo número 0002-11, el cual se describe a continuación: “CRITERIO 0002-11 INFORMACIÓN PÚBLICA, CONCEPTO DE, EN MATERIA DE TRANSPARENCIA, INTERPRETACIÓN 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dé información registrada en cualquier soporte documental, que, en ejercicio de las atribuciones conferidas, se encuentre en posesión de los Sujetos Obligados”. Sin otro particular, reciba un cordial saludo.</w:t>
            </w:r>
          </w:p>
        </w:tc>
      </w:tr>
      <w:tr w:rsidR="00230CAA" w:rsidTr="008C70AC">
        <w:trPr>
          <w:trHeight w:val="378"/>
          <w:jc w:val="center"/>
        </w:trPr>
        <w:tc>
          <w:tcPr>
            <w:tcW w:w="8364" w:type="dxa"/>
            <w:vAlign w:val="center"/>
          </w:tcPr>
          <w:p w:rsidR="00230CAA" w:rsidRDefault="00230CAA" w:rsidP="008C70AC">
            <w:pPr>
              <w:ind w:right="992"/>
              <w:jc w:val="both"/>
              <w:rPr>
                <w:rFonts w:ascii="Palatino Linotype" w:eastAsia="Palatino Linotype" w:hAnsi="Palatino Linotype" w:cs="Palatino Linotype"/>
                <w:i/>
                <w:iCs/>
              </w:rPr>
            </w:pPr>
          </w:p>
        </w:tc>
      </w:tr>
      <w:tr w:rsidR="00230CAA" w:rsidTr="008C70AC">
        <w:trPr>
          <w:trHeight w:val="151"/>
          <w:jc w:val="center"/>
        </w:trPr>
        <w:tc>
          <w:tcPr>
            <w:tcW w:w="8364" w:type="dxa"/>
            <w:vAlign w:val="center"/>
          </w:tcPr>
          <w:p w:rsidR="00230CAA" w:rsidRDefault="00230CAA" w:rsidP="008C70AC">
            <w:pPr>
              <w:ind w:right="992"/>
              <w:jc w:val="center"/>
              <w:rPr>
                <w:rFonts w:ascii="Palatino Linotype" w:eastAsia="Palatino Linotype" w:hAnsi="Palatino Linotype" w:cs="Palatino Linotype"/>
                <w:i/>
                <w:iCs/>
              </w:rPr>
            </w:pPr>
          </w:p>
        </w:tc>
      </w:tr>
      <w:tr w:rsidR="00230CAA" w:rsidTr="008C70AC">
        <w:trPr>
          <w:trHeight w:val="151"/>
          <w:jc w:val="center"/>
        </w:trPr>
        <w:tc>
          <w:tcPr>
            <w:tcW w:w="8364" w:type="dxa"/>
            <w:vAlign w:val="center"/>
          </w:tcPr>
          <w:p w:rsidR="00230CAA" w:rsidRDefault="00230CAA" w:rsidP="008C70AC">
            <w:pPr>
              <w:ind w:right="992"/>
              <w:rPr>
                <w:rFonts w:ascii="Palatino Linotype" w:eastAsia="Palatino Linotype" w:hAnsi="Palatino Linotype" w:cs="Palatino Linotype"/>
                <w:i/>
                <w:iCs/>
              </w:rPr>
            </w:pPr>
          </w:p>
        </w:tc>
      </w:tr>
      <w:tr w:rsidR="00230CAA" w:rsidTr="008C70AC">
        <w:trPr>
          <w:trHeight w:val="151"/>
          <w:jc w:val="center"/>
        </w:trPr>
        <w:tc>
          <w:tcPr>
            <w:tcW w:w="8364" w:type="dxa"/>
            <w:vAlign w:val="center"/>
          </w:tcPr>
          <w:p w:rsidR="00230CAA" w:rsidRDefault="00DA73C8" w:rsidP="008C70AC">
            <w:pPr>
              <w:ind w:right="992"/>
              <w:rPr>
                <w:rFonts w:ascii="Palatino Linotype" w:eastAsia="Palatino Linotype" w:hAnsi="Palatino Linotype" w:cs="Palatino Linotype"/>
                <w:i/>
                <w:iCs/>
              </w:rPr>
            </w:pPr>
            <w:r>
              <w:rPr>
                <w:rFonts w:ascii="Palatino Linotype" w:eastAsia="Palatino Linotype" w:hAnsi="Palatino Linotype" w:cs="Palatino Linotype"/>
                <w:i/>
                <w:iCs/>
              </w:rPr>
              <w:t>ATENTAMENTE</w:t>
            </w:r>
          </w:p>
        </w:tc>
      </w:tr>
      <w:tr w:rsidR="00230CAA" w:rsidTr="008C70AC">
        <w:trPr>
          <w:trHeight w:val="227"/>
          <w:jc w:val="center"/>
        </w:trPr>
        <w:tc>
          <w:tcPr>
            <w:tcW w:w="8364" w:type="dxa"/>
            <w:vAlign w:val="center"/>
          </w:tcPr>
          <w:p w:rsidR="00230CAA" w:rsidRDefault="00230CAA" w:rsidP="008C70AC">
            <w:pPr>
              <w:ind w:right="992"/>
              <w:rPr>
                <w:rFonts w:ascii="Palatino Linotype" w:eastAsia="Palatino Linotype" w:hAnsi="Palatino Linotype" w:cs="Palatino Linotype"/>
                <w:i/>
                <w:iCs/>
              </w:rPr>
            </w:pPr>
          </w:p>
        </w:tc>
      </w:tr>
      <w:tr w:rsidR="00230CAA" w:rsidTr="008C70AC">
        <w:trPr>
          <w:trHeight w:val="151"/>
          <w:jc w:val="center"/>
        </w:trPr>
        <w:tc>
          <w:tcPr>
            <w:tcW w:w="8364" w:type="dxa"/>
            <w:vAlign w:val="center"/>
          </w:tcPr>
          <w:p w:rsidR="00230CAA" w:rsidRDefault="00DA73C8" w:rsidP="008C70AC">
            <w:pPr>
              <w:ind w:right="992"/>
              <w:rPr>
                <w:rFonts w:ascii="Palatino Linotype" w:eastAsia="Palatino Linotype" w:hAnsi="Palatino Linotype" w:cs="Palatino Linotype"/>
                <w:i/>
                <w:iCs/>
              </w:rPr>
            </w:pPr>
            <w:r>
              <w:rPr>
                <w:rFonts w:ascii="Palatino Linotype" w:eastAsia="Palatino Linotype" w:hAnsi="Palatino Linotype" w:cs="Palatino Linotype"/>
                <w:i/>
                <w:iCs/>
              </w:rPr>
              <w:t>LIC. JOSE CARLOS GODINEZ SEVILLA”</w:t>
            </w:r>
          </w:p>
        </w:tc>
      </w:tr>
    </w:tbl>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0"/>
          <w:numId w:val="4"/>
        </w:numPr>
        <w:pBdr>
          <w:top w:val="nil"/>
          <w:left w:val="nil"/>
          <w:bottom w:val="nil"/>
          <w:right w:val="nil"/>
          <w:between w:val="nil"/>
        </w:pBdr>
        <w:spacing w:line="360" w:lineRule="auto"/>
        <w:ind w:right="-876"/>
        <w:jc w:val="both"/>
        <w:rPr>
          <w:rFonts w:ascii="Palatino Linotype" w:eastAsia="Palatino Linotype" w:hAnsi="Palatino Linotype" w:cs="Palatino Linotype"/>
        </w:rPr>
      </w:pPr>
      <w:r>
        <w:rPr>
          <w:rFonts w:ascii="Palatino Linotype" w:eastAsia="Palatino Linotype" w:hAnsi="Palatino Linotype" w:cs="Palatino Linotype"/>
          <w:color w:val="000000"/>
        </w:rPr>
        <w:t>A la respuesta, el Sujeto Obligado adjuntó los archivos que se describen enseguida:</w:t>
      </w:r>
    </w:p>
    <w:p w:rsidR="00230CAA" w:rsidRDefault="004E7E17">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hyperlink r:id="rId8">
        <w:r w:rsidR="00DA73C8">
          <w:rPr>
            <w:rFonts w:ascii="Palatino Linotype" w:eastAsia="Palatino Linotype" w:hAnsi="Palatino Linotype" w:cs="Palatino Linotype"/>
            <w:b/>
            <w:bCs/>
            <w:color w:val="000000"/>
            <w:u w:val="single"/>
          </w:rPr>
          <w:t>DIF LERMA (7).pdf</w:t>
        </w:r>
      </w:hyperlink>
      <w:r w:rsidR="00DA73C8">
        <w:rPr>
          <w:rFonts w:ascii="Palatino Linotype" w:eastAsia="Palatino Linotype" w:hAnsi="Palatino Linotype" w:cs="Palatino Linotype"/>
          <w:color w:val="000000"/>
        </w:rPr>
        <w:t xml:space="preserve">: oficio número DIFRH/0156/25 de fecha veinticuatro de noviembre de dos mil veinticinco, suscrito por el área de Recursos Humanos, quien señaló el nombre, puesto, fecha de alta y motivo de alta de ocho servidores públicos, asimismo, señaló que los nombres de la personas que han causado baja ya no ostentan la figura de personas servidoras públicas por lo que sus datos personales deben de tratarse como información confidencial. </w:t>
      </w:r>
    </w:p>
    <w:p w:rsidR="00230CAA" w:rsidRDefault="004E7E17">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hyperlink r:id="rId9">
        <w:r w:rsidR="00DA73C8">
          <w:rPr>
            <w:rFonts w:ascii="Palatino Linotype" w:eastAsia="Palatino Linotype" w:hAnsi="Palatino Linotype" w:cs="Palatino Linotype"/>
            <w:b/>
            <w:bCs/>
            <w:color w:val="000000"/>
            <w:u w:val="single"/>
          </w:rPr>
          <w:t>DIF LERMA (8).pdf</w:t>
        </w:r>
      </w:hyperlink>
      <w:r w:rsidR="00DA73C8">
        <w:rPr>
          <w:rFonts w:ascii="Palatino Linotype" w:eastAsia="Palatino Linotype" w:hAnsi="Palatino Linotype" w:cs="Palatino Linotype"/>
          <w:color w:val="000000"/>
        </w:rPr>
        <w:t xml:space="preserve">: acta de la octava sesión extraordinaria del Comité de Transparencia en la que se clasificó como información confidencial la información del personal que ha sido baja, así como las renuncias. </w:t>
      </w:r>
    </w:p>
    <w:p w:rsidR="00230CAA" w:rsidRDefault="004E7E17">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hyperlink r:id="rId10">
        <w:r w:rsidR="00DA73C8">
          <w:rPr>
            <w:rFonts w:ascii="Palatino Linotype" w:eastAsia="Palatino Linotype" w:hAnsi="Palatino Linotype" w:cs="Palatino Linotype"/>
            <w:b/>
            <w:bCs/>
            <w:color w:val="000000"/>
            <w:u w:val="single"/>
          </w:rPr>
          <w:t>DIF LERMA (9).pdf</w:t>
        </w:r>
      </w:hyperlink>
      <w:r w:rsidR="00DA73C8">
        <w:rPr>
          <w:rFonts w:ascii="Palatino Linotype" w:eastAsia="Palatino Linotype" w:hAnsi="Palatino Linotype" w:cs="Palatino Linotype"/>
          <w:color w:val="000000"/>
        </w:rPr>
        <w:t xml:space="preserve">: oficio número DIFTR/RSI/025/2025 de fecha nueve de diciembre de dos mil veintiséis, suscrito por el Titular de la Unidad de Transparencia en el que señaló que la respuesta de Recursos Humanos.  </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diecinueve de enero de dos mil veintiséis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interpuso el recurso de revisión, en contra de la respuesta, señalando como:</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1"/>
        </w:numPr>
        <w:spacing w:line="360" w:lineRule="auto"/>
        <w:ind w:left="851" w:right="-876" w:firstLine="0"/>
        <w:jc w:val="both"/>
        <w:rPr>
          <w:rFonts w:ascii="Palatino Linotype" w:eastAsia="Palatino Linotype" w:hAnsi="Palatino Linotype" w:cs="Palatino Linotype"/>
        </w:rPr>
      </w:pPr>
      <w:r>
        <w:rPr>
          <w:rFonts w:ascii="Palatino Linotype" w:eastAsia="Palatino Linotype" w:hAnsi="Palatino Linotype" w:cs="Palatino Linotype"/>
          <w:b/>
          <w:bCs/>
        </w:rPr>
        <w:t>Acto impugnado</w:t>
      </w:r>
      <w:r>
        <w:rPr>
          <w:rFonts w:ascii="Palatino Linotype" w:eastAsia="Palatino Linotype" w:hAnsi="Palatino Linotype" w:cs="Palatino Linotype"/>
          <w:b/>
          <w:bCs/>
          <w:i/>
          <w:iCs/>
        </w:rPr>
        <w:t>:</w:t>
      </w:r>
      <w:r>
        <w:rPr>
          <w:rFonts w:ascii="Palatino Linotype" w:eastAsia="Palatino Linotype" w:hAnsi="Palatino Linotype" w:cs="Palatino Linotype"/>
          <w:i/>
          <w:iCs/>
          <w:color w:val="000000"/>
        </w:rPr>
        <w:t xml:space="preserve"> “"Se impugna la indebida clasificación como confidencial de la fecha de término y el motivo de separación de ex-servidores públicos, así como la negativa a elaborar y entregar las versiones públicas de las cartas de renuncia solicitadas, vulnerando el principio de máxima publicidad y el derecho de acceso a la información pública." (Sic)</w:t>
      </w:r>
    </w:p>
    <w:p w:rsidR="00230CAA" w:rsidRDefault="00230CAA">
      <w:pPr>
        <w:spacing w:line="360" w:lineRule="auto"/>
        <w:ind w:left="851" w:right="-876"/>
        <w:jc w:val="both"/>
        <w:rPr>
          <w:rFonts w:ascii="Palatino Linotype" w:eastAsia="Palatino Linotype" w:hAnsi="Palatino Linotype" w:cs="Palatino Linotype"/>
        </w:rPr>
      </w:pPr>
    </w:p>
    <w:p w:rsidR="00230CAA" w:rsidRDefault="00DA73C8">
      <w:pPr>
        <w:numPr>
          <w:ilvl w:val="0"/>
          <w:numId w:val="1"/>
        </w:numPr>
        <w:spacing w:line="360" w:lineRule="auto"/>
        <w:ind w:left="851" w:right="-876" w:firstLine="0"/>
        <w:jc w:val="both"/>
        <w:rPr>
          <w:rFonts w:ascii="Palatino Linotype" w:eastAsia="Palatino Linotype" w:hAnsi="Palatino Linotype" w:cs="Palatino Linotype"/>
        </w:rPr>
      </w:pPr>
      <w:r>
        <w:rPr>
          <w:rFonts w:ascii="Palatino Linotype" w:eastAsia="Palatino Linotype" w:hAnsi="Palatino Linotype" w:cs="Palatino Linotype"/>
          <w:b/>
          <w:bCs/>
        </w:rPr>
        <w:t xml:space="preserve">Razones o Motivos de inconformidad: </w:t>
      </w:r>
      <w:r>
        <w:rPr>
          <w:rFonts w:ascii="Palatino Linotype" w:eastAsia="Palatino Linotype" w:hAnsi="Palatino Linotype" w:cs="Palatino Linotype"/>
          <w:i/>
          <w:iCs/>
        </w:rPr>
        <w:t xml:space="preserve">"C. COMISIONADOS Y COMISIONADAS DEL INSTITUTO DE TRANSPARENCIA, ACCESO A LA INFORMACIÓN PÚBLICA Y PROTECCIÓN DE DATOS PERSONALES DEL ESTADO </w:t>
      </w:r>
      <w:r>
        <w:rPr>
          <w:rFonts w:ascii="Palatino Linotype" w:eastAsia="Palatino Linotype" w:hAnsi="Palatino Linotype" w:cs="Palatino Linotype"/>
          <w:i/>
          <w:iCs/>
        </w:rPr>
        <w:lastRenderedPageBreak/>
        <w:t xml:space="preserve">DE MÉXICO Y MUNICIPIOS (INFOEM) PRESENTE. RECURRENTE: XXX SUJETO OBLIGADO: Sistema Municipal DIF de Lerma FOLIO DE SOLICITUD: 00025/DIFLERMA/IP/2025 Por medio del presente, interpongo el RECURSO DE REVISIÓN en contra de la respuesta del DIF Lerma notificada mediante el oficio DIFTR/RSI/028/2025, con base en los siguientes agravios: AGRAVIO PRIMERO: Indebida Clasificación por Errónea Interpretación del Estatus de "Ex Servidor Público" El Sujeto Obligado niega la fecha de término y la causa de la baja alegando que dichas personas ya no son servidores públicos y que su información es confidencial. Este argumento carece de sustento legal por lo siguiente: La naturaleza de la información es pública por origen: El registro de entrada y salida de personal en la administración pública es un acto administrativo que documenta el ejercicio de la función pública. El hecho de que una relación laboral termine no borra el carácter público de los registros que se generaron mientras el individuo recibía un sueldo del erario. Interés Público sobre Privacidad: Conocer si un servidor público renunció o fue despedido es vital para la fiscalización. Permite a la ciudadanía verificar si existen despidos injustificados que generen laudos (deudas) al municipio o si hubo rotación inusual de personal. El Principio de Máxima Publicidad (Art. 4 de la LTAIPEMM) ordena que, ante la duda, siempre debe prevalecer la apertura de la información. AGRAVIO SEGUNDO: Incumplimiento del Deber de Elaborar Versiones Públicas En el punto 1.f, solicité la Versión Pública de las cartas de renuncia. El Sujeto Obligado, a través de su Comité de Transparencia, decidió clasificar el documento de forma total. Violación al Artículo 19: La Ley es clara: si un documento contiene partes confidenciales y partes públicas, se debe elaborar una Versión Pública. No se puede negar el documento completo. Lo que es público en una renuncia: El nombre del empleado, el cargo que deja, la fecha del documento y el hecho de la renuncia son datos públicos. El DIF debió haber testado (tachado) únicamente datos sensibles como: domicilio particular, teléfono celular </w:t>
      </w:r>
      <w:r>
        <w:rPr>
          <w:rFonts w:ascii="Palatino Linotype" w:eastAsia="Palatino Linotype" w:hAnsi="Palatino Linotype" w:cs="Palatino Linotype"/>
          <w:i/>
          <w:iCs/>
        </w:rPr>
        <w:lastRenderedPageBreak/>
        <w:t>personal, RFC o CURP. Al no hacerlo, el DIF bloqueó el acceso a la información de forma arbitraria. AGRAVIO TERCERO: Falta de Exhaustividad y Motivación en la "Prueba de Daño" El acta del Comité de Transparencia adjunta no cumple con los requisitos de una Prueba de Daño real. No explican cómo es que conocer una "fecha de baja" pone en riesgo la vida o seguridad de los ex-empleados. Se limitan a citar artículos de la ley de datos personales de forma genérica, sin motivar (explicar) el caso concreto. Una clasificación sin una motivación clara es nula de pleno derecho." (Sic)</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bCs/>
          <w:color w:val="000000"/>
        </w:rPr>
        <w:t xml:space="preserve">Ley de Transparencia y Acceso a la Información Pública del Estado de México y Municipios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turna</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bCs/>
          <w:color w:val="000000"/>
        </w:rPr>
        <w:t xml:space="preserve">Comisionada María del Rosario Mejía Ayala, </w:t>
      </w:r>
      <w:r>
        <w:rPr>
          <w:rFonts w:ascii="Palatino Linotype" w:eastAsia="Palatino Linotype" w:hAnsi="Palatino Linotype" w:cs="Palatino Linotype"/>
        </w:rPr>
        <w:t xml:space="preserve">para </w:t>
      </w:r>
      <w:r>
        <w:rPr>
          <w:rFonts w:ascii="Palatino Linotype" w:eastAsia="Palatino Linotype" w:hAnsi="Palatino Linotype" w:cs="Palatino Linotype"/>
          <w:color w:val="000000"/>
        </w:rPr>
        <w:t xml:space="preserve">su análisis. </w:t>
      </w:r>
    </w:p>
    <w:p w:rsidR="008C70AC" w:rsidRDefault="008C70AC" w:rsidP="008C70AC">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w:t>
      </w:r>
      <w:r>
        <w:rPr>
          <w:rFonts w:ascii="Palatino Linotype" w:eastAsia="Palatino Linotype" w:hAnsi="Palatino Linotype" w:cs="Palatino Linotype"/>
          <w:color w:val="000000"/>
        </w:rPr>
        <w:t xml:space="preserve"> Comisionad</w:t>
      </w:r>
      <w:r>
        <w:rPr>
          <w:rFonts w:ascii="Palatino Linotype" w:eastAsia="Palatino Linotype" w:hAnsi="Palatino Linotype" w:cs="Palatino Linotype"/>
        </w:rPr>
        <w:t>a</w:t>
      </w:r>
      <w:r>
        <w:rPr>
          <w:rFonts w:ascii="Palatino Linotype" w:eastAsia="Palatino Linotype" w:hAnsi="Palatino Linotype" w:cs="Palatino Linotype"/>
          <w:color w:val="000000"/>
        </w:rPr>
        <w:t xml:space="preserve"> Ponente con fundamento en lo dispuesto por el artículo 185 fracción II de la ley de la materia, a través del acuerdo de admisión del </w:t>
      </w:r>
      <w:r>
        <w:rPr>
          <w:rFonts w:ascii="Palatino Linotype" w:eastAsia="Palatino Linotype" w:hAnsi="Palatino Linotype" w:cs="Palatino Linotype"/>
          <w:b/>
          <w:bCs/>
          <w:color w:val="000000"/>
        </w:rPr>
        <w:t>veintiséis de enero de dos mil veintiséis</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bCs/>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derecho </w:t>
      </w:r>
      <w:r>
        <w:rPr>
          <w:rFonts w:ascii="Palatino Linotype" w:eastAsia="Palatino Linotype" w:hAnsi="Palatino Linotype" w:cs="Palatino Linotype"/>
        </w:rPr>
        <w:t>conviniera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 </w:t>
      </w:r>
    </w:p>
    <w:p w:rsidR="00230CAA" w:rsidRDefault="00230CAA">
      <w:pPr>
        <w:pBdr>
          <w:top w:val="nil"/>
          <w:left w:val="nil"/>
          <w:bottom w:val="nil"/>
          <w:right w:val="nil"/>
          <w:between w:val="nil"/>
        </w:pBdr>
        <w:ind w:left="720"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las constancias del expediente electrónico SAIMEX se advierte que el Recurrente realizó manifestaciones en el siguiente sentido:</w:t>
      </w:r>
    </w:p>
    <w:p w:rsidR="00230CAA" w:rsidRDefault="004E7E17">
      <w:pPr>
        <w:numPr>
          <w:ilvl w:val="0"/>
          <w:numId w:val="6"/>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hyperlink r:id="rId11">
        <w:r w:rsidR="00DA73C8">
          <w:rPr>
            <w:rFonts w:ascii="Palatino Linotype" w:eastAsia="Palatino Linotype" w:hAnsi="Palatino Linotype" w:cs="Palatino Linotype"/>
            <w:b/>
            <w:bCs/>
            <w:color w:val="000000"/>
            <w:u w:val="single"/>
          </w:rPr>
          <w:t>DIFTRRSI0282025.pdf</w:t>
        </w:r>
      </w:hyperlink>
      <w:r w:rsidR="00DA73C8">
        <w:rPr>
          <w:rFonts w:ascii="Palatino Linotype" w:eastAsia="Palatino Linotype" w:hAnsi="Palatino Linotype" w:cs="Palatino Linotype"/>
          <w:color w:val="000000"/>
        </w:rPr>
        <w:t>: documento remitido por el Titular de la Unidad de Transparencia en respuesta.</w:t>
      </w:r>
    </w:p>
    <w:p w:rsidR="00230CAA" w:rsidRDefault="004E7E17">
      <w:pPr>
        <w:numPr>
          <w:ilvl w:val="0"/>
          <w:numId w:val="6"/>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hyperlink r:id="rId12">
        <w:r w:rsidR="00DA73C8">
          <w:rPr>
            <w:rFonts w:ascii="Palatino Linotype" w:eastAsia="Palatino Linotype" w:hAnsi="Palatino Linotype" w:cs="Palatino Linotype"/>
            <w:b/>
            <w:bCs/>
            <w:color w:val="000000"/>
            <w:u w:val="single"/>
          </w:rPr>
          <w:t>ALEGATOS.pdf</w:t>
        </w:r>
      </w:hyperlink>
      <w:r w:rsidR="00DA73C8">
        <w:rPr>
          <w:rFonts w:ascii="Palatino Linotype" w:eastAsia="Palatino Linotype" w:hAnsi="Palatino Linotype" w:cs="Palatino Linotype"/>
          <w:color w:val="000000"/>
        </w:rPr>
        <w:t>:</w:t>
      </w:r>
    </w:p>
    <w:p w:rsidR="00230CAA" w:rsidRDefault="00230CAA">
      <w:pPr>
        <w:pBdr>
          <w:top w:val="nil"/>
          <w:left w:val="nil"/>
          <w:bottom w:val="nil"/>
          <w:right w:val="nil"/>
          <w:between w:val="nil"/>
        </w:pBdr>
        <w:ind w:left="720" w:right="-876"/>
        <w:rPr>
          <w:rFonts w:ascii="Arial" w:eastAsia="Arial" w:hAnsi="Arial" w:cs="Arial"/>
          <w:color w:val="000000"/>
        </w:rPr>
      </w:pP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“C. COMISIONADO PONENTE DEL INSTITUTO DE TRANSPARENCIA, ACCESO A LA INFORMACIÓN PÚBLICA Y PROTECCIÓN DE DATOS PERSONALES DEL ESTADO DE MÉXICO Y MUNICIPIOS (INFOEM).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atención al periodo de siete días concedido para manifestar lo que a mi derecho corresponda, presento los siguientes ALEGATOS para demostrar la ilegalidad de la respuesta del Sujeto Obligado: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PRIMERO. </w:t>
      </w:r>
      <w:r>
        <w:rPr>
          <w:rFonts w:ascii="Palatino Linotype" w:eastAsia="Palatino Linotype" w:hAnsi="Palatino Linotype" w:cs="Palatino Linotype"/>
          <w:i/>
          <w:iCs/>
          <w:color w:val="000000"/>
        </w:rPr>
        <w:t xml:space="preserve">Admisión de la existencia de la información. En el oficio de Recursos Humanos DIFRH/0156/25, el propio Sujeto Obligado admite poseer la información solicitada. Por lo tanto, no existe imposibilidad física ni jurídica para su entrega, sino una voluntad de ocultamiento basada en una interpretación errónea de la ley.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SEGUNDO. </w:t>
      </w:r>
      <w:r>
        <w:rPr>
          <w:rFonts w:ascii="Palatino Linotype" w:eastAsia="Palatino Linotype" w:hAnsi="Palatino Linotype" w:cs="Palatino Linotype"/>
          <w:i/>
          <w:iCs/>
          <w:color w:val="000000"/>
        </w:rPr>
        <w:t xml:space="preserve">Naturaleza pública de la trayectoria laboral. El Sujeto Obligado argumenta que, al ser "ex servidores públicos", sus datos son confidenciales. Esto es falso. La fecha de baja y el motivo de la separación son actos administrativos que concluyen un ciclo financiado con recursos públicos. El historial laboral de cualquier persona que haya cobrado un sueldo del erario es de interés público y no pierde esa naturaleza por el paso del tiempo o el término de la relación laboral.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TERCERO. </w:t>
      </w:r>
      <w:r>
        <w:rPr>
          <w:rFonts w:ascii="Palatino Linotype" w:eastAsia="Palatino Linotype" w:hAnsi="Palatino Linotype" w:cs="Palatino Linotype"/>
          <w:i/>
          <w:iCs/>
          <w:color w:val="000000"/>
        </w:rPr>
        <w:t xml:space="preserve">Obligación de elaborar Versiones Públicas. El Comité de Transparencia del DIF Lerma, en su acta CT/SMDIFLERMA/ACTA/EXT/008/2025, decidió clasificar de forma TOTAL las cartas de renuncia. Esto vulnera el artículo 19 de la Ley de Transparencia local. El Sujeto Obligado tiene la obligación técnica de testar (tachar) los datos personales sensibles (domicilio, RFC personal), pero debe entregar el cuerpo del documento donde conste la voluntad de renuncia y la fecha, pues es la evidencia legal de la baja de una nómina pública.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 xml:space="preserve">CUARTO. </w:t>
      </w:r>
      <w:r>
        <w:rPr>
          <w:rFonts w:ascii="Palatino Linotype" w:eastAsia="Palatino Linotype" w:hAnsi="Palatino Linotype" w:cs="Palatino Linotype"/>
          <w:i/>
          <w:iCs/>
          <w:color w:val="000000"/>
        </w:rPr>
        <w:t>Inexistencia de Prueba de Daño. El Sujeto Obligado no acreditó de qué manera la entrega de la "causa de baja" genera un riesgo real y demostrable. Al no existir una prueba de daño motivada, la clasificación de confidencialidad es nula.</w:t>
      </w:r>
      <w:r>
        <w:rPr>
          <w:rFonts w:ascii="Palatino Linotype" w:eastAsia="Palatino Linotype" w:hAnsi="Palatino Linotype" w:cs="Palatino Linotype"/>
          <w:b/>
          <w:bCs/>
          <w:i/>
          <w:iCs/>
          <w:color w:val="000000"/>
        </w:rPr>
        <w:t xml:space="preserve">III. SOBRE LA DEFICIENTE "PRUEBA DE DAÑO"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El Sujeto Obligado no cumple con los requisitos legales para la clasificación. Se limitan a mencionar que son "datos personales" de forma genérica, sin explicar el riesgo real, demostrable e identificable que supondría conocer una causa de baja o una fecha de término de contrato.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PRUEBAS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Para sustentar mis manifestaciones, ratifico los siguientes documentales ya obrantes en el expediente: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1. </w:t>
      </w:r>
      <w:r>
        <w:rPr>
          <w:rFonts w:ascii="Palatino Linotype" w:eastAsia="Palatino Linotype" w:hAnsi="Palatino Linotype" w:cs="Palatino Linotype"/>
          <w:b/>
          <w:bCs/>
          <w:i/>
          <w:iCs/>
          <w:color w:val="000000"/>
        </w:rPr>
        <w:t xml:space="preserve">Oficio DIFTR/RSI/028/2025: </w:t>
      </w:r>
      <w:r>
        <w:rPr>
          <w:rFonts w:ascii="Palatino Linotype" w:eastAsia="Palatino Linotype" w:hAnsi="Palatino Linotype" w:cs="Palatino Linotype"/>
          <w:i/>
          <w:iCs/>
          <w:color w:val="000000"/>
        </w:rPr>
        <w:t>Donde se confirma la entrega parcial de información.</w:t>
      </w:r>
    </w:p>
    <w:p w:rsidR="00230CAA" w:rsidRDefault="00DA73C8">
      <w:pPr>
        <w:pBdr>
          <w:top w:val="nil"/>
          <w:left w:val="nil"/>
          <w:bottom w:val="nil"/>
          <w:right w:val="nil"/>
          <w:between w:val="nil"/>
        </w:pBdr>
        <w:spacing w:after="20"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2. </w:t>
      </w:r>
      <w:r>
        <w:rPr>
          <w:rFonts w:ascii="Palatino Linotype" w:eastAsia="Palatino Linotype" w:hAnsi="Palatino Linotype" w:cs="Palatino Linotype"/>
          <w:b/>
          <w:bCs/>
          <w:i/>
          <w:iCs/>
          <w:color w:val="000000"/>
        </w:rPr>
        <w:t xml:space="preserve">Acta CT/SMDIFLERMA/ACTA/EXT/008/2025: </w:t>
      </w:r>
      <w:r>
        <w:rPr>
          <w:rFonts w:ascii="Palatino Linotype" w:eastAsia="Palatino Linotype" w:hAnsi="Palatino Linotype" w:cs="Palatino Linotype"/>
          <w:i/>
          <w:iCs/>
          <w:color w:val="000000"/>
        </w:rPr>
        <w:t xml:space="preserve">Donde el Comité de Transparencia confirma la clasificación indebida.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3. </w:t>
      </w:r>
      <w:r>
        <w:rPr>
          <w:rFonts w:ascii="Palatino Linotype" w:eastAsia="Palatino Linotype" w:hAnsi="Palatino Linotype" w:cs="Palatino Linotype"/>
          <w:b/>
          <w:bCs/>
          <w:i/>
          <w:iCs/>
          <w:color w:val="000000"/>
        </w:rPr>
        <w:t xml:space="preserve">Oficio DIFRH/0156/25: </w:t>
      </w:r>
      <w:r>
        <w:rPr>
          <w:rFonts w:ascii="Palatino Linotype" w:eastAsia="Palatino Linotype" w:hAnsi="Palatino Linotype" w:cs="Palatino Linotype"/>
          <w:i/>
          <w:iCs/>
          <w:color w:val="000000"/>
        </w:rPr>
        <w:t>Memo interno de Recursos Humanos donde se admite poseer información de altas, pero se sugiere ocultar las bajas.</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Solicito a este Instituto que, al resolver el presente recurso</w:t>
      </w:r>
      <w:r>
        <w:rPr>
          <w:rFonts w:ascii="Palatino Linotype" w:eastAsia="Palatino Linotype" w:hAnsi="Palatino Linotype" w:cs="Palatino Linotype"/>
          <w:b/>
          <w:bCs/>
          <w:i/>
          <w:iCs/>
          <w:color w:val="000000"/>
        </w:rPr>
        <w:t xml:space="preserve">, REVOQUE </w:t>
      </w:r>
      <w:r>
        <w:rPr>
          <w:rFonts w:ascii="Palatino Linotype" w:eastAsia="Palatino Linotype" w:hAnsi="Palatino Linotype" w:cs="Palatino Linotype"/>
          <w:i/>
          <w:iCs/>
          <w:color w:val="000000"/>
        </w:rPr>
        <w:t xml:space="preserve">el acuerdo de confidencialidad del Sujeto Obligado y le ORDENE la entrega inmediata de la información en Versión Pública. </w:t>
      </w:r>
      <w:r>
        <w:rPr>
          <w:rFonts w:ascii="Palatino Linotype" w:eastAsia="Palatino Linotype" w:hAnsi="Palatino Linotype" w:cs="Palatino Linotype"/>
          <w:b/>
          <w:bCs/>
          <w:i/>
          <w:iCs/>
          <w:color w:val="000000"/>
        </w:rPr>
        <w:t>PROTESTO LO NECESARIO</w:t>
      </w:r>
      <w:r>
        <w:rPr>
          <w:rFonts w:ascii="Palatino Linotype" w:eastAsia="Palatino Linotype" w:hAnsi="Palatino Linotype" w:cs="Palatino Linotype"/>
          <w:i/>
          <w:iCs/>
          <w:color w:val="000000"/>
        </w:rPr>
        <w:t xml:space="preserve">.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ATENTAMENTE. </w:t>
      </w:r>
    </w:p>
    <w:p w:rsidR="00230CAA" w:rsidRDefault="00DA73C8">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XXX.”</w:t>
      </w:r>
    </w:p>
    <w:p w:rsidR="00230CAA" w:rsidRDefault="00230CAA">
      <w:pPr>
        <w:pBdr>
          <w:top w:val="nil"/>
          <w:left w:val="nil"/>
          <w:bottom w:val="nil"/>
          <w:right w:val="nil"/>
          <w:between w:val="nil"/>
        </w:pBdr>
        <w:spacing w:line="360" w:lineRule="auto"/>
        <w:ind w:left="720" w:right="-876"/>
        <w:jc w:val="both"/>
        <w:rPr>
          <w:rFonts w:ascii="Palatino Linotype" w:eastAsia="Palatino Linotype" w:hAnsi="Palatino Linotype" w:cs="Palatino Linotype"/>
          <w:color w:val="000000"/>
        </w:rPr>
      </w:pPr>
    </w:p>
    <w:p w:rsidR="00230CAA" w:rsidRDefault="004E7E17">
      <w:pPr>
        <w:numPr>
          <w:ilvl w:val="0"/>
          <w:numId w:val="6"/>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hyperlink r:id="rId13">
        <w:r w:rsidR="00DA73C8">
          <w:rPr>
            <w:rFonts w:ascii="Palatino Linotype" w:eastAsia="Palatino Linotype" w:hAnsi="Palatino Linotype" w:cs="Palatino Linotype"/>
            <w:b/>
            <w:bCs/>
            <w:color w:val="000000"/>
            <w:u w:val="single"/>
          </w:rPr>
          <w:t>CTSMDIFLERMAACTAEXT0082025.pdf</w:t>
        </w:r>
      </w:hyperlink>
      <w:r w:rsidR="00DA73C8">
        <w:rPr>
          <w:rFonts w:ascii="Palatino Linotype" w:eastAsia="Palatino Linotype" w:hAnsi="Palatino Linotype" w:cs="Palatino Linotype"/>
          <w:color w:val="000000"/>
        </w:rPr>
        <w:t xml:space="preserve">: Acta de la octava sesión extraordinaria del Comité de Transparencia remitida por el Sujeto Obligado en respuesta. </w:t>
      </w:r>
    </w:p>
    <w:p w:rsidR="00230CAA" w:rsidRDefault="004E7E17">
      <w:pPr>
        <w:numPr>
          <w:ilvl w:val="0"/>
          <w:numId w:val="6"/>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hyperlink r:id="rId14">
        <w:r w:rsidR="00DA73C8">
          <w:rPr>
            <w:rFonts w:ascii="Palatino Linotype" w:eastAsia="Palatino Linotype" w:hAnsi="Palatino Linotype" w:cs="Palatino Linotype"/>
            <w:b/>
            <w:bCs/>
            <w:color w:val="000000"/>
            <w:u w:val="single"/>
          </w:rPr>
          <w:t>DIFRH015625.pdf</w:t>
        </w:r>
      </w:hyperlink>
      <w:r w:rsidR="00DA73C8">
        <w:rPr>
          <w:rFonts w:ascii="Palatino Linotype" w:eastAsia="Palatino Linotype" w:hAnsi="Palatino Linotype" w:cs="Palatino Linotype"/>
          <w:color w:val="000000"/>
        </w:rPr>
        <w:t xml:space="preserve">: oficio suscrito por el área de Recursos Humanos remitido en respuesta. </w:t>
      </w:r>
    </w:p>
    <w:p w:rsidR="00230CAA" w:rsidRDefault="00230CAA">
      <w:pPr>
        <w:pBdr>
          <w:top w:val="nil"/>
          <w:left w:val="nil"/>
          <w:bottom w:val="nil"/>
          <w:right w:val="nil"/>
          <w:between w:val="nil"/>
        </w:pBdr>
        <w:ind w:left="720" w:right="-876"/>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Sujeto Obligado no entregó informe justificado.</w:t>
      </w:r>
    </w:p>
    <w:p w:rsidR="00230CAA" w:rsidRDefault="00DA73C8">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veintinueve de mayo de dos mil veintiséis</w:t>
      </w:r>
      <w:r>
        <w:rPr>
          <w:rFonts w:ascii="Palatino Linotype" w:eastAsia="Palatino Linotype" w:hAnsi="Palatino Linotype" w:cs="Palatino Linotype"/>
          <w:color w:val="000000"/>
        </w:rPr>
        <w:t xml:space="preserve">, se notificó el acuerdo mediante el cual se aprobó la ampliación de plazo para emitir resolución. </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Pr="008C70AC"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decretó el cierre de instrucción mediante el acuerdo del </w:t>
      </w:r>
      <w:r>
        <w:rPr>
          <w:rFonts w:ascii="Palatino Linotype" w:eastAsia="Palatino Linotype" w:hAnsi="Palatino Linotype" w:cs="Palatino Linotype"/>
          <w:b/>
          <w:bCs/>
          <w:color w:val="000000"/>
        </w:rPr>
        <w:t>diecisiete de junio de dos mil veintiséis.</w:t>
      </w:r>
    </w:p>
    <w:p w:rsidR="008C70AC" w:rsidRDefault="008C70AC" w:rsidP="008C70AC">
      <w:pPr>
        <w:pStyle w:val="Prrafodelista"/>
        <w:rPr>
          <w:rFonts w:ascii="Palatino Linotype" w:eastAsia="Palatino Linotype" w:hAnsi="Palatino Linotype" w:cs="Palatino Linotype"/>
          <w:color w:val="000000"/>
        </w:rPr>
      </w:pPr>
    </w:p>
    <w:p w:rsidR="008C70AC" w:rsidRDefault="008C70AC" w:rsidP="008C70AC">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spacing w:line="360" w:lineRule="auto"/>
        <w:ind w:right="-876"/>
        <w:jc w:val="center"/>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bCs/>
        </w:rPr>
        <w:t>C O N S I D E R A N D O</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spacing w:line="360" w:lineRule="auto"/>
        <w:ind w:right="-876"/>
        <w:jc w:val="both"/>
        <w:rPr>
          <w:rFonts w:ascii="Palatino Linotype" w:eastAsia="Palatino Linotype" w:hAnsi="Palatino Linotype" w:cs="Palatino Linotype"/>
          <w:b/>
          <w:bCs/>
        </w:rPr>
      </w:pPr>
      <w:bookmarkStart w:id="3" w:name="_heading=h.3znysh7" w:colFirst="0" w:colLast="0"/>
      <w:bookmarkEnd w:id="3"/>
      <w:r>
        <w:rPr>
          <w:rFonts w:ascii="Palatino Linotype" w:eastAsia="Palatino Linotype" w:hAnsi="Palatino Linotype" w:cs="Palatino Linotype"/>
          <w:b/>
          <w:bCs/>
        </w:rPr>
        <w:t>PRIMERO. De la competencia</w:t>
      </w:r>
    </w:p>
    <w:p w:rsidR="00230CAA" w:rsidRDefault="00DA73C8">
      <w:pPr>
        <w:numPr>
          <w:ilvl w:val="0"/>
          <w:numId w:val="3"/>
        </w:numPr>
        <w:pBdr>
          <w:top w:val="nil"/>
          <w:left w:val="nil"/>
          <w:bottom w:val="nil"/>
          <w:right w:val="nil"/>
          <w:between w:val="nil"/>
        </w:pBdr>
        <w:spacing w:before="240"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w:t>
      </w:r>
      <w:r>
        <w:rPr>
          <w:rFonts w:ascii="Palatino Linotype" w:eastAsia="Palatino Linotype" w:hAnsi="Palatino Linotype" w:cs="Palatino Linotype"/>
          <w:color w:val="000000"/>
        </w:rPr>
        <w:lastRenderedPageBreak/>
        <w:t xml:space="preserve">de Transparencia, Acceso a la Información Pública y Protección de Datos Personales del Estado de México y Municipios. </w:t>
      </w:r>
    </w:p>
    <w:p w:rsidR="00230CAA" w:rsidRDefault="00230CAA">
      <w:pPr>
        <w:pBdr>
          <w:top w:val="nil"/>
          <w:left w:val="nil"/>
          <w:bottom w:val="nil"/>
          <w:right w:val="nil"/>
          <w:between w:val="nil"/>
        </w:pBdr>
        <w:spacing w:before="240" w:line="360" w:lineRule="auto"/>
        <w:ind w:right="-876"/>
        <w:jc w:val="both"/>
        <w:rPr>
          <w:rFonts w:ascii="Palatino Linotype" w:eastAsia="Palatino Linotype" w:hAnsi="Palatino Linotype" w:cs="Palatino Linotype"/>
          <w:color w:val="000000"/>
        </w:rPr>
      </w:pPr>
      <w:bookmarkStart w:id="4" w:name="_GoBack"/>
      <w:bookmarkEnd w:id="4"/>
    </w:p>
    <w:p w:rsidR="00230CAA" w:rsidRDefault="00DA73C8">
      <w:pPr>
        <w:keepNext/>
        <w:keepLines/>
        <w:spacing w:line="360" w:lineRule="auto"/>
        <w:ind w:right="-876"/>
        <w:jc w:val="both"/>
        <w:rPr>
          <w:rFonts w:ascii="Palatino Linotype" w:eastAsia="Palatino Linotype" w:hAnsi="Palatino Linotype" w:cs="Palatino Linotype"/>
          <w:b/>
          <w:bCs/>
        </w:rPr>
      </w:pPr>
      <w:bookmarkStart w:id="5" w:name="_heading=h.2et92p0" w:colFirst="0" w:colLast="0"/>
      <w:bookmarkEnd w:id="5"/>
      <w:r>
        <w:rPr>
          <w:rFonts w:ascii="Palatino Linotype" w:eastAsia="Palatino Linotype" w:hAnsi="Palatino Linotype" w:cs="Palatino Linotype"/>
          <w:b/>
          <w:bCs/>
        </w:rPr>
        <w:t>SEGUNDO. De la oportunidad y procedencia.</w:t>
      </w: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entregó respuesta a la solicitud el </w:t>
      </w:r>
      <w:r>
        <w:rPr>
          <w:rFonts w:ascii="Palatino Linotype" w:eastAsia="Palatino Linotype" w:hAnsi="Palatino Linotype" w:cs="Palatino Linotype"/>
          <w:b/>
          <w:bCs/>
          <w:color w:val="000000"/>
        </w:rPr>
        <w:t>nueve de diciembre de dos mil veinticinco</w:t>
      </w:r>
      <w:r>
        <w:rPr>
          <w:rFonts w:ascii="Palatino Linotype" w:eastAsia="Palatino Linotype" w:hAnsi="Palatino Linotype" w:cs="Palatino Linotype"/>
          <w:color w:val="000000"/>
        </w:rPr>
        <w:t>, de tal forma que el plazo para interponer el recurso de revisión transcurrió del</w:t>
      </w:r>
      <w:r>
        <w:rPr>
          <w:rFonts w:ascii="Palatino Linotype" w:eastAsia="Palatino Linotype" w:hAnsi="Palatino Linotype" w:cs="Palatino Linotype"/>
          <w:b/>
          <w:bCs/>
          <w:color w:val="000000"/>
        </w:rPr>
        <w:t xml:space="preserve"> diez de diciembre al veinte de enero de dos mil veintiséis</w:t>
      </w:r>
      <w:r>
        <w:rPr>
          <w:rFonts w:ascii="Palatino Linotype" w:eastAsia="Palatino Linotype" w:hAnsi="Palatino Linotype" w:cs="Palatino Linotype"/>
          <w:color w:val="000000"/>
        </w:rPr>
        <w:t xml:space="preserve">; en consecuencia, presentó su inconformidad el día </w:t>
      </w:r>
      <w:r>
        <w:rPr>
          <w:rFonts w:ascii="Palatino Linotype" w:eastAsia="Palatino Linotype" w:hAnsi="Palatino Linotype" w:cs="Palatino Linotype"/>
          <w:b/>
          <w:bCs/>
          <w:color w:val="000000"/>
        </w:rPr>
        <w:t>diecinueve de enero de dos mil veintiséis</w:t>
      </w:r>
      <w:r>
        <w:rPr>
          <w:rFonts w:ascii="Palatino Linotype" w:eastAsia="Palatino Linotype" w:hAnsi="Palatino Linotype" w:cs="Palatino Linotype"/>
          <w:color w:val="000000"/>
        </w:rPr>
        <w:t xml:space="preserve">, por lo que se encuentra dentro de los márgenes temporales previstos en el artículo 178 de la </w:t>
      </w:r>
      <w:r>
        <w:rPr>
          <w:rFonts w:ascii="Palatino Linotype" w:eastAsia="Palatino Linotype" w:hAnsi="Palatino Linotype" w:cs="Palatino Linotype"/>
          <w:b/>
          <w:bCs/>
          <w:color w:val="000000"/>
        </w:rPr>
        <w:t xml:space="preserve">Ley de Transparencia y Acceso a la Información Pública del Estado de México y Municipios </w:t>
      </w:r>
      <w:r>
        <w:rPr>
          <w:rFonts w:ascii="Palatino Linotype" w:eastAsia="Palatino Linotype" w:hAnsi="Palatino Linotype" w:cs="Palatino Linotype"/>
          <w:color w:val="000000"/>
        </w:rPr>
        <w:t>vigente.</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30CAA" w:rsidRDefault="00DA73C8">
      <w:pPr>
        <w:pStyle w:val="Ttulo1"/>
        <w:spacing w:line="360" w:lineRule="auto"/>
        <w:ind w:right="-876"/>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t>TERCERO. Del planteamiento de la Litis</w:t>
      </w: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particular solicitó </w:t>
      </w:r>
      <w:r>
        <w:rPr>
          <w:rFonts w:ascii="Palatino Linotype" w:eastAsia="Palatino Linotype" w:hAnsi="Palatino Linotype" w:cs="Palatino Linotype"/>
        </w:rPr>
        <w:t xml:space="preserve">de los servidores públicos referidos en la solicitud de información </w:t>
      </w:r>
      <w:r>
        <w:rPr>
          <w:rFonts w:ascii="Palatino Linotype" w:eastAsia="Palatino Linotype" w:hAnsi="Palatino Linotype" w:cs="Palatino Linotype"/>
          <w:b/>
          <w:bCs/>
        </w:rPr>
        <w:t xml:space="preserve">00025/DIFLERMA/IP/2025, </w:t>
      </w:r>
      <w:r>
        <w:rPr>
          <w:rFonts w:ascii="Palatino Linotype" w:eastAsia="Palatino Linotype" w:hAnsi="Palatino Linotype" w:cs="Palatino Linotype"/>
        </w:rPr>
        <w:t>lo siguiente:</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Puesto a cargo que desempeña o </w:t>
      </w:r>
      <w:r>
        <w:rPr>
          <w:rFonts w:ascii="Palatino Linotype" w:eastAsia="Palatino Linotype" w:hAnsi="Palatino Linotype" w:cs="Palatino Linotype"/>
        </w:rPr>
        <w:t>desempeñó</w:t>
      </w:r>
      <w:r>
        <w:rPr>
          <w:rFonts w:ascii="Palatino Linotype" w:eastAsia="Palatino Linotype" w:hAnsi="Palatino Linotype" w:cs="Palatino Linotype"/>
          <w:color w:val="000000"/>
        </w:rPr>
        <w:t>;</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inicio de la relación laboral;</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Estatus laboral actual (si a la fecha de la solicitud sigue laborando);</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término de la relación laboral;</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Causa o motivo de la separación o baja (renuncia voluntaria, término de contrato, rescisión de contrato, etc.); y</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Carta de las renuncias voluntarias en versión pública. </w:t>
      </w:r>
    </w:p>
    <w:p w:rsidR="00230CAA" w:rsidRDefault="00230CAA">
      <w:pPr>
        <w:pBdr>
          <w:top w:val="nil"/>
          <w:left w:val="nil"/>
          <w:bottom w:val="nil"/>
          <w:right w:val="nil"/>
          <w:between w:val="nil"/>
        </w:pBdr>
        <w:spacing w:line="360" w:lineRule="auto"/>
        <w:ind w:left="1080"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Sujeto Obligado entregó una lista de los servidores públicos que se encuentran actualmente adscritas al Sistema DIF, en el que se advierte su puesto, fecha de alta y motivo de alta, asimismo, clasificó la información referente al personal dado de baja y las renuncias. Posteriormente, el </w:t>
      </w:r>
      <w:r>
        <w:rPr>
          <w:rFonts w:ascii="Palatino Linotype" w:eastAsia="Palatino Linotype" w:hAnsi="Palatino Linotype" w:cs="Palatino Linotype"/>
        </w:rPr>
        <w:t>r</w:t>
      </w:r>
      <w:r>
        <w:rPr>
          <w:rFonts w:ascii="Palatino Linotype" w:eastAsia="Palatino Linotype" w:hAnsi="Palatino Linotype" w:cs="Palatino Linotype"/>
          <w:color w:val="000000"/>
        </w:rPr>
        <w:t xml:space="preserve">ecurrente se </w:t>
      </w:r>
      <w:r>
        <w:rPr>
          <w:rFonts w:ascii="Palatino Linotype" w:eastAsia="Palatino Linotype" w:hAnsi="Palatino Linotype" w:cs="Palatino Linotype"/>
        </w:rPr>
        <w:t>inconformó</w:t>
      </w:r>
      <w:r>
        <w:rPr>
          <w:rFonts w:ascii="Palatino Linotype" w:eastAsia="Palatino Linotype" w:hAnsi="Palatino Linotype" w:cs="Palatino Linotype"/>
          <w:color w:val="000000"/>
        </w:rPr>
        <w:t xml:space="preserve"> por la clasificación de la información.  </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0"/>
          <w:numId w:val="3"/>
        </w:numPr>
        <w:spacing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 Litis a resolver en este recurso, se circunscribe a determinar si la respuesta colma con lo solicitado o si se actualiza la causal de procedencia prevista en el artículo 179, fracción V de la Ley de Transparencia y Acceso a la Información Pública del Estado de México y Municipios; que establece la entrega de la información incompleta.   </w:t>
      </w:r>
    </w:p>
    <w:p w:rsidR="00230CAA" w:rsidRDefault="00DA73C8">
      <w:pPr>
        <w:pStyle w:val="Ttulo1"/>
        <w:spacing w:line="360" w:lineRule="auto"/>
        <w:ind w:right="-876"/>
        <w:jc w:val="both"/>
        <w:rPr>
          <w:rFonts w:ascii="Palatino Linotype" w:eastAsia="Palatino Linotype" w:hAnsi="Palatino Linotype" w:cs="Palatino Linotype"/>
          <w:b/>
          <w:bCs/>
          <w:color w:val="000000"/>
          <w:sz w:val="24"/>
          <w:szCs w:val="24"/>
        </w:rPr>
      </w:pPr>
      <w:bookmarkStart w:id="6" w:name="_heading=h.3dy6vkm" w:colFirst="0" w:colLast="0"/>
      <w:bookmarkEnd w:id="6"/>
      <w:r>
        <w:rPr>
          <w:rFonts w:ascii="Palatino Linotype" w:eastAsia="Palatino Linotype" w:hAnsi="Palatino Linotype" w:cs="Palatino Linotype"/>
          <w:b/>
          <w:bCs/>
          <w:color w:val="000000"/>
          <w:sz w:val="24"/>
          <w:szCs w:val="24"/>
        </w:rPr>
        <w:t xml:space="preserve">CUARTO. Estudio y resolución del recurso de revisión. </w:t>
      </w:r>
    </w:p>
    <w:p w:rsidR="00230CAA" w:rsidRDefault="00DA73C8">
      <w:pPr>
        <w:numPr>
          <w:ilvl w:val="0"/>
          <w:numId w:val="3"/>
        </w:numPr>
        <w:pBdr>
          <w:top w:val="nil"/>
          <w:left w:val="nil"/>
          <w:bottom w:val="nil"/>
          <w:right w:val="nil"/>
          <w:between w:val="nil"/>
        </w:pBdr>
        <w:tabs>
          <w:tab w:val="left" w:pos="567"/>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Pr>
          <w:rFonts w:ascii="Palatino Linotype" w:eastAsia="Palatino Linotype" w:hAnsi="Palatino Linotype" w:cs="Palatino Linotype"/>
          <w:b/>
          <w:bCs/>
          <w:color w:val="000000"/>
        </w:rPr>
        <w:t>Ley de Transparencia y Acceso a la Información Pública del Estado de México y Municipios</w:t>
      </w:r>
      <w:r>
        <w:rPr>
          <w:rFonts w:ascii="Palatino Linotype" w:eastAsia="Palatino Linotype" w:hAnsi="Palatino Linotype" w:cs="Palatino Linotype"/>
          <w:color w:val="000000"/>
        </w:rPr>
        <w:t>.</w:t>
      </w:r>
    </w:p>
    <w:p w:rsidR="00230CAA" w:rsidRDefault="00230CAA">
      <w:pPr>
        <w:spacing w:line="360" w:lineRule="auto"/>
        <w:ind w:right="-876"/>
        <w:jc w:val="both"/>
        <w:rPr>
          <w:rFonts w:ascii="Palatino Linotype" w:eastAsia="Palatino Linotype" w:hAnsi="Palatino Linotype" w:cs="Palatino Linotype"/>
        </w:rPr>
      </w:pPr>
      <w:bookmarkStart w:id="7" w:name="_heading=h.4d34og8" w:colFirst="0" w:colLast="0"/>
      <w:bookmarkEnd w:id="7"/>
    </w:p>
    <w:p w:rsidR="00230CAA" w:rsidRDefault="00DA73C8">
      <w:pPr>
        <w:numPr>
          <w:ilvl w:val="0"/>
          <w:numId w:val="3"/>
        </w:numPr>
        <w:tabs>
          <w:tab w:val="left" w:pos="0"/>
          <w:tab w:val="left" w:pos="567"/>
        </w:tabs>
        <w:spacing w:after="240"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Así, este Instituto de Transparencia, de conformidad con los principios de eficacia y profesionalismo, procederá a verificar la información remitida por el </w:t>
      </w:r>
      <w:r>
        <w:rPr>
          <w:rFonts w:ascii="Palatino Linotype" w:eastAsia="Palatino Linotype" w:hAnsi="Palatino Linotype" w:cs="Palatino Linotype"/>
          <w:b/>
          <w:bCs/>
          <w:color w:val="000000"/>
        </w:rPr>
        <w:t>SUJETO OBLIGADO y</w:t>
      </w:r>
      <w:r>
        <w:rPr>
          <w:rFonts w:ascii="Palatino Linotype" w:eastAsia="Palatino Linotype" w:hAnsi="Palatino Linotype" w:cs="Palatino Linotype"/>
          <w:color w:val="000000"/>
        </w:rPr>
        <w:t xml:space="preserve"> las manifestaciones realizadas por el </w:t>
      </w:r>
      <w:r>
        <w:rPr>
          <w:rFonts w:ascii="Palatino Linotype" w:eastAsia="Palatino Linotype" w:hAnsi="Palatino Linotype" w:cs="Palatino Linotype"/>
          <w:b/>
          <w:bCs/>
        </w:rPr>
        <w:t>SOLICITANTE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 efecto de determinar si la información remitida se encuentra apegada a lo que establece la Ley en materia de Transparencia. </w:t>
      </w: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conviene recordar que el Recurrente solicitó de los servidores públicos referidos en la solicitud de información </w:t>
      </w:r>
      <w:r>
        <w:rPr>
          <w:rFonts w:ascii="Palatino Linotype" w:eastAsia="Palatino Linotype" w:hAnsi="Palatino Linotype" w:cs="Palatino Linotype"/>
          <w:b/>
          <w:bCs/>
          <w:color w:val="000000"/>
        </w:rPr>
        <w:t xml:space="preserve">00025/DIFLERMA/IP/2025, </w:t>
      </w:r>
      <w:r>
        <w:rPr>
          <w:rFonts w:ascii="Palatino Linotype" w:eastAsia="Palatino Linotype" w:hAnsi="Palatino Linotype" w:cs="Palatino Linotype"/>
          <w:color w:val="000000"/>
        </w:rPr>
        <w:t>lo siguiente:</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Puesto a cargo que desempeña o </w:t>
      </w:r>
      <w:r>
        <w:rPr>
          <w:rFonts w:ascii="Palatino Linotype" w:eastAsia="Palatino Linotype" w:hAnsi="Palatino Linotype" w:cs="Palatino Linotype"/>
        </w:rPr>
        <w:t>desempeñó</w:t>
      </w:r>
      <w:r>
        <w:rPr>
          <w:rFonts w:ascii="Palatino Linotype" w:eastAsia="Palatino Linotype" w:hAnsi="Palatino Linotype" w:cs="Palatino Linotype"/>
          <w:color w:val="000000"/>
        </w:rPr>
        <w:t>;</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inicio de la relación laboral;</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Estatus laboral actual (si a la fecha de la solicitud sigue laborando);</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término de la relación laboral;</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Causa o motivo de la separación o baja (renuncia voluntaria, término de contrato, rescisión de contrato, etc.); y</w:t>
      </w:r>
    </w:p>
    <w:p w:rsidR="00230CAA" w:rsidRDefault="00DA73C8">
      <w:pPr>
        <w:numPr>
          <w:ilvl w:val="0"/>
          <w:numId w:val="5"/>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Carta de las renuncias voluntarias en versión pública. </w:t>
      </w:r>
    </w:p>
    <w:p w:rsidR="00230CAA" w:rsidRDefault="00230CAA">
      <w:pPr>
        <w:pBdr>
          <w:top w:val="nil"/>
          <w:left w:val="nil"/>
          <w:bottom w:val="nil"/>
          <w:right w:val="nil"/>
          <w:between w:val="nil"/>
        </w:pBdr>
        <w:ind w:left="720" w:right="-876"/>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respuesta, el Sujeto Obligado entregó una lista de los servidores públicos que se encuentran actualmente adscritas al Sistema DIF, en el que se advierte su puesto, fecha de alta y motivo de alta, asimismo, clasificó la información referente al personal dado de baja y las renuncias. Posteriormente, el Recurrente se inconformó por las siguientes razones:</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5"/>
        </w:numPr>
        <w:pBdr>
          <w:top w:val="nil"/>
          <w:left w:val="nil"/>
          <w:bottom w:val="nil"/>
          <w:right w:val="nil"/>
          <w:between w:val="nil"/>
        </w:pBdr>
        <w:spacing w:line="276"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Acto impugnado</w:t>
      </w:r>
      <w:r>
        <w:rPr>
          <w:rFonts w:ascii="Palatino Linotype" w:eastAsia="Palatino Linotype" w:hAnsi="Palatino Linotype" w:cs="Palatino Linotype"/>
          <w:b/>
          <w:bCs/>
          <w:i/>
          <w:iCs/>
          <w:color w:val="000000"/>
        </w:rPr>
        <w:t>:</w:t>
      </w:r>
      <w:r>
        <w:rPr>
          <w:rFonts w:ascii="Palatino Linotype" w:eastAsia="Palatino Linotype" w:hAnsi="Palatino Linotype" w:cs="Palatino Linotype"/>
          <w:i/>
          <w:iCs/>
          <w:color w:val="000000"/>
        </w:rPr>
        <w:t xml:space="preserve"> “"Se impugna la indebida clasificación como confidencial de la fecha de término y el motivo de separación de ex-servidores públicos, así como la negativa a elaborar y entregar las versiones públicas de las cartas de renuncia solicitadas, vulnerando el principio de máxima publicidad y el derecho de acceso a la información pública." (Sic)</w:t>
      </w:r>
    </w:p>
    <w:p w:rsidR="00230CAA" w:rsidRDefault="00230CAA">
      <w:pPr>
        <w:spacing w:line="276" w:lineRule="auto"/>
        <w:ind w:left="851" w:right="-876"/>
        <w:jc w:val="both"/>
        <w:rPr>
          <w:rFonts w:ascii="Palatino Linotype" w:eastAsia="Palatino Linotype" w:hAnsi="Palatino Linotype" w:cs="Palatino Linotype"/>
        </w:rPr>
      </w:pPr>
    </w:p>
    <w:p w:rsidR="00230CAA" w:rsidRDefault="00DA73C8">
      <w:pPr>
        <w:numPr>
          <w:ilvl w:val="0"/>
          <w:numId w:val="5"/>
        </w:numPr>
        <w:pBdr>
          <w:top w:val="nil"/>
          <w:left w:val="nil"/>
          <w:bottom w:val="nil"/>
          <w:right w:val="nil"/>
          <w:between w:val="nil"/>
        </w:pBdr>
        <w:spacing w:line="276"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 xml:space="preserve">Razones o Motivos de inconformidad: </w:t>
      </w:r>
      <w:r>
        <w:rPr>
          <w:rFonts w:ascii="Palatino Linotype" w:eastAsia="Palatino Linotype" w:hAnsi="Palatino Linotype" w:cs="Palatino Linotype"/>
          <w:i/>
          <w:iCs/>
          <w:color w:val="000000"/>
        </w:rPr>
        <w:t xml:space="preserve">"C. COMISIONADOS Y COMISIONADAS DEL INSTITUTO DE TRANSPARENCIA, ACCESO A LA INFORMACIÓN PÚBLICA Y PROTECCIÓN DE DATOS PERSONALES DEL ESTADO DE MÉXICO Y MUNICIPIOS (INFOEM) PRESENTE. RECURRENTE: XXX SUJETO OBLIGADO: Sistema Municipal DIF de Lerma FOLIO DE SOLICITUD: 00025/DIFLERMA/IP/2025 Por medio del presente, interpongo el RECURSO DE REVISIÓN en contra de la respuesta del DIF Lerma notificada mediante el oficio DIFTR/RSI/028/2025, con base en los siguientes agravios: AGRAVIO PRIMERO: Indebida Clasificación por Errónea Interpretación del Estatus de "Ex Servidor Público" El Sujeto Obligado niega la fecha de término y la causa de la baja alegando que dichas personas ya no son servidores públicos y que su información es confidencial. Este argumento carece de sustento legal por lo siguiente: La naturaleza de la información es pública por origen: El registro de entrada y salida de personal en la administración pública es un acto administrativo que documenta el ejercicio de la función pública. El hecho de que una relación laboral termine no borra el carácter público de los registros que se generaron mientras el individuo recibía un sueldo del erario. Interés Público sobre Privacidad: Conocer si un servidor público renunció o fue despedido es vital para la fiscalización. Permite a la ciudadanía verificar si existen despidos injustificados que generen laudos (deudas) al municipio o si hubo rotación inusual de personal. El Principio de Máxima Publicidad (Art. 4 de la LTAIPEMM) ordena que, ante la duda, siempre debe prevalecer la apertura de la información. AGRAVIO SEGUNDO: Incumplimiento del Deber de Elaborar Versiones Públicas En el punto 1.f, solicité la Versión Pública de las cartas de renuncia. El Sujeto Obligado, a través de su Comité de Transparencia, decidió clasificar el documento de forma total. Violación al Artículo 19: La Ley es clara: si un documento contiene partes confidenciales y partes públicas, se debe elaborar una Versión Pública. No se puede negar el documento completo. Lo que es público en una renuncia: El nombre del empleado, el cargo que deja, la fecha del documento y el hecho de la renuncia son datos públicos. El DIF debió haber testado (tachado) únicamente datos sensibles como: domicilio particular, teléfono celular personal, RFC o CURP. Al no hacerlo, el DIF bloqueó el acceso a la información de forma arbitraria. AGRAVIO TERCERO: Falta de Exhaustividad y Motivación en la "Prueba de Daño" El acta del Comité de Transparencia adjunta no cumple con los requisitos de una Prueba de Daño real. No explican cómo es que conocer una "fecha de baja" pone en </w:t>
      </w:r>
      <w:r>
        <w:rPr>
          <w:rFonts w:ascii="Palatino Linotype" w:eastAsia="Palatino Linotype" w:hAnsi="Palatino Linotype" w:cs="Palatino Linotype"/>
          <w:i/>
          <w:iCs/>
          <w:color w:val="000000"/>
        </w:rPr>
        <w:lastRenderedPageBreak/>
        <w:t>riesgo la vida o seguridad de los ex-empleados. Se limitan a citar artículos de la ley de datos personales de forma genérica, sin motivar (explicar) el caso concreto. Una clasificación sin una motivación clara es nula de pleno derecho." (Sic)</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la inconformidad del Recurrente radica en que la información remitida es incompleta, es decir, que el particular se inconformó por la información que se clasificó;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la tesis jurisprudencial número VI.3o.C. J/60, publicada en el Semanario Judicial de la Federación y su Gaceta bajo el número de registro 176,608 que a la letra dice:</w:t>
      </w:r>
    </w:p>
    <w:p w:rsidR="00230CAA" w:rsidRDefault="00DA73C8">
      <w:pPr>
        <w:pBdr>
          <w:top w:val="nil"/>
          <w:left w:val="nil"/>
          <w:bottom w:val="nil"/>
          <w:right w:val="nil"/>
          <w:between w:val="nil"/>
        </w:pBd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30CAA" w:rsidRDefault="00230CAA">
      <w:pPr>
        <w:pBdr>
          <w:top w:val="nil"/>
          <w:left w:val="nil"/>
          <w:bottom w:val="nil"/>
          <w:right w:val="nil"/>
          <w:between w:val="nil"/>
        </w:pBdr>
        <w:spacing w:line="360" w:lineRule="auto"/>
        <w:ind w:left="851" w:right="-876"/>
        <w:jc w:val="both"/>
        <w:rPr>
          <w:rFonts w:ascii="Palatino Linotype" w:eastAsia="Palatino Linotype" w:hAnsi="Palatino Linotype" w:cs="Palatino Linotype"/>
          <w:i/>
          <w:iCs/>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Atento a ello, es importante traer a contexto la Tesis Jurisprudencial Número 3ª./J.7/91, Publicada en el Semanario Judicial de la Federación y su Gaceta bajo el número de registro 174,177, que establece lo siguiente:</w:t>
      </w:r>
    </w:p>
    <w:p w:rsidR="00230CAA" w:rsidRDefault="00DA73C8">
      <w:pPr>
        <w:pBdr>
          <w:top w:val="nil"/>
          <w:left w:val="nil"/>
          <w:bottom w:val="nil"/>
          <w:right w:val="nil"/>
          <w:between w:val="nil"/>
        </w:pBdr>
        <w:spacing w:after="240"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30CAA" w:rsidRDefault="00DA73C8">
      <w:pPr>
        <w:numPr>
          <w:ilvl w:val="0"/>
          <w:numId w:val="3"/>
        </w:numPr>
        <w:spacing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En ese contexto, únicamente se hará pronunciamiento por la clasificación de la información de los servidores públicos que laboraban en el Sistema Municipal DIF Lerma respecto a las cartas de renuncia, motivo de la separación y fecha de inicio y término de la relación laboral. </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spacing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primer lugar debemos resaltar que el Sujeto Obligado no niega contar con la información señalada, por el contrario, se presume que dicha información la posee, genera o administra, pues asumió contar con ella, tan es así que hizo del conocimiento del particular, que la información solicitada es clasificada. </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tenidos que generarla no lo hizo o que no tuvo una existencia previa pero por razones diversas actualmente ya no existe en sus archivos, y la clasificación de manera contraria implica que la información se ubica en los archivos del Sujeto Obligado, tan es así que le otorga el carácter de confidencial o reservada.</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i/>
          <w:iCs/>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otras palabras, la clasificación y la inexistencia se excluyen entre sí, por tanto, si en el presente caso, el Sujeto Obligado negó la entrega de la información, está reconociendo implícitamente que los mismos obran en sus archivos. Tiene aplicación al respecto, el criterio 29/10 sostenido por el Instituto Nacional de Transparencia, Acceso a la Información y Protección de Datos Personales, mismo que se señala lo siguiente:</w:t>
      </w:r>
    </w:p>
    <w:p w:rsidR="00230CAA" w:rsidRDefault="00DA73C8">
      <w:pPr>
        <w:pBdr>
          <w:top w:val="nil"/>
          <w:left w:val="nil"/>
          <w:bottom w:val="nil"/>
          <w:right w:val="nil"/>
          <w:between w:val="nil"/>
        </w:pBd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La clasificación y la inexistencia de información son conceptos que no pueden coexistir. </w:t>
      </w:r>
      <w:r>
        <w:rPr>
          <w:rFonts w:ascii="Palatino Linotype" w:eastAsia="Palatino Linotype" w:hAnsi="Palatino Linotype" w:cs="Palatino Linotype"/>
          <w:i/>
          <w:iCs/>
          <w:color w:val="000000"/>
        </w:rPr>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230CAA" w:rsidRDefault="00230CAA">
      <w:pPr>
        <w:pBdr>
          <w:top w:val="nil"/>
          <w:left w:val="nil"/>
          <w:bottom w:val="nil"/>
          <w:right w:val="nil"/>
          <w:between w:val="nil"/>
        </w:pBdr>
        <w:spacing w:line="474" w:lineRule="auto"/>
        <w:ind w:left="851" w:right="-876"/>
        <w:jc w:val="both"/>
        <w:rPr>
          <w:rFonts w:ascii="Palatino Linotype" w:eastAsia="Palatino Linotype" w:hAnsi="Palatino Linotype" w:cs="Palatino Linotype"/>
          <w:i/>
          <w:iCs/>
          <w:color w:val="000000"/>
        </w:rPr>
      </w:pPr>
    </w:p>
    <w:p w:rsidR="00230CAA" w:rsidRDefault="00DA73C8">
      <w:pPr>
        <w:numPr>
          <w:ilvl w:val="0"/>
          <w:numId w:val="3"/>
        </w:numPr>
        <w:spacing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razón de la pretendida clasificación de la información por parte del Sujeto Obligado, es importante señalar que la clasificación total o parcial de la información requerida mediante solicitud de acceso a la información pública, constituye una restricción al derecho humano de acceso a la información. </w:t>
      </w:r>
      <w:r>
        <w:rPr>
          <w:rFonts w:ascii="Palatino Linotype" w:eastAsia="Palatino Linotype" w:hAnsi="Palatino Linotype" w:cs="Palatino Linotype"/>
          <w:color w:val="000000"/>
        </w:rPr>
        <w:t>En este caso, es importante señalar que para la clasificación de la información se debe atender a ciertas formalidades establecidas en la Ley.</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0"/>
          <w:numId w:val="3"/>
        </w:numP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Al respecto, los Lineamientos Generales en Materia de Clasificación y Desclasificación de la Información, así Como para la Elaboración de Versiones Públicas, por cuanto hace a la clasificación de la información, señalan lo siguiente:</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Quincuagésimo.</w:t>
      </w:r>
      <w:r>
        <w:rPr>
          <w:rFonts w:ascii="Palatino Linotype" w:eastAsia="Palatino Linotype" w:hAnsi="Palatino Linotype" w:cs="Palatino Linotype"/>
          <w:i/>
          <w:iCs/>
          <w:color w:val="000000"/>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230CAA" w:rsidRDefault="00230CAA">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Quincuagésimo primero.</w:t>
      </w:r>
      <w:r>
        <w:rPr>
          <w:rFonts w:ascii="Palatino Linotype" w:eastAsia="Palatino Linotype" w:hAnsi="Palatino Linotype" w:cs="Palatino Linotype"/>
          <w:i/>
          <w:iCs/>
          <w:color w:val="000000"/>
        </w:rPr>
        <w:t xml:space="preserve"> La leyenda en los documentos clasificados indicará:</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 La fecha de sesión del Comité de Transparencia en donde se confirmó la clasificación, en su caso;</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 El nombre del área;</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La palabra reservado o confidencial;</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IV. Las partes o secciones reservadas o confidenciales, en su caso;</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 El fundamento legal;</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VI. El periodo de reserva, y</w:t>
      </w:r>
    </w:p>
    <w:p w:rsidR="00230CAA" w:rsidRDefault="00DA73C8">
      <w:pPr>
        <w:pBdr>
          <w:top w:val="nil"/>
          <w:left w:val="nil"/>
          <w:bottom w:val="nil"/>
          <w:right w:val="nil"/>
          <w:between w:val="nil"/>
        </w:pBdr>
        <w:tabs>
          <w:tab w:val="left" w:pos="142"/>
          <w:tab w:val="left" w:pos="284"/>
          <w:tab w:val="left" w:pos="851"/>
        </w:tabs>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VII. La rúbrica del titular del área.</w:t>
      </w:r>
    </w:p>
    <w:p w:rsidR="00230CAA" w:rsidRDefault="00230CAA">
      <w:pPr>
        <w:tabs>
          <w:tab w:val="left" w:pos="142"/>
          <w:tab w:val="left" w:pos="284"/>
          <w:tab w:val="left" w:pos="426"/>
        </w:tabs>
        <w:spacing w:line="360" w:lineRule="auto"/>
        <w:ind w:right="-876"/>
        <w:jc w:val="both"/>
        <w:rPr>
          <w:rFonts w:ascii="Palatino Linotype" w:eastAsia="Palatino Linotype" w:hAnsi="Palatino Linotype" w:cs="Palatino Linotype"/>
          <w:i/>
          <w:iCs/>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hecho lo anterior, se remite la información al Titular de la Unidad de Transparencia, con el acuerdo de clasificación correspondiente, para que sea </w:t>
      </w:r>
      <w:r>
        <w:rPr>
          <w:rFonts w:ascii="Palatino Linotype" w:eastAsia="Palatino Linotype" w:hAnsi="Palatino Linotype" w:cs="Palatino Linotype"/>
        </w:rPr>
        <w:t>sometida</w:t>
      </w:r>
      <w:r>
        <w:rPr>
          <w:rFonts w:ascii="Palatino Linotype" w:eastAsia="Palatino Linotype" w:hAnsi="Palatino Linotype" w:cs="Palatino Linotype"/>
          <w:color w:val="000000"/>
        </w:rPr>
        <w:t xml:space="preserve"> al conocimiento del Comité de Transparencia.</w:t>
      </w:r>
    </w:p>
    <w:p w:rsidR="00230CAA" w:rsidRDefault="00230CAA">
      <w:pPr>
        <w:pBdr>
          <w:top w:val="nil"/>
          <w:left w:val="nil"/>
          <w:bottom w:val="nil"/>
          <w:right w:val="nil"/>
          <w:between w:val="nil"/>
        </w:pBdr>
        <w:tabs>
          <w:tab w:val="left" w:pos="0"/>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cuenta con las facultades para </w:t>
      </w:r>
      <w:r>
        <w:rPr>
          <w:rFonts w:ascii="Palatino Linotype" w:eastAsia="Palatino Linotype" w:hAnsi="Palatino Linotype" w:cs="Palatino Linotype"/>
          <w:b/>
          <w:bCs/>
          <w:color w:val="000000"/>
          <w:u w:val="single"/>
        </w:rPr>
        <w:t>confirmar, modificar o revocar</w:t>
      </w:r>
      <w:r>
        <w:rPr>
          <w:rFonts w:ascii="Palatino Linotype" w:eastAsia="Palatino Linotype" w:hAnsi="Palatino Linotype" w:cs="Palatino Linotype"/>
          <w:color w:val="000000"/>
        </w:rPr>
        <w:t xml:space="preserve"> la clasificación de la información que ha hecho el titular del área que administra la información. Evidentemente, esta decisión implica una restricción a un derecho humano, por lo tanto, puede generar un agravio al particular y, en consecuencia, es necesario que </w:t>
      </w:r>
      <w:r>
        <w:rPr>
          <w:rFonts w:ascii="Palatino Linotype" w:eastAsia="Palatino Linotype" w:hAnsi="Palatino Linotype" w:cs="Palatino Linotype"/>
          <w:b/>
          <w:bCs/>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 es decir, que cumpla con el principio de reserva de ley.</w:t>
      </w:r>
    </w:p>
    <w:p w:rsidR="00230CAA" w:rsidRDefault="00230CAA">
      <w:pPr>
        <w:pBdr>
          <w:top w:val="nil"/>
          <w:left w:val="nil"/>
          <w:bottom w:val="nil"/>
          <w:right w:val="nil"/>
          <w:between w:val="nil"/>
        </w:pBdr>
        <w:tabs>
          <w:tab w:val="left" w:pos="0"/>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30CAA" w:rsidRDefault="00230CAA">
      <w:pPr>
        <w:pBdr>
          <w:top w:val="nil"/>
          <w:left w:val="nil"/>
          <w:bottom w:val="nil"/>
          <w:right w:val="nil"/>
          <w:between w:val="nil"/>
        </w:pBdr>
        <w:spacing w:line="360" w:lineRule="auto"/>
        <w:ind w:right="-876"/>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230CAA" w:rsidRDefault="00230CAA">
      <w:pPr>
        <w:pBdr>
          <w:top w:val="nil"/>
          <w:left w:val="nil"/>
          <w:bottom w:val="nil"/>
          <w:right w:val="nil"/>
          <w:between w:val="nil"/>
        </w:pBdr>
        <w:tabs>
          <w:tab w:val="left" w:pos="0"/>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30CAA" w:rsidRDefault="00230CAA">
      <w:pPr>
        <w:pBdr>
          <w:top w:val="nil"/>
          <w:left w:val="nil"/>
          <w:bottom w:val="nil"/>
          <w:right w:val="nil"/>
          <w:between w:val="nil"/>
        </w:pBdr>
        <w:tabs>
          <w:tab w:val="left" w:pos="0"/>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intérprete judicial del país ha establecido una jurisprudencia respecto a qué debe entenderse por fundamentación y motivación, en los siguientes términos:</w:t>
      </w:r>
    </w:p>
    <w:p w:rsidR="00230CAA" w:rsidRDefault="00DA73C8">
      <w:pP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FUNDAMENTACIÓN Y MOTIVACIÓN.</w:t>
      </w:r>
      <w:r>
        <w:rPr>
          <w:rFonts w:ascii="Palatino Linotype" w:eastAsia="Palatino Linotype" w:hAnsi="Palatino Linotype" w:cs="Palatino Linotype"/>
          <w:i/>
          <w:iCs/>
          <w:color w:val="000000"/>
        </w:rPr>
        <w:t xml:space="preserve"> “La </w:t>
      </w:r>
      <w:r>
        <w:rPr>
          <w:rFonts w:ascii="Palatino Linotype" w:eastAsia="Palatino Linotype" w:hAnsi="Palatino Linotype" w:cs="Palatino Linotype"/>
          <w:i/>
          <w:iCs/>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iCs/>
          <w:color w:val="000000"/>
        </w:rPr>
        <w:t>.”</w:t>
      </w:r>
    </w:p>
    <w:p w:rsidR="00230CAA" w:rsidRDefault="00DA73C8">
      <w:pP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SEGUNDO TRIBUNAL COLEGIADO DEL SEXTO CIRCUITO.</w:t>
      </w:r>
    </w:p>
    <w:p w:rsidR="00230CAA" w:rsidRDefault="00DA73C8">
      <w:pP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Amparo directo 194/88. Bufete Industrial Construcciones, S.A. de C.V. 28 de junio de 1988. Unanimidad de votos. Ponente: Gustavo Calvillo Rangel. Secretario: Jorge Alberto González Álvarez.</w:t>
      </w:r>
    </w:p>
    <w:p w:rsidR="00230CAA" w:rsidRDefault="00DA73C8">
      <w:pP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Revisión fiscal 103/88. Instituto Mexicano del Seguro Social. 18 de octubre de 1988. Unanimidad de votos. Ponente: Arnoldo Nájera Virgen. Secretario: Alejandro Esponda Rincón.</w:t>
      </w:r>
    </w:p>
    <w:p w:rsidR="00230CAA" w:rsidRDefault="00DA73C8">
      <w:pP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Amparo en revisión 333/88. Adilia Romero. 26 de octubre de 1988. Unanimidad de votos. Ponente: Arnoldo Nájera Virgen. Secretario: Enrique Crispín Campos Ramírez.</w:t>
      </w:r>
    </w:p>
    <w:p w:rsidR="00230CAA" w:rsidRDefault="00DA73C8">
      <w:pP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Amparo en revisión 597/95. Emilio Maurer Bretón. 15 de noviembre de 1995. Unanimidad de votos. Ponente: Clementina Ramírez Moguel Goyzueta. Secretario: Gonzalo Carrera Molina.</w:t>
      </w:r>
    </w:p>
    <w:p w:rsidR="00230CAA" w:rsidRDefault="00DA73C8">
      <w:pPr>
        <w:spacing w:line="276" w:lineRule="auto"/>
        <w:ind w:left="851"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Amparo directo 7/96. Pedro Vicente López Miro. 21 de febrero de 1996. Unanimidad de votos. Ponente: María Eugenia Estela Martínez Cardiel. Secretario: Enrique Baigts Muñoz.</w:t>
      </w: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w:t>
      </w:r>
      <w:r>
        <w:rPr>
          <w:rFonts w:ascii="Palatino Linotype" w:eastAsia="Palatino Linotype" w:hAnsi="Palatino Linotype" w:cs="Palatino Linotype"/>
          <w:color w:val="000000"/>
        </w:rPr>
        <w:lastRenderedPageBreak/>
        <w:t>razones, motivos o circunstancias que tomó en cuenta la autoridad para adecuar el hecho a los fundamentos de derecho.</w:t>
      </w:r>
    </w:p>
    <w:p w:rsidR="00230CAA" w:rsidRDefault="00230CAA">
      <w:pPr>
        <w:pBdr>
          <w:top w:val="nil"/>
          <w:left w:val="nil"/>
          <w:bottom w:val="nil"/>
          <w:right w:val="nil"/>
          <w:between w:val="nil"/>
        </w:pBdr>
        <w:tabs>
          <w:tab w:val="left" w:pos="0"/>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30CAA" w:rsidRDefault="00230CAA">
      <w:pPr>
        <w:pBdr>
          <w:top w:val="nil"/>
          <w:left w:val="nil"/>
          <w:bottom w:val="nil"/>
          <w:right w:val="nil"/>
          <w:between w:val="nil"/>
        </w:pBdr>
        <w:tabs>
          <w:tab w:val="left" w:pos="0"/>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spacing w:line="360" w:lineRule="auto"/>
        <w:ind w:left="0" w:right="-876"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En este contexto, si bien el Sujeto Obligado manifestó que la información solicitada se encuentra en el supuesto de información susceptible de clasificarse como confidencial, debió atender a las formalidades establecidas en la Ley. Del </w:t>
      </w:r>
      <w:r>
        <w:rPr>
          <w:rFonts w:ascii="Palatino Linotype" w:eastAsia="Palatino Linotype" w:hAnsi="Palatino Linotype" w:cs="Palatino Linotype"/>
        </w:rPr>
        <w:t xml:space="preserve">presente caso, se advierte que la información solicitada referente al nombre de los ex servidores públicos, su cargo al momento de la baja, la fecha de inicio de la relación laboral y la fecha de baja corresponde a información pública, ya que se generó en ejercicio de sus funciones y es información que abona a la transparencia y a la rendición de cuentas. </w:t>
      </w:r>
    </w:p>
    <w:p w:rsidR="00230CAA" w:rsidRDefault="00230CAA">
      <w:pPr>
        <w:pBdr>
          <w:top w:val="nil"/>
          <w:left w:val="nil"/>
          <w:bottom w:val="nil"/>
          <w:right w:val="nil"/>
          <w:between w:val="nil"/>
        </w:pBdr>
        <w:ind w:left="720" w:right="-876"/>
        <w:rPr>
          <w:rFonts w:ascii="Palatino Linotype" w:eastAsia="Palatino Linotype" w:hAnsi="Palatino Linotype" w:cs="Palatino Linotype"/>
          <w:color w:val="000000"/>
        </w:rPr>
      </w:pPr>
    </w:p>
    <w:p w:rsidR="00230CAA" w:rsidRDefault="00DA73C8">
      <w:pPr>
        <w:numPr>
          <w:ilvl w:val="0"/>
          <w:numId w:val="3"/>
        </w:numP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referente a la renuncia, conviene señalar que </w:t>
      </w:r>
      <w:r>
        <w:rPr>
          <w:rFonts w:ascii="Palatino Linotype" w:eastAsia="Palatino Linotype" w:hAnsi="Palatino Linotype" w:cs="Palatino Linotype"/>
        </w:rPr>
        <w:t>la Ley del Trabajo de los Servidores Públicos del Estado y Municipios, establece lo siguiente:</w:t>
      </w:r>
    </w:p>
    <w:p w:rsidR="00230CAA" w:rsidRDefault="00DA73C8">
      <w:pPr>
        <w:tabs>
          <w:tab w:val="left" w:pos="2595"/>
        </w:tabs>
        <w:spacing w:line="360" w:lineRule="auto"/>
        <w:ind w:right="-876"/>
        <w:jc w:val="center"/>
        <w:rPr>
          <w:rFonts w:ascii="Palatino Linotype" w:eastAsia="Palatino Linotype" w:hAnsi="Palatino Linotype" w:cs="Palatino Linotype"/>
          <w:i/>
          <w:iCs/>
        </w:rPr>
      </w:pPr>
      <w:r>
        <w:rPr>
          <w:rFonts w:ascii="Palatino Linotype" w:eastAsia="Palatino Linotype" w:hAnsi="Palatino Linotype" w:cs="Palatino Linotype"/>
          <w:i/>
          <w:iCs/>
        </w:rPr>
        <w:t>CAPITULO VII</w:t>
      </w:r>
    </w:p>
    <w:p w:rsidR="00230CAA" w:rsidRDefault="00DA73C8">
      <w:pPr>
        <w:tabs>
          <w:tab w:val="left" w:pos="2595"/>
        </w:tabs>
        <w:spacing w:line="360" w:lineRule="auto"/>
        <w:ind w:right="-876"/>
        <w:jc w:val="center"/>
        <w:rPr>
          <w:rFonts w:ascii="Palatino Linotype" w:eastAsia="Palatino Linotype" w:hAnsi="Palatino Linotype" w:cs="Palatino Linotype"/>
          <w:i/>
          <w:iCs/>
        </w:rPr>
      </w:pPr>
      <w:r>
        <w:rPr>
          <w:rFonts w:ascii="Palatino Linotype" w:eastAsia="Palatino Linotype" w:hAnsi="Palatino Linotype" w:cs="Palatino Linotype"/>
          <w:i/>
          <w:iCs/>
        </w:rPr>
        <w:t>De la Terminación de la Relación Laboral</w:t>
      </w:r>
    </w:p>
    <w:p w:rsidR="00230CAA" w:rsidRDefault="00DA73C8">
      <w:pPr>
        <w:pBdr>
          <w:top w:val="nil"/>
          <w:left w:val="nil"/>
          <w:bottom w:val="nil"/>
          <w:right w:val="nil"/>
          <w:between w:val="nil"/>
        </w:pBdr>
        <w:tabs>
          <w:tab w:val="left" w:pos="2595"/>
        </w:tabs>
        <w:spacing w:line="360" w:lineRule="auto"/>
        <w:ind w:left="928"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89.</w:t>
      </w:r>
      <w:r>
        <w:rPr>
          <w:rFonts w:ascii="Palatino Linotype" w:eastAsia="Palatino Linotype" w:hAnsi="Palatino Linotype" w:cs="Palatino Linotype"/>
          <w:i/>
          <w:iCs/>
          <w:color w:val="000000"/>
        </w:rPr>
        <w:t xml:space="preserve"> Son causas de terminación de la relación laboral sin responsabilidad para las instituciones públicas:</w:t>
      </w:r>
    </w:p>
    <w:p w:rsidR="00230CAA" w:rsidRDefault="00DA73C8">
      <w:pPr>
        <w:pBdr>
          <w:top w:val="nil"/>
          <w:left w:val="nil"/>
          <w:bottom w:val="nil"/>
          <w:right w:val="nil"/>
          <w:between w:val="nil"/>
        </w:pBdr>
        <w:tabs>
          <w:tab w:val="left" w:pos="2595"/>
        </w:tabs>
        <w:spacing w:line="360" w:lineRule="auto"/>
        <w:ind w:left="928" w:right="-876"/>
        <w:jc w:val="both"/>
        <w:rPr>
          <w:rFonts w:ascii="Palatino Linotype" w:eastAsia="Palatino Linotype" w:hAnsi="Palatino Linotype" w:cs="Palatino Linotype"/>
          <w:b/>
          <w:bCs/>
          <w:i/>
          <w:iCs/>
          <w:color w:val="000000"/>
          <w:u w:val="single"/>
        </w:rPr>
      </w:pPr>
      <w:r>
        <w:rPr>
          <w:rFonts w:ascii="Palatino Linotype" w:eastAsia="Palatino Linotype" w:hAnsi="Palatino Linotype" w:cs="Palatino Linotype"/>
          <w:b/>
          <w:bCs/>
          <w:i/>
          <w:iCs/>
          <w:color w:val="000000"/>
          <w:u w:val="single"/>
        </w:rPr>
        <w:t>I. La renuncia del servidor público;</w:t>
      </w:r>
    </w:p>
    <w:p w:rsidR="00230CAA" w:rsidRDefault="00DA73C8">
      <w:pPr>
        <w:pBdr>
          <w:top w:val="nil"/>
          <w:left w:val="nil"/>
          <w:bottom w:val="nil"/>
          <w:right w:val="nil"/>
          <w:between w:val="nil"/>
        </w:pBdr>
        <w:tabs>
          <w:tab w:val="left" w:pos="2595"/>
        </w:tabs>
        <w:spacing w:line="360" w:lineRule="auto"/>
        <w:ind w:left="928"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 El mutuo consentimiento de las partes;</w:t>
      </w:r>
    </w:p>
    <w:p w:rsidR="00230CAA" w:rsidRDefault="00DA73C8">
      <w:pPr>
        <w:pBdr>
          <w:top w:val="nil"/>
          <w:left w:val="nil"/>
          <w:bottom w:val="nil"/>
          <w:right w:val="nil"/>
          <w:between w:val="nil"/>
        </w:pBdr>
        <w:tabs>
          <w:tab w:val="left" w:pos="2595"/>
        </w:tabs>
        <w:spacing w:line="360" w:lineRule="auto"/>
        <w:ind w:left="928"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El vencimiento del término o conclusión de la obra determinantes de la contratación;</w:t>
      </w:r>
    </w:p>
    <w:p w:rsidR="00230CAA" w:rsidRDefault="00DA73C8">
      <w:pPr>
        <w:pBdr>
          <w:top w:val="nil"/>
          <w:left w:val="nil"/>
          <w:bottom w:val="nil"/>
          <w:right w:val="nil"/>
          <w:between w:val="nil"/>
        </w:pBdr>
        <w:tabs>
          <w:tab w:val="left" w:pos="2595"/>
        </w:tabs>
        <w:spacing w:line="360" w:lineRule="auto"/>
        <w:ind w:left="928"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IV. El término o conclusión de la administración en la cual fue contratado el servidor público a que se refiere el artículo 8 de ésta Ley;</w:t>
      </w:r>
    </w:p>
    <w:p w:rsidR="00230CAA" w:rsidRDefault="00DA73C8">
      <w:pPr>
        <w:pBdr>
          <w:top w:val="nil"/>
          <w:left w:val="nil"/>
          <w:bottom w:val="nil"/>
          <w:right w:val="nil"/>
          <w:between w:val="nil"/>
        </w:pBdr>
        <w:tabs>
          <w:tab w:val="left" w:pos="2595"/>
        </w:tabs>
        <w:spacing w:line="360" w:lineRule="auto"/>
        <w:ind w:left="928"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 La muerte del servidor público; y</w:t>
      </w:r>
    </w:p>
    <w:p w:rsidR="00230CAA" w:rsidRDefault="00DA73C8">
      <w:pPr>
        <w:pBdr>
          <w:top w:val="nil"/>
          <w:left w:val="nil"/>
          <w:bottom w:val="nil"/>
          <w:right w:val="nil"/>
          <w:between w:val="nil"/>
        </w:pBdr>
        <w:tabs>
          <w:tab w:val="left" w:pos="2595"/>
        </w:tabs>
        <w:spacing w:line="360" w:lineRule="auto"/>
        <w:ind w:left="928"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VI. La incapacidad permanente del servidor público que le impida el desempeño de sus labores.</w:t>
      </w:r>
    </w:p>
    <w:p w:rsidR="00230CAA" w:rsidRDefault="00230CAA">
      <w:pPr>
        <w:pBdr>
          <w:top w:val="nil"/>
          <w:left w:val="nil"/>
          <w:bottom w:val="nil"/>
          <w:right w:val="nil"/>
          <w:between w:val="nil"/>
        </w:pBdr>
        <w:tabs>
          <w:tab w:val="left" w:pos="2595"/>
        </w:tabs>
        <w:spacing w:line="360" w:lineRule="auto"/>
        <w:ind w:left="928" w:right="-876"/>
        <w:rPr>
          <w:rFonts w:ascii="Palatino Linotype" w:eastAsia="Palatino Linotype" w:hAnsi="Palatino Linotype" w:cs="Palatino Linotype"/>
          <w:i/>
          <w:iCs/>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la Ley Federal de Trabajo no dispone que el trabajador deba dar cumplimiento a alguna formalidad legal, sin embargo, de acuerdo con nuestro máximo Tribunal de Justicia en México, esta debe de establecer lo siguiente; </w:t>
      </w:r>
    </w:p>
    <w:p w:rsidR="00230CAA" w:rsidRDefault="00DA73C8">
      <w:pPr>
        <w:pBdr>
          <w:top w:val="nil"/>
          <w:left w:val="nil"/>
          <w:bottom w:val="nil"/>
          <w:right w:val="nil"/>
          <w:between w:val="nil"/>
        </w:pBdr>
        <w:spacing w:line="360" w:lineRule="auto"/>
        <w:ind w:left="851" w:right="-876"/>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RENUNCIA AL TRABAJO, DEBE CONSTAR DE MANERA INDUBITABLE.</w:t>
      </w:r>
      <w:r>
        <w:rPr>
          <w:rFonts w:ascii="Palatino Linotype" w:eastAsia="Palatino Linotype" w:hAnsi="Palatino Linotype" w:cs="Palatino Linotype"/>
          <w:i/>
          <w:iCs/>
          <w:color w:val="000000"/>
        </w:rPr>
        <w:t xml:space="preserve"> La renuncia consiste en la manifestación unilateral del trabajador, expresando su deseo o intención de ya no prestar sus servicios al patrón, según lo definió la entonces Cuarta Sala de la Suprema Corte de Justicia de la Nación, en la tesis jurisprudencial por contradicción No. 37/94, publicada en la página 23, de la Gaceta del Semanario Judicial de la Federación, Número 81, septiembre de 1994 que dice: "RENUNCIA VERBAL. VALIDEZ LEGAL DE LA. La renuncia a seguir prestando servicios representa el libre ejercicio de un derecho del trabajador y es un acto unilateral que por sí solo surte efectos, procediendo la terminación de la relación laboral. Dicha renuncia sea oral o por escrito no necesita del cumplimiento de posteriores formalidades o requisitos y, por lo mismo, para su validez no requiere de ratificación ni de aprobación por la autoridad laboral, puesto que no constituye un convenio de aquellos a los que alude el artículo 33 de la Ley Federal del Trabajo."; sin embargo, para que se tenga por actualizado ese supuesto de renuncia, </w:t>
      </w:r>
      <w:r>
        <w:rPr>
          <w:rFonts w:ascii="Palatino Linotype" w:eastAsia="Palatino Linotype" w:hAnsi="Palatino Linotype" w:cs="Palatino Linotype"/>
          <w:b/>
          <w:bCs/>
          <w:i/>
          <w:iCs/>
          <w:color w:val="000000"/>
        </w:rPr>
        <w:t>la misma debe acreditarse de manera fehaciente e indubitable de modo tal, que no quede lugar a dudas en cuanto a esa manifestación unilateral de la voluntad con la que el trabajador decide poner fin a la relación laboral.</w:t>
      </w:r>
    </w:p>
    <w:p w:rsidR="00230CAA" w:rsidRDefault="00230CAA">
      <w:pPr>
        <w:pBdr>
          <w:top w:val="nil"/>
          <w:left w:val="nil"/>
          <w:bottom w:val="nil"/>
          <w:right w:val="nil"/>
          <w:between w:val="nil"/>
        </w:pBdr>
        <w:spacing w:line="360" w:lineRule="auto"/>
        <w:ind w:left="567" w:right="-876"/>
        <w:jc w:val="both"/>
        <w:rPr>
          <w:rFonts w:ascii="Palatino Linotype" w:eastAsia="Palatino Linotype" w:hAnsi="Palatino Linotype" w:cs="Palatino Linotype"/>
          <w:b/>
          <w:bCs/>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No obstante, como se estableció si bien, la renuncia, no necesita del cumplimiento de posteriores formalidades o requisitos y la Ley Federal del Trabajo, no establece requisitos formales para el escrito de renuncia, sin embargo, al ser un escrito libre, el documento por medio del cual se hace valer dicha terminación laboral de </w:t>
      </w:r>
      <w:r>
        <w:rPr>
          <w:rFonts w:ascii="Palatino Linotype" w:eastAsia="Palatino Linotype" w:hAnsi="Palatino Linotype" w:cs="Palatino Linotype"/>
          <w:b/>
          <w:bCs/>
          <w:color w:val="000000"/>
        </w:rPr>
        <w:t xml:space="preserve">manera enunciativa más no limitativa pudiera </w:t>
      </w:r>
      <w:r>
        <w:rPr>
          <w:rFonts w:ascii="Palatino Linotype" w:eastAsia="Palatino Linotype" w:hAnsi="Palatino Linotype" w:cs="Palatino Linotype"/>
          <w:color w:val="000000"/>
        </w:rPr>
        <w:t>contener la siguiente información;</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color w:val="000000"/>
        </w:rPr>
      </w:pPr>
      <w:bookmarkStart w:id="8" w:name="_heading=h.24vmonwa729h" w:colFirst="0" w:colLast="0"/>
      <w:bookmarkEnd w:id="8"/>
      <w:r>
        <w:rPr>
          <w:rFonts w:ascii="Palatino Linotype" w:eastAsia="Palatino Linotype" w:hAnsi="Palatino Linotype" w:cs="Palatino Linotype"/>
          <w:color w:val="000000"/>
        </w:rPr>
        <w:t>Lugar y fecha del escrito de renuncia.</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Nombre del patrón a quien se dirige la renuncia. </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Manifestación de la voluntad de renunciar. </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Tipo de relación laboral o contrato de trabajo. </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Puesto del trabajador.</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Motivos de la renuncia. </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 y firma del trabajador</w:t>
      </w:r>
    </w:p>
    <w:p w:rsidR="00230CAA" w:rsidRDefault="00DA73C8">
      <w:pPr>
        <w:numPr>
          <w:ilvl w:val="0"/>
          <w:numId w:val="2"/>
        </w:numPr>
        <w:pBdr>
          <w:top w:val="nil"/>
          <w:left w:val="nil"/>
          <w:bottom w:val="nil"/>
          <w:right w:val="nil"/>
          <w:between w:val="nil"/>
        </w:pBdr>
        <w:spacing w:line="360" w:lineRule="auto"/>
        <w:ind w:left="993" w:right="-8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Huella digital del trabajador</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tabs>
          <w:tab w:val="left" w:pos="0"/>
          <w:tab w:val="left" w:pos="426"/>
        </w:tabs>
        <w:spacing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w:t>
      </w:r>
      <w:r>
        <w:rPr>
          <w:rFonts w:ascii="Palatino Linotype" w:eastAsia="Palatino Linotype" w:hAnsi="Palatino Linotype" w:cs="Palatino Linotype"/>
          <w:b/>
          <w:bCs/>
        </w:rPr>
        <w:t xml:space="preserve">los motivos de renuncia  </w:t>
      </w:r>
      <w:r>
        <w:rPr>
          <w:rFonts w:ascii="Palatino Linotype" w:eastAsia="Palatino Linotype" w:hAnsi="Palatino Linotype" w:cs="Palatino Linotype"/>
        </w:rPr>
        <w:t xml:space="preserve">consisten en la </w:t>
      </w:r>
      <w:r>
        <w:rPr>
          <w:rFonts w:ascii="Palatino Linotype" w:eastAsia="Palatino Linotype" w:hAnsi="Palatino Linotype" w:cs="Palatino Linotype"/>
          <w:b/>
          <w:bCs/>
        </w:rPr>
        <w:t xml:space="preserve">relación circunstanciada de los hechos que causaron la terminación de </w:t>
      </w:r>
      <w:r>
        <w:rPr>
          <w:rFonts w:ascii="Palatino Linotype" w:eastAsia="Palatino Linotype" w:hAnsi="Palatino Linotype" w:cs="Palatino Linotype"/>
        </w:rPr>
        <w:t>la relación laboral, y de los cuales se podría desprender información relacionada directamente con la vida privada y la intimidad de las personas involucradas, que a manera de ejemplo pudiesen ser cuestiones que versen sobre su estado de salud</w:t>
      </w:r>
      <w:r>
        <w:rPr>
          <w:rFonts w:ascii="Palatino Linotype" w:eastAsia="Palatino Linotype" w:hAnsi="Palatino Linotype" w:cs="Palatino Linotype"/>
          <w:b/>
          <w:bCs/>
        </w:rPr>
        <w:t>, aspectos salariales o temas subjetivos sobre el ambiente laboral</w:t>
      </w:r>
      <w:r>
        <w:rPr>
          <w:rFonts w:ascii="Palatino Linotype" w:eastAsia="Palatino Linotype" w:hAnsi="Palatino Linotype" w:cs="Palatino Linotype"/>
        </w:rPr>
        <w:t xml:space="preserve">, situaciones que en nada se relacionan con la rendición de cuentas o con el cumplimiento de una obligación de transparencia por parte del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y los cuales resultan </w:t>
      </w:r>
      <w:r>
        <w:rPr>
          <w:rFonts w:ascii="Palatino Linotype" w:eastAsia="Palatino Linotype" w:hAnsi="Palatino Linotype" w:cs="Palatino Linotype"/>
          <w:b/>
          <w:bCs/>
        </w:rPr>
        <w:t xml:space="preserve">procedentes ser clasificados como confidenciales. </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Al respecto, debemos señalar que el acceso a la información es un derecho humano constitucional y convencionalmente reconocido y para tal efecto el párrafo tercero del artículo primero de la Constitución Política de los Estados Unidos Mexicanos establece el deber de todas las autoridades, </w:t>
      </w:r>
      <w:r>
        <w:rPr>
          <w:rFonts w:ascii="Palatino Linotype" w:eastAsia="Palatino Linotype" w:hAnsi="Palatino Linotype" w:cs="Palatino Linotype"/>
          <w:i/>
          <w:iCs/>
          <w:color w:val="000000"/>
        </w:rPr>
        <w:t xml:space="preserve">en el ámbito de sus atribuciones, de promover, respetar, proteger y </w:t>
      </w:r>
      <w:r>
        <w:rPr>
          <w:rFonts w:ascii="Palatino Linotype" w:eastAsia="Palatino Linotype" w:hAnsi="Palatino Linotype" w:cs="Palatino Linotype"/>
          <w:b/>
          <w:bCs/>
          <w:i/>
          <w:iCs/>
          <w:color w:val="000000"/>
        </w:rPr>
        <w:t>garantizar</w:t>
      </w:r>
      <w:r>
        <w:rPr>
          <w:rFonts w:ascii="Palatino Linotype" w:eastAsia="Palatino Linotype" w:hAnsi="Palatino Linotype" w:cs="Palatino Linotype"/>
          <w:i/>
          <w:iCs/>
          <w:color w:val="000000"/>
        </w:rPr>
        <w:t xml:space="preserve"> los derechos humanos. </w:t>
      </w:r>
      <w:r>
        <w:rPr>
          <w:rFonts w:ascii="Palatino Linotype" w:eastAsia="Palatino Linotype" w:hAnsi="Palatino Linotype" w:cs="Palatino Linotype"/>
          <w:color w:val="000000"/>
        </w:rPr>
        <w:t>En cuanto al derecho de acceso a la información, la Ley de Transparencia y Acceso a la Información Pública del Estado de México y Municipios prevé establece que</w:t>
      </w:r>
      <w:r>
        <w:rPr>
          <w:rFonts w:ascii="Palatino Linotype" w:eastAsia="Palatino Linotype" w:hAnsi="Palatino Linotype" w:cs="Palatino Linotype"/>
          <w:b/>
          <w:bCs/>
          <w:i/>
          <w:iCs/>
          <w:color w:val="000000"/>
        </w:rPr>
        <w:t xml:space="preserve"> e</w:t>
      </w:r>
      <w:r>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Pr>
          <w:rFonts w:ascii="Palatino Linotype" w:eastAsia="Palatino Linotype" w:hAnsi="Palatino Linotype" w:cs="Palatino Linotype"/>
          <w:i/>
          <w:iCs/>
          <w:color w:val="000000"/>
          <w:vertAlign w:val="superscript"/>
        </w:rPr>
        <w:footnoteReference w:id="1"/>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asimismo establece</w:t>
      </w:r>
      <w:r>
        <w:rPr>
          <w:rFonts w:ascii="Palatino Linotype" w:eastAsia="Palatino Linotype" w:hAnsi="Palatino Linotype" w:cs="Palatino Linotype"/>
          <w:i/>
          <w:iCs/>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426"/>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Palatino Linotype" w:hAnsi="Palatino Linotype" w:cs="Palatino Linotype"/>
          <w:b/>
          <w:bCs/>
          <w:color w:val="000000"/>
        </w:rPr>
        <w:t>los Sujetos Obligados deberán documentar todo acto que se derive del ejercicio de sus facultades, competencias o funciones,</w:t>
      </w:r>
      <w:r>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rsidR="00230CAA" w:rsidRDefault="00230CAA">
      <w:pPr>
        <w:pBdr>
          <w:top w:val="nil"/>
          <w:left w:val="nil"/>
          <w:bottom w:val="nil"/>
          <w:right w:val="nil"/>
          <w:between w:val="nil"/>
        </w:pBdr>
        <w:spacing w:line="360" w:lineRule="auto"/>
        <w:ind w:left="720" w:right="-876"/>
        <w:jc w:val="both"/>
        <w:rPr>
          <w:rFonts w:ascii="Palatino Linotype" w:eastAsia="Palatino Linotype" w:hAnsi="Palatino Linotype" w:cs="Palatino Linotype"/>
          <w:i/>
          <w:iCs/>
          <w:color w:val="000000"/>
        </w:rPr>
      </w:pPr>
    </w:p>
    <w:p w:rsidR="00230CAA" w:rsidRDefault="00DA73C8">
      <w:pPr>
        <w:numPr>
          <w:ilvl w:val="0"/>
          <w:numId w:val="3"/>
        </w:numPr>
        <w:pBdr>
          <w:top w:val="nil"/>
          <w:left w:val="nil"/>
          <w:bottom w:val="nil"/>
          <w:right w:val="nil"/>
          <w:between w:val="nil"/>
        </w:pBdr>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Además, debemos tomar en cuenta los artículos 4 y 12, de la Ley de Transparencia y Acceso a la Información Pública del Estado de México y Municipios, los cuales establecen lo siguiente:</w:t>
      </w:r>
    </w:p>
    <w:p w:rsidR="00230CAA" w:rsidRDefault="00DA73C8">
      <w:pPr>
        <w:spacing w:line="276" w:lineRule="auto"/>
        <w:ind w:left="567" w:right="-876"/>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4. </w:t>
      </w:r>
      <w:r>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rsidR="00230CAA" w:rsidRDefault="00230CAA">
      <w:pPr>
        <w:spacing w:line="276" w:lineRule="auto"/>
        <w:ind w:left="567" w:right="-876"/>
        <w:jc w:val="both"/>
        <w:rPr>
          <w:rFonts w:ascii="Palatino Linotype" w:eastAsia="Palatino Linotype" w:hAnsi="Palatino Linotype" w:cs="Palatino Linotype"/>
          <w:i/>
          <w:iCs/>
        </w:rPr>
      </w:pPr>
    </w:p>
    <w:p w:rsidR="00230CAA" w:rsidRDefault="00DA73C8">
      <w:pPr>
        <w:spacing w:line="276" w:lineRule="auto"/>
        <w:ind w:left="567" w:right="-876"/>
        <w:jc w:val="both"/>
        <w:rPr>
          <w:rFonts w:ascii="Palatino Linotype" w:eastAsia="Palatino Linotype" w:hAnsi="Palatino Linotype" w:cs="Palatino Linotype"/>
          <w:i/>
          <w:iCs/>
        </w:rPr>
      </w:pPr>
      <w:r>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30CAA" w:rsidRDefault="00230CAA">
      <w:pPr>
        <w:spacing w:line="276" w:lineRule="auto"/>
        <w:ind w:left="567" w:right="-876"/>
        <w:jc w:val="both"/>
        <w:rPr>
          <w:rFonts w:ascii="Palatino Linotype" w:eastAsia="Palatino Linotype" w:hAnsi="Palatino Linotype" w:cs="Palatino Linotype"/>
          <w:i/>
          <w:iCs/>
        </w:rPr>
      </w:pPr>
    </w:p>
    <w:p w:rsidR="00230CAA" w:rsidRDefault="00DA73C8">
      <w:pPr>
        <w:spacing w:line="276" w:lineRule="auto"/>
        <w:ind w:left="567" w:right="-876"/>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rsidR="00230CAA" w:rsidRDefault="00230CAA">
      <w:pPr>
        <w:spacing w:line="276" w:lineRule="auto"/>
        <w:ind w:right="-876"/>
        <w:jc w:val="both"/>
        <w:rPr>
          <w:rFonts w:ascii="Palatino Linotype" w:eastAsia="Palatino Linotype" w:hAnsi="Palatino Linotype" w:cs="Palatino Linotype"/>
          <w:i/>
          <w:iCs/>
          <w:color w:val="000000"/>
        </w:rPr>
      </w:pPr>
    </w:p>
    <w:p w:rsidR="00230CAA" w:rsidRDefault="00DA73C8">
      <w:pPr>
        <w:spacing w:line="276" w:lineRule="auto"/>
        <w:ind w:left="567" w:right="-876"/>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12. </w:t>
      </w:r>
      <w:r>
        <w:rPr>
          <w:rFonts w:ascii="Palatino Linotype" w:eastAsia="Palatino Linotype" w:hAnsi="Palatino Linotype" w:cs="Palatino Linotype"/>
          <w:i/>
          <w:iCs/>
        </w:rPr>
        <w:t xml:space="preserve">Quienes generen, recopilen, administren, manejen, procesen, archiven o conserven información pública serán responsables de la misma en los términos de las disposiciones jurídicas aplicables. </w:t>
      </w:r>
    </w:p>
    <w:p w:rsidR="00230CAA" w:rsidRDefault="00230CAA">
      <w:pPr>
        <w:spacing w:line="276" w:lineRule="auto"/>
        <w:ind w:left="567" w:right="-876"/>
        <w:jc w:val="both"/>
        <w:rPr>
          <w:rFonts w:ascii="Palatino Linotype" w:eastAsia="Palatino Linotype" w:hAnsi="Palatino Linotype" w:cs="Palatino Linotype"/>
          <w:i/>
          <w:iCs/>
        </w:rPr>
      </w:pPr>
    </w:p>
    <w:p w:rsidR="00230CAA" w:rsidRDefault="00DA73C8">
      <w:pPr>
        <w:spacing w:line="276" w:lineRule="auto"/>
        <w:ind w:left="567" w:right="-87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w:t>
      </w:r>
      <w:r>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p>
    <w:p w:rsidR="00230CAA" w:rsidRDefault="00230CAA">
      <w:pPr>
        <w:spacing w:line="360" w:lineRule="auto"/>
        <w:ind w:left="567" w:right="-876"/>
        <w:jc w:val="both"/>
        <w:rPr>
          <w:rFonts w:ascii="Palatino Linotype" w:eastAsia="Palatino Linotype" w:hAnsi="Palatino Linotype" w:cs="Palatino Linotype"/>
          <w:i/>
          <w:iCs/>
          <w:color w:val="000000"/>
        </w:rPr>
      </w:pPr>
    </w:p>
    <w:p w:rsidR="00230CAA" w:rsidRDefault="00DA73C8">
      <w:pPr>
        <w:numPr>
          <w:ilvl w:val="0"/>
          <w:numId w:val="3"/>
        </w:numPr>
        <w:pBdr>
          <w:top w:val="nil"/>
          <w:left w:val="nil"/>
          <w:bottom w:val="nil"/>
          <w:right w:val="nil"/>
          <w:between w:val="nil"/>
        </w:pBdr>
        <w:tabs>
          <w:tab w:val="left" w:pos="851"/>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30CAA" w:rsidRDefault="00230CAA">
      <w:pPr>
        <w:pBdr>
          <w:top w:val="nil"/>
          <w:left w:val="nil"/>
          <w:bottom w:val="nil"/>
          <w:right w:val="nil"/>
          <w:between w:val="nil"/>
        </w:pBdr>
        <w:tabs>
          <w:tab w:val="left" w:pos="851"/>
        </w:tabs>
        <w:spacing w:line="360" w:lineRule="auto"/>
        <w:ind w:left="360" w:right="-876"/>
        <w:jc w:val="both"/>
        <w:rPr>
          <w:rFonts w:ascii="Palatino Linotype" w:eastAsia="Palatino Linotype" w:hAnsi="Palatino Linotype" w:cs="Palatino Linotype"/>
        </w:rPr>
      </w:pPr>
    </w:p>
    <w:p w:rsidR="00230CAA" w:rsidRDefault="00DA73C8">
      <w:pPr>
        <w:numPr>
          <w:ilvl w:val="0"/>
          <w:numId w:val="3"/>
        </w:numPr>
        <w:pBdr>
          <w:top w:val="nil"/>
          <w:left w:val="nil"/>
          <w:bottom w:val="nil"/>
          <w:right w:val="nil"/>
          <w:between w:val="nil"/>
        </w:pBdr>
        <w:tabs>
          <w:tab w:val="left" w:pos="851"/>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230CAA" w:rsidRDefault="00DA73C8">
      <w:pPr>
        <w:pBdr>
          <w:top w:val="nil"/>
          <w:left w:val="nil"/>
          <w:bottom w:val="nil"/>
          <w:right w:val="nil"/>
          <w:between w:val="nil"/>
        </w:pBdr>
        <w:tabs>
          <w:tab w:val="left" w:pos="851"/>
        </w:tabs>
        <w:spacing w:line="276" w:lineRule="auto"/>
        <w:ind w:left="567"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ACCESO A LA INFORMACIÓN. IMPLICACIÓN DEL PRINCIPIO DE MÁXIMA PUBLICIDAD EN EL DERECHO FUNDAMENTAL RELATIVO.</w:t>
      </w:r>
      <w:r>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w:t>
      </w:r>
      <w:r>
        <w:rPr>
          <w:rFonts w:ascii="Palatino Linotype" w:eastAsia="Palatino Linotype" w:hAnsi="Palatino Linotype" w:cs="Palatino Linotype"/>
          <w:i/>
          <w:iCs/>
          <w:color w:val="000000"/>
        </w:rPr>
        <w:lastRenderedPageBreak/>
        <w:t xml:space="preserve">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230CAA" w:rsidRDefault="00230CAA">
      <w:pPr>
        <w:pBdr>
          <w:top w:val="nil"/>
          <w:left w:val="nil"/>
          <w:bottom w:val="nil"/>
          <w:right w:val="nil"/>
          <w:between w:val="nil"/>
        </w:pBdr>
        <w:tabs>
          <w:tab w:val="left" w:pos="851"/>
        </w:tabs>
        <w:spacing w:line="276" w:lineRule="auto"/>
        <w:ind w:left="567" w:right="-876"/>
        <w:jc w:val="both"/>
        <w:rPr>
          <w:rFonts w:ascii="Palatino Linotype" w:eastAsia="Palatino Linotype" w:hAnsi="Palatino Linotype" w:cs="Palatino Linotype"/>
          <w:i/>
          <w:iCs/>
          <w:color w:val="000000"/>
        </w:rPr>
      </w:pPr>
    </w:p>
    <w:p w:rsidR="00230CAA" w:rsidRDefault="00DA73C8">
      <w:pPr>
        <w:pBdr>
          <w:top w:val="nil"/>
          <w:left w:val="nil"/>
          <w:bottom w:val="nil"/>
          <w:right w:val="nil"/>
          <w:between w:val="nil"/>
        </w:pBdr>
        <w:tabs>
          <w:tab w:val="left" w:pos="851"/>
        </w:tabs>
        <w:spacing w:line="276" w:lineRule="auto"/>
        <w:ind w:left="567"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CUARTO TRIBUNAL COLEGIADO EN MATERIA ADMINISTRATIVA DEL PRIMER CIRCUITO. </w:t>
      </w:r>
    </w:p>
    <w:p w:rsidR="00230CAA" w:rsidRDefault="00230CAA">
      <w:pPr>
        <w:pBdr>
          <w:top w:val="nil"/>
          <w:left w:val="nil"/>
          <w:bottom w:val="nil"/>
          <w:right w:val="nil"/>
          <w:between w:val="nil"/>
        </w:pBdr>
        <w:tabs>
          <w:tab w:val="left" w:pos="851"/>
        </w:tabs>
        <w:spacing w:line="276" w:lineRule="auto"/>
        <w:ind w:left="567" w:right="-876"/>
        <w:jc w:val="both"/>
        <w:rPr>
          <w:rFonts w:ascii="Palatino Linotype" w:eastAsia="Palatino Linotype" w:hAnsi="Palatino Linotype" w:cs="Palatino Linotype"/>
          <w:i/>
          <w:iCs/>
          <w:color w:val="000000"/>
        </w:rPr>
      </w:pPr>
    </w:p>
    <w:p w:rsidR="00230CAA" w:rsidRDefault="00DA73C8">
      <w:pPr>
        <w:pBdr>
          <w:top w:val="nil"/>
          <w:left w:val="nil"/>
          <w:bottom w:val="nil"/>
          <w:right w:val="nil"/>
          <w:between w:val="nil"/>
        </w:pBdr>
        <w:tabs>
          <w:tab w:val="left" w:pos="851"/>
        </w:tabs>
        <w:spacing w:line="276" w:lineRule="auto"/>
        <w:ind w:left="567" w:right="-8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Amparo en revisión 257/2012. Ruth Corona Muñoz. 6 de diciembre de 2012. Unanimidad de votos. Ponente: Jean Claude Tron Petit. Secretaria: Mayra Susana Martínez López.</w:t>
      </w:r>
    </w:p>
    <w:p w:rsidR="00230CAA" w:rsidRDefault="00230CAA">
      <w:pPr>
        <w:pBdr>
          <w:top w:val="nil"/>
          <w:left w:val="nil"/>
          <w:bottom w:val="nil"/>
          <w:right w:val="nil"/>
          <w:between w:val="nil"/>
        </w:pBdr>
        <w:spacing w:line="360" w:lineRule="auto"/>
        <w:ind w:left="720"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851"/>
        </w:tabs>
        <w:spacing w:after="240"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230CAA" w:rsidRDefault="00DA73C8">
      <w:pPr>
        <w:spacing w:line="276" w:lineRule="auto"/>
        <w:ind w:left="567" w:right="-876"/>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XI. Documento: </w:t>
      </w:r>
      <w:r>
        <w:rPr>
          <w:rFonts w:ascii="Palatino Linotype" w:eastAsia="Palatino Linotype" w:hAnsi="Palatino Linotype" w:cs="Palatino Linotype"/>
          <w:i/>
          <w:iCs/>
        </w:rPr>
        <w:t xml:space="preserve">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bCs/>
          <w:i/>
          <w:iCs/>
        </w:rPr>
        <w:t>cualquier otro registro</w:t>
      </w:r>
      <w:r>
        <w:rPr>
          <w:rFonts w:ascii="Palatino Linotype" w:eastAsia="Palatino Linotype" w:hAnsi="Palatino Linotype" w:cs="Palatino Linotype"/>
          <w:i/>
          <w:iC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30CAA" w:rsidRDefault="00230CAA">
      <w:pPr>
        <w:pBdr>
          <w:top w:val="nil"/>
          <w:left w:val="nil"/>
          <w:bottom w:val="nil"/>
          <w:right w:val="nil"/>
          <w:between w:val="nil"/>
        </w:pBdr>
        <w:tabs>
          <w:tab w:val="left" w:pos="851"/>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851"/>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30CAA" w:rsidRDefault="00230CAA">
      <w:pPr>
        <w:pBdr>
          <w:top w:val="nil"/>
          <w:left w:val="nil"/>
          <w:bottom w:val="nil"/>
          <w:right w:val="nil"/>
          <w:between w:val="nil"/>
        </w:pBdr>
        <w:tabs>
          <w:tab w:val="left" w:pos="567"/>
        </w:tabs>
        <w:spacing w:line="360" w:lineRule="auto"/>
        <w:ind w:right="-876"/>
        <w:jc w:val="both"/>
        <w:rPr>
          <w:rFonts w:ascii="Palatino Linotype" w:eastAsia="Palatino Linotype" w:hAnsi="Palatino Linotype" w:cs="Palatino Linotype"/>
        </w:rPr>
      </w:pPr>
    </w:p>
    <w:p w:rsidR="00230CAA" w:rsidRDefault="00DA73C8">
      <w:pPr>
        <w:numPr>
          <w:ilvl w:val="0"/>
          <w:numId w:val="3"/>
        </w:numPr>
        <w:pBdr>
          <w:top w:val="nil"/>
          <w:left w:val="nil"/>
          <w:bottom w:val="nil"/>
          <w:right w:val="nil"/>
          <w:between w:val="nil"/>
        </w:pBdr>
        <w:tabs>
          <w:tab w:val="left" w:pos="567"/>
        </w:tabs>
        <w:spacing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Por lo tanto, en consecuencia y en mérito de lo expuesto en líneas anteriores, resultan parcialmente fundadas las razones o motivos de inconformidad hechos valer por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dentro del recurso de revisión </w:t>
      </w:r>
      <w:r>
        <w:rPr>
          <w:rFonts w:ascii="Palatino Linotype" w:eastAsia="Palatino Linotype" w:hAnsi="Palatino Linotype" w:cs="Palatino Linotype"/>
          <w:b/>
          <w:bCs/>
          <w:color w:val="000000"/>
        </w:rPr>
        <w:t>00828/INFOEM/IP/RR/2026</w:t>
      </w:r>
      <w:r>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w:t>
      </w:r>
      <w:r>
        <w:rPr>
          <w:rFonts w:ascii="Palatino Linotype" w:eastAsia="Palatino Linotype" w:hAnsi="Palatino Linotype" w:cs="Palatino Linotype"/>
        </w:rPr>
        <w:t xml:space="preserve">de México y Municipios, se </w:t>
      </w:r>
      <w:r>
        <w:rPr>
          <w:rFonts w:ascii="Palatino Linotype" w:eastAsia="Palatino Linotype" w:hAnsi="Palatino Linotype" w:cs="Palatino Linotype"/>
          <w:b/>
          <w:bCs/>
        </w:rPr>
        <w:t>MODIFICA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bCs/>
        </w:rPr>
        <w:t xml:space="preserve">00025/DIFLERMA/IP/2025 </w:t>
      </w:r>
      <w:r>
        <w:rPr>
          <w:rFonts w:ascii="Palatino Linotype" w:eastAsia="Palatino Linotype" w:hAnsi="Palatino Linotype" w:cs="Palatino Linotype"/>
        </w:rPr>
        <w:t xml:space="preserve">y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bCs/>
          <w:color w:val="000000"/>
        </w:rPr>
        <w:t xml:space="preserve">ORDENA </w:t>
      </w:r>
      <w:r>
        <w:rPr>
          <w:rFonts w:ascii="Palatino Linotype" w:eastAsia="Palatino Linotype" w:hAnsi="Palatino Linotype" w:cs="Palatino Linotype"/>
          <w:color w:val="000000"/>
        </w:rPr>
        <w:t>entregar, de ser procedente en versión pública, lo siguiente:</w:t>
      </w:r>
    </w:p>
    <w:p w:rsidR="00230CAA" w:rsidRDefault="00DA73C8">
      <w:pPr>
        <w:numPr>
          <w:ilvl w:val="1"/>
          <w:numId w:val="3"/>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Soporte documental donde conste o se advierta el cargo, la fecha de inicio y la fecha de término de la relación laboral de los servidores públicos referidos en la solicitud de información 00025/DIFLERMA/IP/2025, que a la fecha de la solicitud ya no se encontraban adscritos al Sistema Municipal DIF Lerma; y</w:t>
      </w:r>
    </w:p>
    <w:p w:rsidR="00230CAA" w:rsidRDefault="00DA73C8">
      <w:pPr>
        <w:numPr>
          <w:ilvl w:val="1"/>
          <w:numId w:val="3"/>
        </w:numPr>
        <w:pBdr>
          <w:top w:val="nil"/>
          <w:left w:val="nil"/>
          <w:bottom w:val="nil"/>
          <w:right w:val="nil"/>
          <w:between w:val="nil"/>
        </w:pBdr>
        <w:spacing w:line="360" w:lineRule="auto"/>
        <w:ind w:right="-87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Renuncias de los servidores públicos referidos en la solicitud de información 00025/DIFLERMA/IP/2025, que a la fecha de la solicitud ya no se encontraban adscritos al Sistema Municipal DIF Lerma. </w:t>
      </w:r>
    </w:p>
    <w:p w:rsidR="00230CAA" w:rsidRDefault="00230CAA">
      <w:pPr>
        <w:pBdr>
          <w:top w:val="nil"/>
          <w:left w:val="nil"/>
          <w:bottom w:val="nil"/>
          <w:right w:val="nil"/>
          <w:between w:val="nil"/>
        </w:pBdr>
        <w:spacing w:line="360" w:lineRule="auto"/>
        <w:ind w:left="1080" w:right="-876"/>
        <w:jc w:val="both"/>
        <w:rPr>
          <w:rFonts w:ascii="Palatino Linotype" w:eastAsia="Palatino Linotype" w:hAnsi="Palatino Linotype" w:cs="Palatino Linotype"/>
          <w:color w:val="000000"/>
        </w:rPr>
      </w:pPr>
    </w:p>
    <w:p w:rsidR="00230CAA" w:rsidRDefault="00DA73C8">
      <w:pPr>
        <w:pBdr>
          <w:top w:val="nil"/>
          <w:left w:val="nil"/>
          <w:bottom w:val="nil"/>
          <w:right w:val="nil"/>
          <w:between w:val="nil"/>
        </w:pBdr>
        <w:tabs>
          <w:tab w:val="left" w:pos="426"/>
        </w:tabs>
        <w:spacing w:line="360" w:lineRule="auto"/>
        <w:ind w:right="-87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230CAA" w:rsidRDefault="00230CAA">
      <w:pPr>
        <w:pBdr>
          <w:top w:val="nil"/>
          <w:left w:val="nil"/>
          <w:bottom w:val="nil"/>
          <w:right w:val="nil"/>
          <w:between w:val="nil"/>
        </w:pBdr>
        <w:tabs>
          <w:tab w:val="left" w:pos="426"/>
        </w:tabs>
        <w:spacing w:line="360" w:lineRule="auto"/>
        <w:ind w:right="-876"/>
        <w:jc w:val="both"/>
        <w:rPr>
          <w:rFonts w:ascii="Palatino Linotype" w:eastAsia="Palatino Linotype" w:hAnsi="Palatino Linotype" w:cs="Palatino Linotype"/>
          <w:color w:val="000000"/>
        </w:rPr>
      </w:pPr>
    </w:p>
    <w:p w:rsidR="00230CAA" w:rsidRDefault="00DA73C8">
      <w:pPr>
        <w:numPr>
          <w:ilvl w:val="0"/>
          <w:numId w:val="3"/>
        </w:numPr>
        <w:pBdr>
          <w:top w:val="nil"/>
          <w:left w:val="nil"/>
          <w:bottom w:val="nil"/>
          <w:right w:val="nil"/>
          <w:between w:val="nil"/>
        </w:pBdr>
        <w:tabs>
          <w:tab w:val="left" w:pos="0"/>
        </w:tabs>
        <w:spacing w:line="360" w:lineRule="auto"/>
        <w:ind w:left="0" w:right="-8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clasificación total o parcial de la información requerida, mediante solicitud de acceso a la información pública, constituye una restricción al derecho humano de acceso a la información, por lo que es menester reiterar los mismos:</w:t>
      </w:r>
    </w:p>
    <w:p w:rsidR="00230CAA" w:rsidRDefault="00230CAA">
      <w:pPr>
        <w:pBdr>
          <w:top w:val="nil"/>
          <w:left w:val="nil"/>
          <w:bottom w:val="nil"/>
          <w:right w:val="nil"/>
          <w:between w:val="nil"/>
        </w:pBdr>
        <w:tabs>
          <w:tab w:val="left" w:pos="0"/>
        </w:tabs>
        <w:spacing w:line="360" w:lineRule="auto"/>
        <w:ind w:right="-876"/>
        <w:jc w:val="both"/>
        <w:rPr>
          <w:rFonts w:ascii="Palatino Linotype" w:eastAsia="Palatino Linotype" w:hAnsi="Palatino Linotype" w:cs="Palatino Linotype"/>
          <w:color w:val="000000"/>
        </w:rPr>
      </w:pPr>
    </w:p>
    <w:tbl>
      <w:tblPr>
        <w:tblStyle w:val="a0"/>
        <w:tblW w:w="98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0"/>
        <w:gridCol w:w="6870"/>
      </w:tblGrid>
      <w:tr w:rsidR="00230CAA">
        <w:tc>
          <w:tcPr>
            <w:tcW w:w="2970" w:type="dxa"/>
          </w:tcPr>
          <w:p w:rsidR="00230CAA" w:rsidRDefault="00DA73C8">
            <w:pPr>
              <w:spacing w:line="276" w:lineRule="auto"/>
              <w:ind w:right="-104"/>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870" w:type="dxa"/>
          </w:tcPr>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Al hacerlo tienen que precisar de qué información se trata, señalando el supuesto de clasificación (confidencialidad o reserva).</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Además, se debe señalar el procedimiento, de los tres que establecen los artículos 132 y 106 de la Ley Estatal y General, respectivamente.</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El último de estos requisitos previos consiste en que no se pueden emitir acuerdos de carácter general ni particular, esto es, </w:t>
            </w:r>
            <w:r>
              <w:rPr>
                <w:rFonts w:ascii="Palatino Linotype" w:eastAsia="Palatino Linotype" w:hAnsi="Palatino Linotype" w:cs="Palatino Linotype"/>
                <w:u w:val="single"/>
              </w:rPr>
              <w:t xml:space="preserve">no se puede hacer un acuerdo para clasificar de manera general todos los documentos de un expediente o área,  </w:t>
            </w:r>
            <w:r>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230CAA">
        <w:tc>
          <w:tcPr>
            <w:tcW w:w="2970" w:type="dxa"/>
          </w:tcPr>
          <w:p w:rsidR="00230CAA" w:rsidRDefault="00DA73C8">
            <w:pPr>
              <w:spacing w:line="276" w:lineRule="auto"/>
              <w:ind w:right="-104"/>
              <w:rPr>
                <w:rFonts w:ascii="Palatino Linotype" w:eastAsia="Palatino Linotype" w:hAnsi="Palatino Linotype" w:cs="Palatino Linotype"/>
              </w:rPr>
            </w:pPr>
            <w:r>
              <w:rPr>
                <w:rFonts w:ascii="Palatino Linotype" w:eastAsia="Palatino Linotype" w:hAnsi="Palatino Linotype" w:cs="Palatino Linotype"/>
              </w:rPr>
              <w:t>b) Supuestos de clasificación.</w:t>
            </w:r>
          </w:p>
        </w:tc>
        <w:tc>
          <w:tcPr>
            <w:tcW w:w="6870" w:type="dxa"/>
          </w:tcPr>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Pr>
                <w:rFonts w:ascii="Palatino Linotype" w:eastAsia="Palatino Linotype" w:hAnsi="Palatino Linotype" w:cs="Palatino Linotype"/>
              </w:rPr>
              <w:lastRenderedPageBreak/>
              <w:t>debe realizarse de manera restrictiva y limitada, por lo que debe acreditarse que se cumple con esta condición y no se pueden ampliar las excepciones o supuestos de clasificación aduciendo analogía o mayoría de razón.</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30CAA">
        <w:tc>
          <w:tcPr>
            <w:tcW w:w="2970" w:type="dxa"/>
          </w:tcPr>
          <w:p w:rsidR="00230CAA" w:rsidRDefault="00DA73C8">
            <w:pPr>
              <w:spacing w:line="276" w:lineRule="auto"/>
              <w:ind w:right="-104"/>
              <w:rPr>
                <w:rFonts w:ascii="Palatino Linotype" w:eastAsia="Palatino Linotype" w:hAnsi="Palatino Linotype" w:cs="Palatino Linotype"/>
              </w:rPr>
            </w:pPr>
            <w:r>
              <w:rPr>
                <w:rFonts w:ascii="Palatino Linotype" w:eastAsia="Palatino Linotype" w:hAnsi="Palatino Linotype" w:cs="Palatino Linotype"/>
              </w:rPr>
              <w:lastRenderedPageBreak/>
              <w:t>c) Formalidades para emitir el acuerdo de clasificación.</w:t>
            </w:r>
          </w:p>
        </w:tc>
        <w:tc>
          <w:tcPr>
            <w:tcW w:w="6870" w:type="dxa"/>
          </w:tcPr>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Es necesario que </w:t>
            </w:r>
            <w:r>
              <w:rPr>
                <w:rFonts w:ascii="Palatino Linotype" w:eastAsia="Palatino Linotype" w:hAnsi="Palatino Linotype" w:cs="Palatino Linotype"/>
                <w:b/>
                <w:bCs/>
                <w:u w:val="single"/>
              </w:rPr>
              <w:t>el acto reúna con los requisitos elementales</w:t>
            </w:r>
            <w:r>
              <w:rPr>
                <w:rFonts w:ascii="Palatino Linotype" w:eastAsia="Palatino Linotype" w:hAnsi="Palatino Linotype" w:cs="Palatino Linotype"/>
              </w:rPr>
              <w:t>, entre ellos, que la autoridad que va a emitir el acto de autoridad sea la legalmente facultada para ello.</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30CAA">
        <w:tc>
          <w:tcPr>
            <w:tcW w:w="2970" w:type="dxa"/>
          </w:tcPr>
          <w:p w:rsidR="00230CAA" w:rsidRDefault="00230CAA">
            <w:pPr>
              <w:spacing w:line="276" w:lineRule="auto"/>
              <w:ind w:right="-104"/>
              <w:rPr>
                <w:rFonts w:ascii="Palatino Linotype" w:eastAsia="Palatino Linotype" w:hAnsi="Palatino Linotype" w:cs="Palatino Linotype"/>
              </w:rPr>
            </w:pP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d) Requisitos de fondo del acuerdo de clasificación. </w:t>
            </w:r>
          </w:p>
        </w:tc>
        <w:tc>
          <w:tcPr>
            <w:tcW w:w="6870" w:type="dxa"/>
          </w:tcPr>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rPr>
              <w:lastRenderedPageBreak/>
              <w:t>Sujetos Obligados</w:t>
            </w:r>
            <w:r>
              <w:rPr>
                <w:rFonts w:ascii="Palatino Linotype" w:eastAsia="Palatino Linotype" w:hAnsi="Palatino Linotype" w:cs="Palatino Linotype"/>
              </w:rPr>
              <w:t xml:space="preserve">, por lo que deberán fundar y motivar debidamente la clasificación. </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para una correcta </w:t>
            </w:r>
            <w:r>
              <w:rPr>
                <w:rFonts w:ascii="Palatino Linotype" w:eastAsia="Palatino Linotype" w:hAnsi="Palatino Linotype" w:cs="Palatino Linotype"/>
                <w:b/>
                <w:bCs/>
              </w:rPr>
              <w:t>clasificación total o parcial</w:t>
            </w:r>
            <w:r>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Pr>
                <w:rFonts w:ascii="Palatino Linotype" w:eastAsia="Palatino Linotype" w:hAnsi="Palatino Linotype" w:cs="Palatino Linotype"/>
                <w:b/>
                <w:bCs/>
                <w:u w:val="single"/>
              </w:rPr>
              <w:t>para cada caso además de fundar y motivar</w:t>
            </w:r>
            <w:r>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30CAA">
        <w:tc>
          <w:tcPr>
            <w:tcW w:w="2970" w:type="dxa"/>
          </w:tcPr>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e) Condiciones especiales de la clasificación de la </w:t>
            </w:r>
            <w:r>
              <w:rPr>
                <w:rFonts w:ascii="Palatino Linotype" w:eastAsia="Palatino Linotype" w:hAnsi="Palatino Linotype" w:cs="Palatino Linotype"/>
              </w:rPr>
              <w:lastRenderedPageBreak/>
              <w:t xml:space="preserve">información como confidencial. </w:t>
            </w:r>
          </w:p>
          <w:p w:rsidR="00230CAA" w:rsidRDefault="00230CAA">
            <w:pPr>
              <w:spacing w:line="276" w:lineRule="auto"/>
              <w:ind w:right="-104"/>
              <w:rPr>
                <w:rFonts w:ascii="Palatino Linotype" w:eastAsia="Palatino Linotype" w:hAnsi="Palatino Linotype" w:cs="Palatino Linotype"/>
              </w:rPr>
            </w:pPr>
          </w:p>
        </w:tc>
        <w:tc>
          <w:tcPr>
            <w:tcW w:w="6870" w:type="dxa"/>
          </w:tcPr>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Los artículos 148 y 120 de la Ley Estatal y de la Ley General, respectivamente, establecen que aun tratándose de datos </w:t>
            </w:r>
            <w:r>
              <w:rPr>
                <w:rFonts w:ascii="Palatino Linotype" w:eastAsia="Palatino Linotype" w:hAnsi="Palatino Linotype" w:cs="Palatino Linotype"/>
              </w:rPr>
              <w:lastRenderedPageBreak/>
              <w:t xml:space="preserve">personales, se podrán proporcionar, incluso sin solicitar el consentimiento de su titular. </w:t>
            </w:r>
          </w:p>
          <w:p w:rsidR="00230CAA" w:rsidRDefault="00DA73C8">
            <w:pPr>
              <w:spacing w:line="276" w:lineRule="auto"/>
              <w:ind w:right="-104"/>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30CAA" w:rsidRDefault="00DA73C8">
            <w:pPr>
              <w:spacing w:line="276" w:lineRule="auto"/>
              <w:ind w:right="-104"/>
              <w:rPr>
                <w:rFonts w:ascii="Palatino Linotype" w:eastAsia="Palatino Linotype" w:hAnsi="Palatino Linotype" w:cs="Palatino Linotype"/>
              </w:rPr>
            </w:pPr>
            <w:r>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0"/>
          <w:numId w:val="3"/>
        </w:numPr>
        <w:spacing w:line="360" w:lineRule="auto"/>
        <w:ind w:left="0" w:right="-876"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bCs/>
          <w:color w:val="000000"/>
        </w:rPr>
        <w:t>ÓRGANO GARANTE</w:t>
      </w:r>
      <w:r>
        <w:rPr>
          <w:rFonts w:ascii="Palatino Linotype" w:eastAsia="Palatino Linotype" w:hAnsi="Palatino Linotype" w:cs="Palatino Linotype"/>
          <w:color w:val="000000"/>
        </w:rPr>
        <w:t xml:space="preserve"> emite los siguientes:</w:t>
      </w:r>
    </w:p>
    <w:p w:rsidR="00230CAA" w:rsidRDefault="00DA73C8">
      <w:pPr>
        <w:keepNext/>
        <w:keepLines/>
        <w:spacing w:before="240" w:line="360" w:lineRule="auto"/>
        <w:ind w:right="-876"/>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 E S O L U T I V O S</w:t>
      </w:r>
    </w:p>
    <w:p w:rsidR="00230CAA" w:rsidRDefault="00230CAA">
      <w:pPr>
        <w:keepNext/>
        <w:keepLines/>
        <w:spacing w:before="240" w:line="360" w:lineRule="auto"/>
        <w:ind w:right="-876"/>
        <w:jc w:val="both"/>
        <w:rPr>
          <w:rFonts w:ascii="Palatino Linotype" w:eastAsia="Palatino Linotype" w:hAnsi="Palatino Linotype" w:cs="Palatino Linotype"/>
          <w:b/>
          <w:bCs/>
          <w:color w:val="000000"/>
        </w:rPr>
      </w:pPr>
    </w:p>
    <w:p w:rsidR="00230CAA" w:rsidRDefault="00DA73C8">
      <w:pPr>
        <w:spacing w:line="360" w:lineRule="auto"/>
        <w:ind w:right="-876"/>
        <w:jc w:val="both"/>
        <w:rPr>
          <w:rFonts w:ascii="Palatino Linotype" w:eastAsia="Palatino Linotype" w:hAnsi="Palatino Linotype" w:cs="Palatino Linotype"/>
        </w:rPr>
      </w:pPr>
      <w:r>
        <w:rPr>
          <w:rFonts w:ascii="Palatino Linotype" w:eastAsia="Palatino Linotype" w:hAnsi="Palatino Linotype" w:cs="Palatino Linotype"/>
          <w:b/>
          <w:bCs/>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bCs/>
        </w:rPr>
        <w:t xml:space="preserve">00828/INFOEM/IP/RR/2026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bCs/>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de la presente resolución.</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spacing w:line="360" w:lineRule="auto"/>
        <w:ind w:right="-876"/>
        <w:jc w:val="both"/>
        <w:rPr>
          <w:rFonts w:ascii="Palatino Linotype" w:eastAsia="Palatino Linotype" w:hAnsi="Palatino Linotype" w:cs="Palatino Linotype"/>
        </w:rPr>
      </w:pPr>
      <w:bookmarkStart w:id="9" w:name="_heading=h.26in1rg" w:colFirst="0" w:colLast="0"/>
      <w:bookmarkEnd w:id="9"/>
      <w:r>
        <w:rPr>
          <w:rFonts w:ascii="Palatino Linotype" w:eastAsia="Palatino Linotype" w:hAnsi="Palatino Linotype" w:cs="Palatino Linotype"/>
          <w:b/>
          <w:bCs/>
        </w:rPr>
        <w:t>SEGUNDO.</w:t>
      </w:r>
      <w:r>
        <w:rPr>
          <w:rFonts w:ascii="Palatino Linotype" w:eastAsia="Palatino Linotype" w:hAnsi="Palatino Linotype" w:cs="Palatino Linotype"/>
          <w:color w:val="2F5496"/>
        </w:rPr>
        <w:t xml:space="preserve"> </w:t>
      </w:r>
      <w:r>
        <w:rPr>
          <w:rFonts w:ascii="Palatino Linotype" w:eastAsia="Palatino Linotype" w:hAnsi="Palatino Linotype" w:cs="Palatino Linotype"/>
        </w:rPr>
        <w:t>Se</w:t>
      </w:r>
      <w:r>
        <w:rPr>
          <w:rFonts w:ascii="Palatino Linotype" w:eastAsia="Palatino Linotype" w:hAnsi="Palatino Linotype" w:cs="Palatino Linotype"/>
          <w:b/>
          <w:bCs/>
        </w:rPr>
        <w:t xml:space="preserve"> MODIFICA </w:t>
      </w:r>
      <w:r w:rsidR="00E00467">
        <w:rPr>
          <w:rFonts w:ascii="Palatino Linotype" w:eastAsia="Palatino Linotype" w:hAnsi="Palatino Linotype" w:cs="Palatino Linotype"/>
        </w:rPr>
        <w:t>la respuesta emitida por el</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Sistema Municipal Para el Desarrollo Integral de la Familia de Lerma </w:t>
      </w:r>
      <w:r>
        <w:rPr>
          <w:rFonts w:ascii="Palatino Linotype" w:eastAsia="Palatino Linotype" w:hAnsi="Palatino Linotype" w:cs="Palatino Linotype"/>
        </w:rPr>
        <w:t xml:space="preserve">a la solicitud </w:t>
      </w:r>
      <w:r>
        <w:rPr>
          <w:rFonts w:ascii="Palatino Linotype" w:eastAsia="Palatino Linotype" w:hAnsi="Palatino Linotype" w:cs="Palatino Linotype"/>
          <w:b/>
          <w:bCs/>
        </w:rPr>
        <w:t>00025/DIFLERMA/IP/2025,</w:t>
      </w:r>
      <w:r>
        <w:rPr>
          <w:rFonts w:ascii="Palatino Linotype" w:eastAsia="Palatino Linotype" w:hAnsi="Palatino Linotype" w:cs="Palatino Linotype"/>
        </w:rPr>
        <w:t xml:space="preserve"> y se </w:t>
      </w:r>
      <w:r>
        <w:rPr>
          <w:rFonts w:ascii="Palatino Linotype" w:eastAsia="Palatino Linotype" w:hAnsi="Palatino Linotype" w:cs="Palatino Linotype"/>
          <w:b/>
          <w:bCs/>
        </w:rPr>
        <w:t>ORDENA</w:t>
      </w:r>
      <w:r>
        <w:rPr>
          <w:rFonts w:ascii="Palatino Linotype" w:eastAsia="Palatino Linotype" w:hAnsi="Palatino Linotype" w:cs="Palatino Linotype"/>
        </w:rPr>
        <w:t xml:space="preserve"> la entrega, a través del Sistema de Acceso a la Información Mexiquense, de ser procedente en versión pública, la siguiente información:</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numPr>
          <w:ilvl w:val="1"/>
          <w:numId w:val="3"/>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bookmarkStart w:id="10" w:name="_heading=h.6oxbj6l8i40c" w:colFirst="0" w:colLast="0"/>
      <w:bookmarkEnd w:id="10"/>
      <w:r>
        <w:rPr>
          <w:rFonts w:ascii="Palatino Linotype" w:eastAsia="Palatino Linotype" w:hAnsi="Palatino Linotype" w:cs="Palatino Linotype"/>
          <w:b/>
          <w:bCs/>
          <w:color w:val="000000"/>
        </w:rPr>
        <w:lastRenderedPageBreak/>
        <w:t>Soporte documental donde conste o se advierta el cargo, la fecha de inicio y la fecha de término de la relación laboral de los servidores públicos referidos en la solicitud de información 00025/DIFLERMA/IP/2025, que a la fecha de la solicitud ya no se encontraban adscritos al Sistema Municipal DIF Lerma; y</w:t>
      </w:r>
    </w:p>
    <w:p w:rsidR="00230CAA" w:rsidRDefault="00DA73C8">
      <w:pPr>
        <w:numPr>
          <w:ilvl w:val="1"/>
          <w:numId w:val="3"/>
        </w:numPr>
        <w:pBdr>
          <w:top w:val="nil"/>
          <w:left w:val="nil"/>
          <w:bottom w:val="nil"/>
          <w:right w:val="nil"/>
          <w:between w:val="nil"/>
        </w:pBdr>
        <w:spacing w:line="360" w:lineRule="auto"/>
        <w:ind w:right="-87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Renuncias de los servidores públicos referidos en la solicitud de información 00025/DIFLERMA/IP/2025, que a la fecha de la solicitud ya no se encontraban adscritos al Sistema Municipal DIF Lerma. </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rPr>
      </w:pPr>
    </w:p>
    <w:p w:rsidR="00230CAA" w:rsidRDefault="00DA73C8">
      <w:pPr>
        <w:tabs>
          <w:tab w:val="left" w:pos="993"/>
        </w:tabs>
        <w:spacing w:line="360" w:lineRule="auto"/>
        <w:ind w:right="-876"/>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Para </w:t>
      </w:r>
      <w:r>
        <w:rPr>
          <w:rFonts w:ascii="Palatino Linotype" w:eastAsia="Palatino Linotype" w:hAnsi="Palatino Linotype" w:cs="Palatino Linotype"/>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Pr>
          <w:rFonts w:ascii="Palatino Linotype" w:eastAsia="Palatino Linotype" w:hAnsi="Palatino Linotype" w:cs="Palatino Linotype"/>
          <w:b/>
          <w:bCs/>
        </w:rPr>
        <w:t>RECURRENTE</w:t>
      </w:r>
      <w:r>
        <w:rPr>
          <w:rFonts w:ascii="Palatino Linotype" w:eastAsia="Palatino Linotype" w:hAnsi="Palatino Linotype" w:cs="Palatino Linotype"/>
        </w:rPr>
        <w:t>.</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b/>
          <w:bCs/>
        </w:rPr>
      </w:pPr>
    </w:p>
    <w:p w:rsidR="00230CAA" w:rsidRDefault="00DA73C8">
      <w:pPr>
        <w:shd w:val="clear" w:color="auto" w:fill="FFFFFF"/>
        <w:spacing w:line="360" w:lineRule="auto"/>
        <w:ind w:right="-876"/>
        <w:jc w:val="both"/>
        <w:rPr>
          <w:rFonts w:ascii="Palatino Linotype" w:eastAsia="Palatino Linotype" w:hAnsi="Palatino Linotype" w:cs="Palatino Linotype"/>
          <w:color w:val="222222"/>
        </w:rPr>
      </w:pPr>
      <w:r>
        <w:rPr>
          <w:rFonts w:ascii="Palatino Linotype" w:eastAsia="Palatino Linotype" w:hAnsi="Palatino Linotype" w:cs="Palatino Linotype"/>
          <w:b/>
          <w:bCs/>
          <w:color w:val="222222"/>
        </w:rPr>
        <w:t xml:space="preserve">TERCERO. </w:t>
      </w:r>
      <w:r>
        <w:rPr>
          <w:rFonts w:ascii="Palatino Linotype" w:eastAsia="Palatino Linotype" w:hAnsi="Palatino Linotype" w:cs="Palatino Linotype"/>
          <w:color w:val="222222"/>
        </w:rPr>
        <w:t xml:space="preserve">Notifíquese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rPr>
        <w:t>dé cumplimiento a lo ordenado dentro del plazo de diez días hábiles,</w:t>
      </w:r>
      <w:r>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30CAA" w:rsidRDefault="00230CAA">
      <w:pPr>
        <w:shd w:val="clear" w:color="auto" w:fill="FFFFFF"/>
        <w:spacing w:line="360" w:lineRule="auto"/>
        <w:ind w:right="-876"/>
        <w:jc w:val="both"/>
        <w:rPr>
          <w:rFonts w:ascii="Palatino Linotype" w:eastAsia="Palatino Linotype" w:hAnsi="Palatino Linotype" w:cs="Palatino Linotype"/>
          <w:b/>
          <w:bCs/>
          <w:color w:val="222222"/>
        </w:rPr>
      </w:pPr>
    </w:p>
    <w:p w:rsidR="00230CAA" w:rsidRDefault="00DA73C8">
      <w:pPr>
        <w:shd w:val="clear" w:color="auto" w:fill="FFFFFF"/>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CUARTO.</w:t>
      </w:r>
      <w:r>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podrá, de manera fundada y motivada, solicitar una ampliación de plazo para el cumplimiento de la presente resolución.</w:t>
      </w:r>
    </w:p>
    <w:p w:rsidR="00230CAA" w:rsidRDefault="00230CAA">
      <w:pPr>
        <w:spacing w:line="360" w:lineRule="auto"/>
        <w:ind w:right="-876"/>
        <w:jc w:val="both"/>
        <w:rPr>
          <w:rFonts w:ascii="Palatino Linotype" w:eastAsia="Palatino Linotype" w:hAnsi="Palatino Linotype" w:cs="Palatino Linotype"/>
        </w:rPr>
      </w:pPr>
    </w:p>
    <w:p w:rsidR="00230CAA" w:rsidRDefault="00DA73C8">
      <w:pPr>
        <w:shd w:val="clear" w:color="auto" w:fill="FFFFFF"/>
        <w:spacing w:line="360" w:lineRule="auto"/>
        <w:ind w:right="-876"/>
        <w:jc w:val="both"/>
        <w:rPr>
          <w:rFonts w:ascii="Palatino Linotype" w:eastAsia="Palatino Linotype" w:hAnsi="Palatino Linotype" w:cs="Palatino Linotype"/>
          <w:color w:val="000000"/>
        </w:rPr>
      </w:pPr>
      <w:r>
        <w:rPr>
          <w:rFonts w:ascii="Palatino Linotype" w:eastAsia="Palatino Linotype" w:hAnsi="Palatino Linotype" w:cs="Palatino Linotype"/>
          <w:b/>
          <w:bCs/>
        </w:rPr>
        <w:t xml:space="preserve">QUINTO. </w:t>
      </w:r>
      <w:r>
        <w:rPr>
          <w:rFonts w:ascii="Palatino Linotype" w:eastAsia="Palatino Linotype" w:hAnsi="Palatino Linotype" w:cs="Palatino Linotype"/>
          <w:b/>
          <w:bCs/>
          <w:color w:val="222222"/>
        </w:rPr>
        <w:t xml:space="preserve">Notifíquese </w:t>
      </w:r>
      <w:r>
        <w:rPr>
          <w:rFonts w:ascii="Palatino Linotype" w:eastAsia="Palatino Linotype" w:hAnsi="Palatino Linotype" w:cs="Palatino Linotype"/>
          <w:color w:val="222222"/>
        </w:rPr>
        <w:t xml:space="preserve">al </w:t>
      </w:r>
      <w:r>
        <w:rPr>
          <w:rFonts w:ascii="Palatino Linotype" w:eastAsia="Palatino Linotype" w:hAnsi="Palatino Linotype" w:cs="Palatino Linotype"/>
          <w:b/>
          <w:bCs/>
          <w:color w:val="222222"/>
        </w:rPr>
        <w:t>RECURRENTE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la presente resolución vía Sistema de Acceso a la Información Mexiquense (SAIMEX).</w:t>
      </w:r>
    </w:p>
    <w:p w:rsidR="00230CAA" w:rsidRDefault="00230CAA">
      <w:pPr>
        <w:shd w:val="clear" w:color="auto" w:fill="FFFFFF"/>
        <w:spacing w:line="360" w:lineRule="auto"/>
        <w:ind w:right="-876"/>
        <w:jc w:val="both"/>
        <w:rPr>
          <w:rFonts w:ascii="Palatino Linotype" w:eastAsia="Palatino Linotype" w:hAnsi="Palatino Linotype" w:cs="Palatino Linotype"/>
        </w:rPr>
      </w:pPr>
    </w:p>
    <w:p w:rsidR="00230CAA" w:rsidRDefault="00DA73C8">
      <w:pPr>
        <w:spacing w:line="360" w:lineRule="auto"/>
        <w:ind w:right="-876"/>
        <w:jc w:val="both"/>
        <w:rPr>
          <w:rFonts w:ascii="Palatino Linotype" w:eastAsia="Palatino Linotype" w:hAnsi="Palatino Linotype" w:cs="Palatino Linotype"/>
        </w:rPr>
      </w:pPr>
      <w:r>
        <w:rPr>
          <w:rFonts w:ascii="Palatino Linotype" w:eastAsia="Palatino Linotype" w:hAnsi="Palatino Linotype" w:cs="Palatino Linotype"/>
          <w:b/>
          <w:bCs/>
        </w:rPr>
        <w:t>SEXTO.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bCs/>
        </w:rPr>
        <w:t>RECURRENTE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E00467" w:rsidRPr="003E2295" w:rsidRDefault="00E00467" w:rsidP="00E00467">
      <w:pPr>
        <w:spacing w:before="240" w:after="240" w:line="360" w:lineRule="auto"/>
        <w:ind w:right="-879" w:firstLine="1"/>
        <w:jc w:val="both"/>
        <w:rPr>
          <w:rFonts w:ascii="Palatino Linotype" w:hAnsi="Palatino Linotype"/>
        </w:rPr>
      </w:pPr>
      <w:bookmarkStart w:id="11"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 xml:space="preserve">VIGÉSIMA TERCERA </w:t>
      </w:r>
      <w:r w:rsidRPr="003E2295">
        <w:rPr>
          <w:rFonts w:ascii="Palatino Linotype" w:hAnsi="Palatino Linotype" w:cs="Palatino Linotype"/>
        </w:rPr>
        <w:t>SESIÓN O</w:t>
      </w:r>
      <w:r>
        <w:rPr>
          <w:rFonts w:ascii="Palatino Linotype" w:hAnsi="Palatino Linotype" w:cs="Palatino Linotype"/>
        </w:rPr>
        <w:t>RDINARIA, CELEBRADA EL VEINTICINCO (25</w:t>
      </w:r>
      <w:r w:rsidRPr="003E2295">
        <w:rPr>
          <w:rFonts w:ascii="Palatino Linotype" w:hAnsi="Palatino Linotype" w:cs="Palatino Linotype"/>
        </w:rPr>
        <w:t xml:space="preserve">) DE </w:t>
      </w:r>
      <w:r>
        <w:rPr>
          <w:rFonts w:ascii="Palatino Linotype" w:hAnsi="Palatino Linotype" w:cs="Palatino Linotype"/>
        </w:rPr>
        <w:t>JUNIO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1"/>
    <w:p w:rsidR="00230CAA" w:rsidRDefault="00230CAA" w:rsidP="00E00467">
      <w:pPr>
        <w:pBdr>
          <w:top w:val="nil"/>
          <w:left w:val="nil"/>
          <w:bottom w:val="nil"/>
          <w:right w:val="nil"/>
          <w:between w:val="nil"/>
        </w:pBdr>
        <w:tabs>
          <w:tab w:val="left" w:pos="284"/>
        </w:tabs>
        <w:spacing w:line="360" w:lineRule="auto"/>
        <w:ind w:right="-879"/>
        <w:jc w:val="both"/>
        <w:rPr>
          <w:rFonts w:ascii="Palatino Linotype" w:eastAsia="Palatino Linotype" w:hAnsi="Palatino Linotype" w:cs="Palatino Linotype"/>
        </w:rPr>
      </w:pPr>
    </w:p>
    <w:p w:rsidR="00230CAA" w:rsidRDefault="00230CAA">
      <w:pPr>
        <w:pBdr>
          <w:top w:val="nil"/>
          <w:left w:val="nil"/>
          <w:bottom w:val="nil"/>
          <w:right w:val="nil"/>
          <w:between w:val="nil"/>
        </w:pBdr>
        <w:tabs>
          <w:tab w:val="left" w:pos="284"/>
        </w:tabs>
        <w:spacing w:line="360" w:lineRule="auto"/>
        <w:ind w:right="-876"/>
        <w:jc w:val="both"/>
        <w:rPr>
          <w:rFonts w:ascii="Palatino Linotype" w:eastAsia="Palatino Linotype" w:hAnsi="Palatino Linotype" w:cs="Palatino Linotype"/>
        </w:rPr>
      </w:pPr>
    </w:p>
    <w:p w:rsidR="00230CAA" w:rsidRDefault="00230CAA">
      <w:pPr>
        <w:pBdr>
          <w:top w:val="nil"/>
          <w:left w:val="nil"/>
          <w:bottom w:val="nil"/>
          <w:right w:val="nil"/>
          <w:between w:val="nil"/>
        </w:pBdr>
        <w:tabs>
          <w:tab w:val="left" w:pos="284"/>
        </w:tabs>
        <w:spacing w:line="360" w:lineRule="auto"/>
        <w:ind w:right="-876"/>
        <w:jc w:val="both"/>
        <w:rPr>
          <w:rFonts w:ascii="Palatino Linotype" w:eastAsia="Palatino Linotype" w:hAnsi="Palatino Linotype" w:cs="Palatino Linotype"/>
        </w:rPr>
      </w:pPr>
    </w:p>
    <w:p w:rsidR="00230CAA" w:rsidRDefault="00230CAA">
      <w:pPr>
        <w:pBdr>
          <w:top w:val="nil"/>
          <w:left w:val="nil"/>
          <w:bottom w:val="nil"/>
          <w:right w:val="nil"/>
          <w:between w:val="nil"/>
        </w:pBdr>
        <w:tabs>
          <w:tab w:val="left" w:pos="284"/>
        </w:tabs>
        <w:spacing w:line="360" w:lineRule="auto"/>
        <w:ind w:right="-876"/>
        <w:jc w:val="both"/>
        <w:rPr>
          <w:rFonts w:ascii="Palatino Linotype" w:eastAsia="Palatino Linotype" w:hAnsi="Palatino Linotype" w:cs="Palatino Linotype"/>
        </w:rPr>
      </w:pP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230CAA">
      <w:pPr>
        <w:pBdr>
          <w:top w:val="nil"/>
          <w:left w:val="nil"/>
          <w:bottom w:val="nil"/>
          <w:right w:val="nil"/>
          <w:between w:val="nil"/>
        </w:pBdr>
        <w:ind w:left="720" w:right="-876"/>
        <w:jc w:val="both"/>
        <w:rPr>
          <w:rFonts w:ascii="Palatino Linotype" w:eastAsia="Palatino Linotype" w:hAnsi="Palatino Linotype" w:cs="Palatino Linotype"/>
          <w:color w:val="000000"/>
        </w:rPr>
      </w:pPr>
    </w:p>
    <w:p w:rsidR="00230CAA" w:rsidRDefault="00230CAA">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jc w:val="both"/>
        <w:rPr>
          <w:rFonts w:ascii="Palatino Linotype" w:eastAsia="Palatino Linotype" w:hAnsi="Palatino Linotype" w:cs="Palatino Linotype"/>
        </w:rPr>
      </w:pPr>
    </w:p>
    <w:p w:rsidR="00230CAA" w:rsidRDefault="00230CAA">
      <w:pPr>
        <w:ind w:right="-876"/>
      </w:pPr>
    </w:p>
    <w:p w:rsidR="00230CAA" w:rsidRDefault="00230CAA">
      <w:pPr>
        <w:ind w:right="-876"/>
      </w:pPr>
    </w:p>
    <w:p w:rsidR="00230CAA" w:rsidRDefault="00230CAA">
      <w:pPr>
        <w:ind w:right="-876"/>
      </w:pPr>
    </w:p>
    <w:sectPr w:rsidR="00230CAA">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E17" w:rsidRDefault="004E7E17">
      <w:r>
        <w:separator/>
      </w:r>
    </w:p>
  </w:endnote>
  <w:endnote w:type="continuationSeparator" w:id="0">
    <w:p w:rsidR="004E7E17" w:rsidRDefault="004E7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2332153E-989E-45E0-9BDD-4ADD09A1D2A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FBB2FFA-FF66-4696-9688-D3A8C2ABA6AD}"/>
    <w:embedBold r:id="rId3" w:fontKey="{D9CBD2D3-B9CE-47AA-B47F-B4738E92682E}"/>
    <w:embedItalic r:id="rId4" w:fontKey="{8FE2A8C5-484E-4EB6-9FC1-F988EB106A3C}"/>
    <w:embedBoldItalic r:id="rId5" w:fontKey="{EA2251F5-A7D6-47FE-A318-D5C4A68BDC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0CECCB5-3CF0-482D-966D-6566239345F7}"/>
  </w:font>
  <w:font w:name="Georgia">
    <w:panose1 w:val="02040502050405020303"/>
    <w:charset w:val="00"/>
    <w:family w:val="roman"/>
    <w:pitch w:val="variable"/>
    <w:sig w:usb0="00000287" w:usb1="00000000" w:usb2="00000000" w:usb3="00000000" w:csb0="0000009F" w:csb1="00000000"/>
    <w:embedItalic r:id="rId7" w:fontKey="{E8F00893-99A9-43DD-9243-91B402533152}"/>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8" w:fontKey="{F88EE8BF-382F-4873-BC7C-FAD4B20052A5}"/>
  </w:font>
  <w:font w:name="Cambria">
    <w:panose1 w:val="02040503050406030204"/>
    <w:charset w:val="00"/>
    <w:family w:val="roman"/>
    <w:pitch w:val="variable"/>
    <w:sig w:usb0="E00006FF" w:usb1="420024FF" w:usb2="02000000" w:usb3="00000000" w:csb0="0000019F" w:csb1="00000000"/>
    <w:embedRegular r:id="rId9" w:fontKey="{5B96123F-74A1-4F5E-AAEF-7A8D58462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AA" w:rsidRDefault="00DA73C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2526F4">
      <w:rPr>
        <w:rFonts w:ascii="Palatino Linotype" w:eastAsia="Palatino Linotype" w:hAnsi="Palatino Linotype" w:cs="Palatino Linotype"/>
        <w:b/>
        <w:bCs/>
        <w:noProof/>
        <w:color w:val="000000"/>
        <w:sz w:val="22"/>
        <w:szCs w:val="22"/>
      </w:rPr>
      <w:t>24</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2526F4">
      <w:rPr>
        <w:rFonts w:ascii="Palatino Linotype" w:eastAsia="Palatino Linotype" w:hAnsi="Palatino Linotype" w:cs="Palatino Linotype"/>
        <w:b/>
        <w:bCs/>
        <w:noProof/>
        <w:color w:val="000000"/>
        <w:sz w:val="22"/>
        <w:szCs w:val="22"/>
      </w:rPr>
      <w:t>36</w:t>
    </w:r>
    <w:r>
      <w:rPr>
        <w:rFonts w:ascii="Palatino Linotype" w:eastAsia="Palatino Linotype" w:hAnsi="Palatino Linotype" w:cs="Palatino Linotype"/>
        <w:b/>
        <w:bCs/>
        <w:color w:val="000000"/>
        <w:sz w:val="22"/>
        <w:szCs w:val="22"/>
      </w:rPr>
      <w:fldChar w:fldCharType="end"/>
    </w:r>
  </w:p>
  <w:p w:rsidR="00230CAA" w:rsidRDefault="00230CA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AA" w:rsidRDefault="00DA73C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2526F4">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2526F4">
      <w:rPr>
        <w:rFonts w:ascii="Palatino Linotype" w:eastAsia="Palatino Linotype" w:hAnsi="Palatino Linotype" w:cs="Palatino Linotype"/>
        <w:b/>
        <w:bCs/>
        <w:noProof/>
        <w:color w:val="000000"/>
        <w:sz w:val="22"/>
        <w:szCs w:val="22"/>
      </w:rPr>
      <w:t>36</w:t>
    </w:r>
    <w:r>
      <w:rPr>
        <w:rFonts w:ascii="Palatino Linotype" w:eastAsia="Palatino Linotype" w:hAnsi="Palatino Linotype" w:cs="Palatino Linotype"/>
        <w:b/>
        <w:bCs/>
        <w:color w:val="000000"/>
        <w:sz w:val="22"/>
        <w:szCs w:val="22"/>
      </w:rPr>
      <w:fldChar w:fldCharType="end"/>
    </w:r>
  </w:p>
  <w:p w:rsidR="00230CAA" w:rsidRDefault="00230CA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E17" w:rsidRDefault="004E7E17">
      <w:r>
        <w:separator/>
      </w:r>
    </w:p>
  </w:footnote>
  <w:footnote w:type="continuationSeparator" w:id="0">
    <w:p w:rsidR="004E7E17" w:rsidRDefault="004E7E17">
      <w:r>
        <w:continuationSeparator/>
      </w:r>
    </w:p>
  </w:footnote>
  <w:footnote w:id="1">
    <w:p w:rsidR="00230CAA" w:rsidRDefault="00DA73C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230CAA" w:rsidRDefault="00DA73C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230CAA" w:rsidRDefault="00DA73C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230CAA" w:rsidRDefault="00DA73C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230CAA" w:rsidRDefault="00DA73C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AA" w:rsidRDefault="004E7E17">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632" w:type="dxa"/>
      <w:tblInd w:w="0" w:type="dxa"/>
      <w:tblLayout w:type="fixed"/>
      <w:tblLook w:val="0400" w:firstRow="0" w:lastRow="0" w:firstColumn="0" w:lastColumn="0" w:noHBand="0" w:noVBand="1"/>
    </w:tblPr>
    <w:tblGrid>
      <w:gridCol w:w="2268"/>
      <w:gridCol w:w="8364"/>
    </w:tblGrid>
    <w:tr w:rsidR="00230CAA" w:rsidTr="008C70AC">
      <w:trPr>
        <w:trHeight w:val="1435"/>
      </w:trPr>
      <w:tc>
        <w:tcPr>
          <w:tcW w:w="2268" w:type="dxa"/>
          <w:shd w:val="clear" w:color="auto" w:fill="auto"/>
        </w:tcPr>
        <w:p w:rsidR="00230CAA" w:rsidRDefault="00230CAA">
          <w:pPr>
            <w:tabs>
              <w:tab w:val="right" w:pos="4273"/>
            </w:tabs>
            <w:rPr>
              <w:rFonts w:ascii="Garamond" w:eastAsia="Garamond" w:hAnsi="Garamond" w:cs="Garamond"/>
              <w:sz w:val="16"/>
              <w:szCs w:val="16"/>
            </w:rPr>
          </w:pPr>
        </w:p>
      </w:tc>
      <w:tc>
        <w:tcPr>
          <w:tcW w:w="8364" w:type="dxa"/>
          <w:shd w:val="clear" w:color="auto" w:fill="auto"/>
        </w:tcPr>
        <w:tbl>
          <w:tblPr>
            <w:tblStyle w:val="a2"/>
            <w:tblW w:w="7783" w:type="dxa"/>
            <w:tblInd w:w="40" w:type="dxa"/>
            <w:tblLayout w:type="fixed"/>
            <w:tblLook w:val="0400" w:firstRow="0" w:lastRow="0" w:firstColumn="0" w:lastColumn="0" w:noHBand="0" w:noVBand="1"/>
          </w:tblPr>
          <w:tblGrid>
            <w:gridCol w:w="2822"/>
            <w:gridCol w:w="4961"/>
          </w:tblGrid>
          <w:tr w:rsidR="00230CAA" w:rsidTr="008C70AC">
            <w:trPr>
              <w:trHeight w:val="150"/>
            </w:trPr>
            <w:tc>
              <w:tcPr>
                <w:tcW w:w="2822" w:type="dxa"/>
                <w:shd w:val="clear" w:color="auto" w:fill="auto"/>
              </w:tcPr>
              <w:p w:rsidR="00230CAA" w:rsidRDefault="00DA73C8" w:rsidP="008C70AC">
                <w:pPr>
                  <w:tabs>
                    <w:tab w:val="right" w:pos="8838"/>
                  </w:tabs>
                  <w:ind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961" w:type="dxa"/>
                <w:shd w:val="clear" w:color="auto" w:fill="auto"/>
              </w:tcPr>
              <w:p w:rsidR="00230CAA" w:rsidRDefault="00DA73C8" w:rsidP="008C70AC">
                <w:pPr>
                  <w:tabs>
                    <w:tab w:val="right" w:pos="8838"/>
                  </w:tabs>
                  <w:ind w:right="-1090"/>
                  <w:rPr>
                    <w:rFonts w:ascii="Palatino Linotype" w:eastAsia="Palatino Linotype" w:hAnsi="Palatino Linotype" w:cs="Palatino Linotype"/>
                  </w:rPr>
                </w:pPr>
                <w:r>
                  <w:rPr>
                    <w:rFonts w:ascii="Palatino Linotype" w:eastAsia="Palatino Linotype" w:hAnsi="Palatino Linotype" w:cs="Palatino Linotype"/>
                  </w:rPr>
                  <w:t>00828/INFOEM/IP/RR/2026</w:t>
                </w:r>
                <w:r>
                  <w:rPr>
                    <w:rFonts w:ascii="Palatino Linotype" w:eastAsia="Palatino Linotype" w:hAnsi="Palatino Linotype" w:cs="Palatino Linotype"/>
                    <w:b/>
                    <w:bCs/>
                  </w:rPr>
                  <w:t xml:space="preserve"> </w:t>
                </w:r>
              </w:p>
            </w:tc>
          </w:tr>
          <w:tr w:rsidR="00230CAA" w:rsidTr="008C70AC">
            <w:trPr>
              <w:trHeight w:val="295"/>
            </w:trPr>
            <w:tc>
              <w:tcPr>
                <w:tcW w:w="2822" w:type="dxa"/>
                <w:shd w:val="clear" w:color="auto" w:fill="auto"/>
              </w:tcPr>
              <w:p w:rsidR="00230CAA" w:rsidRDefault="00DA73C8" w:rsidP="008C70AC">
                <w:pPr>
                  <w:tabs>
                    <w:tab w:val="right" w:pos="8838"/>
                  </w:tabs>
                  <w:ind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961" w:type="dxa"/>
                <w:shd w:val="clear" w:color="auto" w:fill="auto"/>
              </w:tcPr>
              <w:p w:rsidR="00230CAA" w:rsidRDefault="00DA73C8" w:rsidP="008C70AC">
                <w:pPr>
                  <w:ind w:right="-115"/>
                  <w:rPr>
                    <w:rFonts w:ascii="Palatino Linotype" w:eastAsia="Palatino Linotype" w:hAnsi="Palatino Linotype" w:cs="Palatino Linotype"/>
                  </w:rPr>
                </w:pPr>
                <w:r>
                  <w:rPr>
                    <w:rFonts w:ascii="Palatino Linotype" w:eastAsia="Palatino Linotype" w:hAnsi="Palatino Linotype" w:cs="Palatino Linotype"/>
                  </w:rPr>
                  <w:t>Sistema Municipal Para el Desarrollo Integral de la Familia de Lerma</w:t>
                </w:r>
              </w:p>
            </w:tc>
          </w:tr>
          <w:tr w:rsidR="00230CAA" w:rsidTr="008C70AC">
            <w:trPr>
              <w:trHeight w:val="295"/>
            </w:trPr>
            <w:tc>
              <w:tcPr>
                <w:tcW w:w="2822" w:type="dxa"/>
                <w:shd w:val="clear" w:color="auto" w:fill="auto"/>
              </w:tcPr>
              <w:p w:rsidR="00230CAA" w:rsidRDefault="00DA73C8" w:rsidP="008C70AC">
                <w:pPr>
                  <w:tabs>
                    <w:tab w:val="right" w:pos="8838"/>
                  </w:tabs>
                  <w:ind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4961" w:type="dxa"/>
                <w:shd w:val="clear" w:color="auto" w:fill="auto"/>
              </w:tcPr>
              <w:p w:rsidR="00230CAA" w:rsidRDefault="00DA73C8" w:rsidP="008C70AC">
                <w:pPr>
                  <w:tabs>
                    <w:tab w:val="right" w:pos="8838"/>
                  </w:tabs>
                  <w:ind w:right="-1090"/>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rsidR="00230CAA" w:rsidRDefault="00230CAA" w:rsidP="008C70AC">
                <w:pPr>
                  <w:tabs>
                    <w:tab w:val="right" w:pos="8838"/>
                  </w:tabs>
                  <w:ind w:right="-1090"/>
                  <w:rPr>
                    <w:rFonts w:ascii="Palatino Linotype" w:eastAsia="Palatino Linotype" w:hAnsi="Palatino Linotype" w:cs="Palatino Linotype"/>
                    <w:b/>
                    <w:bCs/>
                  </w:rPr>
                </w:pPr>
              </w:p>
            </w:tc>
          </w:tr>
        </w:tbl>
        <w:p w:rsidR="00230CAA" w:rsidRDefault="00230CAA">
          <w:pPr>
            <w:tabs>
              <w:tab w:val="right" w:pos="8838"/>
            </w:tabs>
            <w:ind w:left="-28"/>
            <w:jc w:val="both"/>
            <w:rPr>
              <w:rFonts w:ascii="Arial" w:eastAsia="Arial" w:hAnsi="Arial" w:cs="Arial"/>
              <w:b/>
              <w:bCs/>
              <w:sz w:val="22"/>
              <w:szCs w:val="22"/>
            </w:rPr>
          </w:pPr>
        </w:p>
      </w:tc>
    </w:tr>
  </w:tbl>
  <w:p w:rsidR="00230CAA" w:rsidRDefault="004E7E17">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30.05pt;width:589.8pt;height:768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307" w:type="dxa"/>
      <w:tblInd w:w="0" w:type="dxa"/>
      <w:tblLayout w:type="fixed"/>
      <w:tblLook w:val="0400" w:firstRow="0" w:lastRow="0" w:firstColumn="0" w:lastColumn="0" w:noHBand="0" w:noVBand="1"/>
    </w:tblPr>
    <w:tblGrid>
      <w:gridCol w:w="2552"/>
      <w:gridCol w:w="7755"/>
    </w:tblGrid>
    <w:tr w:rsidR="00230CAA" w:rsidTr="00E00467">
      <w:trPr>
        <w:trHeight w:val="1435"/>
      </w:trPr>
      <w:tc>
        <w:tcPr>
          <w:tcW w:w="2552" w:type="dxa"/>
          <w:shd w:val="clear" w:color="auto" w:fill="auto"/>
        </w:tcPr>
        <w:p w:rsidR="00230CAA" w:rsidRDefault="00230CAA">
          <w:pPr>
            <w:tabs>
              <w:tab w:val="right" w:pos="4273"/>
            </w:tabs>
            <w:rPr>
              <w:rFonts w:ascii="Garamond" w:eastAsia="Garamond" w:hAnsi="Garamond" w:cs="Garamond"/>
              <w:sz w:val="22"/>
              <w:szCs w:val="22"/>
            </w:rPr>
          </w:pPr>
        </w:p>
      </w:tc>
      <w:tc>
        <w:tcPr>
          <w:tcW w:w="7755" w:type="dxa"/>
          <w:shd w:val="clear" w:color="auto" w:fill="auto"/>
        </w:tcPr>
        <w:tbl>
          <w:tblPr>
            <w:tblStyle w:val="a4"/>
            <w:tblW w:w="7455" w:type="dxa"/>
            <w:tblInd w:w="455" w:type="dxa"/>
            <w:tblLayout w:type="fixed"/>
            <w:tblLook w:val="0400" w:firstRow="0" w:lastRow="0" w:firstColumn="0" w:lastColumn="0" w:noHBand="0" w:noVBand="1"/>
          </w:tblPr>
          <w:tblGrid>
            <w:gridCol w:w="2820"/>
            <w:gridCol w:w="4635"/>
          </w:tblGrid>
          <w:tr w:rsidR="00230CAA" w:rsidTr="00E00467">
            <w:trPr>
              <w:trHeight w:val="144"/>
            </w:trPr>
            <w:tc>
              <w:tcPr>
                <w:tcW w:w="2820" w:type="dxa"/>
                <w:shd w:val="clear" w:color="auto" w:fill="auto"/>
              </w:tcPr>
              <w:p w:rsidR="00230CAA" w:rsidRDefault="00DA73C8">
                <w:pPr>
                  <w:tabs>
                    <w:tab w:val="right" w:pos="8838"/>
                  </w:tabs>
                  <w:ind w:left="-264" w:right="-105" w:firstLine="19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635" w:type="dxa"/>
                <w:shd w:val="clear" w:color="auto" w:fill="auto"/>
              </w:tcPr>
              <w:p w:rsidR="00230CAA" w:rsidRDefault="00DA73C8">
                <w:pPr>
                  <w:ind w:left="-74" w:right="-1274"/>
                  <w:rPr>
                    <w:rFonts w:ascii="Palatino Linotype" w:eastAsia="Palatino Linotype" w:hAnsi="Palatino Linotype" w:cs="Palatino Linotype"/>
                  </w:rPr>
                </w:pPr>
                <w:r>
                  <w:rPr>
                    <w:rFonts w:ascii="Palatino Linotype" w:eastAsia="Palatino Linotype" w:hAnsi="Palatino Linotype" w:cs="Palatino Linotype"/>
                  </w:rPr>
                  <w:t>00828/INFOEM/IP/RR/2026</w:t>
                </w:r>
              </w:p>
            </w:tc>
          </w:tr>
          <w:tr w:rsidR="00230CAA" w:rsidTr="00E00467">
            <w:trPr>
              <w:trHeight w:val="144"/>
            </w:trPr>
            <w:tc>
              <w:tcPr>
                <w:tcW w:w="2820" w:type="dxa"/>
                <w:shd w:val="clear" w:color="auto" w:fill="auto"/>
              </w:tcPr>
              <w:p w:rsidR="00230CAA" w:rsidRDefault="00DA73C8">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4635" w:type="dxa"/>
                <w:shd w:val="clear" w:color="auto" w:fill="auto"/>
              </w:tcPr>
              <w:p w:rsidR="00230CAA" w:rsidRDefault="00DA73C8" w:rsidP="002526F4">
                <w:pPr>
                  <w:ind w:left="-74" w:right="-1274"/>
                  <w:rPr>
                    <w:rFonts w:ascii="Palatino Linotype" w:eastAsia="Palatino Linotype" w:hAnsi="Palatino Linotype" w:cs="Palatino Linotype"/>
                  </w:rPr>
                </w:pPr>
                <w:r>
                  <w:rPr>
                    <w:rFonts w:ascii="Palatino Linotype" w:eastAsia="Palatino Linotype" w:hAnsi="Palatino Linotype" w:cs="Palatino Linotype"/>
                    <w:b/>
                    <w:bCs/>
                  </w:rPr>
                  <w:t> </w:t>
                </w:r>
                <w:r w:rsidR="002526F4">
                  <w:rPr>
                    <w:rFonts w:ascii="Palatino Linotype" w:eastAsia="Palatino Linotype" w:hAnsi="Palatino Linotype" w:cs="Palatino Linotype"/>
                  </w:rPr>
                  <w:t>XXXX</w:t>
                </w:r>
              </w:p>
            </w:tc>
          </w:tr>
          <w:tr w:rsidR="00230CAA" w:rsidTr="00E00467">
            <w:trPr>
              <w:trHeight w:val="283"/>
            </w:trPr>
            <w:tc>
              <w:tcPr>
                <w:tcW w:w="2820" w:type="dxa"/>
                <w:shd w:val="clear" w:color="auto" w:fill="auto"/>
              </w:tcPr>
              <w:p w:rsidR="00230CAA" w:rsidRDefault="00DA73C8">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635" w:type="dxa"/>
                <w:shd w:val="clear" w:color="auto" w:fill="auto"/>
              </w:tcPr>
              <w:p w:rsidR="00E00467" w:rsidRDefault="00DA73C8">
                <w:pPr>
                  <w:ind w:left="-74" w:right="-1274"/>
                  <w:rPr>
                    <w:rFonts w:ascii="Palatino Linotype" w:eastAsia="Palatino Linotype" w:hAnsi="Palatino Linotype" w:cs="Palatino Linotype"/>
                  </w:rPr>
                </w:pPr>
                <w:r>
                  <w:rPr>
                    <w:rFonts w:ascii="Palatino Linotype" w:eastAsia="Palatino Linotype" w:hAnsi="Palatino Linotype" w:cs="Palatino Linotype"/>
                  </w:rPr>
                  <w:t xml:space="preserve">Sistema Municipal Para el Desarrollo </w:t>
                </w:r>
              </w:p>
              <w:p w:rsidR="00230CAA" w:rsidRDefault="00DA73C8" w:rsidP="00E00467">
                <w:pPr>
                  <w:ind w:left="-74" w:right="-1274"/>
                  <w:rPr>
                    <w:rFonts w:ascii="Palatino Linotype" w:eastAsia="Palatino Linotype" w:hAnsi="Palatino Linotype" w:cs="Palatino Linotype"/>
                  </w:rPr>
                </w:pPr>
                <w:r>
                  <w:rPr>
                    <w:rFonts w:ascii="Palatino Linotype" w:eastAsia="Palatino Linotype" w:hAnsi="Palatino Linotype" w:cs="Palatino Linotype"/>
                  </w:rPr>
                  <w:t>Integral de la Familia de Lerma</w:t>
                </w:r>
              </w:p>
            </w:tc>
          </w:tr>
          <w:tr w:rsidR="00230CAA" w:rsidTr="00E00467">
            <w:trPr>
              <w:trHeight w:val="283"/>
            </w:trPr>
            <w:tc>
              <w:tcPr>
                <w:tcW w:w="2820" w:type="dxa"/>
                <w:shd w:val="clear" w:color="auto" w:fill="auto"/>
              </w:tcPr>
              <w:p w:rsidR="00230CAA" w:rsidRDefault="00DA73C8">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4635" w:type="dxa"/>
                <w:shd w:val="clear" w:color="auto" w:fill="auto"/>
              </w:tcPr>
              <w:p w:rsidR="00230CAA" w:rsidRDefault="00DA73C8">
                <w:pPr>
                  <w:ind w:left="-74" w:right="-1274"/>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rsidR="00230CAA" w:rsidRDefault="00230CAA">
                <w:pPr>
                  <w:ind w:left="-74" w:right="-1274"/>
                  <w:rPr>
                    <w:rFonts w:ascii="Palatino Linotype" w:eastAsia="Palatino Linotype" w:hAnsi="Palatino Linotype" w:cs="Palatino Linotype"/>
                    <w:b/>
                    <w:bCs/>
                  </w:rPr>
                </w:pPr>
              </w:p>
            </w:tc>
          </w:tr>
        </w:tbl>
        <w:p w:rsidR="00230CAA" w:rsidRDefault="00230CAA">
          <w:pPr>
            <w:tabs>
              <w:tab w:val="right" w:pos="8838"/>
            </w:tabs>
            <w:ind w:left="-28"/>
            <w:jc w:val="both"/>
            <w:rPr>
              <w:rFonts w:ascii="Arial" w:eastAsia="Arial" w:hAnsi="Arial" w:cs="Arial"/>
              <w:b/>
              <w:bCs/>
              <w:sz w:val="22"/>
              <w:szCs w:val="22"/>
            </w:rPr>
          </w:pPr>
        </w:p>
      </w:tc>
    </w:tr>
  </w:tbl>
  <w:p w:rsidR="00230CAA" w:rsidRDefault="004E7E17">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2.15pt;margin-top:-129.2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12901"/>
    <w:multiLevelType w:val="multilevel"/>
    <w:tmpl w:val="865AC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442C6B"/>
    <w:multiLevelType w:val="multilevel"/>
    <w:tmpl w:val="9D9276D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10787796"/>
    <w:multiLevelType w:val="multilevel"/>
    <w:tmpl w:val="310E2E06"/>
    <w:lvl w:ilvl="0">
      <w:numFmt w:val="bullet"/>
      <w:lvlText w:val="●"/>
      <w:lvlJc w:val="left"/>
      <w:pPr>
        <w:ind w:left="1080" w:hanging="360"/>
      </w:pPr>
      <w:rPr>
        <w:rFonts w:ascii="Palatino Linotype" w:eastAsia="Palatino Linotype" w:hAnsi="Palatino Linotype" w:cs="Palatino Linotype"/>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36728DA"/>
    <w:multiLevelType w:val="multilevel"/>
    <w:tmpl w:val="BC7C6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557F57"/>
    <w:multiLevelType w:val="multilevel"/>
    <w:tmpl w:val="1D941D60"/>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3915C1"/>
    <w:multiLevelType w:val="multilevel"/>
    <w:tmpl w:val="61A68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CAA"/>
    <w:rsid w:val="001229C6"/>
    <w:rsid w:val="001F39B0"/>
    <w:rsid w:val="00230CAA"/>
    <w:rsid w:val="002526F4"/>
    <w:rsid w:val="003A528A"/>
    <w:rsid w:val="004E7E17"/>
    <w:rsid w:val="008C70AC"/>
    <w:rsid w:val="00DA73C8"/>
    <w:rsid w:val="00E004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ECCDCB4-1BA9-4255-A069-58196030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E00467"/>
    <w:pPr>
      <w:tabs>
        <w:tab w:val="center" w:pos="4419"/>
        <w:tab w:val="right" w:pos="8838"/>
      </w:tabs>
    </w:pPr>
  </w:style>
  <w:style w:type="character" w:customStyle="1" w:styleId="PiedepginaCar">
    <w:name w:val="Pie de página Car"/>
    <w:basedOn w:val="Fuentedeprrafopredeter"/>
    <w:link w:val="Piedepgina"/>
    <w:uiPriority w:val="99"/>
    <w:rsid w:val="00E00467"/>
  </w:style>
  <w:style w:type="paragraph" w:styleId="Prrafodelista">
    <w:name w:val="List Paragraph"/>
    <w:basedOn w:val="Normal"/>
    <w:uiPriority w:val="34"/>
    <w:qFormat/>
    <w:rsid w:val="008C70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642311.page" TargetMode="External"/><Relationship Id="rId13" Type="http://schemas.openxmlformats.org/officeDocument/2006/relationships/hyperlink" Target="https://www.saimex.org.mx/saimex/solicitud/downloadAttach/2694424.pag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2694423.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2694422.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2643075.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2643074.page" TargetMode="External"/><Relationship Id="rId14" Type="http://schemas.openxmlformats.org/officeDocument/2006/relationships/hyperlink" Target="https://www.saimex.org.mx/saimex/solicitud/downloadAttach/2694425.pa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AJKepUhCtpP6+D41eQWx/60BEQ==">CgMxLjAyCGguZ2pkZ3hzMg5oLmRpYXV6NmVvdGtkbzIJaC4xZm9iOXRlMgloLjN6bnlzaDcyCWguMmV0OTJwMDIJaC4zZHk2dmttMgloLjRkMzRvZzgyDmguMjR2bW9ud2E3MjloMgloLjI2aW4xcmcyDmguNm94Ymo2bDhpNDBjOAByITFPMHVIVFJ6WmdzdzZKVkk0eENvWWJiZWZBaHVKRUt5ZQ==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9716</Words>
  <Characters>53442</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6</cp:revision>
  <cp:lastPrinted>2026-06-29T15:54:00Z</cp:lastPrinted>
  <dcterms:created xsi:type="dcterms:W3CDTF">2026-06-23T23:52:00Z</dcterms:created>
  <dcterms:modified xsi:type="dcterms:W3CDTF">2026-07-02T19:18:00Z</dcterms:modified>
</cp:coreProperties>
</file>