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2E3" w:rsidRDefault="00804973">
      <w:pPr>
        <w:tabs>
          <w:tab w:val="left" w:pos="3465"/>
        </w:tabs>
        <w:spacing w:line="360" w:lineRule="auto"/>
        <w:ind w:right="-787"/>
        <w:jc w:val="both"/>
        <w:rPr>
          <w:rFonts w:ascii="Palatino Linotype" w:eastAsia="Palatino Linotype" w:hAnsi="Palatino Linotype" w:cs="Palatino Linotype"/>
          <w:b/>
          <w:bCs/>
        </w:rPr>
      </w:pPr>
      <w:r>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 de México; de fecha</w:t>
      </w:r>
      <w:r>
        <w:rPr>
          <w:rFonts w:ascii="Palatino Linotype" w:eastAsia="Palatino Linotype" w:hAnsi="Palatino Linotype" w:cs="Palatino Linotype"/>
          <w:b/>
          <w:bCs/>
        </w:rPr>
        <w:t xml:space="preserve"> diez (10) de junio de dos mil veintiséis.</w:t>
      </w:r>
    </w:p>
    <w:p w:rsidR="004412E3" w:rsidRDefault="004412E3">
      <w:pPr>
        <w:tabs>
          <w:tab w:val="left" w:pos="3465"/>
        </w:tabs>
        <w:spacing w:line="360" w:lineRule="auto"/>
        <w:ind w:right="-787"/>
        <w:jc w:val="both"/>
        <w:rPr>
          <w:rFonts w:ascii="Palatino Linotype" w:eastAsia="Palatino Linotype" w:hAnsi="Palatino Linotype" w:cs="Palatino Linotype"/>
        </w:rPr>
      </w:pPr>
    </w:p>
    <w:p w:rsidR="004412E3" w:rsidRDefault="00804973">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 xml:space="preserve">VISTAS </w:t>
      </w:r>
      <w:r>
        <w:rPr>
          <w:rFonts w:ascii="Palatino Linotype" w:eastAsia="Palatino Linotype" w:hAnsi="Palatino Linotype" w:cs="Palatino Linotype"/>
        </w:rPr>
        <w:t xml:space="preserve">las constancias para resolver </w:t>
      </w:r>
      <w:r>
        <w:rPr>
          <w:rFonts w:ascii="Palatino Linotype" w:eastAsia="Palatino Linotype" w:hAnsi="Palatino Linotype" w:cs="Palatino Linotype"/>
          <w:color w:val="000000"/>
        </w:rPr>
        <w:t xml:space="preserve">el Recurso de Revisión </w:t>
      </w:r>
      <w:r>
        <w:rPr>
          <w:rFonts w:ascii="Palatino Linotype" w:eastAsia="Palatino Linotype" w:hAnsi="Palatino Linotype" w:cs="Palatino Linotype"/>
          <w:b/>
          <w:bCs/>
          <w:color w:val="000000"/>
        </w:rPr>
        <w:t>01648/INFOEM/IP/RR/2026</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promovido de manera anónima,</w:t>
      </w:r>
      <w:r>
        <w:rPr>
          <w:rFonts w:ascii="Palatino Linotype" w:eastAsia="Palatino Linotype" w:hAnsi="Palatino Linotype" w:cs="Palatino Linotype"/>
        </w:rPr>
        <w:t xml:space="preserve"> en lo sucesivo se denominará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otorgada a la solicitud de información </w:t>
      </w:r>
      <w:r>
        <w:rPr>
          <w:rFonts w:ascii="Palatino Linotype" w:eastAsia="Palatino Linotype" w:hAnsi="Palatino Linotype" w:cs="Palatino Linotype"/>
          <w:b/>
          <w:bCs/>
        </w:rPr>
        <w:t>00364/ACAMBAY/IP/2025</w:t>
      </w:r>
      <w:r>
        <w:rPr>
          <w:rFonts w:ascii="Palatino Linotype" w:eastAsia="Palatino Linotype" w:hAnsi="Palatino Linotype" w:cs="Palatino Linotype"/>
        </w:rPr>
        <w:t xml:space="preserve">, por parte del </w:t>
      </w:r>
      <w:r>
        <w:rPr>
          <w:rFonts w:ascii="Palatino Linotype" w:eastAsia="Palatino Linotype" w:hAnsi="Palatino Linotype" w:cs="Palatino Linotype"/>
          <w:b/>
          <w:bCs/>
        </w:rPr>
        <w:t xml:space="preserve">Ayuntamiento de Acambay de Ruíz Castañeda, </w:t>
      </w:r>
      <w:r>
        <w:rPr>
          <w:rFonts w:ascii="Palatino Linotype" w:eastAsia="Palatino Linotype" w:hAnsi="Palatino Linotype" w:cs="Palatino Linotype"/>
        </w:rPr>
        <w:t xml:space="preserve">en adelante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se emite la presente resolución con base en los siguientes:</w:t>
      </w:r>
    </w:p>
    <w:p w:rsidR="004412E3" w:rsidRDefault="004412E3">
      <w:pPr>
        <w:spacing w:line="360" w:lineRule="auto"/>
        <w:ind w:right="-787"/>
        <w:jc w:val="both"/>
        <w:rPr>
          <w:rFonts w:ascii="Palatino Linotype" w:eastAsia="Palatino Linotype" w:hAnsi="Palatino Linotype" w:cs="Palatino Linotype"/>
        </w:rPr>
      </w:pPr>
    </w:p>
    <w:p w:rsidR="004412E3" w:rsidRDefault="00804973">
      <w:pPr>
        <w:pStyle w:val="Ttulo1"/>
        <w:spacing w:before="0" w:line="360" w:lineRule="auto"/>
        <w:ind w:right="-787"/>
        <w:jc w:val="center"/>
        <w:rPr>
          <w:rFonts w:ascii="Palatino Linotype" w:eastAsia="Palatino Linotype" w:hAnsi="Palatino Linotype" w:cs="Palatino Linotype"/>
          <w:b/>
          <w:bCs/>
          <w:color w:val="000000"/>
          <w:sz w:val="24"/>
          <w:szCs w:val="24"/>
        </w:rPr>
      </w:pPr>
      <w:bookmarkStart w:id="0" w:name="_heading=h.gjdgxs" w:colFirst="0" w:colLast="0"/>
      <w:bookmarkEnd w:id="0"/>
      <w:r>
        <w:rPr>
          <w:rFonts w:ascii="Palatino Linotype" w:eastAsia="Palatino Linotype" w:hAnsi="Palatino Linotype" w:cs="Palatino Linotype"/>
          <w:b/>
          <w:bCs/>
          <w:color w:val="000000"/>
          <w:sz w:val="24"/>
          <w:szCs w:val="24"/>
        </w:rPr>
        <w:t>A N T E C E D E N T E S</w:t>
      </w:r>
    </w:p>
    <w:p w:rsidR="004412E3" w:rsidRDefault="004412E3">
      <w:pPr>
        <w:pBdr>
          <w:top w:val="nil"/>
          <w:left w:val="nil"/>
          <w:bottom w:val="nil"/>
          <w:right w:val="nil"/>
          <w:between w:val="nil"/>
        </w:pBdr>
        <w:spacing w:line="360" w:lineRule="auto"/>
        <w:ind w:left="720" w:right="-787"/>
        <w:jc w:val="both"/>
        <w:rPr>
          <w:rFonts w:ascii="Palatino Linotype" w:eastAsia="Palatino Linotype" w:hAnsi="Palatino Linotype" w:cs="Palatino Linotype"/>
          <w:b/>
          <w:bCs/>
          <w:color w:val="000000"/>
          <w:u w:val="single"/>
        </w:rPr>
      </w:pPr>
    </w:p>
    <w:p w:rsidR="004412E3" w:rsidRDefault="00804973">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diecinueve de diciembre de dos mil veinticinco</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 presentó ante el Sujeto Obligado vía Sistema de Acceso a la Información Mexiquense, en adelante SAIMEX, la siguiente </w:t>
      </w:r>
      <w:r>
        <w:rPr>
          <w:rFonts w:ascii="Palatino Linotype" w:eastAsia="Palatino Linotype" w:hAnsi="Palatino Linotype" w:cs="Palatino Linotype"/>
          <w:b/>
          <w:bCs/>
          <w:color w:val="000000"/>
        </w:rPr>
        <w:t>solicitud de información</w:t>
      </w:r>
      <w:r>
        <w:rPr>
          <w:rFonts w:ascii="Palatino Linotype" w:eastAsia="Palatino Linotype" w:hAnsi="Palatino Linotype" w:cs="Palatino Linotype"/>
          <w:color w:val="000000"/>
        </w:rPr>
        <w:t xml:space="preserve"> pública:</w:t>
      </w:r>
    </w:p>
    <w:p w:rsidR="004412E3" w:rsidRDefault="004412E3">
      <w:pPr>
        <w:pBdr>
          <w:top w:val="nil"/>
          <w:left w:val="nil"/>
          <w:bottom w:val="nil"/>
          <w:right w:val="nil"/>
          <w:between w:val="nil"/>
        </w:pBdr>
        <w:ind w:right="-788"/>
        <w:jc w:val="both"/>
        <w:rPr>
          <w:rFonts w:ascii="Palatino Linotype" w:eastAsia="Palatino Linotype" w:hAnsi="Palatino Linotype" w:cs="Palatino Linotype"/>
          <w:color w:val="000000"/>
        </w:rPr>
      </w:pPr>
    </w:p>
    <w:p w:rsidR="004412E3" w:rsidRDefault="00804973">
      <w:pPr>
        <w:pBdr>
          <w:top w:val="nil"/>
          <w:left w:val="nil"/>
          <w:bottom w:val="nil"/>
          <w:right w:val="nil"/>
          <w:between w:val="nil"/>
        </w:pBdr>
        <w:ind w:left="567"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“SOLICITO TODOS LOS RECIBOS DE NOMINA CORRESPONDIENTES AL PAGO DE AGUINALDO Y PRIMA VACACIONAL CORRESPONDIENTE AL EJERCCIIO FISCAL 2025 DE TODO EL PERSONAL” (Sic)</w:t>
      </w:r>
    </w:p>
    <w:p w:rsidR="004412E3" w:rsidRDefault="004412E3">
      <w:pPr>
        <w:pBdr>
          <w:top w:val="nil"/>
          <w:left w:val="nil"/>
          <w:bottom w:val="nil"/>
          <w:right w:val="nil"/>
          <w:between w:val="nil"/>
        </w:pBdr>
        <w:ind w:right="-787"/>
        <w:jc w:val="both"/>
        <w:rPr>
          <w:rFonts w:ascii="Palatino Linotype" w:eastAsia="Palatino Linotype" w:hAnsi="Palatino Linotype" w:cs="Palatino Linotype"/>
          <w:i/>
          <w:iCs/>
        </w:rPr>
      </w:pPr>
    </w:p>
    <w:p w:rsidR="004412E3" w:rsidRDefault="004412E3">
      <w:pPr>
        <w:pBdr>
          <w:top w:val="nil"/>
          <w:left w:val="nil"/>
          <w:bottom w:val="nil"/>
          <w:right w:val="nil"/>
          <w:between w:val="nil"/>
        </w:pBdr>
        <w:ind w:right="-787"/>
        <w:jc w:val="both"/>
        <w:rPr>
          <w:rFonts w:ascii="Palatino Linotype" w:eastAsia="Palatino Linotype" w:hAnsi="Palatino Linotype" w:cs="Palatino Linotype"/>
          <w:i/>
          <w:iCs/>
        </w:rPr>
      </w:pPr>
    </w:p>
    <w:p w:rsidR="004412E3" w:rsidRDefault="00804973">
      <w:pPr>
        <w:numPr>
          <w:ilvl w:val="0"/>
          <w:numId w:val="7"/>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eligió como modalidad de entrega de la información: A través del </w:t>
      </w:r>
      <w:r>
        <w:rPr>
          <w:rFonts w:ascii="Palatino Linotype" w:eastAsia="Palatino Linotype" w:hAnsi="Palatino Linotype" w:cs="Palatino Linotype"/>
          <w:b/>
          <w:bCs/>
          <w:color w:val="000000"/>
        </w:rPr>
        <w:t>SAIMEX.</w:t>
      </w:r>
    </w:p>
    <w:p w:rsidR="004412E3" w:rsidRDefault="004412E3">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color w:val="000000"/>
        </w:rPr>
      </w:pPr>
    </w:p>
    <w:p w:rsidR="004412E3" w:rsidRDefault="00804973">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treinta de enero de dos mil veintiséis</w:t>
      </w:r>
      <w:r>
        <w:rPr>
          <w:rFonts w:ascii="Palatino Linotype" w:eastAsia="Palatino Linotype" w:hAnsi="Palatino Linotype" w:cs="Palatino Linotype"/>
          <w:color w:val="000000"/>
        </w:rPr>
        <w:t xml:space="preserve">, el Sujeto Obligado emitió </w:t>
      </w:r>
      <w:r>
        <w:rPr>
          <w:rFonts w:ascii="Palatino Linotype" w:eastAsia="Palatino Linotype" w:hAnsi="Palatino Linotype" w:cs="Palatino Linotype"/>
          <w:b/>
          <w:bCs/>
          <w:color w:val="000000"/>
        </w:rPr>
        <w:t>respuesta</w:t>
      </w:r>
      <w:r>
        <w:rPr>
          <w:rFonts w:ascii="Palatino Linotype" w:eastAsia="Palatino Linotype" w:hAnsi="Palatino Linotype" w:cs="Palatino Linotype"/>
          <w:color w:val="000000"/>
        </w:rPr>
        <w:t xml:space="preserve"> a través del archivo digital siguiente:</w:t>
      </w:r>
    </w:p>
    <w:p w:rsidR="004412E3" w:rsidRDefault="00804973">
      <w:pPr>
        <w:pBdr>
          <w:top w:val="nil"/>
          <w:left w:val="nil"/>
          <w:bottom w:val="nil"/>
          <w:right w:val="nil"/>
          <w:between w:val="nil"/>
        </w:pBdr>
        <w:ind w:left="567" w:right="-78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Resp. Sol. 364.pdf</w:t>
      </w:r>
    </w:p>
    <w:p w:rsidR="004412E3" w:rsidRDefault="00804973">
      <w:pPr>
        <w:pBdr>
          <w:top w:val="nil"/>
          <w:left w:val="nil"/>
          <w:bottom w:val="nil"/>
          <w:right w:val="nil"/>
          <w:between w:val="nil"/>
        </w:pBdr>
        <w:ind w:left="567" w:right="-788"/>
        <w:jc w:val="both"/>
        <w:rPr>
          <w:rFonts w:ascii="Palatino Linotype" w:eastAsia="Palatino Linotype" w:hAnsi="Palatino Linotype" w:cs="Palatino Linotype"/>
        </w:rPr>
      </w:pPr>
      <w:r>
        <w:rPr>
          <w:rFonts w:ascii="Palatino Linotype" w:eastAsia="Palatino Linotype" w:hAnsi="Palatino Linotype" w:cs="Palatino Linotype"/>
        </w:rPr>
        <w:t xml:space="preserve">OFICIO No.: UTAIPEM/035/2026 de fecha 08 de enero de 2026, firmado por la </w:t>
      </w:r>
      <w:r>
        <w:rPr>
          <w:rFonts w:ascii="Palatino Linotype" w:eastAsia="Palatino Linotype" w:hAnsi="Palatino Linotype" w:cs="Palatino Linotype"/>
          <w:b/>
          <w:bCs/>
        </w:rPr>
        <w:t>Titular de la Unidad de Transparencia</w:t>
      </w:r>
      <w:r>
        <w:rPr>
          <w:rFonts w:ascii="Palatino Linotype" w:eastAsia="Palatino Linotype" w:hAnsi="Palatino Linotype" w:cs="Palatino Linotype"/>
        </w:rPr>
        <w:t xml:space="preserve"> requiere al Tesorero Municipal otorgue la respuesta correspondiente.</w:t>
      </w:r>
    </w:p>
    <w:p w:rsidR="004412E3" w:rsidRDefault="004412E3">
      <w:pPr>
        <w:pBdr>
          <w:top w:val="nil"/>
          <w:left w:val="nil"/>
          <w:bottom w:val="nil"/>
          <w:right w:val="nil"/>
          <w:between w:val="nil"/>
        </w:pBdr>
        <w:ind w:left="567" w:right="-788"/>
        <w:jc w:val="both"/>
        <w:rPr>
          <w:rFonts w:ascii="Palatino Linotype" w:eastAsia="Palatino Linotype" w:hAnsi="Palatino Linotype" w:cs="Palatino Linotype"/>
        </w:rPr>
      </w:pPr>
    </w:p>
    <w:p w:rsidR="004412E3" w:rsidRDefault="00804973">
      <w:pPr>
        <w:pBdr>
          <w:top w:val="nil"/>
          <w:left w:val="nil"/>
          <w:bottom w:val="nil"/>
          <w:right w:val="nil"/>
          <w:between w:val="nil"/>
        </w:pBdr>
        <w:ind w:left="567" w:right="-788"/>
        <w:jc w:val="both"/>
        <w:rPr>
          <w:rFonts w:ascii="Palatino Linotype" w:eastAsia="Palatino Linotype" w:hAnsi="Palatino Linotype" w:cs="Palatino Linotype"/>
        </w:rPr>
      </w:pPr>
      <w:r>
        <w:rPr>
          <w:rFonts w:ascii="Palatino Linotype" w:eastAsia="Palatino Linotype" w:hAnsi="Palatino Linotype" w:cs="Palatino Linotype"/>
        </w:rPr>
        <w:t xml:space="preserve">OFICIO NO. TM/1/0030/2026 de fecha 26 de enero de 2026, firmado por el </w:t>
      </w:r>
      <w:r>
        <w:rPr>
          <w:rFonts w:ascii="Palatino Linotype" w:eastAsia="Palatino Linotype" w:hAnsi="Palatino Linotype" w:cs="Palatino Linotype"/>
          <w:b/>
          <w:bCs/>
        </w:rPr>
        <w:t>Tesorero Municipal</w:t>
      </w:r>
      <w:r>
        <w:rPr>
          <w:rFonts w:ascii="Palatino Linotype" w:eastAsia="Palatino Linotype" w:hAnsi="Palatino Linotype" w:cs="Palatino Linotype"/>
        </w:rPr>
        <w:t>, a través del cual refiere que la integración del 4 informe trimestral (octubre, noviembre y diciembre) del ejercicio fiscal 2025, está en proceso de ser recopilado, validado y consolidado respecto a la información presupuestal, financiera y patrimonial que se le entrega al OSFEN por tal razón los recibos de nómina correspondientes al pago de aguinaldo y prima vacacional, no se han conformado en su totalidad para atender favorablemente su petición.</w:t>
      </w:r>
    </w:p>
    <w:p w:rsidR="004412E3" w:rsidRDefault="004412E3">
      <w:pPr>
        <w:pBdr>
          <w:top w:val="nil"/>
          <w:left w:val="nil"/>
          <w:bottom w:val="nil"/>
          <w:right w:val="nil"/>
          <w:between w:val="nil"/>
        </w:pBdr>
        <w:tabs>
          <w:tab w:val="left" w:pos="0"/>
        </w:tabs>
        <w:ind w:right="-787"/>
        <w:jc w:val="both"/>
        <w:rPr>
          <w:rFonts w:ascii="Palatino Linotype" w:eastAsia="Palatino Linotype" w:hAnsi="Palatino Linotype" w:cs="Palatino Linotype"/>
          <w:i/>
          <w:iCs/>
        </w:rPr>
      </w:pPr>
    </w:p>
    <w:p w:rsidR="004412E3" w:rsidRDefault="004412E3">
      <w:pPr>
        <w:pBdr>
          <w:top w:val="nil"/>
          <w:left w:val="nil"/>
          <w:bottom w:val="nil"/>
          <w:right w:val="nil"/>
          <w:between w:val="nil"/>
        </w:pBdr>
        <w:tabs>
          <w:tab w:val="left" w:pos="0"/>
        </w:tabs>
        <w:ind w:right="-787"/>
        <w:jc w:val="both"/>
        <w:rPr>
          <w:rFonts w:ascii="Palatino Linotype" w:eastAsia="Palatino Linotype" w:hAnsi="Palatino Linotype" w:cs="Palatino Linotype"/>
          <w:i/>
          <w:iCs/>
        </w:rPr>
      </w:pPr>
    </w:p>
    <w:p w:rsidR="004412E3" w:rsidRDefault="00804973">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seis de febrero de dos mil veintiséis</w:t>
      </w:r>
      <w:r>
        <w:rPr>
          <w:rFonts w:ascii="Palatino Linotype" w:eastAsia="Palatino Linotype" w:hAnsi="Palatino Linotype" w:cs="Palatino Linotype"/>
          <w:color w:val="000000"/>
        </w:rPr>
        <w:t xml:space="preserve">, el particular interpuso el Recurso de Revisión al que se le asignó el folio </w:t>
      </w:r>
      <w:r>
        <w:rPr>
          <w:rFonts w:ascii="Palatino Linotype" w:eastAsia="Palatino Linotype" w:hAnsi="Palatino Linotype" w:cs="Palatino Linotype"/>
          <w:b/>
          <w:bCs/>
          <w:color w:val="000000"/>
        </w:rPr>
        <w:t xml:space="preserve">01648/INFOEM/IP/RR/2026, </w:t>
      </w:r>
      <w:r>
        <w:rPr>
          <w:rFonts w:ascii="Palatino Linotype" w:eastAsia="Palatino Linotype" w:hAnsi="Palatino Linotype" w:cs="Palatino Linotype"/>
          <w:color w:val="000000"/>
        </w:rPr>
        <w:t>en contra de la respuesta emitida por el Sujeto Obligado, realizando las siguientes manifestaciones como acto impugnado y razones o motivos de inconformidad:</w:t>
      </w:r>
    </w:p>
    <w:p w:rsidR="004412E3" w:rsidRDefault="004412E3">
      <w:pPr>
        <w:pBdr>
          <w:top w:val="nil"/>
          <w:left w:val="nil"/>
          <w:bottom w:val="nil"/>
          <w:right w:val="nil"/>
          <w:between w:val="nil"/>
        </w:pBdr>
        <w:ind w:left="1571" w:right="-787"/>
        <w:jc w:val="both"/>
        <w:rPr>
          <w:rFonts w:ascii="Palatino Linotype" w:eastAsia="Palatino Linotype" w:hAnsi="Palatino Linotype" w:cs="Palatino Linotype"/>
          <w:b/>
          <w:bCs/>
          <w:color w:val="000000"/>
        </w:rPr>
      </w:pPr>
      <w:bookmarkStart w:id="1" w:name="_heading=h.30j0zll" w:colFirst="0" w:colLast="0"/>
      <w:bookmarkEnd w:id="1"/>
    </w:p>
    <w:p w:rsidR="004412E3" w:rsidRDefault="00804973">
      <w:pPr>
        <w:numPr>
          <w:ilvl w:val="0"/>
          <w:numId w:val="6"/>
        </w:numPr>
        <w:pBdr>
          <w:top w:val="nil"/>
          <w:left w:val="nil"/>
          <w:bottom w:val="nil"/>
          <w:right w:val="nil"/>
          <w:between w:val="nil"/>
        </w:pBdr>
        <w:ind w:right="-57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Acto impugnado: </w:t>
      </w:r>
    </w:p>
    <w:p w:rsidR="004412E3" w:rsidRDefault="00804973">
      <w:pPr>
        <w:pBdr>
          <w:top w:val="nil"/>
          <w:left w:val="nil"/>
          <w:bottom w:val="nil"/>
          <w:right w:val="nil"/>
          <w:between w:val="nil"/>
        </w:pBdr>
        <w:ind w:left="851" w:right="-57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“NO PRESENTARON LA INFORMACION SOLICITADA, SIN EMBARGO ES INFORMACION QUE GENERA EL AREA COORESPONDIENTE. NO ES NECESARIO HACER LA RECPILACION” (Sic)</w:t>
      </w:r>
    </w:p>
    <w:p w:rsidR="004412E3" w:rsidRDefault="004412E3">
      <w:pPr>
        <w:pBdr>
          <w:top w:val="nil"/>
          <w:left w:val="nil"/>
          <w:bottom w:val="nil"/>
          <w:right w:val="nil"/>
          <w:between w:val="nil"/>
        </w:pBdr>
        <w:ind w:left="851" w:right="-574"/>
        <w:jc w:val="both"/>
        <w:rPr>
          <w:rFonts w:ascii="Palatino Linotype" w:eastAsia="Palatino Linotype" w:hAnsi="Palatino Linotype" w:cs="Palatino Linotype"/>
          <w:i/>
          <w:iCs/>
          <w:color w:val="000000"/>
        </w:rPr>
      </w:pPr>
    </w:p>
    <w:p w:rsidR="004412E3" w:rsidRDefault="00804973">
      <w:pPr>
        <w:numPr>
          <w:ilvl w:val="0"/>
          <w:numId w:val="1"/>
        </w:numPr>
        <w:pBdr>
          <w:top w:val="nil"/>
          <w:left w:val="nil"/>
          <w:bottom w:val="nil"/>
          <w:right w:val="nil"/>
          <w:between w:val="nil"/>
        </w:pBdr>
        <w:ind w:right="-574"/>
        <w:jc w:val="both"/>
        <w:rPr>
          <w:rFonts w:ascii="Palatino Linotype" w:eastAsia="Palatino Linotype" w:hAnsi="Palatino Linotype" w:cs="Palatino Linotype"/>
          <w:b/>
          <w:bCs/>
          <w:color w:val="000000"/>
        </w:rPr>
      </w:pPr>
      <w:bookmarkStart w:id="2" w:name="_heading=h.1fob9te" w:colFirst="0" w:colLast="0"/>
      <w:bookmarkEnd w:id="2"/>
      <w:r>
        <w:rPr>
          <w:rFonts w:ascii="Palatino Linotype" w:eastAsia="Palatino Linotype" w:hAnsi="Palatino Linotype" w:cs="Palatino Linotype"/>
          <w:b/>
          <w:bCs/>
          <w:color w:val="000000"/>
        </w:rPr>
        <w:t xml:space="preserve">Razones o Motivos de inconformidad: </w:t>
      </w:r>
    </w:p>
    <w:p w:rsidR="004412E3" w:rsidRDefault="00804973">
      <w:pPr>
        <w:pBdr>
          <w:top w:val="nil"/>
          <w:left w:val="nil"/>
          <w:bottom w:val="nil"/>
          <w:right w:val="nil"/>
          <w:between w:val="nil"/>
        </w:pBdr>
        <w:ind w:left="851" w:right="-574"/>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 xml:space="preserve">“LEY DE TRANSPARENCIA Y ACCESO A LA INFORMACIÓN PÚBLICA DEL ESTADO DE MÉXICO Y MUNICIPIOS De las Obligaciones de Transparencia Comunes 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VIII. La remuneración bruta y neta de todos los servidores públicos de base o de confianza, de todas las percepciones, incluyendo sueldos, prestaciones, </w:t>
      </w:r>
      <w:r>
        <w:rPr>
          <w:rFonts w:ascii="Palatino Linotype" w:eastAsia="Palatino Linotype" w:hAnsi="Palatino Linotype" w:cs="Palatino Linotype"/>
          <w:i/>
          <w:iCs/>
          <w:color w:val="000000"/>
        </w:rPr>
        <w:lastRenderedPageBreak/>
        <w:t xml:space="preserve">gratificaciones, primas, comisiones, dietas, bonos, estímulos, ingresos y sistemas de compensación, señalando la periodicidad de dicha remuneración;.” </w:t>
      </w:r>
      <w:r>
        <w:rPr>
          <w:rFonts w:ascii="Palatino Linotype" w:eastAsia="Palatino Linotype" w:hAnsi="Palatino Linotype" w:cs="Palatino Linotype"/>
          <w:color w:val="000000"/>
        </w:rPr>
        <w:t>(Sic)</w:t>
      </w:r>
    </w:p>
    <w:p w:rsidR="004412E3" w:rsidRDefault="004412E3">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iCs/>
          <w:color w:val="000000"/>
          <w:u w:val="single"/>
        </w:rPr>
      </w:pPr>
    </w:p>
    <w:p w:rsidR="004412E3" w:rsidRDefault="00804973">
      <w:pPr>
        <w:numPr>
          <w:ilvl w:val="0"/>
          <w:numId w:val="9"/>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Pr>
          <w:rFonts w:ascii="Palatino Linotype" w:eastAsia="Palatino Linotype" w:hAnsi="Palatino Linotype" w:cs="Palatino Linotype"/>
          <w:b/>
          <w:bCs/>
          <w:color w:val="000000"/>
        </w:rPr>
        <w:t xml:space="preserve">acuerdo de admisión </w:t>
      </w:r>
      <w:r>
        <w:rPr>
          <w:rFonts w:ascii="Palatino Linotype" w:eastAsia="Palatino Linotype" w:hAnsi="Palatino Linotype" w:cs="Palatino Linotype"/>
          <w:color w:val="000000"/>
        </w:rPr>
        <w:t xml:space="preserve">de fecha </w:t>
      </w:r>
      <w:r>
        <w:rPr>
          <w:rFonts w:ascii="Palatino Linotype" w:eastAsia="Palatino Linotype" w:hAnsi="Palatino Linotype" w:cs="Palatino Linotype"/>
          <w:b/>
          <w:bCs/>
          <w:color w:val="000000"/>
        </w:rPr>
        <w:t xml:space="preserve">nueve de febrero de dos mil veintiséis, </w:t>
      </w:r>
      <w:r>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rsidR="004412E3" w:rsidRDefault="004412E3">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4412E3" w:rsidRDefault="00804973">
      <w:pPr>
        <w:numPr>
          <w:ilvl w:val="0"/>
          <w:numId w:val="9"/>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Recurrente adjuntó la respuesta proporcionada. Por su parte, el Sujeto Obligado,</w:t>
      </w:r>
      <w:r>
        <w:rPr>
          <w:rFonts w:ascii="Palatino Linotype" w:eastAsia="Palatino Linotype" w:hAnsi="Palatino Linotype" w:cs="Palatino Linotype"/>
          <w:b/>
          <w:bCs/>
          <w:color w:val="000000"/>
        </w:rPr>
        <w:t xml:space="preserve"> no presentó</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 xml:space="preserve">informe justificado, </w:t>
      </w:r>
      <w:r>
        <w:rPr>
          <w:rFonts w:ascii="Palatino Linotype" w:eastAsia="Palatino Linotype" w:hAnsi="Palatino Linotype" w:cs="Palatino Linotype"/>
          <w:color w:val="000000"/>
        </w:rPr>
        <w:t xml:space="preserve">tal como se muestra en la imagen siguiente: </w:t>
      </w:r>
    </w:p>
    <w:p w:rsidR="004412E3" w:rsidRDefault="004412E3">
      <w:pPr>
        <w:pBdr>
          <w:top w:val="nil"/>
          <w:left w:val="nil"/>
          <w:bottom w:val="nil"/>
          <w:right w:val="nil"/>
          <w:between w:val="nil"/>
        </w:pBdr>
        <w:ind w:right="-79"/>
        <w:jc w:val="both"/>
        <w:rPr>
          <w:rFonts w:ascii="Palatino Linotype" w:eastAsia="Palatino Linotype" w:hAnsi="Palatino Linotype" w:cs="Palatino Linotype"/>
          <w:b/>
          <w:bCs/>
          <w:color w:val="000000"/>
        </w:rPr>
      </w:pPr>
    </w:p>
    <w:p w:rsidR="004412E3" w:rsidRDefault="00804973">
      <w:pPr>
        <w:pBdr>
          <w:top w:val="nil"/>
          <w:left w:val="nil"/>
          <w:bottom w:val="nil"/>
          <w:right w:val="nil"/>
          <w:between w:val="nil"/>
        </w:pBdr>
        <w:tabs>
          <w:tab w:val="left" w:pos="1134"/>
        </w:tabs>
        <w:ind w:left="567" w:right="-79"/>
        <w:jc w:val="both"/>
        <w:rPr>
          <w:rFonts w:ascii="Palatino Linotype" w:eastAsia="Palatino Linotype" w:hAnsi="Palatino Linotype" w:cs="Palatino Linotype"/>
          <w:color w:val="000000"/>
        </w:rPr>
      </w:pPr>
      <w:r>
        <w:rPr>
          <w:rFonts w:ascii="Palatino Linotype" w:eastAsia="Palatino Linotype" w:hAnsi="Palatino Linotype" w:cs="Palatino Linotype"/>
          <w:noProof/>
          <w:color w:val="000000"/>
          <w:lang w:val="es-MX"/>
        </w:rPr>
        <w:drawing>
          <wp:inline distT="0" distB="0" distL="0" distR="0">
            <wp:extent cx="5756275" cy="150368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56275" cy="1503680"/>
                    </a:xfrm>
                    <a:prstGeom prst="rect">
                      <a:avLst/>
                    </a:prstGeom>
                    <a:ln/>
                  </pic:spPr>
                </pic:pic>
              </a:graphicData>
            </a:graphic>
          </wp:inline>
        </w:drawing>
      </w:r>
    </w:p>
    <w:p w:rsidR="004412E3" w:rsidRDefault="004412E3">
      <w:pPr>
        <w:pBdr>
          <w:top w:val="nil"/>
          <w:left w:val="nil"/>
          <w:bottom w:val="nil"/>
          <w:right w:val="nil"/>
          <w:between w:val="nil"/>
        </w:pBdr>
        <w:ind w:right="-79"/>
        <w:jc w:val="both"/>
        <w:rPr>
          <w:rFonts w:ascii="Palatino Linotype" w:eastAsia="Palatino Linotype" w:hAnsi="Palatino Linotype" w:cs="Palatino Linotype"/>
          <w:color w:val="000000"/>
        </w:rPr>
      </w:pPr>
    </w:p>
    <w:p w:rsidR="004412E3" w:rsidRDefault="00804973">
      <w:pPr>
        <w:numPr>
          <w:ilvl w:val="0"/>
          <w:numId w:val="9"/>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En fecha</w:t>
      </w:r>
      <w:r>
        <w:rPr>
          <w:rFonts w:ascii="Palatino Linotype" w:eastAsia="Palatino Linotype" w:hAnsi="Palatino Linotype" w:cs="Palatino Linotype"/>
          <w:b/>
          <w:bCs/>
          <w:color w:val="000000"/>
        </w:rPr>
        <w:t xml:space="preserve"> veintiséis de marzo de dos mil veintiséis</w:t>
      </w:r>
      <w:r>
        <w:rPr>
          <w:rFonts w:ascii="Palatino Linotype" w:eastAsia="Palatino Linotype" w:hAnsi="Palatino Linotype" w:cs="Palatino Linotype"/>
          <w:color w:val="000000"/>
        </w:rPr>
        <w:t xml:space="preserve">, se acordó ampliar el </w:t>
      </w:r>
      <w:r>
        <w:rPr>
          <w:rFonts w:ascii="Palatino Linotype" w:eastAsia="Palatino Linotype" w:hAnsi="Palatino Linotype" w:cs="Palatino Linotype"/>
        </w:rPr>
        <w:t>plazo</w:t>
      </w:r>
      <w:r>
        <w:rPr>
          <w:rFonts w:ascii="Palatino Linotype" w:eastAsia="Palatino Linotype" w:hAnsi="Palatino Linotype" w:cs="Palatino Linotype"/>
          <w:color w:val="000000"/>
        </w:rPr>
        <w:t xml:space="preserve"> para resolver el presente Recurso de Revisión.</w:t>
      </w:r>
    </w:p>
    <w:p w:rsidR="004412E3" w:rsidRDefault="004412E3">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4412E3" w:rsidRDefault="00804973">
      <w:pPr>
        <w:numPr>
          <w:ilvl w:val="0"/>
          <w:numId w:val="9"/>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bookmarkStart w:id="3" w:name="_heading=h.3znysh7" w:colFirst="0" w:colLast="0"/>
      <w:bookmarkEnd w:id="3"/>
      <w:r>
        <w:rPr>
          <w:rFonts w:ascii="Palatino Linotype" w:eastAsia="Palatino Linotype" w:hAnsi="Palatino Linotype" w:cs="Palatino Linotype"/>
          <w:color w:val="000000"/>
        </w:rPr>
        <w:t xml:space="preserve">Seguidamente, en fecha </w:t>
      </w:r>
      <w:r>
        <w:rPr>
          <w:rFonts w:ascii="Palatino Linotype" w:eastAsia="Palatino Linotype" w:hAnsi="Palatino Linotype" w:cs="Palatino Linotype"/>
          <w:b/>
          <w:bCs/>
          <w:color w:val="000000"/>
        </w:rPr>
        <w:t>nueve de abril de dos mil veintiséis</w:t>
      </w:r>
      <w:r>
        <w:rPr>
          <w:rFonts w:ascii="Palatino Linotype" w:eastAsia="Palatino Linotype" w:hAnsi="Palatino Linotype" w:cs="Palatino Linotype"/>
          <w:color w:val="000000"/>
        </w:rPr>
        <w:t xml:space="preserve">, la Comisionada Ponente dictó el </w:t>
      </w:r>
      <w:r>
        <w:rPr>
          <w:rFonts w:ascii="Palatino Linotype" w:eastAsia="Palatino Linotype" w:hAnsi="Palatino Linotype" w:cs="Palatino Linotype"/>
          <w:b/>
          <w:bCs/>
          <w:color w:val="000000"/>
        </w:rPr>
        <w:t>cierre del periodo de instrucción</w:t>
      </w:r>
      <w:r>
        <w:rPr>
          <w:rFonts w:ascii="Palatino Linotype" w:eastAsia="Palatino Linotype" w:hAnsi="Palatino Linotype" w:cs="Palatino Linotype"/>
          <w:color w:val="000000"/>
        </w:rPr>
        <w:t xml:space="preserve"> y, ordenó la resolución que conforme a Derecho proceda: </w:t>
      </w:r>
      <w:r>
        <w:rPr>
          <w:rFonts w:ascii="Palatino Linotype" w:eastAsia="Palatino Linotype" w:hAnsi="Palatino Linotype" w:cs="Palatino Linotype"/>
        </w:rPr>
        <w:t>—------------------------------------------------------------------------------------------------</w:t>
      </w:r>
      <w:r w:rsidR="00764966">
        <w:rPr>
          <w:rFonts w:ascii="Palatino Linotype" w:eastAsia="Palatino Linotype" w:hAnsi="Palatino Linotype" w:cs="Palatino Linotype"/>
        </w:rPr>
        <w:t>------------</w:t>
      </w:r>
    </w:p>
    <w:p w:rsidR="004412E3" w:rsidRDefault="004412E3">
      <w:pPr>
        <w:pBdr>
          <w:top w:val="nil"/>
          <w:left w:val="nil"/>
          <w:bottom w:val="nil"/>
          <w:right w:val="nil"/>
          <w:between w:val="nil"/>
        </w:pBdr>
        <w:ind w:left="720" w:right="-787"/>
        <w:rPr>
          <w:rFonts w:ascii="Palatino Linotype" w:eastAsia="Palatino Linotype" w:hAnsi="Palatino Linotype" w:cs="Palatino Linotype"/>
          <w:b/>
          <w:bCs/>
          <w:color w:val="000000"/>
        </w:rPr>
      </w:pPr>
    </w:p>
    <w:p w:rsidR="004412E3" w:rsidRDefault="00804973">
      <w:pPr>
        <w:keepNext/>
        <w:keepLines/>
        <w:spacing w:line="360" w:lineRule="auto"/>
        <w:jc w:val="center"/>
        <w:rPr>
          <w:rFonts w:ascii="Palatino Linotype" w:eastAsia="Palatino Linotype" w:hAnsi="Palatino Linotype" w:cs="Palatino Linotype"/>
          <w:b/>
          <w:bCs/>
        </w:rPr>
      </w:pPr>
      <w:r>
        <w:rPr>
          <w:rFonts w:ascii="Palatino Linotype" w:eastAsia="Palatino Linotype" w:hAnsi="Palatino Linotype" w:cs="Palatino Linotype"/>
          <w:b/>
          <w:bCs/>
        </w:rPr>
        <w:lastRenderedPageBreak/>
        <w:t xml:space="preserve">C O N S I D E R A N D O </w:t>
      </w:r>
    </w:p>
    <w:p w:rsidR="004412E3" w:rsidRDefault="004412E3">
      <w:pPr>
        <w:spacing w:line="360" w:lineRule="auto"/>
        <w:rPr>
          <w:rFonts w:ascii="Palatino Linotype" w:eastAsia="Palatino Linotype" w:hAnsi="Palatino Linotype" w:cs="Palatino Linotype"/>
        </w:rPr>
      </w:pPr>
    </w:p>
    <w:p w:rsidR="004412E3" w:rsidRDefault="00804973">
      <w:pPr>
        <w:keepNext/>
        <w:keepLine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PRIMERO. De la competencia</w:t>
      </w:r>
    </w:p>
    <w:p w:rsidR="004412E3" w:rsidRDefault="00804973">
      <w:pPr>
        <w:numPr>
          <w:ilvl w:val="0"/>
          <w:numId w:val="9"/>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Este Instituto </w:t>
      </w:r>
      <w:r>
        <w:rPr>
          <w:rFonts w:ascii="Palatino Linotype" w:eastAsia="Palatino Linotype" w:hAnsi="Palatino Linotype" w:cs="Palatino Linotype"/>
        </w:rPr>
        <w:t>de</w:t>
      </w:r>
      <w:r>
        <w:rPr>
          <w:rFonts w:ascii="Palatino Linotype" w:eastAsia="Palatino Linotype" w:hAnsi="Palatino Linotype" w:cs="Palatino Linotype"/>
          <w:color w:val="000000"/>
        </w:rPr>
        <w:t xml:space="preserv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4412E3" w:rsidRDefault="004412E3">
      <w:pPr>
        <w:tabs>
          <w:tab w:val="left" w:pos="426"/>
        </w:tabs>
        <w:spacing w:line="360" w:lineRule="auto"/>
        <w:jc w:val="both"/>
        <w:rPr>
          <w:rFonts w:ascii="Palatino Linotype" w:eastAsia="Palatino Linotype" w:hAnsi="Palatino Linotype" w:cs="Palatino Linotype"/>
          <w:color w:val="000000"/>
        </w:rPr>
      </w:pPr>
    </w:p>
    <w:p w:rsidR="004412E3" w:rsidRDefault="00804973">
      <w:pPr>
        <w:keepNext/>
        <w:keepLine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SEGUNDO. De la oportunidad y procedencia.</w:t>
      </w:r>
    </w:p>
    <w:p w:rsidR="004412E3" w:rsidRDefault="00804973">
      <w:pPr>
        <w:numPr>
          <w:ilvl w:val="0"/>
          <w:numId w:val="9"/>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bookmarkStart w:id="4" w:name="_heading=h.2et92p0" w:colFirst="0" w:colLast="0"/>
      <w:bookmarkEnd w:id="4"/>
      <w:r>
        <w:rPr>
          <w:rFonts w:ascii="Palatino Linotype" w:eastAsia="Palatino Linotype" w:hAnsi="Palatino Linotype" w:cs="Palatino Linotype"/>
        </w:rPr>
        <w:t xml:space="preserve">El medio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el </w:t>
      </w:r>
      <w:r>
        <w:rPr>
          <w:rFonts w:ascii="Palatino Linotype" w:eastAsia="Palatino Linotype" w:hAnsi="Palatino Linotype" w:cs="Palatino Linotype"/>
          <w:b/>
          <w:bCs/>
        </w:rPr>
        <w:t>treinta de enero de dos mil veintiséis</w:t>
      </w:r>
      <w:r>
        <w:rPr>
          <w:rFonts w:ascii="Palatino Linotype" w:eastAsia="Palatino Linotype" w:hAnsi="Palatino Linotype" w:cs="Palatino Linotype"/>
        </w:rPr>
        <w:t xml:space="preserve">, de tal forma que el plazo para interponer el recurso transcurrió del </w:t>
      </w:r>
      <w:r>
        <w:rPr>
          <w:rFonts w:ascii="Palatino Linotype" w:eastAsia="Palatino Linotype" w:hAnsi="Palatino Linotype" w:cs="Palatino Linotype"/>
          <w:b/>
          <w:bCs/>
        </w:rPr>
        <w:t xml:space="preserve">tres al veintitrés de febrero de dos mil veintiséis, </w:t>
      </w:r>
      <w:r>
        <w:rPr>
          <w:rFonts w:ascii="Palatino Linotype" w:eastAsia="Palatino Linotype" w:hAnsi="Palatino Linotype" w:cs="Palatino Linotype"/>
        </w:rPr>
        <w:t xml:space="preserve">en consecuencia, si el </w:t>
      </w:r>
      <w:r>
        <w:rPr>
          <w:rFonts w:ascii="Palatino Linotype" w:eastAsia="Palatino Linotype" w:hAnsi="Palatino Linotype" w:cs="Palatino Linotype"/>
          <w:b/>
          <w:bCs/>
        </w:rPr>
        <w:t>PARTICULAR</w:t>
      </w:r>
      <w:r>
        <w:rPr>
          <w:rFonts w:ascii="Palatino Linotype" w:eastAsia="Palatino Linotype" w:hAnsi="Palatino Linotype" w:cs="Palatino Linotype"/>
        </w:rPr>
        <w:t xml:space="preserve"> presentó su inconformidad el </w:t>
      </w:r>
      <w:r>
        <w:rPr>
          <w:rFonts w:ascii="Palatino Linotype" w:eastAsia="Palatino Linotype" w:hAnsi="Palatino Linotype" w:cs="Palatino Linotype"/>
          <w:b/>
          <w:bCs/>
        </w:rPr>
        <w:t>seis de febrero de dos mil veintiséis</w:t>
      </w:r>
      <w:r>
        <w:rPr>
          <w:rFonts w:ascii="Palatino Linotype" w:eastAsia="Palatino Linotype" w:hAnsi="Palatino Linotype" w:cs="Palatino Linotype"/>
        </w:rPr>
        <w:t xml:space="preserve">, este se encuentra dentro de los márgenes temporales previstos en el artículo 178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 xml:space="preserve">vigente. </w:t>
      </w:r>
    </w:p>
    <w:p w:rsidR="004412E3" w:rsidRDefault="00804973">
      <w:pPr>
        <w:pStyle w:val="Ttulo2"/>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color w:val="000000"/>
          <w:sz w:val="24"/>
          <w:szCs w:val="24"/>
        </w:rPr>
        <w:lastRenderedPageBreak/>
        <w:t xml:space="preserve">TERCERO. Del planteamiento de la </w:t>
      </w:r>
      <w:r>
        <w:rPr>
          <w:rFonts w:ascii="Palatino Linotype" w:eastAsia="Palatino Linotype" w:hAnsi="Palatino Linotype" w:cs="Palatino Linotype"/>
          <w:b/>
          <w:bCs/>
          <w:i/>
          <w:iCs/>
          <w:color w:val="000000"/>
          <w:sz w:val="24"/>
          <w:szCs w:val="24"/>
        </w:rPr>
        <w:t>Litis.</w:t>
      </w:r>
    </w:p>
    <w:p w:rsidR="004412E3" w:rsidRDefault="00804973">
      <w:pPr>
        <w:numPr>
          <w:ilvl w:val="0"/>
          <w:numId w:val="9"/>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Se</w:t>
      </w:r>
      <w:r>
        <w:rPr>
          <w:rFonts w:ascii="Palatino Linotype" w:eastAsia="Palatino Linotype" w:hAnsi="Palatino Linotype" w:cs="Palatino Linotype"/>
          <w:color w:val="000000"/>
        </w:rPr>
        <w:t xml:space="preserve"> solicitó tener acceso, a la información que a continuación se simplifica:</w:t>
      </w:r>
    </w:p>
    <w:p w:rsidR="004412E3" w:rsidRDefault="00804973">
      <w:pPr>
        <w:numPr>
          <w:ilvl w:val="0"/>
          <w:numId w:val="11"/>
        </w:numPr>
        <w:pBdr>
          <w:top w:val="nil"/>
          <w:left w:val="nil"/>
          <w:bottom w:val="nil"/>
          <w:right w:val="nil"/>
          <w:between w:val="nil"/>
        </w:pBdr>
        <w:ind w:right="-788"/>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 xml:space="preserve">recibos de nómina de todo el personal, correspondientes al pago de aguinaldo y prima vacacional del ejercicio fiscal 2025. </w:t>
      </w:r>
    </w:p>
    <w:p w:rsidR="004412E3" w:rsidRDefault="004412E3">
      <w:pPr>
        <w:pBdr>
          <w:top w:val="nil"/>
          <w:left w:val="nil"/>
          <w:bottom w:val="nil"/>
          <w:right w:val="nil"/>
          <w:between w:val="nil"/>
        </w:pBdr>
        <w:ind w:left="720" w:right="-788"/>
        <w:jc w:val="both"/>
        <w:rPr>
          <w:rFonts w:ascii="Palatino Linotype" w:eastAsia="Palatino Linotype" w:hAnsi="Palatino Linotype" w:cs="Palatino Linotype"/>
        </w:rPr>
      </w:pPr>
    </w:p>
    <w:p w:rsidR="004412E3" w:rsidRDefault="00804973">
      <w:pPr>
        <w:numPr>
          <w:ilvl w:val="0"/>
          <w:numId w:val="9"/>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En respuesta, el </w:t>
      </w:r>
      <w:r>
        <w:rPr>
          <w:rFonts w:ascii="Palatino Linotype" w:eastAsia="Palatino Linotype" w:hAnsi="Palatino Linotype" w:cs="Palatino Linotype"/>
          <w:color w:val="000000"/>
        </w:rPr>
        <w:t>Sujeto</w:t>
      </w:r>
      <w:r>
        <w:rPr>
          <w:rFonts w:ascii="Palatino Linotype" w:eastAsia="Palatino Linotype" w:hAnsi="Palatino Linotype" w:cs="Palatino Linotype"/>
        </w:rPr>
        <w:t xml:space="preserve"> Obligado</w:t>
      </w:r>
      <w:r>
        <w:rPr>
          <w:rFonts w:ascii="Palatino Linotype" w:eastAsia="Palatino Linotype" w:hAnsi="Palatino Linotype" w:cs="Palatino Linotype"/>
          <w:b/>
          <w:bCs/>
        </w:rPr>
        <w:t xml:space="preserve"> </w:t>
      </w:r>
      <w:r>
        <w:rPr>
          <w:rFonts w:ascii="Palatino Linotype" w:eastAsia="Palatino Linotype" w:hAnsi="Palatino Linotype" w:cs="Palatino Linotype"/>
        </w:rPr>
        <w:t>remitió el archivo ya descrito en el párrafo 2, inconforme con la respuesta, se interpuso recurso de revisión argumentando sustancialmente la negativa a la información solicitada.</w:t>
      </w:r>
    </w:p>
    <w:p w:rsidR="004412E3" w:rsidRDefault="004412E3">
      <w:pPr>
        <w:ind w:left="720" w:right="-788"/>
        <w:jc w:val="both"/>
        <w:rPr>
          <w:rFonts w:ascii="Palatino Linotype" w:eastAsia="Palatino Linotype" w:hAnsi="Palatino Linotype" w:cs="Palatino Linotype"/>
          <w:i/>
          <w:iCs/>
          <w:color w:val="000000"/>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w:t>
      </w:r>
      <w:r>
        <w:rPr>
          <w:rFonts w:ascii="Palatino Linotype" w:eastAsia="Palatino Linotype" w:hAnsi="Palatino Linotype" w:cs="Palatino Linotype"/>
          <w:b/>
          <w:bCs/>
        </w:rPr>
        <w:t>artículo 179, fracción I, de la Ley de Transparencia y Acceso a la Información Pública del Estado de México y Municipios</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fracción que determina la </w:t>
      </w:r>
      <w:r>
        <w:rPr>
          <w:rFonts w:ascii="Palatino Linotype" w:eastAsia="Palatino Linotype" w:hAnsi="Palatino Linotype" w:cs="Palatino Linotype"/>
          <w:b/>
          <w:bCs/>
          <w:color w:val="000000"/>
        </w:rPr>
        <w:t>hipótesis relativa a la negativa a la información solicitada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contexto del cual se dolió el Recurrente al momento de interponer su inconformidad.</w:t>
      </w:r>
      <w:r>
        <w:rPr>
          <w:rFonts w:ascii="Palatino Linotype" w:eastAsia="Palatino Linotype" w:hAnsi="Palatino Linotype" w:cs="Palatino Linotype"/>
          <w:color w:val="000000"/>
        </w:rPr>
        <w:t xml:space="preserve"> De modo tal que el presente recurso de revisión se </w:t>
      </w:r>
      <w:r>
        <w:rPr>
          <w:rFonts w:ascii="Palatino Linotype" w:eastAsia="Palatino Linotype" w:hAnsi="Palatino Linotype" w:cs="Palatino Linotype"/>
        </w:rPr>
        <w:t>abocará</w:t>
      </w:r>
      <w:r>
        <w:rPr>
          <w:rFonts w:ascii="Palatino Linotype" w:eastAsia="Palatino Linotype" w:hAnsi="Palatino Linotype" w:cs="Palatino Linotype"/>
          <w:color w:val="000000"/>
        </w:rPr>
        <w:t xml:space="preserve"> en determinar si el Sujeto Obligado con sus respuestas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señalada. </w:t>
      </w:r>
    </w:p>
    <w:p w:rsidR="004412E3" w:rsidRDefault="004412E3">
      <w:pPr>
        <w:spacing w:line="360" w:lineRule="auto"/>
        <w:ind w:right="-787"/>
        <w:rPr>
          <w:rFonts w:ascii="Palatino Linotype" w:eastAsia="Palatino Linotype" w:hAnsi="Palatino Linotype" w:cs="Palatino Linotype"/>
        </w:rPr>
      </w:pPr>
    </w:p>
    <w:p w:rsidR="004412E3" w:rsidRDefault="00804973">
      <w:pPr>
        <w:pStyle w:val="Ttulo2"/>
        <w:rPr>
          <w:rFonts w:ascii="Palatino Linotype" w:eastAsia="Palatino Linotype" w:hAnsi="Palatino Linotype" w:cs="Palatino Linotype"/>
          <w:b/>
          <w:bCs/>
          <w:color w:val="000000"/>
          <w:sz w:val="24"/>
          <w:szCs w:val="24"/>
        </w:rPr>
      </w:pPr>
      <w:bookmarkStart w:id="5" w:name="_heading=h.1t3h5sf" w:colFirst="0" w:colLast="0"/>
      <w:bookmarkEnd w:id="5"/>
      <w:r>
        <w:rPr>
          <w:rFonts w:ascii="Palatino Linotype" w:eastAsia="Palatino Linotype" w:hAnsi="Palatino Linotype" w:cs="Palatino Linotype"/>
          <w:b/>
          <w:bCs/>
          <w:color w:val="000000"/>
          <w:sz w:val="24"/>
          <w:szCs w:val="24"/>
        </w:rPr>
        <w:t>CUARTO. Del estudio y resolución del asunto.</w:t>
      </w: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w:t>
      </w:r>
      <w:r>
        <w:rPr>
          <w:rFonts w:ascii="Palatino Linotype" w:eastAsia="Palatino Linotype" w:hAnsi="Palatino Linotype" w:cs="Palatino Linotype"/>
        </w:rPr>
        <w:lastRenderedPageBreak/>
        <w:t>funciones desde su origen la eventual publicidad y reutilización de la información que generen.</w:t>
      </w:r>
    </w:p>
    <w:p w:rsidR="004412E3" w:rsidRDefault="004412E3">
      <w:pPr>
        <w:spacing w:line="360" w:lineRule="auto"/>
        <w:ind w:right="-787"/>
        <w:jc w:val="both"/>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4412E3" w:rsidRDefault="004412E3">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764966" w:rsidRDefault="00764966" w:rsidP="00764966">
      <w:pPr>
        <w:pStyle w:val="Prrafodelista"/>
        <w:rPr>
          <w:rFonts w:ascii="Palatino Linotype" w:eastAsia="Palatino Linotype" w:hAnsi="Palatino Linotype" w:cs="Palatino Linotype"/>
        </w:rPr>
      </w:pPr>
    </w:p>
    <w:p w:rsidR="004412E3" w:rsidRDefault="00804973" w:rsidP="00764966">
      <w:pPr>
        <w:numPr>
          <w:ilvl w:val="0"/>
          <w:numId w:val="10"/>
        </w:numPr>
        <w:pBdr>
          <w:top w:val="nil"/>
          <w:left w:val="nil"/>
          <w:bottom w:val="nil"/>
          <w:right w:val="nil"/>
          <w:between w:val="nil"/>
        </w:pBdr>
        <w:spacing w:line="360" w:lineRule="auto"/>
        <w:ind w:right="-78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Del Sujeto Obligado.</w:t>
      </w: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Para el logro de los fines, las dependencias de la Administración Pública Municipal, deberán conducir sus actividades de manera planeada, programada y con base en la legislación correspondiente, en las políticas públicas, la jerarquización y las restricciones que </w:t>
      </w:r>
      <w:r>
        <w:rPr>
          <w:rFonts w:ascii="Palatino Linotype" w:eastAsia="Palatino Linotype" w:hAnsi="Palatino Linotype" w:cs="Palatino Linotype"/>
        </w:rPr>
        <w:lastRenderedPageBreak/>
        <w:t>establezca el Ayuntamiento, el Plan de Desarrollo Municipal y los programas que de éste se deriven, integrándose con las direcciones, coordinaciones, oficialías, Juzgado Cívico, áreas y unidades administrativas, tal como lo refiere el Bando Municipal 2025:</w:t>
      </w:r>
    </w:p>
    <w:p w:rsidR="004412E3" w:rsidRDefault="00804973">
      <w:pPr>
        <w:ind w:left="566" w:right="-220"/>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Bando Municipal 2025</w:t>
      </w:r>
    </w:p>
    <w:p w:rsidR="004412E3" w:rsidRDefault="004412E3">
      <w:pPr>
        <w:ind w:left="566" w:right="-220"/>
        <w:jc w:val="center"/>
        <w:rPr>
          <w:rFonts w:ascii="Palatino Linotype" w:eastAsia="Palatino Linotype" w:hAnsi="Palatino Linotype" w:cs="Palatino Linotype"/>
          <w:b/>
          <w:bCs/>
          <w:i/>
          <w:iCs/>
        </w:rPr>
      </w:pPr>
    </w:p>
    <w:p w:rsidR="004412E3" w:rsidRDefault="00804973">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52. </w:t>
      </w:r>
      <w:r>
        <w:rPr>
          <w:rFonts w:ascii="Palatino Linotype" w:eastAsia="Palatino Linotype" w:hAnsi="Palatino Linotype" w:cs="Palatino Linotype"/>
          <w:i/>
          <w:iCs/>
        </w:rPr>
        <w:t xml:space="preserve">Para el logro de los fines, las dependencias de la Administración Pública Municipal, deberán conducir sus actividades de manera planeada, programada y con base en la legislación correspondiente, en las políticas públicas, la jerarquización y las restricciones que establezca el Ayuntamiento, el Plan de Desarrollo Municipal y los programas que de éste se deriven, integrándose con las direcciones, coordinaciones, oficialías, Juzgado Cívico, áreas y unidades administrativas que establece el presente Bando. Dichas dependencias serán las siguientes: </w:t>
      </w:r>
    </w:p>
    <w:p w:rsidR="004412E3" w:rsidRDefault="004412E3">
      <w:pPr>
        <w:ind w:left="566" w:right="-220"/>
        <w:jc w:val="both"/>
        <w:rPr>
          <w:rFonts w:ascii="Palatino Linotype" w:eastAsia="Palatino Linotype" w:hAnsi="Palatino Linotype" w:cs="Palatino Linotype"/>
          <w:i/>
          <w:iCs/>
        </w:rPr>
      </w:pPr>
    </w:p>
    <w:p w:rsidR="004412E3" w:rsidRDefault="00804973">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Presidencia; </w:t>
      </w:r>
    </w:p>
    <w:p w:rsidR="004412E3" w:rsidRDefault="00804973">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Secretaría del Ayuntamiento; </w:t>
      </w:r>
    </w:p>
    <w:p w:rsidR="004412E3" w:rsidRDefault="00804973">
      <w:pPr>
        <w:ind w:left="566"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III. Tesorería Municipal; </w:t>
      </w:r>
    </w:p>
    <w:p w:rsidR="004412E3" w:rsidRDefault="00804973">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IV. Dirección de Gobernación; </w:t>
      </w:r>
    </w:p>
    <w:p w:rsidR="004412E3" w:rsidRDefault="00804973">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 Dirección de Obras Públicas; </w:t>
      </w:r>
    </w:p>
    <w:p w:rsidR="004412E3" w:rsidRDefault="00804973">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 Dirección de Desarrollo Económico; </w:t>
      </w:r>
    </w:p>
    <w:p w:rsidR="004412E3" w:rsidRDefault="00804973">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 Dirección de Turismo; </w:t>
      </w:r>
    </w:p>
    <w:p w:rsidR="004412E3" w:rsidRDefault="00804973">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VIII. Dirección de Desarrollo Urbano y Gestión del Suelo; </w:t>
      </w:r>
    </w:p>
    <w:p w:rsidR="004412E3" w:rsidRDefault="00804973">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IX. Dirección de Desarrollo del Campo; X. Dirección de Ecología; </w:t>
      </w:r>
    </w:p>
    <w:p w:rsidR="004412E3" w:rsidRDefault="00804973">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 Dirección de Bienestar Social; </w:t>
      </w:r>
    </w:p>
    <w:p w:rsidR="004412E3" w:rsidRDefault="00804973">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XII. Dirección de la Mujer; </w:t>
      </w:r>
    </w:p>
    <w:p w:rsidR="004412E3" w:rsidRDefault="00804973">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XIII. Dirección de Asuntos Indígenas; </w:t>
      </w:r>
    </w:p>
    <w:p w:rsidR="004412E3" w:rsidRDefault="00804973">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XIV. Dirección de Administración; </w:t>
      </w:r>
    </w:p>
    <w:p w:rsidR="004412E3" w:rsidRDefault="00804973">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XV. Dirección de Educación; </w:t>
      </w:r>
    </w:p>
    <w:p w:rsidR="004412E3" w:rsidRDefault="00804973">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XVI. Dirección de Salud; </w:t>
      </w:r>
    </w:p>
    <w:p w:rsidR="004412E3" w:rsidRDefault="00804973">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XVII. Dirección de Servicios Públicos; </w:t>
      </w:r>
    </w:p>
    <w:p w:rsidR="004412E3" w:rsidRDefault="00804973">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XVIII. Dirección de Seguridad Pública; </w:t>
      </w:r>
    </w:p>
    <w:p w:rsidR="004412E3" w:rsidRDefault="00804973">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XIX. Dirección de Protección Civil; y </w:t>
      </w:r>
    </w:p>
    <w:p w:rsidR="004412E3" w:rsidRDefault="00804973">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XX. Contraloría Interna Municipal.</w:t>
      </w:r>
    </w:p>
    <w:p w:rsidR="004412E3" w:rsidRDefault="004412E3">
      <w:pPr>
        <w:ind w:left="566" w:right="-220"/>
        <w:jc w:val="both"/>
        <w:rPr>
          <w:rFonts w:ascii="Palatino Linotype" w:eastAsia="Palatino Linotype" w:hAnsi="Palatino Linotype" w:cs="Palatino Linotype"/>
          <w:b/>
          <w:bCs/>
          <w:i/>
          <w:iCs/>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La </w:t>
      </w:r>
      <w:r>
        <w:rPr>
          <w:rFonts w:ascii="Palatino Linotype" w:eastAsia="Palatino Linotype" w:hAnsi="Palatino Linotype" w:cs="Palatino Linotype"/>
          <w:b/>
          <w:bCs/>
        </w:rPr>
        <w:t xml:space="preserve">Tesorería Municipal </w:t>
      </w:r>
      <w:r>
        <w:rPr>
          <w:rFonts w:ascii="Palatino Linotype" w:eastAsia="Palatino Linotype" w:hAnsi="Palatino Linotype" w:cs="Palatino Linotype"/>
        </w:rPr>
        <w:t>es el órgano encargado de la recaudación de los ingresos municipales y responsable de realizar las erogaciones que haga el Ayuntamiento; tiene dentro de sus funciones las enunciadas en el artículo 90, del Bando Municipal:</w:t>
      </w:r>
    </w:p>
    <w:p w:rsidR="004412E3" w:rsidRDefault="00804973">
      <w:pPr>
        <w:ind w:left="566" w:right="-220"/>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Bando Municipal 2025</w:t>
      </w:r>
    </w:p>
    <w:p w:rsidR="004412E3" w:rsidRDefault="004412E3">
      <w:pPr>
        <w:ind w:left="566" w:right="-220"/>
        <w:rPr>
          <w:rFonts w:ascii="Palatino Linotype" w:eastAsia="Palatino Linotype" w:hAnsi="Palatino Linotype" w:cs="Palatino Linotype"/>
          <w:b/>
          <w:bCs/>
          <w:i/>
          <w:iCs/>
        </w:rPr>
      </w:pPr>
    </w:p>
    <w:p w:rsidR="004412E3" w:rsidRDefault="00804973">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90. </w:t>
      </w:r>
      <w:r>
        <w:rPr>
          <w:rFonts w:ascii="Palatino Linotype" w:eastAsia="Palatino Linotype" w:hAnsi="Palatino Linotype" w:cs="Palatino Linotype"/>
          <w:i/>
          <w:iCs/>
        </w:rPr>
        <w:t xml:space="preserve">Son atribuciones de la persona titular de la </w:t>
      </w:r>
      <w:r>
        <w:rPr>
          <w:rFonts w:ascii="Palatino Linotype" w:eastAsia="Palatino Linotype" w:hAnsi="Palatino Linotype" w:cs="Palatino Linotype"/>
          <w:b/>
          <w:bCs/>
          <w:i/>
          <w:iCs/>
        </w:rPr>
        <w:t>Tesorería Municipal</w:t>
      </w:r>
      <w:r>
        <w:rPr>
          <w:rFonts w:ascii="Palatino Linotype" w:eastAsia="Palatino Linotype" w:hAnsi="Palatino Linotype" w:cs="Palatino Linotype"/>
          <w:i/>
          <w:iCs/>
        </w:rPr>
        <w:t>:</w:t>
      </w:r>
    </w:p>
    <w:p w:rsidR="004412E3" w:rsidRDefault="004412E3">
      <w:pPr>
        <w:ind w:left="566" w:right="-220"/>
        <w:jc w:val="both"/>
        <w:rPr>
          <w:rFonts w:ascii="Palatino Linotype" w:eastAsia="Palatino Linotype" w:hAnsi="Palatino Linotype" w:cs="Palatino Linotype"/>
          <w:i/>
          <w:iCs/>
        </w:rPr>
      </w:pPr>
    </w:p>
    <w:p w:rsidR="004412E3" w:rsidRDefault="00804973">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I. Administrar la hacienda pública, de conformidad con las disposiciones legales aplicables;</w:t>
      </w:r>
    </w:p>
    <w:p w:rsidR="004412E3" w:rsidRDefault="00804973">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4412E3" w:rsidRDefault="00804973">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IV. Llevar los registros contables, financieros y administrativos de los ingresos, egresos, e inventarios;</w:t>
      </w:r>
    </w:p>
    <w:p w:rsidR="004412E3" w:rsidRDefault="00804973">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4412E3" w:rsidRDefault="00804973">
      <w:pPr>
        <w:ind w:left="566"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XXIII. Elaborar la nómina del personal; y</w:t>
      </w:r>
    </w:p>
    <w:p w:rsidR="004412E3" w:rsidRDefault="00804973">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4412E3" w:rsidRDefault="004412E3">
      <w:pPr>
        <w:ind w:right="-220"/>
        <w:jc w:val="both"/>
        <w:rPr>
          <w:rFonts w:ascii="Palatino Linotype" w:eastAsia="Palatino Linotype" w:hAnsi="Palatino Linotype" w:cs="Palatino Linotype"/>
          <w:i/>
          <w:iCs/>
        </w:rPr>
      </w:pPr>
    </w:p>
    <w:p w:rsidR="004412E3" w:rsidRDefault="004412E3">
      <w:pPr>
        <w:ind w:right="-220"/>
        <w:jc w:val="both"/>
        <w:rPr>
          <w:rFonts w:ascii="Palatino Linotype" w:eastAsia="Palatino Linotype" w:hAnsi="Palatino Linotype" w:cs="Palatino Linotype"/>
          <w:i/>
          <w:iCs/>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lo expuesto es de precisar que la respuesta fue emitida por la </w:t>
      </w:r>
      <w:r>
        <w:rPr>
          <w:rFonts w:ascii="Palatino Linotype" w:eastAsia="Palatino Linotype" w:hAnsi="Palatino Linotype" w:cs="Palatino Linotype"/>
          <w:b/>
          <w:bCs/>
        </w:rPr>
        <w:t>Tesorería Municipal</w:t>
      </w:r>
      <w:r>
        <w:rPr>
          <w:rFonts w:ascii="Palatino Linotype" w:eastAsia="Palatino Linotype" w:hAnsi="Palatino Linotype" w:cs="Palatino Linotype"/>
        </w:rPr>
        <w:t xml:space="preserve">, por lo que podemos advertir que </w:t>
      </w:r>
      <w:r>
        <w:rPr>
          <w:rFonts w:ascii="Palatino Linotype" w:eastAsia="Palatino Linotype" w:hAnsi="Palatino Linotype" w:cs="Palatino Linotype"/>
          <w:b/>
          <w:bCs/>
        </w:rPr>
        <w:t xml:space="preserve">EL SUJETO OBLIGADO </w:t>
      </w:r>
      <w:r>
        <w:rPr>
          <w:rFonts w:ascii="Palatino Linotype" w:eastAsia="Palatino Linotype" w:hAnsi="Palatino Linotype" w:cs="Palatino Linotype"/>
        </w:rPr>
        <w:t>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4412E3" w:rsidRDefault="00804973">
      <w:pPr>
        <w:ind w:left="567" w:right="62"/>
        <w:jc w:val="both"/>
        <w:rPr>
          <w:rFonts w:ascii="Palatino Linotype" w:eastAsia="Palatino Linotype" w:hAnsi="Palatino Linotype" w:cs="Palatino Linotype"/>
          <w:i/>
          <w:iCs/>
        </w:rPr>
      </w:pPr>
      <w:r>
        <w:rPr>
          <w:rFonts w:ascii="Palatino Linotype" w:eastAsia="Palatino Linotype" w:hAnsi="Palatino Linotype" w:cs="Palatino Linotype"/>
          <w:b/>
          <w:bCs/>
          <w:i/>
          <w:iCs/>
        </w:rPr>
        <w:t>XXXIX.</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Servidor público habilitado</w:t>
      </w:r>
      <w:r>
        <w:rPr>
          <w:rFonts w:ascii="Palatino Linotype" w:eastAsia="Palatino Linotype" w:hAnsi="Palatino Linotype" w:cs="Palatino Linotype"/>
          <w:i/>
          <w:iC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4412E3" w:rsidRDefault="004412E3">
      <w:pPr>
        <w:spacing w:line="360" w:lineRule="auto"/>
        <w:ind w:left="708" w:right="62"/>
        <w:jc w:val="both"/>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pPr>
      <w:r>
        <w:rPr>
          <w:rFonts w:ascii="Palatino Linotype" w:eastAsia="Palatino Linotype" w:hAnsi="Palatino Linotype" w:cs="Palatino Linotype"/>
        </w:rPr>
        <w:lastRenderedPageBreak/>
        <w:t>Así las cosas, se advierte que efectivamente la Unidad de Transparencia cumplió con lo establecido en el artículo 162 de la Ley de Transparencia y Acceso a la Información Pública del Estado de México y Municipios, el cual menciona lo siguiente:</w:t>
      </w:r>
    </w:p>
    <w:p w:rsidR="004412E3" w:rsidRDefault="00804973">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162.</w:t>
      </w:r>
      <w:r>
        <w:rPr>
          <w:rFonts w:ascii="Palatino Linotype" w:eastAsia="Palatino Linotype" w:hAnsi="Palatino Linotype" w:cs="Palatino Linotype"/>
          <w:i/>
          <w:iCs/>
        </w:rPr>
        <w:t xml:space="preserve"> Las unidades de transparencia deberán garantizar que las solicitudes se turnen a </w:t>
      </w:r>
      <w:r>
        <w:rPr>
          <w:rFonts w:ascii="Palatino Linotype" w:eastAsia="Palatino Linotype" w:hAnsi="Palatino Linotype" w:cs="Palatino Linotype"/>
          <w:b/>
          <w:bCs/>
          <w:i/>
          <w:iCs/>
        </w:rPr>
        <w:t>todas las Áreas competentes</w:t>
      </w:r>
      <w:r>
        <w:rPr>
          <w:rFonts w:ascii="Palatino Linotype" w:eastAsia="Palatino Linotype" w:hAnsi="Palatino Linotype" w:cs="Palatino Linotype"/>
          <w:i/>
          <w:iCs/>
        </w:rPr>
        <w:t xml:space="preserve"> que cuenten con la información o deban tenerla de acuerdo a sus facultades, competencias y funciones, con el objeto de que realicen una búsqueda exhaustiva y razonable de la información solicitada.”</w:t>
      </w:r>
    </w:p>
    <w:p w:rsidR="004412E3" w:rsidRDefault="004412E3">
      <w:pPr>
        <w:spacing w:line="360" w:lineRule="auto"/>
        <w:ind w:right="-787"/>
        <w:jc w:val="both"/>
        <w:rPr>
          <w:rFonts w:ascii="Palatino Linotype" w:eastAsia="Palatino Linotype" w:hAnsi="Palatino Linotype" w:cs="Palatino Linotype"/>
          <w:i/>
          <w:iCs/>
        </w:rPr>
      </w:pPr>
    </w:p>
    <w:p w:rsidR="004412E3" w:rsidRDefault="00804973">
      <w:pPr>
        <w:numPr>
          <w:ilvl w:val="0"/>
          <w:numId w:val="9"/>
        </w:numPr>
        <w:spacing w:line="360" w:lineRule="auto"/>
        <w:ind w:left="0" w:right="-787" w:firstLine="0"/>
        <w:jc w:val="both"/>
        <w:rPr>
          <w:color w:val="000000"/>
        </w:rPr>
      </w:pPr>
      <w:r>
        <w:rPr>
          <w:rFonts w:ascii="Palatino Linotype" w:eastAsia="Palatino Linotype" w:hAnsi="Palatino Linotype" w:cs="Palatino Linotype"/>
          <w:color w:val="000000"/>
        </w:rPr>
        <w:t xml:space="preserve">Es de subrayar que el derecho de acceso a la información pública, consiste en que la información </w:t>
      </w:r>
      <w:r>
        <w:rPr>
          <w:rFonts w:ascii="Palatino Linotype" w:eastAsia="Palatino Linotype" w:hAnsi="Palatino Linotype" w:cs="Palatino Linotype"/>
        </w:rPr>
        <w:t>solicitada</w:t>
      </w:r>
      <w:r>
        <w:rPr>
          <w:rFonts w:ascii="Palatino Linotype" w:eastAsia="Palatino Linotype" w:hAnsi="Palatino Linotype" w:cs="Palatino Linotype"/>
          <w:color w:val="000000"/>
        </w:rPr>
        <w:t xml:space="preserve"> conste en un soporte documental en cualquiera de sus formas, a saber: </w:t>
      </w:r>
      <w:r>
        <w:rPr>
          <w:rFonts w:ascii="Palatino Linotype" w:eastAsia="Palatino Linotype" w:hAnsi="Palatino Linotype" w:cs="Palatino Linotype"/>
        </w:rPr>
        <w:t>expedientes</w:t>
      </w:r>
      <w:r>
        <w:rPr>
          <w:rFonts w:ascii="Palatino Linotype" w:eastAsia="Palatino Linotype" w:hAnsi="Palatino Linotype" w:cs="Palatino Linotype"/>
          <w:color w:val="000000"/>
        </w:rPr>
        <w:t xml:space="preserve">, reportes, estudios, actas, resoluciones, oficios, correspondencia, acuerdos, directivas, directrices, circulares, contratos, convenios, instructivos, notas, memorandos, estadísticas o bien, cualquier otro registro que documente el ejercicio de las facultades, funciones y </w:t>
      </w:r>
      <w:r>
        <w:rPr>
          <w:rFonts w:ascii="Palatino Linotype" w:eastAsia="Palatino Linotype" w:hAnsi="Palatino Linotype" w:cs="Palatino Linotype"/>
        </w:rPr>
        <w:t>competencias</w:t>
      </w:r>
      <w:r>
        <w:rPr>
          <w:rFonts w:ascii="Palatino Linotype" w:eastAsia="Palatino Linotype" w:hAnsi="Palatino Linotype" w:cs="Palatino Linotype"/>
          <w:color w:val="000000"/>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rsidR="004412E3" w:rsidRDefault="00804973">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 xml:space="preserve">Artículo 3. </w:t>
      </w:r>
      <w:r>
        <w:rPr>
          <w:rFonts w:ascii="Palatino Linotype" w:eastAsia="Palatino Linotype" w:hAnsi="Palatino Linotype" w:cs="Palatino Linotype"/>
          <w:i/>
          <w:iCs/>
          <w:color w:val="000000"/>
        </w:rPr>
        <w:t>Para los efectos de la presente Ley se entenderá por:</w:t>
      </w:r>
    </w:p>
    <w:p w:rsidR="004412E3" w:rsidRDefault="00804973">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4412E3" w:rsidRDefault="00804973">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XI. Documento:</w:t>
      </w:r>
      <w:r>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4412E3" w:rsidRDefault="00804973">
      <w:pPr>
        <w:spacing w:line="360" w:lineRule="auto"/>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4412E3" w:rsidRDefault="004412E3">
      <w:pPr>
        <w:ind w:right="-787"/>
        <w:jc w:val="both"/>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color w:val="000000"/>
        </w:rPr>
      </w:pPr>
      <w:r>
        <w:rPr>
          <w:rFonts w:ascii="Palatino Linotype" w:eastAsia="Palatino Linotype" w:hAnsi="Palatino Linotype" w:cs="Palatino Linotype"/>
          <w:color w:val="000000"/>
        </w:rPr>
        <w:t xml:space="preserve">Siendo aplicable el Criterio de interpretación en el orden administrativo número 0002-11, emitido por Acuerdo del Pleno del Instituto de Transparencia y Acceso a la Información </w:t>
      </w:r>
      <w:r>
        <w:rPr>
          <w:rFonts w:ascii="Palatino Linotype" w:eastAsia="Palatino Linotype" w:hAnsi="Palatino Linotype" w:cs="Palatino Linotype"/>
          <w:color w:val="000000"/>
        </w:rPr>
        <w:lastRenderedPageBreak/>
        <w:t xml:space="preserve">Pública del </w:t>
      </w:r>
      <w:r>
        <w:rPr>
          <w:rFonts w:ascii="Palatino Linotype" w:eastAsia="Palatino Linotype" w:hAnsi="Palatino Linotype" w:cs="Palatino Linotype"/>
        </w:rPr>
        <w:t>Estado</w:t>
      </w:r>
      <w:r>
        <w:rPr>
          <w:rFonts w:ascii="Palatino Linotype" w:eastAsia="Palatino Linotype" w:hAnsi="Palatino Linotype" w:cs="Palatino Linotype"/>
          <w:color w:val="000000"/>
        </w:rPr>
        <w:t xml:space="preserve"> de México y Municipios; publicado en el Periódico Oficial del Gobierno del Estado Libre y Soberano de México “Gaceta del Gobierno”, el diecinueve de octubre de dos mil once, cuyo rubro y texto dispone:</w:t>
      </w:r>
    </w:p>
    <w:p w:rsidR="004412E3" w:rsidRDefault="00804973">
      <w:pPr>
        <w:ind w:left="567"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rPr>
        <w:t>“</w:t>
      </w:r>
      <w:r>
        <w:rPr>
          <w:rFonts w:ascii="Palatino Linotype" w:eastAsia="Palatino Linotype" w:hAnsi="Palatino Linotype" w:cs="Palatino Linotype"/>
          <w:b/>
          <w:bCs/>
          <w:i/>
          <w:iCs/>
        </w:rPr>
        <w:t>CRITERIO 0002-11</w:t>
      </w:r>
    </w:p>
    <w:p w:rsidR="004412E3" w:rsidRDefault="00804973">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4412E3" w:rsidRDefault="00804973">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En consecuencia el acceso a la información se refiere a que se cumplan cualquiera de los siguientes tres supuestos:</w:t>
      </w:r>
    </w:p>
    <w:p w:rsidR="004412E3" w:rsidRDefault="00804973">
      <w:pPr>
        <w:ind w:left="567"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1) </w:t>
      </w:r>
      <w:r>
        <w:rPr>
          <w:rFonts w:ascii="Palatino Linotype" w:eastAsia="Palatino Linotype" w:hAnsi="Palatino Linotype" w:cs="Palatino Linotype"/>
          <w:b/>
          <w:bCs/>
          <w:i/>
          <w:iCs/>
          <w:u w:val="single"/>
        </w:rPr>
        <w:t>Que se trate de información registrada en cualquier soporte documental, que en ejercicio de las atribuciones conferidas, sea generada por los Sujetos Obligados;</w:t>
      </w:r>
    </w:p>
    <w:p w:rsidR="004412E3" w:rsidRDefault="00804973">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2) Que se trate de información registrada en cualquier soporte documental, que en ejercicio de las atribuciones conferidas, sea administrada por los Sujetos Obligados, y</w:t>
      </w:r>
    </w:p>
    <w:p w:rsidR="004412E3" w:rsidRDefault="00804973">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w:t>
      </w:r>
    </w:p>
    <w:p w:rsidR="004412E3" w:rsidRDefault="004412E3">
      <w:pPr>
        <w:pBdr>
          <w:top w:val="nil"/>
          <w:left w:val="nil"/>
          <w:bottom w:val="nil"/>
          <w:right w:val="nil"/>
          <w:between w:val="nil"/>
        </w:pBdr>
        <w:ind w:right="-787"/>
        <w:jc w:val="both"/>
        <w:rPr>
          <w:rFonts w:ascii="Palatino Linotype" w:eastAsia="Palatino Linotype" w:hAnsi="Palatino Linotype" w:cs="Palatino Linotype"/>
          <w:color w:val="000000"/>
        </w:rPr>
      </w:pPr>
    </w:p>
    <w:p w:rsidR="004412E3" w:rsidRDefault="00804973">
      <w:pPr>
        <w:numPr>
          <w:ilvl w:val="0"/>
          <w:numId w:val="9"/>
        </w:numPr>
        <w:spacing w:line="360" w:lineRule="auto"/>
        <w:ind w:left="0" w:right="-787" w:firstLine="0"/>
        <w:jc w:val="both"/>
        <w:rPr>
          <w:color w:val="000000"/>
        </w:rPr>
      </w:pPr>
      <w:r>
        <w:rPr>
          <w:rFonts w:ascii="Palatino Linotype" w:eastAsia="Palatino Linotype" w:hAnsi="Palatino Linotype" w:cs="Palatino Linotype"/>
          <w:color w:val="000000"/>
        </w:rPr>
        <w:t>Por su parte los artículos 160 y 166, de la Ley local en la materia, que se reproduce de la siguiente forma:</w:t>
      </w:r>
    </w:p>
    <w:p w:rsidR="004412E3" w:rsidRDefault="00804973">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160.</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Pr>
          <w:rFonts w:ascii="Palatino Linotype" w:eastAsia="Palatino Linotype" w:hAnsi="Palatino Linotype" w:cs="Palatino Linotype"/>
          <w:i/>
          <w:iCs/>
        </w:rPr>
        <w:t>.</w:t>
      </w:r>
    </w:p>
    <w:p w:rsidR="004412E3" w:rsidRDefault="004412E3">
      <w:pPr>
        <w:ind w:left="566" w:right="-220"/>
        <w:jc w:val="both"/>
        <w:rPr>
          <w:rFonts w:ascii="Palatino Linotype" w:eastAsia="Palatino Linotype" w:hAnsi="Palatino Linotype" w:cs="Palatino Linotype"/>
          <w:i/>
          <w:iCs/>
        </w:rPr>
      </w:pPr>
    </w:p>
    <w:p w:rsidR="004412E3" w:rsidRDefault="00804973">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En caso que la información solicitada consista en bases de datos se deberá privilegiar la entrega de la misma en formatos abiertos.</w:t>
      </w:r>
    </w:p>
    <w:p w:rsidR="004412E3" w:rsidRDefault="00804973">
      <w:pPr>
        <w:ind w:left="566" w:right="-220"/>
        <w:jc w:val="both"/>
        <w:rPr>
          <w:rFonts w:ascii="Palatino Linotype" w:eastAsia="Palatino Linotype" w:hAnsi="Palatino Linotype" w:cs="Palatino Linotype"/>
          <w:i/>
          <w:iCs/>
          <w:u w:val="single"/>
        </w:rPr>
      </w:pPr>
      <w:r>
        <w:rPr>
          <w:rFonts w:ascii="Palatino Linotype" w:eastAsia="Palatino Linotype" w:hAnsi="Palatino Linotype" w:cs="Palatino Linotype"/>
          <w:b/>
          <w:bCs/>
          <w:i/>
          <w:iCs/>
        </w:rPr>
        <w:t>Artículo 166.</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rsidR="004412E3" w:rsidRDefault="00804973">
      <w:pPr>
        <w:spacing w:line="360" w:lineRule="auto"/>
        <w:ind w:left="566" w:right="-220"/>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4412E3" w:rsidRDefault="004412E3">
      <w:pPr>
        <w:ind w:right="-787"/>
        <w:jc w:val="both"/>
        <w:rPr>
          <w:rFonts w:ascii="Palatino Linotype" w:eastAsia="Palatino Linotype" w:hAnsi="Palatino Linotype" w:cs="Palatino Linotype"/>
        </w:rPr>
      </w:pPr>
    </w:p>
    <w:p w:rsidR="004412E3" w:rsidRDefault="00804973">
      <w:pPr>
        <w:numPr>
          <w:ilvl w:val="0"/>
          <w:numId w:val="9"/>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4412E3" w:rsidRDefault="004412E3">
      <w:pPr>
        <w:pBdr>
          <w:top w:val="nil"/>
          <w:left w:val="nil"/>
          <w:bottom w:val="nil"/>
          <w:right w:val="nil"/>
          <w:between w:val="nil"/>
        </w:pBdr>
        <w:spacing w:line="360" w:lineRule="auto"/>
        <w:ind w:right="-787"/>
        <w:jc w:val="both"/>
        <w:rPr>
          <w:color w:val="000000"/>
        </w:rPr>
      </w:pPr>
    </w:p>
    <w:p w:rsidR="004412E3" w:rsidRDefault="00804973">
      <w:pPr>
        <w:numPr>
          <w:ilvl w:val="0"/>
          <w:numId w:val="2"/>
        </w:numPr>
        <w:pBdr>
          <w:top w:val="nil"/>
          <w:left w:val="nil"/>
          <w:bottom w:val="nil"/>
          <w:right w:val="nil"/>
          <w:between w:val="nil"/>
        </w:pBdr>
        <w:tabs>
          <w:tab w:val="left" w:pos="0"/>
          <w:tab w:val="left" w:pos="567"/>
        </w:tabs>
        <w:spacing w:line="360" w:lineRule="auto"/>
        <w:ind w:left="0" w:right="-788"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De la naturaleza de la información solicitada. </w:t>
      </w:r>
    </w:p>
    <w:p w:rsidR="004412E3" w:rsidRDefault="00804973">
      <w:pPr>
        <w:numPr>
          <w:ilvl w:val="0"/>
          <w:numId w:val="9"/>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Se </w:t>
      </w:r>
      <w:r>
        <w:rPr>
          <w:rFonts w:ascii="Palatino Linotype" w:eastAsia="Palatino Linotype" w:hAnsi="Palatino Linotype" w:cs="Palatino Linotype"/>
          <w:color w:val="000000"/>
        </w:rPr>
        <w:t>precisa</w:t>
      </w:r>
      <w:r>
        <w:rPr>
          <w:rFonts w:ascii="Palatino Linotype" w:eastAsia="Palatino Linotype" w:hAnsi="Palatino Linotype" w:cs="Palatino Linotype"/>
        </w:rPr>
        <w:t xml:space="preserve"> que se obvia el análisis de la competencia por parte del </w:t>
      </w:r>
      <w:r>
        <w:rPr>
          <w:rFonts w:ascii="Palatino Linotype" w:eastAsia="Palatino Linotype" w:hAnsi="Palatino Linotype" w:cs="Palatino Linotype"/>
          <w:b/>
          <w:bCs/>
        </w:rPr>
        <w:t>SUJETO OBLIGADO</w:t>
      </w:r>
      <w:r>
        <w:rPr>
          <w:rFonts w:ascii="Palatino Linotype" w:eastAsia="Palatino Linotype" w:hAnsi="Palatino Linotype" w:cs="Palatino Linotype"/>
        </w:rPr>
        <w:t>, para generar, administrar o poseer la información solicitada, dado que éste ha asumido la misma, en razón que otorgó respuesta admitiendo contar con dicha información, tan es así que se emitió pronunciamiento en el sentido de encontrarse en integración el 4º informe trimestral que se entrega al OSFEM, por lo que los recibos de nómina solicitados no se han conformado en su totalidad.</w:t>
      </w:r>
    </w:p>
    <w:p w:rsidR="004412E3" w:rsidRDefault="004412E3">
      <w:pPr>
        <w:spacing w:line="360" w:lineRule="auto"/>
        <w:ind w:right="-879"/>
        <w:jc w:val="both"/>
        <w:rPr>
          <w:rFonts w:ascii="Palatino Linotype" w:eastAsia="Palatino Linotype" w:hAnsi="Palatino Linotype" w:cs="Palatino Linotype"/>
        </w:rPr>
      </w:pPr>
    </w:p>
    <w:p w:rsidR="004412E3" w:rsidRDefault="00804973">
      <w:pPr>
        <w:numPr>
          <w:ilvl w:val="0"/>
          <w:numId w:val="9"/>
        </w:numPr>
        <w:pBdr>
          <w:top w:val="nil"/>
          <w:left w:val="nil"/>
          <w:bottom w:val="nil"/>
          <w:right w:val="nil"/>
          <w:between w:val="nil"/>
        </w:pBdr>
        <w:spacing w:line="360" w:lineRule="auto"/>
        <w:ind w:left="0" w:right="-787" w:firstLine="0"/>
        <w:jc w:val="both"/>
      </w:pPr>
      <w:bookmarkStart w:id="6" w:name="_heading=h.2s8eyo1" w:colFirst="0" w:colLast="0"/>
      <w:bookmarkEnd w:id="6"/>
      <w:r>
        <w:rPr>
          <w:rFonts w:ascii="Palatino Linotype" w:eastAsia="Palatino Linotype" w:hAnsi="Palatino Linotype" w:cs="Palatino Linotype"/>
        </w:rPr>
        <w:t xml:space="preserve">En efecto, el hecho de que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4412E3" w:rsidRDefault="00804973">
      <w:pPr>
        <w:tabs>
          <w:tab w:val="left" w:pos="8505"/>
        </w:tabs>
        <w:ind w:left="709" w:right="-858"/>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12.</w:t>
      </w:r>
      <w:r>
        <w:rPr>
          <w:rFonts w:ascii="Palatino Linotype" w:eastAsia="Palatino Linotype" w:hAnsi="Palatino Linotype" w:cs="Palatino Linotype"/>
          <w:i/>
          <w:iCs/>
        </w:rPr>
        <w:t> Quienes generen, recopilen, administren, manejen, procesen, archiven o conserven información pública serán responsables de la misma en los términos de las disposiciones jurídicas aplicables.</w:t>
      </w:r>
    </w:p>
    <w:p w:rsidR="004412E3" w:rsidRDefault="004412E3">
      <w:pPr>
        <w:tabs>
          <w:tab w:val="left" w:pos="8505"/>
        </w:tabs>
        <w:ind w:left="709" w:right="-858"/>
        <w:jc w:val="both"/>
        <w:rPr>
          <w:rFonts w:ascii="Palatino Linotype" w:eastAsia="Palatino Linotype" w:hAnsi="Palatino Linotype" w:cs="Palatino Linotype"/>
          <w:i/>
          <w:iCs/>
        </w:rPr>
      </w:pPr>
    </w:p>
    <w:p w:rsidR="004412E3" w:rsidRDefault="00804973">
      <w:pPr>
        <w:tabs>
          <w:tab w:val="left" w:pos="8505"/>
        </w:tabs>
        <w:ind w:left="709" w:right="-858"/>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4412E3" w:rsidRDefault="004412E3">
      <w:pPr>
        <w:tabs>
          <w:tab w:val="left" w:pos="8505"/>
        </w:tabs>
        <w:ind w:left="709" w:right="-858"/>
        <w:jc w:val="both"/>
        <w:rPr>
          <w:rFonts w:ascii="Palatino Linotype" w:eastAsia="Palatino Linotype" w:hAnsi="Palatino Linotype" w:cs="Palatino Linotype"/>
          <w:i/>
          <w:iCs/>
        </w:rPr>
      </w:pPr>
    </w:p>
    <w:p w:rsidR="004412E3" w:rsidRDefault="00804973">
      <w:pPr>
        <w:numPr>
          <w:ilvl w:val="0"/>
          <w:numId w:val="9"/>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rPr>
        <w:t xml:space="preserve">Así, el estudio de </w:t>
      </w:r>
      <w:r>
        <w:rPr>
          <w:rFonts w:ascii="Palatino Linotype" w:eastAsia="Palatino Linotype" w:hAnsi="Palatino Linotype" w:cs="Palatino Linotype"/>
          <w:color w:val="000000"/>
        </w:rPr>
        <w:t>la</w:t>
      </w:r>
      <w:r>
        <w:rPr>
          <w:rFonts w:ascii="Palatino Linotype" w:eastAsia="Palatino Linotype" w:hAnsi="Palatino Linotype" w:cs="Palatino Linotype"/>
        </w:rPr>
        <w:t xml:space="preserve"> naturaleza jurídica de la información pública solicitada, tiene por objeto determinar si ésta la genera, posee o administra </w:t>
      </w:r>
      <w:r>
        <w:rPr>
          <w:rFonts w:ascii="Palatino Linotype" w:eastAsia="Palatino Linotype" w:hAnsi="Palatino Linotype" w:cs="Palatino Linotype"/>
          <w:b/>
          <w:bCs/>
        </w:rPr>
        <w:t>EL SUJETO OBLIGADO</w:t>
      </w:r>
      <w:r>
        <w:rPr>
          <w:rFonts w:ascii="Palatino Linotype" w:eastAsia="Palatino Linotype" w:hAnsi="Palatino Linotype" w:cs="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4412E3" w:rsidRDefault="004412E3">
      <w:pPr>
        <w:spacing w:line="360" w:lineRule="auto"/>
        <w:ind w:right="-787"/>
        <w:jc w:val="both"/>
        <w:rPr>
          <w:rFonts w:ascii="Palatino Linotype" w:eastAsia="Palatino Linotype" w:hAnsi="Palatino Linotype" w:cs="Palatino Linotype"/>
          <w:color w:val="000000"/>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es de recordar que el particular requirió </w:t>
      </w:r>
      <w:r>
        <w:rPr>
          <w:rFonts w:ascii="Palatino Linotype" w:eastAsia="Palatino Linotype" w:hAnsi="Palatino Linotype" w:cs="Palatino Linotype"/>
          <w:i/>
          <w:iCs/>
          <w:color w:val="000000"/>
          <w:u w:val="single"/>
        </w:rPr>
        <w:t>recibos de nómina de todo el personal, correspondientes al pago de aguinaldo y prima vacacional del ejercicio fiscal 2025</w:t>
      </w:r>
      <w:r>
        <w:rPr>
          <w:rFonts w:ascii="Palatino Linotype" w:eastAsia="Palatino Linotype" w:hAnsi="Palatino Linotype" w:cs="Palatino Linotype"/>
          <w:color w:val="000000"/>
          <w:u w:val="single"/>
        </w:rPr>
        <w:t>,</w:t>
      </w:r>
      <w:r>
        <w:rPr>
          <w:rFonts w:ascii="Palatino Linotype" w:eastAsia="Palatino Linotype" w:hAnsi="Palatino Linotype" w:cs="Palatino Linotype"/>
          <w:color w:val="000000"/>
        </w:rPr>
        <w:t xml:space="preserve"> en respuesta el Sujeto Obligado a través de la Tesorería Municipal refiriendo que </w:t>
      </w:r>
      <w:r>
        <w:rPr>
          <w:rFonts w:ascii="Palatino Linotype" w:eastAsia="Palatino Linotype" w:hAnsi="Palatino Linotype" w:cs="Palatino Linotype"/>
        </w:rPr>
        <w:t>la integración del 4º  informe trimestral (octubre, noviembre y diciembre) del ejercicio fiscal 2025, está en proceso de ser recopilado, validado y consolidado por to razón los recibos de nómina correspondientes al pago de aguinaldo y prima vacacional, no se han conformado en su totalidad, circunstancia de la cual se dolió el recurrente por la negativa de la información, posteriormente el Sujeto Obligado fue omiso en rendir informe justificado y el particular remitió la respuesta proporcionada.</w:t>
      </w:r>
    </w:p>
    <w:p w:rsidR="004412E3" w:rsidRDefault="004412E3">
      <w:pPr>
        <w:spacing w:line="360" w:lineRule="auto"/>
        <w:ind w:right="-787"/>
        <w:jc w:val="both"/>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Así resulta necesario señalar que, el artículo 3, fracción XXXII, del Código Financiero del Estado de México y Municipios, establece que la remuneración consiste en los pagos hechos por concepto de sueldo, compensaciones, </w:t>
      </w:r>
      <w:r>
        <w:rPr>
          <w:rFonts w:ascii="Palatino Linotype" w:eastAsia="Palatino Linotype" w:hAnsi="Palatino Linotype" w:cs="Palatino Linotype"/>
          <w:b/>
          <w:bCs/>
        </w:rPr>
        <w:t>gratificaciones</w:t>
      </w:r>
      <w:r>
        <w:rPr>
          <w:rFonts w:ascii="Palatino Linotype" w:eastAsia="Palatino Linotype" w:hAnsi="Palatino Linotype" w:cs="Palatino Linotype"/>
        </w:rPr>
        <w:t xml:space="preserve">, habitación, </w:t>
      </w:r>
      <w:r>
        <w:rPr>
          <w:rFonts w:ascii="Palatino Linotype" w:eastAsia="Palatino Linotype" w:hAnsi="Palatino Linotype" w:cs="Palatino Linotype"/>
          <w:b/>
          <w:bCs/>
        </w:rPr>
        <w:t>primas</w:t>
      </w:r>
      <w:r>
        <w:rPr>
          <w:rFonts w:ascii="Palatino Linotype" w:eastAsia="Palatino Linotype" w:hAnsi="Palatino Linotype" w:cs="Palatino Linotype"/>
        </w:rPr>
        <w:t xml:space="preserve">, comisiones, prestaciones, en especie y cualquier otra percepción o prestación que se entregue al servidor por su trabajo. Asimismo, el Anexo IV.5 Glosario de Términos, del Manual para la Planeación, Programación y Presupuesto de Egresos Municipal para el ejercicio fiscal dos mil </w:t>
      </w:r>
      <w:r>
        <w:rPr>
          <w:rFonts w:ascii="Palatino Linotype" w:eastAsia="Palatino Linotype" w:hAnsi="Palatino Linotype" w:cs="Palatino Linotype"/>
        </w:rPr>
        <w:lastRenderedPageBreak/>
        <w:t xml:space="preserve">veinte, establece que la remuneración es la percepción de un trabajador o retribución monetaria que se da en pago por su servicio o actividad desarrollada. </w:t>
      </w:r>
    </w:p>
    <w:p w:rsidR="004412E3" w:rsidRDefault="004412E3">
      <w:pPr>
        <w:spacing w:line="360" w:lineRule="auto"/>
        <w:ind w:right="49"/>
        <w:jc w:val="both"/>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Aunado a lo anterior, es importante destacar que la información relacionada con remuneraciones corresponde a información considerada como una de las obligaciones de transparencias comunes que los Sujetos Obligados tienen el deber de poner a disposición del público de manera permanente y actualizada de forma sencilla, precisa y entendible, en los respectivos medios electrónicos, de acuerdo con sus facultades, atribuciones, funciones u objeto social, según corresponda; esto conforme a lo establecido en el artículo 92 de la de la Ley de Transparencia y Acceso a la Información Pública del Estado de México y Municipios, en su fracción VIII, dispone lo siguiente: </w:t>
      </w:r>
    </w:p>
    <w:p w:rsidR="004412E3" w:rsidRDefault="00804973">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92.</w:t>
      </w:r>
      <w:r>
        <w:rPr>
          <w:rFonts w:ascii="Palatino Linotype" w:eastAsia="Palatino Linotype" w:hAnsi="Palatino Linotype" w:cs="Palatino Linotype"/>
          <w:i/>
          <w:iCs/>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4412E3" w:rsidRDefault="00804973">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w:t>
      </w:r>
    </w:p>
    <w:p w:rsidR="004412E3" w:rsidRDefault="00804973">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VIII. La remuneración bruta y neta de todos los servidores públicos de base o de confianza, </w:t>
      </w:r>
      <w:r>
        <w:rPr>
          <w:rFonts w:ascii="Palatino Linotype" w:eastAsia="Palatino Linotype" w:hAnsi="Palatino Linotype" w:cs="Palatino Linotype"/>
          <w:i/>
          <w:iCs/>
        </w:rPr>
        <w:t xml:space="preserve">de todas las percepciones, incluyendo sueldos, </w:t>
      </w:r>
      <w:r>
        <w:rPr>
          <w:rFonts w:ascii="Palatino Linotype" w:eastAsia="Palatino Linotype" w:hAnsi="Palatino Linotype" w:cs="Palatino Linotype"/>
          <w:b/>
          <w:bCs/>
          <w:i/>
          <w:iCs/>
        </w:rPr>
        <w:t>prestaciones, gratificaciones, primas</w:t>
      </w:r>
      <w:r>
        <w:rPr>
          <w:rFonts w:ascii="Palatino Linotype" w:eastAsia="Palatino Linotype" w:hAnsi="Palatino Linotype" w:cs="Palatino Linotype"/>
          <w:i/>
          <w:iCs/>
        </w:rPr>
        <w:t>, comisiones, dietas, bonos, estímulos, ingresos y sistemas de compensación, señalando la periodicidad de dicha remuneración;</w:t>
      </w:r>
    </w:p>
    <w:p w:rsidR="004412E3" w:rsidRDefault="00804973">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w:t>
      </w:r>
      <w:r>
        <w:rPr>
          <w:rFonts w:ascii="Palatino Linotype" w:eastAsia="Palatino Linotype" w:hAnsi="Palatino Linotype" w:cs="Palatino Linotype"/>
          <w:i/>
          <w:iCs/>
        </w:rPr>
        <w:t>”</w:t>
      </w:r>
    </w:p>
    <w:p w:rsidR="004412E3" w:rsidRDefault="004412E3">
      <w:pPr>
        <w:ind w:right="539"/>
        <w:jc w:val="both"/>
        <w:rPr>
          <w:rFonts w:ascii="Palatino Linotype" w:eastAsia="Palatino Linotype" w:hAnsi="Palatino Linotype" w:cs="Palatino Linotype"/>
          <w:i/>
          <w:iCs/>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otra parte, la Ley del Trabajo de los Servidores Públicos del Estado y Municipios, en su artículo 220 K, establece los documentos que tiene la obligación de conservar el Sujeto Obligado, entre los que se encuentran los recibos de pagos: </w:t>
      </w:r>
    </w:p>
    <w:p w:rsidR="004412E3" w:rsidRDefault="00804973">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220 K.-</w:t>
      </w:r>
      <w:r>
        <w:rPr>
          <w:rFonts w:ascii="Palatino Linotype" w:eastAsia="Palatino Linotype" w:hAnsi="Palatino Linotype" w:cs="Palatino Linotype"/>
          <w:i/>
          <w:iCs/>
        </w:rPr>
        <w:t xml:space="preserve"> La institución o dependencia pública tiene la obligación de conservar y exhibir en el proceso los documentos que a continuación se precisan: </w:t>
      </w:r>
    </w:p>
    <w:p w:rsidR="004412E3" w:rsidRDefault="00804973">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I. Contratos, Nombramientos o Formato Único de Movimientos de Personal, cuando no exista Convenio de condiciones generales de trabajo aplicable; </w:t>
      </w:r>
    </w:p>
    <w:p w:rsidR="004412E3" w:rsidRDefault="00804973">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II. Recibos de pagos de salarios</w:t>
      </w:r>
      <w:r>
        <w:rPr>
          <w:rFonts w:ascii="Palatino Linotype" w:eastAsia="Palatino Linotype" w:hAnsi="Palatino Linotype" w:cs="Palatino Linotype"/>
          <w:i/>
          <w:iCs/>
        </w:rPr>
        <w:t xml:space="preserve"> o las constancias documentales del pago de salario cuando sea por depósito o mediante información electrónica; </w:t>
      </w:r>
    </w:p>
    <w:p w:rsidR="004412E3" w:rsidRDefault="00804973">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Controles de asistencia o la información magnética o electrónica de asistencia de los servidores públicos; </w:t>
      </w:r>
    </w:p>
    <w:p w:rsidR="004412E3" w:rsidRDefault="00804973">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IV. Recibos o las constancias de depósito o del medio de información magnética o electrónica que sean utilizadas para el pago de salarios, </w:t>
      </w:r>
      <w:r>
        <w:rPr>
          <w:rFonts w:ascii="Palatino Linotype" w:eastAsia="Palatino Linotype" w:hAnsi="Palatino Linotype" w:cs="Palatino Linotype"/>
          <w:b/>
          <w:bCs/>
          <w:i/>
          <w:iCs/>
        </w:rPr>
        <w:t>prima vacacional, aguinaldo</w:t>
      </w:r>
      <w:r>
        <w:rPr>
          <w:rFonts w:ascii="Palatino Linotype" w:eastAsia="Palatino Linotype" w:hAnsi="Palatino Linotype" w:cs="Palatino Linotype"/>
          <w:i/>
          <w:iCs/>
        </w:rPr>
        <w:t xml:space="preserve"> y demás prestaciones establecidas en la presente ley; y </w:t>
      </w:r>
    </w:p>
    <w:p w:rsidR="004412E3" w:rsidRDefault="00804973">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V. Los demás que señalen las leyes.</w:t>
      </w:r>
    </w:p>
    <w:p w:rsidR="004412E3" w:rsidRDefault="004412E3">
      <w:pPr>
        <w:ind w:left="567" w:right="-716"/>
        <w:jc w:val="both"/>
        <w:rPr>
          <w:rFonts w:ascii="Palatino Linotype" w:eastAsia="Palatino Linotype" w:hAnsi="Palatino Linotype" w:cs="Palatino Linotype"/>
          <w:i/>
          <w:iCs/>
        </w:rPr>
      </w:pPr>
    </w:p>
    <w:p w:rsidR="004412E3" w:rsidRDefault="00804973">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 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 “</w:t>
      </w:r>
    </w:p>
    <w:p w:rsidR="004412E3" w:rsidRDefault="004412E3">
      <w:pPr>
        <w:ind w:right="539"/>
        <w:jc w:val="both"/>
        <w:rPr>
          <w:rFonts w:ascii="Palatino Linotype" w:eastAsia="Palatino Linotype" w:hAnsi="Palatino Linotype" w:cs="Palatino Linotype"/>
          <w:i/>
          <w:iCs/>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Del anterior precepto legal, se advierte que toda institución o dependencia pública del Estado de México, debe conservar las constancias documentales del pago de salario cuando sea por depósito o mediante información electrónica, debe conservar dicha documentación durante el último año y un año después de que se extinga la relación laboral, a través de los sistemas de digitalización o de información magnética o electrónica. </w:t>
      </w:r>
    </w:p>
    <w:p w:rsidR="004412E3" w:rsidRDefault="004412E3">
      <w:pPr>
        <w:spacing w:line="360" w:lineRule="auto"/>
        <w:ind w:right="49"/>
        <w:jc w:val="both"/>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Lo anterior, toma sustento en la Tesis aislada número I.6o.T.154 L (10a.), emitida por los Tribunales Colegiados de Circuito, publicada el abril de dos mil dieciséis, en la Gaceta del Semanario Judicial de la Federación, en su Libro 29, Tomo III, misma que señala lo siguiente: </w:t>
      </w:r>
    </w:p>
    <w:p w:rsidR="004412E3" w:rsidRDefault="00804973">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 xml:space="preserve">RECIBOS DE PAGO EMITIDOS POR MEDIOS ELECTRÓNICOS SIN FIRMA DEL TRABAJADOR. SON VÁLIDOS PARA ACREDITAR LOS CONCEPTOS Y MONTOS QUE EN ELLOS SE INSERTAN (APLICACIÓN SUPLETORIA DEL ARTÍCULO 776, FRACCIONES II Y VIII, DE LA LEY FEDERAL DEL TRABAJO, A LA LEY FEDERAL </w:t>
      </w:r>
      <w:r>
        <w:rPr>
          <w:rFonts w:ascii="Palatino Linotype" w:eastAsia="Palatino Linotype" w:hAnsi="Palatino Linotype" w:cs="Palatino Linotype"/>
          <w:b/>
          <w:bCs/>
          <w:i/>
          <w:iCs/>
        </w:rPr>
        <w:lastRenderedPageBreak/>
        <w:t>DE LOS TRABAJADORES AL SERVICIO DEL ESTADO).</w:t>
      </w:r>
      <w:r>
        <w:rPr>
          <w:rFonts w:ascii="Palatino Linotype" w:eastAsia="Palatino Linotype" w:hAnsi="Palatino Linotype" w:cs="Palatino Linotype"/>
          <w:i/>
          <w:iCs/>
        </w:rPr>
        <w:t xml:space="preserve"> En materia burocrática los recibos de pago que se obtienen por medios electrónicos son válidos para acreditar los conceptos y montos que en ellos se insertan, en términos del artículo 776, fracciones II y VIII, de la Ley Federal del Trabajo, aplicada supletoriamente a la Ley Federal de los Trabajadores al Servicio del Estado; lo anterior por no ser contrarios a la moral ni al derecho, por lo que la falta de firma de esos documentos, no les resta convicción plena, porque el avance de la ciencia y la necesidad propia de evitar pagos en efectivo, han impuesto al patrón-Estado pagar a sus trabajadores por la vía electrónica; por tanto, si para demostrar las percepciones y montos los recibos correspondientes se exhiben de esta forma sin prueba en contrario que los desvirtúe, entonces no hay razón jurídica para condicionar su eficacia probatoria a que deban adminicularse con otras pruebas; resolver en contrario, implicaría desatender el artículo 137 de la referida Ley Federal de los Trabajadores al Servicio del Estado.”</w:t>
      </w:r>
    </w:p>
    <w:p w:rsidR="004412E3" w:rsidRDefault="004412E3">
      <w:pPr>
        <w:spacing w:line="360" w:lineRule="auto"/>
        <w:ind w:right="49"/>
        <w:jc w:val="both"/>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 la tesis transcrita, se desprende que en materia burocrática los recibos de pago acreditan los conceptos y montos que en ellos se insertan, y constituyen prueba para demostrar las percepciones y montos que reciben los servidores públicos.</w:t>
      </w:r>
    </w:p>
    <w:p w:rsidR="004412E3" w:rsidRDefault="004412E3">
      <w:pPr>
        <w:spacing w:line="360" w:lineRule="auto"/>
        <w:ind w:right="49"/>
        <w:jc w:val="both"/>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este sentido, de acuerdo a la naturaleza de la información solicitada se concluye que ésta es de interés general y de alcance público, puesto que la ciudadanía tiene derecho a saber cuál es el gasto ejercido para el pago de remuneraciones por servicios personales al realizar las funciones públicas, esto es su acceso permite transparentar la aplicación de los recursos públicos que son otorgados para el cumplimiento de sus funciones. Ello conforme a lo dispuesto por el artículo 24, fracción XVIII de la Ley de Transparencia y Acceso a la Información Pública del Estado de México y Municipios, establece como deber de los sujetos obligados el hacer público toda la información respecto a los montos y nombres de las personas a quienes se entreguen recursos públicos y con ello transparentar la forma, términos, causas y finalidad en la disposición de esos recursos; precepto legal que es del tenor siguiente: </w:t>
      </w:r>
    </w:p>
    <w:p w:rsidR="004412E3" w:rsidRDefault="00804973">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24.</w:t>
      </w:r>
      <w:r>
        <w:rPr>
          <w:rFonts w:ascii="Palatino Linotype" w:eastAsia="Palatino Linotype" w:hAnsi="Palatino Linotype" w:cs="Palatino Linotype"/>
          <w:i/>
          <w:iCs/>
        </w:rPr>
        <w:t xml:space="preserve"> Para el cumplimiento de los objetivos de esta Ley, los sujetos obligados deberán cumplir con las siguientes obligaciones, según corresponda, de acuerdo a su naturaleza: </w:t>
      </w:r>
    </w:p>
    <w:p w:rsidR="004412E3" w:rsidRDefault="00804973">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 </w:t>
      </w:r>
    </w:p>
    <w:p w:rsidR="004412E3" w:rsidRDefault="00804973">
      <w:pPr>
        <w:ind w:left="567" w:right="-716"/>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XVIII. Hacer pública toda aquella información relativa a los montos y las personas a quienes entreguen, por cualquier motivo, recursos públicos, así como los informes que dichas personas les entreguen sobre el uso y destino de dichos recursos;</w:t>
      </w:r>
    </w:p>
    <w:p w:rsidR="004412E3" w:rsidRDefault="00804973">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4412E3" w:rsidRDefault="004412E3">
      <w:pPr>
        <w:spacing w:line="360" w:lineRule="auto"/>
        <w:ind w:right="49"/>
        <w:jc w:val="both"/>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Sirve de sustento por analogía, para justificar la publicidad sobre los datos relativos a los montos por concepto de pago de las remuneraciones, los criterios 01/2003 y 02/2003 emitidos por el Comité de Acceso a la Información Pública y Protección de Datos Personales de la Suprema Corte de Justicia de la Nación que a continuación se citan:</w:t>
      </w:r>
    </w:p>
    <w:p w:rsidR="004412E3" w:rsidRDefault="00804973">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“Criterio 01/2003. </w:t>
      </w:r>
    </w:p>
    <w:p w:rsidR="004412E3" w:rsidRDefault="004412E3">
      <w:pPr>
        <w:ind w:left="567" w:right="-858"/>
        <w:jc w:val="both"/>
        <w:rPr>
          <w:rFonts w:ascii="Palatino Linotype" w:eastAsia="Palatino Linotype" w:hAnsi="Palatino Linotype" w:cs="Palatino Linotype"/>
          <w:i/>
          <w:iCs/>
        </w:rPr>
      </w:pPr>
    </w:p>
    <w:p w:rsidR="004412E3" w:rsidRDefault="00804973">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b/>
          <w:bCs/>
          <w:i/>
          <w:iCs/>
        </w:rPr>
        <w:t>INGRESOS DE LOS SERVIDORES PÚBLICOS. CONSTITUYEN INFORMACIÓN PÚBLICA AÚN Y CUANDO SU DIFUSIÓN PUEDE AFECTAR LA VIDA O LA SEGURIDAD DE AQUELLOS</w:t>
      </w:r>
      <w:r>
        <w:rPr>
          <w:rFonts w:ascii="Palatino Linotype" w:eastAsia="Palatino Linotype" w:hAnsi="Palatino Linotype" w:cs="Palatino Linotype"/>
          <w:i/>
          <w:iCs/>
        </w:rPr>
        <w:t>. 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 debe reconocerse que aun y cuando en ese supuesto podría encuadrar la relativa a las percepciones ordinarias y extraordinaria de los servidores públicos, ello no obsta para reconocer que el legislador estableció en el artículo 7 de ese mismo ordenamiento que la referida información, como una obligación de trasparencia, deben publicarse en medios remotos o locales de comunicación electrónica, lo que se sustenta en el hecho de que el monto de todos los ingresos que recibe un servidor público por desarrollar las labores que les son encomendadas con motivo del desempeño del cargo respecto. Constituyen información pública, en tanto que se trata de erogaciones que realiza un órgano del Estado en base con los recursos que encuentran su origen en mayor medida en las contribuciones aportados por los gobernados</w:t>
      </w:r>
    </w:p>
    <w:p w:rsidR="004412E3" w:rsidRDefault="00804973">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4412E3" w:rsidRDefault="004412E3">
      <w:pPr>
        <w:ind w:left="567" w:right="-858"/>
        <w:jc w:val="both"/>
        <w:rPr>
          <w:rFonts w:ascii="Palatino Linotype" w:eastAsia="Palatino Linotype" w:hAnsi="Palatino Linotype" w:cs="Palatino Linotype"/>
          <w:i/>
          <w:iCs/>
        </w:rPr>
      </w:pPr>
    </w:p>
    <w:p w:rsidR="004412E3" w:rsidRDefault="00804973">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i/>
          <w:iCs/>
        </w:rPr>
        <w:t>“Criterio 02/2003.</w:t>
      </w:r>
    </w:p>
    <w:p w:rsidR="004412E3" w:rsidRDefault="00804973">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w:t>
      </w:r>
    </w:p>
    <w:p w:rsidR="004412E3" w:rsidRDefault="00804973">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b/>
          <w:bCs/>
          <w:i/>
          <w:iCs/>
        </w:rPr>
        <w:t>INGRESOS DE LOS SERVIDORES PÚBLICOS, SON INFORMACIÓN PÚBLICA AÚN Y CUANDO CONSTITUYEN DATOS PERSONALES QUE SE REFIEREN AL PATRIMONIO DE AQUÉLLOS</w:t>
      </w:r>
      <w:r>
        <w:rPr>
          <w:rFonts w:ascii="Palatino Linotype" w:eastAsia="Palatino Linotype" w:hAnsi="Palatino Linotype" w:cs="Palatino Linotype"/>
          <w:i/>
          <w:iCs/>
        </w:rPr>
        <w:t xml:space="preserve">. De la interpretación sistemática de lo previsto en los artículos </w:t>
      </w:r>
      <w:r>
        <w:rPr>
          <w:rFonts w:ascii="Palatino Linotype" w:eastAsia="Palatino Linotype" w:hAnsi="Palatino Linotype" w:cs="Palatino Linotype"/>
          <w:i/>
          <w:iCs/>
        </w:rPr>
        <w:lastRenderedPageBreak/>
        <w:t xml:space="preserve">3º, fracción II; 7º, 9º y 18, fracción II, de la Ley Federal de Transparencia y Acceso a la Información Pública Gubernamental se advierte que no constituye información confidencial la relativa a los ingresos que reciben los servidores públicos, ya que aun y cuando se trata de datos personales relativos a su patrimonio, para su difusión no se requiere consentimiento de aquellos, lo que deriva del hecho de que en términos de los previsto en el citado ordenamiento deben ponerse a disposición del público a través de medios remotos o locales de comunicación electrónica, tanto el directorio de servidores públicos como las remuneraciones mensuales por puesto incluso el sistema de compensación </w:t>
      </w:r>
    </w:p>
    <w:p w:rsidR="004412E3" w:rsidRDefault="00804973">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4412E3" w:rsidRDefault="004412E3">
      <w:pPr>
        <w:pBdr>
          <w:top w:val="nil"/>
          <w:left w:val="nil"/>
          <w:bottom w:val="nil"/>
          <w:right w:val="nil"/>
          <w:between w:val="nil"/>
        </w:pBdr>
        <w:spacing w:line="360" w:lineRule="auto"/>
        <w:jc w:val="both"/>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este mismo orden de ideas es de resaltar que los servidores públicos tiene derecho a un </w:t>
      </w:r>
      <w:r>
        <w:rPr>
          <w:rFonts w:ascii="Palatino Linotype" w:eastAsia="Palatino Linotype" w:hAnsi="Palatino Linotype" w:cs="Palatino Linotype"/>
          <w:b/>
          <w:bCs/>
        </w:rPr>
        <w:t>aguinaldo anual</w:t>
      </w:r>
      <w:r>
        <w:rPr>
          <w:rFonts w:ascii="Palatino Linotype" w:eastAsia="Palatino Linotype" w:hAnsi="Palatino Linotype" w:cs="Palatino Linotype"/>
        </w:rPr>
        <w:t xml:space="preserve">, equivalente a 40 días de sueldo base, cuando menos, sin deducción alguna, mismo que deberá pagarse en </w:t>
      </w:r>
      <w:r>
        <w:rPr>
          <w:rFonts w:ascii="Palatino Linotype" w:eastAsia="Palatino Linotype" w:hAnsi="Palatino Linotype" w:cs="Palatino Linotype"/>
          <w:b/>
          <w:bCs/>
        </w:rPr>
        <w:t>dos entregas</w:t>
      </w:r>
      <w:r>
        <w:rPr>
          <w:rFonts w:ascii="Palatino Linotype" w:eastAsia="Palatino Linotype" w:hAnsi="Palatino Linotype" w:cs="Palatino Linotype"/>
        </w:rPr>
        <w:t xml:space="preserve">, </w:t>
      </w:r>
      <w:r>
        <w:rPr>
          <w:rFonts w:ascii="Palatino Linotype" w:eastAsia="Palatino Linotype" w:hAnsi="Palatino Linotype" w:cs="Palatino Linotype"/>
          <w:u w:val="single"/>
        </w:rPr>
        <w:t xml:space="preserve">la primera de ellas </w:t>
      </w:r>
      <w:r>
        <w:rPr>
          <w:rFonts w:ascii="Palatino Linotype" w:eastAsia="Palatino Linotype" w:hAnsi="Palatino Linotype" w:cs="Palatino Linotype"/>
          <w:b/>
          <w:bCs/>
          <w:u w:val="single"/>
        </w:rPr>
        <w:t>previo al primer período vacacional</w:t>
      </w:r>
      <w:r>
        <w:rPr>
          <w:rFonts w:ascii="Palatino Linotype" w:eastAsia="Palatino Linotype" w:hAnsi="Palatino Linotype" w:cs="Palatino Linotype"/>
          <w:u w:val="single"/>
        </w:rPr>
        <w:t xml:space="preserve"> y la segunda a más tardar el </w:t>
      </w:r>
      <w:r>
        <w:rPr>
          <w:rFonts w:ascii="Palatino Linotype" w:eastAsia="Palatino Linotype" w:hAnsi="Palatino Linotype" w:cs="Palatino Linotype"/>
          <w:b/>
          <w:bCs/>
          <w:u w:val="single"/>
        </w:rPr>
        <w:t>día 15 de diciembre</w:t>
      </w:r>
      <w:r>
        <w:rPr>
          <w:rFonts w:ascii="Palatino Linotype" w:eastAsia="Palatino Linotype" w:hAnsi="Palatino Linotype" w:cs="Palatino Linotype"/>
        </w:rPr>
        <w:t xml:space="preserve">, de conformidad con el artículo 78, de la Ley del Trabajo de los Servidores Públicos del Estado de México y Municipios, y conforme al artículo 81, percibirán una </w:t>
      </w:r>
      <w:r>
        <w:rPr>
          <w:rFonts w:ascii="Palatino Linotype" w:eastAsia="Palatino Linotype" w:hAnsi="Palatino Linotype" w:cs="Palatino Linotype"/>
          <w:b/>
          <w:bCs/>
        </w:rPr>
        <w:t>prima de un 25% como mínimo</w:t>
      </w:r>
      <w:r>
        <w:rPr>
          <w:rFonts w:ascii="Palatino Linotype" w:eastAsia="Palatino Linotype" w:hAnsi="Palatino Linotype" w:cs="Palatino Linotype"/>
        </w:rPr>
        <w:t>, sobre el sueldo base presupuestal que les corresponda durante los mismos.</w:t>
      </w:r>
    </w:p>
    <w:p w:rsidR="004412E3" w:rsidRDefault="00804973">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78</w:t>
      </w:r>
      <w:r>
        <w:rPr>
          <w:rFonts w:ascii="Palatino Linotype" w:eastAsia="Palatino Linotype" w:hAnsi="Palatino Linotype" w:cs="Palatino Linotype"/>
          <w:i/>
          <w:iCs/>
        </w:rPr>
        <w:t xml:space="preserve">. Los servidores públicos tendrán derecho a un </w:t>
      </w:r>
      <w:r>
        <w:rPr>
          <w:rFonts w:ascii="Palatino Linotype" w:eastAsia="Palatino Linotype" w:hAnsi="Palatino Linotype" w:cs="Palatino Linotype"/>
          <w:b/>
          <w:bCs/>
          <w:i/>
          <w:iCs/>
        </w:rPr>
        <w:t>aguinaldo anual</w:t>
      </w:r>
      <w:r>
        <w:rPr>
          <w:rFonts w:ascii="Palatino Linotype" w:eastAsia="Palatino Linotype" w:hAnsi="Palatino Linotype" w:cs="Palatino Linotype"/>
          <w:i/>
          <w:iCs/>
        </w:rPr>
        <w:t xml:space="preserve">, equivalente a </w:t>
      </w:r>
      <w:r>
        <w:rPr>
          <w:rFonts w:ascii="Palatino Linotype" w:eastAsia="Palatino Linotype" w:hAnsi="Palatino Linotype" w:cs="Palatino Linotype"/>
          <w:b/>
          <w:bCs/>
          <w:i/>
          <w:iCs/>
        </w:rPr>
        <w:t>40 días de sueldo base</w:t>
      </w:r>
      <w:r>
        <w:rPr>
          <w:rFonts w:ascii="Palatino Linotype" w:eastAsia="Palatino Linotype" w:hAnsi="Palatino Linotype" w:cs="Palatino Linotype"/>
          <w:i/>
          <w:iCs/>
        </w:rPr>
        <w:t xml:space="preserve">, cuando menos, sin deducción alguna, y estará comprendido en el presupuesto de egresos correspondiente. </w:t>
      </w:r>
    </w:p>
    <w:p w:rsidR="004412E3" w:rsidRDefault="004412E3">
      <w:pPr>
        <w:ind w:left="567" w:right="-858"/>
        <w:jc w:val="both"/>
        <w:rPr>
          <w:rFonts w:ascii="Palatino Linotype" w:eastAsia="Palatino Linotype" w:hAnsi="Palatino Linotype" w:cs="Palatino Linotype"/>
          <w:i/>
          <w:iCs/>
        </w:rPr>
      </w:pPr>
    </w:p>
    <w:p w:rsidR="004412E3" w:rsidRDefault="00804973">
      <w:pPr>
        <w:ind w:left="567" w:right="-858"/>
        <w:jc w:val="both"/>
        <w:rPr>
          <w:rFonts w:ascii="Palatino Linotype" w:eastAsia="Palatino Linotype" w:hAnsi="Palatino Linotype" w:cs="Palatino Linotype"/>
          <w:b/>
          <w:bCs/>
          <w:i/>
          <w:iCs/>
        </w:rPr>
      </w:pPr>
      <w:r>
        <w:rPr>
          <w:rFonts w:ascii="Palatino Linotype" w:eastAsia="Palatino Linotype" w:hAnsi="Palatino Linotype" w:cs="Palatino Linotype"/>
          <w:i/>
          <w:iCs/>
        </w:rPr>
        <w:t xml:space="preserve">Dicho aguinaldo deberá pagarse en </w:t>
      </w:r>
      <w:r>
        <w:rPr>
          <w:rFonts w:ascii="Palatino Linotype" w:eastAsia="Palatino Linotype" w:hAnsi="Palatino Linotype" w:cs="Palatino Linotype"/>
          <w:b/>
          <w:bCs/>
          <w:i/>
          <w:iCs/>
        </w:rPr>
        <w:t>dos entregas</w:t>
      </w:r>
      <w:r>
        <w:rPr>
          <w:rFonts w:ascii="Palatino Linotype" w:eastAsia="Palatino Linotype" w:hAnsi="Palatino Linotype" w:cs="Palatino Linotype"/>
          <w:i/>
          <w:iCs/>
        </w:rPr>
        <w:t xml:space="preserve">, la primera de ellas </w:t>
      </w:r>
      <w:r>
        <w:rPr>
          <w:rFonts w:ascii="Palatino Linotype" w:eastAsia="Palatino Linotype" w:hAnsi="Palatino Linotype" w:cs="Palatino Linotype"/>
          <w:b/>
          <w:bCs/>
          <w:i/>
          <w:iCs/>
        </w:rPr>
        <w:t xml:space="preserve">previo al primer período vacacional y la segunda a más tardar el día 15 de diciembre. </w:t>
      </w:r>
    </w:p>
    <w:p w:rsidR="004412E3" w:rsidRDefault="004412E3">
      <w:pPr>
        <w:ind w:left="567" w:right="-858"/>
        <w:jc w:val="both"/>
        <w:rPr>
          <w:rFonts w:ascii="Palatino Linotype" w:eastAsia="Palatino Linotype" w:hAnsi="Palatino Linotype" w:cs="Palatino Linotype"/>
          <w:i/>
          <w:iCs/>
        </w:rPr>
      </w:pPr>
    </w:p>
    <w:p w:rsidR="004412E3" w:rsidRDefault="00804973">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Los servidores públicos que hayan prestado sus servicios por un lapso menor a un año, tendrán derecho a que se les pague la parte proporcional del aguinaldo de acuerdo a los días efectivamente trabajados. </w:t>
      </w:r>
    </w:p>
    <w:p w:rsidR="004412E3" w:rsidRDefault="004412E3">
      <w:pPr>
        <w:ind w:left="567" w:right="-858"/>
        <w:jc w:val="both"/>
        <w:rPr>
          <w:rFonts w:ascii="Palatino Linotype" w:eastAsia="Palatino Linotype" w:hAnsi="Palatino Linotype" w:cs="Palatino Linotype"/>
          <w:i/>
          <w:iCs/>
        </w:rPr>
      </w:pPr>
    </w:p>
    <w:p w:rsidR="004412E3" w:rsidRDefault="004412E3">
      <w:pPr>
        <w:ind w:left="567" w:right="-858"/>
        <w:jc w:val="both"/>
        <w:rPr>
          <w:rFonts w:ascii="Palatino Linotype" w:eastAsia="Palatino Linotype" w:hAnsi="Palatino Linotype" w:cs="Palatino Linotype"/>
          <w:i/>
          <w:iCs/>
        </w:rPr>
      </w:pPr>
    </w:p>
    <w:p w:rsidR="004412E3" w:rsidRDefault="00804973">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66.</w:t>
      </w:r>
      <w:r>
        <w:rPr>
          <w:rFonts w:ascii="Palatino Linotype" w:eastAsia="Palatino Linotype" w:hAnsi="Palatino Linotype" w:cs="Palatino Linotype"/>
          <w:i/>
          <w:iCs/>
        </w:rPr>
        <w:t xml:space="preserve"> Se establecen dos períodos anuales de vacaciones, de diez días laborables cada uno, cuyas fechas deberán ser dadas a conocer oportunamente por cada institución pública. Los </w:t>
      </w:r>
      <w:r>
        <w:rPr>
          <w:rFonts w:ascii="Palatino Linotype" w:eastAsia="Palatino Linotype" w:hAnsi="Palatino Linotype" w:cs="Palatino Linotype"/>
          <w:i/>
          <w:iCs/>
        </w:rPr>
        <w:lastRenderedPageBreak/>
        <w:t>servidores públicos podrán hacer uso de su primer período vacacional siempre y cuando hayan cumplido seis meses en el servicio.</w:t>
      </w:r>
    </w:p>
    <w:p w:rsidR="004412E3" w:rsidRDefault="004412E3">
      <w:pPr>
        <w:ind w:left="567" w:right="-858"/>
        <w:jc w:val="both"/>
        <w:rPr>
          <w:rFonts w:ascii="Palatino Linotype" w:eastAsia="Palatino Linotype" w:hAnsi="Palatino Linotype" w:cs="Palatino Linotype"/>
          <w:i/>
          <w:iCs/>
        </w:rPr>
      </w:pPr>
    </w:p>
    <w:p w:rsidR="004412E3" w:rsidRDefault="00804973">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81</w:t>
      </w:r>
      <w:r>
        <w:rPr>
          <w:rFonts w:ascii="Palatino Linotype" w:eastAsia="Palatino Linotype" w:hAnsi="Palatino Linotype" w:cs="Palatino Linotype"/>
          <w:i/>
          <w:iCs/>
        </w:rPr>
        <w:t xml:space="preserve">. En los días de descanso obligatorio y en las vacaciones a que se refieren los artículos 66 y 68 de esta ley, los servidores públicos recibirán sueldo íntegro. Cuando el sueldo se pague por unidad de obra, se promediará el sueldo base presupuestal del último mes. </w:t>
      </w:r>
    </w:p>
    <w:p w:rsidR="004412E3" w:rsidRDefault="004412E3">
      <w:pPr>
        <w:ind w:left="567" w:right="-858"/>
        <w:jc w:val="both"/>
        <w:rPr>
          <w:rFonts w:ascii="Palatino Linotype" w:eastAsia="Palatino Linotype" w:hAnsi="Palatino Linotype" w:cs="Palatino Linotype"/>
          <w:i/>
          <w:iCs/>
        </w:rPr>
      </w:pPr>
    </w:p>
    <w:p w:rsidR="004412E3" w:rsidRDefault="00804973">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Los servidores públicos que presten sus servicios durante el día domingo tendrán derecho al pago adicional de un 25% sobre el monto de su sueldo base presupuestal de los días ordinarios de trabajo. </w:t>
      </w:r>
    </w:p>
    <w:p w:rsidR="004412E3" w:rsidRDefault="004412E3">
      <w:pPr>
        <w:ind w:left="567" w:right="-858"/>
        <w:jc w:val="both"/>
        <w:rPr>
          <w:rFonts w:ascii="Palatino Linotype" w:eastAsia="Palatino Linotype" w:hAnsi="Palatino Linotype" w:cs="Palatino Linotype"/>
          <w:i/>
          <w:iCs/>
        </w:rPr>
      </w:pPr>
    </w:p>
    <w:p w:rsidR="004412E3" w:rsidRDefault="00804973">
      <w:pPr>
        <w:ind w:left="567" w:right="-85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Los servidores públicos que, conforme al artículo 66 de esta ley, tengan derecho a disfrutar de los períodos vacacionales, percibirán una prima de un 25% como mínimo, sobre el sueldo base presupuestal que les corresponda durante los mismos.</w:t>
      </w:r>
    </w:p>
    <w:p w:rsidR="004412E3" w:rsidRDefault="004412E3">
      <w:pPr>
        <w:pBdr>
          <w:top w:val="nil"/>
          <w:left w:val="nil"/>
          <w:bottom w:val="nil"/>
          <w:right w:val="nil"/>
          <w:between w:val="nil"/>
        </w:pBdr>
        <w:ind w:right="851"/>
        <w:jc w:val="both"/>
        <w:rPr>
          <w:rFonts w:ascii="Palatino Linotype" w:eastAsia="Palatino Linotype" w:hAnsi="Palatino Linotype" w:cs="Palatino Linotype"/>
          <w:i/>
          <w:iCs/>
        </w:rPr>
      </w:pPr>
    </w:p>
    <w:p w:rsidR="004412E3" w:rsidRDefault="004412E3">
      <w:pPr>
        <w:pBdr>
          <w:top w:val="nil"/>
          <w:left w:val="nil"/>
          <w:bottom w:val="nil"/>
          <w:right w:val="nil"/>
          <w:between w:val="nil"/>
        </w:pBdr>
        <w:ind w:right="851"/>
        <w:jc w:val="both"/>
        <w:rPr>
          <w:rFonts w:ascii="Palatino Linotype" w:eastAsia="Palatino Linotype" w:hAnsi="Palatino Linotype" w:cs="Palatino Linotype"/>
          <w:i/>
          <w:iCs/>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b/>
          <w:bCs/>
        </w:rPr>
      </w:pPr>
      <w:bookmarkStart w:id="7" w:name="_heading=h.oycgtwkhpu0i" w:colFirst="0" w:colLast="0"/>
      <w:bookmarkEnd w:id="7"/>
      <w:r>
        <w:rPr>
          <w:rFonts w:ascii="Palatino Linotype" w:eastAsia="Palatino Linotype" w:hAnsi="Palatino Linotype" w:cs="Palatino Linotype"/>
        </w:rPr>
        <w:t>En esta línea, se localizó el Periódico Oficial del Gobierno Constitucional de Acambay de Ruíz Castañeda estado de México, la Gaceta Municipal año 1, número 1, cuyo acuerdo número 28, se aprobó por unanimidad de votos de los integrantes del ayuntamiento el calendario oficial para el ejercicio fiscal 2025, en el cual se determinan los días hábiles e inhábiles, así como los periodos vacacionales para los servidores públicos de la administración pública municipal 2025-2027; no obstante no se localizó dicho calendario oficial, por lo que se toma como orientación para consultar los periodos vacacionales, el publicado en el Periódico Oficial Gaceta del Gobierno del Estado de México, el 19 de diciembre de 2024, en el ACUERDO POR EL QUE SE ESTABLECE EL “CALENDARIO DEL PODER EJECUTIVO DEL GOBIERNO DEL ESTADO DE MÉXICO QUE REGIRÁ EN EL AÑO 2025”, cuyo artículo tercero señala como periodos vacacionales los siguientes:</w:t>
      </w:r>
    </w:p>
    <w:p w:rsidR="004412E3" w:rsidRDefault="00804973">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TERCERO</w:t>
      </w:r>
      <w:r>
        <w:rPr>
          <w:rFonts w:ascii="Palatino Linotype" w:eastAsia="Palatino Linotype" w:hAnsi="Palatino Linotype" w:cs="Palatino Linotype"/>
          <w:i/>
          <w:iCs/>
        </w:rPr>
        <w:t>. Los periodos vacacionales serán los siguientes:</w:t>
      </w:r>
    </w:p>
    <w:p w:rsidR="004412E3" w:rsidRDefault="00804973">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 02 al 06 de enero. </w:t>
      </w:r>
    </w:p>
    <w:p w:rsidR="004412E3" w:rsidRDefault="00804973">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14 al 16 de abril (Primera Etapa del Primer Periodo Vacacional). </w:t>
      </w:r>
    </w:p>
    <w:p w:rsidR="004412E3" w:rsidRDefault="00804973">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21 al 29 de julio (Segunda Etapa del Primer Periodo Vacacional). </w:t>
      </w:r>
    </w:p>
    <w:p w:rsidR="004412E3" w:rsidRDefault="00804973">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i/>
          <w:iCs/>
        </w:rPr>
        <w:t>• 22 de diciembre de 2025 al 06 de enero de 2026 (Segundo Periodo Vacacional).</w:t>
      </w: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Del análisis de la normatividad en estudio, se arriba a la conclusión que no le asiste la razón al Sujeto Obligado, como impedimento para entregar la información requerida, el argumento del proceso de recopilación</w:t>
      </w:r>
      <w:r>
        <w:rPr>
          <w:rFonts w:ascii="Arial" w:eastAsia="Arial" w:hAnsi="Arial" w:cs="Arial"/>
          <w:b/>
          <w:bCs/>
        </w:rPr>
        <w:t xml:space="preserve"> </w:t>
      </w:r>
      <w:r>
        <w:rPr>
          <w:rFonts w:ascii="Palatino Linotype" w:eastAsia="Palatino Linotype" w:hAnsi="Palatino Linotype" w:cs="Palatino Linotype"/>
        </w:rPr>
        <w:t>para la integración del informe del 4º trimestre que se entrega al Órgano Superior de Fiscalización del Estado de México</w:t>
      </w:r>
      <w:r>
        <w:rPr>
          <w:rFonts w:ascii="Palatino Linotype" w:eastAsia="Palatino Linotype" w:hAnsi="Palatino Linotype" w:cs="Palatino Linotype"/>
          <w:b/>
          <w:bCs/>
        </w:rPr>
        <w:t xml:space="preserve">, </w:t>
      </w:r>
      <w:r>
        <w:rPr>
          <w:rFonts w:ascii="Palatino Linotype" w:eastAsia="Palatino Linotype" w:hAnsi="Palatino Linotype" w:cs="Palatino Linotype"/>
        </w:rPr>
        <w:t>toda vez que  la fecha de solicitud, se habían emitido los recibos de pago correspondientes a la prima vacacional y aguinaldo correspondientes al ejercicio fiscal 2025.</w:t>
      </w:r>
    </w:p>
    <w:p w:rsidR="004412E3" w:rsidRDefault="004412E3">
      <w:pPr>
        <w:spacing w:line="360" w:lineRule="auto"/>
        <w:ind w:right="-787"/>
        <w:jc w:val="both"/>
        <w:rPr>
          <w:rFonts w:ascii="Palatino Linotype" w:eastAsia="Palatino Linotype" w:hAnsi="Palatino Linotype" w:cs="Palatino Linotype"/>
          <w:b/>
          <w:bCs/>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 xml:space="preserve">Por lo anterior, este Organismo, con la finalidad de garantizar el derecho humano de acceso a la información de la parte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se estima procedente</w:t>
      </w:r>
      <w:r>
        <w:rPr>
          <w:rFonts w:ascii="Palatino Linotype" w:eastAsia="Palatino Linotype" w:hAnsi="Palatino Linotype" w:cs="Palatino Linotype"/>
          <w:b/>
          <w:bCs/>
          <w:color w:val="000000"/>
        </w:rPr>
        <w:t xml:space="preserve"> REVOCAR</w:t>
      </w:r>
      <w:r>
        <w:rPr>
          <w:rFonts w:ascii="Palatino Linotype" w:eastAsia="Palatino Linotype" w:hAnsi="Palatino Linotype" w:cs="Palatino Linotype"/>
          <w:color w:val="000000"/>
        </w:rPr>
        <w:t xml:space="preserve"> la respuesta emitida y </w:t>
      </w:r>
      <w:r>
        <w:rPr>
          <w:rFonts w:ascii="Palatino Linotype" w:eastAsia="Palatino Linotype" w:hAnsi="Palatino Linotype" w:cs="Palatino Linotype"/>
          <w:b/>
          <w:bCs/>
          <w:color w:val="000000"/>
        </w:rPr>
        <w:t>ORDENAR</w:t>
      </w:r>
      <w:r>
        <w:rPr>
          <w:rFonts w:ascii="Palatino Linotype" w:eastAsia="Palatino Linotype" w:hAnsi="Palatino Linotype" w:cs="Palatino Linotype"/>
          <w:color w:val="000000"/>
        </w:rPr>
        <w:t xml:space="preserve"> que, previa búsqueda exhaustiva y razonable, en versión pública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 haga entrega </w:t>
      </w:r>
      <w:r>
        <w:rPr>
          <w:rFonts w:ascii="Palatino Linotype" w:eastAsia="Palatino Linotype" w:hAnsi="Palatino Linotype" w:cs="Palatino Linotype"/>
        </w:rPr>
        <w:t xml:space="preserve">de la información siguiente: </w:t>
      </w:r>
      <w:r>
        <w:rPr>
          <w:rFonts w:ascii="Palatino Linotype" w:eastAsia="Palatino Linotype" w:hAnsi="Palatino Linotype" w:cs="Palatino Linotype"/>
          <w:b/>
          <w:bCs/>
        </w:rPr>
        <w:t>recibos de nómina de todo el personal, correspondientes al pago de aguinaldo y prima vacacional, emitidos entre el 01 de enero y el 19 de diciembre de 2025.</w:t>
      </w:r>
    </w:p>
    <w:p w:rsidR="004412E3" w:rsidRDefault="004412E3">
      <w:pPr>
        <w:spacing w:line="360" w:lineRule="auto"/>
        <w:ind w:right="49"/>
        <w:jc w:val="both"/>
        <w:rPr>
          <w:rFonts w:ascii="Palatino Linotype" w:eastAsia="Palatino Linotype" w:hAnsi="Palatino Linotype" w:cs="Palatino Linotype"/>
        </w:rPr>
      </w:pPr>
    </w:p>
    <w:p w:rsidR="004412E3" w:rsidRDefault="00804973">
      <w:pPr>
        <w:keepNext/>
        <w:keepLines/>
        <w:spacing w:after="160" w:line="36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De la versión pública.</w:t>
      </w:r>
    </w:p>
    <w:p w:rsidR="004412E3" w:rsidRDefault="00804973">
      <w:pPr>
        <w:keepNext/>
        <w:keepLines/>
        <w:numPr>
          <w:ilvl w:val="0"/>
          <w:numId w:val="8"/>
        </w:numPr>
        <w:tabs>
          <w:tab w:val="left" w:pos="284"/>
        </w:tabs>
        <w:spacing w:after="160" w:line="36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Nociones generales. </w:t>
      </w: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Debido a la </w:t>
      </w:r>
      <w:r>
        <w:rPr>
          <w:rFonts w:ascii="Palatino Linotype" w:eastAsia="Palatino Linotype" w:hAnsi="Palatino Linotype" w:cs="Palatino Linotype"/>
          <w:color w:val="000000"/>
        </w:rPr>
        <w:t>información</w:t>
      </w:r>
      <w:r>
        <w:rPr>
          <w:rFonts w:ascii="Palatino Linotype" w:eastAsia="Palatino Linotype" w:hAnsi="Palatino Linotype" w:cs="Palatino Linotype"/>
        </w:rPr>
        <w:t xml:space="preserve"> solicitada por 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obran datos personales susceptibles de </w:t>
      </w:r>
      <w:r>
        <w:rPr>
          <w:rFonts w:ascii="Palatino Linotype" w:eastAsia="Palatino Linotype" w:hAnsi="Palatino Linotype" w:cs="Palatino Linotype"/>
          <w:b/>
          <w:bCs/>
        </w:rPr>
        <w:t>protegerse</w:t>
      </w:r>
      <w:r>
        <w:rPr>
          <w:rFonts w:ascii="Palatino Linotype" w:eastAsia="Palatino Linotype" w:hAnsi="Palatino Linotype" w:cs="Palatino Linotype"/>
        </w:rPr>
        <w:t xml:space="preserve">, así como información susceptible de clasificarse como confidencial, por lo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deberá de hacer la adecuada versión pública, protegiendo los datos que no son susceptibles de ser proporcionados. </w:t>
      </w:r>
    </w:p>
    <w:p w:rsidR="004412E3" w:rsidRDefault="004412E3">
      <w:pPr>
        <w:tabs>
          <w:tab w:val="left" w:pos="0"/>
          <w:tab w:val="left" w:pos="284"/>
        </w:tabs>
        <w:spacing w:line="360" w:lineRule="auto"/>
        <w:ind w:right="49"/>
        <w:jc w:val="both"/>
        <w:rPr>
          <w:rFonts w:ascii="Palatino Linotype" w:eastAsia="Palatino Linotype" w:hAnsi="Palatino Linotype" w:cs="Palatino Linotype"/>
          <w:highlight w:val="yellow"/>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No pasa desapercibido para este Órgano Garante que 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serán responsables de los datos personales en su posesión y que, en caso de localizarse datos concernientes a terceros, éstos no podrán difundir, distribuir o comercializar los datos </w:t>
      </w:r>
      <w:r>
        <w:rPr>
          <w:rFonts w:ascii="Palatino Linotype" w:eastAsia="Palatino Linotype" w:hAnsi="Palatino Linotype" w:cs="Palatino Linotype"/>
          <w:color w:val="000000"/>
        </w:rPr>
        <w:lastRenderedPageBreak/>
        <w:t>personales.  Cabe destacar que, para la realización de la clasificación de la información, se deben seguir una serie de pasos y procedimientos, por lo que es menester reiterar los mismos:</w:t>
      </w:r>
    </w:p>
    <w:p w:rsidR="004412E3" w:rsidRDefault="004412E3">
      <w:pPr>
        <w:tabs>
          <w:tab w:val="left" w:pos="284"/>
        </w:tabs>
        <w:spacing w:after="160" w:line="360" w:lineRule="auto"/>
        <w:ind w:right="49"/>
        <w:jc w:val="both"/>
        <w:rPr>
          <w:rFonts w:ascii="Palatino Linotype" w:eastAsia="Palatino Linotype" w:hAnsi="Palatino Linotype" w:cs="Palatino Linotype"/>
          <w:color w:val="000000"/>
        </w:rPr>
      </w:pPr>
    </w:p>
    <w:tbl>
      <w:tblPr>
        <w:tblStyle w:val="a"/>
        <w:tblW w:w="977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63"/>
        <w:gridCol w:w="7513"/>
      </w:tblGrid>
      <w:tr w:rsidR="004412E3">
        <w:tc>
          <w:tcPr>
            <w:tcW w:w="2263" w:type="dxa"/>
          </w:tcPr>
          <w:p w:rsidR="004412E3" w:rsidRDefault="00804973">
            <w:pPr>
              <w:tabs>
                <w:tab w:val="left" w:pos="284"/>
              </w:tab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a) Requisitos previos.</w:t>
            </w:r>
          </w:p>
        </w:tc>
        <w:tc>
          <w:tcPr>
            <w:tcW w:w="7513" w:type="dxa"/>
          </w:tcPr>
          <w:p w:rsidR="004412E3" w:rsidRDefault="00804973">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rsidR="004412E3" w:rsidRDefault="00804973">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4412E3" w:rsidRDefault="00804973">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Además, se debe señalar el procedimiento, de los tres que </w:t>
            </w:r>
            <w:r>
              <w:rPr>
                <w:rFonts w:ascii="Palatino Linotype" w:eastAsia="Palatino Linotype" w:hAnsi="Palatino Linotype" w:cs="Palatino Linotype"/>
              </w:rPr>
              <w:t>establece</w:t>
            </w:r>
            <w:r>
              <w:rPr>
                <w:rFonts w:ascii="Palatino Linotype" w:eastAsia="Palatino Linotype" w:hAnsi="Palatino Linotype" w:cs="Palatino Linotype"/>
                <w:color w:val="000000"/>
              </w:rPr>
              <w:t xml:space="preserve"> el artículo 132 de la Ley Estatal.</w:t>
            </w:r>
          </w:p>
          <w:p w:rsidR="004412E3" w:rsidRDefault="00804973">
            <w:pPr>
              <w:tabs>
                <w:tab w:val="left" w:pos="284"/>
              </w:tabs>
              <w:spacing w:line="276" w:lineRule="auto"/>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4412E3">
        <w:tc>
          <w:tcPr>
            <w:tcW w:w="2263" w:type="dxa"/>
            <w:shd w:val="clear" w:color="auto" w:fill="F2F2F2"/>
          </w:tcPr>
          <w:p w:rsidR="004412E3" w:rsidRDefault="00804973">
            <w:pPr>
              <w:tabs>
                <w:tab w:val="left" w:pos="284"/>
              </w:tab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b) Supuestos de clasificación.</w:t>
            </w:r>
          </w:p>
        </w:tc>
        <w:tc>
          <w:tcPr>
            <w:tcW w:w="7513" w:type="dxa"/>
            <w:shd w:val="clear" w:color="auto" w:fill="F2F2F2"/>
          </w:tcPr>
          <w:p w:rsidR="004412E3" w:rsidRDefault="00804973">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4412E3" w:rsidRDefault="00804973">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rsidR="004412E3" w:rsidRDefault="00804973">
            <w:pPr>
              <w:tabs>
                <w:tab w:val="left" w:pos="284"/>
              </w:tabs>
              <w:spacing w:line="276" w:lineRule="auto"/>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w:t>
            </w:r>
            <w:r>
              <w:rPr>
                <w:rFonts w:ascii="Palatino Linotype" w:eastAsia="Palatino Linotype" w:hAnsi="Palatino Linotype" w:cs="Palatino Linotype"/>
                <w:color w:val="000000"/>
              </w:rPr>
              <w:lastRenderedPageBreak/>
              <w:t>que el supuesto de hecho corresponde estrictamente con la hipótesis jurídica. Esto también lo debe de realizar el servidor público habilitado y el titular del área que administra la información.</w:t>
            </w:r>
          </w:p>
        </w:tc>
      </w:tr>
      <w:tr w:rsidR="004412E3">
        <w:tc>
          <w:tcPr>
            <w:tcW w:w="2263" w:type="dxa"/>
          </w:tcPr>
          <w:p w:rsidR="004412E3" w:rsidRDefault="00804973">
            <w:pPr>
              <w:tabs>
                <w:tab w:val="left" w:pos="284"/>
              </w:tab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lastRenderedPageBreak/>
              <w:t>c) Formalidades para emitir el acuerdo de clasificación.</w:t>
            </w:r>
          </w:p>
        </w:tc>
        <w:tc>
          <w:tcPr>
            <w:tcW w:w="7513" w:type="dxa"/>
          </w:tcPr>
          <w:p w:rsidR="004412E3" w:rsidRDefault="00804973">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4412E3" w:rsidRDefault="00804973">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rsidR="004412E3" w:rsidRDefault="00804973">
            <w:pPr>
              <w:tabs>
                <w:tab w:val="left" w:pos="284"/>
              </w:tabs>
              <w:spacing w:line="276" w:lineRule="auto"/>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4412E3">
        <w:tc>
          <w:tcPr>
            <w:tcW w:w="2263" w:type="dxa"/>
            <w:shd w:val="clear" w:color="auto" w:fill="F2F2F2"/>
          </w:tcPr>
          <w:p w:rsidR="004412E3" w:rsidRDefault="004412E3">
            <w:pPr>
              <w:tabs>
                <w:tab w:val="left" w:pos="284"/>
              </w:tabs>
              <w:spacing w:line="360" w:lineRule="auto"/>
              <w:rPr>
                <w:rFonts w:ascii="Palatino Linotype" w:eastAsia="Palatino Linotype" w:hAnsi="Palatino Linotype" w:cs="Palatino Linotype"/>
                <w:b/>
                <w:bCs/>
              </w:rPr>
            </w:pPr>
          </w:p>
          <w:p w:rsidR="004412E3" w:rsidRDefault="00804973">
            <w:pPr>
              <w:tabs>
                <w:tab w:val="left" w:pos="284"/>
              </w:tabs>
              <w:spacing w:line="360" w:lineRule="auto"/>
              <w:jc w:val="both"/>
              <w:rPr>
                <w:rFonts w:ascii="Palatino Linotype" w:eastAsia="Palatino Linotype" w:hAnsi="Palatino Linotype" w:cs="Palatino Linotype"/>
                <w:b/>
                <w:bCs/>
              </w:rPr>
            </w:pPr>
            <w:r>
              <w:rPr>
                <w:rFonts w:ascii="Palatino Linotype" w:eastAsia="Palatino Linotype" w:hAnsi="Palatino Linotype" w:cs="Palatino Linotype"/>
                <w:b/>
                <w:bCs/>
                <w:color w:val="000000"/>
              </w:rPr>
              <w:t xml:space="preserve">d) Requisitos de fondo del acuerdo de clasificación. </w:t>
            </w:r>
          </w:p>
        </w:tc>
        <w:tc>
          <w:tcPr>
            <w:tcW w:w="7513" w:type="dxa"/>
            <w:shd w:val="clear" w:color="auto" w:fill="F2F2F2"/>
          </w:tcPr>
          <w:p w:rsidR="004412E3" w:rsidRDefault="00804973">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rsidR="004412E3" w:rsidRDefault="00804973">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4412E3" w:rsidRDefault="00804973">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4412E3" w:rsidRDefault="00804973">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4412E3" w:rsidRDefault="00804973">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4412E3">
        <w:tc>
          <w:tcPr>
            <w:tcW w:w="2263" w:type="dxa"/>
          </w:tcPr>
          <w:p w:rsidR="004412E3" w:rsidRDefault="00804973">
            <w:pPr>
              <w:tabs>
                <w:tab w:val="left" w:pos="284"/>
              </w:tabs>
              <w:spacing w:line="360" w:lineRule="auto"/>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 xml:space="preserve">e) Condiciones especiales de la clasificación de la información como confidencial. </w:t>
            </w:r>
          </w:p>
        </w:tc>
        <w:tc>
          <w:tcPr>
            <w:tcW w:w="7513" w:type="dxa"/>
          </w:tcPr>
          <w:p w:rsidR="004412E3" w:rsidRDefault="00804973">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de la Ley Estatal establece que aun tratándose de datos personales, se podrán proporcionar, incluso sin solicitar el consentimiento de su titular. </w:t>
            </w:r>
          </w:p>
          <w:p w:rsidR="004412E3" w:rsidRDefault="00804973">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4412E3" w:rsidRDefault="00804973">
            <w:pPr>
              <w:tabs>
                <w:tab w:val="left" w:pos="284"/>
              </w:tabs>
              <w:spacing w:line="276" w:lineRule="auto"/>
              <w:rPr>
                <w:rFonts w:ascii="Palatino Linotype" w:eastAsia="Palatino Linotype" w:hAnsi="Palatino Linotype" w:cs="Palatino Linotype"/>
              </w:rPr>
            </w:pPr>
            <w:r>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4412E3" w:rsidRDefault="004412E3">
      <w:pPr>
        <w:tabs>
          <w:tab w:val="left" w:pos="284"/>
        </w:tabs>
        <w:spacing w:line="360" w:lineRule="auto"/>
        <w:rPr>
          <w:rFonts w:ascii="Palatino Linotype" w:eastAsia="Palatino Linotype" w:hAnsi="Palatino Linotype" w:cs="Palatino Linotype"/>
          <w:color w:val="000000"/>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Se debe de puntualizar que los recibos de nómina y/o comprobantes de pago de cualquier índole, contienen datos personales de los servidores públicos o empleados, que de hacerse públicos </w:t>
      </w:r>
      <w:r>
        <w:rPr>
          <w:rFonts w:ascii="Palatino Linotype" w:eastAsia="Palatino Linotype" w:hAnsi="Palatino Linotype" w:cs="Palatino Linotype"/>
          <w:color w:val="000000"/>
        </w:rPr>
        <w:t>afectarían</w:t>
      </w:r>
      <w:r>
        <w:rPr>
          <w:rFonts w:ascii="Palatino Linotype" w:eastAsia="Palatino Linotype" w:hAnsi="Palatino Linotype" w:cs="Palatino Linotype"/>
        </w:rPr>
        <w:t xml:space="preserve"> su intimidad y vida privada; es por ello que es criterio reiterado en las resoluciones de este Pleno que además de los datos especificados en la Ley de Transparencia y Acceso a la Información Pública del Estado de México y Municipios, se consideran confidenciales y por tanto deben testarse al momento de la elaboración de versiones públicas el Registro Federal de Contribuyentes (RFC), la Clave Única de Registro de Población (CURP), la Clave de cualquier tipo de seguridad social (ISSEMYM, u otros), y los descuentos y claves que se realicen por pensión alimenticia o deducciones estrictamente personales o de cualquier índole siempre que, no se encuentren relacionados con los impuestos o las cuotas por seguridad social, número de cuenta o cualquier otro dato que ponga en riesgo la vida y la seguridad de dichas personas.</w:t>
      </w:r>
    </w:p>
    <w:p w:rsidR="004412E3" w:rsidRDefault="004412E3">
      <w:pPr>
        <w:tabs>
          <w:tab w:val="left" w:pos="284"/>
        </w:tabs>
        <w:spacing w:line="360" w:lineRule="auto"/>
        <w:jc w:val="both"/>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cuanto hace al </w:t>
      </w:r>
      <w:r>
        <w:rPr>
          <w:rFonts w:ascii="Palatino Linotype" w:eastAsia="Palatino Linotype" w:hAnsi="Palatino Linotype" w:cs="Palatino Linotype"/>
          <w:b/>
          <w:bCs/>
        </w:rPr>
        <w:t>Registro Federal de Contribuyentes (RFC),</w:t>
      </w:r>
      <w:r>
        <w:rPr>
          <w:rFonts w:ascii="Palatino Linotype" w:eastAsia="Palatino Linotype" w:hAnsi="Palatino Linotype" w:cs="Palatino Linotype"/>
        </w:rPr>
        <w:t xml:space="preserve"> de las personas físicas, constituye un dato personal, pues se genera con caracteres alfanuméricos a partir del nombre y la fecha de nacimiento de cada persona, y finalmente la homoclave, por lo que para su obtención es necesario acreditar ante la autoridad fiscal previamente la identidad de la persona, su fecha de nacimiento, entre otros aspectos.</w:t>
      </w:r>
    </w:p>
    <w:p w:rsidR="004412E3" w:rsidRDefault="004412E3">
      <w:pPr>
        <w:tabs>
          <w:tab w:val="left" w:pos="284"/>
        </w:tabs>
        <w:spacing w:line="360" w:lineRule="auto"/>
        <w:jc w:val="both"/>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Ahora bien, las personas físicas tramitan su inscripción en el registro con el propósito de realizar —mediante esa clave de identificación— operaciones o actividades de naturaleza fiscal, la cual, les permite hacerse identificables respecto de una situación fiscal determinada.</w:t>
      </w:r>
    </w:p>
    <w:p w:rsidR="004412E3" w:rsidRDefault="004412E3">
      <w:pPr>
        <w:tabs>
          <w:tab w:val="left" w:pos="284"/>
        </w:tabs>
        <w:spacing w:line="360" w:lineRule="auto"/>
        <w:jc w:val="both"/>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Lo anterior es compartido por el entonces Instituto Federal de Acceso a la Información Pública y Protección de Datos Personales (IFAI) a través del Criterio orientador 19/17, el cual es del tenor literal siguiente:</w:t>
      </w:r>
    </w:p>
    <w:p w:rsidR="004412E3" w:rsidRDefault="00804973">
      <w:pPr>
        <w:ind w:left="1134"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“Registro Federal de Contribuyentes (RFC) de personas físicas</w:t>
      </w:r>
      <w:r>
        <w:rPr>
          <w:rFonts w:ascii="Palatino Linotype" w:eastAsia="Palatino Linotype" w:hAnsi="Palatino Linotype" w:cs="Palatino Linotype"/>
          <w:i/>
          <w:iCs/>
        </w:rPr>
        <w:t>. El RFC es una clave de carácter fiscal, única e irrepetible, que permite identificar al titular, su edad y fecha de nacimiento, por lo que es un dato personal de carácter confidencial.”</w:t>
      </w:r>
    </w:p>
    <w:p w:rsidR="004412E3" w:rsidRDefault="004412E3">
      <w:pPr>
        <w:ind w:right="1106"/>
        <w:jc w:val="both"/>
        <w:rPr>
          <w:rFonts w:ascii="Palatino Linotype" w:eastAsia="Palatino Linotype" w:hAnsi="Palatino Linotype" w:cs="Palatino Linotype"/>
          <w:i/>
          <w:iCs/>
        </w:rPr>
      </w:pPr>
    </w:p>
    <w:p w:rsidR="004412E3" w:rsidRDefault="004412E3">
      <w:pPr>
        <w:ind w:left="567" w:right="900"/>
        <w:jc w:val="both"/>
        <w:rPr>
          <w:rFonts w:ascii="Palatino Linotype" w:eastAsia="Palatino Linotype" w:hAnsi="Palatino Linotype" w:cs="Palatino Linotype"/>
          <w:i/>
          <w:iCs/>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Así, el </w:t>
      </w:r>
      <w:r>
        <w:rPr>
          <w:rFonts w:ascii="Palatino Linotype" w:eastAsia="Palatino Linotype" w:hAnsi="Palatino Linotype" w:cs="Palatino Linotype"/>
          <w:b/>
          <w:bCs/>
        </w:rPr>
        <w:t>Registro Federal de Contribuyentes, RFC</w:t>
      </w:r>
      <w:r>
        <w:rPr>
          <w:rFonts w:ascii="Palatino Linotype" w:eastAsia="Palatino Linotype" w:hAnsi="Palatino Linotype" w:cs="Palatino Linotype"/>
        </w:rPr>
        <w:t>, se vincula al nombre de su titular y permite identificar la edad de la persona, su fecha de nacimiento, así como su homoclave, la 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fracciones XI y XII de la Ley de Protección de Datos Personales en Posesión de los Sujetos Obligados del Estado de México y Municipios.</w:t>
      </w:r>
    </w:p>
    <w:p w:rsidR="004412E3" w:rsidRDefault="004412E3">
      <w:pPr>
        <w:tabs>
          <w:tab w:val="left" w:pos="284"/>
        </w:tabs>
        <w:spacing w:line="360" w:lineRule="auto"/>
        <w:jc w:val="both"/>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igual manera la </w:t>
      </w:r>
      <w:r>
        <w:rPr>
          <w:rFonts w:ascii="Palatino Linotype" w:eastAsia="Palatino Linotype" w:hAnsi="Palatino Linotype" w:cs="Palatino Linotype"/>
          <w:b/>
          <w:bCs/>
        </w:rPr>
        <w:t>Clave Única de Registro de Población (CURP),</w:t>
      </w:r>
      <w:r>
        <w:rPr>
          <w:rFonts w:ascii="Palatino Linotype" w:eastAsia="Palatino Linotype" w:hAnsi="Palatino Linotype" w:cs="Palatino Linotype"/>
        </w:rPr>
        <w:t xml:space="preserve"> constituye un dato personal,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rsidR="004412E3" w:rsidRDefault="004412E3">
      <w:pPr>
        <w:tabs>
          <w:tab w:val="left" w:pos="284"/>
        </w:tabs>
        <w:spacing w:line="360" w:lineRule="auto"/>
        <w:jc w:val="both"/>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Argumento que es compartido por el Instituto Nacional de Transparencia, Acceso a la Información y Protección de Datos Personales, INAI, conforme al criterio orientador 18/17, el cual refiere: </w:t>
      </w:r>
    </w:p>
    <w:p w:rsidR="004412E3" w:rsidRDefault="00804973">
      <w:pPr>
        <w:ind w:left="1134"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“Clave Única de Registro de Población (CURP). </w:t>
      </w:r>
      <w:r>
        <w:rPr>
          <w:rFonts w:ascii="Palatino Linotype" w:eastAsia="Palatino Linotype" w:hAnsi="Palatino Linotype" w:cs="Palatino Linotype"/>
          <w:i/>
          <w:iCs/>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4412E3" w:rsidRDefault="004412E3">
      <w:pPr>
        <w:ind w:right="333"/>
        <w:jc w:val="both"/>
        <w:rPr>
          <w:rFonts w:ascii="Palatino Linotype" w:eastAsia="Palatino Linotype" w:hAnsi="Palatino Linotype" w:cs="Palatino Linotype"/>
          <w:i/>
          <w:iCs/>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cuanto hace a la </w:t>
      </w:r>
      <w:r>
        <w:rPr>
          <w:rFonts w:ascii="Palatino Linotype" w:eastAsia="Palatino Linotype" w:hAnsi="Palatino Linotype" w:cs="Palatino Linotype"/>
          <w:b/>
          <w:bCs/>
        </w:rPr>
        <w:t>Clave de cualquier tipo de seguridad social (ISSEMyM, u otros</w:t>
      </w:r>
      <w:r>
        <w:rPr>
          <w:rFonts w:ascii="Palatino Linotype" w:eastAsia="Palatino Linotype" w:hAnsi="Palatino Linotype" w:cs="Palatino Linotype"/>
        </w:rPr>
        <w:t>), 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4412E3" w:rsidRDefault="004412E3">
      <w:pPr>
        <w:tabs>
          <w:tab w:val="left" w:pos="284"/>
        </w:tabs>
        <w:spacing w:line="360" w:lineRule="auto"/>
        <w:jc w:val="both"/>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Respecto de los </w:t>
      </w:r>
      <w:r>
        <w:rPr>
          <w:rFonts w:ascii="Palatino Linotype" w:eastAsia="Palatino Linotype" w:hAnsi="Palatino Linotype" w:cs="Palatino Linotype"/>
          <w:b/>
          <w:bCs/>
        </w:rPr>
        <w:t>préstamos o descuentos de carácter personal</w:t>
      </w:r>
      <w:r>
        <w:rPr>
          <w:rFonts w:ascii="Palatino Linotype" w:eastAsia="Palatino Linotype" w:hAnsi="Palatino Linotype" w:cs="Palatino Linotype"/>
        </w:rPr>
        <w:t>, estos no deben tener relación con la prestación del servicio; es decir, son confidenciales los préstamos o descuentos que se le hagan a la persona en los que no se involucren instituciones públicas, en virtud de no favorecer en la transparencia y rendición de cuentas, sino, por el contrario, con ello se violentaba la protección de información confidencial, porque incide en la intimidad de un individuo identificado.</w:t>
      </w:r>
    </w:p>
    <w:p w:rsidR="004412E3" w:rsidRDefault="004412E3">
      <w:pPr>
        <w:tabs>
          <w:tab w:val="left" w:pos="284"/>
        </w:tabs>
        <w:spacing w:line="360" w:lineRule="auto"/>
        <w:jc w:val="both"/>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 Con base en lo expuesto, se insiste que los datos mencionados, que como se ha dicho, deben ser clasificados como confidenciales por tratarse de información privada, toda vez que los datos personales son irrenunciables, intransferibles e indelegables, por lo tanto los sujetos obligados no deben hacer entrega de éstos a persona ajena a su titular, sobre todo cuando traiga implícita que se ponga en riesgo la vida o integridad de una persona.</w:t>
      </w:r>
    </w:p>
    <w:p w:rsidR="004412E3" w:rsidRDefault="004412E3">
      <w:pPr>
        <w:tabs>
          <w:tab w:val="left" w:pos="284"/>
        </w:tabs>
        <w:spacing w:line="360" w:lineRule="auto"/>
        <w:jc w:val="both"/>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Sirven de sustento a lo anterior, las tesis jurisprudenciales P. LX/2000 y 2a. XLIII/2008 emitidas por el Peno y la Segunda Sala de la Suprema Corte de Justicia de la Nación, respectivamente, que son del tenor literal siguiente:</w:t>
      </w:r>
    </w:p>
    <w:p w:rsidR="004412E3" w:rsidRDefault="00804973">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“DERECHO A LA INFORMACIÓN. SU EJERCICIO SE ENCUENTRA LIMITADO TANTO POR LOS INTERESES NACIONALES Y DE LA SOCIEDAD, COMO POR LOS DERECHOS DE TERCEROS. </w:t>
      </w:r>
      <w:r>
        <w:rPr>
          <w:rFonts w:ascii="Palatino Linotype" w:eastAsia="Palatino Linotype" w:hAnsi="Palatino Linotype" w:cs="Palatino Linotype"/>
          <w:i/>
          <w:iCs/>
        </w:rPr>
        <w:t xml:space="preserve">El derecho a la información consagrado en la última parte del artículo 6o. de la Constitución Federal no es absoluto, sino que, como toda garantía, se halla sujeto a limitaciones o excepciones que se sustentan, fundamentalmente, en la protección de la 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Pr>
          <w:rFonts w:ascii="Palatino Linotype" w:eastAsia="Palatino Linotype" w:hAnsi="Palatino Linotype" w:cs="Palatino Linotype"/>
          <w:b/>
          <w:bCs/>
          <w:i/>
          <w:iCs/>
        </w:rPr>
        <w:t>restringen el acceso a la información en esta materia, en razón de que su conocimiento público puede generar daños a los intereses nacionales y, por el otro, sancionan la inobservancia de esa reserva</w:t>
      </w:r>
      <w:r>
        <w:rPr>
          <w:rFonts w:ascii="Palatino Linotype" w:eastAsia="Palatino Linotype" w:hAnsi="Palatino Linotype" w:cs="Palatino Linotype"/>
          <w:i/>
          <w:iCs/>
        </w:rPr>
        <w:t xml:space="preserve">; por lo que hace al interés social, se cuenta con normas que tienden a proteger la averiguación de los delitos, la salud y la moral públicas, </w:t>
      </w:r>
      <w:r>
        <w:rPr>
          <w:rFonts w:ascii="Palatino Linotype" w:eastAsia="Palatino Linotype" w:hAnsi="Palatino Linotype" w:cs="Palatino Linotype"/>
          <w:b/>
          <w:bCs/>
          <w:i/>
          <w:iCs/>
        </w:rPr>
        <w:t>mientras que por lo que respecta a la protección de la persona existen normas que protegen el derecho a la vida o a la privacidad de los gobernados</w:t>
      </w:r>
      <w:r>
        <w:rPr>
          <w:rFonts w:ascii="Palatino Linotype" w:eastAsia="Palatino Linotype" w:hAnsi="Palatino Linotype" w:cs="Palatino Linotype"/>
          <w:i/>
          <w:iCs/>
        </w:rPr>
        <w:t>.”</w:t>
      </w:r>
    </w:p>
    <w:p w:rsidR="004412E3" w:rsidRDefault="004412E3">
      <w:pPr>
        <w:ind w:left="567" w:right="-858"/>
        <w:jc w:val="both"/>
        <w:rPr>
          <w:rFonts w:ascii="Palatino Linotype" w:eastAsia="Palatino Linotype" w:hAnsi="Palatino Linotype" w:cs="Palatino Linotype"/>
          <w:i/>
          <w:iCs/>
        </w:rPr>
      </w:pPr>
    </w:p>
    <w:p w:rsidR="004412E3" w:rsidRDefault="00804973">
      <w:pPr>
        <w:ind w:left="567" w:right="-858"/>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“TRANSPARENCIA Y ACCESO A LA INFORMACIÓN PÚBLICA GUBERNAMENTAL. EL ARTÍCULO 14, FRACCIÓN I, DE LA LEY FEDERAL RELATIVA, NO VIOLA LA GARANTÍA DE ACCESO A LA INFORMACIÓN. </w:t>
      </w:r>
      <w:r>
        <w:rPr>
          <w:rFonts w:ascii="Palatino Linotype" w:eastAsia="Palatino Linotype" w:hAnsi="Palatino Linotype" w:cs="Palatino Linotype"/>
          <w:i/>
          <w:iCs/>
        </w:rPr>
        <w:t xml:space="preserve">El Tribunal en Pleno de la Suprema Corte de Justicia de la Nación en la tesis P. LX/2000 de rubro: </w:t>
      </w:r>
      <w:r>
        <w:rPr>
          <w:rFonts w:ascii="Palatino Linotype" w:eastAsia="Palatino Linotype" w:hAnsi="Palatino Linotype" w:cs="Palatino Linotype"/>
          <w:i/>
          <w:iCs/>
        </w:rPr>
        <w:lastRenderedPageBreak/>
        <w:t xml:space="preserve">"DERECHO A LA INFORMACIÓN. SU EJERCICIO SE ENCUENTRA LIMITADO TANTO POR LOS 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de la sociedad y 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Pr>
          <w:rFonts w:ascii="Palatino Linotype" w:eastAsia="Palatino Linotype" w:hAnsi="Palatino Linotype" w:cs="Palatino Linotype"/>
          <w:b/>
          <w:bCs/>
          <w:i/>
          <w:iCs/>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Pr>
          <w:rFonts w:ascii="Palatino Linotype" w:eastAsia="Palatino Linotype" w:hAnsi="Palatino Linotype" w:cs="Palatino Linotype"/>
          <w:i/>
          <w:iCs/>
        </w:rPr>
        <w:t xml:space="preserve"> la cual debe ser adecuada y necesaria para alcanzar el fin perseguido, de manera que las ventajas obtenidas con la reserva compensen el sacrificio que ésta implique para los titulares de la garantía individual mencionada o para la sociedad en general.”</w:t>
      </w:r>
    </w:p>
    <w:p w:rsidR="004412E3" w:rsidRDefault="004412E3">
      <w:pPr>
        <w:ind w:left="1134" w:right="-929"/>
        <w:jc w:val="both"/>
        <w:rPr>
          <w:rFonts w:ascii="Palatino Linotype" w:eastAsia="Palatino Linotype" w:hAnsi="Palatino Linotype" w:cs="Palatino Linotype"/>
          <w:i/>
          <w:iCs/>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También, el </w:t>
      </w:r>
      <w:r>
        <w:rPr>
          <w:rFonts w:ascii="Palatino Linotype" w:eastAsia="Palatino Linotype" w:hAnsi="Palatino Linotype" w:cs="Palatino Linotype"/>
          <w:b/>
          <w:bCs/>
        </w:rPr>
        <w:t>número de cuenta bancario</w:t>
      </w:r>
      <w:r>
        <w:rPr>
          <w:rFonts w:ascii="Palatino Linotype" w:eastAsia="Palatino Linotype" w:hAnsi="Palatino Linotype" w:cs="Palatino Linotype"/>
        </w:rPr>
        <w:t>, conforme al el Criterio orientador 10/17 emitido por el Pleno del Instituto Nacional de Transparencia, Acceso a la Información y Protección de Datos Personales se establece lo siguiente:</w:t>
      </w:r>
    </w:p>
    <w:p w:rsidR="004412E3" w:rsidRDefault="00804973">
      <w:pPr>
        <w:shd w:val="clear" w:color="auto" w:fill="FFFFFF"/>
        <w:ind w:left="567" w:right="-716"/>
        <w:jc w:val="both"/>
        <w:rPr>
          <w:rFonts w:ascii="Palatino Linotype" w:eastAsia="Palatino Linotype" w:hAnsi="Palatino Linotype" w:cs="Palatino Linotype"/>
        </w:rPr>
      </w:pPr>
      <w:r>
        <w:rPr>
          <w:rFonts w:ascii="Palatino Linotype" w:eastAsia="Palatino Linotype" w:hAnsi="Palatino Linotype" w:cs="Palatino Linotype"/>
        </w:rPr>
        <w:t>“</w:t>
      </w:r>
      <w:r>
        <w:rPr>
          <w:rFonts w:ascii="Palatino Linotype" w:eastAsia="Palatino Linotype" w:hAnsi="Palatino Linotype" w:cs="Palatino Linotype"/>
          <w:b/>
          <w:bCs/>
          <w:i/>
          <w:iCs/>
        </w:rPr>
        <w:t>Cuentas bancarias y/o CLABE interbancaria de personas físicas y morales privadas.</w:t>
      </w:r>
      <w:r>
        <w:rPr>
          <w:rFonts w:ascii="Palatino Linotype" w:eastAsia="Palatino Linotype" w:hAnsi="Palatino Linotype" w:cs="Palatino Linotype"/>
          <w:i/>
          <w:iCs/>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r>
        <w:rPr>
          <w:rFonts w:ascii="Palatino Linotype" w:eastAsia="Palatino Linotype" w:hAnsi="Palatino Linotype" w:cs="Palatino Linotype"/>
        </w:rPr>
        <w:t>.”</w:t>
      </w:r>
    </w:p>
    <w:p w:rsidR="004412E3" w:rsidRDefault="004412E3">
      <w:pPr>
        <w:ind w:left="1134" w:right="-929"/>
        <w:jc w:val="both"/>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Esta cuenta es de uso personal y no guarda relación con el servicio público ni con los recursos públicos, ya que es elección del trabajador determinar si desea que su sueldo se pague </w:t>
      </w:r>
      <w:r>
        <w:rPr>
          <w:rFonts w:ascii="Palatino Linotype" w:eastAsia="Palatino Linotype" w:hAnsi="Palatino Linotype" w:cs="Palatino Linotype"/>
        </w:rPr>
        <w:lastRenderedPageBreak/>
        <w:t>de manera directa o a través de depósito bancario en la institución de crédito de su elección. De tal suerte, el número de cuenta bancario lo proporciona el servidor público o empleado al Sujeto Obligado, con el único fin de que realicen los depósitos de su sueldo, por lo que este número constituye información confidencial al pertenecer exclusivamente al ámbito de la vida privada del trabajador y procede su eliminación de conformidad con el artículo 143, fracción I de la Ley de Transparencia y Acceso a la Información Pública del Estado de México y Municipios.</w:t>
      </w:r>
    </w:p>
    <w:p w:rsidR="004412E3" w:rsidRDefault="004412E3">
      <w:pPr>
        <w:spacing w:line="360" w:lineRule="auto"/>
        <w:jc w:val="both"/>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b/>
          <w:bCs/>
        </w:rPr>
        <w:t>Código de barras bidimensional (QR</w:t>
      </w:r>
      <w:r>
        <w:rPr>
          <w:rFonts w:ascii="Palatino Linotype" w:eastAsia="Palatino Linotype" w:hAnsi="Palatino Linotype" w:cs="Palatino Linotype"/>
        </w:rPr>
        <w:t xml:space="preserve">), resulta necesario señalar que los comprobantes fiscales digitales por Internet, deben de incluir un código bidimensional conforme al formato QR Code (Quick Response Code), el cual contiene el Registro Federal de Contribuyentes del receptor, del emisor, o de ambos; lo anterior, conforme al Anexo 20 de la Resolución Miscelánea Fiscal para 2022, localizada en la página electrónica  </w:t>
      </w:r>
      <w:hyperlink r:id="rId9">
        <w:r>
          <w:rPr>
            <w:rFonts w:ascii="Palatino Linotype" w:eastAsia="Palatino Linotype" w:hAnsi="Palatino Linotype" w:cs="Palatino Linotype"/>
            <w:color w:val="0563C1"/>
            <w:u w:val="single"/>
          </w:rPr>
          <w:t>http://omawww.sat.gob.mx/tramitesyservicios/paginas/documentos/anexo20_2022.pdf</w:t>
        </w:r>
      </w:hyperlink>
      <w:r>
        <w:rPr>
          <w:rFonts w:ascii="Palatino Linotype" w:eastAsia="Palatino Linotype" w:hAnsi="Palatino Linotype" w:cs="Palatino Linotype"/>
        </w:rPr>
        <w:t xml:space="preserve"> . Incluso con la captura de dicho código, a través de la aplicación móvil del Servicio de Administración Tributaria, permite el acceso al Registro Federal de Contribuyentes, como del Sujeto Obligado, como de la persona física o moral correspondiente.</w:t>
      </w:r>
    </w:p>
    <w:p w:rsidR="004412E3" w:rsidRDefault="004412E3">
      <w:pPr>
        <w:tabs>
          <w:tab w:val="left" w:pos="284"/>
        </w:tabs>
        <w:spacing w:line="360" w:lineRule="auto"/>
        <w:ind w:right="-1071"/>
        <w:jc w:val="both"/>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tales circunstancias, se considera que </w:t>
      </w:r>
      <w:r>
        <w:rPr>
          <w:rFonts w:ascii="Palatino Linotype" w:eastAsia="Palatino Linotype" w:hAnsi="Palatino Linotype" w:cs="Palatino Linotype"/>
          <w:b/>
          <w:bCs/>
        </w:rPr>
        <w:t>se actualiza la causal de clasificación</w:t>
      </w:r>
      <w:r>
        <w:rPr>
          <w:rFonts w:ascii="Palatino Linotype" w:eastAsia="Palatino Linotype" w:hAnsi="Palatino Linotype" w:cs="Palatino Linotype"/>
        </w:rPr>
        <w:t xml:space="preserve"> prevista en el artículo </w:t>
      </w:r>
      <w:r>
        <w:rPr>
          <w:rFonts w:ascii="Palatino Linotype" w:eastAsia="Palatino Linotype" w:hAnsi="Palatino Linotype" w:cs="Palatino Linotype"/>
          <w:b/>
          <w:bCs/>
        </w:rPr>
        <w:t>143</w:t>
      </w:r>
      <w:r>
        <w:rPr>
          <w:rFonts w:ascii="Palatino Linotype" w:eastAsia="Palatino Linotype" w:hAnsi="Palatino Linotype" w:cs="Palatino Linotype"/>
        </w:rPr>
        <w:t>, fracción I de la Ley de la materia, toda vez que el Registro Federal de Contribuyentes corresponde a los servidores públicos, pues como se señaló en párrafos anteriores el mismo hace identificable o identificada al mismo.</w:t>
      </w:r>
    </w:p>
    <w:p w:rsidR="004412E3" w:rsidRDefault="004412E3">
      <w:pPr>
        <w:tabs>
          <w:tab w:val="left" w:pos="284"/>
        </w:tabs>
        <w:spacing w:line="360" w:lineRule="auto"/>
        <w:jc w:val="both"/>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Por</w:t>
      </w:r>
      <w:r>
        <w:rPr>
          <w:rFonts w:ascii="Palatino Linotype" w:eastAsia="Palatino Linotype" w:hAnsi="Palatino Linotype" w:cs="Palatino Linotype"/>
        </w:rPr>
        <w:t xml:space="preserve"> otra parte y respecto a la </w:t>
      </w:r>
      <w:r>
        <w:rPr>
          <w:rFonts w:ascii="Palatino Linotype" w:eastAsia="Palatino Linotype" w:hAnsi="Palatino Linotype" w:cs="Palatino Linotype"/>
          <w:b/>
          <w:bCs/>
        </w:rPr>
        <w:t>clave de seguridad social y en su caso clave o número del servidor público –trabajador</w:t>
      </w:r>
      <w:r>
        <w:rPr>
          <w:rFonts w:ascii="Palatino Linotype" w:eastAsia="Palatino Linotype" w:hAnsi="Palatino Linotype" w:cs="Palatino Linotype"/>
        </w:rPr>
        <w:t>-, en virtud de que su divulgación no aporta a la transparencia o a la rendición de cuentas y sí provoca una transgresión a la vida privada e intimidad de la persona, esta información también resulta ser de carácter confidencial; siendo aplicable como orientador el criterio orientador número 15/10 emitido por el entonces Instituto Federal de Transparencia y Acceso a la Información (INAI), cuyo texto y sentido literal es el siguiente:</w:t>
      </w:r>
    </w:p>
    <w:p w:rsidR="004412E3" w:rsidRDefault="00804973">
      <w:pPr>
        <w:shd w:val="clear" w:color="auto" w:fill="FFFFFF"/>
        <w:tabs>
          <w:tab w:val="left" w:pos="7938"/>
        </w:tabs>
        <w:ind w:left="567" w:right="-716"/>
        <w:jc w:val="both"/>
        <w:rPr>
          <w:rFonts w:ascii="Palatino Linotype" w:eastAsia="Palatino Linotype" w:hAnsi="Palatino Linotype" w:cs="Palatino Linotype"/>
          <w:i/>
          <w:iCs/>
          <w:color w:val="222222"/>
        </w:rPr>
      </w:pPr>
      <w:r>
        <w:rPr>
          <w:rFonts w:ascii="Palatino Linotype" w:eastAsia="Palatino Linotype" w:hAnsi="Palatino Linotype" w:cs="Palatino Linotype"/>
          <w:b/>
          <w:bCs/>
          <w:i/>
          <w:iCs/>
          <w:color w:val="222222"/>
        </w:rPr>
        <w:t>“El número de ficha de identificación única de los trabajadores es información de carácter confidencial.</w:t>
      </w:r>
      <w:r>
        <w:rPr>
          <w:rFonts w:ascii="Palatino Linotype" w:eastAsia="Palatino Linotype" w:hAnsi="Palatino Linotype" w:cs="Palatino Linotype"/>
          <w:i/>
          <w:iCs/>
          <w:color w:val="222222"/>
        </w:rPr>
        <w:t> </w:t>
      </w:r>
      <w:r>
        <w:rPr>
          <w:rFonts w:ascii="Palatino Linotype" w:eastAsia="Palatino Linotype" w:hAnsi="Palatino Linotype" w:cs="Palatino Linotype"/>
          <w:i/>
          <w:iCs/>
          <w:color w:val="222222"/>
          <w:u w:val="single"/>
        </w:rPr>
        <w:t>En los casos en que el número de trabajador o ficha de identificación única constituya un elemento por medio del cual los trabajadores puedan acceder a un sistema de datos o información de la dependencia o entidad, para hacer uso de diversos servicios, como la presentación de consultas relacionadas con su situación laboral particular</w:t>
      </w:r>
      <w:r>
        <w:rPr>
          <w:rFonts w:ascii="Palatino Linotype" w:eastAsia="Palatino Linotype" w:hAnsi="Palatino Linotype" w:cs="Palatino Linotype"/>
          <w:i/>
          <w:iCs/>
          <w:color w:val="222222"/>
        </w:rPr>
        <w:t>, </w:t>
      </w:r>
      <w:r>
        <w:rPr>
          <w:rFonts w:ascii="Palatino Linotype" w:eastAsia="Palatino Linotype" w:hAnsi="Palatino Linotype" w:cs="Palatino Linotype"/>
          <w:i/>
          <w:iCs/>
          <w:color w:val="222222"/>
          <w:u w:val="single"/>
        </w:rPr>
        <w:t>dicha información es susceptible de clasificarse con el carácter de confidencial</w:t>
      </w:r>
      <w:r>
        <w:rPr>
          <w:rFonts w:ascii="Palatino Linotype" w:eastAsia="Palatino Linotype" w:hAnsi="Palatino Linotype" w:cs="Palatino Linotype"/>
          <w:i/>
          <w:iCs/>
          <w:color w:val="222222"/>
        </w:rPr>
        <w:t>, en términos de lo establecido en el artículo 18, fracción II de la Ley Federal de Transparencia y Acceso a la Información Pública Gubernamental, en virtud de que a través de la misma es posible conocer información personal de su titular.”</w:t>
      </w:r>
    </w:p>
    <w:p w:rsidR="004412E3" w:rsidRDefault="004412E3">
      <w:pPr>
        <w:shd w:val="clear" w:color="auto" w:fill="FFFFFF"/>
        <w:ind w:right="541"/>
        <w:jc w:val="both"/>
        <w:rPr>
          <w:rFonts w:ascii="Palatino Linotype" w:eastAsia="Palatino Linotype" w:hAnsi="Palatino Linotype" w:cs="Palatino Linotype"/>
          <w:i/>
          <w:iCs/>
          <w:color w:val="222222"/>
        </w:rPr>
      </w:pPr>
    </w:p>
    <w:p w:rsidR="004412E3" w:rsidRDefault="004412E3">
      <w:pPr>
        <w:shd w:val="clear" w:color="auto" w:fill="FFFFFF"/>
        <w:ind w:left="1134" w:right="1106"/>
        <w:jc w:val="both"/>
        <w:rPr>
          <w:rFonts w:ascii="Palatino Linotype" w:eastAsia="Palatino Linotype" w:hAnsi="Palatino Linotype" w:cs="Palatino Linotype"/>
          <w:i/>
          <w:iCs/>
          <w:color w:val="222222"/>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también es necesario indicar que </w:t>
      </w:r>
      <w:r>
        <w:rPr>
          <w:rFonts w:ascii="Palatino Linotype" w:eastAsia="Palatino Linotype" w:hAnsi="Palatino Linotype" w:cs="Palatino Linotype"/>
          <w:b/>
          <w:bCs/>
        </w:rPr>
        <w:t>hay información</w:t>
      </w:r>
      <w:r>
        <w:rPr>
          <w:rFonts w:ascii="Palatino Linotype" w:eastAsia="Palatino Linotype" w:hAnsi="Palatino Linotype" w:cs="Palatino Linotype"/>
        </w:rPr>
        <w:t xml:space="preserve"> dentro de los recibos de nómina </w:t>
      </w:r>
      <w:r>
        <w:rPr>
          <w:rFonts w:ascii="Palatino Linotype" w:eastAsia="Palatino Linotype" w:hAnsi="Palatino Linotype" w:cs="Palatino Linotype"/>
          <w:b/>
          <w:bCs/>
        </w:rPr>
        <w:t xml:space="preserve">que </w:t>
      </w:r>
      <w:r>
        <w:rPr>
          <w:rFonts w:ascii="Palatino Linotype" w:eastAsia="Palatino Linotype" w:hAnsi="Palatino Linotype" w:cs="Palatino Linotype"/>
          <w:b/>
          <w:bCs/>
          <w:u w:val="single"/>
        </w:rPr>
        <w:t>no contienen datos personales</w:t>
      </w:r>
      <w:r>
        <w:rPr>
          <w:rFonts w:ascii="Palatino Linotype" w:eastAsia="Palatino Linotype" w:hAnsi="Palatino Linotype" w:cs="Palatino Linotype"/>
        </w:rPr>
        <w:t xml:space="preserve">, mismos que deberá tener en cuenta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para el entrega de los recibos de nómina que se ordenan en el presente recurso de revisión.</w:t>
      </w:r>
    </w:p>
    <w:p w:rsidR="004412E3" w:rsidRDefault="004412E3">
      <w:pPr>
        <w:tabs>
          <w:tab w:val="left" w:pos="284"/>
        </w:tabs>
        <w:jc w:val="both"/>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Por cuanto hace al</w:t>
      </w:r>
      <w:r>
        <w:rPr>
          <w:rFonts w:ascii="Palatino Linotype" w:eastAsia="Palatino Linotype" w:hAnsi="Palatino Linotype" w:cs="Palatino Linotype"/>
          <w:b/>
          <w:bCs/>
        </w:rPr>
        <w:t xml:space="preserve"> Folio Fiscal</w:t>
      </w:r>
      <w:r>
        <w:rPr>
          <w:rFonts w:ascii="Palatino Linotype" w:eastAsia="Palatino Linotype" w:hAnsi="Palatino Linotype" w:cs="Palatino Linotype"/>
        </w:rPr>
        <w:t xml:space="preserve">, cabe precisar que conforme a la Resolución Miscelánea Fiscal para 2025, el folio fiscal es un dato que deben contener los CDFI por concepto de nómina. Dicho dato es un identificador individual de cada factura o comprobante electrónico. El objetivo del Folio es prevenir los fraudes o falsificaciones, ya que contiene códigos o claves únicas de cada comprobante fiscal, de tal manera que se puede comprobar si la factura fue </w:t>
      </w:r>
      <w:r>
        <w:rPr>
          <w:rFonts w:ascii="Palatino Linotype" w:eastAsia="Palatino Linotype" w:hAnsi="Palatino Linotype" w:cs="Palatino Linotype"/>
        </w:rPr>
        <w:lastRenderedPageBreak/>
        <w:t>certificada por el SAT. El Folio Fiscal está compuesto por 32 dígitos hexadecimales, mostrados en 5 grupos separados por guiones.</w:t>
      </w:r>
    </w:p>
    <w:p w:rsidR="004412E3" w:rsidRDefault="004412E3">
      <w:pPr>
        <w:jc w:val="both"/>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La Guía de llenado del comprobante del recibo de pago de nómina y su complemento Aplicable para la versión 4.0 del CFDI y el complemento de nómina versión 1.2. muestra la Representación gráfica del CFDI por concepto de nómina en donde se aprecia el Folio Fiscal:</w:t>
      </w:r>
    </w:p>
    <w:p w:rsidR="004412E3" w:rsidRDefault="00804973">
      <w:pPr>
        <w:jc w:val="center"/>
        <w:rPr>
          <w:rFonts w:ascii="Palatino Linotype" w:eastAsia="Palatino Linotype" w:hAnsi="Palatino Linotype" w:cs="Palatino Linotype"/>
        </w:rPr>
      </w:pPr>
      <w:r>
        <w:rPr>
          <w:rFonts w:ascii="Palatino Linotype" w:eastAsia="Palatino Linotype" w:hAnsi="Palatino Linotype" w:cs="Palatino Linotype"/>
          <w:noProof/>
          <w:lang w:val="es-MX"/>
        </w:rPr>
        <w:drawing>
          <wp:inline distT="0" distB="0" distL="0" distR="0">
            <wp:extent cx="4513132" cy="815998"/>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4513132" cy="815998"/>
                    </a:xfrm>
                    <a:prstGeom prst="rect">
                      <a:avLst/>
                    </a:prstGeom>
                    <a:ln/>
                  </pic:spPr>
                </pic:pic>
              </a:graphicData>
            </a:graphic>
          </wp:inline>
        </w:drawing>
      </w:r>
    </w:p>
    <w:p w:rsidR="004412E3" w:rsidRDefault="004412E3">
      <w:pPr>
        <w:jc w:val="center"/>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El Anexo 20 Guía de llenado de los comprobantes fiscales digitales por Internet, actualizado al 08 de marzo del 2023, señala que se debe registrar el folio fiscal (UUID) de un comprobante fiscal relacionado con el presente comprobante. Ejemplo: UUID= 5FB2822E-396D-4725-8521-CDC4BDD20CCF</w:t>
      </w:r>
    </w:p>
    <w:p w:rsidR="004412E3" w:rsidRDefault="004412E3">
      <w:pPr>
        <w:spacing w:line="360" w:lineRule="auto"/>
        <w:ind w:right="-787"/>
        <w:jc w:val="both"/>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En ese contexto, el folio fiscal, no contiene datos personales y tampoco se puede obtener información confidencial con el mismo, pues solamente es un identificador del emisor, del cual su transparencia ayuda a legitimar que el documento cumple con todos los requisitos establecidos en la normatividad aplicable, sin necesidad de algún dato personal, por lo que, no se actualiza la clasificación, en términos del artículo 143, fracción I de la Ley de la materia.</w:t>
      </w:r>
    </w:p>
    <w:p w:rsidR="004412E3" w:rsidRDefault="004412E3">
      <w:pPr>
        <w:spacing w:line="360" w:lineRule="auto"/>
        <w:ind w:right="-929"/>
        <w:jc w:val="both"/>
        <w:rPr>
          <w:rFonts w:ascii="Palatino Linotype" w:eastAsia="Palatino Linotype" w:hAnsi="Palatino Linotype" w:cs="Palatino Linotype"/>
          <w:b/>
          <w:bCs/>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En esa línea de estudio,</w:t>
      </w:r>
      <w:r>
        <w:rPr>
          <w:rFonts w:ascii="Palatino Linotype" w:eastAsia="Palatino Linotype" w:hAnsi="Palatino Linotype" w:cs="Palatino Linotype"/>
          <w:b/>
          <w:bCs/>
        </w:rPr>
        <w:t xml:space="preserve"> las cadenas originales y sellos digitales</w:t>
      </w:r>
      <w:r>
        <w:rPr>
          <w:rFonts w:ascii="Palatino Linotype" w:eastAsia="Palatino Linotype" w:hAnsi="Palatino Linotype" w:cs="Palatino Linotype"/>
        </w:rPr>
        <w:t>, tienen una secuencia de generación, determinados con base en el Anexo 20 de la Resolución Miscelánea Fiscal para 2022, que precisa los datos de los que se componen los elementos de seguridad y se puntualiza que dicha información está encriptada.</w:t>
      </w:r>
    </w:p>
    <w:p w:rsidR="004412E3" w:rsidRDefault="00804973">
      <w:pPr>
        <w:ind w:left="1134" w:right="-220"/>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“Elementos utilizados en la generación de Sellos Digitales:</w:t>
      </w:r>
    </w:p>
    <w:p w:rsidR="004412E3" w:rsidRDefault="00804973">
      <w:pPr>
        <w:ind w:left="1134"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i/>
          <w:iCs/>
        </w:rPr>
        <w:tab/>
        <w:t>Cadena Original del elemento a sellar.</w:t>
      </w:r>
    </w:p>
    <w:p w:rsidR="004412E3" w:rsidRDefault="00804973">
      <w:pPr>
        <w:ind w:left="1134"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i/>
          <w:iCs/>
        </w:rPr>
        <w:tab/>
        <w:t>Certificado de Sello Digital y su correspondiente clave privada.</w:t>
      </w:r>
    </w:p>
    <w:p w:rsidR="004412E3" w:rsidRDefault="00804973">
      <w:pPr>
        <w:ind w:left="1134"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i/>
          <w:iCs/>
        </w:rPr>
        <w:tab/>
        <w:t>Algoritmos de criptografía de clave pública para firma electrónica avanzada.</w:t>
      </w:r>
    </w:p>
    <w:p w:rsidR="004412E3" w:rsidRDefault="00804973">
      <w:pPr>
        <w:ind w:left="1134"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i/>
          <w:iCs/>
        </w:rPr>
        <w:tab/>
        <w:t>Especificaciones de conversión de la firma electrónica avanzada a Base 64.</w:t>
      </w:r>
    </w:p>
    <w:p w:rsidR="004412E3" w:rsidRDefault="00804973">
      <w:pPr>
        <w:ind w:left="1134" w:right="-220"/>
        <w:jc w:val="both"/>
        <w:rPr>
          <w:rFonts w:ascii="Palatino Linotype" w:eastAsia="Palatino Linotype" w:hAnsi="Palatino Linotype" w:cs="Palatino Linotype"/>
          <w:i/>
          <w:iCs/>
        </w:rPr>
      </w:pPr>
      <w:r>
        <w:rPr>
          <w:rFonts w:ascii="Palatino Linotype" w:eastAsia="Palatino Linotype" w:hAnsi="Palatino Linotype" w:cs="Palatino Linotype"/>
          <w:i/>
          <w:iCs/>
        </w:rPr>
        <w:t>Para la generación de sellos digitales se utiliza criptografía de clave pública aplicada a una cadena original.</w:t>
      </w:r>
    </w:p>
    <w:p w:rsidR="004412E3" w:rsidRDefault="00804973">
      <w:pPr>
        <w:ind w:left="1134"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Criptografía de la Clave Pública</w:t>
      </w:r>
    </w:p>
    <w:p w:rsidR="004412E3" w:rsidRDefault="00804973">
      <w:pPr>
        <w:ind w:left="1134" w:right="-220"/>
        <w:jc w:val="both"/>
        <w:rPr>
          <w:rFonts w:ascii="Palatino Linotype" w:eastAsia="Palatino Linotype" w:hAnsi="Palatino Linotype" w:cs="Palatino Linotype"/>
          <w:i/>
          <w:iCs/>
        </w:rPr>
      </w:pPr>
      <w:r>
        <w:rPr>
          <w:rFonts w:ascii="Palatino Linotype" w:eastAsia="Palatino Linotype" w:hAnsi="Palatino Linotype" w:cs="Palatino Linotype"/>
          <w:i/>
          <w:iCs/>
        </w:rPr>
        <w:t>La criptografía de Clave Pública se basa en la generación de una pareja de números muy grandes relacionados entre sí, de tal manera que una operación de encripción sobre un mensaje tomando como clave de encripción a uno de los dos números, produce un mensaje alterado en su significado que sólo puede ser devuelto a su estado original mediante la operación de desencripción correspondiente tomando como clave de desencripción al otro número de la pareja.”</w:t>
      </w:r>
    </w:p>
    <w:p w:rsidR="004412E3" w:rsidRDefault="004412E3">
      <w:pPr>
        <w:ind w:left="1134" w:right="-1071"/>
        <w:jc w:val="both"/>
        <w:rPr>
          <w:rFonts w:ascii="Palatino Linotype" w:eastAsia="Palatino Linotype" w:hAnsi="Palatino Linotype" w:cs="Palatino Linotype"/>
          <w:i/>
          <w:iCs/>
        </w:rPr>
      </w:pPr>
    </w:p>
    <w:p w:rsidR="004412E3" w:rsidRDefault="004412E3">
      <w:pPr>
        <w:ind w:right="-1071"/>
        <w:jc w:val="both"/>
        <w:rPr>
          <w:rFonts w:ascii="Palatino Linotype" w:eastAsia="Palatino Linotype" w:hAnsi="Palatino Linotype" w:cs="Palatino Linotype"/>
          <w:i/>
          <w:iCs/>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Es decir, por sí solos </w:t>
      </w:r>
      <w:r>
        <w:rPr>
          <w:rFonts w:ascii="Palatino Linotype" w:eastAsia="Palatino Linotype" w:hAnsi="Palatino Linotype" w:cs="Palatino Linotype"/>
          <w:b/>
          <w:bCs/>
        </w:rPr>
        <w:t>las cadenas originales y los sellos originales no contienen datos personales confidenciales</w:t>
      </w:r>
      <w:r>
        <w:rPr>
          <w:rFonts w:ascii="Palatino Linotype" w:eastAsia="Palatino Linotype" w:hAnsi="Palatino Linotype" w:cs="Palatino Linotype"/>
        </w:rPr>
        <w:t>, por lo que se considera que no actualizan el supuesto de confidencialidad previsto en el artículo 143, fracción I, de la Ley de Transparencia y Acceso a la Información Pública del Estado de México y Municipios y, por el contrario, son información que permite corroborar la legitimidad de la factura, de ser el caso, por lo que guardan el carácter de público.</w:t>
      </w:r>
    </w:p>
    <w:p w:rsidR="004412E3" w:rsidRDefault="004412E3">
      <w:pPr>
        <w:pBdr>
          <w:top w:val="nil"/>
          <w:left w:val="nil"/>
          <w:bottom w:val="nil"/>
          <w:right w:val="nil"/>
          <w:between w:val="nil"/>
        </w:pBdr>
        <w:spacing w:line="360" w:lineRule="auto"/>
        <w:ind w:right="-1071"/>
        <w:jc w:val="both"/>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Cabe señalar que, en algunos casos, las cadenas originales y sellos digitales, se pueden conformar de datos confidenciales, tales como el Registro Federal de Contribuyentes o la Clave Única de Registro de Población o las deducciones personales; por lo que, en su caso actualizarán actualiza la clasificación, en términos del artículo 143, fracción I, de la Ley de la materia.</w:t>
      </w:r>
    </w:p>
    <w:p w:rsidR="004412E3" w:rsidRDefault="004412E3">
      <w:pPr>
        <w:spacing w:line="360" w:lineRule="auto"/>
        <w:ind w:right="-1071"/>
        <w:jc w:val="both"/>
        <w:rPr>
          <w:rFonts w:ascii="Palatino Linotype" w:eastAsia="Palatino Linotype" w:hAnsi="Palatino Linotype" w:cs="Palatino Linotype"/>
          <w:b/>
          <w:bCs/>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Por otra parte, por lo que hace al </w:t>
      </w:r>
      <w:r>
        <w:rPr>
          <w:rFonts w:ascii="Palatino Linotype" w:eastAsia="Palatino Linotype" w:hAnsi="Palatino Linotype" w:cs="Palatino Linotype"/>
          <w:b/>
          <w:bCs/>
        </w:rPr>
        <w:t>número de serie de los certificados de Sello Digitales del emisor y del Servicio de Administración Tributaria</w:t>
      </w:r>
      <w:r>
        <w:rPr>
          <w:rFonts w:ascii="Palatino Linotype" w:eastAsia="Palatino Linotype" w:hAnsi="Palatino Linotype" w:cs="Palatino Linotype"/>
        </w:rPr>
        <w:t>, el Anexo 20 de la Resolución Miscelánea Fiscal para 2022, precisa que es un atributo requerido para expresar el número de serie del certificado de sello digital que ampara al comprobante, de acuerdo con el acuse correspondiente a 20 posiciones otorgado por el sistema del SAT.</w:t>
      </w:r>
    </w:p>
    <w:p w:rsidR="004412E3" w:rsidRDefault="004412E3">
      <w:pPr>
        <w:spacing w:line="360" w:lineRule="auto"/>
        <w:ind w:right="-787"/>
        <w:jc w:val="both"/>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Cómo se logra observar, </w:t>
      </w:r>
      <w:r>
        <w:rPr>
          <w:rFonts w:ascii="Palatino Linotype" w:eastAsia="Palatino Linotype" w:hAnsi="Palatino Linotype" w:cs="Palatino Linotype"/>
          <w:b/>
          <w:bCs/>
        </w:rPr>
        <w:t>los números de serie del certificado de sello digital no contiene datos personales</w:t>
      </w:r>
      <w:r>
        <w:rPr>
          <w:rFonts w:ascii="Palatino Linotype" w:eastAsia="Palatino Linotype" w:hAnsi="Palatino Linotype" w:cs="Palatino Linotype"/>
        </w:rPr>
        <w:t xml:space="preserve"> y con dichos dígitos tampoco se puede obtener información de carácter confidencial, por lo que, tampoco actualizan la causal de clasificación, establecida en el artículo 143, fracción I, de la Ley de Transparencia y Acceso a la Información Pública del Estado de México y Municipios. Máxime que permite corroborar la legitimidad a la factura, pues amparan la utilización de los certificados de sellos digitales válidos.</w:t>
      </w:r>
    </w:p>
    <w:p w:rsidR="004412E3" w:rsidRDefault="004412E3">
      <w:pPr>
        <w:pBdr>
          <w:top w:val="nil"/>
          <w:left w:val="nil"/>
          <w:bottom w:val="nil"/>
          <w:right w:val="nil"/>
          <w:between w:val="nil"/>
        </w:pBdr>
        <w:spacing w:line="360" w:lineRule="auto"/>
        <w:ind w:right="-1071"/>
        <w:jc w:val="both"/>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por lo que hace al </w:t>
      </w:r>
      <w:r>
        <w:rPr>
          <w:rFonts w:ascii="Palatino Linotype" w:eastAsia="Palatino Linotype" w:hAnsi="Palatino Linotype" w:cs="Palatino Linotype"/>
          <w:b/>
          <w:bCs/>
        </w:rPr>
        <w:t>número de serie y folio interno</w:t>
      </w:r>
      <w:r>
        <w:rPr>
          <w:rFonts w:ascii="Palatino Linotype" w:eastAsia="Palatino Linotype" w:hAnsi="Palatino Linotype" w:cs="Palatino Linotype"/>
        </w:rPr>
        <w:t>, la Guía de llenado del CFDI global versión 4.0 del CFDI, emitida por el Servicio de Administración Tributaria prevé́ que es el número que utiliza el contribuyente para control interno de su información; mientras que el segundo es el número de control que se le asigna al comprobante; por lo que no se advierte que contenga datos confidenciales de los servidores públicos y por lo tanto, no actualizan la causal de clasificación establecida en el artículo 143, fracción I, de la Ley de Transparencia y Acceso a la Información Pública del Estado de México y Municipios.</w:t>
      </w:r>
    </w:p>
    <w:p w:rsidR="004412E3" w:rsidRDefault="004412E3">
      <w:pPr>
        <w:spacing w:line="360" w:lineRule="auto"/>
        <w:ind w:right="-1071"/>
        <w:jc w:val="both"/>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Además, por lo que hace a la </w:t>
      </w:r>
      <w:r>
        <w:rPr>
          <w:rFonts w:ascii="Palatino Linotype" w:eastAsia="Palatino Linotype" w:hAnsi="Palatino Linotype" w:cs="Palatino Linotype"/>
          <w:b/>
          <w:bCs/>
        </w:rPr>
        <w:t>fecha y hora de emisión y certificación</w:t>
      </w:r>
      <w:r>
        <w:rPr>
          <w:rFonts w:ascii="Palatino Linotype" w:eastAsia="Palatino Linotype" w:hAnsi="Palatino Linotype" w:cs="Palatino Linotype"/>
        </w:rPr>
        <w:t xml:space="preserve">, la Guía de llenado del CFDI global versión 4.0 del CFDI, previamente referida, establece que los datos </w:t>
      </w:r>
      <w:r>
        <w:rPr>
          <w:rFonts w:ascii="Palatino Linotype" w:eastAsia="Palatino Linotype" w:hAnsi="Palatino Linotype" w:cs="Palatino Linotype"/>
        </w:rPr>
        <w:lastRenderedPageBreak/>
        <w:t>mencionados corresponden a la fecha y hora de emisión y certificación del comprobante fiscal, los cuales se expresan de la siguiente manera: AAAA-MM-DDThh:mm:ss.</w:t>
      </w:r>
    </w:p>
    <w:p w:rsidR="004412E3" w:rsidRDefault="004412E3">
      <w:pPr>
        <w:spacing w:line="360" w:lineRule="auto"/>
        <w:ind w:right="-1071"/>
        <w:jc w:val="both"/>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Conforme a lo anterior, se logra observar que la fecha y hora de emisión, no contienen información que, dé acceso a datos personales, ni contiene datos confidenciales, por lo que, se considera que no actualiza la causal de clasificación establecida en el artículo 143, fracción I, de la Ley de Transparencia y Acceso a la Información Pública del Estado de México y Municipios.</w:t>
      </w:r>
    </w:p>
    <w:p w:rsidR="004412E3" w:rsidRDefault="004412E3">
      <w:pPr>
        <w:spacing w:line="360" w:lineRule="auto"/>
        <w:ind w:right="-1071"/>
        <w:jc w:val="both"/>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Conforme a lo anterior, se logra observar que el lugar de emisión, no contienen información que, dé acceso a datos personales, ni contiene datos confidenciales, por lo que, se considera que no actualiza la causal de clasificación establecida en el artículo 143, fracción I, de la Ley de Transparencia y Acceso a la Información Pública del Estado de México y Municipios.</w:t>
      </w:r>
    </w:p>
    <w:p w:rsidR="004412E3" w:rsidRDefault="004412E3">
      <w:pPr>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Por otra parte, no pasa desapercibido, que conforme al artículo 52, fracción XVIII, del Bando Municipal 2025, el Sujeto Obligado cuenta la Dirección de Seguridad Pública, con la finalidad salvaguardar la vida, las libertades, la integridad y el patrimonio de las personas, así como contribuir a la generación y preservación del orden público y la paz social.</w:t>
      </w:r>
    </w:p>
    <w:p w:rsidR="004412E3" w:rsidRDefault="00804973">
      <w:p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Así resulta necesario analizar si el </w:t>
      </w:r>
      <w:r>
        <w:rPr>
          <w:rFonts w:ascii="Palatino Linotype" w:eastAsia="Palatino Linotype" w:hAnsi="Palatino Linotype" w:cs="Palatino Linotype"/>
          <w:b/>
          <w:bCs/>
        </w:rPr>
        <w:t>nombre de los servidores públicos operativos en materia de seguridad</w:t>
      </w:r>
      <w:r>
        <w:rPr>
          <w:rFonts w:ascii="Palatino Linotype" w:eastAsia="Palatino Linotype" w:hAnsi="Palatino Linotype" w:cs="Palatino Linotype"/>
        </w:rPr>
        <w:t>, actualiza alguna causal de clasificación; al respecto, con relación al dato referido, el artículo 140, fracción IV, de la Ley de Transparencia y Acceso a la Información Pública del Estado de México y Municipios, prevé lo siguiente:</w:t>
      </w:r>
    </w:p>
    <w:p w:rsidR="004412E3" w:rsidRDefault="00804973">
      <w:pPr>
        <w:spacing w:line="360" w:lineRule="auto"/>
        <w:ind w:right="-28"/>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lastRenderedPageBreak/>
        <w:t xml:space="preserve">  “</w:t>
      </w:r>
      <w:r>
        <w:rPr>
          <w:rFonts w:ascii="Palatino Linotype" w:eastAsia="Palatino Linotype" w:hAnsi="Palatino Linotype" w:cs="Palatino Linotype"/>
          <w:b/>
          <w:bCs/>
          <w:i/>
          <w:iCs/>
          <w:sz w:val="22"/>
          <w:szCs w:val="22"/>
        </w:rPr>
        <w:t>Artículo 140.</w:t>
      </w:r>
      <w:r>
        <w:rPr>
          <w:rFonts w:ascii="Palatino Linotype" w:eastAsia="Palatino Linotype" w:hAnsi="Palatino Linotype" w:cs="Palatino Linotype"/>
          <w:i/>
          <w:iCs/>
          <w:sz w:val="22"/>
          <w:szCs w:val="22"/>
        </w:rPr>
        <w:t xml:space="preserve"> El acceso a la información pública será restringido excepcionalmente, cuando por razones de interés público, ésta sea clasificada como reservada, conforme a los criterios siguientes: </w:t>
      </w:r>
    </w:p>
    <w:p w:rsidR="004412E3" w:rsidRDefault="00804973">
      <w:pPr>
        <w:ind w:left="567" w:right="-714"/>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w:t>
      </w:r>
    </w:p>
    <w:p w:rsidR="004412E3" w:rsidRDefault="00804973">
      <w:pPr>
        <w:ind w:left="567" w:right="-714"/>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IV. Ponga en riesgo la vida, la seguridad o la salud de una persona física;</w:t>
      </w:r>
    </w:p>
    <w:p w:rsidR="004412E3" w:rsidRDefault="00804973">
      <w:pPr>
        <w:ind w:left="567" w:right="-714"/>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 xml:space="preserve">…” </w:t>
      </w:r>
    </w:p>
    <w:p w:rsidR="004412E3" w:rsidRDefault="00804973">
      <w:pPr>
        <w:spacing w:line="360" w:lineRule="auto"/>
        <w:ind w:right="-28"/>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 </w:t>
      </w: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Del precepto legal anteriormente citado se desprende que como información reservada podrá clasificarse aquella cuya publicación pueda poner en riesgo la vida, seguridad o salud de una persona física; para acreditar lo anterior, los Lineamientos Generales, establecen lo siguiente:</w:t>
      </w:r>
    </w:p>
    <w:p w:rsidR="004412E3" w:rsidRDefault="00804973">
      <w:pPr>
        <w:spacing w:line="360" w:lineRule="auto"/>
        <w:ind w:left="720" w:right="-28"/>
        <w:jc w:val="both"/>
        <w:rPr>
          <w:rFonts w:ascii="Palatino Linotype" w:eastAsia="Palatino Linotype" w:hAnsi="Palatino Linotype" w:cs="Palatino Linotype"/>
          <w:i/>
          <w:iCs/>
          <w:sz w:val="22"/>
          <w:szCs w:val="22"/>
        </w:rPr>
      </w:pPr>
      <w:r>
        <w:rPr>
          <w:rFonts w:ascii="Palatino Linotype" w:eastAsia="Palatino Linotype" w:hAnsi="Palatino Linotype" w:cs="Palatino Linotype"/>
          <w:b/>
          <w:bCs/>
          <w:i/>
          <w:iCs/>
          <w:sz w:val="22"/>
          <w:szCs w:val="22"/>
        </w:rPr>
        <w:t xml:space="preserve">“Vigésimo tercero. </w:t>
      </w:r>
      <w:r>
        <w:rPr>
          <w:rFonts w:ascii="Palatino Linotype" w:eastAsia="Palatino Linotype" w:hAnsi="Palatino Linotype" w:cs="Palatino Linotype"/>
          <w:i/>
          <w:iCs/>
          <w:sz w:val="22"/>
          <w:szCs w:val="22"/>
        </w:rPr>
        <w:t>Para clasificar la información como reservada, de conformidad con el artículo 113, fracción V de la Ley General, será necesario acreditar un vínculo, entre una o varias personas físicas y la información que pueda poner en riesgo su vida, seguridad o salud; especificando cuál de estos bienes jurídicos será afectado, así como el potencial daño o riesgo que causaría su difusión”</w:t>
      </w:r>
    </w:p>
    <w:p w:rsidR="004412E3" w:rsidRDefault="00804973">
      <w:pPr>
        <w:spacing w:line="360" w:lineRule="auto"/>
        <w:ind w:right="-28"/>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 xml:space="preserve"> </w:t>
      </w:r>
    </w:p>
    <w:p w:rsidR="004412E3" w:rsidRDefault="00804973">
      <w:pPr>
        <w:numPr>
          <w:ilvl w:val="0"/>
          <w:numId w:val="9"/>
        </w:numP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Del Lineamiento referido, se desprende que para clasificar la información como reservada, será necesario acreditar un vínculo, entre la persona física y la información que pueda poner en riesgo su vida, seguridad o salud, es decir, se deben señalar el bien jurídico específico afectado y el potencial de daño o riesgo que causaría su difusión.</w:t>
      </w:r>
    </w:p>
    <w:p w:rsidR="004412E3" w:rsidRDefault="00804973">
      <w:pPr>
        <w:spacing w:line="360" w:lineRule="auto"/>
        <w:ind w:right="-28"/>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 </w:t>
      </w:r>
    </w:p>
    <w:p w:rsidR="004412E3" w:rsidRDefault="00804973">
      <w:pPr>
        <w:numPr>
          <w:ilvl w:val="0"/>
          <w:numId w:val="9"/>
        </w:numPr>
        <w:spacing w:line="360" w:lineRule="auto"/>
        <w:ind w:left="0" w:right="-787" w:firstLine="0"/>
        <w:jc w:val="both"/>
        <w:rPr>
          <w:rFonts w:ascii="Palatino Linotype" w:eastAsia="Palatino Linotype" w:hAnsi="Palatino Linotype" w:cs="Palatino Linotype"/>
          <w:sz w:val="22"/>
          <w:szCs w:val="22"/>
        </w:rPr>
      </w:pPr>
      <w:r>
        <w:rPr>
          <w:rFonts w:ascii="Palatino Linotype" w:eastAsia="Palatino Linotype" w:hAnsi="Palatino Linotype" w:cs="Palatino Linotype"/>
        </w:rPr>
        <w:t>Además, el artículo 81, fracción III, de la Ley de Seguridad del Estado de México, establece lo siguiente</w:t>
      </w:r>
      <w:r>
        <w:rPr>
          <w:rFonts w:ascii="Palatino Linotype" w:eastAsia="Palatino Linotype" w:hAnsi="Palatino Linotype" w:cs="Palatino Linotype"/>
          <w:sz w:val="22"/>
          <w:szCs w:val="22"/>
        </w:rPr>
        <w:t>:</w:t>
      </w:r>
    </w:p>
    <w:p w:rsidR="004412E3" w:rsidRDefault="00804973">
      <w:pPr>
        <w:ind w:left="567" w:right="-714"/>
        <w:jc w:val="both"/>
        <w:rPr>
          <w:rFonts w:ascii="Palatino Linotype" w:eastAsia="Palatino Linotype" w:hAnsi="Palatino Linotype" w:cs="Palatino Linotype"/>
          <w:i/>
          <w:iCs/>
          <w:sz w:val="22"/>
          <w:szCs w:val="22"/>
        </w:rPr>
      </w:pPr>
      <w:r>
        <w:rPr>
          <w:rFonts w:ascii="Palatino Linotype" w:eastAsia="Palatino Linotype" w:hAnsi="Palatino Linotype" w:cs="Palatino Linotype"/>
          <w:b/>
          <w:bCs/>
          <w:i/>
          <w:iCs/>
          <w:sz w:val="22"/>
          <w:szCs w:val="22"/>
        </w:rPr>
        <w:t>“Artículo 81.-</w:t>
      </w:r>
      <w:r>
        <w:rPr>
          <w:rFonts w:ascii="Palatino Linotype" w:eastAsia="Palatino Linotype" w:hAnsi="Palatino Linotype" w:cs="Palatino Linotype"/>
          <w:i/>
          <w:iCs/>
          <w:sz w:val="22"/>
          <w:szCs w:val="22"/>
        </w:rPr>
        <w:t xml:space="preserve"> Toda información para la seguridad pública generada o en poder de Instituciones de Seguridad Pública o de cualquier instancia del Sistema Estatal debe registrarse, clasificarse y tratarse de conformidad con las disposiciones aplicables. No obstante lo anterior, esta información se considerará reservada en los casos siguientes: </w:t>
      </w:r>
    </w:p>
    <w:p w:rsidR="004412E3" w:rsidRDefault="00804973">
      <w:pPr>
        <w:ind w:left="567" w:right="-714"/>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w:t>
      </w:r>
    </w:p>
    <w:p w:rsidR="004412E3" w:rsidRDefault="00804973">
      <w:pPr>
        <w:ind w:left="567" w:right="-714"/>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lastRenderedPageBreak/>
        <w:t>III. La relativa a los servidores públicos integrantes de las instituciones de seguridad pública, cuya revelación pueda poner en riesgo su vida e integridad física con motivo de sus funciones;</w:t>
      </w:r>
    </w:p>
    <w:p w:rsidR="004412E3" w:rsidRDefault="00804973">
      <w:pPr>
        <w:ind w:left="567" w:right="-714"/>
        <w:jc w:val="both"/>
        <w:rPr>
          <w:rFonts w:ascii="Palatino Linotype" w:eastAsia="Palatino Linotype" w:hAnsi="Palatino Linotype" w:cs="Palatino Linotype"/>
          <w:i/>
          <w:iCs/>
          <w:sz w:val="22"/>
          <w:szCs w:val="22"/>
        </w:rPr>
      </w:pPr>
      <w:r>
        <w:rPr>
          <w:rFonts w:ascii="Palatino Linotype" w:eastAsia="Palatino Linotype" w:hAnsi="Palatino Linotype" w:cs="Palatino Linotype"/>
          <w:i/>
          <w:iCs/>
          <w:sz w:val="22"/>
          <w:szCs w:val="22"/>
        </w:rPr>
        <w:t>…”</w:t>
      </w:r>
    </w:p>
    <w:p w:rsidR="004412E3" w:rsidRDefault="00804973">
      <w:pPr>
        <w:spacing w:line="360" w:lineRule="auto"/>
        <w:ind w:right="-28"/>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 </w:t>
      </w: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Conforme al citado artículo, se desprende que es reservada toda aquella información de los servidores públicos integrantes de las instituciones de seguridad pública, cuya revelación pueda poner en riesgo su vida e integridad física con motivo de sus funciones.</w:t>
      </w:r>
    </w:p>
    <w:p w:rsidR="004412E3" w:rsidRDefault="004412E3">
      <w:pPr>
        <w:spacing w:line="360" w:lineRule="auto"/>
        <w:ind w:right="-787"/>
        <w:jc w:val="both"/>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 En ese contexto, es de señalar que los datos de servidores públicos, entre los que se encuentran el nombre y fotografía de los trabajadores, por regla general, son de naturaleza pública, de conformidad con el artículo 70, fracción VII de la Ley General de Transparencia y Acceso a la Información Pública del Estado de México (vigente a la fecha de la solicitud de información), y 92, fracción VII, de la Ley de Transparencia y Acceso a la Información Pública del Estado de México y Municipios.</w:t>
      </w:r>
    </w:p>
    <w:p w:rsidR="004412E3" w:rsidRDefault="00804973">
      <w:pPr>
        <w:spacing w:line="360" w:lineRule="auto"/>
        <w:ind w:right="-28"/>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 </w:t>
      </w: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No obstante, resulta necesario mencionar, el Criterio orientador, con número de registro SO/006/2009, de la Primera Época, emitido por el entonces Instituto Federal de Acceso a la Información y Protección de Datos ahora Instituto Nacional de Transparencia, Acceso a la Información y Protección de Datos Personales, que establece lo siguiente:</w:t>
      </w:r>
    </w:p>
    <w:p w:rsidR="004412E3" w:rsidRDefault="00804973">
      <w:pPr>
        <w:spacing w:line="360" w:lineRule="auto"/>
        <w:ind w:left="720" w:right="-28"/>
        <w:jc w:val="both"/>
        <w:rPr>
          <w:rFonts w:ascii="Palatino Linotype" w:eastAsia="Palatino Linotype" w:hAnsi="Palatino Linotype" w:cs="Palatino Linotype"/>
          <w:i/>
          <w:iCs/>
        </w:rPr>
      </w:pPr>
      <w:r>
        <w:rPr>
          <w:rFonts w:ascii="Palatino Linotype" w:eastAsia="Palatino Linotype" w:hAnsi="Palatino Linotype" w:cs="Palatino Linotype"/>
          <w:b/>
          <w:bCs/>
          <w:i/>
          <w:iCs/>
        </w:rPr>
        <w:t>“Nombres de servidores públicos dedicados a actividades en materia de seguridad, por excepción pueden considerarse información reservada.</w:t>
      </w:r>
      <w:r>
        <w:rPr>
          <w:rFonts w:ascii="Palatino Linotype" w:eastAsia="Palatino Linotype" w:hAnsi="Palatino Linotype" w:cs="Palatino Linotype"/>
          <w:i/>
          <w:iCs/>
        </w:rPr>
        <w:t xml:space="preserve"> De conformidad con el artículo 7, fracciones I y III de la Ley Federal de Transparencia y Acceso a la Información Pública Gubernamental el nombre de los servidores públicos es información de naturaleza pública. No obstante lo anterior, el mismo precepto establece la posibilidad de que existan excepciones a las obligaciones ahí establecidas cuando la información actualice algunos de los supuestos de reserva o confidencialidad previstos </w:t>
      </w:r>
      <w:r>
        <w:rPr>
          <w:rFonts w:ascii="Palatino Linotype" w:eastAsia="Palatino Linotype" w:hAnsi="Palatino Linotype" w:cs="Palatino Linotype"/>
          <w:i/>
          <w:iCs/>
        </w:rPr>
        <w:lastRenderedPageBreak/>
        <w:t>en los artículos 13, 14 y 18 de la citada ley.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el artículo 13, fracción I de la ley de referencia se establece que podrá clasificarse aquella información cuya difusión pueda comprometer la seguridad nacional y pública.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por lo que la reserva de la relación de los nombres y las funciones que desempeñan los servidores públicos que prestan sus servicios en áreas de seguridad nacional o pública, puede llegar a constituirse en un componente fundamental en el esfuerzo que realiza el Estado Mexicano para garantizar la seguridad del país en sus diferentes vertientes.”</w:t>
      </w:r>
    </w:p>
    <w:p w:rsidR="004412E3" w:rsidRDefault="00804973">
      <w:pPr>
        <w:spacing w:line="360" w:lineRule="auto"/>
        <w:ind w:right="-28"/>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 </w:t>
      </w: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 dicho criterio, se desprende que existen funciones a cargo de servidores públicos, tendientes a garantizar de manera directa la seguridad pública, a través de acciones preventivas y correctivas, encaminadas a combatir a la delincuencia en sus diferentes manifestaciones; por lo que, una forma en que la delincuencia puede llegar a poner en riesgo la seguridad del País, Estado y Municipio, anulando, impidiendo u obstaculizando la actuación de los servidores públicos que realizan funciones de carácter operativo.</w:t>
      </w:r>
    </w:p>
    <w:p w:rsidR="004412E3" w:rsidRDefault="00804973">
      <w:pPr>
        <w:spacing w:line="360" w:lineRule="auto"/>
        <w:ind w:right="-28"/>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 </w:t>
      </w: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Además, el Criterio Reiterado 09/24, emitido por el Pleno de este Instituto, precisa que el nombre del personal operativo de seguridad pública debe clasificarse como información </w:t>
      </w:r>
      <w:r>
        <w:rPr>
          <w:rFonts w:ascii="Palatino Linotype" w:eastAsia="Palatino Linotype" w:hAnsi="Palatino Linotype" w:cs="Palatino Linotype"/>
        </w:rPr>
        <w:lastRenderedPageBreak/>
        <w:t>reservada, previa acreditación de la prueba de daño, ya que su publicidad podría poner en riesgo la vida, la seguridad o la salud del servidor público, ya que los vuelve plenamente identificables ante grupos delictivos.</w:t>
      </w:r>
    </w:p>
    <w:p w:rsidR="004412E3" w:rsidRDefault="00804973">
      <w:p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ese orden de ideas, si bien por regla general los nombres de los trabajadores gubernamentales son información pública de oficio, existe una excepción relativa a </w:t>
      </w:r>
      <w:r>
        <w:rPr>
          <w:rFonts w:ascii="Palatino Linotype" w:eastAsia="Palatino Linotype" w:hAnsi="Palatino Linotype" w:cs="Palatino Linotype"/>
          <w:b/>
          <w:bCs/>
        </w:rPr>
        <w:t>aquellos que realicen actividades operativas en materia de seguridad,</w:t>
      </w:r>
      <w:r>
        <w:rPr>
          <w:rFonts w:ascii="Palatino Linotype" w:eastAsia="Palatino Linotype" w:hAnsi="Palatino Linotype" w:cs="Palatino Linotype"/>
        </w:rPr>
        <w:t xml:space="preserve"> como es el caso de los elementos operativos y la policía municipal.</w:t>
      </w:r>
    </w:p>
    <w:p w:rsidR="004412E3" w:rsidRDefault="00804973">
      <w:p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Al respecto,  el artículo 4° de la Ley de Seguridad del Estado de México prevé que la función de seguridad pública se realizará, en los diversos ámbitos de competencia, por conducto de las Instituciones Policiales y de Procuración de Justicia, de los responsables de la prisión preventiva y ejecución de sentencias, de las autoridades competentes en materia de justicia para adolescentes, de las instancias encargadas de aplicar las infracción administrativas, y de las demás autoridades que en razón de sus atribuciones deban contribuir directa o indirectamente al objeto de esta Ley.</w:t>
      </w:r>
    </w:p>
    <w:p w:rsidR="004412E3" w:rsidRDefault="00804973">
      <w:p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En ese contexto, el artículo 6, fracciones XI y XII de dicho ordenamiento jurídico, establece los siguientes conceptos:</w:t>
      </w:r>
    </w:p>
    <w:p w:rsidR="004412E3" w:rsidRDefault="00804973">
      <w:pPr>
        <w:numPr>
          <w:ilvl w:val="0"/>
          <w:numId w:val="12"/>
        </w:num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sz w:val="22"/>
          <w:szCs w:val="22"/>
        </w:rPr>
        <w:t xml:space="preserve"> </w:t>
      </w:r>
      <w:r>
        <w:rPr>
          <w:rFonts w:ascii="Palatino Linotype" w:eastAsia="Palatino Linotype" w:hAnsi="Palatino Linotype" w:cs="Palatino Linotype"/>
          <w:b/>
          <w:bCs/>
        </w:rPr>
        <w:t xml:space="preserve">Instituciones Policiales: </w:t>
      </w:r>
      <w:r>
        <w:rPr>
          <w:rFonts w:ascii="Palatino Linotype" w:eastAsia="Palatino Linotype" w:hAnsi="Palatino Linotype" w:cs="Palatino Linotype"/>
        </w:rPr>
        <w:t xml:space="preserve">a los cuerpos de policía, de vigilancia y custodia de los establecimientos penitenciarios, de detención preventiva y de centros de arraigos; y en general, </w:t>
      </w:r>
      <w:r>
        <w:rPr>
          <w:rFonts w:ascii="Palatino Linotype" w:eastAsia="Palatino Linotype" w:hAnsi="Palatino Linotype" w:cs="Palatino Linotype"/>
          <w:b/>
          <w:bCs/>
        </w:rPr>
        <w:t>todas las dependencias encargadas de la seguridad pública a nivel</w:t>
      </w:r>
      <w:r>
        <w:rPr>
          <w:rFonts w:ascii="Palatino Linotype" w:eastAsia="Palatino Linotype" w:hAnsi="Palatino Linotype" w:cs="Palatino Linotype"/>
        </w:rPr>
        <w:t xml:space="preserve"> estatal y </w:t>
      </w:r>
      <w:r>
        <w:rPr>
          <w:rFonts w:ascii="Palatino Linotype" w:eastAsia="Palatino Linotype" w:hAnsi="Palatino Linotype" w:cs="Palatino Linotype"/>
          <w:b/>
          <w:bCs/>
        </w:rPr>
        <w:t>municipal</w:t>
      </w:r>
      <w:r>
        <w:rPr>
          <w:rFonts w:ascii="Palatino Linotype" w:eastAsia="Palatino Linotype" w:hAnsi="Palatino Linotype" w:cs="Palatino Linotype"/>
        </w:rPr>
        <w:t>, que realicen funciones similares.</w:t>
      </w:r>
    </w:p>
    <w:p w:rsidR="004412E3" w:rsidRDefault="00804973">
      <w:pPr>
        <w:numPr>
          <w:ilvl w:val="0"/>
          <w:numId w:val="3"/>
        </w:numPr>
        <w:spacing w:line="360" w:lineRule="auto"/>
        <w:ind w:right="-28"/>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 xml:space="preserve">Instituciones de Seguridad Pública: </w:t>
      </w:r>
      <w:r>
        <w:rPr>
          <w:rFonts w:ascii="Palatino Linotype" w:eastAsia="Palatino Linotype" w:hAnsi="Palatino Linotype" w:cs="Palatino Linotype"/>
        </w:rPr>
        <w:t xml:space="preserve">Instituciones Policiales, Procuración de Justicia, Sistema Penitenciario y </w:t>
      </w:r>
      <w:r>
        <w:rPr>
          <w:rFonts w:ascii="Palatino Linotype" w:eastAsia="Palatino Linotype" w:hAnsi="Palatino Linotype" w:cs="Palatino Linotype"/>
          <w:b/>
          <w:bCs/>
        </w:rPr>
        <w:t xml:space="preserve">dependencias encargadas de la seguridad pública a nivel </w:t>
      </w:r>
      <w:r>
        <w:rPr>
          <w:rFonts w:ascii="Palatino Linotype" w:eastAsia="Palatino Linotype" w:hAnsi="Palatino Linotype" w:cs="Palatino Linotype"/>
        </w:rPr>
        <w:t xml:space="preserve">estatal y </w:t>
      </w:r>
      <w:r>
        <w:rPr>
          <w:rFonts w:ascii="Palatino Linotype" w:eastAsia="Palatino Linotype" w:hAnsi="Palatino Linotype" w:cs="Palatino Linotype"/>
          <w:b/>
          <w:bCs/>
        </w:rPr>
        <w:t>municipal.</w:t>
      </w:r>
    </w:p>
    <w:p w:rsidR="004412E3" w:rsidRDefault="004412E3">
      <w:pPr>
        <w:spacing w:line="360" w:lineRule="auto"/>
        <w:ind w:right="-28"/>
        <w:jc w:val="both"/>
        <w:rPr>
          <w:rFonts w:ascii="Palatino Linotype" w:eastAsia="Palatino Linotype" w:hAnsi="Palatino Linotype" w:cs="Palatino Linotype"/>
          <w:sz w:val="22"/>
          <w:szCs w:val="22"/>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Conforme a lo anterior, se puede deducir que la </w:t>
      </w:r>
      <w:r>
        <w:rPr>
          <w:rFonts w:ascii="Palatino Linotype" w:eastAsia="Palatino Linotype" w:hAnsi="Palatino Linotype" w:cs="Palatino Linotype"/>
          <w:b/>
          <w:bCs/>
        </w:rPr>
        <w:t>Dirección de Seguridad Pública Municipal, es una institución de seguridad pública</w:t>
      </w:r>
      <w:r>
        <w:rPr>
          <w:rFonts w:ascii="Palatino Linotype" w:eastAsia="Palatino Linotype" w:hAnsi="Palatino Linotype" w:cs="Palatino Linotype"/>
        </w:rPr>
        <w:t>, pues tiene como atribución principal, la prevención de delitos y proteger a las personas, sus propiedades, posesiones y derechos.</w:t>
      </w:r>
    </w:p>
    <w:p w:rsidR="004412E3" w:rsidRDefault="00804973">
      <w:p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Además, el Instructivo de llenado del Formato “Personal de Seguridad Pública”, del Secretariado Ejecutivo del Sistema Nacional de Seguridad Pública, establece que </w:t>
      </w:r>
      <w:r>
        <w:rPr>
          <w:rFonts w:ascii="Palatino Linotype" w:eastAsia="Palatino Linotype" w:hAnsi="Palatino Linotype" w:cs="Palatino Linotype"/>
          <w:b/>
          <w:bCs/>
        </w:rPr>
        <w:t>los elementos operativos de seguridad pública</w:t>
      </w:r>
      <w:r>
        <w:rPr>
          <w:rFonts w:ascii="Palatino Linotype" w:eastAsia="Palatino Linotype" w:hAnsi="Palatino Linotype" w:cs="Palatino Linotype"/>
        </w:rPr>
        <w:t xml:space="preserve">, son </w:t>
      </w:r>
      <w:r>
        <w:rPr>
          <w:rFonts w:ascii="Palatino Linotype" w:eastAsia="Palatino Linotype" w:hAnsi="Palatino Linotype" w:cs="Palatino Linotype"/>
          <w:b/>
          <w:bCs/>
        </w:rPr>
        <w:t>aquellos que desempeñan funciones de campo (policiales, especializadas o equivalentes</w:t>
      </w:r>
      <w:r>
        <w:rPr>
          <w:rFonts w:ascii="Palatino Linotype" w:eastAsia="Palatino Linotype" w:hAnsi="Palatino Linotype" w:cs="Palatino Linotype"/>
        </w:rPr>
        <w:t xml:space="preserve"> y que no desempeña funciones de mando), entre los cuales, se encuentra </w:t>
      </w:r>
      <w:r>
        <w:rPr>
          <w:rFonts w:ascii="Palatino Linotype" w:eastAsia="Palatino Linotype" w:hAnsi="Palatino Linotype" w:cs="Palatino Linotype"/>
          <w:b/>
          <w:bCs/>
        </w:rPr>
        <w:t>la Policía Municipal</w:t>
      </w:r>
      <w:r>
        <w:rPr>
          <w:rFonts w:ascii="Palatino Linotype" w:eastAsia="Palatino Linotype" w:hAnsi="Palatino Linotype" w:cs="Palatino Linotype"/>
        </w:rPr>
        <w:t>.</w:t>
      </w:r>
    </w:p>
    <w:p w:rsidR="00764966" w:rsidRDefault="00764966" w:rsidP="00764966">
      <w:pPr>
        <w:spacing w:line="360" w:lineRule="auto"/>
        <w:ind w:right="-787"/>
        <w:jc w:val="both"/>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Asimismo, se advierte que las Instituciones Policiales, se conforman del </w:t>
      </w:r>
      <w:r>
        <w:rPr>
          <w:rFonts w:ascii="Palatino Linotype" w:eastAsia="Palatino Linotype" w:hAnsi="Palatino Linotype" w:cs="Palatino Linotype"/>
          <w:b/>
          <w:bCs/>
        </w:rPr>
        <w:t>personal</w:t>
      </w:r>
      <w:r>
        <w:rPr>
          <w:rFonts w:ascii="Palatino Linotype" w:eastAsia="Palatino Linotype" w:hAnsi="Palatino Linotype" w:cs="Palatino Linotype"/>
        </w:rPr>
        <w:t xml:space="preserve"> </w:t>
      </w:r>
      <w:r>
        <w:rPr>
          <w:rFonts w:ascii="Palatino Linotype" w:eastAsia="Palatino Linotype" w:hAnsi="Palatino Linotype" w:cs="Palatino Linotype"/>
          <w:b/>
          <w:bCs/>
        </w:rPr>
        <w:t>administrativo,</w:t>
      </w:r>
      <w:r>
        <w:rPr>
          <w:rFonts w:ascii="Palatino Linotype" w:eastAsia="Palatino Linotype" w:hAnsi="Palatino Linotype" w:cs="Palatino Linotype"/>
        </w:rPr>
        <w:t xml:space="preserve"> que son los trabajadores de apoyo (chofer, personal de mantenimiento, servicios generales y área secretaría); así como</w:t>
      </w:r>
      <w:r>
        <w:rPr>
          <w:rFonts w:ascii="Palatino Linotype" w:eastAsia="Palatino Linotype" w:hAnsi="Palatino Linotype" w:cs="Palatino Linotype"/>
          <w:b/>
          <w:bCs/>
        </w:rPr>
        <w:t>, el personal de mando</w:t>
      </w:r>
      <w:r>
        <w:rPr>
          <w:rFonts w:ascii="Palatino Linotype" w:eastAsia="Palatino Linotype" w:hAnsi="Palatino Linotype" w:cs="Palatino Linotype"/>
        </w:rPr>
        <w:t xml:space="preserve"> (alto, medio y superior), que es aquel que realiza funciones de dirección, coordinación y supervisión, por lo cual, corresponde a aquel que tenga trabajadores a su cargo.</w:t>
      </w:r>
    </w:p>
    <w:p w:rsidR="004412E3" w:rsidRDefault="00804973">
      <w:pPr>
        <w:spacing w:line="360" w:lineRule="auto"/>
        <w:ind w:right="-28"/>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 </w:t>
      </w: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Así, dar a conocer el nombre de las personas, vinculado con el hecho que son policías, los vuelve identificables y posiblemente reconocibles para grupos delictivos, puesto que pueden relacionarlos directamente con actividades u operativos pasados, presentes, o ubicarlos simplemente por el hecho de pertenecer o haber sido parte de una organización que </w:t>
      </w:r>
      <w:r>
        <w:rPr>
          <w:rFonts w:ascii="Palatino Linotype" w:eastAsia="Palatino Linotype" w:hAnsi="Palatino Linotype" w:cs="Palatino Linotype"/>
        </w:rPr>
        <w:lastRenderedPageBreak/>
        <w:t>lleve a cabo actividades de prevención y salvaguarda de la integridad de las personas en el combate a la delincuencia; además, dicha información puede ser utilizada para vulnerar su vida, seguridad o salud, incluso la de sus familias o entorno social, al aumentar el riesgo de que personas ajenas a los intereses institucionales que persigue dicha área, intenten realizar actos tendientes a inhibir o entrometerse en las funciones de los policías municipales, lo cual causaría una vulneración a la seguridad municipal.</w:t>
      </w:r>
    </w:p>
    <w:p w:rsidR="004412E3" w:rsidRDefault="00804973">
      <w:p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Sin embargo, </w:t>
      </w:r>
      <w:r>
        <w:rPr>
          <w:rFonts w:ascii="Palatino Linotype" w:eastAsia="Palatino Linotype" w:hAnsi="Palatino Linotype" w:cs="Palatino Linotype"/>
          <w:b/>
          <w:bCs/>
        </w:rPr>
        <w:t>por lo que hace al personal administrativo y los mandos medios y superiores</w:t>
      </w:r>
      <w:r>
        <w:rPr>
          <w:rFonts w:ascii="Palatino Linotype" w:eastAsia="Palatino Linotype" w:hAnsi="Palatino Linotype" w:cs="Palatino Linotype"/>
        </w:rPr>
        <w:t xml:space="preserve">, se advierte que estos </w:t>
      </w:r>
      <w:r>
        <w:rPr>
          <w:rFonts w:ascii="Palatino Linotype" w:eastAsia="Palatino Linotype" w:hAnsi="Palatino Linotype" w:cs="Palatino Linotype"/>
          <w:u w:val="single"/>
        </w:rPr>
        <w:t>no realizan funciones operativas</w:t>
      </w:r>
      <w:r>
        <w:rPr>
          <w:rFonts w:ascii="Palatino Linotype" w:eastAsia="Palatino Linotype" w:hAnsi="Palatino Linotype" w:cs="Palatino Linotype"/>
        </w:rPr>
        <w:t xml:space="preserve">, sino únicamente realizan actividades de apoyo y dirección respectivamente, por lo que, </w:t>
      </w:r>
      <w:r>
        <w:rPr>
          <w:rFonts w:ascii="Palatino Linotype" w:eastAsia="Palatino Linotype" w:hAnsi="Palatino Linotype" w:cs="Palatino Linotype"/>
          <w:b/>
          <w:bCs/>
        </w:rPr>
        <w:t>no procede la causal de reserva</w:t>
      </w:r>
      <w:r>
        <w:rPr>
          <w:rFonts w:ascii="Palatino Linotype" w:eastAsia="Palatino Linotype" w:hAnsi="Palatino Linotype" w:cs="Palatino Linotype"/>
        </w:rPr>
        <w:t xml:space="preserve"> establecida en el artículo 140, fracción IV, de la Ley de la materia, pues por el tipo de funciones que realizan, no se pone en peligro su vida, seguridad o salud de este tipo de trabajadores.</w:t>
      </w:r>
    </w:p>
    <w:p w:rsidR="004412E3" w:rsidRDefault="00804973">
      <w:pPr>
        <w:spacing w:line="360" w:lineRule="auto"/>
        <w:ind w:right="-28"/>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 </w:t>
      </w: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 tal situación, se considera que dar a conocer el nombre de los policías municipales, puede poner en riesgo la vida, seguridad y salud de estos, de sus familias e incluso su entorno social, pues al hacerlos identificables, los hacen blancos de los agentes delincuenciales o inclusive a la delincuencia organizada, los cuales podrían amenazar o causarles algún daño, con el fin de entorpecer o disminuir la seguridad pública y aumentar la comisión de actos ilícitos.</w:t>
      </w:r>
    </w:p>
    <w:p w:rsidR="004412E3" w:rsidRDefault="00804973">
      <w:pPr>
        <w:spacing w:line="360" w:lineRule="auto"/>
        <w:ind w:right="-28"/>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 </w:t>
      </w: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Lo anterior toma relevancia pues los individuos con pretensiones delictivas pudieran promover algún vínculo o relación directa con los elementos operativos, que incluye a la policía municipal o bien, someterla a extorsión o amenazas con el fin de obtener información sensible sobre el modus operandi de dicha área, lo cual se traduciría en un detrimento al </w:t>
      </w:r>
      <w:r>
        <w:rPr>
          <w:rFonts w:ascii="Palatino Linotype" w:eastAsia="Palatino Linotype" w:hAnsi="Palatino Linotype" w:cs="Palatino Linotype"/>
        </w:rPr>
        <w:lastRenderedPageBreak/>
        <w:t>combate a la delincuencia y un perjuicio a la seguridad pública, vulnerando así, el interés general.</w:t>
      </w:r>
    </w:p>
    <w:p w:rsidR="004412E3" w:rsidRDefault="00804973">
      <w:pPr>
        <w:spacing w:line="360" w:lineRule="auto"/>
        <w:ind w:right="-28"/>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 </w:t>
      </w:r>
    </w:p>
    <w:p w:rsidR="004412E3" w:rsidRDefault="00804973">
      <w:pPr>
        <w:numPr>
          <w:ilvl w:val="0"/>
          <w:numId w:val="9"/>
        </w:numP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Por tales consideraciones, </w:t>
      </w:r>
      <w:r>
        <w:rPr>
          <w:rFonts w:ascii="Palatino Linotype" w:eastAsia="Palatino Linotype" w:hAnsi="Palatino Linotype" w:cs="Palatino Linotype"/>
          <w:b/>
          <w:bCs/>
        </w:rPr>
        <w:t>resulta procedente la reserva del nombre de los elementos operativos adscritos a la Dirección de Seguridad Pública Municipal, en términos del artículo 140, fracción IV, de la Ley de Transparencia y Acceso a la Información Pública del Estado de México y Municipios.</w:t>
      </w:r>
    </w:p>
    <w:p w:rsidR="004412E3" w:rsidRDefault="00804973">
      <w:pPr>
        <w:spacing w:line="360" w:lineRule="auto"/>
        <w:ind w:right="-28"/>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 </w:t>
      </w: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Sobre el particular, cabe señalar el artículo 141, de la Ley de Transparencia y Acceso a la Información Pública del Estado de México y Municipios, que establece que </w:t>
      </w:r>
      <w:r>
        <w:rPr>
          <w:rFonts w:ascii="Palatino Linotype" w:eastAsia="Palatino Linotype" w:hAnsi="Palatino Linotype" w:cs="Palatino Linotype"/>
          <w:b/>
          <w:bCs/>
        </w:rPr>
        <w:t>las causales de reserva se deberán fundar y motivar</w:t>
      </w:r>
      <w:r>
        <w:rPr>
          <w:rFonts w:ascii="Palatino Linotype" w:eastAsia="Palatino Linotype" w:hAnsi="Palatino Linotype" w:cs="Palatino Linotype"/>
        </w:rPr>
        <w:t xml:space="preserve">, a través de la aplicación de la </w:t>
      </w:r>
      <w:r>
        <w:rPr>
          <w:rFonts w:ascii="Palatino Linotype" w:eastAsia="Palatino Linotype" w:hAnsi="Palatino Linotype" w:cs="Palatino Linotype"/>
          <w:b/>
          <w:bCs/>
        </w:rPr>
        <w:t>prueba de daño</w:t>
      </w:r>
      <w:r>
        <w:rPr>
          <w:rFonts w:ascii="Palatino Linotype" w:eastAsia="Palatino Linotype" w:hAnsi="Palatino Linotype" w:cs="Palatino Linotype"/>
        </w:rPr>
        <w:t xml:space="preserve"> establecida en el artículo 129 de dicho ordenamiento, que se debe justificar de la siguiente manera:</w:t>
      </w:r>
    </w:p>
    <w:p w:rsidR="004412E3" w:rsidRDefault="00804973">
      <w:pPr>
        <w:numPr>
          <w:ilvl w:val="0"/>
          <w:numId w:val="4"/>
        </w:num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La divulgación de la información representa un riesgo real, demostrable e identificable de perjuicio significativo al interés público o a la seguridad nacional.</w:t>
      </w:r>
    </w:p>
    <w:p w:rsidR="004412E3" w:rsidRDefault="00804973">
      <w:pPr>
        <w:numPr>
          <w:ilvl w:val="0"/>
          <w:numId w:val="4"/>
        </w:num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El riesgo de perjuicio supera el interés público general de que se difunda.</w:t>
      </w:r>
    </w:p>
    <w:p w:rsidR="004412E3" w:rsidRDefault="00804973">
      <w:pPr>
        <w:numPr>
          <w:ilvl w:val="0"/>
          <w:numId w:val="4"/>
        </w:num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Que la limitación se adecua al principio de proporcionalidad y representa el medio menos restrictivo disponible para evitar el perjuicio.</w:t>
      </w:r>
    </w:p>
    <w:p w:rsidR="004412E3" w:rsidRDefault="00804973">
      <w:p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Además, el artículo 125 de la Ley de la materia, establece que la información clasificada como reservada según el artículo 140 de la Ley de Transparencia y Acceso a la Información Pública del Estado de México y Municipios, podrá permanecer con tal carácter hasta por un periodo de cinco años. Asimismo señala que los documentos reservados serán desclasificados </w:t>
      </w:r>
      <w:r>
        <w:rPr>
          <w:rFonts w:ascii="Palatino Linotype" w:eastAsia="Palatino Linotype" w:hAnsi="Palatino Linotype" w:cs="Palatino Linotype"/>
        </w:rPr>
        <w:lastRenderedPageBreak/>
        <w:t xml:space="preserve">cuando se extingan las causas que dieron origen a su clasificación, expire el plazo establecido, exista resolución de una autoridad competente que determine que existe una causa de interés público que prevalece sobre la reserva de la información, o bien el Comité de Transparencia considere pertinente la desclasificación o se trate de información que esté relacionada con violaciones graves a derechos humanos o delitos de lesa humanidad; por lo que, </w:t>
      </w:r>
      <w:r>
        <w:rPr>
          <w:rFonts w:ascii="Palatino Linotype" w:eastAsia="Palatino Linotype" w:hAnsi="Palatino Linotype" w:cs="Palatino Linotype"/>
          <w:b/>
          <w:bCs/>
        </w:rPr>
        <w:t>en las versiones públicas, deberá clasificar el nombre de los elementos operativos de la Dirección de Seguridad Pública Municipal, de manera fundada y motivada, mediante la respectiva prueba de daño.</w:t>
      </w:r>
    </w:p>
    <w:p w:rsidR="004412E3" w:rsidRDefault="00804973">
      <w:p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lo que, para atender el requerimiento deberá proporcionar los documentos solicitados en versión pública; para tal situación,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deberá seguir el procedimiento establecido en el artículo 168 de dicho ordenamiento jurídico; esto es, que el área competente deberá elaborar la versión pública en los términos planteados en la presente Resolución, así como emitir el Acuerdo, por parte del Comité de Transparencia, donde confirme la clasificación de manera enunciativa más no limitativa los datos previamente señalados, fundando y motivando la clasificación.</w:t>
      </w:r>
    </w:p>
    <w:p w:rsidR="004412E3" w:rsidRDefault="004412E3">
      <w:pPr>
        <w:spacing w:line="360" w:lineRule="auto"/>
        <w:ind w:right="-787"/>
        <w:jc w:val="both"/>
        <w:rPr>
          <w:rFonts w:ascii="Palatino Linotype" w:eastAsia="Palatino Linotype" w:hAnsi="Palatino Linotype" w:cs="Palatino Linotype"/>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ese sentido,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w:t>
      </w:r>
      <w:r>
        <w:rPr>
          <w:rFonts w:ascii="Palatino Linotype" w:eastAsia="Palatino Linotype" w:hAnsi="Palatino Linotype" w:cs="Palatino Linotype"/>
          <w:b/>
          <w:bCs/>
        </w:rPr>
        <w:t>deberá de emitir el Acuerdo del Comité de Transparencia</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mediante</w:t>
      </w:r>
      <w:r>
        <w:rPr>
          <w:rFonts w:ascii="Palatino Linotype" w:eastAsia="Palatino Linotype" w:hAnsi="Palatino Linotype" w:cs="Palatino Linotype"/>
        </w:rPr>
        <w:t xml:space="preserve"> el cual de manera fundada y motivada establezca las razones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w:t>
      </w:r>
      <w:r>
        <w:rPr>
          <w:rFonts w:ascii="Palatino Linotype" w:eastAsia="Palatino Linotype" w:hAnsi="Palatino Linotype" w:cs="Palatino Linotype"/>
        </w:rPr>
        <w:lastRenderedPageBreak/>
        <w:t xml:space="preserve">porque se testan o suprimen- deja al solicitante en estado de incertidumbre, al no conocer o comprender porque no aparecen en la documentación respectiva. </w:t>
      </w:r>
    </w:p>
    <w:p w:rsidR="004412E3" w:rsidRDefault="004412E3">
      <w:pPr>
        <w:tabs>
          <w:tab w:val="left" w:pos="284"/>
        </w:tabs>
        <w:spacing w:line="360" w:lineRule="auto"/>
        <w:ind w:right="276"/>
        <w:jc w:val="both"/>
        <w:rPr>
          <w:rFonts w:ascii="Palatino Linotype" w:eastAsia="Palatino Linotype" w:hAnsi="Palatino Linotype" w:cs="Palatino Linotype"/>
          <w:color w:val="000000"/>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Derivado de lo establecido en párrafos anteriores,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incumple con estas formalidades y entrega la información sin proteger los datos personales o testando datos considerados como públicos incumple con lo que estipulan las disposiciones legales establecidas, asimismo que si entrega un documento testado sin el debido acuerdo de clasificación.</w:t>
      </w:r>
    </w:p>
    <w:p w:rsidR="004412E3" w:rsidRDefault="004412E3">
      <w:pPr>
        <w:spacing w:line="360" w:lineRule="auto"/>
        <w:jc w:val="both"/>
        <w:rPr>
          <w:color w:val="000000"/>
        </w:rPr>
      </w:pPr>
    </w:p>
    <w:p w:rsidR="004412E3" w:rsidRDefault="00804973">
      <w:pPr>
        <w:numPr>
          <w:ilvl w:val="0"/>
          <w:numId w:val="9"/>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lo expuesto, y con fundamento en lo prescrito en los artículos </w:t>
      </w:r>
      <w:r>
        <w:rPr>
          <w:rFonts w:ascii="Palatino Linotype" w:eastAsia="Palatino Linotype" w:hAnsi="Palatino Linotype" w:cs="Palatino Linotype"/>
          <w:color w:val="000000"/>
        </w:rPr>
        <w:t xml:space="preserve">5, párrafos cuadragésimo cuarto, </w:t>
      </w:r>
      <w:r>
        <w:rPr>
          <w:rFonts w:ascii="Palatino Linotype" w:eastAsia="Palatino Linotype" w:hAnsi="Palatino Linotype" w:cs="Palatino Linotype"/>
        </w:rPr>
        <w:t>cuadragésimo</w:t>
      </w:r>
      <w:r>
        <w:rPr>
          <w:rFonts w:ascii="Palatino Linotype" w:eastAsia="Palatino Linotype" w:hAnsi="Palatino Linotype" w:cs="Palatino Linotype"/>
          <w:color w:val="000000"/>
        </w:rPr>
        <w:t xml:space="preserve"> quinto y cuadragésimo sexto, fracciones IV y V, de la Constitución Política </w:t>
      </w:r>
      <w:r>
        <w:rPr>
          <w:rFonts w:ascii="Palatino Linotype" w:eastAsia="Palatino Linotype" w:hAnsi="Palatino Linotype" w:cs="Palatino Linotype"/>
        </w:rPr>
        <w:t>del</w:t>
      </w:r>
      <w:r>
        <w:rPr>
          <w:rFonts w:ascii="Palatino Linotype" w:eastAsia="Palatino Linotype" w:hAnsi="Palatino Linotype" w:cs="Palatino Linotype"/>
          <w:color w:val="000000"/>
        </w:rPr>
        <w:t xml:space="preserve"> Estado Libre y Soberano de México</w:t>
      </w:r>
      <w:r>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4412E3" w:rsidRDefault="004412E3">
      <w:pPr>
        <w:ind w:right="278"/>
        <w:rPr>
          <w:rFonts w:ascii="Palatino Linotype" w:eastAsia="Palatino Linotype" w:hAnsi="Palatino Linotype" w:cs="Palatino Linotype"/>
        </w:rPr>
      </w:pPr>
    </w:p>
    <w:p w:rsidR="004412E3" w:rsidRDefault="00804973">
      <w:pPr>
        <w:spacing w:line="360" w:lineRule="auto"/>
        <w:ind w:right="-858"/>
        <w:jc w:val="center"/>
        <w:rPr>
          <w:rFonts w:ascii="Palatino Linotype" w:eastAsia="Palatino Linotype" w:hAnsi="Palatino Linotype" w:cs="Palatino Linotype"/>
          <w:b/>
          <w:bCs/>
        </w:rPr>
      </w:pPr>
      <w:r>
        <w:rPr>
          <w:rFonts w:ascii="Palatino Linotype" w:eastAsia="Palatino Linotype" w:hAnsi="Palatino Linotype" w:cs="Palatino Linotype"/>
          <w:b/>
          <w:bCs/>
        </w:rPr>
        <w:t>R E S U E L V E</w:t>
      </w:r>
    </w:p>
    <w:p w:rsidR="004412E3" w:rsidRDefault="004412E3">
      <w:pPr>
        <w:spacing w:line="360" w:lineRule="auto"/>
        <w:ind w:right="-787"/>
        <w:jc w:val="center"/>
        <w:rPr>
          <w:rFonts w:ascii="Palatino Linotype" w:eastAsia="Palatino Linotype" w:hAnsi="Palatino Linotype" w:cs="Palatino Linotype"/>
          <w:b/>
          <w:bCs/>
        </w:rPr>
      </w:pPr>
    </w:p>
    <w:p w:rsidR="004412E3" w:rsidRDefault="00804973">
      <w:pPr>
        <w:spacing w:line="360" w:lineRule="auto"/>
        <w:ind w:right="-787"/>
        <w:jc w:val="both"/>
        <w:rPr>
          <w:rFonts w:ascii="Palatino Linotype" w:eastAsia="Palatino Linotype" w:hAnsi="Palatino Linotype" w:cs="Palatino Linotype"/>
          <w:b/>
          <w:bCs/>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w:t>
      </w:r>
      <w:r>
        <w:rPr>
          <w:rFonts w:ascii="Palatino Linotype" w:eastAsia="Palatino Linotype" w:hAnsi="Palatino Linotype" w:cs="Palatino Linotype"/>
          <w:b/>
          <w:bCs/>
        </w:rPr>
        <w:t>FUNDADAS</w:t>
      </w:r>
      <w:r>
        <w:rPr>
          <w:rFonts w:ascii="Palatino Linotype" w:eastAsia="Palatino Linotype" w:hAnsi="Palatino Linotype" w:cs="Palatino Linotype"/>
        </w:rPr>
        <w:t xml:space="preserve"> las razones o motivos de inconformidad hechos valer en el recurso de revisión </w:t>
      </w:r>
      <w:r>
        <w:rPr>
          <w:rFonts w:ascii="Palatino Linotype" w:eastAsia="Palatino Linotype" w:hAnsi="Palatino Linotype" w:cs="Palatino Linotype"/>
          <w:b/>
          <w:bCs/>
          <w:color w:val="000000"/>
        </w:rPr>
        <w:t>01648/INFOEM/IP/RR/2026</w:t>
      </w:r>
      <w:r>
        <w:rPr>
          <w:rFonts w:ascii="Palatino Linotype" w:eastAsia="Palatino Linotype" w:hAnsi="Palatino Linotype" w:cs="Palatino Linotype"/>
        </w:rPr>
        <w:t>,</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en términos del </w:t>
      </w:r>
      <w:r>
        <w:rPr>
          <w:rFonts w:ascii="Palatino Linotype" w:eastAsia="Palatino Linotype" w:hAnsi="Palatino Linotype" w:cs="Palatino Linotype"/>
          <w:b/>
          <w:bCs/>
        </w:rPr>
        <w:t xml:space="preserve">Considerando CUARTO </w:t>
      </w:r>
      <w:r>
        <w:rPr>
          <w:rFonts w:ascii="Palatino Linotype" w:eastAsia="Palatino Linotype" w:hAnsi="Palatino Linotype" w:cs="Palatino Linotype"/>
        </w:rPr>
        <w:t>de la presente resolución</w:t>
      </w:r>
      <w:r>
        <w:rPr>
          <w:rFonts w:ascii="Palatino Linotype" w:eastAsia="Palatino Linotype" w:hAnsi="Palatino Linotype" w:cs="Palatino Linotype"/>
          <w:b/>
          <w:bCs/>
        </w:rPr>
        <w:t>.</w:t>
      </w:r>
    </w:p>
    <w:p w:rsidR="004412E3" w:rsidRDefault="004412E3">
      <w:pPr>
        <w:spacing w:line="360" w:lineRule="auto"/>
        <w:ind w:right="276"/>
        <w:jc w:val="both"/>
        <w:rPr>
          <w:rFonts w:ascii="Palatino Linotype" w:eastAsia="Palatino Linotype" w:hAnsi="Palatino Linotype" w:cs="Palatino Linotype"/>
          <w:b/>
          <w:bCs/>
        </w:rPr>
      </w:pPr>
    </w:p>
    <w:p w:rsidR="004412E3" w:rsidRDefault="00804973">
      <w:pPr>
        <w:spacing w:line="360" w:lineRule="auto"/>
        <w:ind w:right="-787"/>
        <w:jc w:val="both"/>
        <w:rPr>
          <w:rFonts w:ascii="Palatino Linotype" w:eastAsia="Palatino Linotype" w:hAnsi="Palatino Linotype" w:cs="Palatino Linotype"/>
        </w:rPr>
      </w:pPr>
      <w:bookmarkStart w:id="8" w:name="_heading=h.1ksv4uv" w:colFirst="0" w:colLast="0"/>
      <w:bookmarkEnd w:id="8"/>
      <w:r>
        <w:rPr>
          <w:rFonts w:ascii="Palatino Linotype" w:eastAsia="Palatino Linotype" w:hAnsi="Palatino Linotype" w:cs="Palatino Linotype"/>
          <w:b/>
          <w:bCs/>
        </w:rPr>
        <w:t>SEGUNDO.</w:t>
      </w:r>
      <w:r>
        <w:rPr>
          <w:rFonts w:ascii="Palatino Linotype" w:eastAsia="Palatino Linotype" w:hAnsi="Palatino Linotype" w:cs="Palatino Linotype"/>
          <w:color w:val="2F5496"/>
        </w:rPr>
        <w:t xml:space="preserve">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REVOCA </w:t>
      </w:r>
      <w:r>
        <w:rPr>
          <w:rFonts w:ascii="Palatino Linotype" w:eastAsia="Palatino Linotype" w:hAnsi="Palatino Linotype" w:cs="Palatino Linotype"/>
          <w:color w:val="000000"/>
        </w:rPr>
        <w:t xml:space="preserve">la respuesta emitida por el </w:t>
      </w:r>
      <w:r>
        <w:rPr>
          <w:rFonts w:ascii="Palatino Linotype" w:eastAsia="Palatino Linotype" w:hAnsi="Palatino Linotype" w:cs="Palatino Linotype"/>
          <w:b/>
          <w:bCs/>
        </w:rPr>
        <w:t>Ayuntamiento de Acambay de Ruíz Castañeda</w:t>
      </w:r>
      <w:r>
        <w:rPr>
          <w:rFonts w:ascii="Palatino Linotype" w:eastAsia="Palatino Linotype" w:hAnsi="Palatino Linotype" w:cs="Palatino Linotype"/>
          <w:color w:val="000000"/>
        </w:rPr>
        <w:t xml:space="preserve"> 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entregar, vía Sistema de Acceso a la Información Mexiquense </w:t>
      </w:r>
      <w:r>
        <w:rPr>
          <w:rFonts w:ascii="Palatino Linotype" w:eastAsia="Palatino Linotype" w:hAnsi="Palatino Linotype" w:cs="Palatino Linotype"/>
          <w:b/>
          <w:bCs/>
          <w:color w:val="000000"/>
        </w:rPr>
        <w:t>(SAIMEX)</w:t>
      </w:r>
      <w:r>
        <w:rPr>
          <w:rFonts w:ascii="Palatino Linotype" w:eastAsia="Palatino Linotype" w:hAnsi="Palatino Linotype" w:cs="Palatino Linotype"/>
        </w:rPr>
        <w:t>, previa búsqueda exhaustiva y razonable, en versión pública, la siguiente inform</w:t>
      </w:r>
      <w:bookmarkStart w:id="9" w:name="_GoBack"/>
      <w:bookmarkEnd w:id="9"/>
      <w:r>
        <w:rPr>
          <w:rFonts w:ascii="Palatino Linotype" w:eastAsia="Palatino Linotype" w:hAnsi="Palatino Linotype" w:cs="Palatino Linotype"/>
        </w:rPr>
        <w:t>ación:</w:t>
      </w:r>
    </w:p>
    <w:p w:rsidR="004412E3" w:rsidRDefault="004412E3">
      <w:pPr>
        <w:ind w:right="-433"/>
        <w:rPr>
          <w:rFonts w:ascii="Palatino Linotype" w:eastAsia="Palatino Linotype" w:hAnsi="Palatino Linotype" w:cs="Palatino Linotype"/>
          <w:b/>
          <w:bCs/>
        </w:rPr>
      </w:pPr>
    </w:p>
    <w:p w:rsidR="004412E3" w:rsidRDefault="00804973">
      <w:pPr>
        <w:numPr>
          <w:ilvl w:val="0"/>
          <w:numId w:val="5"/>
        </w:numPr>
        <w:pBdr>
          <w:top w:val="nil"/>
          <w:left w:val="nil"/>
          <w:bottom w:val="nil"/>
          <w:right w:val="nil"/>
          <w:between w:val="nil"/>
        </w:pBdr>
        <w:spacing w:line="360" w:lineRule="auto"/>
        <w:ind w:left="993" w:right="-787"/>
        <w:jc w:val="both"/>
        <w:rPr>
          <w:rFonts w:ascii="Palatino Linotype" w:eastAsia="Palatino Linotype" w:hAnsi="Palatino Linotype" w:cs="Palatino Linotype"/>
          <w:b/>
          <w:bCs/>
          <w:color w:val="000000"/>
        </w:rPr>
      </w:pPr>
      <w:bookmarkStart w:id="10" w:name="_heading=h.knz5yuauhjtv" w:colFirst="0" w:colLast="0"/>
      <w:bookmarkEnd w:id="10"/>
      <w:r>
        <w:rPr>
          <w:rFonts w:ascii="Palatino Linotype" w:eastAsia="Palatino Linotype" w:hAnsi="Palatino Linotype" w:cs="Palatino Linotype"/>
          <w:b/>
          <w:bCs/>
          <w:color w:val="000000"/>
        </w:rPr>
        <w:t>Recibos de nómina de todo el personal, en los que conste el pago de aguinaldo y prima vacacional, emitidos entre el 01 de enero y el 19 de diciembre de 2025.</w:t>
      </w:r>
    </w:p>
    <w:p w:rsidR="004412E3" w:rsidRDefault="004412E3">
      <w:pPr>
        <w:spacing w:line="360" w:lineRule="auto"/>
        <w:ind w:left="851" w:right="-433"/>
        <w:jc w:val="both"/>
        <w:rPr>
          <w:rFonts w:ascii="Palatino Linotype" w:eastAsia="Palatino Linotype" w:hAnsi="Palatino Linotype" w:cs="Palatino Linotype"/>
          <w:b/>
          <w:bCs/>
        </w:rPr>
      </w:pPr>
    </w:p>
    <w:p w:rsidR="004412E3" w:rsidRDefault="00804973">
      <w:pPr>
        <w:pBdr>
          <w:top w:val="nil"/>
          <w:left w:val="nil"/>
          <w:bottom w:val="nil"/>
          <w:right w:val="nil"/>
          <w:between w:val="nil"/>
        </w:pBdr>
        <w:tabs>
          <w:tab w:val="left" w:pos="8080"/>
        </w:tabs>
        <w:spacing w:line="360" w:lineRule="auto"/>
        <w:ind w:right="-433"/>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Pr>
          <w:rFonts w:ascii="Palatino Linotype" w:eastAsia="Palatino Linotype" w:hAnsi="Palatino Linotype" w:cs="Palatino Linotype"/>
          <w:b/>
          <w:bCs/>
          <w:color w:val="000000"/>
        </w:rPr>
        <w:t>RECURRENTE.</w:t>
      </w:r>
    </w:p>
    <w:p w:rsidR="004412E3" w:rsidRDefault="004412E3">
      <w:pPr>
        <w:spacing w:line="360" w:lineRule="auto"/>
        <w:jc w:val="both"/>
        <w:rPr>
          <w:rFonts w:ascii="Palatino Linotype" w:eastAsia="Palatino Linotype" w:hAnsi="Palatino Linotype" w:cs="Palatino Linotype"/>
          <w:b/>
          <w:bCs/>
        </w:rPr>
      </w:pPr>
    </w:p>
    <w:p w:rsidR="004412E3" w:rsidRDefault="00804973">
      <w:pP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TERCERO. </w:t>
      </w:r>
      <w:r>
        <w:rPr>
          <w:rFonts w:ascii="Palatino Linotype" w:eastAsia="Palatino Linotype" w:hAnsi="Palatino Linotype" w:cs="Palatino Linotype"/>
          <w:b/>
          <w:bCs/>
          <w:color w:val="222222"/>
        </w:rPr>
        <w:t>NOTIFÍQUESE</w:t>
      </w:r>
      <w:r>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color w:val="222222"/>
        </w:rPr>
        <w:t xml:space="preserve">dé cumplimiento a lo ordenado dentro del plazo </w:t>
      </w:r>
      <w:r>
        <w:rPr>
          <w:rFonts w:ascii="Palatino Linotype" w:eastAsia="Palatino Linotype" w:hAnsi="Palatino Linotype" w:cs="Palatino Linotype"/>
        </w:rPr>
        <w:t>de</w:t>
      </w:r>
      <w:r>
        <w:rPr>
          <w:rFonts w:ascii="Palatino Linotype" w:eastAsia="Palatino Linotype" w:hAnsi="Palatino Linotype" w:cs="Palatino Linotype"/>
          <w:b/>
          <w:bCs/>
          <w:color w:val="222222"/>
        </w:rPr>
        <w:t xml:space="preserve"> diez días hábiles, </w:t>
      </w:r>
      <w:r>
        <w:rPr>
          <w:rFonts w:ascii="Palatino Linotype" w:eastAsia="Palatino Linotype" w:hAnsi="Palatino Linotype" w:cs="Palatino Linotype"/>
          <w:color w:val="222222"/>
        </w:rPr>
        <w:t>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4412E3" w:rsidRDefault="004412E3">
      <w:pPr>
        <w:spacing w:line="360" w:lineRule="auto"/>
        <w:jc w:val="both"/>
        <w:rPr>
          <w:rFonts w:ascii="Palatino Linotype" w:eastAsia="Palatino Linotype" w:hAnsi="Palatino Linotype" w:cs="Palatino Linotype"/>
        </w:rPr>
      </w:pPr>
    </w:p>
    <w:p w:rsidR="004412E3" w:rsidRDefault="00804973">
      <w:pPr>
        <w:spacing w:line="360" w:lineRule="auto"/>
        <w:ind w:right="-787"/>
        <w:jc w:val="both"/>
        <w:rPr>
          <w:rFonts w:ascii="Palatino Linotype" w:eastAsia="Palatino Linotype" w:hAnsi="Palatino Linotype" w:cs="Palatino Linotype"/>
        </w:rPr>
      </w:pPr>
      <w:bookmarkStart w:id="11" w:name="_heading=h.3rdcrjn" w:colFirst="0" w:colLast="0"/>
      <w:bookmarkEnd w:id="11"/>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4412E3" w:rsidRDefault="004412E3">
      <w:pPr>
        <w:spacing w:line="360" w:lineRule="auto"/>
        <w:ind w:right="-858"/>
        <w:jc w:val="both"/>
        <w:rPr>
          <w:rFonts w:ascii="Palatino Linotype" w:eastAsia="Palatino Linotype" w:hAnsi="Palatino Linotype" w:cs="Palatino Linotype"/>
        </w:rPr>
      </w:pPr>
    </w:p>
    <w:p w:rsidR="004412E3" w:rsidRDefault="00804973">
      <w:pPr>
        <w:spacing w:line="360" w:lineRule="auto"/>
        <w:ind w:right="-858"/>
        <w:jc w:val="both"/>
        <w:rPr>
          <w:rFonts w:ascii="Palatino Linotype" w:eastAsia="Palatino Linotype" w:hAnsi="Palatino Linotype" w:cs="Palatino Linotype"/>
        </w:rPr>
      </w:pPr>
      <w:r>
        <w:rPr>
          <w:rFonts w:ascii="Palatino Linotype" w:eastAsia="Palatino Linotype" w:hAnsi="Palatino Linotype" w:cs="Palatino Linotype"/>
          <w:b/>
          <w:bCs/>
        </w:rPr>
        <w:t>QUINTO. NOTIFÍQUESE</w:t>
      </w:r>
      <w:r>
        <w:rPr>
          <w:rFonts w:ascii="Palatino Linotype" w:eastAsia="Palatino Linotype" w:hAnsi="Palatino Linotype" w:cs="Palatino Linotype"/>
        </w:rPr>
        <w:t xml:space="preserve"> la presente resolución a la parte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a través del Sistema de Acceso a la Información Mexiquense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y hágase de su conocimiento que, en caso de considerar que la misma le causa algún perjuicio, podrá promover el Juicio de Amparo en los términos de las leyes aplicables, de acuerdo con lo estipulado por el artículo 196 de la Ley de Transparencia y Acceso a la Información Pública del Estado de México y Municipios.</w:t>
      </w:r>
    </w:p>
    <w:p w:rsidR="004412E3" w:rsidRDefault="004412E3">
      <w:pPr>
        <w:spacing w:line="360" w:lineRule="auto"/>
        <w:ind w:right="-787"/>
        <w:jc w:val="both"/>
        <w:rPr>
          <w:rFonts w:ascii="Palatino Linotype" w:eastAsia="Palatino Linotype" w:hAnsi="Palatino Linotype" w:cs="Palatino Linotype"/>
          <w:color w:val="000000"/>
        </w:rPr>
      </w:pPr>
    </w:p>
    <w:p w:rsidR="00504A48" w:rsidRPr="003E2295" w:rsidRDefault="00504A48" w:rsidP="00504A48">
      <w:pPr>
        <w:spacing w:before="240" w:after="240" w:line="360" w:lineRule="auto"/>
        <w:ind w:right="-858" w:firstLine="1"/>
        <w:jc w:val="both"/>
        <w:rPr>
          <w:rFonts w:ascii="Palatino Linotype" w:hAnsi="Palatino Linotype"/>
        </w:rPr>
      </w:pPr>
      <w:bookmarkStart w:id="12"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w:t>
      </w:r>
      <w:r w:rsidR="00B97178">
        <w:rPr>
          <w:rFonts w:ascii="Palatino Linotype" w:hAnsi="Palatino Linotype" w:cs="Palatino Linotype"/>
        </w:rPr>
        <w:t xml:space="preserve">EMITIENDO VOTO PARTICULAR </w:t>
      </w:r>
      <w:r w:rsidRPr="003E2295">
        <w:rPr>
          <w:rFonts w:ascii="Palatino Linotype" w:hAnsi="Palatino Linotype" w:cs="Palatino Linotype"/>
        </w:rPr>
        <w:t>Y GUADALUPE RAMÍREZ PEÑA</w:t>
      </w:r>
      <w:r w:rsidR="00B97178">
        <w:rPr>
          <w:rFonts w:ascii="Palatino Linotype" w:hAnsi="Palatino Linotype" w:cs="Palatino Linotype"/>
        </w:rPr>
        <w:t xml:space="preserve"> EMITIENDO VOTO PARTICULAR</w:t>
      </w:r>
      <w:r w:rsidRPr="003E2295">
        <w:rPr>
          <w:rFonts w:ascii="Palatino Linotype" w:hAnsi="Palatino Linotype" w:cs="Palatino Linotype"/>
        </w:rPr>
        <w:t xml:space="preserve">; EN LA </w:t>
      </w:r>
      <w:r>
        <w:rPr>
          <w:rFonts w:ascii="Palatino Linotype" w:hAnsi="Palatino Linotype" w:cs="Palatino Linotype"/>
        </w:rPr>
        <w:t xml:space="preserve">VIGÉSIMA PRIMERA </w:t>
      </w:r>
      <w:r w:rsidRPr="003E2295">
        <w:rPr>
          <w:rFonts w:ascii="Palatino Linotype" w:hAnsi="Palatino Linotype" w:cs="Palatino Linotype"/>
        </w:rPr>
        <w:t>SESIÓN O</w:t>
      </w:r>
      <w:r>
        <w:rPr>
          <w:rFonts w:ascii="Palatino Linotype" w:hAnsi="Palatino Linotype" w:cs="Palatino Linotype"/>
        </w:rPr>
        <w:t>RDINARIA, CELEBRADA EL DIEZ (10</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2"/>
    <w:p w:rsidR="004412E3" w:rsidRDefault="004412E3" w:rsidP="00504A48">
      <w:pPr>
        <w:spacing w:line="360" w:lineRule="auto"/>
        <w:ind w:right="-858"/>
        <w:jc w:val="both"/>
        <w:rPr>
          <w:rFonts w:ascii="Palatino Linotype" w:eastAsia="Palatino Linotype" w:hAnsi="Palatino Linotype" w:cs="Palatino Linotype"/>
        </w:rPr>
      </w:pPr>
    </w:p>
    <w:p w:rsidR="004412E3" w:rsidRDefault="004412E3" w:rsidP="00504A48">
      <w:pPr>
        <w:spacing w:line="360" w:lineRule="auto"/>
        <w:ind w:right="-858"/>
        <w:jc w:val="both"/>
        <w:rPr>
          <w:rFonts w:ascii="Palatino Linotype" w:eastAsia="Palatino Linotype" w:hAnsi="Palatino Linotype" w:cs="Palatino Linotype"/>
        </w:rPr>
      </w:pPr>
    </w:p>
    <w:p w:rsidR="004412E3" w:rsidRDefault="004412E3">
      <w:pPr>
        <w:spacing w:line="360" w:lineRule="auto"/>
        <w:ind w:right="-787"/>
        <w:jc w:val="both"/>
        <w:rPr>
          <w:rFonts w:ascii="Palatino Linotype" w:eastAsia="Palatino Linotype" w:hAnsi="Palatino Linotype" w:cs="Palatino Linotype"/>
        </w:rPr>
      </w:pPr>
    </w:p>
    <w:p w:rsidR="004412E3" w:rsidRDefault="004412E3">
      <w:pPr>
        <w:spacing w:line="360" w:lineRule="auto"/>
        <w:ind w:right="-787"/>
        <w:jc w:val="both"/>
        <w:rPr>
          <w:rFonts w:ascii="Palatino Linotype" w:eastAsia="Palatino Linotype" w:hAnsi="Palatino Linotype" w:cs="Palatino Linotype"/>
        </w:rPr>
      </w:pPr>
    </w:p>
    <w:p w:rsidR="004412E3" w:rsidRDefault="004412E3">
      <w:pPr>
        <w:spacing w:line="360" w:lineRule="auto"/>
        <w:ind w:right="-787"/>
        <w:jc w:val="both"/>
        <w:rPr>
          <w:rFonts w:ascii="Palatino Linotype" w:eastAsia="Palatino Linotype" w:hAnsi="Palatino Linotype" w:cs="Palatino Linotype"/>
        </w:rPr>
      </w:pPr>
    </w:p>
    <w:p w:rsidR="004412E3" w:rsidRDefault="004412E3">
      <w:pPr>
        <w:spacing w:line="360" w:lineRule="auto"/>
        <w:ind w:right="-787"/>
        <w:jc w:val="both"/>
        <w:rPr>
          <w:rFonts w:ascii="Palatino Linotype" w:eastAsia="Palatino Linotype" w:hAnsi="Palatino Linotype" w:cs="Palatino Linotype"/>
        </w:rPr>
      </w:pPr>
    </w:p>
    <w:p w:rsidR="004412E3" w:rsidRDefault="004412E3">
      <w:pPr>
        <w:spacing w:line="360" w:lineRule="auto"/>
        <w:ind w:right="-787"/>
        <w:jc w:val="both"/>
        <w:rPr>
          <w:rFonts w:ascii="Palatino Linotype" w:eastAsia="Palatino Linotype" w:hAnsi="Palatino Linotype" w:cs="Palatino Linotype"/>
        </w:rPr>
      </w:pPr>
    </w:p>
    <w:p w:rsidR="004412E3" w:rsidRDefault="004412E3">
      <w:pPr>
        <w:spacing w:line="360" w:lineRule="auto"/>
        <w:ind w:right="-787"/>
        <w:jc w:val="both"/>
        <w:rPr>
          <w:rFonts w:ascii="Palatino Linotype" w:eastAsia="Palatino Linotype" w:hAnsi="Palatino Linotype" w:cs="Palatino Linotype"/>
        </w:rPr>
      </w:pPr>
    </w:p>
    <w:p w:rsidR="004412E3" w:rsidRDefault="004412E3">
      <w:pPr>
        <w:spacing w:line="360" w:lineRule="auto"/>
        <w:ind w:right="-787"/>
        <w:jc w:val="both"/>
        <w:rPr>
          <w:rFonts w:ascii="Palatino Linotype" w:eastAsia="Palatino Linotype" w:hAnsi="Palatino Linotype" w:cs="Palatino Linotype"/>
        </w:rPr>
      </w:pPr>
    </w:p>
    <w:p w:rsidR="004412E3" w:rsidRDefault="004412E3">
      <w:pPr>
        <w:spacing w:line="360" w:lineRule="auto"/>
        <w:ind w:right="-787"/>
        <w:jc w:val="both"/>
        <w:rPr>
          <w:rFonts w:ascii="Palatino Linotype" w:eastAsia="Palatino Linotype" w:hAnsi="Palatino Linotype" w:cs="Palatino Linotype"/>
        </w:rPr>
      </w:pPr>
    </w:p>
    <w:p w:rsidR="004412E3" w:rsidRDefault="004412E3">
      <w:pPr>
        <w:spacing w:line="360" w:lineRule="auto"/>
        <w:ind w:right="-787"/>
        <w:jc w:val="both"/>
        <w:rPr>
          <w:rFonts w:ascii="Palatino Linotype" w:eastAsia="Palatino Linotype" w:hAnsi="Palatino Linotype" w:cs="Palatino Linotype"/>
        </w:rPr>
      </w:pPr>
    </w:p>
    <w:p w:rsidR="004412E3" w:rsidRDefault="004412E3">
      <w:pPr>
        <w:spacing w:line="360" w:lineRule="auto"/>
        <w:ind w:right="-787"/>
        <w:jc w:val="both"/>
        <w:rPr>
          <w:rFonts w:ascii="Palatino Linotype" w:eastAsia="Palatino Linotype" w:hAnsi="Palatino Linotype" w:cs="Palatino Linotype"/>
        </w:rPr>
      </w:pPr>
    </w:p>
    <w:p w:rsidR="004412E3" w:rsidRDefault="004412E3">
      <w:pPr>
        <w:spacing w:line="360" w:lineRule="auto"/>
        <w:ind w:right="-787"/>
        <w:jc w:val="both"/>
        <w:rPr>
          <w:rFonts w:ascii="Palatino Linotype" w:eastAsia="Palatino Linotype" w:hAnsi="Palatino Linotype" w:cs="Palatino Linotype"/>
        </w:rPr>
      </w:pPr>
    </w:p>
    <w:p w:rsidR="004412E3" w:rsidRDefault="004412E3">
      <w:pPr>
        <w:spacing w:line="360" w:lineRule="auto"/>
        <w:ind w:right="-787"/>
        <w:jc w:val="both"/>
        <w:rPr>
          <w:rFonts w:ascii="Palatino Linotype" w:eastAsia="Palatino Linotype" w:hAnsi="Palatino Linotype" w:cs="Palatino Linotype"/>
        </w:rPr>
      </w:pPr>
    </w:p>
    <w:p w:rsidR="004412E3" w:rsidRDefault="004412E3">
      <w:pPr>
        <w:spacing w:line="360" w:lineRule="auto"/>
        <w:ind w:right="-787"/>
        <w:jc w:val="both"/>
        <w:rPr>
          <w:rFonts w:ascii="Palatino Linotype" w:eastAsia="Palatino Linotype" w:hAnsi="Palatino Linotype" w:cs="Palatino Linotype"/>
        </w:rPr>
      </w:pPr>
    </w:p>
    <w:p w:rsidR="004412E3" w:rsidRDefault="004412E3">
      <w:pPr>
        <w:spacing w:line="360" w:lineRule="auto"/>
        <w:ind w:right="-787"/>
        <w:jc w:val="both"/>
        <w:rPr>
          <w:rFonts w:ascii="Palatino Linotype" w:eastAsia="Palatino Linotype" w:hAnsi="Palatino Linotype" w:cs="Palatino Linotype"/>
        </w:rPr>
      </w:pPr>
    </w:p>
    <w:p w:rsidR="004412E3" w:rsidRDefault="004412E3">
      <w:pPr>
        <w:spacing w:line="360" w:lineRule="auto"/>
        <w:ind w:right="-787"/>
        <w:rPr>
          <w:rFonts w:ascii="Palatino Linotype" w:eastAsia="Palatino Linotype" w:hAnsi="Palatino Linotype" w:cs="Palatino Linotype"/>
        </w:rPr>
      </w:pPr>
    </w:p>
    <w:p w:rsidR="004412E3" w:rsidRDefault="004412E3">
      <w:pPr>
        <w:spacing w:line="360" w:lineRule="auto"/>
        <w:ind w:right="-787"/>
        <w:rPr>
          <w:rFonts w:ascii="Palatino Linotype" w:eastAsia="Palatino Linotype" w:hAnsi="Palatino Linotype" w:cs="Palatino Linotype"/>
        </w:rPr>
      </w:pPr>
    </w:p>
    <w:p w:rsidR="004412E3" w:rsidRDefault="004412E3">
      <w:pPr>
        <w:spacing w:line="360" w:lineRule="auto"/>
        <w:ind w:right="-787"/>
        <w:rPr>
          <w:rFonts w:ascii="Palatino Linotype" w:eastAsia="Palatino Linotype" w:hAnsi="Palatino Linotype" w:cs="Palatino Linotype"/>
        </w:rPr>
      </w:pPr>
    </w:p>
    <w:p w:rsidR="004412E3" w:rsidRDefault="004412E3">
      <w:pPr>
        <w:tabs>
          <w:tab w:val="left" w:pos="3374"/>
        </w:tabs>
        <w:spacing w:line="360" w:lineRule="auto"/>
        <w:ind w:right="-787"/>
        <w:rPr>
          <w:rFonts w:ascii="Palatino Linotype" w:eastAsia="Palatino Linotype" w:hAnsi="Palatino Linotype" w:cs="Palatino Linotype"/>
        </w:rPr>
      </w:pPr>
      <w:bookmarkStart w:id="13" w:name="_heading=h.lnxbz9" w:colFirst="0" w:colLast="0"/>
      <w:bookmarkEnd w:id="13"/>
    </w:p>
    <w:p w:rsidR="004412E3" w:rsidRDefault="004412E3">
      <w:pPr>
        <w:tabs>
          <w:tab w:val="left" w:pos="3374"/>
        </w:tabs>
        <w:spacing w:line="360" w:lineRule="auto"/>
        <w:ind w:right="-787"/>
        <w:rPr>
          <w:rFonts w:ascii="Palatino Linotype" w:eastAsia="Palatino Linotype" w:hAnsi="Palatino Linotype" w:cs="Palatino Linotype"/>
        </w:rPr>
      </w:pPr>
    </w:p>
    <w:p w:rsidR="004412E3" w:rsidRDefault="004412E3">
      <w:pPr>
        <w:tabs>
          <w:tab w:val="left" w:pos="3374"/>
        </w:tabs>
        <w:spacing w:line="360" w:lineRule="auto"/>
        <w:ind w:right="-787"/>
        <w:rPr>
          <w:rFonts w:ascii="Palatino Linotype" w:eastAsia="Palatino Linotype" w:hAnsi="Palatino Linotype" w:cs="Palatino Linotype"/>
        </w:rPr>
      </w:pPr>
    </w:p>
    <w:sectPr w:rsidR="004412E3">
      <w:headerReference w:type="even" r:id="rId11"/>
      <w:headerReference w:type="default" r:id="rId12"/>
      <w:footerReference w:type="default" r:id="rId13"/>
      <w:headerReference w:type="first" r:id="rId14"/>
      <w:footerReference w:type="first" r:id="rId15"/>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0C11" w:rsidRDefault="00140C11">
      <w:r>
        <w:separator/>
      </w:r>
    </w:p>
  </w:endnote>
  <w:endnote w:type="continuationSeparator" w:id="0">
    <w:p w:rsidR="00140C11" w:rsidRDefault="00140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embedRegular r:id="rId1" w:fontKey="{DAE68D74-0A3D-46C2-9571-CB253B82A599}"/>
    <w:embedBold r:id="rId2" w:fontKey="{7B14168C-E4B0-4650-A0CF-68166DA3BFF6}"/>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3" w:fontKey="{7FA7FCAF-9151-4161-AC14-7E9255299AE9}"/>
    <w:embedBold r:id="rId4" w:fontKey="{652BB451-A6B7-4B71-AD53-AE62848DE74C}"/>
    <w:embedItalic r:id="rId5" w:fontKey="{C33872B4-C257-40D7-B4FC-0C2A3D2A8592}"/>
    <w:embedBoldItalic r:id="rId6" w:fontKey="{6C834704-296E-4BBB-AA09-65341AF4CD04}"/>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7" w:fontKey="{13EC37FE-B9FC-4B47-A054-39D76AF1AEBC}"/>
    <w:embedBold r:id="rId8" w:fontKey="{F899B939-C5D4-4E2C-82F6-545D1FBDEF6C}"/>
  </w:font>
  <w:font w:name="Georgia">
    <w:panose1 w:val="02040502050405020303"/>
    <w:charset w:val="00"/>
    <w:family w:val="roman"/>
    <w:pitch w:val="variable"/>
    <w:sig w:usb0="00000287" w:usb1="00000000" w:usb2="00000000" w:usb3="00000000" w:csb0="0000009F" w:csb1="00000000"/>
    <w:embedItalic r:id="rId9" w:fontKey="{15C30CC8-28F6-4A69-B552-E7C388DE1E61}"/>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0" w:fontKey="{52F72330-075C-43C6-BB01-0F667A89E2F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2E3" w:rsidRDefault="00804973">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2E7A83">
      <w:rPr>
        <w:rFonts w:ascii="Palatino Linotype" w:eastAsia="Palatino Linotype" w:hAnsi="Palatino Linotype" w:cs="Palatino Linotype"/>
        <w:noProof/>
        <w:color w:val="000000"/>
        <w:sz w:val="22"/>
        <w:szCs w:val="22"/>
      </w:rPr>
      <w:t>44</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2E7A83">
      <w:rPr>
        <w:rFonts w:ascii="Palatino Linotype" w:eastAsia="Palatino Linotype" w:hAnsi="Palatino Linotype" w:cs="Palatino Linotype"/>
        <w:noProof/>
        <w:color w:val="000000"/>
        <w:sz w:val="22"/>
        <w:szCs w:val="22"/>
      </w:rPr>
      <w:t>45</w:t>
    </w:r>
    <w:r>
      <w:rPr>
        <w:rFonts w:ascii="Palatino Linotype" w:eastAsia="Palatino Linotype" w:hAnsi="Palatino Linotype" w:cs="Palatino Linotype"/>
        <w:color w:val="000000"/>
        <w:sz w:val="22"/>
        <w:szCs w:val="22"/>
      </w:rPr>
      <w:fldChar w:fldCharType="end"/>
    </w:r>
  </w:p>
  <w:p w:rsidR="004412E3" w:rsidRDefault="004412E3">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2E3" w:rsidRDefault="00804973">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2E7A83">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2E7A83">
      <w:rPr>
        <w:rFonts w:ascii="Palatino Linotype" w:eastAsia="Palatino Linotype" w:hAnsi="Palatino Linotype" w:cs="Palatino Linotype"/>
        <w:noProof/>
        <w:color w:val="000000"/>
        <w:sz w:val="22"/>
        <w:szCs w:val="22"/>
      </w:rPr>
      <w:t>45</w:t>
    </w:r>
    <w:r>
      <w:rPr>
        <w:rFonts w:ascii="Palatino Linotype" w:eastAsia="Palatino Linotype" w:hAnsi="Palatino Linotype" w:cs="Palatino Linotype"/>
        <w:color w:val="000000"/>
        <w:sz w:val="22"/>
        <w:szCs w:val="22"/>
      </w:rPr>
      <w:fldChar w:fldCharType="end"/>
    </w:r>
  </w:p>
  <w:p w:rsidR="004412E3" w:rsidRDefault="004412E3">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0C11" w:rsidRDefault="00140C11">
      <w:r>
        <w:separator/>
      </w:r>
    </w:p>
  </w:footnote>
  <w:footnote w:type="continuationSeparator" w:id="0">
    <w:p w:rsidR="00140C11" w:rsidRDefault="00140C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12E3" w:rsidRDefault="00140C11">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6750" w:type="dxa"/>
      <w:tblInd w:w="3261" w:type="dxa"/>
      <w:tblLayout w:type="fixed"/>
      <w:tblLook w:val="0400" w:firstRow="0" w:lastRow="0" w:firstColumn="0" w:lastColumn="0" w:noHBand="0" w:noVBand="1"/>
    </w:tblPr>
    <w:tblGrid>
      <w:gridCol w:w="2889"/>
      <w:gridCol w:w="3861"/>
    </w:tblGrid>
    <w:tr w:rsidR="004412E3">
      <w:trPr>
        <w:trHeight w:val="227"/>
      </w:trPr>
      <w:tc>
        <w:tcPr>
          <w:tcW w:w="2889" w:type="dxa"/>
        </w:tcPr>
        <w:p w:rsidR="004412E3" w:rsidRDefault="00804973">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861" w:type="dxa"/>
        </w:tcPr>
        <w:p w:rsidR="004412E3" w:rsidRDefault="00804973">
          <w:pPr>
            <w:pBdr>
              <w:top w:val="nil"/>
              <w:left w:val="nil"/>
              <w:bottom w:val="nil"/>
              <w:right w:val="nil"/>
              <w:between w:val="nil"/>
            </w:pBdr>
            <w:tabs>
              <w:tab w:val="right" w:pos="8838"/>
            </w:tabs>
            <w:ind w:right="-1285"/>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01648/INFOEM/IP/RR/2026</w:t>
          </w:r>
        </w:p>
      </w:tc>
    </w:tr>
    <w:tr w:rsidR="004412E3">
      <w:trPr>
        <w:trHeight w:val="342"/>
      </w:trPr>
      <w:tc>
        <w:tcPr>
          <w:tcW w:w="2889" w:type="dxa"/>
        </w:tcPr>
        <w:p w:rsidR="004412E3" w:rsidRDefault="00804973">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861" w:type="dxa"/>
        </w:tcPr>
        <w:p w:rsidR="004412E3" w:rsidRDefault="00804973">
          <w:pPr>
            <w:pBdr>
              <w:top w:val="nil"/>
              <w:left w:val="nil"/>
              <w:bottom w:val="nil"/>
              <w:right w:val="nil"/>
              <w:between w:val="nil"/>
            </w:pBdr>
            <w:tabs>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Acambay de Ruíz Castañeda</w:t>
          </w:r>
        </w:p>
      </w:tc>
    </w:tr>
    <w:tr w:rsidR="004412E3">
      <w:trPr>
        <w:trHeight w:val="342"/>
      </w:trPr>
      <w:tc>
        <w:tcPr>
          <w:tcW w:w="2889" w:type="dxa"/>
        </w:tcPr>
        <w:p w:rsidR="004412E3" w:rsidRDefault="00804973">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861" w:type="dxa"/>
        </w:tcPr>
        <w:p w:rsidR="004412E3" w:rsidRDefault="00804973">
          <w:pPr>
            <w:pBdr>
              <w:top w:val="nil"/>
              <w:left w:val="nil"/>
              <w:bottom w:val="nil"/>
              <w:right w:val="nil"/>
              <w:between w:val="nil"/>
            </w:pBdr>
            <w:tabs>
              <w:tab w:val="right" w:pos="8838"/>
            </w:tabs>
            <w:ind w:right="-1285"/>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4412E3" w:rsidRDefault="00140C11">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6750" w:type="dxa"/>
      <w:tblInd w:w="3261" w:type="dxa"/>
      <w:tblLayout w:type="fixed"/>
      <w:tblLook w:val="0400" w:firstRow="0" w:lastRow="0" w:firstColumn="0" w:lastColumn="0" w:noHBand="0" w:noVBand="1"/>
    </w:tblPr>
    <w:tblGrid>
      <w:gridCol w:w="2889"/>
      <w:gridCol w:w="3861"/>
    </w:tblGrid>
    <w:tr w:rsidR="004412E3">
      <w:trPr>
        <w:trHeight w:val="227"/>
      </w:trPr>
      <w:tc>
        <w:tcPr>
          <w:tcW w:w="2889" w:type="dxa"/>
        </w:tcPr>
        <w:p w:rsidR="004412E3" w:rsidRDefault="00804973">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861" w:type="dxa"/>
        </w:tcPr>
        <w:p w:rsidR="004412E3" w:rsidRDefault="00804973">
          <w:pPr>
            <w:pBdr>
              <w:top w:val="nil"/>
              <w:left w:val="nil"/>
              <w:bottom w:val="nil"/>
              <w:right w:val="nil"/>
              <w:between w:val="nil"/>
            </w:pBdr>
            <w:tabs>
              <w:tab w:val="right" w:pos="8838"/>
            </w:tabs>
            <w:ind w:right="-1285"/>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01648/INFOEM/IP/RR/2026</w:t>
          </w:r>
        </w:p>
      </w:tc>
    </w:tr>
    <w:tr w:rsidR="004412E3">
      <w:trPr>
        <w:trHeight w:val="242"/>
      </w:trPr>
      <w:tc>
        <w:tcPr>
          <w:tcW w:w="2889" w:type="dxa"/>
        </w:tcPr>
        <w:p w:rsidR="004412E3" w:rsidRDefault="00804973">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3861" w:type="dxa"/>
        </w:tcPr>
        <w:p w:rsidR="004412E3" w:rsidRDefault="004412E3">
          <w:pPr>
            <w:pBdr>
              <w:top w:val="nil"/>
              <w:left w:val="nil"/>
              <w:bottom w:val="nil"/>
              <w:right w:val="nil"/>
              <w:between w:val="nil"/>
            </w:pBdr>
            <w:tabs>
              <w:tab w:val="right" w:pos="8838"/>
              <w:tab w:val="left" w:pos="521"/>
            </w:tabs>
            <w:rPr>
              <w:rFonts w:ascii="Palatino Linotype" w:eastAsia="Palatino Linotype" w:hAnsi="Palatino Linotype" w:cs="Palatino Linotype"/>
              <w:color w:val="000000"/>
              <w:highlight w:val="green"/>
            </w:rPr>
          </w:pPr>
        </w:p>
      </w:tc>
    </w:tr>
    <w:tr w:rsidR="004412E3">
      <w:trPr>
        <w:trHeight w:val="342"/>
      </w:trPr>
      <w:tc>
        <w:tcPr>
          <w:tcW w:w="2889" w:type="dxa"/>
        </w:tcPr>
        <w:p w:rsidR="004412E3" w:rsidRDefault="00804973">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861" w:type="dxa"/>
        </w:tcPr>
        <w:p w:rsidR="004412E3" w:rsidRDefault="00804973">
          <w:pPr>
            <w:pBdr>
              <w:top w:val="nil"/>
              <w:left w:val="nil"/>
              <w:bottom w:val="nil"/>
              <w:right w:val="nil"/>
              <w:between w:val="nil"/>
            </w:pBdr>
            <w:tabs>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Acambay de Ruíz Castañeda</w:t>
          </w:r>
        </w:p>
      </w:tc>
    </w:tr>
    <w:tr w:rsidR="004412E3">
      <w:trPr>
        <w:trHeight w:val="342"/>
      </w:trPr>
      <w:tc>
        <w:tcPr>
          <w:tcW w:w="2889" w:type="dxa"/>
        </w:tcPr>
        <w:p w:rsidR="004412E3" w:rsidRDefault="00804973">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861" w:type="dxa"/>
        </w:tcPr>
        <w:p w:rsidR="004412E3" w:rsidRDefault="00804973">
          <w:pPr>
            <w:pBdr>
              <w:top w:val="nil"/>
              <w:left w:val="nil"/>
              <w:bottom w:val="nil"/>
              <w:right w:val="nil"/>
              <w:between w:val="nil"/>
            </w:pBdr>
            <w:tabs>
              <w:tab w:val="right" w:pos="8838"/>
            </w:tabs>
            <w:ind w:right="-1285"/>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4412E3" w:rsidRDefault="00140C11">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C2496"/>
    <w:multiLevelType w:val="multilevel"/>
    <w:tmpl w:val="763EC5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55022BE"/>
    <w:multiLevelType w:val="multilevel"/>
    <w:tmpl w:val="F5EAAA24"/>
    <w:lvl w:ilvl="0">
      <w:start w:val="1"/>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5D515A"/>
    <w:multiLevelType w:val="multilevel"/>
    <w:tmpl w:val="4CCA74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A6C01CE"/>
    <w:multiLevelType w:val="multilevel"/>
    <w:tmpl w:val="C2E2D74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B3945A6"/>
    <w:multiLevelType w:val="multilevel"/>
    <w:tmpl w:val="7194DEA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3EB30804"/>
    <w:multiLevelType w:val="multilevel"/>
    <w:tmpl w:val="8374958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50A33D59"/>
    <w:multiLevelType w:val="multilevel"/>
    <w:tmpl w:val="7B8E7B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5C9E5AEC"/>
    <w:multiLevelType w:val="multilevel"/>
    <w:tmpl w:val="B3DA5E5C"/>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8" w15:restartNumberingAfterBreak="0">
    <w:nsid w:val="610E31A9"/>
    <w:multiLevelType w:val="multilevel"/>
    <w:tmpl w:val="A3C68B2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62662874"/>
    <w:multiLevelType w:val="multilevel"/>
    <w:tmpl w:val="49A0D5D2"/>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0" w15:restartNumberingAfterBreak="0">
    <w:nsid w:val="7187178C"/>
    <w:multiLevelType w:val="multilevel"/>
    <w:tmpl w:val="2090B052"/>
    <w:lvl w:ilvl="0">
      <w:start w:val="1"/>
      <w:numFmt w:val="upperRoman"/>
      <w:lvlText w:val="%1."/>
      <w:lvlJc w:val="left"/>
      <w:pPr>
        <w:ind w:left="1080" w:hanging="720"/>
      </w:pPr>
      <w:rPr>
        <w:rFonts w:ascii="Times New Roman" w:eastAsia="Times New Roman" w:hAnsi="Times New Roman" w:cs="Times New Roman"/>
        <w:b/>
        <w:bCs/>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18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180"/>
      </w:pPr>
      <w:rPr>
        <w:rFonts w:ascii="Times New Roman" w:eastAsia="Times New Roman" w:hAnsi="Times New Roman" w:cs="Times New Roman"/>
      </w:rPr>
    </w:lvl>
  </w:abstractNum>
  <w:abstractNum w:abstractNumId="11" w15:restartNumberingAfterBreak="0">
    <w:nsid w:val="74C86ECD"/>
    <w:multiLevelType w:val="multilevel"/>
    <w:tmpl w:val="1B248F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0"/>
  </w:num>
  <w:num w:numId="3">
    <w:abstractNumId w:val="2"/>
  </w:num>
  <w:num w:numId="4">
    <w:abstractNumId w:val="10"/>
  </w:num>
  <w:num w:numId="5">
    <w:abstractNumId w:val="8"/>
  </w:num>
  <w:num w:numId="6">
    <w:abstractNumId w:val="4"/>
  </w:num>
  <w:num w:numId="7">
    <w:abstractNumId w:val="9"/>
  </w:num>
  <w:num w:numId="8">
    <w:abstractNumId w:val="3"/>
  </w:num>
  <w:num w:numId="9">
    <w:abstractNumId w:val="1"/>
  </w:num>
  <w:num w:numId="10">
    <w:abstractNumId w:val="7"/>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2E3"/>
    <w:rsid w:val="00140C11"/>
    <w:rsid w:val="0027653B"/>
    <w:rsid w:val="002E7A83"/>
    <w:rsid w:val="004412E3"/>
    <w:rsid w:val="00504A48"/>
    <w:rsid w:val="0071306A"/>
    <w:rsid w:val="00764966"/>
    <w:rsid w:val="00804973"/>
    <w:rsid w:val="00B97178"/>
    <w:rsid w:val="00C56A4B"/>
    <w:rsid w:val="00EF6B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337A1797-CAAE-4575-AB52-F40AC6099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764966"/>
    <w:pPr>
      <w:tabs>
        <w:tab w:val="center" w:pos="4419"/>
        <w:tab w:val="right" w:pos="8838"/>
      </w:tabs>
    </w:pPr>
  </w:style>
  <w:style w:type="character" w:customStyle="1" w:styleId="PiedepginaCar">
    <w:name w:val="Pie de página Car"/>
    <w:basedOn w:val="Fuentedeprrafopredeter"/>
    <w:link w:val="Piedepgina"/>
    <w:uiPriority w:val="99"/>
    <w:rsid w:val="00764966"/>
  </w:style>
  <w:style w:type="paragraph" w:styleId="Prrafodelista">
    <w:name w:val="List Paragraph"/>
    <w:basedOn w:val="Normal"/>
    <w:uiPriority w:val="34"/>
    <w:qFormat/>
    <w:rsid w:val="007649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omawww.sat.gob.mx/tramitesyservicios/paginas/documentos/anexo20_2022.pdf"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r2Dh+wuUk/xE+pLFYpbFh7jqbQ==">CgMxLjAyCGguZ2pkZ3hzMgloLjMwajB6bGwyCWguMWZvYjl0ZTIJaC4zem55c2g3MgloLjJldDkycDAyCWguMXQzaDVzZjIJaC4yczhleW8xMg5oLm95Y2d0d2tocHUwaTIJaC4xa3N2NHV2Mg5oLmtuejV5dWF1aGp0djIJaC4zcmRjcmpuMghoLmxueGJ6OTgAciExd1NaMHZ1SS1aVzZQWndQUTBSeGpLVUZfMXBLYldzNlg=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45</Pages>
  <Words>12314</Words>
  <Characters>67727</Characters>
  <Application>Microsoft Office Word</Application>
  <DocSecurity>0</DocSecurity>
  <Lines>564</Lines>
  <Paragraphs>159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79882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2026-06-12T16:55:00Z</cp:lastPrinted>
  <dcterms:created xsi:type="dcterms:W3CDTF">2026-06-10T01:31:00Z</dcterms:created>
  <dcterms:modified xsi:type="dcterms:W3CDTF">2026-06-16T19:00:00Z</dcterms:modified>
</cp:coreProperties>
</file>