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FE640" w14:textId="1A81AED6" w:rsidR="005A75CA" w:rsidRPr="0061511A" w:rsidRDefault="00E96B90" w:rsidP="00D7204E">
      <w:pPr>
        <w:spacing w:before="240" w:after="240" w:line="360" w:lineRule="auto"/>
        <w:jc w:val="both"/>
        <w:rPr>
          <w:rFonts w:ascii="Palatino Linotype" w:eastAsia="Palatino Linotype" w:hAnsi="Palatino Linotype" w:cs="Palatino Linotype"/>
          <w:sz w:val="22"/>
          <w:szCs w:val="22"/>
        </w:rPr>
      </w:pPr>
      <w:bookmarkStart w:id="0" w:name="_heading=h.3rdcrjn" w:colFirst="0" w:colLast="0"/>
      <w:bookmarkEnd w:id="0"/>
      <w:r w:rsidRPr="0061511A">
        <w:rPr>
          <w:rFonts w:ascii="Palatino Linotype" w:eastAsia="Palatino Linotype" w:hAnsi="Palatino Linotype" w:cs="Palatino Linotype"/>
          <w:sz w:val="22"/>
          <w:szCs w:val="22"/>
        </w:rPr>
        <w:t>Resolución del Pleno del Instituto de Transparencia, Acceso a la Información Pública y Protección de Datos Personales del Estado de México y Municipios, con domicilio en Me</w:t>
      </w:r>
      <w:r w:rsidR="00FB77D5" w:rsidRPr="0061511A">
        <w:rPr>
          <w:rFonts w:ascii="Palatino Linotype" w:eastAsia="Palatino Linotype" w:hAnsi="Palatino Linotype" w:cs="Palatino Linotype"/>
          <w:sz w:val="22"/>
          <w:szCs w:val="22"/>
        </w:rPr>
        <w:t xml:space="preserve">tepec, Estado de México, a </w:t>
      </w:r>
      <w:r w:rsidR="00F5124A" w:rsidRPr="0061511A">
        <w:rPr>
          <w:rFonts w:ascii="Palatino Linotype" w:eastAsia="Palatino Linotype" w:hAnsi="Palatino Linotype" w:cs="Palatino Linotype"/>
          <w:sz w:val="22"/>
          <w:szCs w:val="22"/>
        </w:rPr>
        <w:t>diecisiete</w:t>
      </w:r>
      <w:r w:rsidR="002B6976" w:rsidRPr="0061511A">
        <w:rPr>
          <w:rFonts w:ascii="Palatino Linotype" w:eastAsia="Palatino Linotype" w:hAnsi="Palatino Linotype" w:cs="Palatino Linotype"/>
          <w:sz w:val="22"/>
          <w:szCs w:val="22"/>
        </w:rPr>
        <w:t xml:space="preserve"> de septiembre</w:t>
      </w:r>
      <w:r w:rsidR="00AD7F25" w:rsidRPr="0061511A">
        <w:rPr>
          <w:rFonts w:ascii="Palatino Linotype" w:eastAsia="Palatino Linotype" w:hAnsi="Palatino Linotype" w:cs="Palatino Linotype"/>
          <w:sz w:val="22"/>
          <w:szCs w:val="22"/>
        </w:rPr>
        <w:t xml:space="preserve"> </w:t>
      </w:r>
      <w:r w:rsidR="0001490F" w:rsidRPr="0061511A">
        <w:rPr>
          <w:rFonts w:ascii="Palatino Linotype" w:eastAsia="Palatino Linotype" w:hAnsi="Palatino Linotype" w:cs="Palatino Linotype"/>
          <w:sz w:val="22"/>
          <w:szCs w:val="22"/>
        </w:rPr>
        <w:t>de dos mil veintiséis</w:t>
      </w:r>
      <w:r w:rsidRPr="0061511A">
        <w:rPr>
          <w:rFonts w:ascii="Palatino Linotype" w:eastAsia="Palatino Linotype" w:hAnsi="Palatino Linotype" w:cs="Palatino Linotype"/>
          <w:sz w:val="22"/>
          <w:szCs w:val="22"/>
        </w:rPr>
        <w:t xml:space="preserve">. </w:t>
      </w:r>
    </w:p>
    <w:p w14:paraId="30E0E444" w14:textId="3F23747C" w:rsidR="005A75CA" w:rsidRPr="0061511A" w:rsidRDefault="00E96B90" w:rsidP="00D7204E">
      <w:pPr>
        <w:tabs>
          <w:tab w:val="left" w:pos="5812"/>
        </w:tabs>
        <w:spacing w:before="240" w:after="240" w:line="360" w:lineRule="auto"/>
        <w:jc w:val="both"/>
        <w:rPr>
          <w:rFonts w:ascii="Palatino Linotype" w:eastAsia="Palatino Linotype" w:hAnsi="Palatino Linotype" w:cs="Palatino Linotype"/>
          <w:sz w:val="22"/>
          <w:szCs w:val="22"/>
        </w:rPr>
      </w:pPr>
      <w:bookmarkStart w:id="1" w:name="_heading=h.daj3j2xo6q66" w:colFirst="0" w:colLast="0"/>
      <w:bookmarkEnd w:id="1"/>
      <w:r w:rsidRPr="0061511A">
        <w:rPr>
          <w:rFonts w:ascii="Palatino Linotype" w:eastAsia="Palatino Linotype" w:hAnsi="Palatino Linotype" w:cs="Palatino Linotype"/>
          <w:b/>
          <w:sz w:val="22"/>
          <w:szCs w:val="22"/>
        </w:rPr>
        <w:t>VISTO</w:t>
      </w:r>
      <w:r w:rsidRPr="0061511A">
        <w:rPr>
          <w:rFonts w:ascii="Palatino Linotype" w:eastAsia="Palatino Linotype" w:hAnsi="Palatino Linotype" w:cs="Palatino Linotype"/>
          <w:sz w:val="22"/>
          <w:szCs w:val="22"/>
        </w:rPr>
        <w:t xml:space="preserve"> el expediente formado con motivo del recurso de revisión </w:t>
      </w:r>
      <w:r w:rsidR="0001490F" w:rsidRPr="0061511A">
        <w:rPr>
          <w:rFonts w:ascii="Palatino Linotype" w:eastAsia="Palatino Linotype" w:hAnsi="Palatino Linotype" w:cs="Palatino Linotype"/>
          <w:b/>
          <w:sz w:val="22"/>
          <w:szCs w:val="22"/>
        </w:rPr>
        <w:t>0</w:t>
      </w:r>
      <w:r w:rsidR="00F5124A" w:rsidRPr="0061511A">
        <w:rPr>
          <w:rFonts w:ascii="Palatino Linotype" w:eastAsia="Palatino Linotype" w:hAnsi="Palatino Linotype" w:cs="Palatino Linotype"/>
          <w:b/>
          <w:sz w:val="22"/>
          <w:szCs w:val="22"/>
        </w:rPr>
        <w:t>2946</w:t>
      </w:r>
      <w:r w:rsidR="0001490F" w:rsidRPr="0061511A">
        <w:rPr>
          <w:rFonts w:ascii="Palatino Linotype" w:eastAsia="Palatino Linotype" w:hAnsi="Palatino Linotype" w:cs="Palatino Linotype"/>
          <w:b/>
          <w:sz w:val="22"/>
          <w:szCs w:val="22"/>
        </w:rPr>
        <w:t>/INFOEM/IP/RR/2026</w:t>
      </w:r>
      <w:r w:rsidRPr="0061511A">
        <w:rPr>
          <w:rFonts w:ascii="Palatino Linotype" w:eastAsia="Palatino Linotype" w:hAnsi="Palatino Linotype" w:cs="Palatino Linotype"/>
          <w:sz w:val="22"/>
          <w:szCs w:val="22"/>
        </w:rPr>
        <w:t>, interpuesto por</w:t>
      </w:r>
      <w:r w:rsidRPr="0061511A">
        <w:rPr>
          <w:rFonts w:ascii="Palatino Linotype" w:eastAsia="Palatino Linotype" w:hAnsi="Palatino Linotype" w:cs="Palatino Linotype"/>
          <w:b/>
          <w:sz w:val="22"/>
          <w:szCs w:val="22"/>
        </w:rPr>
        <w:t xml:space="preserve"> </w:t>
      </w:r>
      <w:r w:rsidR="00F5124A" w:rsidRPr="0061511A">
        <w:rPr>
          <w:rFonts w:ascii="Palatino Linotype" w:eastAsia="Palatino Linotype" w:hAnsi="Palatino Linotype" w:cs="Palatino Linotype"/>
          <w:b/>
          <w:sz w:val="22"/>
          <w:szCs w:val="22"/>
        </w:rPr>
        <w:t>una persona que no proporcionó nombre o seudónimo para ser identificado</w:t>
      </w:r>
      <w:r w:rsidRPr="0061511A">
        <w:rPr>
          <w:rFonts w:ascii="Palatino Linotype" w:eastAsia="Palatino Linotype" w:hAnsi="Palatino Linotype" w:cs="Palatino Linotype"/>
          <w:b/>
          <w:sz w:val="22"/>
          <w:szCs w:val="22"/>
        </w:rPr>
        <w:t>,</w:t>
      </w:r>
      <w:r w:rsidRPr="0061511A">
        <w:rPr>
          <w:rFonts w:ascii="Palatino Linotype" w:eastAsia="Palatino Linotype" w:hAnsi="Palatino Linotype" w:cs="Palatino Linotype"/>
          <w:sz w:val="22"/>
          <w:szCs w:val="22"/>
        </w:rPr>
        <w:t xml:space="preserve"> en lo sucesivo</w:t>
      </w:r>
      <w:r w:rsidRPr="0061511A">
        <w:rPr>
          <w:rFonts w:ascii="Palatino Linotype" w:eastAsia="Palatino Linotype" w:hAnsi="Palatino Linotype" w:cs="Palatino Linotype"/>
          <w:b/>
          <w:sz w:val="22"/>
          <w:szCs w:val="22"/>
        </w:rPr>
        <w:t xml:space="preserve"> </w:t>
      </w:r>
      <w:r w:rsidRPr="0061511A">
        <w:rPr>
          <w:rFonts w:ascii="Palatino Linotype" w:eastAsia="Palatino Linotype" w:hAnsi="Palatino Linotype" w:cs="Palatino Linotype"/>
          <w:sz w:val="22"/>
          <w:szCs w:val="22"/>
        </w:rPr>
        <w:t xml:space="preserve">la parte </w:t>
      </w:r>
      <w:r w:rsidRPr="0061511A">
        <w:rPr>
          <w:rFonts w:ascii="Palatino Linotype" w:eastAsia="Palatino Linotype" w:hAnsi="Palatino Linotype" w:cs="Palatino Linotype"/>
          <w:b/>
          <w:sz w:val="22"/>
          <w:szCs w:val="22"/>
        </w:rPr>
        <w:t>Recurrente,</w:t>
      </w:r>
      <w:r w:rsidRPr="0061511A">
        <w:rPr>
          <w:rFonts w:ascii="Palatino Linotype" w:eastAsia="Palatino Linotype" w:hAnsi="Palatino Linotype" w:cs="Palatino Linotype"/>
          <w:sz w:val="22"/>
          <w:szCs w:val="22"/>
        </w:rPr>
        <w:t xml:space="preserve"> en contra de la </w:t>
      </w:r>
      <w:r w:rsidR="00F5124A" w:rsidRPr="0061511A">
        <w:rPr>
          <w:rFonts w:ascii="Palatino Linotype" w:eastAsia="Palatino Linotype" w:hAnsi="Palatino Linotype" w:cs="Palatino Linotype"/>
          <w:sz w:val="22"/>
          <w:szCs w:val="22"/>
        </w:rPr>
        <w:t xml:space="preserve">falta de </w:t>
      </w:r>
      <w:r w:rsidRPr="0061511A">
        <w:rPr>
          <w:rFonts w:ascii="Palatino Linotype" w:eastAsia="Palatino Linotype" w:hAnsi="Palatino Linotype" w:cs="Palatino Linotype"/>
          <w:sz w:val="22"/>
          <w:szCs w:val="22"/>
        </w:rPr>
        <w:t>respuesta a la solicitud de información con número de folio</w:t>
      </w:r>
      <w:r w:rsidRPr="0061511A">
        <w:rPr>
          <w:rFonts w:ascii="Palatino Linotype" w:eastAsia="Palatino Linotype" w:hAnsi="Palatino Linotype" w:cs="Palatino Linotype"/>
          <w:b/>
          <w:sz w:val="22"/>
          <w:szCs w:val="22"/>
        </w:rPr>
        <w:t xml:space="preserve"> </w:t>
      </w:r>
      <w:r w:rsidR="00F5124A" w:rsidRPr="0061511A">
        <w:rPr>
          <w:rFonts w:ascii="Palatino Linotype" w:eastAsia="Palatino Linotype" w:hAnsi="Palatino Linotype" w:cs="Palatino Linotype"/>
          <w:b/>
          <w:sz w:val="22"/>
          <w:szCs w:val="22"/>
        </w:rPr>
        <w:t>00002/DIFLAPAZ/IP/2026</w:t>
      </w:r>
      <w:r w:rsidRPr="0061511A">
        <w:rPr>
          <w:rFonts w:ascii="Palatino Linotype" w:eastAsia="Palatino Linotype" w:hAnsi="Palatino Linotype" w:cs="Palatino Linotype"/>
          <w:b/>
          <w:sz w:val="22"/>
          <w:szCs w:val="22"/>
        </w:rPr>
        <w:t xml:space="preserve">, </w:t>
      </w:r>
      <w:r w:rsidRPr="0061511A">
        <w:rPr>
          <w:rFonts w:ascii="Palatino Linotype" w:eastAsia="Palatino Linotype" w:hAnsi="Palatino Linotype" w:cs="Palatino Linotype"/>
          <w:sz w:val="22"/>
          <w:szCs w:val="22"/>
        </w:rPr>
        <w:t xml:space="preserve">por parte del </w:t>
      </w:r>
      <w:r w:rsidR="00F5124A" w:rsidRPr="0061511A">
        <w:rPr>
          <w:rFonts w:ascii="Palatino Linotype" w:eastAsia="Palatino Linotype" w:hAnsi="Palatino Linotype" w:cs="Palatino Linotype"/>
          <w:b/>
          <w:sz w:val="22"/>
          <w:szCs w:val="22"/>
        </w:rPr>
        <w:t>Sistema Municipal Para el Desarrollo Integral de la Familia de la Paz</w:t>
      </w:r>
      <w:r w:rsidRPr="0061511A">
        <w:rPr>
          <w:rFonts w:ascii="Palatino Linotype" w:eastAsia="Palatino Linotype" w:hAnsi="Palatino Linotype" w:cs="Palatino Linotype"/>
          <w:b/>
          <w:sz w:val="22"/>
          <w:szCs w:val="22"/>
        </w:rPr>
        <w:t xml:space="preserve">, </w:t>
      </w:r>
      <w:r w:rsidRPr="0061511A">
        <w:rPr>
          <w:rFonts w:ascii="Palatino Linotype" w:eastAsia="Palatino Linotype" w:hAnsi="Palatino Linotype" w:cs="Palatino Linotype"/>
          <w:sz w:val="22"/>
          <w:szCs w:val="22"/>
        </w:rPr>
        <w:t xml:space="preserve">en lo sucesivo el </w:t>
      </w:r>
      <w:r w:rsidRPr="0061511A">
        <w:rPr>
          <w:rFonts w:ascii="Palatino Linotype" w:eastAsia="Palatino Linotype" w:hAnsi="Palatino Linotype" w:cs="Palatino Linotype"/>
          <w:b/>
          <w:sz w:val="22"/>
          <w:szCs w:val="22"/>
        </w:rPr>
        <w:t xml:space="preserve">Sujeto Obligado, </w:t>
      </w:r>
      <w:r w:rsidRPr="0061511A">
        <w:rPr>
          <w:rFonts w:ascii="Palatino Linotype" w:eastAsia="Palatino Linotype" w:hAnsi="Palatino Linotype" w:cs="Palatino Linotype"/>
          <w:sz w:val="22"/>
          <w:szCs w:val="22"/>
        </w:rPr>
        <w:t xml:space="preserve">se procede a dictar la presente resolución con base en los siguientes: </w:t>
      </w:r>
    </w:p>
    <w:p w14:paraId="3EA1D554" w14:textId="77777777" w:rsidR="005A75CA" w:rsidRPr="0061511A" w:rsidRDefault="00E96B90" w:rsidP="00D7204E">
      <w:pPr>
        <w:spacing w:before="240" w:after="240" w:line="360" w:lineRule="auto"/>
        <w:jc w:val="center"/>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I. A N T E C E D E N T E S</w:t>
      </w:r>
    </w:p>
    <w:p w14:paraId="6181BC13" w14:textId="4C778E43" w:rsidR="005A75CA" w:rsidRPr="0061511A" w:rsidRDefault="00E96B90" w:rsidP="00D7204E">
      <w:pPr>
        <w:spacing w:before="240" w:after="240" w:line="360" w:lineRule="auto"/>
        <w:jc w:val="both"/>
        <w:rPr>
          <w:rFonts w:ascii="Palatino Linotype" w:eastAsia="Palatino Linotype" w:hAnsi="Palatino Linotype" w:cs="Palatino Linotype"/>
          <w:sz w:val="22"/>
          <w:szCs w:val="22"/>
        </w:rPr>
      </w:pPr>
      <w:bookmarkStart w:id="2" w:name="_heading=h.gjdgxs" w:colFirst="0" w:colLast="0"/>
      <w:bookmarkEnd w:id="2"/>
      <w:r w:rsidRPr="0061511A">
        <w:rPr>
          <w:rFonts w:ascii="Palatino Linotype" w:eastAsia="Palatino Linotype" w:hAnsi="Palatino Linotype" w:cs="Palatino Linotype"/>
          <w:b/>
          <w:sz w:val="22"/>
          <w:szCs w:val="22"/>
        </w:rPr>
        <w:t>1. Solicitud de acceso a la información.</w:t>
      </w:r>
      <w:r w:rsidRPr="0061511A">
        <w:rPr>
          <w:rFonts w:ascii="Palatino Linotype" w:eastAsia="Palatino Linotype" w:hAnsi="Palatino Linotype" w:cs="Palatino Linotype"/>
          <w:sz w:val="22"/>
          <w:szCs w:val="22"/>
        </w:rPr>
        <w:t xml:space="preserve"> El</w:t>
      </w:r>
      <w:r w:rsidR="009F27C0" w:rsidRPr="0061511A">
        <w:rPr>
          <w:rFonts w:ascii="Palatino Linotype" w:eastAsia="Palatino Linotype" w:hAnsi="Palatino Linotype" w:cs="Palatino Linotype"/>
          <w:sz w:val="22"/>
          <w:szCs w:val="22"/>
        </w:rPr>
        <w:t xml:space="preserve"> </w:t>
      </w:r>
      <w:r w:rsidR="00F5124A" w:rsidRPr="0061511A">
        <w:rPr>
          <w:rFonts w:ascii="Palatino Linotype" w:eastAsia="Palatino Linotype" w:hAnsi="Palatino Linotype" w:cs="Palatino Linotype"/>
          <w:b/>
          <w:sz w:val="22"/>
          <w:szCs w:val="22"/>
        </w:rPr>
        <w:t>cinco de febrero</w:t>
      </w:r>
      <w:r w:rsidR="009F27C0" w:rsidRPr="0061511A">
        <w:rPr>
          <w:rFonts w:ascii="Palatino Linotype" w:eastAsia="Palatino Linotype" w:hAnsi="Palatino Linotype" w:cs="Palatino Linotype"/>
          <w:b/>
          <w:sz w:val="22"/>
          <w:szCs w:val="22"/>
        </w:rPr>
        <w:t xml:space="preserve"> de dos mil veintiséis</w:t>
      </w:r>
      <w:r w:rsidRPr="0061511A">
        <w:rPr>
          <w:rFonts w:ascii="Palatino Linotype" w:eastAsia="Palatino Linotype" w:hAnsi="Palatino Linotype" w:cs="Palatino Linotype"/>
          <w:b/>
          <w:sz w:val="22"/>
          <w:szCs w:val="22"/>
        </w:rPr>
        <w:t>,</w:t>
      </w:r>
      <w:r w:rsidRPr="0061511A">
        <w:rPr>
          <w:rFonts w:ascii="Palatino Linotype" w:eastAsia="Palatino Linotype" w:hAnsi="Palatino Linotype" w:cs="Palatino Linotype"/>
          <w:sz w:val="22"/>
          <w:szCs w:val="22"/>
        </w:rPr>
        <w:t xml:space="preserve"> la parte </w:t>
      </w:r>
      <w:r w:rsidRPr="0061511A">
        <w:rPr>
          <w:rFonts w:ascii="Palatino Linotype" w:eastAsia="Palatino Linotype" w:hAnsi="Palatino Linotype" w:cs="Palatino Linotype"/>
          <w:b/>
          <w:sz w:val="22"/>
          <w:szCs w:val="22"/>
        </w:rPr>
        <w:t xml:space="preserve">Recurrente </w:t>
      </w:r>
      <w:r w:rsidRPr="0061511A">
        <w:rPr>
          <w:rFonts w:ascii="Palatino Linotype" w:eastAsia="Palatino Linotype" w:hAnsi="Palatino Linotype" w:cs="Palatino Linotype"/>
          <w:sz w:val="22"/>
          <w:szCs w:val="22"/>
        </w:rPr>
        <w:t xml:space="preserve">presentó la solicitud de acceso a la información pública ante el </w:t>
      </w:r>
      <w:r w:rsidRPr="0061511A">
        <w:rPr>
          <w:rFonts w:ascii="Palatino Linotype" w:eastAsia="Palatino Linotype" w:hAnsi="Palatino Linotype" w:cs="Palatino Linotype"/>
          <w:b/>
          <w:sz w:val="22"/>
          <w:szCs w:val="22"/>
        </w:rPr>
        <w:t>Sujeto Obligado</w:t>
      </w:r>
      <w:r w:rsidRPr="0061511A">
        <w:rPr>
          <w:rFonts w:ascii="Palatino Linotype" w:eastAsia="Palatino Linotype" w:hAnsi="Palatino Linotype" w:cs="Palatino Linotype"/>
          <w:sz w:val="22"/>
          <w:szCs w:val="22"/>
        </w:rPr>
        <w:t xml:space="preserve">, a través </w:t>
      </w:r>
      <w:r w:rsidR="00F5124A" w:rsidRPr="0061511A">
        <w:rPr>
          <w:rFonts w:ascii="Palatino Linotype" w:eastAsia="Palatino Linotype" w:hAnsi="Palatino Linotype" w:cs="Palatino Linotype"/>
          <w:sz w:val="22"/>
          <w:szCs w:val="22"/>
        </w:rPr>
        <w:t xml:space="preserve">de la Plataforma Nacional de Transparencia, vinculada al </w:t>
      </w:r>
      <w:r w:rsidRPr="0061511A">
        <w:rPr>
          <w:rFonts w:ascii="Palatino Linotype" w:eastAsia="Palatino Linotype" w:hAnsi="Palatino Linotype" w:cs="Palatino Linotype"/>
          <w:sz w:val="22"/>
          <w:szCs w:val="22"/>
        </w:rPr>
        <w:t xml:space="preserve">Sistema de Acceso a la Información Mexiquense, en lo subsecuente el </w:t>
      </w:r>
      <w:r w:rsidRPr="0061511A">
        <w:rPr>
          <w:rFonts w:ascii="Palatino Linotype" w:eastAsia="Palatino Linotype" w:hAnsi="Palatino Linotype" w:cs="Palatino Linotype"/>
          <w:b/>
          <w:sz w:val="22"/>
          <w:szCs w:val="22"/>
        </w:rPr>
        <w:t>SAIMEX,</w:t>
      </w:r>
      <w:r w:rsidR="003B12AA" w:rsidRPr="0061511A">
        <w:rPr>
          <w:rFonts w:ascii="Palatino Linotype" w:eastAsia="Palatino Linotype" w:hAnsi="Palatino Linotype" w:cs="Palatino Linotype"/>
          <w:b/>
          <w:sz w:val="22"/>
          <w:szCs w:val="22"/>
        </w:rPr>
        <w:t xml:space="preserve"> </w:t>
      </w:r>
      <w:r w:rsidRPr="0061511A">
        <w:rPr>
          <w:rFonts w:ascii="Palatino Linotype" w:eastAsia="Palatino Linotype" w:hAnsi="Palatino Linotype" w:cs="Palatino Linotype"/>
          <w:sz w:val="22"/>
          <w:szCs w:val="22"/>
        </w:rPr>
        <w:t>mediante la cual requirió lo siguiente:</w:t>
      </w:r>
    </w:p>
    <w:p w14:paraId="49190675" w14:textId="5FB35FC7" w:rsidR="005A75CA" w:rsidRPr="0061511A" w:rsidRDefault="009F548D" w:rsidP="00F5124A">
      <w:pPr>
        <w:spacing w:before="120" w:after="120"/>
        <w:ind w:left="851" w:right="902"/>
        <w:jc w:val="both"/>
        <w:rPr>
          <w:rFonts w:ascii="Palatino Linotype" w:eastAsia="Palatino Linotype" w:hAnsi="Palatino Linotype" w:cs="Palatino Linotype"/>
          <w:b/>
          <w:i/>
          <w:sz w:val="22"/>
          <w:szCs w:val="22"/>
        </w:rPr>
      </w:pPr>
      <w:r w:rsidRPr="0061511A">
        <w:rPr>
          <w:rFonts w:ascii="Palatino Linotype" w:eastAsia="Palatino Linotype" w:hAnsi="Palatino Linotype" w:cs="Palatino Linotype"/>
          <w:i/>
          <w:sz w:val="22"/>
          <w:szCs w:val="22"/>
        </w:rPr>
        <w:t xml:space="preserve"> “</w:t>
      </w:r>
      <w:r w:rsidR="00F5124A" w:rsidRPr="0061511A">
        <w:rPr>
          <w:rFonts w:ascii="Palatino Linotype" w:eastAsia="Palatino Linotype" w:hAnsi="Palatino Linotype" w:cs="Palatino Linotype"/>
          <w:i/>
          <w:sz w:val="22"/>
          <w:szCs w:val="22"/>
        </w:rPr>
        <w:t>solicito la siguiente información de la psicóloga Ailine Lizbeth Pérez Escobar: documentación donde se de cuenta de sus percepciones, fecha de inicio y en su caso, renuncia, ficha curricular, oficio de funciones, capacitaciones a las que ha asistido, horario a cumplir</w:t>
      </w:r>
      <w:r w:rsidR="00E96B90" w:rsidRPr="0061511A">
        <w:rPr>
          <w:rFonts w:ascii="Palatino Linotype" w:eastAsia="Palatino Linotype" w:hAnsi="Palatino Linotype" w:cs="Palatino Linotype"/>
          <w:b/>
          <w:i/>
          <w:sz w:val="22"/>
          <w:szCs w:val="22"/>
        </w:rPr>
        <w:t>”</w:t>
      </w:r>
      <w:r w:rsidR="00E96B90" w:rsidRPr="0061511A">
        <w:rPr>
          <w:rFonts w:ascii="Palatino Linotype" w:eastAsia="Palatino Linotype" w:hAnsi="Palatino Linotype" w:cs="Palatino Linotype"/>
          <w:i/>
          <w:sz w:val="22"/>
          <w:szCs w:val="22"/>
        </w:rPr>
        <w:t xml:space="preserve"> (sic) </w:t>
      </w:r>
    </w:p>
    <w:p w14:paraId="6019A360" w14:textId="3A63A54E" w:rsidR="005A75CA" w:rsidRPr="0061511A" w:rsidRDefault="00E96B90" w:rsidP="00BA1303">
      <w:pPr>
        <w:tabs>
          <w:tab w:val="left" w:pos="5610"/>
        </w:tabs>
        <w:spacing w:before="240" w:after="240" w:line="360" w:lineRule="auto"/>
        <w:jc w:val="both"/>
        <w:rPr>
          <w:rFonts w:ascii="Palatino Linotype" w:eastAsia="Palatino Linotype" w:hAnsi="Palatino Linotype" w:cs="Palatino Linotype"/>
          <w:sz w:val="22"/>
          <w:szCs w:val="22"/>
        </w:rPr>
      </w:pPr>
      <w:bookmarkStart w:id="3" w:name="_heading=h.3dy6vkm" w:colFirst="0" w:colLast="0"/>
      <w:bookmarkEnd w:id="3"/>
      <w:r w:rsidRPr="0061511A">
        <w:rPr>
          <w:rFonts w:ascii="Palatino Linotype" w:eastAsia="Palatino Linotype" w:hAnsi="Palatino Linotype" w:cs="Palatino Linotype"/>
          <w:b/>
          <w:sz w:val="22"/>
          <w:szCs w:val="22"/>
        </w:rPr>
        <w:t>Modalidad de Entrega:</w:t>
      </w:r>
      <w:r w:rsidRPr="0061511A">
        <w:rPr>
          <w:rFonts w:ascii="Palatino Linotype" w:eastAsia="Palatino Linotype" w:hAnsi="Palatino Linotype" w:cs="Palatino Linotype"/>
          <w:sz w:val="22"/>
          <w:szCs w:val="22"/>
        </w:rPr>
        <w:t xml:space="preserve"> </w:t>
      </w:r>
      <w:r w:rsidR="00D03B30" w:rsidRPr="0061511A">
        <w:rPr>
          <w:rFonts w:ascii="Palatino Linotype" w:hAnsi="Palatino Linotype"/>
          <w:sz w:val="22"/>
        </w:rPr>
        <w:t>Electrónico, a través del sistema de solicitudes de acceso a la información de la Plataforma Nacional de Transparencia, que, para efectos del presente asunto, se entenderá a través del Sistema de Acceso a la Información Mexiquense (SAIMEX).</w:t>
      </w:r>
    </w:p>
    <w:p w14:paraId="013973DE" w14:textId="77777777" w:rsidR="002B6976" w:rsidRPr="0061511A" w:rsidRDefault="00E96B90" w:rsidP="002B6976">
      <w:p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lastRenderedPageBreak/>
        <w:t xml:space="preserve">2. </w:t>
      </w:r>
      <w:r w:rsidR="0001490F" w:rsidRPr="0061511A">
        <w:rPr>
          <w:rFonts w:ascii="Palatino Linotype" w:eastAsia="Palatino Linotype" w:hAnsi="Palatino Linotype" w:cs="Palatino Linotype"/>
          <w:b/>
          <w:bCs/>
          <w:sz w:val="22"/>
          <w:szCs w:val="22"/>
        </w:rPr>
        <w:t>Respuesta.</w:t>
      </w:r>
      <w:r w:rsidR="00690D64" w:rsidRPr="0061511A">
        <w:rPr>
          <w:rFonts w:ascii="Palatino Linotype" w:eastAsia="Palatino Linotype" w:hAnsi="Palatino Linotype" w:cs="Palatino Linotype"/>
          <w:b/>
          <w:bCs/>
          <w:sz w:val="22"/>
          <w:szCs w:val="22"/>
        </w:rPr>
        <w:t xml:space="preserve"> </w:t>
      </w:r>
      <w:r w:rsidR="002B6976" w:rsidRPr="0061511A">
        <w:rPr>
          <w:rFonts w:ascii="Palatino Linotype" w:eastAsia="Palatino Linotype" w:hAnsi="Palatino Linotype" w:cs="Palatino Linotype"/>
          <w:sz w:val="22"/>
          <w:szCs w:val="22"/>
        </w:rPr>
        <w:t>El Sujeto Obligado fue omiso en dar respuesta a la solicitud.</w:t>
      </w:r>
    </w:p>
    <w:p w14:paraId="7CFCEA31" w14:textId="073CD33E" w:rsidR="005A75CA" w:rsidRPr="0061511A" w:rsidRDefault="00946C37" w:rsidP="00D7204E">
      <w:pPr>
        <w:spacing w:before="240" w:after="24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sz w:val="22"/>
          <w:szCs w:val="22"/>
        </w:rPr>
        <w:t>3</w:t>
      </w:r>
      <w:r w:rsidR="00E96B90" w:rsidRPr="0061511A">
        <w:rPr>
          <w:rFonts w:ascii="Palatino Linotype" w:eastAsia="Palatino Linotype" w:hAnsi="Palatino Linotype" w:cs="Palatino Linotype"/>
          <w:b/>
          <w:sz w:val="22"/>
          <w:szCs w:val="22"/>
        </w:rPr>
        <w:t xml:space="preserve">. Interposición del recurso de revisión. </w:t>
      </w:r>
      <w:r w:rsidR="00E96B90" w:rsidRPr="0061511A">
        <w:rPr>
          <w:rFonts w:ascii="Palatino Linotype" w:eastAsia="Palatino Linotype" w:hAnsi="Palatino Linotype" w:cs="Palatino Linotype"/>
          <w:sz w:val="22"/>
          <w:szCs w:val="22"/>
        </w:rPr>
        <w:t xml:space="preserve">Inconforme con los términos de la respuesta emitida por parte del </w:t>
      </w:r>
      <w:r w:rsidR="00E96B90" w:rsidRPr="0061511A">
        <w:rPr>
          <w:rFonts w:ascii="Palatino Linotype" w:eastAsia="Palatino Linotype" w:hAnsi="Palatino Linotype" w:cs="Palatino Linotype"/>
          <w:b/>
          <w:sz w:val="22"/>
          <w:szCs w:val="22"/>
        </w:rPr>
        <w:t xml:space="preserve">Sujeto Obligado, </w:t>
      </w:r>
      <w:r w:rsidR="00E96B90" w:rsidRPr="0061511A">
        <w:rPr>
          <w:rFonts w:ascii="Palatino Linotype" w:eastAsia="Palatino Linotype" w:hAnsi="Palatino Linotype" w:cs="Palatino Linotype"/>
          <w:bCs/>
          <w:sz w:val="22"/>
          <w:szCs w:val="22"/>
        </w:rPr>
        <w:t xml:space="preserve">el </w:t>
      </w:r>
      <w:r w:rsidR="00D03B30" w:rsidRPr="0061511A">
        <w:rPr>
          <w:rFonts w:ascii="Palatino Linotype" w:eastAsia="Palatino Linotype" w:hAnsi="Palatino Linotype" w:cs="Palatino Linotype"/>
          <w:b/>
          <w:bCs/>
          <w:sz w:val="22"/>
          <w:szCs w:val="22"/>
        </w:rPr>
        <w:t>tres de marzo de dos mil veintiséis</w:t>
      </w:r>
      <w:r w:rsidR="00E96B90" w:rsidRPr="0061511A">
        <w:rPr>
          <w:rFonts w:ascii="Palatino Linotype" w:eastAsia="Palatino Linotype" w:hAnsi="Palatino Linotype" w:cs="Palatino Linotype"/>
          <w:b/>
          <w:sz w:val="22"/>
          <w:szCs w:val="22"/>
        </w:rPr>
        <w:t>,</w:t>
      </w:r>
      <w:r w:rsidR="00E96B90" w:rsidRPr="0061511A">
        <w:rPr>
          <w:rFonts w:ascii="Palatino Linotype" w:eastAsia="Palatino Linotype" w:hAnsi="Palatino Linotype" w:cs="Palatino Linotype"/>
          <w:sz w:val="22"/>
          <w:szCs w:val="22"/>
        </w:rPr>
        <w:t xml:space="preserve"> la parte </w:t>
      </w:r>
      <w:r w:rsidR="00E96B90" w:rsidRPr="0061511A">
        <w:rPr>
          <w:rFonts w:ascii="Palatino Linotype" w:eastAsia="Palatino Linotype" w:hAnsi="Palatino Linotype" w:cs="Palatino Linotype"/>
          <w:b/>
          <w:sz w:val="22"/>
          <w:szCs w:val="22"/>
        </w:rPr>
        <w:t>Recurrente</w:t>
      </w:r>
      <w:r w:rsidR="00E96B90" w:rsidRPr="0061511A">
        <w:rPr>
          <w:rFonts w:ascii="Palatino Linotype" w:eastAsia="Palatino Linotype" w:hAnsi="Palatino Linotype" w:cs="Palatino Linotype"/>
          <w:sz w:val="22"/>
          <w:szCs w:val="22"/>
        </w:rPr>
        <w:t xml:space="preserve"> interpuso el recurso de revisión a través de </w:t>
      </w:r>
      <w:r w:rsidR="00E96B90" w:rsidRPr="0061511A">
        <w:rPr>
          <w:rFonts w:ascii="Palatino Linotype" w:eastAsia="Palatino Linotype" w:hAnsi="Palatino Linotype" w:cs="Palatino Linotype"/>
          <w:b/>
          <w:sz w:val="22"/>
          <w:szCs w:val="22"/>
        </w:rPr>
        <w:t xml:space="preserve">SAIMEX, </w:t>
      </w:r>
      <w:r w:rsidR="00E96B90" w:rsidRPr="0061511A">
        <w:rPr>
          <w:rFonts w:ascii="Palatino Linotype" w:eastAsia="Palatino Linotype" w:hAnsi="Palatino Linotype" w:cs="Palatino Linotype"/>
          <w:sz w:val="22"/>
          <w:szCs w:val="22"/>
        </w:rPr>
        <w:t>en donde se manifestó de la siguiente manera:</w:t>
      </w:r>
    </w:p>
    <w:p w14:paraId="0DB160D3" w14:textId="77777777" w:rsidR="005A75CA" w:rsidRPr="0061511A" w:rsidRDefault="00E96B90" w:rsidP="00D7204E">
      <w:pPr>
        <w:spacing w:before="240" w:after="240" w:line="360" w:lineRule="auto"/>
        <w:ind w:right="49"/>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 xml:space="preserve">Acto impugnado: </w:t>
      </w:r>
    </w:p>
    <w:p w14:paraId="68DC3E6A" w14:textId="39BA0BE0" w:rsidR="005A75CA" w:rsidRPr="0061511A" w:rsidRDefault="00E96B90" w:rsidP="00D7204E">
      <w:pPr>
        <w:tabs>
          <w:tab w:val="left" w:pos="2745"/>
        </w:tabs>
        <w:spacing w:before="240" w:after="240"/>
        <w:ind w:left="851"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r w:rsidR="00D03B30" w:rsidRPr="0061511A">
        <w:rPr>
          <w:rFonts w:ascii="Palatino Linotype" w:eastAsia="Palatino Linotype" w:hAnsi="Palatino Linotype" w:cs="Palatino Linotype"/>
          <w:i/>
          <w:sz w:val="22"/>
          <w:szCs w:val="22"/>
        </w:rPr>
        <w:t>la falta de respuesta</w:t>
      </w:r>
      <w:r w:rsidRPr="0061511A">
        <w:rPr>
          <w:rFonts w:ascii="Palatino Linotype" w:eastAsia="Palatino Linotype" w:hAnsi="Palatino Linotype" w:cs="Palatino Linotype"/>
          <w:i/>
          <w:sz w:val="22"/>
          <w:szCs w:val="22"/>
        </w:rPr>
        <w:t>” (sic)</w:t>
      </w:r>
    </w:p>
    <w:p w14:paraId="64535873" w14:textId="77777777" w:rsidR="005A75CA" w:rsidRPr="0061511A" w:rsidRDefault="00E96B90" w:rsidP="00D7204E">
      <w:pPr>
        <w:spacing w:line="360" w:lineRule="auto"/>
        <w:jc w:val="both"/>
        <w:rPr>
          <w:rFonts w:ascii="Palatino Linotype" w:eastAsia="Palatino Linotype" w:hAnsi="Palatino Linotype" w:cs="Palatino Linotype"/>
          <w:sz w:val="22"/>
          <w:szCs w:val="22"/>
        </w:rPr>
      </w:pPr>
      <w:bookmarkStart w:id="4" w:name="_heading=h.30j0zll" w:colFirst="0" w:colLast="0"/>
      <w:bookmarkEnd w:id="4"/>
      <w:r w:rsidRPr="0061511A">
        <w:rPr>
          <w:rFonts w:ascii="Palatino Linotype" w:eastAsia="Palatino Linotype" w:hAnsi="Palatino Linotype" w:cs="Palatino Linotype"/>
          <w:b/>
          <w:sz w:val="22"/>
          <w:szCs w:val="22"/>
        </w:rPr>
        <w:t>Y, Razones o motivos de inconformidad</w:t>
      </w:r>
      <w:r w:rsidRPr="0061511A">
        <w:rPr>
          <w:rFonts w:ascii="Palatino Linotype" w:eastAsia="Palatino Linotype" w:hAnsi="Palatino Linotype" w:cs="Palatino Linotype"/>
          <w:sz w:val="22"/>
          <w:szCs w:val="22"/>
        </w:rPr>
        <w:t>:</w:t>
      </w:r>
    </w:p>
    <w:p w14:paraId="6C751BDA" w14:textId="0FBC58A7" w:rsidR="005A75CA" w:rsidRPr="0061511A" w:rsidRDefault="00E96B90" w:rsidP="00D7204E">
      <w:pPr>
        <w:tabs>
          <w:tab w:val="left" w:pos="2745"/>
        </w:tabs>
        <w:spacing w:before="240" w:after="240"/>
        <w:ind w:left="851"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r w:rsidR="002B6976" w:rsidRPr="0061511A">
        <w:rPr>
          <w:rFonts w:ascii="Palatino Linotype" w:eastAsia="Palatino Linotype" w:hAnsi="Palatino Linotype" w:cs="Palatino Linotype"/>
          <w:i/>
          <w:sz w:val="22"/>
          <w:szCs w:val="22"/>
        </w:rPr>
        <w:t>no dio respuesta a la solicitud</w:t>
      </w:r>
      <w:r w:rsidRPr="0061511A">
        <w:rPr>
          <w:rFonts w:ascii="Palatino Linotype" w:eastAsia="Palatino Linotype" w:hAnsi="Palatino Linotype" w:cs="Palatino Linotype"/>
          <w:i/>
          <w:sz w:val="22"/>
          <w:szCs w:val="22"/>
        </w:rPr>
        <w:t>” (sic)</w:t>
      </w:r>
    </w:p>
    <w:p w14:paraId="63BA5F7F" w14:textId="2BB507A8" w:rsidR="005A75CA" w:rsidRPr="0061511A" w:rsidRDefault="002C7F27" w:rsidP="00D7204E">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sz w:val="22"/>
          <w:szCs w:val="22"/>
        </w:rPr>
        <w:t>4</w:t>
      </w:r>
      <w:r w:rsidR="00E96B90" w:rsidRPr="0061511A">
        <w:rPr>
          <w:rFonts w:ascii="Palatino Linotype" w:eastAsia="Palatino Linotype" w:hAnsi="Palatino Linotype" w:cs="Palatino Linotype"/>
          <w:b/>
          <w:sz w:val="22"/>
          <w:szCs w:val="22"/>
        </w:rPr>
        <w:t xml:space="preserve">. Turno. </w:t>
      </w:r>
      <w:r w:rsidR="00E96B90" w:rsidRPr="0061511A">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R="00E96B90" w:rsidRPr="0061511A">
        <w:rPr>
          <w:rFonts w:ascii="Palatino Linotype" w:eastAsia="Palatino Linotype" w:hAnsi="Palatino Linotype" w:cs="Palatino Linotype"/>
          <w:b/>
          <w:sz w:val="22"/>
          <w:szCs w:val="22"/>
        </w:rPr>
        <w:t xml:space="preserve">Guadalupe Ramírez Peña, </w:t>
      </w:r>
      <w:r w:rsidR="00E96B90" w:rsidRPr="0061511A">
        <w:rPr>
          <w:rFonts w:ascii="Palatino Linotype" w:eastAsia="Palatino Linotype" w:hAnsi="Palatino Linotype" w:cs="Palatino Linotype"/>
          <w:sz w:val="22"/>
          <w:szCs w:val="22"/>
        </w:rPr>
        <w:t>a efecto de que analizara sobre su admisión o su desechamiento.</w:t>
      </w:r>
    </w:p>
    <w:p w14:paraId="7FEE7B27" w14:textId="0CF68DDC" w:rsidR="005A75CA" w:rsidRPr="0061511A" w:rsidRDefault="002C7F27" w:rsidP="00D7204E">
      <w:pPr>
        <w:spacing w:before="240" w:after="240"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5</w:t>
      </w:r>
      <w:r w:rsidR="0001490F" w:rsidRPr="0061511A">
        <w:rPr>
          <w:rFonts w:ascii="Palatino Linotype" w:eastAsia="Palatino Linotype" w:hAnsi="Palatino Linotype" w:cs="Palatino Linotype"/>
          <w:b/>
          <w:sz w:val="22"/>
          <w:szCs w:val="22"/>
        </w:rPr>
        <w:t>.</w:t>
      </w:r>
      <w:r w:rsidR="00E96B90" w:rsidRPr="0061511A">
        <w:rPr>
          <w:rFonts w:ascii="Palatino Linotype" w:eastAsia="Palatino Linotype" w:hAnsi="Palatino Linotype" w:cs="Palatino Linotype"/>
          <w:b/>
          <w:sz w:val="22"/>
          <w:szCs w:val="22"/>
        </w:rPr>
        <w:t xml:space="preserve"> Admisión del Recurso de revisión.</w:t>
      </w:r>
      <w:r w:rsidR="00E96B90" w:rsidRPr="0061511A">
        <w:rPr>
          <w:rFonts w:ascii="Palatino Linotype" w:eastAsia="Palatino Linotype" w:hAnsi="Palatino Linotype" w:cs="Palatino Linotype"/>
          <w:sz w:val="22"/>
          <w:szCs w:val="22"/>
        </w:rPr>
        <w:t xml:space="preserve"> El</w:t>
      </w:r>
      <w:r w:rsidR="008C0431" w:rsidRPr="0061511A">
        <w:rPr>
          <w:rFonts w:ascii="Palatino Linotype" w:eastAsia="Palatino Linotype" w:hAnsi="Palatino Linotype" w:cs="Palatino Linotype"/>
          <w:sz w:val="22"/>
          <w:szCs w:val="22"/>
        </w:rPr>
        <w:t xml:space="preserve"> </w:t>
      </w:r>
      <w:r w:rsidR="00D03B30" w:rsidRPr="0061511A">
        <w:rPr>
          <w:rFonts w:ascii="Palatino Linotype" w:eastAsia="Palatino Linotype" w:hAnsi="Palatino Linotype" w:cs="Palatino Linotype"/>
          <w:b/>
          <w:sz w:val="22"/>
          <w:szCs w:val="22"/>
        </w:rPr>
        <w:t>seis de marzo</w:t>
      </w:r>
      <w:r w:rsidR="008C0431" w:rsidRPr="0061511A">
        <w:rPr>
          <w:rFonts w:ascii="Palatino Linotype" w:eastAsia="Palatino Linotype" w:hAnsi="Palatino Linotype" w:cs="Palatino Linotype"/>
          <w:b/>
          <w:sz w:val="22"/>
          <w:szCs w:val="22"/>
        </w:rPr>
        <w:t xml:space="preserve"> de dos mil veintiséis, </w:t>
      </w:r>
      <w:r w:rsidR="00E96B90" w:rsidRPr="0061511A">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00E96B90" w:rsidRPr="0061511A">
        <w:rPr>
          <w:rFonts w:ascii="Palatino Linotype" w:eastAsia="Palatino Linotype" w:hAnsi="Palatino Linotype" w:cs="Palatino Linotype"/>
          <w:b/>
          <w:sz w:val="22"/>
          <w:szCs w:val="22"/>
        </w:rPr>
        <w:t xml:space="preserve">Sujeto Obligado </w:t>
      </w:r>
      <w:r w:rsidR="00E96B90" w:rsidRPr="0061511A">
        <w:rPr>
          <w:rFonts w:ascii="Palatino Linotype" w:eastAsia="Palatino Linotype" w:hAnsi="Palatino Linotype" w:cs="Palatino Linotype"/>
          <w:sz w:val="22"/>
          <w:szCs w:val="22"/>
        </w:rPr>
        <w:t>presentara su informe justificado.</w:t>
      </w:r>
    </w:p>
    <w:p w14:paraId="6AF479FB" w14:textId="74903251" w:rsidR="006D6CC9" w:rsidRPr="0061511A" w:rsidRDefault="002C7F27" w:rsidP="00BB461B">
      <w:pPr>
        <w:spacing w:before="240" w:after="240" w:line="360" w:lineRule="auto"/>
        <w:jc w:val="both"/>
        <w:rPr>
          <w:rFonts w:ascii="Palatino Linotype" w:eastAsia="Palatino Linotype" w:hAnsi="Palatino Linotype" w:cs="Palatino Linotype"/>
          <w:sz w:val="22"/>
          <w:szCs w:val="22"/>
        </w:rPr>
      </w:pPr>
      <w:bookmarkStart w:id="5" w:name="_heading=h.2s8eyo1" w:colFirst="0" w:colLast="0"/>
      <w:bookmarkEnd w:id="5"/>
      <w:r w:rsidRPr="0061511A">
        <w:rPr>
          <w:rFonts w:ascii="Palatino Linotype" w:eastAsia="Palatino Linotype" w:hAnsi="Palatino Linotype" w:cs="Palatino Linotype"/>
          <w:b/>
          <w:sz w:val="22"/>
          <w:szCs w:val="22"/>
        </w:rPr>
        <w:lastRenderedPageBreak/>
        <w:t>6</w:t>
      </w:r>
      <w:r w:rsidR="00E96B90" w:rsidRPr="0061511A">
        <w:rPr>
          <w:rFonts w:ascii="Palatino Linotype" w:eastAsia="Palatino Linotype" w:hAnsi="Palatino Linotype" w:cs="Palatino Linotype"/>
          <w:b/>
          <w:sz w:val="22"/>
          <w:szCs w:val="22"/>
        </w:rPr>
        <w:t>. Manifestaciones</w:t>
      </w:r>
      <w:r w:rsidR="00E96B90" w:rsidRPr="0061511A">
        <w:rPr>
          <w:rFonts w:ascii="Palatino Linotype" w:eastAsia="Palatino Linotype" w:hAnsi="Palatino Linotype" w:cs="Palatino Linotype"/>
          <w:sz w:val="22"/>
          <w:szCs w:val="22"/>
        </w:rPr>
        <w:t xml:space="preserve">. </w:t>
      </w:r>
      <w:r w:rsidR="00BB461B" w:rsidRPr="0061511A">
        <w:rPr>
          <w:rFonts w:ascii="Palatino Linotype" w:eastAsia="Palatino Linotype" w:hAnsi="Palatino Linotype" w:cs="Palatino Linotype"/>
          <w:sz w:val="22"/>
          <w:szCs w:val="22"/>
        </w:rPr>
        <w:t xml:space="preserve">De las constancias que obran en el SAIMEX, se advierte que </w:t>
      </w:r>
      <w:r w:rsidR="002B6976" w:rsidRPr="0061511A">
        <w:rPr>
          <w:rFonts w:ascii="Palatino Linotype" w:eastAsia="Palatino Linotype" w:hAnsi="Palatino Linotype" w:cs="Palatino Linotype"/>
          <w:sz w:val="22"/>
          <w:szCs w:val="22"/>
        </w:rPr>
        <w:t xml:space="preserve">el </w:t>
      </w:r>
      <w:r w:rsidR="002B6976" w:rsidRPr="0061511A">
        <w:rPr>
          <w:rFonts w:ascii="Palatino Linotype" w:eastAsia="Palatino Linotype" w:hAnsi="Palatino Linotype" w:cs="Palatino Linotype"/>
          <w:b/>
          <w:sz w:val="22"/>
          <w:szCs w:val="22"/>
        </w:rPr>
        <w:t xml:space="preserve">Sujeto Obligado </w:t>
      </w:r>
      <w:r w:rsidR="002B6976" w:rsidRPr="0061511A">
        <w:rPr>
          <w:rFonts w:ascii="Palatino Linotype" w:eastAsia="Palatino Linotype" w:hAnsi="Palatino Linotype" w:cs="Palatino Linotype"/>
          <w:sz w:val="22"/>
          <w:szCs w:val="22"/>
        </w:rPr>
        <w:t xml:space="preserve">en fecha </w:t>
      </w:r>
      <w:r w:rsidR="00D03B30" w:rsidRPr="0061511A">
        <w:rPr>
          <w:rFonts w:ascii="Palatino Linotype" w:eastAsia="Palatino Linotype" w:hAnsi="Palatino Linotype" w:cs="Palatino Linotype"/>
          <w:sz w:val="22"/>
          <w:szCs w:val="22"/>
        </w:rPr>
        <w:t>veinte de marzo</w:t>
      </w:r>
      <w:r w:rsidR="002B6976" w:rsidRPr="0061511A">
        <w:rPr>
          <w:rFonts w:ascii="Palatino Linotype" w:eastAsia="Palatino Linotype" w:hAnsi="Palatino Linotype" w:cs="Palatino Linotype"/>
          <w:sz w:val="22"/>
          <w:szCs w:val="22"/>
        </w:rPr>
        <w:t xml:space="preserve"> de dos mil veintiséis rindió su informe justificado a través de un</w:t>
      </w:r>
      <w:r w:rsidR="00D03B30" w:rsidRPr="0061511A">
        <w:rPr>
          <w:rFonts w:ascii="Palatino Linotype" w:eastAsia="Palatino Linotype" w:hAnsi="Palatino Linotype" w:cs="Palatino Linotype"/>
          <w:sz w:val="22"/>
          <w:szCs w:val="22"/>
        </w:rPr>
        <w:t>a carpeta “rar” que contiene la siguiente información:</w:t>
      </w:r>
    </w:p>
    <w:p w14:paraId="5AE73979" w14:textId="5AE4C77A" w:rsidR="00D03B30" w:rsidRPr="0061511A" w:rsidRDefault="00D03B30" w:rsidP="00D03B30">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Oficio del 13 de marzo de 2026, a través del cual el Jefe de Recursos Humanos refiere que proporciona la información requerida respecto de la servidora pública solicitada, consistente en lo siguiente:</w:t>
      </w:r>
    </w:p>
    <w:p w14:paraId="14456292" w14:textId="1C3DEC40" w:rsidR="00D03B30" w:rsidRPr="0061511A" w:rsidRDefault="00D03B30" w:rsidP="00D03B30">
      <w:pPr>
        <w:pStyle w:val="Prrafodelista"/>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-Fecha de ingreso: 01 de agosto de 2025.</w:t>
      </w:r>
    </w:p>
    <w:p w14:paraId="0E9D089A" w14:textId="51805830" w:rsidR="00D03B30" w:rsidRPr="0061511A" w:rsidRDefault="00D03B30" w:rsidP="00D03B30">
      <w:pPr>
        <w:pStyle w:val="Prrafodelista"/>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-Área a la que ingresó: Coordinación de Psicología.</w:t>
      </w:r>
    </w:p>
    <w:p w14:paraId="4EFA5FC4" w14:textId="7C484ADE" w:rsidR="00D03B30" w:rsidRPr="0061511A" w:rsidRDefault="00D03B30" w:rsidP="00D03B30">
      <w:pPr>
        <w:pStyle w:val="Prrafodelista"/>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-Sobre los recibos de p</w:t>
      </w:r>
      <w:r w:rsidR="00394545" w:rsidRPr="0061511A">
        <w:rPr>
          <w:rFonts w:ascii="Palatino Linotype" w:eastAsia="Palatino Linotype" w:hAnsi="Palatino Linotype" w:cs="Palatino Linotype"/>
          <w:sz w:val="22"/>
          <w:szCs w:val="22"/>
        </w:rPr>
        <w:t>ercepciones</w:t>
      </w:r>
      <w:r w:rsidRPr="0061511A">
        <w:rPr>
          <w:rFonts w:ascii="Palatino Linotype" w:eastAsia="Palatino Linotype" w:hAnsi="Palatino Linotype" w:cs="Palatino Linotype"/>
          <w:sz w:val="22"/>
          <w:szCs w:val="22"/>
        </w:rPr>
        <w:t>, no se cuenta con lo requerido, ya que la servidor público es comisionada del Ayuntamiento de la Paz.</w:t>
      </w:r>
    </w:p>
    <w:p w14:paraId="24D66F6A" w14:textId="296478C7" w:rsidR="00D03B30" w:rsidRPr="0061511A" w:rsidRDefault="00D03B30" w:rsidP="00D03B30">
      <w:pPr>
        <w:pStyle w:val="Prrafodelista"/>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-Que se proporciona el curriculum vitae y la cédula profesional de la servidora pública.</w:t>
      </w:r>
    </w:p>
    <w:p w14:paraId="2FA7EAD0" w14:textId="31B113D2" w:rsidR="00C352F1" w:rsidRPr="0061511A" w:rsidRDefault="00C352F1" w:rsidP="00D03B30">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Oficio del 19 de marzo de 2026, a través del cual la Unidad de Transparencia remite la respuesta del área competente, en donde se agrega que, sobre el horario laboral de la servidora pública, el horario de servicio es de 08:00 a 16:00 horas; y, que con relación a las funciones, se proporcionaba el Manual de Organización del Sistema Municipal DIF de la Paz, en el que en las páginas 28, puntos 2.4.2. se describen las funciones que realiza el área de psicología.</w:t>
      </w:r>
    </w:p>
    <w:p w14:paraId="142987E0" w14:textId="2059DABE" w:rsidR="00D03B30" w:rsidRPr="0061511A" w:rsidRDefault="00C352F1" w:rsidP="00D03B30">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Versión pública de la cédula profesional del servidor público.</w:t>
      </w:r>
    </w:p>
    <w:p w14:paraId="1FF1B886" w14:textId="73DD003B" w:rsidR="00C352F1" w:rsidRPr="0061511A" w:rsidRDefault="00C352F1" w:rsidP="00D03B30">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Formato de personal comisionado, donde se advierte que la servidora pública requerida está adscrita al Ayuntamiento de la Paz, y fue comisionada a la Coordinación de Psicología en el Sistema Municipal DIF La Paz.</w:t>
      </w:r>
    </w:p>
    <w:p w14:paraId="1500FBA0" w14:textId="33D9E4A9" w:rsidR="00C352F1" w:rsidRPr="0061511A" w:rsidRDefault="00C352F1" w:rsidP="00D03B30">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Ficha curricular de la servidora pública requerida.</w:t>
      </w:r>
    </w:p>
    <w:p w14:paraId="4C90299A" w14:textId="438AEBCF" w:rsidR="009320DE" w:rsidRPr="0061511A" w:rsidRDefault="009320DE" w:rsidP="00D03B30">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Manual de Organización del Sistema Municipal DIF de la Paz.</w:t>
      </w:r>
    </w:p>
    <w:p w14:paraId="49260308" w14:textId="6138460C" w:rsidR="00C352F1" w:rsidRPr="0061511A" w:rsidRDefault="00C352F1" w:rsidP="009320DE">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lastRenderedPageBreak/>
        <w:t>Acta del Comité de Transparencia que sustenta la versión pública de la cédula profesional remitida.</w:t>
      </w:r>
    </w:p>
    <w:p w14:paraId="19545647" w14:textId="64837DC7" w:rsidR="00BB461B" w:rsidRPr="0061511A" w:rsidRDefault="00C30E5B" w:rsidP="00BB461B">
      <w:p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Documento</w:t>
      </w:r>
      <w:r w:rsidR="00C352F1" w:rsidRPr="0061511A">
        <w:rPr>
          <w:rFonts w:ascii="Palatino Linotype" w:eastAsia="Palatino Linotype" w:hAnsi="Palatino Linotype" w:cs="Palatino Linotype"/>
          <w:sz w:val="22"/>
          <w:szCs w:val="22"/>
        </w:rPr>
        <w:t xml:space="preserve">s los anteriores que no pudieron ponerse </w:t>
      </w:r>
      <w:r w:rsidRPr="0061511A">
        <w:rPr>
          <w:rFonts w:ascii="Palatino Linotype" w:eastAsia="Palatino Linotype" w:hAnsi="Palatino Linotype" w:cs="Palatino Linotype"/>
          <w:sz w:val="22"/>
          <w:szCs w:val="22"/>
        </w:rPr>
        <w:t xml:space="preserve">a la vista de la parte </w:t>
      </w:r>
      <w:r w:rsidRPr="0061511A">
        <w:rPr>
          <w:rFonts w:ascii="Palatino Linotype" w:eastAsia="Palatino Linotype" w:hAnsi="Palatino Linotype" w:cs="Palatino Linotype"/>
          <w:b/>
          <w:sz w:val="22"/>
          <w:szCs w:val="22"/>
        </w:rPr>
        <w:t xml:space="preserve">Recurrente, </w:t>
      </w:r>
      <w:r w:rsidR="00C352F1" w:rsidRPr="0061511A">
        <w:rPr>
          <w:rFonts w:ascii="Palatino Linotype" w:eastAsia="Palatino Linotype" w:hAnsi="Palatino Linotype" w:cs="Palatino Linotype"/>
          <w:sz w:val="22"/>
          <w:szCs w:val="22"/>
        </w:rPr>
        <w:t>en razón de que en el archivo rar donde se proporcionaron, por lo que corresponde a la cédula profesiona</w:t>
      </w:r>
      <w:r w:rsidR="009320DE" w:rsidRPr="0061511A">
        <w:rPr>
          <w:rFonts w:ascii="Palatino Linotype" w:eastAsia="Palatino Linotype" w:hAnsi="Palatino Linotype" w:cs="Palatino Linotype"/>
          <w:sz w:val="22"/>
          <w:szCs w:val="22"/>
        </w:rPr>
        <w:t>l, los datos clasificados como confidenciales no fueron testados de manera permanente, ya que permite su acceso.</w:t>
      </w:r>
    </w:p>
    <w:p w14:paraId="3A5EE197" w14:textId="7BE38711" w:rsidR="009320DE" w:rsidRPr="0061511A" w:rsidRDefault="00670105" w:rsidP="009320DE">
      <w:p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sz w:val="22"/>
          <w:szCs w:val="22"/>
        </w:rPr>
        <w:t>7</w:t>
      </w:r>
      <w:r w:rsidR="009320DE" w:rsidRPr="0061511A">
        <w:rPr>
          <w:rFonts w:ascii="Palatino Linotype" w:eastAsia="Palatino Linotype" w:hAnsi="Palatino Linotype" w:cs="Palatino Linotype"/>
          <w:b/>
          <w:sz w:val="22"/>
          <w:szCs w:val="22"/>
        </w:rPr>
        <w:t xml:space="preserve">. </w:t>
      </w:r>
      <w:r w:rsidR="009320DE" w:rsidRPr="0061511A">
        <w:rPr>
          <w:rFonts w:ascii="Palatino Linotype" w:eastAsia="Palatino Linotype" w:hAnsi="Palatino Linotype" w:cs="Palatino Linotype"/>
          <w:b/>
          <w:bCs/>
          <w:sz w:val="22"/>
          <w:szCs w:val="22"/>
        </w:rPr>
        <w:t>Ampliación del término para resolver</w:t>
      </w:r>
      <w:r w:rsidR="009320DE" w:rsidRPr="0061511A">
        <w:rPr>
          <w:rFonts w:ascii="Palatino Linotype" w:eastAsia="Palatino Linotype" w:hAnsi="Palatino Linotype" w:cs="Palatino Linotype"/>
          <w:sz w:val="22"/>
          <w:szCs w:val="22"/>
        </w:rPr>
        <w:t xml:space="preserve">. Mediante acuerdo del </w:t>
      </w:r>
      <w:r w:rsidR="009320DE" w:rsidRPr="0061511A">
        <w:rPr>
          <w:rFonts w:ascii="Palatino Linotype" w:eastAsia="Palatino Linotype" w:hAnsi="Palatino Linotype" w:cs="Palatino Linotype"/>
          <w:b/>
          <w:sz w:val="22"/>
          <w:szCs w:val="22"/>
        </w:rPr>
        <w:t>trece de mayo de dos mil veintiséis,</w:t>
      </w:r>
      <w:r w:rsidR="009320DE" w:rsidRPr="0061511A">
        <w:rPr>
          <w:rFonts w:ascii="Palatino Linotype" w:eastAsia="Palatino Linotype" w:hAnsi="Palatino Linotype" w:cs="Palatino Linotype"/>
          <w:sz w:val="22"/>
          <w:szCs w:val="22"/>
        </w:rPr>
        <w:t xml:space="preserve"> notificado el dieciséis de julio de la presente anualidad, se amplió el término para resolver el recurso de revisión en términos del artículo 181 párrafo tercero de la Ley de Transparencia y Acceso a la Información Pública del Estado de México y Municipios.</w:t>
      </w:r>
    </w:p>
    <w:p w14:paraId="7891F28D"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Este organismo garante no pasa por alto justificar, que el plazo para emitir la resolución en el presente asunto encuentra justificación en el alto número de recursos de revisión recibidos, circunstancia atípica que ha rebasado las capacidades técnicas y humanas del personal encargado de la proyección de las resoluciones a dichos medios de impugnación.</w:t>
      </w:r>
    </w:p>
    <w:p w14:paraId="121308F5"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p>
    <w:p w14:paraId="7F4B4AAF"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Por ello, es menester precisar que, si bien se ha excedido el plazo para resolver el presente medio de impugnación, de conformidad con la ley de la materia, el plazo para emitir la resolución se encuentra justificado en los elementos para medir la razonabilidad de asuntos conforme a los parámetros establecidos por diversos órganos jurisdiccionales federales, aplicables también en procedimientos análogos, como el que nos ocupa.</w:t>
      </w:r>
    </w:p>
    <w:p w14:paraId="067D17CF"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p>
    <w:p w14:paraId="080719F9"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Así, en términos de lo que establecen los artículos 8.1 y 25 de la Convención Americana sobre Derechos Humanos, los recursos deben ser sencillos y resolverse en el menor tiempo </w:t>
      </w:r>
      <w:r w:rsidRPr="0061511A">
        <w:rPr>
          <w:rFonts w:ascii="Palatino Linotype" w:eastAsia="Palatino Linotype" w:hAnsi="Palatino Linotype" w:cs="Palatino Linotype"/>
          <w:sz w:val="22"/>
          <w:szCs w:val="22"/>
        </w:rPr>
        <w:lastRenderedPageBreak/>
        <w:t>posible, tomando en consideración la dilación total del procedimiento; esto es, en un plazo razonable.</w:t>
      </w:r>
    </w:p>
    <w:p w14:paraId="137C1AA9"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p>
    <w:p w14:paraId="1B177786"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En ese sentido, el legislador fijó los términos procesales en las leyes, de manera general, sin que pudiera prever la variada gama de casos que son resueltos por los órganos jurisdiccionales o cuasi jurisdiccionales, tanto por la complejidad de los hechos, como por el número de casos que conocen. </w:t>
      </w:r>
    </w:p>
    <w:p w14:paraId="6E511702"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p>
    <w:p w14:paraId="37ECA4EF" w14:textId="77777777" w:rsidR="009320DE" w:rsidRPr="0061511A" w:rsidRDefault="009320DE" w:rsidP="009320DE">
      <w:pPr>
        <w:spacing w:line="360" w:lineRule="auto"/>
        <w:jc w:val="both"/>
        <w:rPr>
          <w:rFonts w:ascii="Palatino Linotype" w:eastAsia="Palatino Linotype" w:hAnsi="Palatino Linotype" w:cs="Palatino Linotype"/>
          <w:strike/>
          <w:sz w:val="22"/>
          <w:szCs w:val="22"/>
        </w:rPr>
      </w:pPr>
      <w:r w:rsidRPr="0061511A">
        <w:rPr>
          <w:rFonts w:ascii="Palatino Linotype" w:eastAsia="Palatino Linotype" w:hAnsi="Palatino Linotype" w:cs="Palatino Linotype"/>
          <w:sz w:val="22"/>
          <w:szCs w:val="22"/>
        </w:rPr>
        <w:t xml:space="preserve">Por ello, excepcionalmente, si un asunto es resuelto con posterioridad a los plazos señalados por la norma debe analizarse la razonabilidad del tiempo necesario para su resolución, atentos a los siguientes criterios: </w:t>
      </w:r>
    </w:p>
    <w:p w14:paraId="0C802C62"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p>
    <w:p w14:paraId="2C3370FD" w14:textId="77777777" w:rsidR="009320DE" w:rsidRPr="0061511A" w:rsidRDefault="009320DE" w:rsidP="009320DE">
      <w:pPr>
        <w:numPr>
          <w:ilvl w:val="0"/>
          <w:numId w:val="26"/>
        </w:num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bCs/>
          <w:sz w:val="22"/>
          <w:szCs w:val="22"/>
        </w:rPr>
        <w:t>Complejidad del Asunto:</w:t>
      </w:r>
      <w:r w:rsidRPr="0061511A">
        <w:rPr>
          <w:rFonts w:ascii="Palatino Linotype" w:eastAsia="Palatino Linotype" w:hAnsi="Palatino Linotype" w:cs="Palatino Linotype"/>
          <w:sz w:val="22"/>
          <w:szCs w:val="22"/>
        </w:rPr>
        <w:t xml:space="preserve"> La complejidad de la prueba, la pluralidad de sujetos procesales, el tiempo transcurrido, las características y contexto del recurso. </w:t>
      </w:r>
    </w:p>
    <w:p w14:paraId="4C825507" w14:textId="77777777" w:rsidR="009320DE" w:rsidRPr="0061511A" w:rsidRDefault="009320DE" w:rsidP="009320DE">
      <w:pPr>
        <w:spacing w:line="360" w:lineRule="auto"/>
        <w:ind w:left="927"/>
        <w:jc w:val="both"/>
        <w:rPr>
          <w:rFonts w:ascii="Palatino Linotype" w:eastAsia="Palatino Linotype" w:hAnsi="Palatino Linotype" w:cs="Palatino Linotype"/>
          <w:sz w:val="22"/>
          <w:szCs w:val="22"/>
        </w:rPr>
      </w:pPr>
    </w:p>
    <w:p w14:paraId="3F04D372" w14:textId="77777777" w:rsidR="009320DE" w:rsidRPr="0061511A" w:rsidRDefault="009320DE" w:rsidP="009320DE">
      <w:pPr>
        <w:numPr>
          <w:ilvl w:val="0"/>
          <w:numId w:val="26"/>
        </w:num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bCs/>
          <w:sz w:val="22"/>
          <w:szCs w:val="22"/>
        </w:rPr>
        <w:t>Actividad Procesal del interesado.</w:t>
      </w:r>
      <w:r w:rsidRPr="0061511A">
        <w:rPr>
          <w:rFonts w:ascii="Palatino Linotype" w:eastAsia="Palatino Linotype" w:hAnsi="Palatino Linotype" w:cs="Palatino Linotype"/>
          <w:sz w:val="22"/>
          <w:szCs w:val="22"/>
        </w:rPr>
        <w:t xml:space="preserve"> Acciones u omisiones del interesado.</w:t>
      </w:r>
    </w:p>
    <w:p w14:paraId="37309774" w14:textId="77777777" w:rsidR="009320DE" w:rsidRPr="0061511A" w:rsidRDefault="009320DE" w:rsidP="009320DE">
      <w:pPr>
        <w:spacing w:line="360" w:lineRule="auto"/>
        <w:ind w:left="927"/>
        <w:jc w:val="both"/>
        <w:rPr>
          <w:rFonts w:ascii="Palatino Linotype" w:eastAsia="Palatino Linotype" w:hAnsi="Palatino Linotype" w:cs="Palatino Linotype"/>
          <w:sz w:val="22"/>
          <w:szCs w:val="22"/>
        </w:rPr>
      </w:pPr>
    </w:p>
    <w:p w14:paraId="5E2F0B37" w14:textId="77777777" w:rsidR="009320DE" w:rsidRPr="0061511A" w:rsidRDefault="009320DE" w:rsidP="009320DE">
      <w:pPr>
        <w:numPr>
          <w:ilvl w:val="0"/>
          <w:numId w:val="26"/>
        </w:num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bCs/>
          <w:sz w:val="22"/>
          <w:szCs w:val="22"/>
        </w:rPr>
        <w:t>Conducta de la Autoridad:</w:t>
      </w:r>
      <w:r w:rsidRPr="0061511A">
        <w:rPr>
          <w:rFonts w:ascii="Palatino Linotype" w:eastAsia="Palatino Linotype" w:hAnsi="Palatino Linotype" w:cs="Palatino Linotype"/>
          <w:sz w:val="22"/>
          <w:szCs w:val="22"/>
        </w:rPr>
        <w:t xml:space="preserve"> Las Acciones u omisiones realizadas en el procedimiento. Así como si la autoridad actuó con la debida diligencia.</w:t>
      </w:r>
    </w:p>
    <w:p w14:paraId="4DCE2129" w14:textId="77777777" w:rsidR="009320DE" w:rsidRPr="0061511A" w:rsidRDefault="009320DE" w:rsidP="009320DE">
      <w:pPr>
        <w:spacing w:line="360" w:lineRule="auto"/>
        <w:ind w:left="927"/>
        <w:jc w:val="both"/>
        <w:rPr>
          <w:rFonts w:ascii="Palatino Linotype" w:eastAsia="Palatino Linotype" w:hAnsi="Palatino Linotype" w:cs="Palatino Linotype"/>
          <w:sz w:val="22"/>
          <w:szCs w:val="22"/>
        </w:rPr>
      </w:pPr>
    </w:p>
    <w:p w14:paraId="77DAF61C" w14:textId="77777777" w:rsidR="009320DE" w:rsidRPr="0061511A" w:rsidRDefault="009320DE" w:rsidP="009320DE">
      <w:pPr>
        <w:numPr>
          <w:ilvl w:val="0"/>
          <w:numId w:val="26"/>
        </w:num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 </w:t>
      </w:r>
      <w:r w:rsidRPr="0061511A">
        <w:rPr>
          <w:rFonts w:ascii="Palatino Linotype" w:eastAsia="Palatino Linotype" w:hAnsi="Palatino Linotype" w:cs="Palatino Linotype"/>
          <w:b/>
          <w:bCs/>
          <w:sz w:val="22"/>
          <w:szCs w:val="22"/>
        </w:rPr>
        <w:t xml:space="preserve">La afectación generada en la situación jurídica de la persona involucrada en el proceso: </w:t>
      </w:r>
      <w:r w:rsidRPr="0061511A">
        <w:rPr>
          <w:rFonts w:ascii="Palatino Linotype" w:eastAsia="Palatino Linotype" w:hAnsi="Palatino Linotype" w:cs="Palatino Linotype"/>
          <w:sz w:val="22"/>
          <w:szCs w:val="22"/>
        </w:rPr>
        <w:t>Violación a sus derechos humanos.</w:t>
      </w:r>
    </w:p>
    <w:p w14:paraId="262096AC"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p>
    <w:p w14:paraId="4B40F9C2"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De modo que, cuando se trate de un asunto excepcional, por alguna o todas las características mencionadas; o bien, cuando el ingreso de asuntos al órgano </w:t>
      </w:r>
      <w:r w:rsidRPr="0061511A">
        <w:rPr>
          <w:rFonts w:ascii="Palatino Linotype" w:eastAsia="Palatino Linotype" w:hAnsi="Palatino Linotype" w:cs="Palatino Linotype"/>
          <w:sz w:val="22"/>
          <w:szCs w:val="22"/>
        </w:rPr>
        <w:lastRenderedPageBreak/>
        <w:t>jurisdiccional o cuasi jurisdiccional respectivo supere notoriamente al que podría considerarse normal, debe concluirse que es una excluyente de responsabilidad en relación con la actuación del funcionario, como ha acontecido en el caso que nos ocupa.</w:t>
      </w:r>
    </w:p>
    <w:p w14:paraId="16BA66F0"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p>
    <w:p w14:paraId="080BC867" w14:textId="77777777" w:rsidR="009320DE" w:rsidRPr="0061511A" w:rsidRDefault="009320DE" w:rsidP="009320DE">
      <w:pPr>
        <w:spacing w:line="360" w:lineRule="auto"/>
        <w:jc w:val="both"/>
        <w:rPr>
          <w:rFonts w:ascii="Palatino Linotype" w:eastAsia="Palatino Linotype" w:hAnsi="Palatino Linotype" w:cs="Palatino Linotype"/>
          <w:b/>
          <w:bCs/>
          <w:sz w:val="22"/>
          <w:szCs w:val="22"/>
        </w:rPr>
      </w:pPr>
      <w:r w:rsidRPr="0061511A">
        <w:rPr>
          <w:rFonts w:ascii="Palatino Linotype" w:eastAsia="Palatino Linotype" w:hAnsi="Palatino Linotype" w:cs="Palatino Linotype"/>
          <w:sz w:val="22"/>
          <w:szCs w:val="22"/>
        </w:rPr>
        <w:t xml:space="preserve">Argumento que encuentra sustento en la jurisprudencia P./J. 32/92 emitida por el Pleno de la Suprema Corte de Justicia de la Nación de rubro </w:t>
      </w:r>
      <w:r w:rsidRPr="0061511A">
        <w:rPr>
          <w:rFonts w:ascii="Palatino Linotype" w:eastAsia="Palatino Linotype" w:hAnsi="Palatino Linotype" w:cs="Palatino Linotype"/>
          <w:i/>
          <w:iCs/>
          <w:sz w:val="22"/>
          <w:szCs w:val="22"/>
        </w:rPr>
        <w:t>“TÉRMINOS PROCESALES. PARA DETERMINAR SI UN FUNCIONARIO JUDICIAL ACTUÓ INDEBIDAMENTE POR NO RESPETARLOS SE DEBE ATENDER AL PRESUPUESTO QUE CONSIDERÓ EL LEGISLADOR AL FIJARLOS Y LAS CARACTERÍSTICAS DEL CASO.”</w:t>
      </w:r>
      <w:r w:rsidRPr="0061511A">
        <w:rPr>
          <w:rFonts w:ascii="Palatino Linotype" w:eastAsia="Palatino Linotype" w:hAnsi="Palatino Linotype" w:cs="Palatino Linotype"/>
          <w:sz w:val="22"/>
          <w:szCs w:val="22"/>
        </w:rPr>
        <w:t>, visible en la Gaceta del Seminario Judicial de la Federación con el registro digital 205635.</w:t>
      </w:r>
    </w:p>
    <w:p w14:paraId="4713C845"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p>
    <w:p w14:paraId="5CF6E963"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Razones por las cuales cabe concluir que, la resolución al recurso de revisión se solventa hasta esta fecha, debido a que existe una excesiva carga de trabajo en desproporción a la capacidad de los recursos materiales y humanos con que cuenta este Instituto para atender la enorme demanda de usuarios que acuden para que se les garantice su Derecho de acceso a la información Pública y Protección de Datos Personales, aunado a la complejidad de los hechos a los que se refieren, así como al volumen del expediente, la extensión de los escritos y pruebas aportadas y desahogadas por las partes; lo que impide la tramitación de los recursos dentro de los términos legales previamente establecidos por la Ley, por tratarse de causas de fuerza mayor.</w:t>
      </w:r>
    </w:p>
    <w:p w14:paraId="07647181"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p>
    <w:p w14:paraId="336322FA"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Al respecto, también son de considerar los criterios sostenidos por el Cuarto Tribunal Colegiado en Materia Administrativa del Primer Circuito, cuyos rubros y datos de identificación son los siguientes:</w:t>
      </w:r>
    </w:p>
    <w:p w14:paraId="7D41A4BD"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p>
    <w:p w14:paraId="5A59D148" w14:textId="77777777" w:rsidR="009320DE" w:rsidRPr="0061511A" w:rsidRDefault="009320DE" w:rsidP="009320DE">
      <w:pPr>
        <w:spacing w:line="360" w:lineRule="auto"/>
        <w:ind w:left="567" w:right="616"/>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lastRenderedPageBreak/>
        <w:t xml:space="preserve"> </w:t>
      </w:r>
      <w:r w:rsidRPr="0061511A">
        <w:rPr>
          <w:rFonts w:ascii="Palatino Linotype" w:eastAsia="Palatino Linotype" w:hAnsi="Palatino Linotype" w:cs="Palatino Linotype"/>
          <w:i/>
          <w:iCs/>
          <w:sz w:val="22"/>
          <w:szCs w:val="22"/>
        </w:rPr>
        <w:t>“PLAZO RAZONABLE PARA RESOLVER. DIMENSIÓN Y EFECTOS DE ESTE CONCEPTO CUANDO SE ADUCE EXCESIVA CARGA DE TRABAJO.”</w:t>
      </w:r>
      <w:r w:rsidRPr="0061511A">
        <w:rPr>
          <w:rFonts w:ascii="Palatino Linotype" w:eastAsia="Palatino Linotype" w:hAnsi="Palatino Linotype" w:cs="Palatino Linotype"/>
          <w:sz w:val="22"/>
          <w:szCs w:val="22"/>
        </w:rPr>
        <w:t xml:space="preserve"> consultable en el Seminario Judicial de la Federación y su gaceta, con el registro digital 2002351.</w:t>
      </w:r>
    </w:p>
    <w:p w14:paraId="42BEA347" w14:textId="77777777" w:rsidR="009320DE" w:rsidRPr="0061511A" w:rsidRDefault="009320DE" w:rsidP="009320DE">
      <w:pPr>
        <w:spacing w:line="360" w:lineRule="auto"/>
        <w:ind w:left="567" w:right="616"/>
        <w:jc w:val="both"/>
        <w:rPr>
          <w:rFonts w:ascii="Palatino Linotype" w:eastAsia="Palatino Linotype" w:hAnsi="Palatino Linotype" w:cs="Palatino Linotype"/>
          <w:b/>
          <w:bCs/>
          <w:sz w:val="22"/>
          <w:szCs w:val="22"/>
        </w:rPr>
      </w:pPr>
    </w:p>
    <w:p w14:paraId="268AB8C1" w14:textId="77777777" w:rsidR="009320DE" w:rsidRPr="0061511A" w:rsidRDefault="009320DE" w:rsidP="009320DE">
      <w:pPr>
        <w:spacing w:line="360" w:lineRule="auto"/>
        <w:ind w:left="567" w:right="616"/>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i/>
          <w:iCs/>
          <w:sz w:val="22"/>
          <w:szCs w:val="22"/>
        </w:rPr>
        <w:t>“PLAZO RAZONABLE PARA RESOLVER. CONCEPTO Y ELEMENTOS QUE LO INTEGRAN A LA LUZ DEL DERECHO INTERNACIONAL DE LOS DERECHOS HUMANOS.”</w:t>
      </w:r>
      <w:r w:rsidRPr="0061511A">
        <w:rPr>
          <w:rFonts w:ascii="Palatino Linotype" w:eastAsia="Palatino Linotype" w:hAnsi="Palatino Linotype" w:cs="Palatino Linotype"/>
          <w:sz w:val="22"/>
          <w:szCs w:val="22"/>
        </w:rPr>
        <w:t>, visible en el Seminario Judicial de la Federación y su gaceta, con el registro digital 2002350.</w:t>
      </w:r>
    </w:p>
    <w:p w14:paraId="32DE9569" w14:textId="77777777" w:rsidR="009320DE" w:rsidRPr="0061511A" w:rsidRDefault="009320DE" w:rsidP="009320DE">
      <w:pPr>
        <w:spacing w:line="360" w:lineRule="auto"/>
        <w:ind w:left="567" w:right="616"/>
        <w:jc w:val="both"/>
        <w:rPr>
          <w:rFonts w:ascii="Palatino Linotype" w:eastAsia="Palatino Linotype" w:hAnsi="Palatino Linotype" w:cs="Palatino Linotype"/>
          <w:sz w:val="22"/>
          <w:szCs w:val="22"/>
        </w:rPr>
      </w:pPr>
    </w:p>
    <w:p w14:paraId="2016BA0F" w14:textId="77777777" w:rsidR="009320DE" w:rsidRPr="0061511A" w:rsidRDefault="009320DE" w:rsidP="009320DE">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Por ello, este organismo garante comprometido con la tutela de los derechos humanos confiados, señala que este exceso de plazo legal para resolver el presente asunto, resulta de carácter excepcional.</w:t>
      </w:r>
    </w:p>
    <w:p w14:paraId="6DD34F2F" w14:textId="2B321618" w:rsidR="009320DE" w:rsidRPr="0061511A" w:rsidRDefault="009320DE" w:rsidP="00B41661">
      <w:pPr>
        <w:spacing w:before="240" w:after="240"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 xml:space="preserve">8. Returno. </w:t>
      </w:r>
      <w:r w:rsidRPr="0061511A">
        <w:rPr>
          <w:rFonts w:ascii="Palatino Linotype" w:eastAsia="Palatino Linotype" w:hAnsi="Palatino Linotype" w:cs="Palatino Linotype"/>
          <w:sz w:val="22"/>
          <w:szCs w:val="22"/>
        </w:rPr>
        <w:t>Mediante acuerdo del diecinueve de agosto de dos mil veintiséis el Pleno de este Organismo Garante, aprobó returnar el recurso de revisión a la Comisionada Guadalupe Ramírez Peña, a efecto de que formulara y presentara el proyecto de resolución correspondiente.</w:t>
      </w:r>
    </w:p>
    <w:p w14:paraId="7B6D585C" w14:textId="7E779B67" w:rsidR="00122A9E" w:rsidRPr="0061511A" w:rsidRDefault="009320DE" w:rsidP="00B41661">
      <w:pPr>
        <w:spacing w:before="240" w:after="240"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 xml:space="preserve">9. </w:t>
      </w:r>
      <w:r w:rsidR="00122A9E" w:rsidRPr="0061511A">
        <w:rPr>
          <w:rFonts w:ascii="Palatino Linotype" w:eastAsia="Palatino Linotype" w:hAnsi="Palatino Linotype" w:cs="Palatino Linotype"/>
          <w:b/>
          <w:sz w:val="22"/>
          <w:szCs w:val="22"/>
        </w:rPr>
        <w:t xml:space="preserve">Cierre de instrucción. </w:t>
      </w:r>
      <w:r w:rsidR="00122A9E" w:rsidRPr="0061511A">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Pr="0061511A">
        <w:rPr>
          <w:rFonts w:ascii="Palatino Linotype" w:eastAsia="Palatino Linotype" w:hAnsi="Palatino Linotype" w:cs="Palatino Linotype"/>
          <w:b/>
          <w:bCs/>
          <w:sz w:val="22"/>
          <w:szCs w:val="22"/>
        </w:rPr>
        <w:t>ocho</w:t>
      </w:r>
      <w:r w:rsidR="00A521E3" w:rsidRPr="0061511A">
        <w:rPr>
          <w:rFonts w:ascii="Palatino Linotype" w:eastAsia="Palatino Linotype" w:hAnsi="Palatino Linotype" w:cs="Palatino Linotype"/>
          <w:b/>
          <w:bCs/>
          <w:sz w:val="22"/>
          <w:szCs w:val="22"/>
        </w:rPr>
        <w:t xml:space="preserve"> de septiembre</w:t>
      </w:r>
      <w:r w:rsidR="00122A9E" w:rsidRPr="0061511A">
        <w:rPr>
          <w:rFonts w:ascii="Palatino Linotype" w:eastAsia="Palatino Linotype" w:hAnsi="Palatino Linotype" w:cs="Palatino Linotype"/>
          <w:b/>
          <w:sz w:val="22"/>
          <w:szCs w:val="22"/>
        </w:rPr>
        <w:t xml:space="preserve"> de dos mil veintiséis</w:t>
      </w:r>
      <w:r w:rsidR="00122A9E" w:rsidRPr="0061511A">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0A66F519" w14:textId="54F5B78C" w:rsidR="005A75CA" w:rsidRPr="0061511A" w:rsidRDefault="00E96B90" w:rsidP="00D7204E">
      <w:p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lastRenderedPageBreak/>
        <w:t xml:space="preserve">En razón de que fue debidamente sustanciado el expediente electrónico y no existe diligencia pendiente de desahogo, se emite la Resolución que conforme a Derecho proceda, de acuerdo con los siguientes: </w:t>
      </w:r>
    </w:p>
    <w:p w14:paraId="2AD56F5D" w14:textId="77777777" w:rsidR="005A75CA" w:rsidRPr="0061511A" w:rsidRDefault="00E96B90" w:rsidP="001205A1">
      <w:pPr>
        <w:widowControl w:val="0"/>
        <w:spacing w:before="240" w:after="240" w:line="360" w:lineRule="auto"/>
        <w:jc w:val="center"/>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II. C O N S I D E R A N D O S</w:t>
      </w:r>
    </w:p>
    <w:p w14:paraId="4501D0AF"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sz w:val="22"/>
          <w:szCs w:val="22"/>
        </w:rPr>
        <w:t>Primero. Competencia.</w:t>
      </w:r>
      <w:r w:rsidRPr="0061511A">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71AFA223"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p>
    <w:p w14:paraId="79EC0D60" w14:textId="77777777" w:rsidR="00A521E3" w:rsidRPr="0061511A" w:rsidRDefault="00A521E3" w:rsidP="00A521E3">
      <w:pPr>
        <w:pStyle w:val="NormalWeb"/>
        <w:spacing w:before="0" w:beforeAutospacing="0" w:after="0" w:afterAutospacing="0" w:line="360" w:lineRule="auto"/>
        <w:jc w:val="both"/>
        <w:rPr>
          <w:rFonts w:ascii="Palatino Linotype" w:hAnsi="Palatino Linotype"/>
          <w:sz w:val="22"/>
          <w:szCs w:val="22"/>
        </w:rPr>
      </w:pPr>
      <w:r w:rsidRPr="0061511A">
        <w:rPr>
          <w:rFonts w:ascii="Palatino Linotype" w:hAnsi="Palatino Linotype"/>
          <w:b/>
          <w:bCs/>
          <w:sz w:val="22"/>
          <w:szCs w:val="22"/>
        </w:rPr>
        <w:t xml:space="preserve">Segundo. Oportunidad y Procedibilidad del Recurso de Revisión. </w:t>
      </w:r>
      <w:r w:rsidRPr="0061511A">
        <w:rPr>
          <w:rFonts w:ascii="Palatino Linotype" w:hAnsi="Palatino Linotype"/>
          <w:sz w:val="22"/>
          <w:szCs w:val="22"/>
        </w:rPr>
        <w:t>Por cuanto hace a la oportunidad del recurso de revisión</w:t>
      </w:r>
      <w:r w:rsidRPr="0061511A">
        <w:rPr>
          <w:rFonts w:ascii="Palatino Linotype" w:hAnsi="Palatino Linotype"/>
          <w:b/>
          <w:bCs/>
          <w:sz w:val="22"/>
          <w:szCs w:val="22"/>
        </w:rPr>
        <w:t xml:space="preserve"> </w:t>
      </w:r>
      <w:r w:rsidRPr="0061511A">
        <w:rPr>
          <w:rFonts w:ascii="Palatino Linotype" w:hAnsi="Palatino Linotype"/>
          <w:sz w:val="22"/>
          <w:szCs w:val="22"/>
        </w:rPr>
        <w:t xml:space="preserve">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w:t>
      </w:r>
      <w:r w:rsidRPr="0061511A">
        <w:rPr>
          <w:rFonts w:ascii="Palatino Linotype" w:hAnsi="Palatino Linotype"/>
          <w:sz w:val="22"/>
          <w:szCs w:val="22"/>
        </w:rPr>
        <w:lastRenderedPageBreak/>
        <w:t>quince días hábiles sin que los Sujetos Obligados entreguen la respuesta a la solicitud de información, esta se considera negada; por lo que al solicitante le asiste el derecho para presentar el recurso de revisión en cualquier momento.</w:t>
      </w:r>
    </w:p>
    <w:p w14:paraId="6FCA1508" w14:textId="77777777" w:rsidR="00A521E3" w:rsidRPr="0061511A" w:rsidRDefault="00A521E3" w:rsidP="00A521E3">
      <w:pPr>
        <w:spacing w:line="360" w:lineRule="auto"/>
        <w:rPr>
          <w:rFonts w:ascii="Palatino Linotype" w:hAnsi="Palatino Linotype"/>
          <w:sz w:val="22"/>
          <w:szCs w:val="22"/>
        </w:rPr>
      </w:pPr>
    </w:p>
    <w:p w14:paraId="3695C92C" w14:textId="77777777" w:rsidR="00A521E3" w:rsidRPr="0061511A" w:rsidRDefault="00A521E3" w:rsidP="00A521E3">
      <w:pPr>
        <w:pStyle w:val="NormalWeb"/>
        <w:spacing w:before="0" w:beforeAutospacing="0" w:after="0" w:afterAutospacing="0" w:line="360" w:lineRule="auto"/>
        <w:jc w:val="both"/>
        <w:rPr>
          <w:rFonts w:ascii="Palatino Linotype" w:hAnsi="Palatino Linotype"/>
          <w:sz w:val="22"/>
          <w:szCs w:val="22"/>
        </w:rPr>
      </w:pPr>
      <w:r w:rsidRPr="0061511A">
        <w:rPr>
          <w:rFonts w:ascii="Palatino Linotype" w:hAnsi="Palatino Linotype"/>
          <w:sz w:val="22"/>
          <w:szCs w:val="22"/>
        </w:rPr>
        <w:t xml:space="preserve">Derivado de lo anterior, se constituye la figura jurídica de la </w:t>
      </w:r>
      <w:r w:rsidRPr="0061511A">
        <w:rPr>
          <w:rFonts w:ascii="Palatino Linotype" w:hAnsi="Palatino Linotype"/>
          <w:b/>
          <w:bCs/>
          <w:sz w:val="22"/>
          <w:szCs w:val="22"/>
        </w:rPr>
        <w:t>NEGATIVA FICTA</w:t>
      </w:r>
      <w:r w:rsidRPr="0061511A">
        <w:rPr>
          <w:rFonts w:ascii="Palatino Linotype" w:hAnsi="Palatino Linotype"/>
          <w:sz w:val="22"/>
          <w:szCs w:val="22"/>
        </w:rPr>
        <w:t>, cuya esencia consiste en atribuir un efecto negativo al silencio de la autoridad administrativa frente a las instancias y solicitudes que hagan los particulares.</w:t>
      </w:r>
    </w:p>
    <w:p w14:paraId="2B535ACD" w14:textId="77777777" w:rsidR="00A521E3" w:rsidRPr="0061511A" w:rsidRDefault="00A521E3" w:rsidP="00A521E3">
      <w:pPr>
        <w:spacing w:line="360" w:lineRule="auto"/>
        <w:rPr>
          <w:rFonts w:ascii="Palatino Linotype" w:hAnsi="Palatino Linotype"/>
          <w:sz w:val="22"/>
          <w:szCs w:val="22"/>
        </w:rPr>
      </w:pPr>
    </w:p>
    <w:p w14:paraId="37CF3EB1" w14:textId="77777777" w:rsidR="00A521E3" w:rsidRPr="0061511A" w:rsidRDefault="00A521E3" w:rsidP="00A521E3">
      <w:pPr>
        <w:pStyle w:val="NormalWeb"/>
        <w:spacing w:before="0" w:beforeAutospacing="0" w:after="0" w:afterAutospacing="0" w:line="360" w:lineRule="auto"/>
        <w:jc w:val="both"/>
        <w:rPr>
          <w:rFonts w:ascii="Palatino Linotype" w:hAnsi="Palatino Linotype"/>
          <w:sz w:val="22"/>
          <w:szCs w:val="22"/>
        </w:rPr>
      </w:pPr>
      <w:r w:rsidRPr="0061511A">
        <w:rPr>
          <w:rFonts w:ascii="Palatino Linotype" w:hAnsi="Palatino Linotype"/>
          <w:sz w:val="22"/>
          <w:szCs w:val="22"/>
        </w:rPr>
        <w:t xml:space="preserve">De tal manera, en el presente recurso de revisión se actualizó la negativa ficta por parte del </w:t>
      </w:r>
      <w:r w:rsidRPr="0061511A">
        <w:rPr>
          <w:rFonts w:ascii="Palatino Linotype" w:hAnsi="Palatino Linotype"/>
          <w:b/>
          <w:bCs/>
          <w:sz w:val="22"/>
          <w:szCs w:val="22"/>
        </w:rPr>
        <w:t>SUJETO OBLIGADO</w:t>
      </w:r>
      <w:r w:rsidRPr="0061511A">
        <w:rPr>
          <w:rFonts w:ascii="Palatino Linotype" w:hAnsi="Palatino Linotype"/>
          <w:sz w:val="22"/>
          <w:szCs w:val="22"/>
        </w:rPr>
        <w:t xml:space="preserve"> al no haber respondido a la parte </w:t>
      </w:r>
      <w:r w:rsidRPr="0061511A">
        <w:rPr>
          <w:rFonts w:ascii="Palatino Linotype" w:hAnsi="Palatino Linotype"/>
          <w:b/>
          <w:bCs/>
          <w:sz w:val="22"/>
          <w:szCs w:val="22"/>
        </w:rPr>
        <w:t>RECURRENTE</w:t>
      </w:r>
      <w:r w:rsidRPr="0061511A">
        <w:rPr>
          <w:rFonts w:ascii="Palatino Linotype" w:hAnsi="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4A4EC70" w14:textId="77777777" w:rsidR="00A521E3" w:rsidRPr="0061511A" w:rsidRDefault="00A521E3" w:rsidP="00A521E3">
      <w:pPr>
        <w:spacing w:line="360" w:lineRule="auto"/>
        <w:rPr>
          <w:rFonts w:ascii="Palatino Linotype" w:hAnsi="Palatino Linotype"/>
          <w:sz w:val="22"/>
          <w:szCs w:val="22"/>
        </w:rPr>
      </w:pPr>
    </w:p>
    <w:p w14:paraId="660F39E2" w14:textId="77777777" w:rsidR="00A521E3" w:rsidRPr="0061511A" w:rsidRDefault="00A521E3" w:rsidP="00A521E3">
      <w:pPr>
        <w:pStyle w:val="NormalWeb"/>
        <w:spacing w:before="0" w:beforeAutospacing="0" w:after="0" w:afterAutospacing="0" w:line="360" w:lineRule="auto"/>
        <w:jc w:val="both"/>
        <w:rPr>
          <w:rFonts w:ascii="Palatino Linotype" w:hAnsi="Palatino Linotype"/>
          <w:sz w:val="22"/>
          <w:szCs w:val="22"/>
        </w:rPr>
      </w:pPr>
      <w:r w:rsidRPr="0061511A">
        <w:rPr>
          <w:rFonts w:ascii="Palatino Linotype" w:hAnsi="Palatino Linotype"/>
          <w:sz w:val="22"/>
          <w:szCs w:val="22"/>
        </w:rPr>
        <w:t>Si a ello se le suma lo previsto en el párrafo segundo del artículo 178, párrafo segundo de la Ley de Transparencia y Acceso a la Información Pública vigente en la entidad.</w:t>
      </w:r>
    </w:p>
    <w:p w14:paraId="712C91F4" w14:textId="77777777" w:rsidR="00A521E3" w:rsidRPr="0061511A" w:rsidRDefault="00A521E3" w:rsidP="00A521E3">
      <w:pPr>
        <w:spacing w:line="360" w:lineRule="auto"/>
        <w:rPr>
          <w:rFonts w:ascii="Palatino Linotype" w:hAnsi="Palatino Linotype"/>
          <w:sz w:val="22"/>
          <w:szCs w:val="22"/>
        </w:rPr>
      </w:pPr>
    </w:p>
    <w:p w14:paraId="55E82B56" w14:textId="77777777" w:rsidR="00A521E3" w:rsidRPr="0061511A" w:rsidRDefault="00A521E3" w:rsidP="00A521E3">
      <w:pPr>
        <w:pStyle w:val="NormalWeb"/>
        <w:spacing w:before="0" w:beforeAutospacing="0" w:after="0" w:afterAutospacing="0" w:line="360" w:lineRule="auto"/>
        <w:jc w:val="both"/>
        <w:rPr>
          <w:rFonts w:ascii="Palatino Linotype" w:hAnsi="Palatino Linotype"/>
          <w:sz w:val="22"/>
          <w:szCs w:val="22"/>
        </w:rPr>
      </w:pPr>
      <w:r w:rsidRPr="0061511A">
        <w:rPr>
          <w:rFonts w:ascii="Palatino Linotype" w:hAnsi="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46D35916" w14:textId="77777777" w:rsidR="00A521E3" w:rsidRPr="0061511A" w:rsidRDefault="00A521E3" w:rsidP="00A521E3">
      <w:pPr>
        <w:spacing w:line="360" w:lineRule="auto"/>
        <w:rPr>
          <w:rFonts w:ascii="Palatino Linotype" w:hAnsi="Palatino Linotype"/>
          <w:sz w:val="22"/>
          <w:szCs w:val="22"/>
        </w:rPr>
      </w:pPr>
    </w:p>
    <w:p w14:paraId="350D687A" w14:textId="77777777" w:rsidR="00A521E3" w:rsidRPr="0061511A" w:rsidRDefault="00A521E3" w:rsidP="00A521E3">
      <w:pPr>
        <w:pStyle w:val="NormalWeb"/>
        <w:spacing w:before="0" w:beforeAutospacing="0" w:after="0" w:afterAutospacing="0"/>
        <w:ind w:left="567" w:right="616"/>
        <w:jc w:val="both"/>
        <w:rPr>
          <w:rFonts w:ascii="Palatino Linotype" w:hAnsi="Palatino Linotype"/>
          <w:sz w:val="22"/>
          <w:szCs w:val="22"/>
        </w:rPr>
      </w:pPr>
      <w:r w:rsidRPr="0061511A">
        <w:rPr>
          <w:rFonts w:ascii="Palatino Linotype" w:hAnsi="Palatino Linotype"/>
          <w:i/>
          <w:iCs/>
          <w:sz w:val="22"/>
          <w:szCs w:val="22"/>
        </w:rPr>
        <w:t>“</w:t>
      </w:r>
      <w:r w:rsidRPr="0061511A">
        <w:rPr>
          <w:rFonts w:ascii="Palatino Linotype" w:hAnsi="Palatino Linotype"/>
          <w:b/>
          <w:bCs/>
          <w:i/>
          <w:iCs/>
          <w:sz w:val="22"/>
          <w:szCs w:val="22"/>
        </w:rPr>
        <w:t>CRITERIO 0001-15 NEGATIVA FICTA. PLAZO PARA INTERPONER EL RECURSO DE REVISIÓN TRATÁNDOSE DE</w:t>
      </w:r>
      <w:r w:rsidRPr="0061511A">
        <w:rPr>
          <w:rFonts w:ascii="Palatino Linotype" w:hAnsi="Palatino Linotype"/>
          <w:i/>
          <w:iCs/>
          <w:sz w:val="22"/>
          <w:szCs w:val="22"/>
        </w:rPr>
        <w:t xml:space="preserve">. El artículo 48, párrafo tercero de la </w:t>
      </w:r>
      <w:r w:rsidRPr="0061511A">
        <w:rPr>
          <w:rFonts w:ascii="Palatino Linotype" w:hAnsi="Palatino Linotype"/>
          <w:i/>
          <w:iCs/>
          <w:sz w:val="22"/>
          <w:szCs w:val="22"/>
        </w:rPr>
        <w:lastRenderedPageBreak/>
        <w:t>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5E6DCEBC" w14:textId="77777777" w:rsidR="00A521E3" w:rsidRPr="0061511A" w:rsidRDefault="00A521E3" w:rsidP="00A521E3">
      <w:pPr>
        <w:spacing w:line="360" w:lineRule="auto"/>
        <w:rPr>
          <w:rFonts w:ascii="Palatino Linotype" w:hAnsi="Palatino Linotype"/>
          <w:sz w:val="22"/>
          <w:szCs w:val="22"/>
        </w:rPr>
      </w:pPr>
    </w:p>
    <w:p w14:paraId="35A0E7E7" w14:textId="77777777" w:rsidR="00A521E3" w:rsidRPr="0061511A" w:rsidRDefault="00A521E3" w:rsidP="00A521E3">
      <w:pPr>
        <w:pStyle w:val="NormalWeb"/>
        <w:spacing w:before="0" w:beforeAutospacing="0" w:after="0" w:afterAutospacing="0" w:line="360" w:lineRule="auto"/>
        <w:ind w:right="-147"/>
        <w:jc w:val="both"/>
        <w:rPr>
          <w:rFonts w:ascii="Palatino Linotype" w:hAnsi="Palatino Linotype"/>
          <w:sz w:val="22"/>
          <w:szCs w:val="22"/>
        </w:rPr>
      </w:pPr>
      <w:r w:rsidRPr="0061511A">
        <w:rPr>
          <w:rFonts w:ascii="Palatino Linotype" w:hAnsi="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61511A">
        <w:rPr>
          <w:rFonts w:ascii="Palatino Linotype" w:hAnsi="Palatino Linotype"/>
          <w:b/>
          <w:bCs/>
          <w:sz w:val="22"/>
          <w:szCs w:val="22"/>
        </w:rPr>
        <w:t>EL</w:t>
      </w:r>
      <w:r w:rsidRPr="0061511A">
        <w:rPr>
          <w:rFonts w:ascii="Palatino Linotype" w:hAnsi="Palatino Linotype"/>
          <w:sz w:val="22"/>
          <w:szCs w:val="22"/>
        </w:rPr>
        <w:t xml:space="preserve"> </w:t>
      </w:r>
      <w:r w:rsidRPr="0061511A">
        <w:rPr>
          <w:rFonts w:ascii="Palatino Linotype" w:hAnsi="Palatino Linotype"/>
          <w:b/>
          <w:bCs/>
          <w:sz w:val="22"/>
          <w:szCs w:val="22"/>
        </w:rPr>
        <w:t>SAIMEX</w:t>
      </w:r>
      <w:r w:rsidRPr="0061511A">
        <w:rPr>
          <w:rFonts w:ascii="Palatino Linotype" w:hAnsi="Palatino Linotype"/>
          <w:sz w:val="22"/>
          <w:szCs w:val="22"/>
        </w:rPr>
        <w:t>.</w:t>
      </w:r>
    </w:p>
    <w:p w14:paraId="08E29134" w14:textId="77777777" w:rsidR="009320DE" w:rsidRPr="0061511A" w:rsidRDefault="009320DE" w:rsidP="00A521E3">
      <w:pPr>
        <w:pStyle w:val="NormalWeb"/>
        <w:spacing w:before="0" w:beforeAutospacing="0" w:after="0" w:afterAutospacing="0" w:line="360" w:lineRule="auto"/>
        <w:ind w:right="-147"/>
        <w:jc w:val="both"/>
        <w:rPr>
          <w:rFonts w:ascii="Palatino Linotype" w:hAnsi="Palatino Linotype"/>
          <w:sz w:val="22"/>
          <w:szCs w:val="22"/>
        </w:rPr>
      </w:pPr>
    </w:p>
    <w:p w14:paraId="68711AFE" w14:textId="77777777" w:rsidR="009320DE" w:rsidRPr="0061511A" w:rsidRDefault="009320DE" w:rsidP="009320DE">
      <w:pPr>
        <w:spacing w:before="240" w:after="240" w:line="360" w:lineRule="auto"/>
        <w:jc w:val="both"/>
        <w:rPr>
          <w:rFonts w:ascii="Palatino Linotype" w:eastAsia="Palatino Linotype" w:hAnsi="Palatino Linotype" w:cs="Palatino Linotype"/>
          <w:b/>
          <w:bCs/>
          <w:sz w:val="22"/>
        </w:rPr>
      </w:pPr>
      <w:r w:rsidRPr="0061511A">
        <w:rPr>
          <w:rFonts w:ascii="Palatino Linotype" w:eastAsia="Palatino Linotype" w:hAnsi="Palatino Linotype" w:cs="Palatino Linotype"/>
          <w:sz w:val="22"/>
        </w:rPr>
        <w:t>Además, por cuanto hace a la procedibilidad del recurso de revisión, es de suma importancia señalar que la parte</w:t>
      </w:r>
      <w:r w:rsidRPr="0061511A">
        <w:rPr>
          <w:rFonts w:ascii="Palatino Linotype" w:eastAsia="Palatino Linotype" w:hAnsi="Palatino Linotype" w:cs="Palatino Linotype"/>
          <w:b/>
          <w:bCs/>
          <w:sz w:val="22"/>
        </w:rPr>
        <w:t xml:space="preserve"> Recurrente</w:t>
      </w:r>
      <w:r w:rsidRPr="0061511A">
        <w:rPr>
          <w:rFonts w:ascii="Palatino Linotype" w:eastAsia="Palatino Linotype" w:hAnsi="Palatino Linotype" w:cs="Palatino Linotype"/>
          <w:sz w:val="22"/>
        </w:rPr>
        <w:t xml:space="preserve">, no señaló un </w:t>
      </w:r>
      <w:r w:rsidRPr="0061511A">
        <w:rPr>
          <w:rFonts w:ascii="Palatino Linotype" w:eastAsia="Palatino Linotype" w:hAnsi="Palatino Linotype" w:cs="Palatino Linotype"/>
          <w:b/>
          <w:bCs/>
          <w:sz w:val="22"/>
        </w:rPr>
        <w:t>nombre</w:t>
      </w:r>
      <w:r w:rsidRPr="0061511A">
        <w:rPr>
          <w:rFonts w:ascii="Palatino Linotype" w:eastAsia="Palatino Linotype" w:hAnsi="Palatino Linotype" w:cs="Palatino Linotype"/>
          <w:sz w:val="22"/>
        </w:rPr>
        <w:t xml:space="preserv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14:paraId="562578E2" w14:textId="77777777" w:rsidR="009320DE" w:rsidRPr="0061511A" w:rsidRDefault="009320DE" w:rsidP="009320DE">
      <w:pPr>
        <w:spacing w:before="120" w:after="120"/>
        <w:ind w:left="851" w:right="902"/>
        <w:jc w:val="both"/>
        <w:rPr>
          <w:rFonts w:ascii="Palatino Linotype" w:eastAsia="Palatino Linotype" w:hAnsi="Palatino Linotype" w:cs="Palatino Linotype"/>
          <w:i/>
          <w:iCs/>
          <w:sz w:val="22"/>
        </w:rPr>
      </w:pPr>
      <w:r w:rsidRPr="0061511A">
        <w:rPr>
          <w:rFonts w:ascii="Palatino Linotype" w:eastAsia="Palatino Linotype" w:hAnsi="Palatino Linotype" w:cs="Palatino Linotype"/>
          <w:i/>
          <w:iCs/>
          <w:sz w:val="22"/>
        </w:rPr>
        <w:t>"</w:t>
      </w:r>
      <w:r w:rsidRPr="0061511A">
        <w:rPr>
          <w:rFonts w:ascii="Palatino Linotype" w:eastAsia="Palatino Linotype" w:hAnsi="Palatino Linotype" w:cs="Palatino Linotype"/>
          <w:b/>
          <w:bCs/>
          <w:i/>
          <w:iCs/>
          <w:sz w:val="22"/>
        </w:rPr>
        <w:t>Las solicitudes anónimas</w:t>
      </w:r>
      <w:r w:rsidRPr="0061511A">
        <w:rPr>
          <w:rFonts w:ascii="Palatino Linotype" w:eastAsia="Palatino Linotype" w:hAnsi="Palatino Linotype" w:cs="Palatino Linotype"/>
          <w:i/>
          <w:iCs/>
          <w:sz w:val="22"/>
        </w:rPr>
        <w:t xml:space="preserve">, con nombre incompleto o </w:t>
      </w:r>
      <w:r w:rsidRPr="0061511A">
        <w:rPr>
          <w:rFonts w:ascii="Palatino Linotype" w:eastAsia="Palatino Linotype" w:hAnsi="Palatino Linotype" w:cs="Palatino Linotype"/>
          <w:b/>
          <w:bCs/>
          <w:i/>
          <w:iCs/>
          <w:sz w:val="22"/>
        </w:rPr>
        <w:t>seudónimo</w:t>
      </w:r>
      <w:r w:rsidRPr="0061511A">
        <w:rPr>
          <w:rFonts w:ascii="Palatino Linotype" w:eastAsia="Palatino Linotype" w:hAnsi="Palatino Linotype" w:cs="Palatino Linotype"/>
          <w:i/>
          <w:iCs/>
          <w:sz w:val="22"/>
        </w:rPr>
        <w:t xml:space="preserve"> serán procedentes para su trámite por parte del sujeto obligado ante quien se presente. No podrá requerirse información adicional con motivo del nombre proporcionado por el solicitante."</w:t>
      </w:r>
    </w:p>
    <w:p w14:paraId="41F32C30" w14:textId="77777777" w:rsidR="00A521E3" w:rsidRPr="0061511A" w:rsidRDefault="00A521E3" w:rsidP="00A521E3">
      <w:pPr>
        <w:pStyle w:val="NormalWeb"/>
        <w:spacing w:before="0" w:beforeAutospacing="0" w:after="0" w:afterAutospacing="0" w:line="360" w:lineRule="auto"/>
        <w:jc w:val="both"/>
        <w:rPr>
          <w:rFonts w:ascii="Palatino Linotype" w:hAnsi="Palatino Linotype"/>
          <w:sz w:val="22"/>
          <w:szCs w:val="22"/>
        </w:rPr>
      </w:pPr>
      <w:r w:rsidRPr="0061511A">
        <w:rPr>
          <w:rFonts w:ascii="Palatino Linotype" w:hAnsi="Palatino Linotype"/>
          <w:sz w:val="22"/>
          <w:szCs w:val="22"/>
        </w:rPr>
        <w:lastRenderedPageBreak/>
        <w:t xml:space="preserve">Ahora bien, resulta procedente la interposición del recurso de revisión, según lo aducido por la parte </w:t>
      </w:r>
      <w:r w:rsidRPr="0061511A">
        <w:rPr>
          <w:rFonts w:ascii="Palatino Linotype" w:hAnsi="Palatino Linotype"/>
          <w:b/>
          <w:bCs/>
          <w:sz w:val="22"/>
          <w:szCs w:val="22"/>
        </w:rPr>
        <w:t>RECURRENTE</w:t>
      </w:r>
      <w:r w:rsidRPr="0061511A">
        <w:rPr>
          <w:rFonts w:ascii="Palatino Linotype" w:hAnsi="Palatino Linotype"/>
          <w:sz w:val="22"/>
          <w:szCs w:val="22"/>
        </w:rPr>
        <w:t>, en términos del artículo 179, fracción VII del ordenamiento legal de la materia, que a la letra dice:</w:t>
      </w:r>
    </w:p>
    <w:p w14:paraId="28F31045" w14:textId="77777777" w:rsidR="00A521E3" w:rsidRPr="0061511A" w:rsidRDefault="00A521E3" w:rsidP="00A521E3">
      <w:pPr>
        <w:spacing w:line="360" w:lineRule="auto"/>
        <w:rPr>
          <w:rFonts w:ascii="Palatino Linotype" w:hAnsi="Palatino Linotype"/>
          <w:sz w:val="22"/>
          <w:szCs w:val="22"/>
        </w:rPr>
      </w:pPr>
    </w:p>
    <w:p w14:paraId="0FC3F0F3" w14:textId="77777777" w:rsidR="00A521E3" w:rsidRPr="0061511A" w:rsidRDefault="00A521E3" w:rsidP="00A521E3">
      <w:pPr>
        <w:pStyle w:val="NormalWeb"/>
        <w:spacing w:before="0" w:beforeAutospacing="0" w:after="0" w:afterAutospacing="0" w:line="360" w:lineRule="auto"/>
        <w:ind w:left="567" w:right="616"/>
        <w:jc w:val="both"/>
        <w:rPr>
          <w:rFonts w:ascii="Palatino Linotype" w:hAnsi="Palatino Linotype"/>
          <w:sz w:val="22"/>
          <w:szCs w:val="22"/>
        </w:rPr>
      </w:pPr>
      <w:r w:rsidRPr="0061511A">
        <w:rPr>
          <w:rFonts w:ascii="Palatino Linotype" w:hAnsi="Palatino Linotype"/>
          <w:i/>
          <w:iCs/>
          <w:sz w:val="22"/>
          <w:szCs w:val="22"/>
        </w:rPr>
        <w:t>“</w:t>
      </w:r>
      <w:r w:rsidRPr="0061511A">
        <w:rPr>
          <w:rFonts w:ascii="Palatino Linotype" w:hAnsi="Palatino Linotype"/>
          <w:b/>
          <w:bCs/>
          <w:sz w:val="22"/>
          <w:szCs w:val="22"/>
        </w:rPr>
        <w:t>Artículo 179.</w:t>
      </w:r>
      <w:r w:rsidRPr="0061511A">
        <w:rPr>
          <w:rFonts w:ascii="Palatino Linotype" w:hAnsi="Palatino Linotype"/>
          <w:i/>
          <w:iCs/>
          <w:sz w:val="22"/>
          <w:szCs w:val="22"/>
        </w:rPr>
        <w:t xml:space="preserve">El recurso de revisión es un medio de protección que la Ley otorga a los particulares, para hacer valer su derecho de acceso a la información pública, y procederá en contra de las siguientes causas: </w:t>
      </w:r>
      <w:r w:rsidRPr="0061511A">
        <w:rPr>
          <w:rFonts w:ascii="Palatino Linotype" w:hAnsi="Palatino Linotype"/>
          <w:sz w:val="22"/>
          <w:szCs w:val="22"/>
        </w:rPr>
        <w:t> </w:t>
      </w:r>
    </w:p>
    <w:p w14:paraId="6AFF517F" w14:textId="77777777" w:rsidR="00A521E3" w:rsidRPr="0061511A" w:rsidRDefault="00A521E3" w:rsidP="00A521E3">
      <w:pPr>
        <w:pStyle w:val="NormalWeb"/>
        <w:spacing w:before="0" w:beforeAutospacing="0" w:after="0" w:afterAutospacing="0" w:line="360" w:lineRule="auto"/>
        <w:ind w:left="567" w:right="616"/>
        <w:jc w:val="both"/>
        <w:rPr>
          <w:rFonts w:ascii="Palatino Linotype" w:hAnsi="Palatino Linotype"/>
          <w:sz w:val="22"/>
          <w:szCs w:val="22"/>
        </w:rPr>
      </w:pPr>
      <w:r w:rsidRPr="0061511A">
        <w:rPr>
          <w:rFonts w:ascii="Palatino Linotype" w:hAnsi="Palatino Linotype"/>
          <w:sz w:val="22"/>
          <w:szCs w:val="22"/>
        </w:rPr>
        <w:t>…</w:t>
      </w:r>
    </w:p>
    <w:p w14:paraId="5FE67051" w14:textId="77777777" w:rsidR="00A521E3" w:rsidRPr="0061511A" w:rsidRDefault="00A521E3" w:rsidP="00A521E3">
      <w:pPr>
        <w:pStyle w:val="NormalWeb"/>
        <w:numPr>
          <w:ilvl w:val="0"/>
          <w:numId w:val="22"/>
        </w:numPr>
        <w:spacing w:before="0" w:beforeAutospacing="0" w:after="0" w:afterAutospacing="0" w:line="360" w:lineRule="auto"/>
        <w:ind w:left="993" w:right="616" w:hanging="142"/>
        <w:jc w:val="both"/>
        <w:textAlignment w:val="baseline"/>
        <w:rPr>
          <w:rFonts w:ascii="Palatino Linotype" w:hAnsi="Palatino Linotype"/>
          <w:b/>
          <w:bCs/>
          <w:i/>
          <w:iCs/>
          <w:sz w:val="22"/>
          <w:szCs w:val="22"/>
        </w:rPr>
      </w:pPr>
      <w:r w:rsidRPr="0061511A">
        <w:rPr>
          <w:rFonts w:ascii="Palatino Linotype" w:hAnsi="Palatino Linotype"/>
          <w:i/>
          <w:iCs/>
          <w:sz w:val="22"/>
          <w:szCs w:val="22"/>
        </w:rPr>
        <w:t>La falta de respuesta a una solicitud de acceso a la información</w:t>
      </w:r>
    </w:p>
    <w:p w14:paraId="266FC4F2" w14:textId="77777777" w:rsidR="00A521E3" w:rsidRPr="0061511A" w:rsidRDefault="00A521E3" w:rsidP="00A521E3">
      <w:pPr>
        <w:pStyle w:val="NormalWeb"/>
        <w:spacing w:before="0" w:beforeAutospacing="0" w:after="0" w:afterAutospacing="0" w:line="360" w:lineRule="auto"/>
        <w:ind w:left="567" w:right="616"/>
        <w:jc w:val="both"/>
        <w:textAlignment w:val="baseline"/>
        <w:rPr>
          <w:rFonts w:ascii="Palatino Linotype" w:hAnsi="Palatino Linotype"/>
          <w:b/>
          <w:bCs/>
          <w:i/>
          <w:iCs/>
          <w:sz w:val="22"/>
          <w:szCs w:val="22"/>
        </w:rPr>
      </w:pPr>
      <w:r w:rsidRPr="0061511A">
        <w:rPr>
          <w:rFonts w:ascii="Palatino Linotype" w:hAnsi="Palatino Linotype"/>
          <w:i/>
          <w:iCs/>
          <w:sz w:val="22"/>
          <w:szCs w:val="22"/>
        </w:rPr>
        <w:t>…</w:t>
      </w:r>
    </w:p>
    <w:p w14:paraId="28E33282" w14:textId="77777777" w:rsidR="00A521E3" w:rsidRPr="0061511A" w:rsidRDefault="00A521E3" w:rsidP="00A521E3">
      <w:pPr>
        <w:spacing w:line="360" w:lineRule="auto"/>
        <w:jc w:val="both"/>
        <w:rPr>
          <w:rFonts w:ascii="Palatino Linotype" w:hAnsi="Palatino Linotype"/>
          <w:sz w:val="22"/>
          <w:szCs w:val="22"/>
        </w:rPr>
      </w:pPr>
      <w:r w:rsidRPr="0061511A">
        <w:rPr>
          <w:rFonts w:ascii="Palatino Linotype" w:hAnsi="Palatino Linotype"/>
          <w:b/>
          <w:bCs/>
          <w:sz w:val="22"/>
          <w:szCs w:val="22"/>
        </w:rPr>
        <w:t xml:space="preserve">Tercero. Materia de la revisión. </w:t>
      </w:r>
      <w:r w:rsidRPr="0061511A">
        <w:rPr>
          <w:rFonts w:ascii="Palatino Linotype" w:hAnsi="Palatino Linotype"/>
          <w:sz w:val="22"/>
          <w:szCs w:val="22"/>
        </w:rPr>
        <w:t xml:space="preserve">Este Organismo Garante procede del análisis de los agravios hechos valer por la parte </w:t>
      </w:r>
      <w:r w:rsidRPr="0061511A">
        <w:rPr>
          <w:rFonts w:ascii="Palatino Linotype" w:hAnsi="Palatino Linotype"/>
          <w:b/>
          <w:bCs/>
          <w:sz w:val="22"/>
          <w:szCs w:val="22"/>
        </w:rPr>
        <w:t>Recurrente</w:t>
      </w:r>
      <w:r w:rsidRPr="0061511A">
        <w:rPr>
          <w:rFonts w:ascii="Palatino Linotype" w:hAnsi="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2F1580B7" w14:textId="77777777" w:rsidR="00A521E3" w:rsidRPr="0061511A" w:rsidRDefault="00A521E3" w:rsidP="00A521E3">
      <w:pPr>
        <w:spacing w:line="360" w:lineRule="auto"/>
        <w:jc w:val="both"/>
        <w:rPr>
          <w:rFonts w:ascii="Palatino Linotype" w:hAnsi="Palatino Linotype"/>
          <w:sz w:val="22"/>
          <w:szCs w:val="22"/>
        </w:rPr>
      </w:pPr>
    </w:p>
    <w:p w14:paraId="66F7BE00"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sz w:val="22"/>
          <w:szCs w:val="22"/>
        </w:rPr>
        <w:t xml:space="preserve">Cuarto. Estudio del asunto. </w:t>
      </w:r>
      <w:r w:rsidRPr="0061511A">
        <w:rPr>
          <w:rFonts w:ascii="Palatino Linotype" w:eastAsia="Palatino Linotype" w:hAnsi="Palatino Linotype" w:cs="Palatino Linotype"/>
          <w:sz w:val="22"/>
          <w:szCs w:val="22"/>
        </w:rPr>
        <w:t xml:space="preserve">En principio, es conveniente analizar si la información proporcionada mediante informe justificado por el </w:t>
      </w:r>
      <w:r w:rsidRPr="0061511A">
        <w:rPr>
          <w:rFonts w:ascii="Palatino Linotype" w:eastAsia="Palatino Linotype" w:hAnsi="Palatino Linotype" w:cs="Palatino Linotype"/>
          <w:b/>
          <w:sz w:val="22"/>
          <w:szCs w:val="22"/>
        </w:rPr>
        <w:t>SUJETO OBLIGADO</w:t>
      </w:r>
      <w:r w:rsidRPr="0061511A">
        <w:rPr>
          <w:rFonts w:ascii="Palatino Linotype" w:eastAsia="Palatino Linotype" w:hAnsi="Palatino Linotype" w:cs="Palatino Linotype"/>
          <w:sz w:val="22"/>
          <w:szCs w:val="22"/>
        </w:rPr>
        <w:t xml:space="preserve"> cumple con los requisitos y procedimientos del derecho de acceso a la información pública, en atención a que en la Ley de Transparencia y Acceso a la Información Pública del Estado de México y Municipios en su artículo 4, que dice que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trascribe para un mejor entendimiento:</w:t>
      </w:r>
    </w:p>
    <w:p w14:paraId="4940F7D1"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p>
    <w:p w14:paraId="5C6FE364" w14:textId="77777777" w:rsidR="00A521E3" w:rsidRPr="0061511A" w:rsidRDefault="00A521E3" w:rsidP="00A521E3">
      <w:pPr>
        <w:spacing w:line="276" w:lineRule="auto"/>
        <w:ind w:left="567"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r w:rsidRPr="0061511A">
        <w:rPr>
          <w:rFonts w:ascii="Palatino Linotype" w:eastAsia="Palatino Linotype" w:hAnsi="Palatino Linotype" w:cs="Palatino Linotype"/>
          <w:b/>
          <w:i/>
          <w:sz w:val="22"/>
          <w:szCs w:val="22"/>
        </w:rPr>
        <w:t>Artículo 4</w:t>
      </w:r>
      <w:r w:rsidRPr="0061511A">
        <w:rPr>
          <w:rFonts w:ascii="Palatino Linotype" w:eastAsia="Palatino Linotype" w:hAnsi="Palatino Linotype" w:cs="Palatino Linotype"/>
          <w:i/>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4B7364B2" w14:textId="77777777" w:rsidR="00A521E3" w:rsidRPr="0061511A" w:rsidRDefault="00A521E3" w:rsidP="00A521E3">
      <w:pPr>
        <w:spacing w:line="276" w:lineRule="auto"/>
        <w:ind w:left="567"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Toda la información generada, obtenida, adquirida, transformada, administrada o en posesión de los sujetos obligados es pública y accesible de manera permanente a cualquier persona</w:t>
      </w:r>
      <w:r w:rsidRPr="0061511A">
        <w:rPr>
          <w:rFonts w:ascii="Palatino Linotype" w:eastAsia="Palatino Linotype" w:hAnsi="Palatino Linotype" w:cs="Palatino Linotype"/>
          <w:i/>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24EAD3B0" w14:textId="77777777" w:rsidR="00A521E3" w:rsidRPr="0061511A" w:rsidRDefault="00A521E3" w:rsidP="00A521E3">
      <w:pPr>
        <w:spacing w:line="276" w:lineRule="auto"/>
        <w:ind w:left="567"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Los sujetos obligados deben poner en práctica, políticas y programas de acceso a la información que se apeguen a criterios de publicidad, veracidad, oportunidad, precisión y suficiencia en beneficio de los solicitantes</w:t>
      </w:r>
      <w:r w:rsidRPr="0061511A">
        <w:rPr>
          <w:rFonts w:ascii="Palatino Linotype" w:eastAsia="Palatino Linotype" w:hAnsi="Palatino Linotype" w:cs="Palatino Linotype"/>
          <w:i/>
          <w:sz w:val="22"/>
          <w:szCs w:val="22"/>
        </w:rPr>
        <w:t>.”</w:t>
      </w:r>
    </w:p>
    <w:p w14:paraId="5FC7C44D" w14:textId="77777777" w:rsidR="00A521E3" w:rsidRPr="0061511A" w:rsidRDefault="00A521E3" w:rsidP="00A521E3">
      <w:pPr>
        <w:spacing w:line="276" w:lineRule="auto"/>
        <w:jc w:val="both"/>
        <w:rPr>
          <w:rFonts w:ascii="Palatino Linotype" w:eastAsia="Palatino Linotype" w:hAnsi="Palatino Linotype" w:cs="Palatino Linotype"/>
          <w:sz w:val="22"/>
          <w:szCs w:val="22"/>
        </w:rPr>
      </w:pPr>
    </w:p>
    <w:p w14:paraId="0DC2B51D"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01AAC5AC"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p>
    <w:p w14:paraId="0F6E0A70" w14:textId="77777777" w:rsidR="00A521E3" w:rsidRPr="0061511A" w:rsidRDefault="00A521E3" w:rsidP="00A521E3">
      <w:pPr>
        <w:spacing w:line="276" w:lineRule="auto"/>
        <w:ind w:left="567"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“Artículo 12.-</w:t>
      </w:r>
      <w:r w:rsidRPr="0061511A">
        <w:rPr>
          <w:rFonts w:ascii="Palatino Linotype" w:eastAsia="Palatino Linotype" w:hAnsi="Palatino Linotype" w:cs="Palatino Linotype"/>
          <w:i/>
          <w:sz w:val="22"/>
          <w:szCs w:val="22"/>
        </w:rPr>
        <w:t xml:space="preserve"> Quienes generen, recopilen, administren, manejen, procesen, archiven o conserven información pública serán responsables de la misma en los términos de las disposiciones jurídicas aplicables. </w:t>
      </w:r>
    </w:p>
    <w:p w14:paraId="0B9331F3" w14:textId="77777777" w:rsidR="00A521E3" w:rsidRPr="0061511A" w:rsidRDefault="00A521E3" w:rsidP="00A521E3">
      <w:pPr>
        <w:spacing w:line="276" w:lineRule="auto"/>
        <w:ind w:left="567" w:right="616"/>
        <w:jc w:val="both"/>
        <w:rPr>
          <w:rFonts w:ascii="Palatino Linotype" w:eastAsia="Palatino Linotype" w:hAnsi="Palatino Linotype" w:cs="Palatino Linotype"/>
          <w:i/>
          <w:sz w:val="22"/>
          <w:szCs w:val="22"/>
        </w:rPr>
      </w:pPr>
    </w:p>
    <w:p w14:paraId="28EFF7CB" w14:textId="77777777" w:rsidR="00A521E3" w:rsidRPr="0061511A" w:rsidRDefault="00A521E3" w:rsidP="00A521E3">
      <w:pPr>
        <w:spacing w:line="276" w:lineRule="auto"/>
        <w:ind w:left="567"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Los sujetos obligados sólo proporcionarán la información pública que se les requiera y que obre en sus archivos y en el estado en que ésta se encuentre</w:t>
      </w:r>
      <w:r w:rsidRPr="0061511A">
        <w:rPr>
          <w:rFonts w:ascii="Palatino Linotype" w:eastAsia="Palatino Linotype" w:hAnsi="Palatino Linotype" w:cs="Palatino Linotype"/>
          <w:i/>
          <w:sz w:val="22"/>
          <w:szCs w:val="22"/>
        </w:rPr>
        <w:t xml:space="preserve">. </w:t>
      </w:r>
      <w:r w:rsidRPr="0061511A">
        <w:rPr>
          <w:rFonts w:ascii="Palatino Linotype" w:eastAsia="Palatino Linotype" w:hAnsi="Palatino Linotype" w:cs="Palatino Linotype"/>
          <w:b/>
          <w:i/>
          <w:sz w:val="22"/>
          <w:szCs w:val="22"/>
        </w:rPr>
        <w:t xml:space="preserve">La </w:t>
      </w:r>
      <w:r w:rsidRPr="0061511A">
        <w:rPr>
          <w:rFonts w:ascii="Palatino Linotype" w:eastAsia="Palatino Linotype" w:hAnsi="Palatino Linotype" w:cs="Palatino Linotype"/>
          <w:b/>
          <w:i/>
          <w:sz w:val="22"/>
          <w:szCs w:val="22"/>
        </w:rPr>
        <w:lastRenderedPageBreak/>
        <w:t xml:space="preserve">obligación de proporcionar información no comprende el procesamiento de la misma, ni el presentarla conforme al interés del solicitante; no estarán obligados a generarla, resumirla, efectuar cálculos o practicar investigaciones.” </w:t>
      </w:r>
    </w:p>
    <w:p w14:paraId="1901E949" w14:textId="77777777" w:rsidR="00A521E3" w:rsidRPr="0061511A" w:rsidRDefault="00A521E3" w:rsidP="00A521E3">
      <w:pPr>
        <w:spacing w:line="360" w:lineRule="auto"/>
        <w:ind w:right="-93"/>
        <w:jc w:val="both"/>
        <w:rPr>
          <w:rFonts w:ascii="Palatino Linotype" w:eastAsia="Palatino Linotype" w:hAnsi="Palatino Linotype" w:cs="Palatino Linotype"/>
          <w:sz w:val="22"/>
          <w:szCs w:val="22"/>
        </w:rPr>
      </w:pPr>
    </w:p>
    <w:p w14:paraId="795F5462" w14:textId="77777777" w:rsidR="00A521E3" w:rsidRPr="0061511A" w:rsidRDefault="00A521E3" w:rsidP="00A521E3">
      <w:pPr>
        <w:spacing w:line="360" w:lineRule="auto"/>
        <w:ind w:right="-93"/>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solo se concretaran a proporcionar la información solicitada que tengan en su poder en el estado que se encuentran, sin necesidad de concretarse al interés o términos específicos del solicitante.</w:t>
      </w:r>
    </w:p>
    <w:p w14:paraId="59351CA6" w14:textId="77777777" w:rsidR="00A521E3" w:rsidRPr="0061511A" w:rsidRDefault="00A521E3" w:rsidP="00A521E3">
      <w:pPr>
        <w:spacing w:line="360" w:lineRule="auto"/>
        <w:ind w:right="-93"/>
        <w:jc w:val="both"/>
        <w:rPr>
          <w:rFonts w:ascii="Palatino Linotype" w:eastAsia="Palatino Linotype" w:hAnsi="Palatino Linotype" w:cs="Palatino Linotype"/>
          <w:sz w:val="22"/>
          <w:szCs w:val="22"/>
        </w:rPr>
      </w:pPr>
    </w:p>
    <w:p w14:paraId="6598FF9E" w14:textId="77777777" w:rsidR="00A521E3" w:rsidRPr="0061511A" w:rsidRDefault="00A521E3" w:rsidP="00A521E3">
      <w:pPr>
        <w:spacing w:line="360" w:lineRule="auto"/>
        <w:ind w:right="-93"/>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Sirve de apoyo a lo anterior, el criterio orientador 03-17, expuesto por el entonces Instituto Nacional de Transparencia, Acceso a la Información y Protección de Datos Personales, que dice:</w:t>
      </w:r>
      <w:r w:rsidRPr="0061511A">
        <w:rPr>
          <w:rFonts w:ascii="Palatino Linotype" w:eastAsia="Palatino Linotype" w:hAnsi="Palatino Linotype" w:cs="Palatino Linotype"/>
          <w:b/>
          <w:sz w:val="22"/>
          <w:szCs w:val="22"/>
        </w:rPr>
        <w:t xml:space="preserve"> </w:t>
      </w:r>
    </w:p>
    <w:p w14:paraId="39933F25" w14:textId="77777777" w:rsidR="00A521E3" w:rsidRPr="0061511A" w:rsidRDefault="00A521E3" w:rsidP="00A521E3">
      <w:pPr>
        <w:spacing w:line="360" w:lineRule="auto"/>
        <w:jc w:val="both"/>
        <w:rPr>
          <w:rFonts w:ascii="Palatino Linotype" w:eastAsia="Palatino Linotype" w:hAnsi="Palatino Linotype" w:cs="Palatino Linotype"/>
          <w:b/>
          <w:sz w:val="22"/>
          <w:szCs w:val="22"/>
        </w:rPr>
      </w:pPr>
    </w:p>
    <w:p w14:paraId="60EA33C0" w14:textId="77777777" w:rsidR="00A521E3" w:rsidRPr="0061511A" w:rsidRDefault="00A521E3" w:rsidP="00A521E3">
      <w:pPr>
        <w:ind w:left="567"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r w:rsidRPr="0061511A">
        <w:rPr>
          <w:rFonts w:ascii="Palatino Linotype" w:eastAsia="Palatino Linotype" w:hAnsi="Palatino Linotype" w:cs="Palatino Linotype"/>
          <w:b/>
          <w:i/>
          <w:sz w:val="22"/>
          <w:szCs w:val="22"/>
        </w:rPr>
        <w:t>No existe obligación de elaborar documentos ad hoc para atender las solicitudes de acceso a la información.</w:t>
      </w:r>
      <w:r w:rsidRPr="0061511A">
        <w:rPr>
          <w:rFonts w:ascii="Palatino Linotype" w:eastAsia="Palatino Linotype" w:hAnsi="Palatino Linotype" w:cs="Palatino Linotype"/>
          <w:i/>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13D02744" w14:textId="77777777" w:rsidR="00A521E3" w:rsidRPr="0061511A" w:rsidRDefault="00A521E3" w:rsidP="00A521E3">
      <w:pPr>
        <w:spacing w:line="360" w:lineRule="auto"/>
        <w:ind w:right="-93"/>
        <w:jc w:val="both"/>
        <w:rPr>
          <w:rFonts w:ascii="Palatino Linotype" w:eastAsia="Palatino Linotype" w:hAnsi="Palatino Linotype" w:cs="Palatino Linotype"/>
          <w:sz w:val="22"/>
          <w:szCs w:val="22"/>
        </w:rPr>
      </w:pPr>
    </w:p>
    <w:p w14:paraId="337F1F5D"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lastRenderedPageBreak/>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2EE30D73"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p>
    <w:p w14:paraId="5787C660" w14:textId="77777777" w:rsidR="00A521E3" w:rsidRPr="0061511A" w:rsidRDefault="00A521E3" w:rsidP="00A521E3">
      <w:pPr>
        <w:spacing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Siempre y cuando no se trate de información reservada o clasificada, que difundirla pondría en riesgo la seguridad jurídica y física del titular de la información,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0ED2234D" w14:textId="77777777" w:rsidR="00A521E3" w:rsidRPr="0061511A" w:rsidRDefault="00A521E3" w:rsidP="00A521E3">
      <w:pPr>
        <w:spacing w:line="360" w:lineRule="auto"/>
        <w:ind w:right="49"/>
        <w:jc w:val="both"/>
        <w:rPr>
          <w:rFonts w:ascii="Palatino Linotype" w:eastAsia="Palatino Linotype" w:hAnsi="Palatino Linotype" w:cs="Palatino Linotype"/>
          <w:sz w:val="22"/>
          <w:szCs w:val="22"/>
        </w:rPr>
      </w:pPr>
    </w:p>
    <w:p w14:paraId="2EA0ECF5"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6EAF3E61" w14:textId="77777777" w:rsidR="00A521E3" w:rsidRPr="0061511A" w:rsidRDefault="00A521E3" w:rsidP="00A521E3">
      <w:pPr>
        <w:spacing w:line="360" w:lineRule="auto"/>
        <w:ind w:left="567" w:right="616"/>
        <w:jc w:val="both"/>
        <w:rPr>
          <w:rFonts w:ascii="Palatino Linotype" w:eastAsia="Palatino Linotype" w:hAnsi="Palatino Linotype" w:cs="Palatino Linotype"/>
          <w:i/>
          <w:sz w:val="22"/>
          <w:szCs w:val="22"/>
        </w:rPr>
      </w:pPr>
    </w:p>
    <w:p w14:paraId="53F90519" w14:textId="77777777" w:rsidR="00A521E3" w:rsidRPr="0061511A" w:rsidRDefault="00A521E3" w:rsidP="00A521E3">
      <w:pPr>
        <w:ind w:left="567"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r w:rsidRPr="0061511A">
        <w:rPr>
          <w:rFonts w:ascii="Palatino Linotype" w:eastAsia="Palatino Linotype" w:hAnsi="Palatino Linotype" w:cs="Palatino Linotype"/>
          <w:b/>
          <w:i/>
          <w:sz w:val="22"/>
          <w:szCs w:val="22"/>
        </w:rPr>
        <w:t xml:space="preserve">Artículo 3. </w:t>
      </w:r>
      <w:r w:rsidRPr="0061511A">
        <w:rPr>
          <w:rFonts w:ascii="Palatino Linotype" w:eastAsia="Palatino Linotype" w:hAnsi="Palatino Linotype" w:cs="Palatino Linotype"/>
          <w:i/>
          <w:sz w:val="22"/>
          <w:szCs w:val="22"/>
        </w:rPr>
        <w:t>Para los efectos de la presente Ley se entenderá por:</w:t>
      </w:r>
    </w:p>
    <w:p w14:paraId="134585A6" w14:textId="77777777" w:rsidR="00A521E3" w:rsidRPr="0061511A" w:rsidRDefault="00A521E3" w:rsidP="00A521E3">
      <w:pPr>
        <w:ind w:left="567"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p>
    <w:p w14:paraId="6D24E48E" w14:textId="77777777" w:rsidR="00A521E3" w:rsidRPr="0061511A" w:rsidRDefault="00A521E3" w:rsidP="00A521E3">
      <w:pPr>
        <w:ind w:left="567"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XI. Documento:</w:t>
      </w:r>
      <w:r w:rsidRPr="0061511A">
        <w:rPr>
          <w:rFonts w:ascii="Palatino Linotype" w:eastAsia="Palatino Linotype" w:hAnsi="Palatino Linotype" w:cs="Palatino Linotype"/>
          <w:i/>
          <w:sz w:val="22"/>
          <w:szCs w:val="22"/>
        </w:rPr>
        <w:t xml:space="preserve"> Los expedientes, reportes, estudios, actas</w:t>
      </w:r>
      <w:r w:rsidRPr="0061511A">
        <w:rPr>
          <w:rFonts w:ascii="Palatino Linotype" w:eastAsia="Palatino Linotype" w:hAnsi="Palatino Linotype" w:cs="Palatino Linotype"/>
          <w:b/>
          <w:i/>
          <w:sz w:val="22"/>
          <w:szCs w:val="22"/>
        </w:rPr>
        <w:t>,</w:t>
      </w:r>
      <w:r w:rsidRPr="0061511A">
        <w:rPr>
          <w:rFonts w:ascii="Palatino Linotype" w:eastAsia="Palatino Linotype" w:hAnsi="Palatino Linotype" w:cs="Palatino Linotype"/>
          <w:i/>
          <w:sz w:val="22"/>
          <w:szCs w:val="22"/>
        </w:rPr>
        <w:t xml:space="preserve"> resoluciones, oficios, correspondencia, acuerdos, directivas, directrices, circulares, contratos, convenios, instructivos, notas, memorandos, estadísticas o bien, cualquier otro registro que </w:t>
      </w:r>
      <w:r w:rsidRPr="0061511A">
        <w:rPr>
          <w:rFonts w:ascii="Palatino Linotype" w:eastAsia="Palatino Linotype" w:hAnsi="Palatino Linotype" w:cs="Palatino Linotype"/>
          <w:i/>
          <w:sz w:val="22"/>
          <w:szCs w:val="22"/>
        </w:rPr>
        <w:lastRenderedPageBreak/>
        <w:t xml:space="preserve">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3B60FEB7" w14:textId="77777777" w:rsidR="00A521E3" w:rsidRPr="0061511A" w:rsidRDefault="00A521E3" w:rsidP="00A521E3">
      <w:pPr>
        <w:spacing w:line="360" w:lineRule="auto"/>
        <w:ind w:left="851" w:right="899"/>
        <w:jc w:val="both"/>
        <w:rPr>
          <w:rFonts w:ascii="Palatino Linotype" w:eastAsia="Palatino Linotype" w:hAnsi="Palatino Linotype" w:cs="Palatino Linotype"/>
          <w:sz w:val="22"/>
          <w:szCs w:val="22"/>
        </w:rPr>
      </w:pPr>
    </w:p>
    <w:p w14:paraId="13189850"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Siendo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3197E2C5"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p>
    <w:p w14:paraId="2AE371C4" w14:textId="77777777" w:rsidR="00A521E3" w:rsidRPr="0061511A" w:rsidRDefault="00A521E3" w:rsidP="00A521E3">
      <w:pPr>
        <w:ind w:left="567" w:right="616"/>
        <w:jc w:val="both"/>
        <w:rPr>
          <w:rFonts w:ascii="Palatino Linotype" w:eastAsia="Palatino Linotype" w:hAnsi="Palatino Linotype" w:cs="Palatino Linotype"/>
          <w:b/>
          <w:i/>
          <w:sz w:val="22"/>
          <w:szCs w:val="22"/>
        </w:rPr>
      </w:pPr>
      <w:r w:rsidRPr="0061511A">
        <w:rPr>
          <w:rFonts w:ascii="Palatino Linotype" w:eastAsia="Palatino Linotype" w:hAnsi="Palatino Linotype" w:cs="Palatino Linotype"/>
          <w:b/>
          <w:sz w:val="22"/>
          <w:szCs w:val="22"/>
        </w:rPr>
        <w:t>“</w:t>
      </w:r>
      <w:r w:rsidRPr="0061511A">
        <w:rPr>
          <w:rFonts w:ascii="Palatino Linotype" w:eastAsia="Palatino Linotype" w:hAnsi="Palatino Linotype" w:cs="Palatino Linotype"/>
          <w:b/>
          <w:i/>
          <w:sz w:val="22"/>
          <w:szCs w:val="22"/>
        </w:rPr>
        <w:t>CRITERIO 0002-11. INFORMACIÓN PÚBLICA, CONCEPTO DE, EN MATERIA DE TRANSPARENCIA. INTERPRETACIÓN SISTEMÁTICA DE LOS ARTÍCULOS 2°, FRACCIÓN V, XV, Y XVI, 3°, 4°, 11 Y 41.</w:t>
      </w:r>
      <w:r w:rsidRPr="0061511A">
        <w:rPr>
          <w:rFonts w:ascii="Palatino Linotype" w:eastAsia="Palatino Linotype" w:hAnsi="Palatino Linotype" w:cs="Palatino Linotype"/>
          <w:i/>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729029A4" w14:textId="77777777" w:rsidR="00A521E3" w:rsidRPr="0061511A" w:rsidRDefault="00A521E3" w:rsidP="00A521E3">
      <w:pPr>
        <w:ind w:left="567"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En consecuencia el acceso a la información se refiere a que se cumplan cualquiera de los siguientes tres supuestos:</w:t>
      </w:r>
    </w:p>
    <w:p w14:paraId="1F9A76AF" w14:textId="77777777" w:rsidR="00A521E3" w:rsidRPr="0061511A" w:rsidRDefault="00A521E3" w:rsidP="00A521E3">
      <w:pPr>
        <w:ind w:left="567"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1) Que se trate de información registrada en cualquier soporte documental, que en ejercicio de las atribuciones conferidas, sea generada por los Sujetos Obligados;</w:t>
      </w:r>
    </w:p>
    <w:p w14:paraId="03C7E607" w14:textId="77777777" w:rsidR="00A521E3" w:rsidRPr="0061511A" w:rsidRDefault="00A521E3" w:rsidP="00A521E3">
      <w:pPr>
        <w:ind w:left="567" w:right="616"/>
        <w:jc w:val="both"/>
        <w:rPr>
          <w:rFonts w:ascii="Palatino Linotype" w:eastAsia="Palatino Linotype" w:hAnsi="Palatino Linotype" w:cs="Palatino Linotype"/>
          <w:b/>
          <w:i/>
          <w:sz w:val="22"/>
          <w:szCs w:val="22"/>
        </w:rPr>
      </w:pPr>
      <w:r w:rsidRPr="0061511A">
        <w:rPr>
          <w:rFonts w:ascii="Palatino Linotype" w:eastAsia="Palatino Linotype" w:hAnsi="Palatino Linotype" w:cs="Palatino Linotype"/>
          <w:b/>
          <w:i/>
          <w:sz w:val="22"/>
          <w:szCs w:val="22"/>
        </w:rPr>
        <w:t>2) Que se trate de información registrada en cualquier soporte documental, que en ejercicio de las atribuciones conferidas, sea administrada por los Sujetos Obligados, y</w:t>
      </w:r>
    </w:p>
    <w:p w14:paraId="26D054D7" w14:textId="77777777" w:rsidR="00A521E3" w:rsidRPr="0061511A" w:rsidRDefault="00A521E3" w:rsidP="00A521E3">
      <w:pPr>
        <w:ind w:left="567" w:right="616"/>
        <w:jc w:val="both"/>
        <w:rPr>
          <w:rFonts w:ascii="Palatino Linotype" w:eastAsia="Palatino Linotype" w:hAnsi="Palatino Linotype" w:cs="Palatino Linotype"/>
          <w:b/>
          <w:i/>
          <w:sz w:val="22"/>
          <w:szCs w:val="22"/>
        </w:rPr>
      </w:pPr>
      <w:r w:rsidRPr="0061511A">
        <w:rPr>
          <w:rFonts w:ascii="Palatino Linotype" w:eastAsia="Palatino Linotype" w:hAnsi="Palatino Linotype" w:cs="Palatino Linotype"/>
          <w:b/>
          <w:i/>
          <w:sz w:val="22"/>
          <w:szCs w:val="22"/>
        </w:rPr>
        <w:t xml:space="preserve">3) Que se trate de información registrada en cualquier soporte documental, que en ejercicio de las atribuciones conferidas, se encuentre en posesión de los Sujetos Obligados.” </w:t>
      </w:r>
    </w:p>
    <w:p w14:paraId="21537BB9" w14:textId="77777777" w:rsidR="00A521E3" w:rsidRPr="0061511A" w:rsidRDefault="00A521E3" w:rsidP="00A521E3">
      <w:pPr>
        <w:spacing w:line="360" w:lineRule="auto"/>
        <w:jc w:val="both"/>
        <w:rPr>
          <w:rFonts w:ascii="Palatino Linotype" w:eastAsia="Palatino Linotype" w:hAnsi="Palatino Linotype" w:cs="Palatino Linotype"/>
          <w:sz w:val="22"/>
          <w:szCs w:val="22"/>
        </w:rPr>
      </w:pPr>
    </w:p>
    <w:p w14:paraId="26282863" w14:textId="1B3EC133" w:rsidR="009320DE" w:rsidRPr="0061511A" w:rsidRDefault="00A521E3" w:rsidP="00A521E3">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61511A">
        <w:rPr>
          <w:rFonts w:ascii="Palatino Linotype" w:eastAsia="Palatino Linotype" w:hAnsi="Palatino Linotype" w:cs="Palatino Linotype"/>
          <w:b/>
          <w:bCs/>
          <w:sz w:val="22"/>
          <w:szCs w:val="22"/>
        </w:rPr>
        <w:t>Recurrente</w:t>
      </w:r>
      <w:r w:rsidRPr="0061511A">
        <w:rPr>
          <w:rFonts w:ascii="Palatino Linotype" w:eastAsia="Palatino Linotype" w:hAnsi="Palatino Linotype" w:cs="Palatino Linotype"/>
          <w:sz w:val="22"/>
          <w:szCs w:val="22"/>
        </w:rPr>
        <w:t xml:space="preserve">, se </w:t>
      </w:r>
      <w:r w:rsidRPr="0061511A">
        <w:rPr>
          <w:rFonts w:ascii="Palatino Linotype" w:eastAsia="Palatino Linotype" w:hAnsi="Palatino Linotype" w:cs="Palatino Linotype"/>
          <w:sz w:val="22"/>
          <w:szCs w:val="22"/>
        </w:rPr>
        <w:lastRenderedPageBreak/>
        <w:t xml:space="preserve">advierte que requirió al </w:t>
      </w:r>
      <w:r w:rsidRPr="0061511A">
        <w:rPr>
          <w:rFonts w:ascii="Palatino Linotype" w:eastAsia="Palatino Linotype" w:hAnsi="Palatino Linotype" w:cs="Palatino Linotype"/>
          <w:b/>
          <w:bCs/>
          <w:sz w:val="22"/>
          <w:szCs w:val="22"/>
        </w:rPr>
        <w:t>Sujeto Obligado</w:t>
      </w:r>
      <w:r w:rsidRPr="0061511A">
        <w:rPr>
          <w:rFonts w:ascii="Palatino Linotype" w:eastAsia="Palatino Linotype" w:hAnsi="Palatino Linotype" w:cs="Palatino Linotype"/>
          <w:sz w:val="22"/>
          <w:szCs w:val="22"/>
        </w:rPr>
        <w:t xml:space="preserve"> le proporcionara </w:t>
      </w:r>
      <w:r w:rsidR="009320DE" w:rsidRPr="0061511A">
        <w:rPr>
          <w:rFonts w:ascii="Palatino Linotype" w:eastAsia="Palatino Linotype" w:hAnsi="Palatino Linotype" w:cs="Palatino Linotype"/>
          <w:sz w:val="22"/>
          <w:szCs w:val="22"/>
        </w:rPr>
        <w:t xml:space="preserve">respecto de la servidora pública referida en la solicitud, los documentos que </w:t>
      </w:r>
      <w:r w:rsidR="00FB23C1" w:rsidRPr="0061511A">
        <w:rPr>
          <w:rFonts w:ascii="Palatino Linotype" w:eastAsia="Palatino Linotype" w:hAnsi="Palatino Linotype" w:cs="Palatino Linotype"/>
          <w:sz w:val="22"/>
          <w:szCs w:val="22"/>
        </w:rPr>
        <w:t>den</w:t>
      </w:r>
      <w:r w:rsidR="009320DE" w:rsidRPr="0061511A">
        <w:rPr>
          <w:rFonts w:ascii="Palatino Linotype" w:eastAsia="Palatino Linotype" w:hAnsi="Palatino Linotype" w:cs="Palatino Linotype"/>
          <w:sz w:val="22"/>
          <w:szCs w:val="22"/>
        </w:rPr>
        <w:t xml:space="preserve"> cuenta de lo siguiente:</w:t>
      </w:r>
    </w:p>
    <w:p w14:paraId="2F585BCC" w14:textId="77777777" w:rsidR="009320DE" w:rsidRPr="0061511A" w:rsidRDefault="009320DE" w:rsidP="00A521E3">
      <w:pPr>
        <w:spacing w:line="360" w:lineRule="auto"/>
        <w:jc w:val="both"/>
        <w:rPr>
          <w:rFonts w:ascii="Palatino Linotype" w:eastAsia="Palatino Linotype" w:hAnsi="Palatino Linotype" w:cs="Palatino Linotype"/>
          <w:sz w:val="22"/>
          <w:szCs w:val="22"/>
        </w:rPr>
      </w:pPr>
    </w:p>
    <w:p w14:paraId="6BC66EE2" w14:textId="0F12CAEE" w:rsidR="009320DE" w:rsidRPr="0061511A" w:rsidRDefault="009320DE" w:rsidP="009320DE">
      <w:pPr>
        <w:pStyle w:val="Prrafodelista"/>
        <w:numPr>
          <w:ilvl w:val="0"/>
          <w:numId w:val="25"/>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Percepciones;</w:t>
      </w:r>
    </w:p>
    <w:p w14:paraId="5EFFD0F2" w14:textId="5AB47ACD" w:rsidR="009320DE" w:rsidRPr="0061511A" w:rsidRDefault="009320DE" w:rsidP="009320DE">
      <w:pPr>
        <w:pStyle w:val="Prrafodelista"/>
        <w:numPr>
          <w:ilvl w:val="0"/>
          <w:numId w:val="25"/>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Fecha de inicio/ingreso;</w:t>
      </w:r>
    </w:p>
    <w:p w14:paraId="396686A6" w14:textId="77777777" w:rsidR="009320DE" w:rsidRPr="0061511A" w:rsidRDefault="009320DE" w:rsidP="009320DE">
      <w:pPr>
        <w:pStyle w:val="Prrafodelista"/>
        <w:numPr>
          <w:ilvl w:val="0"/>
          <w:numId w:val="25"/>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Ficha curricular;</w:t>
      </w:r>
    </w:p>
    <w:p w14:paraId="2D486812" w14:textId="70F3C566" w:rsidR="009320DE" w:rsidRPr="0061511A" w:rsidRDefault="009320DE" w:rsidP="009320DE">
      <w:pPr>
        <w:pStyle w:val="Prrafodelista"/>
        <w:numPr>
          <w:ilvl w:val="0"/>
          <w:numId w:val="25"/>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 xml:space="preserve">Oficio </w:t>
      </w:r>
      <w:r w:rsidR="00FB23C1" w:rsidRPr="0061511A">
        <w:rPr>
          <w:rFonts w:ascii="Palatino Linotype" w:eastAsia="Palatino Linotype" w:hAnsi="Palatino Linotype" w:cs="Palatino Linotype"/>
          <w:b/>
          <w:sz w:val="22"/>
          <w:szCs w:val="22"/>
        </w:rPr>
        <w:t>o documento que dé cuenta de las</w:t>
      </w:r>
      <w:r w:rsidRPr="0061511A">
        <w:rPr>
          <w:rFonts w:ascii="Palatino Linotype" w:eastAsia="Palatino Linotype" w:hAnsi="Palatino Linotype" w:cs="Palatino Linotype"/>
          <w:b/>
          <w:sz w:val="22"/>
          <w:szCs w:val="22"/>
        </w:rPr>
        <w:t xml:space="preserve"> funciones;</w:t>
      </w:r>
    </w:p>
    <w:p w14:paraId="4DCD453E" w14:textId="4F25E30B" w:rsidR="009320DE" w:rsidRPr="0061511A" w:rsidRDefault="009320DE" w:rsidP="009320DE">
      <w:pPr>
        <w:pStyle w:val="Prrafodelista"/>
        <w:numPr>
          <w:ilvl w:val="0"/>
          <w:numId w:val="25"/>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Horario laboral;</w:t>
      </w:r>
    </w:p>
    <w:p w14:paraId="58D7DE2B" w14:textId="039DC2DE" w:rsidR="009320DE" w:rsidRPr="0061511A" w:rsidRDefault="009320DE" w:rsidP="009320DE">
      <w:pPr>
        <w:pStyle w:val="Prrafodelista"/>
        <w:numPr>
          <w:ilvl w:val="0"/>
          <w:numId w:val="25"/>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En su caso, renuncia; y,</w:t>
      </w:r>
    </w:p>
    <w:p w14:paraId="402DA325" w14:textId="570651B1" w:rsidR="009320DE" w:rsidRPr="0061511A" w:rsidRDefault="009320DE" w:rsidP="009320DE">
      <w:pPr>
        <w:pStyle w:val="Prrafodelista"/>
        <w:numPr>
          <w:ilvl w:val="0"/>
          <w:numId w:val="25"/>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Capacitaciones a las que ha asistido.</w:t>
      </w:r>
    </w:p>
    <w:p w14:paraId="71D9F298" w14:textId="77777777" w:rsidR="009320DE" w:rsidRPr="0061511A" w:rsidRDefault="009320DE" w:rsidP="00A521E3">
      <w:pPr>
        <w:spacing w:line="360" w:lineRule="auto"/>
        <w:jc w:val="both"/>
        <w:rPr>
          <w:rFonts w:ascii="Palatino Linotype" w:eastAsia="Palatino Linotype" w:hAnsi="Palatino Linotype" w:cs="Palatino Linotype"/>
          <w:sz w:val="22"/>
          <w:szCs w:val="22"/>
        </w:rPr>
      </w:pPr>
    </w:p>
    <w:p w14:paraId="50428D42" w14:textId="44786F1D" w:rsidR="002108BF" w:rsidRPr="0061511A" w:rsidRDefault="002108BF" w:rsidP="00691873">
      <w:pPr>
        <w:spacing w:before="240" w:after="24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Ahora bien, es de recordar que el Sujeto Obligado no dio respuesta a la solicitud, motivo de agravio del Particular.</w:t>
      </w:r>
    </w:p>
    <w:p w14:paraId="65E03153" w14:textId="2EF9456B" w:rsidR="002108BF" w:rsidRPr="0061511A" w:rsidRDefault="002108BF" w:rsidP="002108BF">
      <w:pPr>
        <w:spacing w:before="240" w:after="24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Sin embargo, en informe justificado se advierte que el </w:t>
      </w:r>
      <w:r w:rsidRPr="0061511A">
        <w:rPr>
          <w:rFonts w:ascii="Palatino Linotype" w:eastAsia="Palatino Linotype" w:hAnsi="Palatino Linotype" w:cs="Palatino Linotype"/>
          <w:b/>
          <w:sz w:val="22"/>
          <w:szCs w:val="22"/>
        </w:rPr>
        <w:t xml:space="preserve">Sujeto Obligado </w:t>
      </w:r>
      <w:r w:rsidRPr="0061511A">
        <w:rPr>
          <w:rFonts w:ascii="Palatino Linotype" w:eastAsia="Palatino Linotype" w:hAnsi="Palatino Linotype" w:cs="Palatino Linotype"/>
          <w:sz w:val="22"/>
          <w:szCs w:val="22"/>
        </w:rPr>
        <w:t>pretendió resarcir al particular en su ejercicio del derecho de acceso a la informació</w:t>
      </w:r>
      <w:r w:rsidR="009320DE" w:rsidRPr="0061511A">
        <w:rPr>
          <w:rFonts w:ascii="Palatino Linotype" w:eastAsia="Palatino Linotype" w:hAnsi="Palatino Linotype" w:cs="Palatino Linotype"/>
          <w:sz w:val="22"/>
          <w:szCs w:val="22"/>
        </w:rPr>
        <w:t xml:space="preserve">n pública, haciendo entrega de </w:t>
      </w:r>
      <w:r w:rsidRPr="0061511A">
        <w:rPr>
          <w:rFonts w:ascii="Palatino Linotype" w:eastAsia="Palatino Linotype" w:hAnsi="Palatino Linotype" w:cs="Palatino Linotype"/>
          <w:sz w:val="22"/>
          <w:szCs w:val="22"/>
        </w:rPr>
        <w:t xml:space="preserve">un </w:t>
      </w:r>
      <w:r w:rsidR="009320DE" w:rsidRPr="0061511A">
        <w:rPr>
          <w:rFonts w:ascii="Palatino Linotype" w:eastAsia="Palatino Linotype" w:hAnsi="Palatino Linotype" w:cs="Palatino Linotype"/>
          <w:sz w:val="22"/>
          <w:szCs w:val="22"/>
        </w:rPr>
        <w:t xml:space="preserve">archivo </w:t>
      </w:r>
      <w:r w:rsidRPr="0061511A">
        <w:rPr>
          <w:rFonts w:ascii="Palatino Linotype" w:eastAsia="Palatino Linotype" w:hAnsi="Palatino Linotype" w:cs="Palatino Linotype"/>
          <w:sz w:val="22"/>
          <w:szCs w:val="22"/>
        </w:rPr>
        <w:t xml:space="preserve">que contiene </w:t>
      </w:r>
      <w:r w:rsidR="009320DE" w:rsidRPr="0061511A">
        <w:rPr>
          <w:rFonts w:ascii="Palatino Linotype" w:eastAsia="Palatino Linotype" w:hAnsi="Palatino Linotype" w:cs="Palatino Linotype"/>
          <w:sz w:val="22"/>
          <w:szCs w:val="22"/>
        </w:rPr>
        <w:t>lo siguiente:</w:t>
      </w:r>
    </w:p>
    <w:p w14:paraId="3A8F138E" w14:textId="77777777" w:rsidR="009320DE" w:rsidRPr="0061511A" w:rsidRDefault="009320DE" w:rsidP="009320DE">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Oficio del 13 de marzo de 2026, a través del cual el Jefe de Recursos Humanos refiere que proporciona la información requerida respecto de la servidora pública solicitada, consistente en lo siguiente:</w:t>
      </w:r>
    </w:p>
    <w:p w14:paraId="1DEDFC84" w14:textId="77777777" w:rsidR="009320DE" w:rsidRPr="0061511A" w:rsidRDefault="009320DE" w:rsidP="009320DE">
      <w:pPr>
        <w:pStyle w:val="Prrafodelista"/>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-Fecha de ingreso: 01 de agosto de 2025.</w:t>
      </w:r>
    </w:p>
    <w:p w14:paraId="4DFD03D5" w14:textId="77777777" w:rsidR="009320DE" w:rsidRPr="0061511A" w:rsidRDefault="009320DE" w:rsidP="009320DE">
      <w:pPr>
        <w:pStyle w:val="Prrafodelista"/>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-Área a la que ingresó: Coordinación de Psicología.</w:t>
      </w:r>
    </w:p>
    <w:p w14:paraId="7E88DED6" w14:textId="77777777" w:rsidR="009320DE" w:rsidRPr="0061511A" w:rsidRDefault="009320DE" w:rsidP="009320DE">
      <w:pPr>
        <w:pStyle w:val="Prrafodelista"/>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-Sobre los recibos de prestaciones, no se cuenta con lo requerido, ya que la servidor público es comisionada del Ayuntamiento de la Paz.</w:t>
      </w:r>
    </w:p>
    <w:p w14:paraId="63D9BD7D" w14:textId="77777777" w:rsidR="009320DE" w:rsidRPr="0061511A" w:rsidRDefault="009320DE" w:rsidP="009320DE">
      <w:pPr>
        <w:pStyle w:val="Prrafodelista"/>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lastRenderedPageBreak/>
        <w:t>-Que se proporciona el curriculum vitae y la cédula profesional de la servidora pública.</w:t>
      </w:r>
    </w:p>
    <w:p w14:paraId="33474718" w14:textId="77777777" w:rsidR="009320DE" w:rsidRPr="0061511A" w:rsidRDefault="009320DE" w:rsidP="009320DE">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Oficio del 19 de marzo de 2026, a través del cual la Unidad de Transparencia remite la respuesta del área competente, en donde se agrega que, sobre el horario laboral de la servidora pública, el horario de servicio es de 08:00 a 16:00 horas; y, que con relación a las funciones, se proporcionaba el Manual de Organización del Sistema Municipal DIF de la Paz, en el que en las páginas 28, puntos 2.4.2. se describen las funciones que realiza el área de psicología.</w:t>
      </w:r>
    </w:p>
    <w:p w14:paraId="507F1FA9" w14:textId="77777777" w:rsidR="009320DE" w:rsidRPr="0061511A" w:rsidRDefault="009320DE" w:rsidP="009320DE">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Versión pública de la cédula profesional del servidor público.</w:t>
      </w:r>
    </w:p>
    <w:p w14:paraId="37EE7C39" w14:textId="77777777" w:rsidR="009320DE" w:rsidRPr="0061511A" w:rsidRDefault="009320DE" w:rsidP="009320DE">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Formato de personal comisionado, donde se advierte que la servidora pública requerida está adscrita al Ayuntamiento de la Paz, y fue comisionada a la Coordinación de Psicología en el Sistema Municipal DIF La Paz.</w:t>
      </w:r>
    </w:p>
    <w:p w14:paraId="53206AC7" w14:textId="77777777" w:rsidR="009320DE" w:rsidRPr="0061511A" w:rsidRDefault="009320DE" w:rsidP="009320DE">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Ficha curricular de la servidora pública requerida.</w:t>
      </w:r>
    </w:p>
    <w:p w14:paraId="29AFE86E" w14:textId="77777777" w:rsidR="009320DE" w:rsidRPr="0061511A" w:rsidRDefault="009320DE" w:rsidP="009320DE">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Manual de Organización del Sistema Municipal DIF de la Paz.</w:t>
      </w:r>
    </w:p>
    <w:p w14:paraId="2BE8EBC5" w14:textId="5C7492C9" w:rsidR="009320DE" w:rsidRPr="0061511A" w:rsidRDefault="009320DE" w:rsidP="009320DE">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Acta del Comité de Transparencia que sustenta la versión pública de la cédula profesional remitida.</w:t>
      </w:r>
    </w:p>
    <w:p w14:paraId="1021C8CA" w14:textId="797D4354" w:rsidR="009320DE" w:rsidRPr="0061511A" w:rsidRDefault="009320DE" w:rsidP="009320DE">
      <w:p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Sin embargo, dichos documentos no pudieron ponerse a la vista de la parte </w:t>
      </w:r>
      <w:r w:rsidRPr="0061511A">
        <w:rPr>
          <w:rFonts w:ascii="Palatino Linotype" w:eastAsia="Palatino Linotype" w:hAnsi="Palatino Linotype" w:cs="Palatino Linotype"/>
          <w:b/>
          <w:sz w:val="22"/>
          <w:szCs w:val="22"/>
        </w:rPr>
        <w:t xml:space="preserve">Recurrente, </w:t>
      </w:r>
      <w:r w:rsidRPr="0061511A">
        <w:rPr>
          <w:rFonts w:ascii="Palatino Linotype" w:eastAsia="Palatino Linotype" w:hAnsi="Palatino Linotype" w:cs="Palatino Linotype"/>
          <w:sz w:val="22"/>
          <w:szCs w:val="22"/>
        </w:rPr>
        <w:t>en razón de que en el archivo rar donde se proporcionaron, por lo que corresponde a la cédula profesional, los datos clasificados como confidenciales no fueron testados de manera permanente, ya que permite su acceso.</w:t>
      </w:r>
    </w:p>
    <w:p w14:paraId="70507782" w14:textId="37EF949D" w:rsidR="00726CE4" w:rsidRPr="0061511A" w:rsidRDefault="00726CE4" w:rsidP="00726CE4">
      <w:p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Por su lado, la parte </w:t>
      </w:r>
      <w:r w:rsidRPr="0061511A">
        <w:rPr>
          <w:rFonts w:ascii="Palatino Linotype" w:eastAsia="Palatino Linotype" w:hAnsi="Palatino Linotype" w:cs="Palatino Linotype"/>
          <w:b/>
          <w:sz w:val="22"/>
          <w:szCs w:val="22"/>
        </w:rPr>
        <w:t xml:space="preserve">Recurrente </w:t>
      </w:r>
      <w:r w:rsidR="009320DE" w:rsidRPr="0061511A">
        <w:rPr>
          <w:rFonts w:ascii="Palatino Linotype" w:eastAsia="Palatino Linotype" w:hAnsi="Palatino Linotype" w:cs="Palatino Linotype"/>
          <w:sz w:val="22"/>
          <w:szCs w:val="22"/>
        </w:rPr>
        <w:t>fue omisa en hacer valer manifestaciones.</w:t>
      </w:r>
    </w:p>
    <w:p w14:paraId="093FBD28" w14:textId="1DFE51FE" w:rsidR="00394545" w:rsidRPr="0061511A" w:rsidRDefault="00394545" w:rsidP="00394545">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Ahora, atendiendo que en el caso se pronunció el Jefe de Recursos Humanos del Organismo, en el caso se colige que quien se pronunció sobre lo requerido fue la unidad administrativa </w:t>
      </w:r>
      <w:r w:rsidRPr="0061511A">
        <w:rPr>
          <w:rFonts w:ascii="Palatino Linotype" w:eastAsia="Palatino Linotype" w:hAnsi="Palatino Linotype" w:cs="Palatino Linotype"/>
          <w:sz w:val="22"/>
          <w:szCs w:val="22"/>
        </w:rPr>
        <w:lastRenderedPageBreak/>
        <w:t>competente, ya que dicho servidor público es el competente para mantener actualizados e integrados los expedientes de los servidores públicos del Organismo.</w:t>
      </w:r>
    </w:p>
    <w:p w14:paraId="6D485B4E" w14:textId="77777777" w:rsidR="00394545" w:rsidRPr="0061511A" w:rsidRDefault="00394545" w:rsidP="00394545">
      <w:pPr>
        <w:spacing w:line="360" w:lineRule="auto"/>
        <w:jc w:val="both"/>
        <w:rPr>
          <w:rFonts w:ascii="Palatino Linotype" w:eastAsia="Palatino Linotype" w:hAnsi="Palatino Linotype" w:cs="Palatino Linotype"/>
          <w:sz w:val="22"/>
          <w:szCs w:val="22"/>
        </w:rPr>
      </w:pPr>
    </w:p>
    <w:p w14:paraId="0BE3ACE2" w14:textId="77777777" w:rsidR="00394545" w:rsidRPr="0061511A" w:rsidRDefault="00394545" w:rsidP="00394545">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Por tanto, en el caso se cumplió con el procedimiento establecido por el artículo 162 de la Ley de Transparencia y Acceso a la Información Pública del Estado de México y Municipios, ya que </w:t>
      </w:r>
      <w:r w:rsidRPr="0061511A">
        <w:rPr>
          <w:rFonts w:ascii="Palatino Linotype" w:eastAsia="Palatino Linotype" w:hAnsi="Palatino Linotype" w:cs="Palatino Linotype"/>
          <w:b/>
          <w:bCs/>
          <w:sz w:val="22"/>
          <w:szCs w:val="22"/>
        </w:rPr>
        <w:t>se turnó la solicitud al área competente</w:t>
      </w:r>
      <w:r w:rsidRPr="0061511A">
        <w:rPr>
          <w:rFonts w:ascii="Palatino Linotype" w:eastAsia="Palatino Linotype" w:hAnsi="Palatino Linotype" w:cs="Palatino Linotype"/>
          <w:sz w:val="22"/>
          <w:szCs w:val="22"/>
        </w:rPr>
        <w:t>, de conformidad con la fracción XXXIX del artículo tercero de la legislación local vigente en materia de transparencia: </w:t>
      </w:r>
    </w:p>
    <w:p w14:paraId="386C2328" w14:textId="77777777" w:rsidR="00394545" w:rsidRPr="0061511A" w:rsidRDefault="00394545" w:rsidP="00394545">
      <w:pPr>
        <w:jc w:val="both"/>
        <w:rPr>
          <w:rFonts w:ascii="Palatino Linotype" w:eastAsia="Palatino Linotype" w:hAnsi="Palatino Linotype" w:cs="Palatino Linotype"/>
          <w:sz w:val="22"/>
          <w:szCs w:val="22"/>
        </w:rPr>
      </w:pPr>
    </w:p>
    <w:p w14:paraId="278D9332" w14:textId="77777777" w:rsidR="00394545" w:rsidRPr="0061511A" w:rsidRDefault="00394545" w:rsidP="00394545">
      <w:pPr>
        <w:pBdr>
          <w:top w:val="nil"/>
          <w:left w:val="nil"/>
          <w:bottom w:val="nil"/>
          <w:right w:val="nil"/>
          <w:between w:val="nil"/>
        </w:pBdr>
        <w:ind w:left="864" w:right="864"/>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i/>
          <w:iCs/>
          <w:sz w:val="22"/>
          <w:szCs w:val="22"/>
        </w:rPr>
        <w:t>XXXIX. Servidor público habilitado: Persona encargada dentro de las diversas unidades administrativas o áreas del sujeto obligado, de apoyar, gestionar y entregar la información o datos personales que se ubiquen en la misma, a sus respectivas unidades de transparencia; respecto de las solicitudes presentadas y aportar en primera instancia el fundamento y motivación de la clasificación de la información. </w:t>
      </w:r>
    </w:p>
    <w:p w14:paraId="7D549A96" w14:textId="77777777" w:rsidR="00394545" w:rsidRPr="0061511A" w:rsidRDefault="00394545" w:rsidP="00394545">
      <w:pPr>
        <w:jc w:val="both"/>
        <w:rPr>
          <w:rFonts w:ascii="Palatino Linotype" w:eastAsia="Palatino Linotype" w:hAnsi="Palatino Linotype" w:cs="Palatino Linotype"/>
          <w:sz w:val="22"/>
          <w:szCs w:val="22"/>
        </w:rPr>
      </w:pPr>
    </w:p>
    <w:p w14:paraId="31BB59E4" w14:textId="77777777" w:rsidR="00394545" w:rsidRPr="0061511A" w:rsidRDefault="00394545" w:rsidP="00394545">
      <w:pPr>
        <w:pBdr>
          <w:top w:val="nil"/>
          <w:left w:val="nil"/>
          <w:bottom w:val="nil"/>
          <w:right w:val="nil"/>
          <w:between w:val="nil"/>
        </w:pBdr>
        <w:shd w:val="clear" w:color="auto" w:fill="FFFFFF"/>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En este orden de ideas, se advierte que la Unidad de Transparencia cumplió con lo expresado en el artículo 162 de la Ley de Transparencia y Acceso a la Información Pública del Estado de México y Municipios, el cual menciona lo siguiente:</w:t>
      </w:r>
    </w:p>
    <w:p w14:paraId="7B743ACB" w14:textId="77777777" w:rsidR="00394545" w:rsidRPr="0061511A" w:rsidRDefault="00394545" w:rsidP="00394545">
      <w:pPr>
        <w:jc w:val="both"/>
        <w:rPr>
          <w:rFonts w:ascii="Palatino Linotype" w:eastAsia="Palatino Linotype" w:hAnsi="Palatino Linotype" w:cs="Palatino Linotype"/>
          <w:sz w:val="22"/>
          <w:szCs w:val="22"/>
        </w:rPr>
      </w:pPr>
    </w:p>
    <w:p w14:paraId="35007C14" w14:textId="77777777" w:rsidR="00394545" w:rsidRPr="0061511A" w:rsidRDefault="00394545" w:rsidP="00394545">
      <w:pPr>
        <w:pBdr>
          <w:top w:val="nil"/>
          <w:left w:val="nil"/>
          <w:bottom w:val="nil"/>
          <w:right w:val="nil"/>
          <w:between w:val="nil"/>
        </w:pBdr>
        <w:ind w:left="864" w:right="864"/>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i/>
          <w:iCs/>
          <w:sz w:val="22"/>
          <w:szCs w:val="22"/>
        </w:rPr>
        <w:t xml:space="preserve">“Artículo 162. Las unidades de transparencia deberán garantizar que las solicitudes </w:t>
      </w:r>
      <w:r w:rsidRPr="0061511A">
        <w:rPr>
          <w:rFonts w:ascii="Palatino Linotype" w:eastAsia="Palatino Linotype" w:hAnsi="Palatino Linotype" w:cs="Palatino Linotype"/>
          <w:b/>
          <w:bCs/>
          <w:i/>
          <w:iCs/>
          <w:sz w:val="22"/>
          <w:szCs w:val="22"/>
        </w:rPr>
        <w:t xml:space="preserve">se turnen a todas las Áreas competentes </w:t>
      </w:r>
      <w:r w:rsidRPr="0061511A">
        <w:rPr>
          <w:rFonts w:ascii="Palatino Linotype" w:eastAsia="Palatino Linotype" w:hAnsi="Palatino Linotype" w:cs="Palatino Linotype"/>
          <w:i/>
          <w:iCs/>
          <w:sz w:val="22"/>
          <w:szCs w:val="22"/>
        </w:rPr>
        <w:t>que cuenten con la información o deban tenerla de acuerdo a sus facultades, competencias y funciones, con el objeto de que realicen una búsqueda exhaustiva y razonable de la información solicitada.”</w:t>
      </w:r>
    </w:p>
    <w:p w14:paraId="6EA4C854" w14:textId="77777777" w:rsidR="00394545" w:rsidRPr="0061511A" w:rsidRDefault="00394545" w:rsidP="00394545">
      <w:pPr>
        <w:spacing w:line="360" w:lineRule="auto"/>
        <w:jc w:val="both"/>
        <w:rPr>
          <w:rFonts w:ascii="Palatino Linotype" w:eastAsia="Palatino Linotype" w:hAnsi="Palatino Linotype" w:cs="Palatino Linotype"/>
          <w:sz w:val="22"/>
          <w:szCs w:val="22"/>
        </w:rPr>
      </w:pPr>
    </w:p>
    <w:p w14:paraId="42A64024" w14:textId="77777777" w:rsidR="00394545" w:rsidRPr="0061511A" w:rsidRDefault="00394545" w:rsidP="00394545">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De ahí que en el caso se cumplió con el procedimiento de búsqueda de la información, ya que, quién se pronunció es la Unidad Administrativa competente.</w:t>
      </w:r>
    </w:p>
    <w:p w14:paraId="23C2F50D" w14:textId="77777777" w:rsidR="00394545" w:rsidRPr="0061511A" w:rsidRDefault="00394545" w:rsidP="005B0F96">
      <w:pPr>
        <w:spacing w:line="360" w:lineRule="auto"/>
        <w:jc w:val="both"/>
        <w:rPr>
          <w:rFonts w:ascii="Palatino Linotype" w:eastAsia="Palatino Linotype" w:hAnsi="Palatino Linotype" w:cs="Palatino Linotype"/>
          <w:sz w:val="22"/>
          <w:szCs w:val="22"/>
        </w:rPr>
      </w:pPr>
    </w:p>
    <w:p w14:paraId="2EDAD416" w14:textId="0CD44632" w:rsidR="009320DE" w:rsidRPr="0061511A" w:rsidRDefault="009320DE" w:rsidP="005B0F96">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Una vez </w:t>
      </w:r>
      <w:r w:rsidR="00394545" w:rsidRPr="0061511A">
        <w:rPr>
          <w:rFonts w:ascii="Palatino Linotype" w:eastAsia="Palatino Linotype" w:hAnsi="Palatino Linotype" w:cs="Palatino Linotype"/>
          <w:sz w:val="22"/>
          <w:szCs w:val="22"/>
        </w:rPr>
        <w:t xml:space="preserve">establecido lo anterior, </w:t>
      </w:r>
      <w:r w:rsidRPr="0061511A">
        <w:rPr>
          <w:rFonts w:ascii="Palatino Linotype" w:eastAsia="Palatino Linotype" w:hAnsi="Palatino Linotype" w:cs="Palatino Linotype"/>
          <w:sz w:val="22"/>
          <w:szCs w:val="22"/>
        </w:rPr>
        <w:t>se procede al análisis de</w:t>
      </w:r>
      <w:r w:rsidR="00394545" w:rsidRPr="0061511A">
        <w:rPr>
          <w:rFonts w:ascii="Palatino Linotype" w:eastAsia="Palatino Linotype" w:hAnsi="Palatino Linotype" w:cs="Palatino Linotype"/>
          <w:sz w:val="22"/>
          <w:szCs w:val="22"/>
        </w:rPr>
        <w:t xml:space="preserve"> la naturaleza de l</w:t>
      </w:r>
      <w:r w:rsidRPr="0061511A">
        <w:rPr>
          <w:rFonts w:ascii="Palatino Linotype" w:eastAsia="Palatino Linotype" w:hAnsi="Palatino Linotype" w:cs="Palatino Linotype"/>
          <w:sz w:val="22"/>
          <w:szCs w:val="22"/>
        </w:rPr>
        <w:t>os requerimientos de información.</w:t>
      </w:r>
    </w:p>
    <w:p w14:paraId="1A242D9A" w14:textId="77777777" w:rsidR="009320DE" w:rsidRPr="0061511A" w:rsidRDefault="009320DE" w:rsidP="005B0F96">
      <w:pPr>
        <w:spacing w:line="360" w:lineRule="auto"/>
        <w:jc w:val="both"/>
        <w:rPr>
          <w:rFonts w:ascii="Palatino Linotype" w:eastAsia="Palatino Linotype" w:hAnsi="Palatino Linotype" w:cs="Palatino Linotype"/>
          <w:sz w:val="22"/>
          <w:szCs w:val="22"/>
        </w:rPr>
      </w:pPr>
    </w:p>
    <w:p w14:paraId="15BD6660" w14:textId="7189B0FC" w:rsidR="009320DE" w:rsidRPr="0061511A" w:rsidRDefault="009320DE" w:rsidP="009320DE">
      <w:pPr>
        <w:pStyle w:val="Prrafodelista"/>
        <w:numPr>
          <w:ilvl w:val="0"/>
          <w:numId w:val="27"/>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Percepciones:</w:t>
      </w:r>
    </w:p>
    <w:p w14:paraId="78F63F83" w14:textId="77777777" w:rsidR="009320DE" w:rsidRPr="0061511A" w:rsidRDefault="009320DE" w:rsidP="005B0F96">
      <w:pPr>
        <w:spacing w:line="360" w:lineRule="auto"/>
        <w:jc w:val="both"/>
        <w:rPr>
          <w:rFonts w:ascii="Palatino Linotype" w:eastAsia="Palatino Linotype" w:hAnsi="Palatino Linotype" w:cs="Palatino Linotype"/>
          <w:sz w:val="22"/>
          <w:szCs w:val="22"/>
        </w:rPr>
      </w:pPr>
    </w:p>
    <w:p w14:paraId="72CDF97F" w14:textId="04EF584B" w:rsidR="00394545" w:rsidRPr="0061511A" w:rsidRDefault="00394545" w:rsidP="00394545">
      <w:pPr>
        <w:widowControl w:val="0"/>
        <w:tabs>
          <w:tab w:val="left" w:pos="1701"/>
          <w:tab w:val="left" w:pos="1843"/>
        </w:tabs>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Al respecto, el documento que de manera enunciativa, más no limitativa, puede dar atención a lo solicitado, es la </w:t>
      </w:r>
      <w:r w:rsidRPr="0061511A">
        <w:rPr>
          <w:rFonts w:ascii="Palatino Linotype" w:eastAsia="Palatino Linotype" w:hAnsi="Palatino Linotype" w:cs="Palatino Linotype"/>
          <w:i/>
          <w:iCs/>
          <w:sz w:val="22"/>
          <w:szCs w:val="22"/>
        </w:rPr>
        <w:t>conciliación de nómina</w:t>
      </w:r>
      <w:r w:rsidRPr="0061511A">
        <w:rPr>
          <w:rFonts w:ascii="Palatino Linotype" w:eastAsia="Palatino Linotype" w:hAnsi="Palatino Linotype" w:cs="Palatino Linotype"/>
          <w:sz w:val="22"/>
          <w:szCs w:val="22"/>
        </w:rPr>
        <w:t xml:space="preserve"> que el </w:t>
      </w:r>
      <w:r w:rsidRPr="0061511A">
        <w:rPr>
          <w:rFonts w:ascii="Palatino Linotype" w:eastAsia="Palatino Linotype" w:hAnsi="Palatino Linotype" w:cs="Palatino Linotype"/>
          <w:b/>
          <w:bCs/>
          <w:sz w:val="22"/>
          <w:szCs w:val="22"/>
        </w:rPr>
        <w:t>Sujeto Obligado</w:t>
      </w:r>
      <w:r w:rsidRPr="0061511A">
        <w:rPr>
          <w:rFonts w:ascii="Palatino Linotype" w:eastAsia="Palatino Linotype" w:hAnsi="Palatino Linotype" w:cs="Palatino Linotype"/>
          <w:sz w:val="22"/>
          <w:szCs w:val="22"/>
        </w:rPr>
        <w:t xml:space="preserve"> se encuentra constreñido a entregar al Órgano Superior de Fiscalización del Estado de México, de conformidad con los Lineamientos para la integración y presentación del Informe Trimestral Municipal, y los Instructivos de llenado correspondientes, mismos que se encuentran disponibles en su sitio de internet</w:t>
      </w:r>
      <w:r w:rsidRPr="0061511A">
        <w:rPr>
          <w:rFonts w:ascii="Palatino Linotype" w:eastAsia="Palatino Linotype" w:hAnsi="Palatino Linotype" w:cs="Palatino Linotype"/>
          <w:sz w:val="22"/>
          <w:szCs w:val="22"/>
          <w:vertAlign w:val="superscript"/>
        </w:rPr>
        <w:footnoteReference w:id="1"/>
      </w:r>
      <w:r w:rsidRPr="0061511A">
        <w:rPr>
          <w:rFonts w:ascii="Palatino Linotype" w:eastAsia="Palatino Linotype" w:hAnsi="Palatino Linotype" w:cs="Palatino Linotype"/>
          <w:sz w:val="22"/>
          <w:szCs w:val="22"/>
        </w:rPr>
        <w:t>, con la finalidad de definir los criterios, los formatos y la documentación necesaria para presentar los informes trimestrales, que deben ser entregados a través de cuatro módulos, que contienen la siguiente información:</w:t>
      </w:r>
    </w:p>
    <w:p w14:paraId="62E98222" w14:textId="77777777" w:rsidR="00394545" w:rsidRPr="0061511A" w:rsidRDefault="00394545" w:rsidP="00394545">
      <w:pPr>
        <w:spacing w:line="360" w:lineRule="auto"/>
        <w:ind w:right="49"/>
        <w:jc w:val="both"/>
        <w:rPr>
          <w:rFonts w:ascii="Palatino Linotype" w:eastAsia="Palatino Linotype" w:hAnsi="Palatino Linotype" w:cs="Palatino Linotype"/>
          <w:sz w:val="22"/>
          <w:szCs w:val="22"/>
        </w:rPr>
      </w:pPr>
    </w:p>
    <w:p w14:paraId="33323C14" w14:textId="77777777" w:rsidR="00394545" w:rsidRPr="0061511A" w:rsidRDefault="00394545" w:rsidP="00394545">
      <w:pPr>
        <w:spacing w:line="360" w:lineRule="auto"/>
        <w:ind w:right="49"/>
        <w:jc w:val="center"/>
        <w:rPr>
          <w:rFonts w:ascii="Palatino Linotype" w:eastAsia="Palatino Linotype" w:hAnsi="Palatino Linotype" w:cs="Palatino Linotype"/>
          <w:sz w:val="22"/>
          <w:szCs w:val="22"/>
        </w:rPr>
      </w:pPr>
      <w:r w:rsidRPr="0061511A">
        <w:rPr>
          <w:rFonts w:ascii="Palatino Linotype" w:eastAsia="Palatino Linotype" w:hAnsi="Palatino Linotype" w:cs="Palatino Linotype"/>
          <w:noProof/>
          <w:sz w:val="22"/>
          <w:szCs w:val="22"/>
        </w:rPr>
        <w:drawing>
          <wp:inline distT="0" distB="0" distL="0" distR="0" wp14:anchorId="7C43CB8A" wp14:editId="4FE473EE">
            <wp:extent cx="4810365" cy="2586868"/>
            <wp:effectExtent l="0" t="0" r="0" b="0"/>
            <wp:docPr id="2086088830" name="image5.png" descr="Interfaz de usuario gráfica, Aplicación&#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5.png" descr="Interfaz de usuario gráfica, Aplicación&#10;&#10;El contenido generado por IA puede ser incorrecto."/>
                    <pic:cNvPicPr preferRelativeResize="0"/>
                  </pic:nvPicPr>
                  <pic:blipFill>
                    <a:blip r:embed="rId8"/>
                    <a:srcRect/>
                    <a:stretch>
                      <a:fillRect/>
                    </a:stretch>
                  </pic:blipFill>
                  <pic:spPr>
                    <a:xfrm>
                      <a:off x="0" y="0"/>
                      <a:ext cx="4810365" cy="2586868"/>
                    </a:xfrm>
                    <a:prstGeom prst="rect">
                      <a:avLst/>
                    </a:prstGeom>
                    <a:ln/>
                  </pic:spPr>
                </pic:pic>
              </a:graphicData>
            </a:graphic>
          </wp:inline>
        </w:drawing>
      </w:r>
    </w:p>
    <w:p w14:paraId="29378A0F" w14:textId="1A74C84F" w:rsidR="00394545" w:rsidRPr="0061511A" w:rsidRDefault="00394545" w:rsidP="00394545">
      <w:pPr>
        <w:spacing w:line="360" w:lineRule="auto"/>
        <w:ind w:right="49"/>
        <w:jc w:val="center"/>
        <w:rPr>
          <w:rFonts w:ascii="Palatino Linotype" w:eastAsia="Palatino Linotype" w:hAnsi="Palatino Linotype" w:cs="Palatino Linotype"/>
          <w:sz w:val="22"/>
          <w:szCs w:val="22"/>
        </w:rPr>
      </w:pPr>
      <w:r w:rsidRPr="0061511A">
        <w:rPr>
          <w:noProof/>
        </w:rPr>
        <w:lastRenderedPageBreak/>
        <mc:AlternateContent>
          <mc:Choice Requires="wps">
            <w:drawing>
              <wp:anchor distT="0" distB="0" distL="114300" distR="114300" simplePos="0" relativeHeight="251659264" behindDoc="0" locked="0" layoutInCell="1" hidden="0" allowOverlap="1" wp14:anchorId="11728A04" wp14:editId="33EB754A">
                <wp:simplePos x="0" y="0"/>
                <wp:positionH relativeFrom="column">
                  <wp:posOffset>676452</wp:posOffset>
                </wp:positionH>
                <wp:positionV relativeFrom="paragraph">
                  <wp:posOffset>709324</wp:posOffset>
                </wp:positionV>
                <wp:extent cx="4391025" cy="476250"/>
                <wp:effectExtent l="0" t="0" r="0" b="0"/>
                <wp:wrapNone/>
                <wp:docPr id="2086088809" name="Rectángulo 2086088809"/>
                <wp:cNvGraphicFramePr/>
                <a:graphic xmlns:a="http://schemas.openxmlformats.org/drawingml/2006/main">
                  <a:graphicData uri="http://schemas.microsoft.com/office/word/2010/wordprocessingShape">
                    <wps:wsp>
                      <wps:cNvSpPr/>
                      <wps:spPr>
                        <a:xfrm>
                          <a:off x="0" y="0"/>
                          <a:ext cx="4391025" cy="476250"/>
                        </a:xfrm>
                        <a:prstGeom prst="rect">
                          <a:avLst/>
                        </a:prstGeom>
                        <a:noFill/>
                        <a:ln w="38100" cap="flat" cmpd="sng">
                          <a:solidFill>
                            <a:srgbClr val="C00000"/>
                          </a:solidFill>
                          <a:prstDash val="solid"/>
                          <a:round/>
                          <a:headEnd type="none" w="sm" len="sm"/>
                          <a:tailEnd type="none" w="sm" len="sm"/>
                        </a:ln>
                      </wps:spPr>
                      <wps:txbx>
                        <w:txbxContent>
                          <w:p w14:paraId="1609033D" w14:textId="77777777" w:rsidR="00197D57" w:rsidRDefault="00197D57" w:rsidP="00394545">
                            <w:pPr>
                              <w:textDirection w:val="btLr"/>
                            </w:pPr>
                          </w:p>
                        </w:txbxContent>
                      </wps:txbx>
                      <wps:bodyPr spcFirstLastPara="1" wrap="square" lIns="91425" tIns="91425" rIns="91425" bIns="91425" anchor="ctr" anchorCtr="0">
                        <a:noAutofit/>
                      </wps:bodyPr>
                    </wps:wsp>
                  </a:graphicData>
                </a:graphic>
              </wp:anchor>
            </w:drawing>
          </mc:Choice>
          <mc:Fallback>
            <w:pict>
              <v:rect w14:anchorId="11728A04" id="Rectángulo 2086088809" o:spid="_x0000_s1026" style="position:absolute;left:0;text-align:left;margin-left:53.25pt;margin-top:55.85pt;width:345.75pt;height: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" filled="f" strokecolor="#c00000" strokeweight="3pt">
                <v:stroke startarrowwidth="narrow" startarrowlength="short" endarrowwidth="narrow" endarrowlength="short" joinstyle="round"/>
                <v:textbox inset="2.53958mm,2.53958mm,2.53958mm,2.53958mm">
                  <w:txbxContent>
                    <w:p w14:paraId="1609033D" w14:textId="77777777" w:rsidR="00197D57" w:rsidRDefault="00197D57" w:rsidP="00394545">
                      <w:pPr>
                        <w:textDirection w:val="btLr"/>
                      </w:pPr>
                    </w:p>
                  </w:txbxContent>
                </v:textbox>
              </v:rect>
            </w:pict>
          </mc:Fallback>
        </mc:AlternateContent>
      </w:r>
      <w:r w:rsidRPr="0061511A">
        <w:rPr>
          <w:rFonts w:ascii="Palatino Linotype" w:eastAsia="Palatino Linotype" w:hAnsi="Palatino Linotype" w:cs="Palatino Linotype"/>
          <w:noProof/>
          <w:sz w:val="22"/>
          <w:szCs w:val="22"/>
        </w:rPr>
        <w:drawing>
          <wp:inline distT="0" distB="0" distL="0" distR="0" wp14:anchorId="0A40429D" wp14:editId="6954687F">
            <wp:extent cx="5041265" cy="1818290"/>
            <wp:effectExtent l="0" t="0" r="6985" b="0"/>
            <wp:docPr id="2086088831" name="image6.png" descr="Interfaz de usuario gráfica, Aplicación, Tabl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6.png" descr="Interfaz de usuario gráfica, Aplicación, Tabla&#10;&#10;El contenido generado por IA puede ser incorrecto."/>
                    <pic:cNvPicPr preferRelativeResize="0"/>
                  </pic:nvPicPr>
                  <pic:blipFill rotWithShape="1">
                    <a:blip r:embed="rId9"/>
                    <a:srcRect t="45013"/>
                    <a:stretch/>
                  </pic:blipFill>
                  <pic:spPr bwMode="auto">
                    <a:xfrm>
                      <a:off x="0" y="0"/>
                      <a:ext cx="5042126" cy="1818601"/>
                    </a:xfrm>
                    <a:prstGeom prst="rect">
                      <a:avLst/>
                    </a:prstGeom>
                    <a:ln>
                      <a:noFill/>
                    </a:ln>
                    <a:extLst>
                      <a:ext uri="{53640926-AAD7-44D8-BBD7-CCE9431645EC}">
                        <a14:shadowObscured xmlns:a14="http://schemas.microsoft.com/office/drawing/2010/main"/>
                      </a:ext>
                    </a:extLst>
                  </pic:spPr>
                </pic:pic>
              </a:graphicData>
            </a:graphic>
          </wp:inline>
        </w:drawing>
      </w:r>
    </w:p>
    <w:p w14:paraId="52B81D2B" w14:textId="44B97971" w:rsidR="00394545" w:rsidRPr="0061511A" w:rsidRDefault="00394545" w:rsidP="00394545">
      <w:pPr>
        <w:spacing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Como se advierte, los documentos a través de los cuales el </w:t>
      </w:r>
      <w:r w:rsidRPr="0061511A">
        <w:rPr>
          <w:rFonts w:ascii="Palatino Linotype" w:eastAsia="Palatino Linotype" w:hAnsi="Palatino Linotype" w:cs="Palatino Linotype"/>
          <w:b/>
          <w:bCs/>
          <w:sz w:val="22"/>
          <w:szCs w:val="22"/>
        </w:rPr>
        <w:t>Sujeto Obligado</w:t>
      </w:r>
      <w:r w:rsidRPr="0061511A">
        <w:rPr>
          <w:rFonts w:ascii="Palatino Linotype" w:eastAsia="Palatino Linotype" w:hAnsi="Palatino Linotype" w:cs="Palatino Linotype"/>
          <w:sz w:val="22"/>
          <w:szCs w:val="22"/>
        </w:rPr>
        <w:t xml:space="preserve"> puede a satisfacer el requerimiento de información son los formatos de conciliación de nómina que, como ente fiscalizable se encuentra obligado a entregar al Órgano Superior de Fiscalización, a través de los informes trimestrales.</w:t>
      </w:r>
    </w:p>
    <w:p w14:paraId="1EB9AB3A" w14:textId="77777777" w:rsidR="00394545" w:rsidRPr="0061511A" w:rsidRDefault="00394545" w:rsidP="005B0F96">
      <w:pPr>
        <w:spacing w:line="360" w:lineRule="auto"/>
        <w:jc w:val="both"/>
        <w:rPr>
          <w:rFonts w:ascii="Palatino Linotype" w:eastAsia="Palatino Linotype" w:hAnsi="Palatino Linotype" w:cs="Palatino Linotype"/>
          <w:sz w:val="22"/>
          <w:szCs w:val="22"/>
        </w:rPr>
      </w:pPr>
    </w:p>
    <w:p w14:paraId="6D1ADE14" w14:textId="0A1E080C" w:rsidR="00394545" w:rsidRPr="0061511A" w:rsidRDefault="00394545" w:rsidP="005B0F96">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Sin embargo, en el caso concreto, atendiendo el pronunciamiento vertido en informe justificado,</w:t>
      </w:r>
      <w:r w:rsidR="00FB23C1" w:rsidRPr="0061511A">
        <w:rPr>
          <w:rFonts w:ascii="Palatino Linotype" w:eastAsia="Palatino Linotype" w:hAnsi="Palatino Linotype" w:cs="Palatino Linotype"/>
          <w:sz w:val="22"/>
          <w:szCs w:val="22"/>
        </w:rPr>
        <w:t xml:space="preserve"> independientemente que el mismo no se hubiera puesto a la vista del particular,</w:t>
      </w:r>
      <w:r w:rsidRPr="0061511A">
        <w:rPr>
          <w:rFonts w:ascii="Palatino Linotype" w:eastAsia="Palatino Linotype" w:hAnsi="Palatino Linotype" w:cs="Palatino Linotype"/>
          <w:sz w:val="22"/>
          <w:szCs w:val="22"/>
        </w:rPr>
        <w:t xml:space="preserve"> se advierte que el servidor público habilitado competente refirió que sobre los recibos de percepciones, no se cuenta con lo requerido, ya que la servidor público es comisionada del Ayuntamiento de la Paz.</w:t>
      </w:r>
    </w:p>
    <w:p w14:paraId="6AFF6894" w14:textId="77777777" w:rsidR="00394545" w:rsidRPr="0061511A" w:rsidRDefault="00394545" w:rsidP="005B0F96">
      <w:pPr>
        <w:spacing w:line="360" w:lineRule="auto"/>
        <w:jc w:val="both"/>
        <w:rPr>
          <w:rFonts w:ascii="Palatino Linotype" w:eastAsia="Palatino Linotype" w:hAnsi="Palatino Linotype" w:cs="Palatino Linotype"/>
          <w:sz w:val="22"/>
          <w:szCs w:val="22"/>
        </w:rPr>
      </w:pPr>
    </w:p>
    <w:p w14:paraId="635BE7A8" w14:textId="42421825" w:rsidR="00394545" w:rsidRPr="0061511A" w:rsidRDefault="00394545" w:rsidP="005B0F96">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Lo anterior, hace referencia a que ser un servidor público comisionado significa que una persona trabajadora, en este caso del Municipio, es asignada temporalmente para realizar funciones, tareas o proyectos específicos distintos a los de su adscripción original, o bien, en una dependencia o lugar diferente al habitual.</w:t>
      </w:r>
    </w:p>
    <w:p w14:paraId="7CA5206D" w14:textId="77777777" w:rsidR="00394545" w:rsidRPr="0061511A" w:rsidRDefault="00394545" w:rsidP="005B0F96">
      <w:pPr>
        <w:spacing w:line="360" w:lineRule="auto"/>
        <w:jc w:val="both"/>
        <w:rPr>
          <w:rFonts w:ascii="Palatino Linotype" w:eastAsia="Palatino Linotype" w:hAnsi="Palatino Linotype" w:cs="Palatino Linotype"/>
          <w:sz w:val="22"/>
          <w:szCs w:val="22"/>
        </w:rPr>
      </w:pPr>
    </w:p>
    <w:p w14:paraId="65D9DF65" w14:textId="08628A76" w:rsidR="00394545" w:rsidRPr="0061511A" w:rsidRDefault="00394545" w:rsidP="005B0F96">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Por tanto, quien se encarga de los pagos correspondientes vía nómina corresponden al ente público a quien se encuentra adscrita la servidora pública en cuestión, esto es al Ayuntamiento de la Paz; por lo que, nos encontramos ante una incompetencia parcial para </w:t>
      </w:r>
      <w:r w:rsidRPr="0061511A">
        <w:rPr>
          <w:rFonts w:ascii="Palatino Linotype" w:eastAsia="Palatino Linotype" w:hAnsi="Palatino Linotype" w:cs="Palatino Linotype"/>
          <w:sz w:val="22"/>
          <w:szCs w:val="22"/>
        </w:rPr>
        <w:lastRenderedPageBreak/>
        <w:t>conocer de la información requerida al competer la misma a un ente obligado en materia de trasparencia distinto, en términos del artículo 167 de la Ley de Transparencia Local.</w:t>
      </w:r>
    </w:p>
    <w:p w14:paraId="7538D937" w14:textId="7CF7DC40" w:rsidR="00394545" w:rsidRPr="0061511A" w:rsidRDefault="00394545" w:rsidP="00394545">
      <w:pPr>
        <w:spacing w:before="280" w:after="280" w:line="360" w:lineRule="auto"/>
        <w:jc w:val="both"/>
        <w:rPr>
          <w:rFonts w:ascii="Palatino Linotype" w:eastAsia="Palatino Linotype" w:hAnsi="Palatino Linotype" w:cs="Palatino Linotype"/>
          <w:b/>
          <w:bCs/>
          <w:sz w:val="22"/>
          <w:szCs w:val="22"/>
        </w:rPr>
      </w:pPr>
      <w:r w:rsidRPr="0061511A">
        <w:rPr>
          <w:rFonts w:ascii="Palatino Linotype" w:eastAsia="Palatino Linotype" w:hAnsi="Palatino Linotype" w:cs="Palatino Linotype"/>
          <w:sz w:val="22"/>
          <w:szCs w:val="22"/>
        </w:rPr>
        <w:t xml:space="preserve">Máxime que en el caso es de indicar que el Ayuntamiento de La Paz, en materia de transparencia es un sujeto obligado diverso al Sistema Municipal para el Desarrollo Integral de la Familia del Estado de México, tal y como lo prevé el </w:t>
      </w:r>
      <w:r w:rsidRPr="0061511A">
        <w:rPr>
          <w:rFonts w:ascii="Palatino Linotype" w:eastAsia="Palatino Linotype" w:hAnsi="Palatino Linotype" w:cs="Palatino Linotype"/>
          <w:b/>
          <w:bCs/>
          <w:sz w:val="22"/>
          <w:szCs w:val="22"/>
        </w:rPr>
        <w:t>Padrón de Sujetos Obligados en Materia de Transparencia y Acceso a la Información Pública del Estado de México y Municipios</w:t>
      </w:r>
      <w:r w:rsidR="003F5E4F" w:rsidRPr="0061511A">
        <w:rPr>
          <w:rFonts w:ascii="Palatino Linotype" w:eastAsia="Palatino Linotype" w:hAnsi="Palatino Linotype" w:cs="Palatino Linotype"/>
          <w:b/>
          <w:bCs/>
          <w:sz w:val="22"/>
          <w:szCs w:val="22"/>
        </w:rPr>
        <w:t>.</w:t>
      </w:r>
    </w:p>
    <w:p w14:paraId="018DCDB6" w14:textId="5D6B256B" w:rsidR="00394545" w:rsidRPr="0061511A" w:rsidRDefault="00394545" w:rsidP="00394545">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Con base en lo anterior, se colige que existe una evidente incompetencia </w:t>
      </w:r>
      <w:r w:rsidR="003F5E4F" w:rsidRPr="0061511A">
        <w:rPr>
          <w:rFonts w:ascii="Palatino Linotype" w:eastAsia="Palatino Linotype" w:hAnsi="Palatino Linotype" w:cs="Palatino Linotype"/>
          <w:sz w:val="22"/>
          <w:szCs w:val="22"/>
        </w:rPr>
        <w:t xml:space="preserve">parcial </w:t>
      </w:r>
      <w:r w:rsidRPr="0061511A">
        <w:rPr>
          <w:rFonts w:ascii="Palatino Linotype" w:eastAsia="Palatino Linotype" w:hAnsi="Palatino Linotype" w:cs="Palatino Linotype"/>
          <w:sz w:val="22"/>
          <w:szCs w:val="22"/>
        </w:rPr>
        <w:t xml:space="preserve">por parte del </w:t>
      </w:r>
      <w:r w:rsidR="003F5E4F" w:rsidRPr="0061511A">
        <w:rPr>
          <w:rFonts w:ascii="Palatino Linotype" w:eastAsia="Palatino Linotype" w:hAnsi="Palatino Linotype" w:cs="Palatino Linotype"/>
          <w:sz w:val="22"/>
          <w:szCs w:val="22"/>
        </w:rPr>
        <w:t>Sistema Municipal para el Desarrollo Integral de la Familia del Estado de México</w:t>
      </w:r>
      <w:r w:rsidRPr="0061511A">
        <w:rPr>
          <w:rFonts w:ascii="Palatino Linotype" w:eastAsia="Palatino Linotype" w:hAnsi="Palatino Linotype" w:cs="Palatino Linotype"/>
          <w:sz w:val="22"/>
          <w:szCs w:val="22"/>
        </w:rPr>
        <w:t xml:space="preserve">, como </w:t>
      </w:r>
      <w:r w:rsidRPr="0061511A">
        <w:rPr>
          <w:rFonts w:ascii="Palatino Linotype" w:eastAsia="Palatino Linotype" w:hAnsi="Palatino Linotype" w:cs="Palatino Linotype"/>
          <w:b/>
          <w:bCs/>
          <w:sz w:val="22"/>
          <w:szCs w:val="22"/>
        </w:rPr>
        <w:t>Sujeto Obligado</w:t>
      </w:r>
      <w:r w:rsidRPr="0061511A">
        <w:rPr>
          <w:rFonts w:ascii="Palatino Linotype" w:eastAsia="Palatino Linotype" w:hAnsi="Palatino Linotype" w:cs="Palatino Linotype"/>
          <w:sz w:val="22"/>
          <w:szCs w:val="22"/>
        </w:rPr>
        <w:t xml:space="preserve"> para satisfacer </w:t>
      </w:r>
      <w:r w:rsidR="003F5E4F" w:rsidRPr="0061511A">
        <w:rPr>
          <w:rFonts w:ascii="Palatino Linotype" w:eastAsia="Palatino Linotype" w:hAnsi="Palatino Linotype" w:cs="Palatino Linotype"/>
          <w:sz w:val="22"/>
          <w:szCs w:val="22"/>
        </w:rPr>
        <w:t>dicho punto de la solicitud</w:t>
      </w:r>
      <w:r w:rsidRPr="0061511A">
        <w:rPr>
          <w:rFonts w:ascii="Palatino Linotype" w:eastAsia="Palatino Linotype" w:hAnsi="Palatino Linotype" w:cs="Palatino Linotype"/>
          <w:sz w:val="22"/>
          <w:szCs w:val="22"/>
        </w:rPr>
        <w:t>.</w:t>
      </w:r>
    </w:p>
    <w:p w14:paraId="38196601" w14:textId="77777777" w:rsidR="00394545" w:rsidRPr="0061511A" w:rsidRDefault="00394545" w:rsidP="00394545">
      <w:pPr>
        <w:spacing w:line="360" w:lineRule="auto"/>
        <w:jc w:val="both"/>
        <w:rPr>
          <w:rFonts w:ascii="Palatino Linotype" w:eastAsia="Palatino Linotype" w:hAnsi="Palatino Linotype" w:cs="Palatino Linotype"/>
          <w:sz w:val="22"/>
          <w:szCs w:val="22"/>
        </w:rPr>
      </w:pPr>
    </w:p>
    <w:p w14:paraId="416B189E" w14:textId="77777777" w:rsidR="00394545" w:rsidRPr="0061511A" w:rsidRDefault="00394545" w:rsidP="00394545">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En este sentido, resulta aplicable el criterio orientador 13/17 emitido por el Pleno del entonces Instituto Nacional de Transparencia, Acceso a la Información y Protección de Datos Personales, el cual, para pronta referencia se reproduce a continuación:</w:t>
      </w:r>
    </w:p>
    <w:p w14:paraId="449C4C0D" w14:textId="77777777" w:rsidR="00394545" w:rsidRPr="0061511A" w:rsidRDefault="00394545" w:rsidP="00394545">
      <w:pPr>
        <w:spacing w:line="360" w:lineRule="auto"/>
        <w:jc w:val="both"/>
        <w:rPr>
          <w:rFonts w:ascii="Palatino Linotype" w:eastAsia="Palatino Linotype" w:hAnsi="Palatino Linotype" w:cs="Palatino Linotype"/>
          <w:sz w:val="22"/>
          <w:szCs w:val="22"/>
        </w:rPr>
      </w:pPr>
    </w:p>
    <w:p w14:paraId="3B1E62B8" w14:textId="77777777" w:rsidR="00394545" w:rsidRPr="0061511A" w:rsidRDefault="00394545" w:rsidP="00394545">
      <w:pPr>
        <w:ind w:left="851" w:right="851"/>
        <w:jc w:val="both"/>
        <w:rPr>
          <w:rFonts w:ascii="Palatino Linotype" w:eastAsia="Palatino Linotype" w:hAnsi="Palatino Linotype" w:cs="Palatino Linotype"/>
          <w:i/>
          <w:iCs/>
          <w:sz w:val="22"/>
          <w:szCs w:val="22"/>
        </w:rPr>
      </w:pPr>
      <w:r w:rsidRPr="0061511A">
        <w:rPr>
          <w:rFonts w:ascii="Palatino Linotype" w:eastAsia="Palatino Linotype" w:hAnsi="Palatino Linotype" w:cs="Palatino Linotype"/>
          <w:b/>
          <w:bCs/>
          <w:i/>
          <w:iCs/>
          <w:sz w:val="22"/>
          <w:szCs w:val="22"/>
        </w:rPr>
        <w:t>“Incompetencia. La incompetencia implica la ausencia de atribuciones del sujeto obligado para poseer la información solicitada</w:t>
      </w:r>
      <w:r w:rsidRPr="0061511A">
        <w:rPr>
          <w:rFonts w:ascii="Palatino Linotype" w:eastAsia="Palatino Linotype" w:hAnsi="Palatino Linotype" w:cs="Palatino Linotype"/>
          <w:i/>
          <w:iCs/>
          <w:sz w:val="22"/>
          <w:szCs w:val="22"/>
        </w:rPr>
        <w:t xml:space="preserve">; es decir, se trata de una cuestión de derecho, </w:t>
      </w:r>
      <w:r w:rsidRPr="0061511A">
        <w:rPr>
          <w:rFonts w:ascii="Palatino Linotype" w:eastAsia="Palatino Linotype" w:hAnsi="Palatino Linotype" w:cs="Palatino Linotype"/>
          <w:b/>
          <w:bCs/>
          <w:i/>
          <w:iCs/>
          <w:sz w:val="22"/>
          <w:szCs w:val="22"/>
        </w:rPr>
        <w:t>en tanto que no existan facultades para contar con lo requerido</w:t>
      </w:r>
      <w:r w:rsidRPr="0061511A">
        <w:rPr>
          <w:rFonts w:ascii="Palatino Linotype" w:eastAsia="Palatino Linotype" w:hAnsi="Palatino Linotype" w:cs="Palatino Linotype"/>
          <w:i/>
          <w:iCs/>
          <w:sz w:val="22"/>
          <w:szCs w:val="22"/>
        </w:rPr>
        <w:t>; por lo que la incompetencia es una cualidad atribuida al sujeto obligado que la declara.”</w:t>
      </w:r>
    </w:p>
    <w:p w14:paraId="17BDF813" w14:textId="77777777" w:rsidR="00394545" w:rsidRPr="0061511A" w:rsidRDefault="00394545" w:rsidP="00394545">
      <w:pPr>
        <w:ind w:left="851" w:right="851"/>
        <w:jc w:val="both"/>
        <w:rPr>
          <w:rFonts w:ascii="Palatino Linotype" w:eastAsia="Palatino Linotype" w:hAnsi="Palatino Linotype" w:cs="Palatino Linotype"/>
          <w:i/>
          <w:iCs/>
          <w:sz w:val="22"/>
          <w:szCs w:val="22"/>
        </w:rPr>
      </w:pPr>
    </w:p>
    <w:p w14:paraId="6DE2B276" w14:textId="5FFF4B3F" w:rsidR="00394545" w:rsidRPr="0061511A" w:rsidRDefault="00394545" w:rsidP="00394545">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Por tanto, se arriba a la conclusión de que el </w:t>
      </w:r>
      <w:r w:rsidRPr="0061511A">
        <w:rPr>
          <w:rFonts w:ascii="Palatino Linotype" w:eastAsia="Palatino Linotype" w:hAnsi="Palatino Linotype" w:cs="Palatino Linotype"/>
          <w:b/>
          <w:bCs/>
          <w:sz w:val="22"/>
          <w:szCs w:val="22"/>
        </w:rPr>
        <w:t>Sujeto Obligado</w:t>
      </w:r>
      <w:r w:rsidRPr="0061511A">
        <w:rPr>
          <w:rFonts w:ascii="Palatino Linotype" w:eastAsia="Palatino Linotype" w:hAnsi="Palatino Linotype" w:cs="Palatino Linotype"/>
          <w:sz w:val="22"/>
          <w:szCs w:val="22"/>
        </w:rPr>
        <w:t xml:space="preserve"> competente para atender el requerimiento de la persona solicitante, es el </w:t>
      </w:r>
      <w:r w:rsidRPr="0061511A">
        <w:rPr>
          <w:rFonts w:ascii="Palatino Linotype" w:eastAsia="Palatino Linotype" w:hAnsi="Palatino Linotype" w:cs="Palatino Linotype"/>
          <w:b/>
          <w:bCs/>
          <w:sz w:val="22"/>
          <w:szCs w:val="22"/>
        </w:rPr>
        <w:t xml:space="preserve">Ayuntamiento de </w:t>
      </w:r>
      <w:r w:rsidR="003F5E4F" w:rsidRPr="0061511A">
        <w:rPr>
          <w:rFonts w:ascii="Palatino Linotype" w:eastAsia="Palatino Linotype" w:hAnsi="Palatino Linotype" w:cs="Palatino Linotype"/>
          <w:b/>
          <w:bCs/>
          <w:sz w:val="22"/>
          <w:szCs w:val="22"/>
        </w:rPr>
        <w:t xml:space="preserve">La Paz, </w:t>
      </w:r>
      <w:r w:rsidR="003F5E4F" w:rsidRPr="0061511A">
        <w:rPr>
          <w:rFonts w:ascii="Palatino Linotype" w:eastAsia="Palatino Linotype" w:hAnsi="Palatino Linotype" w:cs="Palatino Linotype"/>
          <w:bCs/>
          <w:sz w:val="22"/>
          <w:szCs w:val="22"/>
        </w:rPr>
        <w:t>dejando a salvo los derechos del particular para que mediante una nueva solicitud de información ante el sujeto obligado competente se allegue de la información que es de su interés.</w:t>
      </w:r>
    </w:p>
    <w:p w14:paraId="53EA880A" w14:textId="77777777" w:rsidR="00394545" w:rsidRPr="0061511A" w:rsidRDefault="00394545" w:rsidP="005B0F96">
      <w:pPr>
        <w:spacing w:line="360" w:lineRule="auto"/>
        <w:jc w:val="both"/>
        <w:rPr>
          <w:rFonts w:ascii="Palatino Linotype" w:eastAsia="Palatino Linotype" w:hAnsi="Palatino Linotype" w:cs="Palatino Linotype"/>
          <w:sz w:val="22"/>
          <w:szCs w:val="22"/>
        </w:rPr>
      </w:pPr>
    </w:p>
    <w:p w14:paraId="5FF68BBF" w14:textId="485EE59F" w:rsidR="003F5E4F" w:rsidRPr="0061511A" w:rsidRDefault="003F5E4F" w:rsidP="003F5E4F">
      <w:pPr>
        <w:pStyle w:val="Prrafodelista"/>
        <w:numPr>
          <w:ilvl w:val="0"/>
          <w:numId w:val="27"/>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lastRenderedPageBreak/>
        <w:t>Renuncia:</w:t>
      </w:r>
    </w:p>
    <w:p w14:paraId="25FBFDBC"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p>
    <w:p w14:paraId="4FE184BC"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Referente a este punto de análisis, conviene precisar que </w:t>
      </w:r>
      <w:r w:rsidRPr="0061511A">
        <w:rPr>
          <w:rFonts w:ascii="Palatino Linotype" w:eastAsia="Palatino Linotype" w:hAnsi="Palatino Linotype" w:cs="Palatino Linotype"/>
          <w:b/>
          <w:sz w:val="22"/>
          <w:szCs w:val="22"/>
        </w:rPr>
        <w:t>sobre la renuncia requerida</w:t>
      </w:r>
      <w:r w:rsidRPr="0061511A">
        <w:rPr>
          <w:rFonts w:ascii="Palatino Linotype" w:eastAsia="Palatino Linotype" w:hAnsi="Palatino Linotype" w:cs="Palatino Linotype"/>
          <w:sz w:val="22"/>
          <w:szCs w:val="22"/>
        </w:rPr>
        <w:t>, el diccionario de la real academia española lo define como:</w:t>
      </w:r>
    </w:p>
    <w:p w14:paraId="19ADFA70"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p>
    <w:p w14:paraId="426D61DF" w14:textId="77777777" w:rsidR="003F5E4F" w:rsidRPr="0061511A" w:rsidRDefault="003F5E4F" w:rsidP="003F5E4F">
      <w:pPr>
        <w:spacing w:line="276" w:lineRule="auto"/>
        <w:ind w:left="851" w:right="616"/>
        <w:jc w:val="both"/>
        <w:rPr>
          <w:rFonts w:ascii="Palatino Linotype" w:eastAsia="Palatino Linotype" w:hAnsi="Palatino Linotype" w:cs="Palatino Linotype"/>
          <w:b/>
          <w:i/>
          <w:sz w:val="22"/>
          <w:szCs w:val="22"/>
        </w:rPr>
      </w:pPr>
      <w:r w:rsidRPr="0061511A">
        <w:rPr>
          <w:rFonts w:ascii="Palatino Linotype" w:eastAsia="Palatino Linotype" w:hAnsi="Palatino Linotype" w:cs="Palatino Linotype"/>
          <w:i/>
          <w:sz w:val="22"/>
          <w:szCs w:val="22"/>
        </w:rPr>
        <w:t>“</w:t>
      </w:r>
      <w:r w:rsidRPr="0061511A">
        <w:rPr>
          <w:rFonts w:ascii="Palatino Linotype" w:eastAsia="Palatino Linotype" w:hAnsi="Palatino Linotype" w:cs="Palatino Linotype"/>
          <w:b/>
          <w:i/>
          <w:sz w:val="22"/>
          <w:szCs w:val="22"/>
        </w:rPr>
        <w:t>Renuncia:</w:t>
      </w:r>
    </w:p>
    <w:p w14:paraId="795070EA" w14:textId="77777777" w:rsidR="003F5E4F" w:rsidRPr="0061511A" w:rsidRDefault="003F5E4F" w:rsidP="003F5E4F">
      <w:pPr>
        <w:spacing w:line="276" w:lineRule="auto"/>
        <w:ind w:left="851" w:right="616"/>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Terminación del contrato de trabajo por decisión unilateral del trabajador” (Sic)</w:t>
      </w:r>
    </w:p>
    <w:p w14:paraId="1E08B719" w14:textId="77777777" w:rsidR="003F5E4F" w:rsidRPr="0061511A" w:rsidRDefault="003F5E4F" w:rsidP="003F5E4F">
      <w:pPr>
        <w:ind w:left="567" w:right="616"/>
        <w:jc w:val="both"/>
        <w:rPr>
          <w:rFonts w:ascii="Palatino Linotype" w:eastAsia="Palatino Linotype" w:hAnsi="Palatino Linotype" w:cs="Palatino Linotype"/>
          <w:i/>
          <w:sz w:val="22"/>
          <w:szCs w:val="22"/>
        </w:rPr>
      </w:pPr>
    </w:p>
    <w:p w14:paraId="4F64F7BF"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Esto es, que la conclusión de una relación laboral se puede dar por renuncia del trabajador por una decisión unilateral de este.</w:t>
      </w:r>
    </w:p>
    <w:p w14:paraId="6F814708"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p>
    <w:p w14:paraId="4D8EE648"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Lo que conveniente traer a colación lo señalado por el artículo 89 de la Ley del Trabajo de los Servidores Públicos del Estado y Municipios, en donde se establece que la terminación de la relación laboral, se puede dar por diversas razones las cuales son: </w:t>
      </w:r>
      <w:r w:rsidRPr="0061511A">
        <w:rPr>
          <w:rFonts w:ascii="Palatino Linotype" w:eastAsia="Palatino Linotype" w:hAnsi="Palatino Linotype" w:cs="Palatino Linotype"/>
          <w:b/>
          <w:sz w:val="22"/>
          <w:szCs w:val="22"/>
        </w:rPr>
        <w:t>I. La renuncia del servidor público</w:t>
      </w:r>
      <w:r w:rsidRPr="0061511A">
        <w:rPr>
          <w:rFonts w:ascii="Palatino Linotype" w:eastAsia="Palatino Linotype" w:hAnsi="Palatino Linotype" w:cs="Palatino Linotype"/>
          <w:sz w:val="22"/>
          <w:szCs w:val="22"/>
        </w:rPr>
        <w:t>; II. El mutuo consentimiento de las partes; III. El vencimiento del término o conclusión de la obra determinantes de la contratación; IV. La muerte del servidor público; y V. La incapacidad permanente del servidor público que le impida el desempeño de sus labores.</w:t>
      </w:r>
    </w:p>
    <w:p w14:paraId="7E25330A"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p>
    <w:p w14:paraId="7424137F"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Asimismo, la Guía técnica 07. La administración del personal municipal del Instituto Nacional de Administración Pública (consultable en: </w:t>
      </w:r>
      <w:hyperlink r:id="rId10">
        <w:r w:rsidRPr="0061511A">
          <w:rPr>
            <w:rFonts w:ascii="Palatino Linotype" w:eastAsia="Palatino Linotype" w:hAnsi="Palatino Linotype" w:cs="Palatino Linotype"/>
            <w:sz w:val="22"/>
            <w:szCs w:val="22"/>
          </w:rPr>
          <w:t>https://biblio.juridicas.unam.mx/bjv/resultados?ti=guia+tecnica</w:t>
        </w:r>
      </w:hyperlink>
      <w:r w:rsidRPr="0061511A">
        <w:rPr>
          <w:rFonts w:ascii="Palatino Linotype" w:eastAsia="Palatino Linotype" w:hAnsi="Palatino Linotype" w:cs="Palatino Linotype"/>
          <w:sz w:val="22"/>
          <w:szCs w:val="22"/>
        </w:rPr>
        <w:t xml:space="preserve">) se estable que, dentro de las actividades básicas de la administración de personal, tal como lo es la terminación de la relación laboral. Esta actividad es definida de la siguiente manera: </w:t>
      </w:r>
    </w:p>
    <w:p w14:paraId="270CDB8F" w14:textId="77777777" w:rsidR="003F5E4F" w:rsidRPr="0061511A" w:rsidRDefault="003F5E4F" w:rsidP="003F5E4F">
      <w:pPr>
        <w:spacing w:line="360" w:lineRule="auto"/>
        <w:rPr>
          <w:rFonts w:ascii="Palatino Linotype" w:hAnsi="Palatino Linotype"/>
          <w:sz w:val="22"/>
          <w:szCs w:val="22"/>
        </w:rPr>
      </w:pPr>
    </w:p>
    <w:p w14:paraId="334FD07F" w14:textId="77777777" w:rsidR="003F5E4F" w:rsidRPr="0061511A" w:rsidRDefault="003F5E4F" w:rsidP="003F5E4F">
      <w:pPr>
        <w:spacing w:line="276" w:lineRule="auto"/>
        <w:ind w:left="851" w:right="618"/>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lastRenderedPageBreak/>
        <w:t>“Terminación de la relación laboral</w:t>
      </w:r>
      <w:r w:rsidRPr="0061511A">
        <w:rPr>
          <w:rFonts w:ascii="Palatino Linotype" w:eastAsia="Palatino Linotype" w:hAnsi="Palatino Linotype" w:cs="Palatino Linotype"/>
          <w:i/>
          <w:sz w:val="22"/>
          <w:szCs w:val="22"/>
        </w:rPr>
        <w:t xml:space="preserve">: </w:t>
      </w:r>
      <w:r w:rsidRPr="0061511A">
        <w:rPr>
          <w:rFonts w:ascii="Palatino Linotype" w:eastAsia="Palatino Linotype" w:hAnsi="Palatino Linotype" w:cs="Palatino Linotype"/>
          <w:b/>
          <w:i/>
          <w:sz w:val="22"/>
          <w:szCs w:val="22"/>
        </w:rPr>
        <w:t>Un empleado puede dejar de prestar sus servicios al municipio por diferentes casusas, como son</w:t>
      </w:r>
      <w:r w:rsidRPr="0061511A">
        <w:rPr>
          <w:rFonts w:ascii="Palatino Linotype" w:eastAsia="Palatino Linotype" w:hAnsi="Palatino Linotype" w:cs="Palatino Linotype"/>
          <w:i/>
          <w:sz w:val="22"/>
          <w:szCs w:val="22"/>
        </w:rPr>
        <w:t xml:space="preserve">: jubilación, </w:t>
      </w:r>
      <w:r w:rsidRPr="0061511A">
        <w:rPr>
          <w:rFonts w:ascii="Palatino Linotype" w:eastAsia="Palatino Linotype" w:hAnsi="Palatino Linotype" w:cs="Palatino Linotype"/>
          <w:b/>
          <w:i/>
          <w:sz w:val="22"/>
          <w:szCs w:val="22"/>
        </w:rPr>
        <w:t>renuncia</w:t>
      </w:r>
      <w:r w:rsidRPr="0061511A">
        <w:rPr>
          <w:rFonts w:ascii="Palatino Linotype" w:eastAsia="Palatino Linotype" w:hAnsi="Palatino Linotype" w:cs="Palatino Linotype"/>
          <w:i/>
          <w:sz w:val="22"/>
          <w:szCs w:val="22"/>
        </w:rPr>
        <w:t>, terminación, suspensión o rescisión del contrato.” (Sic)</w:t>
      </w:r>
    </w:p>
    <w:p w14:paraId="17FE5FEC" w14:textId="77777777" w:rsidR="003F5E4F" w:rsidRPr="0061511A" w:rsidRDefault="003F5E4F" w:rsidP="003F5E4F">
      <w:pPr>
        <w:spacing w:line="360" w:lineRule="auto"/>
        <w:ind w:right="-93"/>
        <w:jc w:val="both"/>
        <w:rPr>
          <w:rFonts w:ascii="Palatino Linotype" w:eastAsia="Palatino Linotype" w:hAnsi="Palatino Linotype" w:cs="Palatino Linotype"/>
          <w:sz w:val="22"/>
          <w:szCs w:val="22"/>
        </w:rPr>
      </w:pPr>
    </w:p>
    <w:p w14:paraId="14B294AA"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En donde se establece que la terminación de la relación laboral de los Servidores Públicos con el </w:t>
      </w:r>
      <w:r w:rsidRPr="0061511A">
        <w:rPr>
          <w:rFonts w:ascii="Palatino Linotype" w:eastAsia="Palatino Linotype" w:hAnsi="Palatino Linotype" w:cs="Palatino Linotype"/>
          <w:b/>
          <w:sz w:val="22"/>
          <w:szCs w:val="22"/>
        </w:rPr>
        <w:t>Sujeto Obligado</w:t>
      </w:r>
      <w:r w:rsidRPr="0061511A">
        <w:rPr>
          <w:rFonts w:ascii="Palatino Linotype" w:eastAsia="Palatino Linotype" w:hAnsi="Palatino Linotype" w:cs="Palatino Linotype"/>
          <w:sz w:val="22"/>
          <w:szCs w:val="22"/>
        </w:rPr>
        <w:t xml:space="preserve">, se puede dar por consentimiento unilateral del Servidor Público mediante la renuncia presentada por este último. </w:t>
      </w:r>
    </w:p>
    <w:p w14:paraId="21FDEC84"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p>
    <w:p w14:paraId="2567449E"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Sobre esta circunstancia, tiene relevancias traer al estudio, lo previsto en el artículo 24, fracción XXII, de la Ley de Transparencia y Acceso a la Información Pública del Estado de México y Municipios, el cual establece que los sujetos obligados deberán documentar todo acto que derive del ejercicio de sus facultades, competencias o funciones. </w:t>
      </w:r>
    </w:p>
    <w:p w14:paraId="4F41DD74" w14:textId="77777777" w:rsidR="003F5E4F" w:rsidRPr="0061511A" w:rsidRDefault="003F5E4F" w:rsidP="003F5E4F">
      <w:pPr>
        <w:spacing w:line="360" w:lineRule="auto"/>
        <w:jc w:val="both"/>
        <w:rPr>
          <w:rFonts w:ascii="Palatino Linotype" w:eastAsia="Palatino Linotype" w:hAnsi="Palatino Linotype" w:cs="Palatino Linotype"/>
          <w:sz w:val="22"/>
          <w:szCs w:val="22"/>
        </w:rPr>
      </w:pPr>
    </w:p>
    <w:p w14:paraId="6771DBC5" w14:textId="5061188B" w:rsidR="00394545" w:rsidRPr="0061511A" w:rsidRDefault="003F5E4F" w:rsidP="005B0F96">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Con base en lo anterior y de las constancias que obran en el SAIMEX, se desprende que el servidor público habilitado fue omiso en pronunciarse sobre dicho punto, no obstante, atendiendo que la renuncia es un consentimiento unilateral por parte del trabajador para dar por concluida una relación laboral, en el caso se estima que el </w:t>
      </w:r>
      <w:r w:rsidRPr="0061511A">
        <w:rPr>
          <w:rFonts w:ascii="Palatino Linotype" w:eastAsia="Palatino Linotype" w:hAnsi="Palatino Linotype" w:cs="Palatino Linotype"/>
          <w:b/>
          <w:sz w:val="22"/>
          <w:szCs w:val="22"/>
        </w:rPr>
        <w:t xml:space="preserve">Sujeto Obligado </w:t>
      </w:r>
      <w:r w:rsidRPr="0061511A">
        <w:rPr>
          <w:rFonts w:ascii="Palatino Linotype" w:eastAsia="Palatino Linotype" w:hAnsi="Palatino Linotype" w:cs="Palatino Linotype"/>
          <w:sz w:val="22"/>
          <w:szCs w:val="22"/>
        </w:rPr>
        <w:t>tampoco es competente para conocer dicha información.</w:t>
      </w:r>
    </w:p>
    <w:p w14:paraId="78D02790" w14:textId="77777777" w:rsidR="003F5E4F" w:rsidRPr="0061511A" w:rsidRDefault="003F5E4F" w:rsidP="005B0F96">
      <w:pPr>
        <w:spacing w:line="360" w:lineRule="auto"/>
        <w:jc w:val="both"/>
        <w:rPr>
          <w:rFonts w:ascii="Palatino Linotype" w:eastAsia="Palatino Linotype" w:hAnsi="Palatino Linotype" w:cs="Palatino Linotype"/>
          <w:sz w:val="22"/>
          <w:szCs w:val="22"/>
        </w:rPr>
      </w:pPr>
    </w:p>
    <w:p w14:paraId="648AC49C" w14:textId="18901BF2" w:rsidR="003F5E4F" w:rsidRPr="0061511A" w:rsidRDefault="003F5E4F" w:rsidP="005B0F96">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Lo anterior, ya que la servidora pública señalada en la solicitud originalmente se encuentra adscrita al Ayuntamiento de la Paz, por ende quien tendría que conocer de alguna renuncia por parte de dicha persona sería el Ayuntamiento; resultando aplicables al punto en análisis los argumentos relativos a la incompetencia del ente obligado esgrimidos con antelación.</w:t>
      </w:r>
    </w:p>
    <w:p w14:paraId="6B8CD78C" w14:textId="77777777" w:rsidR="003F5E4F" w:rsidRPr="0061511A" w:rsidRDefault="003F5E4F" w:rsidP="005B0F96">
      <w:pPr>
        <w:spacing w:line="360" w:lineRule="auto"/>
        <w:jc w:val="both"/>
        <w:rPr>
          <w:rFonts w:ascii="Palatino Linotype" w:eastAsia="Palatino Linotype" w:hAnsi="Palatino Linotype" w:cs="Palatino Linotype"/>
          <w:sz w:val="22"/>
          <w:szCs w:val="22"/>
        </w:rPr>
      </w:pPr>
    </w:p>
    <w:p w14:paraId="7BCD8B3C" w14:textId="351B2EF3" w:rsidR="003F5E4F" w:rsidRPr="0061511A" w:rsidRDefault="003F5E4F" w:rsidP="005B0F96">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lastRenderedPageBreak/>
        <w:t xml:space="preserve">Por tanto, </w:t>
      </w:r>
      <w:r w:rsidRPr="0061511A">
        <w:rPr>
          <w:rFonts w:ascii="Palatino Linotype" w:eastAsia="Palatino Linotype" w:hAnsi="Palatino Linotype" w:cs="Palatino Linotype"/>
          <w:bCs/>
          <w:sz w:val="22"/>
          <w:szCs w:val="22"/>
        </w:rPr>
        <w:t>se dejan a salvo los derechos del particular para que mediante una nueva solicitud de información ante el sujeto obligado competente se allegue de la información que es de su interés.</w:t>
      </w:r>
    </w:p>
    <w:p w14:paraId="05C031E0" w14:textId="77777777" w:rsidR="003F5E4F" w:rsidRPr="0061511A" w:rsidRDefault="003F5E4F" w:rsidP="005B0F96">
      <w:pPr>
        <w:spacing w:line="360" w:lineRule="auto"/>
        <w:jc w:val="both"/>
        <w:rPr>
          <w:rFonts w:ascii="Palatino Linotype" w:eastAsia="Palatino Linotype" w:hAnsi="Palatino Linotype" w:cs="Palatino Linotype"/>
          <w:sz w:val="22"/>
          <w:szCs w:val="22"/>
        </w:rPr>
      </w:pPr>
    </w:p>
    <w:p w14:paraId="420BE79D" w14:textId="77777777" w:rsidR="00FB23C1" w:rsidRPr="0061511A" w:rsidRDefault="00FB23C1" w:rsidP="00FB23C1">
      <w:pPr>
        <w:pStyle w:val="Prrafodelista"/>
        <w:numPr>
          <w:ilvl w:val="0"/>
          <w:numId w:val="27"/>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Fecha de inicio/ingreso;</w:t>
      </w:r>
    </w:p>
    <w:p w14:paraId="5DC14DD2" w14:textId="77777777" w:rsidR="00FB23C1" w:rsidRPr="0061511A" w:rsidRDefault="00FB23C1" w:rsidP="00FB23C1">
      <w:pPr>
        <w:pStyle w:val="Prrafodelista"/>
        <w:numPr>
          <w:ilvl w:val="0"/>
          <w:numId w:val="27"/>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Ficha curricular;</w:t>
      </w:r>
    </w:p>
    <w:p w14:paraId="5BD35EAF" w14:textId="77777777" w:rsidR="00FB23C1" w:rsidRPr="0061511A" w:rsidRDefault="00FB23C1" w:rsidP="00FB23C1">
      <w:pPr>
        <w:pStyle w:val="Prrafodelista"/>
        <w:numPr>
          <w:ilvl w:val="0"/>
          <w:numId w:val="27"/>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Oficio o documento que dé cuenta de las funciones;</w:t>
      </w:r>
    </w:p>
    <w:p w14:paraId="56E440E8" w14:textId="77777777" w:rsidR="00FB23C1" w:rsidRPr="0061511A" w:rsidRDefault="00FB23C1" w:rsidP="00FB23C1">
      <w:pPr>
        <w:pStyle w:val="Prrafodelista"/>
        <w:numPr>
          <w:ilvl w:val="0"/>
          <w:numId w:val="27"/>
        </w:numPr>
        <w:spacing w:line="360" w:lineRule="auto"/>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Horario laboral;</w:t>
      </w:r>
    </w:p>
    <w:p w14:paraId="78DFF258" w14:textId="5C3F2AB2" w:rsidR="00FB23C1" w:rsidRPr="0061511A" w:rsidRDefault="00FB23C1" w:rsidP="00FB23C1">
      <w:pPr>
        <w:spacing w:before="240" w:after="24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Sobre los puntos en cuestión, de las constancias que integran el expediente electrónico relacionado con el recurso de revisión materia de estudio, se colige que el </w:t>
      </w:r>
      <w:r w:rsidRPr="0061511A">
        <w:rPr>
          <w:rFonts w:ascii="Palatino Linotype" w:eastAsia="Palatino Linotype" w:hAnsi="Palatino Linotype" w:cs="Palatino Linotype"/>
          <w:b/>
          <w:bCs/>
          <w:sz w:val="22"/>
          <w:szCs w:val="22"/>
        </w:rPr>
        <w:t>Sujeto Obligado</w:t>
      </w:r>
      <w:r w:rsidRPr="0061511A">
        <w:rPr>
          <w:rFonts w:ascii="Palatino Linotype" w:eastAsia="Palatino Linotype" w:hAnsi="Palatino Linotype" w:cs="Palatino Linotype"/>
          <w:sz w:val="22"/>
          <w:szCs w:val="22"/>
        </w:rPr>
        <w:t xml:space="preserve"> no niega la competencia para conocer de la información solicitada, sino por el contrario, con lo remitido en informe justificado asevera que es competente para conocer de la solicitud de información, y en particular sobre los puntos en cuestión</w:t>
      </w:r>
      <w:r w:rsidR="00197D57" w:rsidRPr="0061511A">
        <w:rPr>
          <w:rFonts w:ascii="Palatino Linotype" w:eastAsia="Palatino Linotype" w:hAnsi="Palatino Linotype" w:cs="Palatino Linotype"/>
          <w:sz w:val="22"/>
          <w:szCs w:val="22"/>
        </w:rPr>
        <w:t>, ya que se hace entrega de lo siguiente:</w:t>
      </w:r>
    </w:p>
    <w:p w14:paraId="0CA8AECA" w14:textId="2938FB24" w:rsidR="00197D57" w:rsidRPr="0061511A" w:rsidRDefault="00197D57" w:rsidP="00197D57">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Oficio a través del cual el Jefe de Recursos Humanos respecto de la servidora pública solicitada, señala lo siguiente:</w:t>
      </w:r>
    </w:p>
    <w:p w14:paraId="3E464650" w14:textId="59D29F8C" w:rsidR="00197D57" w:rsidRPr="0061511A" w:rsidRDefault="00197D57" w:rsidP="00197D57">
      <w:pPr>
        <w:pStyle w:val="Prrafodelista"/>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-Fecha de ingreso a la comisión: 01 de agosto de 2025.</w:t>
      </w:r>
    </w:p>
    <w:p w14:paraId="2904371E" w14:textId="77777777" w:rsidR="00197D57" w:rsidRPr="0061511A" w:rsidRDefault="00197D57" w:rsidP="00197D57">
      <w:pPr>
        <w:pStyle w:val="Prrafodelista"/>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-Área a la que ingresó: Coordinación de Psicología.</w:t>
      </w:r>
    </w:p>
    <w:p w14:paraId="38A266CE" w14:textId="77777777" w:rsidR="00197D57" w:rsidRPr="0061511A" w:rsidRDefault="00197D57" w:rsidP="00197D57">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Oficio del 19 de marzo de 2026, a través del cual la Unidad de Transparencia remite la respuesta del área competente, en donde se agrega que, sobre el horario laboral de la servidora pública, el horario de servicio es de 08:00 a 16:00 horas; y, que con relación a las funciones, se proporcionaba el Manual de Organización del Sistema Municipal DIF de la Paz, en el que en las páginas 28, puntos 2.4.2. se describen las funciones que realiza el área de psicología.</w:t>
      </w:r>
    </w:p>
    <w:p w14:paraId="6B6B4C13" w14:textId="77777777" w:rsidR="00197D57" w:rsidRPr="0061511A" w:rsidRDefault="00197D57" w:rsidP="00197D57">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lastRenderedPageBreak/>
        <w:t>Formato de personal comisionado, donde se advierte que la servidora pública requerida está adscrita al Ayuntamiento de la Paz, y fue comisionada a la Coordinación de Psicología en el Sistema Municipal DIF La Paz.</w:t>
      </w:r>
    </w:p>
    <w:p w14:paraId="0E525663" w14:textId="77777777" w:rsidR="00197D57" w:rsidRPr="0061511A" w:rsidRDefault="00197D57" w:rsidP="00197D57">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Ficha curricular de la servidora pública requerida.</w:t>
      </w:r>
    </w:p>
    <w:p w14:paraId="07C8D395" w14:textId="77777777" w:rsidR="00197D57" w:rsidRPr="0061511A" w:rsidRDefault="00197D57" w:rsidP="00197D57">
      <w:pPr>
        <w:pStyle w:val="Prrafodelista"/>
        <w:numPr>
          <w:ilvl w:val="0"/>
          <w:numId w:val="25"/>
        </w:num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Manual de Organización del Sistema Municipal DIF de la Paz.</w:t>
      </w:r>
    </w:p>
    <w:p w14:paraId="1D878509" w14:textId="082E8CDB" w:rsidR="00FB23C1" w:rsidRPr="0061511A" w:rsidRDefault="00FB23C1" w:rsidP="00FB23C1">
      <w:pPr>
        <w:spacing w:before="240" w:after="24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En ese sentido, ya que el estudio de la competencia tiene por objeto determinar si los Sujetos Obligados generan, poseen o administran  la información solicitada, debe indicarse que en aquellos casos en que estos han asumido la competencia, sería ocioso y a nada práctico nos conduciría su estudio, ya que, se insiste, </w:t>
      </w:r>
      <w:r w:rsidRPr="0061511A">
        <w:rPr>
          <w:rFonts w:ascii="Palatino Linotype" w:eastAsia="Palatino Linotype" w:hAnsi="Palatino Linotype" w:cs="Palatino Linotype"/>
          <w:b/>
          <w:bCs/>
          <w:sz w:val="22"/>
          <w:szCs w:val="22"/>
        </w:rPr>
        <w:t>el ente obligado</w:t>
      </w:r>
      <w:r w:rsidRPr="0061511A">
        <w:rPr>
          <w:rFonts w:ascii="Palatino Linotype" w:eastAsia="Palatino Linotype" w:hAnsi="Palatino Linotype" w:cs="Palatino Linotype"/>
          <w:sz w:val="22"/>
          <w:szCs w:val="22"/>
        </w:rPr>
        <w:t xml:space="preserve"> </w:t>
      </w:r>
      <w:r w:rsidRPr="0061511A">
        <w:rPr>
          <w:rFonts w:ascii="Palatino Linotype" w:eastAsia="Palatino Linotype" w:hAnsi="Palatino Linotype" w:cs="Palatino Linotype"/>
          <w:b/>
          <w:bCs/>
          <w:sz w:val="22"/>
          <w:szCs w:val="22"/>
          <w:u w:val="single"/>
        </w:rPr>
        <w:t>asumió la competencia referida</w:t>
      </w:r>
      <w:r w:rsidRPr="0061511A">
        <w:rPr>
          <w:rFonts w:ascii="Palatino Linotype" w:eastAsia="Palatino Linotype" w:hAnsi="Palatino Linotype" w:cs="Palatino Linotype"/>
          <w:sz w:val="22"/>
          <w:szCs w:val="22"/>
        </w:rPr>
        <w:t>, motivo por el cual se actualiza el supuesto previsto en el artículo 12 de la legislación aplicable en la materia, citado con antelación.</w:t>
      </w:r>
    </w:p>
    <w:p w14:paraId="730777F8" w14:textId="55108153" w:rsidR="00FB23C1" w:rsidRPr="0061511A" w:rsidRDefault="00FB23C1" w:rsidP="00FB23C1">
      <w:pPr>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Asimismo, es imprescindible mencionar que el </w:t>
      </w:r>
      <w:r w:rsidRPr="0061511A">
        <w:rPr>
          <w:rFonts w:ascii="Palatino Linotype" w:eastAsia="Palatino Linotype" w:hAnsi="Palatino Linotype" w:cs="Palatino Linotype"/>
          <w:b/>
          <w:bCs/>
          <w:sz w:val="22"/>
          <w:szCs w:val="22"/>
        </w:rPr>
        <w:t xml:space="preserve">Sujeto Obligado </w:t>
      </w:r>
      <w:r w:rsidRPr="0061511A">
        <w:rPr>
          <w:rFonts w:ascii="Palatino Linotype" w:eastAsia="Palatino Linotype" w:hAnsi="Palatino Linotype" w:cs="Palatino Linotype"/>
          <w:sz w:val="22"/>
          <w:szCs w:val="22"/>
        </w:rPr>
        <w:t xml:space="preserve">asumió la existencia de la información peticionada, tan es así que el servidor público habilitado competente proporcionó los documentos que dan cuenta </w:t>
      </w:r>
      <w:r w:rsidR="00197D57" w:rsidRPr="0061511A">
        <w:rPr>
          <w:rFonts w:ascii="Palatino Linotype" w:eastAsia="Palatino Linotype" w:hAnsi="Palatino Linotype" w:cs="Palatino Linotype"/>
          <w:sz w:val="22"/>
          <w:szCs w:val="22"/>
        </w:rPr>
        <w:t>de lo requerido.</w:t>
      </w:r>
    </w:p>
    <w:p w14:paraId="3BA585C7" w14:textId="191DFA41" w:rsidR="00197D57" w:rsidRPr="0061511A" w:rsidRDefault="00197D57" w:rsidP="00FB23C1">
      <w:pPr>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En ese sentido, se obvia el análisis de la fuente obligacional de la información requerida, ya que el ente obligado asume conocer de la misma.</w:t>
      </w:r>
    </w:p>
    <w:p w14:paraId="753E2BA2" w14:textId="796CC6F5" w:rsidR="00197D57" w:rsidRPr="0061511A" w:rsidRDefault="00197D57" w:rsidP="00FB23C1">
      <w:pPr>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Por lo que, atendiendo que en el caso dicha información no pudo ponerse a la vista de la parte </w:t>
      </w:r>
      <w:r w:rsidRPr="0061511A">
        <w:rPr>
          <w:rFonts w:ascii="Palatino Linotype" w:eastAsia="Palatino Linotype" w:hAnsi="Palatino Linotype" w:cs="Palatino Linotype"/>
          <w:b/>
          <w:sz w:val="22"/>
          <w:szCs w:val="22"/>
        </w:rPr>
        <w:t xml:space="preserve">Recurrente </w:t>
      </w:r>
      <w:r w:rsidRPr="0061511A">
        <w:rPr>
          <w:rFonts w:ascii="Palatino Linotype" w:eastAsia="Palatino Linotype" w:hAnsi="Palatino Linotype" w:cs="Palatino Linotype"/>
          <w:sz w:val="22"/>
          <w:szCs w:val="22"/>
        </w:rPr>
        <w:t>en razón de que en el archivo que contenía la misma se adjuntó una cédula profesional cuya información confidencial no fue protegida de manera permanente, en cumplimiento a la presente se deberá hacer entrega, respecto de la servidora pública referida en la solicitud, lo siguiente:</w:t>
      </w:r>
    </w:p>
    <w:p w14:paraId="42996A1A" w14:textId="1E10DC5C" w:rsidR="00197D57" w:rsidRPr="0061511A" w:rsidRDefault="00197D57" w:rsidP="00197D57">
      <w:pPr>
        <w:pStyle w:val="Prrafodelista"/>
        <w:numPr>
          <w:ilvl w:val="0"/>
          <w:numId w:val="25"/>
        </w:numPr>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Los documentos remitidos en informe justificado que dan cuenta de lo siguiente:</w:t>
      </w:r>
    </w:p>
    <w:p w14:paraId="07E27890" w14:textId="3AE3A132" w:rsidR="00197D57" w:rsidRPr="0061511A" w:rsidRDefault="00197D57" w:rsidP="00197D57">
      <w:pPr>
        <w:pStyle w:val="Prrafodelista"/>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lastRenderedPageBreak/>
        <w:t>-Fecha de ingreso o inicio en la comisión;</w:t>
      </w:r>
    </w:p>
    <w:p w14:paraId="49ABD47A" w14:textId="469A1A16" w:rsidR="00197D57" w:rsidRPr="0061511A" w:rsidRDefault="00197D57" w:rsidP="00197D57">
      <w:pPr>
        <w:pStyle w:val="Prrafodelista"/>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-Ficha curricular;</w:t>
      </w:r>
    </w:p>
    <w:p w14:paraId="20E7A1B9" w14:textId="1301F0EC" w:rsidR="00197D57" w:rsidRPr="0061511A" w:rsidRDefault="00197D57" w:rsidP="00197D57">
      <w:pPr>
        <w:pStyle w:val="Prrafodelista"/>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-Documento que </w:t>
      </w:r>
      <w:r w:rsidR="0027587D" w:rsidRPr="0061511A">
        <w:rPr>
          <w:rFonts w:ascii="Palatino Linotype" w:eastAsia="Palatino Linotype" w:hAnsi="Palatino Linotype" w:cs="Palatino Linotype"/>
          <w:sz w:val="22"/>
          <w:szCs w:val="22"/>
        </w:rPr>
        <w:t>da</w:t>
      </w:r>
      <w:r w:rsidRPr="0061511A">
        <w:rPr>
          <w:rFonts w:ascii="Palatino Linotype" w:eastAsia="Palatino Linotype" w:hAnsi="Palatino Linotype" w:cs="Palatino Linotype"/>
          <w:sz w:val="22"/>
          <w:szCs w:val="22"/>
        </w:rPr>
        <w:t xml:space="preserve"> cuenta de las funciones asignadas;</w:t>
      </w:r>
      <w:r w:rsidR="0027587D" w:rsidRPr="0061511A">
        <w:rPr>
          <w:rFonts w:ascii="Palatino Linotype" w:eastAsia="Palatino Linotype" w:hAnsi="Palatino Linotype" w:cs="Palatino Linotype"/>
          <w:sz w:val="22"/>
          <w:szCs w:val="22"/>
        </w:rPr>
        <w:t xml:space="preserve"> y</w:t>
      </w:r>
    </w:p>
    <w:p w14:paraId="5FB49C13" w14:textId="37496EAA" w:rsidR="00197D57" w:rsidRPr="0061511A" w:rsidRDefault="00197D57" w:rsidP="00197D57">
      <w:pPr>
        <w:pStyle w:val="Prrafodelista"/>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-Horario o jornada laboral.</w:t>
      </w:r>
    </w:p>
    <w:p w14:paraId="76EFD30A" w14:textId="6DBC2B7E" w:rsidR="00FB23C1" w:rsidRPr="0061511A" w:rsidRDefault="0027587D" w:rsidP="0027587D">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Finalmente, con relación al requerimiento relativo a las capacitaciones a las que ha asistido, es de mencionar que el servidor público habilitado competente fue omiso en pronunciarse al respecto, por lo que su informe justificado no cumplió en su totalidad con el principio de congruencia y exhaustividad.</w:t>
      </w:r>
    </w:p>
    <w:p w14:paraId="66DD5FEE" w14:textId="77777777" w:rsidR="0027587D" w:rsidRPr="0061511A" w:rsidRDefault="0027587D" w:rsidP="0027587D">
      <w:pPr>
        <w:spacing w:line="360" w:lineRule="auto"/>
        <w:jc w:val="both"/>
        <w:rPr>
          <w:rFonts w:ascii="Palatino Linotype" w:eastAsia="Palatino Linotype" w:hAnsi="Palatino Linotype" w:cs="Palatino Linotype"/>
          <w:sz w:val="22"/>
          <w:szCs w:val="22"/>
        </w:rPr>
      </w:pPr>
    </w:p>
    <w:p w14:paraId="7AA76B14" w14:textId="77777777" w:rsidR="0027587D" w:rsidRPr="0061511A" w:rsidRDefault="0027587D" w:rsidP="0027587D">
      <w:pPr>
        <w:spacing w:line="360" w:lineRule="auto"/>
        <w:jc w:val="both"/>
        <w:rPr>
          <w:rFonts w:ascii="Palatino Linotype" w:eastAsia="Palatino Linotype" w:hAnsi="Palatino Linotype" w:cs="Palatino Linotype"/>
          <w:sz w:val="22"/>
        </w:rPr>
      </w:pPr>
      <w:r w:rsidRPr="0061511A">
        <w:rPr>
          <w:rFonts w:ascii="Palatino Linotype" w:eastAsia="Palatino Linotype" w:hAnsi="Palatino Linotype" w:cs="Palatino Linotype"/>
          <w:sz w:val="22"/>
        </w:rPr>
        <w:t>Por lo que, resulta dable traer a colación lo que establece el Criterio orientador 02/17 emitido por el entonces Instituto Nacional de Transparencia, Acceso a la Información y Protección de Datos Personales el cual establece lo siguiente:</w:t>
      </w:r>
    </w:p>
    <w:p w14:paraId="03C3D03C" w14:textId="77777777" w:rsidR="0027587D" w:rsidRPr="0061511A" w:rsidRDefault="0027587D" w:rsidP="0027587D">
      <w:pPr>
        <w:spacing w:line="360" w:lineRule="auto"/>
        <w:jc w:val="both"/>
        <w:rPr>
          <w:rFonts w:ascii="Palatino Linotype" w:eastAsia="Palatino Linotype" w:hAnsi="Palatino Linotype" w:cs="Palatino Linotype"/>
          <w:sz w:val="22"/>
        </w:rPr>
      </w:pPr>
    </w:p>
    <w:p w14:paraId="0A184BEB" w14:textId="77777777" w:rsidR="0027587D" w:rsidRPr="0061511A" w:rsidRDefault="0027587D" w:rsidP="0027587D">
      <w:pPr>
        <w:ind w:left="567" w:right="701"/>
        <w:jc w:val="both"/>
        <w:rPr>
          <w:rFonts w:ascii="Palatino Linotype" w:eastAsia="Palatino Linotype" w:hAnsi="Palatino Linotype" w:cs="Palatino Linotype"/>
          <w:i/>
          <w:sz w:val="22"/>
        </w:rPr>
      </w:pPr>
      <w:r w:rsidRPr="0061511A">
        <w:rPr>
          <w:rFonts w:ascii="Palatino Linotype" w:eastAsia="Palatino Linotype" w:hAnsi="Palatino Linotype" w:cs="Palatino Linotype"/>
          <w:b/>
          <w:i/>
          <w:sz w:val="22"/>
        </w:rPr>
        <w:t>Congruencia y exhaustividad. Sus alcances para garantizar el derecho de acceso a la información.</w:t>
      </w:r>
      <w:r w:rsidRPr="0061511A">
        <w:rPr>
          <w:rFonts w:ascii="Palatino Linotype" w:eastAsia="Palatino Linotype" w:hAnsi="Palatino Linotype" w:cs="Palatino Linotype"/>
          <w:i/>
          <w:sz w:val="22"/>
        </w:rPr>
        <w:t xml:space="preserve">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 Por lo anterior, los sujetos obligados cumplirán con los principios de congruencia y exhaustividad, cuando las respuestas que emitan guarden una relación lógica con lo solicitado y atiendan de manera puntual y expresa, cada uno de los contenidos de información.</w:t>
      </w:r>
    </w:p>
    <w:p w14:paraId="612519BC" w14:textId="77777777" w:rsidR="0027587D" w:rsidRPr="0061511A" w:rsidRDefault="0027587D" w:rsidP="0027587D">
      <w:pPr>
        <w:spacing w:line="360" w:lineRule="auto"/>
        <w:ind w:left="567" w:right="701"/>
        <w:jc w:val="both"/>
        <w:rPr>
          <w:rFonts w:ascii="Palatino Linotype" w:eastAsia="Palatino Linotype" w:hAnsi="Palatino Linotype" w:cs="Palatino Linotype"/>
          <w:i/>
          <w:sz w:val="22"/>
        </w:rPr>
      </w:pPr>
    </w:p>
    <w:p w14:paraId="6759374F" w14:textId="4CF7BED4" w:rsidR="0027587D" w:rsidRPr="0061511A" w:rsidRDefault="0027587D" w:rsidP="0027587D">
      <w:pPr>
        <w:spacing w:line="360" w:lineRule="auto"/>
        <w:ind w:right="-93"/>
        <w:jc w:val="both"/>
        <w:rPr>
          <w:rFonts w:ascii="Palatino Linotype" w:eastAsia="Palatino Linotype" w:hAnsi="Palatino Linotype" w:cs="Palatino Linotype"/>
          <w:sz w:val="22"/>
        </w:rPr>
      </w:pPr>
      <w:r w:rsidRPr="0061511A">
        <w:rPr>
          <w:rFonts w:ascii="Palatino Linotype" w:eastAsia="Palatino Linotype" w:hAnsi="Palatino Linotype" w:cs="Palatino Linotype"/>
          <w:sz w:val="22"/>
        </w:rPr>
        <w:t xml:space="preserve">Es así, que los sujetos obligados para garantizar el derecho de acceso a la Información, deberán cumplir con los principios de exhaustividad y congruencia, esto es, que la </w:t>
      </w:r>
      <w:r w:rsidRPr="0061511A">
        <w:rPr>
          <w:rFonts w:ascii="Palatino Linotype" w:eastAsia="Palatino Linotype" w:hAnsi="Palatino Linotype" w:cs="Palatino Linotype"/>
          <w:sz w:val="22"/>
        </w:rPr>
        <w:lastRenderedPageBreak/>
        <w:t xml:space="preserve">congruencia implica que exista concordancia entre el requerimiento formulado por el particular y la respuesta proporcionada por el sujeto obligado, mientras que la exhaustividad establece que el sujeto obligado deberá atender de manera expresa cada uno de los puntos solicitados, situación que en el presente caso </w:t>
      </w:r>
      <w:r w:rsidRPr="0061511A">
        <w:rPr>
          <w:rFonts w:ascii="Palatino Linotype" w:eastAsia="Palatino Linotype" w:hAnsi="Palatino Linotype" w:cs="Palatino Linotype"/>
          <w:b/>
          <w:sz w:val="22"/>
          <w:u w:val="single"/>
        </w:rPr>
        <w:t>no aconteció</w:t>
      </w:r>
      <w:r w:rsidRPr="0061511A">
        <w:rPr>
          <w:rFonts w:ascii="Palatino Linotype" w:eastAsia="Palatino Linotype" w:hAnsi="Palatino Linotype" w:cs="Palatino Linotype"/>
          <w:sz w:val="22"/>
        </w:rPr>
        <w:t>, pues el Sujeto Obligado omitió dar atención a todos los puntos de la solicitud.</w:t>
      </w:r>
    </w:p>
    <w:p w14:paraId="64ABAEC2" w14:textId="77777777" w:rsidR="0027587D" w:rsidRPr="0061511A" w:rsidRDefault="0027587D" w:rsidP="0027587D">
      <w:pPr>
        <w:spacing w:line="360" w:lineRule="auto"/>
        <w:ind w:right="-93"/>
        <w:jc w:val="both"/>
        <w:rPr>
          <w:rFonts w:ascii="Palatino Linotype" w:eastAsia="Palatino Linotype" w:hAnsi="Palatino Linotype" w:cs="Palatino Linotype"/>
          <w:sz w:val="22"/>
        </w:rPr>
      </w:pPr>
    </w:p>
    <w:p w14:paraId="295C393F" w14:textId="47ED3957" w:rsidR="0027587D" w:rsidRPr="0061511A" w:rsidRDefault="0027587D" w:rsidP="0027587D">
      <w:pPr>
        <w:spacing w:line="360" w:lineRule="auto"/>
        <w:ind w:right="-93"/>
        <w:jc w:val="both"/>
        <w:rPr>
          <w:rFonts w:ascii="Palatino Linotype" w:eastAsia="Palatino Linotype" w:hAnsi="Palatino Linotype" w:cs="Palatino Linotype"/>
          <w:sz w:val="22"/>
        </w:rPr>
      </w:pPr>
      <w:r w:rsidRPr="0061511A">
        <w:rPr>
          <w:rFonts w:ascii="Palatino Linotype" w:eastAsia="Palatino Linotype" w:hAnsi="Palatino Linotype" w:cs="Palatino Linotype"/>
          <w:sz w:val="22"/>
        </w:rPr>
        <w:t xml:space="preserve">Situación por la que no puede tenerse por colmado este punto y resulta procedente ordenar, previa búsqueda exhaustiva y razonable, </w:t>
      </w:r>
      <w:r w:rsidRPr="0061511A">
        <w:rPr>
          <w:rFonts w:ascii="Palatino Linotype" w:eastAsia="Palatino Linotype" w:hAnsi="Palatino Linotype" w:cs="Palatino Linotype"/>
          <w:b/>
          <w:sz w:val="22"/>
        </w:rPr>
        <w:t>de ser procedente en versión pública, los documentos que den cuenta de las capacitaciones a las que ha asistido la servidora pública al cinco de febrero de dos mil veintiséis.</w:t>
      </w:r>
    </w:p>
    <w:p w14:paraId="787322AE" w14:textId="77777777" w:rsidR="0027587D" w:rsidRPr="0061511A" w:rsidRDefault="0027587D" w:rsidP="0027587D">
      <w:pPr>
        <w:spacing w:line="360" w:lineRule="auto"/>
        <w:ind w:right="-93"/>
        <w:jc w:val="both"/>
        <w:rPr>
          <w:rFonts w:ascii="Palatino Linotype" w:eastAsia="Palatino Linotype" w:hAnsi="Palatino Linotype" w:cs="Palatino Linotype"/>
          <w:sz w:val="22"/>
        </w:rPr>
      </w:pPr>
    </w:p>
    <w:p w14:paraId="78450DA8" w14:textId="4211771B" w:rsidR="0027587D" w:rsidRPr="0061511A" w:rsidRDefault="0027587D" w:rsidP="0027587D">
      <w:pPr>
        <w:spacing w:before="240" w:after="240" w:line="360" w:lineRule="auto"/>
        <w:ind w:right="49"/>
        <w:jc w:val="both"/>
        <w:rPr>
          <w:rFonts w:ascii="Palatino Linotype" w:eastAsia="Palatino Linotype" w:hAnsi="Palatino Linotype" w:cs="Palatino Linotype"/>
          <w:iCs/>
          <w:sz w:val="22"/>
          <w:szCs w:val="22"/>
        </w:rPr>
      </w:pPr>
      <w:r w:rsidRPr="0061511A">
        <w:rPr>
          <w:rFonts w:ascii="Palatino Linotype" w:eastAsia="Palatino Linotype" w:hAnsi="Palatino Linotype" w:cs="Palatino Linotype"/>
          <w:sz w:val="22"/>
          <w:szCs w:val="22"/>
        </w:rPr>
        <w:t xml:space="preserve">Sin embargo, toda vez que no se localizó fuente obligacional que constriña a la servidora pública a contar con una capacitación para el cargo que ostenta, y para su comisión al Sujeto Obligado; para el caso de que la información que se ordena entregar no obre en los archivos del Sujeto Obligado, por no haberse poseído o administrado, bastará con hacerlo del conocimiento del Particular en términos del artículo 19, párrafo segundo, de la Ley de Transparencia y Acceso a la Información Pública del Estado de México y Municipios, para tenerse por colmado dicho requerimiento. </w:t>
      </w:r>
    </w:p>
    <w:p w14:paraId="03FF3FC0" w14:textId="77777777" w:rsidR="005B0F96" w:rsidRPr="0061511A" w:rsidRDefault="005B0F96" w:rsidP="005B0F96">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Finalmente, es de señalar que, como ya se mencionó el </w:t>
      </w:r>
      <w:r w:rsidRPr="0061511A">
        <w:rPr>
          <w:rFonts w:ascii="Palatino Linotype" w:eastAsia="Palatino Linotype" w:hAnsi="Palatino Linotype" w:cs="Palatino Linotype"/>
          <w:b/>
          <w:bCs/>
          <w:sz w:val="22"/>
          <w:szCs w:val="22"/>
        </w:rPr>
        <w:t>Sujeto Obligado</w:t>
      </w:r>
      <w:r w:rsidRPr="0061511A">
        <w:rPr>
          <w:rFonts w:ascii="Palatino Linotype" w:eastAsia="Palatino Linotype" w:hAnsi="Palatino Linotype" w:cs="Palatino Linotype"/>
          <w:sz w:val="22"/>
          <w:szCs w:val="22"/>
        </w:rPr>
        <w:t xml:space="preserve">, omitió proporcionar la respuesta a la solicitud de acceso a la información pública, en el término contemplado en el ya citado artículo 163 de la ley de la materia, razón por la que, en términos de lo previsto en el artículo 190 de la Ley de Transparencia y Acceso a la Información Pública del Estado de México y Municipios, se </w:t>
      </w:r>
      <w:r w:rsidRPr="0061511A">
        <w:rPr>
          <w:rFonts w:ascii="Palatino Linotype" w:eastAsia="Palatino Linotype" w:hAnsi="Palatino Linotype" w:cs="Palatino Linotype"/>
          <w:b/>
          <w:bCs/>
          <w:sz w:val="22"/>
          <w:szCs w:val="22"/>
        </w:rPr>
        <w:t xml:space="preserve">ORDENA </w:t>
      </w:r>
      <w:r w:rsidRPr="0061511A">
        <w:rPr>
          <w:rFonts w:ascii="Palatino Linotype" w:eastAsia="Palatino Linotype" w:hAnsi="Palatino Linotype" w:cs="Palatino Linotype"/>
          <w:sz w:val="22"/>
          <w:szCs w:val="22"/>
        </w:rPr>
        <w:t xml:space="preserve">dar vista a la Secretaría Técnica del Pleno a efecto de que ejerza las atribuciones previstas en la normatividad aplicable y comunique </w:t>
      </w:r>
      <w:r w:rsidRPr="0061511A">
        <w:rPr>
          <w:rFonts w:ascii="Palatino Linotype" w:eastAsia="Palatino Linotype" w:hAnsi="Palatino Linotype" w:cs="Palatino Linotype"/>
          <w:sz w:val="22"/>
          <w:szCs w:val="22"/>
        </w:rPr>
        <w:lastRenderedPageBreak/>
        <w:t xml:space="preserve">al Órgano Interno de Control Competente para que éste último, en ejercicio de sus atribuciones resuelva lo conducente y determine en su caso el grado de responsabilidad en el incumplimiento de las obligaciones establecidas en la citada ley. </w:t>
      </w:r>
    </w:p>
    <w:p w14:paraId="2D6C80F8" w14:textId="77777777" w:rsidR="0029124C" w:rsidRPr="0061511A" w:rsidRDefault="0029124C" w:rsidP="0029124C">
      <w:pPr>
        <w:spacing w:line="360" w:lineRule="auto"/>
        <w:ind w:right="49"/>
        <w:jc w:val="both"/>
        <w:rPr>
          <w:rFonts w:ascii="Palatino Linotype" w:eastAsia="Palatino Linotype" w:hAnsi="Palatino Linotype" w:cs="Palatino Linotype"/>
          <w:b/>
          <w:sz w:val="22"/>
          <w:szCs w:val="22"/>
        </w:rPr>
      </w:pPr>
    </w:p>
    <w:p w14:paraId="504041F2" w14:textId="77777777" w:rsidR="0029124C" w:rsidRPr="0061511A" w:rsidRDefault="0029124C" w:rsidP="0029124C">
      <w:pPr>
        <w:spacing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sz w:val="22"/>
          <w:szCs w:val="22"/>
        </w:rPr>
        <w:t xml:space="preserve">Quinto. Versión Pública. </w:t>
      </w:r>
      <w:r w:rsidRPr="0061511A">
        <w:rPr>
          <w:rFonts w:ascii="Palatino Linotype" w:eastAsia="Palatino Linotype" w:hAnsi="Palatino Linotype" w:cs="Palatino Linotype"/>
          <w:sz w:val="22"/>
          <w:szCs w:val="22"/>
        </w:rPr>
        <w:t xml:space="preserve">Finalmente para la entrega del soporte documental que deberá proporcionar el </w:t>
      </w:r>
      <w:r w:rsidRPr="0061511A">
        <w:rPr>
          <w:rFonts w:ascii="Palatino Linotype" w:eastAsia="Palatino Linotype" w:hAnsi="Palatino Linotype" w:cs="Palatino Linotype"/>
          <w:b/>
          <w:sz w:val="22"/>
          <w:szCs w:val="22"/>
        </w:rPr>
        <w:t>Sujeto Obligado</w:t>
      </w:r>
      <w:r w:rsidRPr="0061511A">
        <w:rPr>
          <w:rFonts w:ascii="Palatino Linotype" w:eastAsia="Palatino Linotype" w:hAnsi="Palatino Linotype" w:cs="Palatino Linotype"/>
          <w:sz w:val="22"/>
          <w:szCs w:val="22"/>
        </w:rPr>
        <w:t xml:space="preserve"> para dar satisfacción de la derecho humano de acceso a la información de la persona solicitante, deberá considerar que ello no es absoluto, sino que encuentra como excepciones que la información sobre la cual se peticiona el acceso, contenga datos que deban ser clasificados en los términos que la misma Ley de la Materia señala, el </w:t>
      </w:r>
      <w:r w:rsidRPr="0061511A">
        <w:rPr>
          <w:rFonts w:ascii="Palatino Linotype" w:eastAsia="Palatino Linotype" w:hAnsi="Palatino Linotype" w:cs="Palatino Linotype"/>
          <w:b/>
          <w:sz w:val="22"/>
          <w:szCs w:val="22"/>
        </w:rPr>
        <w:t>Sujeto Obligado</w:t>
      </w:r>
      <w:r w:rsidRPr="0061511A">
        <w:rPr>
          <w:rFonts w:ascii="Palatino Linotype" w:eastAsia="Palatino Linotype" w:hAnsi="Palatino Linotype" w:cs="Palatino Linotype"/>
          <w:sz w:val="22"/>
          <w:szCs w:val="22"/>
        </w:rPr>
        <w:t xml:space="preserve"> tendrá que elaborar la versión pública de los documentos que vaya entregar para dar cumplimiento a esta resolución, a fin de satisfacer el derecho de acceso a la información pública de la recurrente sin menoscabar el derecho a la protección de los datos personales de terceros.</w:t>
      </w:r>
    </w:p>
    <w:p w14:paraId="4C2EB9DB" w14:textId="77777777" w:rsidR="0029124C" w:rsidRPr="0061511A" w:rsidRDefault="0029124C" w:rsidP="0029124C">
      <w:pPr>
        <w:spacing w:line="360" w:lineRule="auto"/>
        <w:ind w:right="49"/>
        <w:jc w:val="both"/>
        <w:rPr>
          <w:rFonts w:ascii="Palatino Linotype" w:eastAsia="Palatino Linotype" w:hAnsi="Palatino Linotype" w:cs="Palatino Linotype"/>
          <w:sz w:val="22"/>
          <w:szCs w:val="22"/>
        </w:rPr>
      </w:pPr>
    </w:p>
    <w:p w14:paraId="379CD156" w14:textId="77777777" w:rsidR="0029124C" w:rsidRPr="0061511A" w:rsidRDefault="0029124C" w:rsidP="0029124C">
      <w:pPr>
        <w:spacing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Lo anterior, de conformidad a lo que señalan los artículos 3 fracciones IX, XX, XXI y XLV, 91, 132 fracciones II y III, y 143 fracción I de la Ley de Transparencia y Acceso a la Información Pública del Estado de México y Municipios que establecen:</w:t>
      </w:r>
    </w:p>
    <w:p w14:paraId="1617B4B9"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r w:rsidRPr="0061511A">
        <w:rPr>
          <w:rFonts w:ascii="Palatino Linotype" w:eastAsia="Palatino Linotype" w:hAnsi="Palatino Linotype" w:cs="Palatino Linotype"/>
          <w:b/>
          <w:i/>
          <w:sz w:val="22"/>
          <w:szCs w:val="22"/>
        </w:rPr>
        <w:t>Artículo 3</w:t>
      </w:r>
      <w:r w:rsidRPr="0061511A">
        <w:rPr>
          <w:rFonts w:ascii="Palatino Linotype" w:eastAsia="Palatino Linotype" w:hAnsi="Palatino Linotype" w:cs="Palatino Linotype"/>
          <w:i/>
          <w:sz w:val="22"/>
          <w:szCs w:val="22"/>
        </w:rPr>
        <w:t>. Para los efectos de la presente Ley se entenderá por:</w:t>
      </w:r>
    </w:p>
    <w:p w14:paraId="267CE6F0"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p>
    <w:p w14:paraId="20B454D7"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IX. Datos personales:</w:t>
      </w:r>
      <w:r w:rsidRPr="0061511A">
        <w:rPr>
          <w:rFonts w:ascii="Palatino Linotype" w:eastAsia="Palatino Linotype" w:hAnsi="Palatino Linotype" w:cs="Palatino Linotype"/>
          <w:i/>
          <w:sz w:val="22"/>
          <w:szCs w:val="22"/>
        </w:rPr>
        <w:t xml:space="preserve"> La información concerniente a una persona, identificada o identificable según lo dispuesto por la Ley de Protección de Datos Personales del Estado de México; </w:t>
      </w:r>
    </w:p>
    <w:p w14:paraId="412772CE"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XX. Información clasificada</w:t>
      </w:r>
      <w:r w:rsidRPr="0061511A">
        <w:rPr>
          <w:rFonts w:ascii="Palatino Linotype" w:eastAsia="Palatino Linotype" w:hAnsi="Palatino Linotype" w:cs="Palatino Linotype"/>
          <w:i/>
          <w:sz w:val="22"/>
          <w:szCs w:val="22"/>
        </w:rPr>
        <w:t>: Aquella considerada por la presente Ley como reservada o confidencial;</w:t>
      </w:r>
    </w:p>
    <w:p w14:paraId="216C133E"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XXI. Información confidencial:</w:t>
      </w:r>
      <w:r w:rsidRPr="0061511A">
        <w:rPr>
          <w:rFonts w:ascii="Palatino Linotype" w:eastAsia="Palatino Linotype" w:hAnsi="Palatino Linotype" w:cs="Palatino Linotype"/>
          <w:i/>
          <w:sz w:val="22"/>
          <w:szCs w:val="22"/>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4A2AF329"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lastRenderedPageBreak/>
        <w:t>XLV. Versión pública:</w:t>
      </w:r>
      <w:r w:rsidRPr="0061511A">
        <w:rPr>
          <w:rFonts w:ascii="Palatino Linotype" w:eastAsia="Palatino Linotype" w:hAnsi="Palatino Linotype" w:cs="Palatino Linotype"/>
          <w:i/>
          <w:sz w:val="22"/>
          <w:szCs w:val="22"/>
        </w:rPr>
        <w:t xml:space="preserve"> Documento en el que se elimine, suprime o borra la información clasificada como reservada o confidencial para permitir su acceso.</w:t>
      </w:r>
    </w:p>
    <w:p w14:paraId="6CBF4A3A"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p>
    <w:p w14:paraId="018F8737"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 xml:space="preserve">Artículo 91. </w:t>
      </w:r>
      <w:r w:rsidRPr="0061511A">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7A42EB12"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 xml:space="preserve">Artículo 132. </w:t>
      </w:r>
      <w:r w:rsidRPr="0061511A">
        <w:rPr>
          <w:rFonts w:ascii="Palatino Linotype" w:eastAsia="Palatino Linotype" w:hAnsi="Palatino Linotype" w:cs="Palatino Linotype"/>
          <w:i/>
          <w:sz w:val="22"/>
          <w:szCs w:val="22"/>
        </w:rPr>
        <w:t>La clasificación de la información se llevará a cabo en el momento en que:</w:t>
      </w:r>
    </w:p>
    <w:p w14:paraId="7441042D"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I</w:t>
      </w:r>
      <w:r w:rsidRPr="0061511A">
        <w:rPr>
          <w:rFonts w:ascii="Palatino Linotype" w:eastAsia="Palatino Linotype" w:hAnsi="Palatino Linotype" w:cs="Palatino Linotype"/>
          <w:i/>
          <w:sz w:val="22"/>
          <w:szCs w:val="22"/>
        </w:rPr>
        <w:t>. Se reciba una solicitud de acceso a la información;</w:t>
      </w:r>
    </w:p>
    <w:p w14:paraId="7D4A3AA4"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II</w:t>
      </w:r>
      <w:r w:rsidRPr="0061511A">
        <w:rPr>
          <w:rFonts w:ascii="Palatino Linotype" w:eastAsia="Palatino Linotype" w:hAnsi="Palatino Linotype" w:cs="Palatino Linotype"/>
          <w:i/>
          <w:sz w:val="22"/>
          <w:szCs w:val="22"/>
        </w:rPr>
        <w:t>. Se determine mediante resolución de autoridad competente; o</w:t>
      </w:r>
    </w:p>
    <w:p w14:paraId="23B88F01"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III</w:t>
      </w:r>
      <w:r w:rsidRPr="0061511A">
        <w:rPr>
          <w:rFonts w:ascii="Palatino Linotype" w:eastAsia="Palatino Linotype" w:hAnsi="Palatino Linotype" w:cs="Palatino Linotype"/>
          <w:i/>
          <w:sz w:val="22"/>
          <w:szCs w:val="22"/>
        </w:rPr>
        <w:t>. Se generen versiones públicas para dar cumplimiento a las obligaciones de transparencia previstas en esta Ley.</w:t>
      </w:r>
    </w:p>
    <w:p w14:paraId="7A52E2B7"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p>
    <w:p w14:paraId="58D08003"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Artículo 143</w:t>
      </w:r>
      <w:r w:rsidRPr="0061511A">
        <w:rPr>
          <w:rFonts w:ascii="Palatino Linotype" w:eastAsia="Palatino Linotype" w:hAnsi="Palatino Linotype" w:cs="Palatino Linotype"/>
          <w:i/>
          <w:sz w:val="22"/>
          <w:szCs w:val="22"/>
        </w:rPr>
        <w:t>. Para los efectos de esta Ley se considera información confidencial, la clasificada como tal, de manera permanente, por su naturaleza, cuando:</w:t>
      </w:r>
    </w:p>
    <w:p w14:paraId="51CBE4E8"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I.</w:t>
      </w:r>
      <w:r w:rsidRPr="0061511A">
        <w:rPr>
          <w:rFonts w:ascii="Palatino Linotype" w:eastAsia="Palatino Linotype" w:hAnsi="Palatino Linotype" w:cs="Palatino Linotype"/>
          <w:i/>
          <w:sz w:val="22"/>
          <w:szCs w:val="22"/>
        </w:rPr>
        <w:t xml:space="preserve"> Se refiera a la información privada y los datos personales concernientes a una persona física o jurídico colectiva identificada o identificable;</w:t>
      </w:r>
    </w:p>
    <w:p w14:paraId="16196EC0"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II.</w:t>
      </w:r>
      <w:r w:rsidRPr="0061511A">
        <w:rPr>
          <w:rFonts w:ascii="Palatino Linotype" w:eastAsia="Palatino Linotype" w:hAnsi="Palatino Linotype" w:cs="Palatino Linotype"/>
          <w:i/>
          <w:sz w:val="22"/>
          <w:szCs w:val="22"/>
        </w:rPr>
        <w:t xml:space="preserve"> Los secretos bancario, fiduciario, industrial, comercial, fiscal, bursátil y postal, cuya titularidad corresponda a particulares, sujetos de derecho internacional o a sujetos obligados cuando no involucren el ejercicio de recursos públicos; y</w:t>
      </w:r>
    </w:p>
    <w:p w14:paraId="68BA86C0"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III</w:t>
      </w:r>
      <w:r w:rsidRPr="0061511A">
        <w:rPr>
          <w:rFonts w:ascii="Palatino Linotype" w:eastAsia="Palatino Linotype" w:hAnsi="Palatino Linotype" w:cs="Palatino Linotype"/>
          <w:i/>
          <w:sz w:val="22"/>
          <w:szCs w:val="22"/>
        </w:rPr>
        <w:t>. La que presenten los particulares a los sujetos obligados, de conformidad con lo dispuesto por las leyes o los tratados internacionales.</w:t>
      </w:r>
    </w:p>
    <w:p w14:paraId="56D06D22"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14F79516" w14:textId="77777777" w:rsidR="0029124C" w:rsidRPr="0061511A" w:rsidRDefault="0029124C" w:rsidP="0029124C">
      <w:pPr>
        <w:ind w:left="567"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791F1766"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p>
    <w:p w14:paraId="38D19CEA" w14:textId="77777777" w:rsidR="0029124C" w:rsidRPr="0061511A" w:rsidRDefault="0029124C" w:rsidP="0029124C">
      <w:pPr>
        <w:pBdr>
          <w:top w:val="nil"/>
          <w:left w:val="nil"/>
          <w:bottom w:val="nil"/>
          <w:right w:val="nil"/>
          <w:between w:val="nil"/>
        </w:pBdr>
        <w:spacing w:line="360" w:lineRule="auto"/>
        <w:ind w:right="-150"/>
        <w:jc w:val="both"/>
        <w:rPr>
          <w:rFonts w:ascii="Palatino Linotype" w:eastAsia="Palatino Linotype" w:hAnsi="Palatino Linotype" w:cs="Palatino Linotype"/>
          <w:sz w:val="22"/>
        </w:rPr>
      </w:pPr>
      <w:r w:rsidRPr="0061511A">
        <w:rPr>
          <w:rFonts w:ascii="Palatino Linotype" w:eastAsia="Palatino Linotype" w:hAnsi="Palatino Linotype" w:cs="Palatino Linotype"/>
          <w:sz w:val="22"/>
        </w:rPr>
        <w:t>No obstante, lo anterior, por el tipo de documentales requeridos por la persona solicitante, por su naturaleza puede contener datos personales de índole confidencial, además de los indicados en el considerando anterior, los siguientes:</w:t>
      </w:r>
    </w:p>
    <w:p w14:paraId="5C7D9665" w14:textId="77777777" w:rsidR="0029124C" w:rsidRPr="0061511A" w:rsidRDefault="0029124C" w:rsidP="0029124C">
      <w:pPr>
        <w:numPr>
          <w:ilvl w:val="0"/>
          <w:numId w:val="30"/>
        </w:numPr>
        <w:pBdr>
          <w:top w:val="nil"/>
          <w:left w:val="nil"/>
          <w:bottom w:val="nil"/>
          <w:right w:val="nil"/>
          <w:between w:val="nil"/>
        </w:pBdr>
        <w:spacing w:before="240" w:line="360" w:lineRule="auto"/>
        <w:ind w:left="284" w:hanging="284"/>
        <w:jc w:val="both"/>
        <w:rPr>
          <w:rFonts w:ascii="Palatino Linotype" w:eastAsia="Palatino Linotype" w:hAnsi="Palatino Linotype" w:cs="Palatino Linotype"/>
          <w:b/>
          <w:sz w:val="22"/>
        </w:rPr>
      </w:pPr>
      <w:r w:rsidRPr="0061511A">
        <w:rPr>
          <w:rFonts w:ascii="Palatino Linotype" w:eastAsia="Palatino Linotype" w:hAnsi="Palatino Linotype" w:cs="Palatino Linotype"/>
          <w:b/>
          <w:sz w:val="22"/>
        </w:rPr>
        <w:t>El Registro Federal de Contribuyentes (RFC):</w:t>
      </w:r>
    </w:p>
    <w:p w14:paraId="58FF9547" w14:textId="77777777" w:rsidR="0029124C" w:rsidRPr="0061511A" w:rsidRDefault="0029124C" w:rsidP="0029124C">
      <w:pPr>
        <w:spacing w:line="360" w:lineRule="auto"/>
        <w:ind w:right="49"/>
        <w:jc w:val="both"/>
        <w:rPr>
          <w:rFonts w:ascii="Palatino Linotype" w:eastAsia="Palatino Linotype" w:hAnsi="Palatino Linotype" w:cs="Palatino Linotype"/>
          <w:sz w:val="22"/>
        </w:rPr>
      </w:pPr>
    </w:p>
    <w:p w14:paraId="600EB6E8" w14:textId="77777777" w:rsidR="0029124C" w:rsidRPr="0061511A" w:rsidRDefault="0029124C" w:rsidP="0029124C">
      <w:pPr>
        <w:spacing w:line="360" w:lineRule="auto"/>
        <w:ind w:right="49"/>
        <w:jc w:val="both"/>
        <w:rPr>
          <w:rFonts w:ascii="Palatino Linotype" w:eastAsia="Palatino Linotype" w:hAnsi="Palatino Linotype" w:cs="Palatino Linotype"/>
          <w:sz w:val="22"/>
        </w:rPr>
      </w:pPr>
      <w:r w:rsidRPr="0061511A">
        <w:rPr>
          <w:rFonts w:ascii="Palatino Linotype" w:eastAsia="Palatino Linotype" w:hAnsi="Palatino Linotype" w:cs="Palatino Linotype"/>
          <w:sz w:val="22"/>
        </w:rPr>
        <w:lastRenderedPageBreak/>
        <w:t>El RFC constituye un dato personal, ya que para su obtención es necesario acreditar ante la autoridad fiscal previamente la identidad de la persona, su fecha de nacimiento, entre otros aspectos.</w:t>
      </w:r>
    </w:p>
    <w:p w14:paraId="2F8BD4A0" w14:textId="77777777" w:rsidR="0029124C" w:rsidRPr="0061511A" w:rsidRDefault="0029124C" w:rsidP="0029124C">
      <w:pPr>
        <w:spacing w:line="360" w:lineRule="auto"/>
        <w:ind w:right="49"/>
        <w:jc w:val="both"/>
        <w:rPr>
          <w:rFonts w:ascii="Palatino Linotype" w:eastAsia="Palatino Linotype" w:hAnsi="Palatino Linotype" w:cs="Palatino Linotype"/>
          <w:sz w:val="22"/>
        </w:rPr>
      </w:pPr>
    </w:p>
    <w:p w14:paraId="2268B8A5" w14:textId="77777777" w:rsidR="0029124C" w:rsidRPr="0061511A" w:rsidRDefault="0029124C" w:rsidP="0029124C">
      <w:pPr>
        <w:spacing w:line="360" w:lineRule="auto"/>
        <w:jc w:val="both"/>
        <w:rPr>
          <w:rFonts w:ascii="Palatino Linotype" w:eastAsia="Palatino Linotype" w:hAnsi="Palatino Linotype" w:cs="Palatino Linotype"/>
          <w:sz w:val="22"/>
        </w:rPr>
      </w:pPr>
      <w:r w:rsidRPr="0061511A">
        <w:rPr>
          <w:rFonts w:ascii="Palatino Linotype" w:eastAsia="Palatino Linotype" w:hAnsi="Palatino Linotype" w:cs="Palatino Linotype"/>
          <w:sz w:val="22"/>
        </w:rPr>
        <w:t>Ahora bien, las personas físicas tramitan su inscripción en el registro con el propósito de realizar —mediante esa clave de identificación— operaciones o actividades de naturaleza fiscal, la cual, les permite hacerse identificables respecto de una situación fiscal determinada.</w:t>
      </w:r>
    </w:p>
    <w:p w14:paraId="26806676" w14:textId="77777777" w:rsidR="0029124C" w:rsidRPr="0061511A" w:rsidRDefault="0029124C" w:rsidP="0029124C">
      <w:pPr>
        <w:spacing w:line="360" w:lineRule="auto"/>
        <w:jc w:val="both"/>
        <w:rPr>
          <w:rFonts w:ascii="Palatino Linotype" w:eastAsia="Palatino Linotype" w:hAnsi="Palatino Linotype" w:cs="Palatino Linotype"/>
          <w:sz w:val="22"/>
        </w:rPr>
      </w:pPr>
    </w:p>
    <w:p w14:paraId="26E79283" w14:textId="77777777" w:rsidR="0029124C" w:rsidRPr="0061511A" w:rsidRDefault="0029124C" w:rsidP="0029124C">
      <w:pPr>
        <w:spacing w:line="360" w:lineRule="auto"/>
        <w:jc w:val="both"/>
        <w:rPr>
          <w:rFonts w:ascii="Palatino Linotype" w:eastAsia="Palatino Linotype" w:hAnsi="Palatino Linotype" w:cs="Palatino Linotype"/>
          <w:sz w:val="22"/>
        </w:rPr>
      </w:pPr>
      <w:r w:rsidRPr="0061511A">
        <w:rPr>
          <w:rFonts w:ascii="Palatino Linotype" w:eastAsia="Palatino Linotype" w:hAnsi="Palatino Linotype" w:cs="Palatino Linotype"/>
          <w:sz w:val="22"/>
        </w:rPr>
        <w:t>Lo anterior es compartido por el entonces Instituto Nacional de Transparencia, Acceso a la Información y Protección de Datos (INAI) a través del Criterio orientador 19/17, el cual es del tenor literal siguiente:</w:t>
      </w:r>
    </w:p>
    <w:p w14:paraId="1CEC76AC" w14:textId="77777777" w:rsidR="0029124C" w:rsidRPr="0061511A" w:rsidRDefault="0029124C" w:rsidP="0029124C">
      <w:pPr>
        <w:spacing w:line="360" w:lineRule="auto"/>
        <w:jc w:val="both"/>
        <w:rPr>
          <w:rFonts w:ascii="Palatino Linotype" w:eastAsia="Palatino Linotype" w:hAnsi="Palatino Linotype" w:cs="Palatino Linotype"/>
          <w:sz w:val="22"/>
        </w:rPr>
      </w:pPr>
    </w:p>
    <w:p w14:paraId="3691581C" w14:textId="77777777" w:rsidR="0029124C" w:rsidRPr="0061511A" w:rsidRDefault="0029124C" w:rsidP="0029124C">
      <w:pPr>
        <w:ind w:left="851" w:right="902"/>
        <w:jc w:val="both"/>
        <w:rPr>
          <w:rFonts w:ascii="Palatino Linotype" w:eastAsia="Palatino Linotype" w:hAnsi="Palatino Linotype" w:cs="Palatino Linotype"/>
          <w:i/>
          <w:sz w:val="22"/>
        </w:rPr>
      </w:pPr>
      <w:r w:rsidRPr="0061511A">
        <w:rPr>
          <w:rFonts w:ascii="Palatino Linotype" w:eastAsia="Palatino Linotype" w:hAnsi="Palatino Linotype" w:cs="Palatino Linotype"/>
          <w:b/>
          <w:i/>
          <w:sz w:val="22"/>
        </w:rPr>
        <w:t xml:space="preserve">“Registro Federal de Contribuyentes (RFC) de personas físicas. </w:t>
      </w:r>
      <w:r w:rsidRPr="0061511A">
        <w:rPr>
          <w:rFonts w:ascii="Palatino Linotype" w:eastAsia="Palatino Linotype" w:hAnsi="Palatino Linotype" w:cs="Palatino Linotype"/>
          <w:i/>
          <w:sz w:val="22"/>
        </w:rPr>
        <w:t>El RFC es una clave de carácter fiscal, única e irrepetible, que permite identificar al titular, su edad y fecha de nacimiento, por lo que es un dato personal de carácter confidencial.” (Sic)</w:t>
      </w:r>
    </w:p>
    <w:p w14:paraId="00EE09C9" w14:textId="77777777" w:rsidR="0029124C" w:rsidRPr="0061511A" w:rsidRDefault="0029124C" w:rsidP="0029124C">
      <w:pPr>
        <w:ind w:left="851" w:right="902"/>
        <w:jc w:val="both"/>
        <w:rPr>
          <w:rFonts w:ascii="Arial" w:eastAsia="Arial" w:hAnsi="Arial" w:cs="Arial"/>
          <w:sz w:val="22"/>
        </w:rPr>
      </w:pPr>
    </w:p>
    <w:p w14:paraId="46FA0ECE" w14:textId="77777777" w:rsidR="0029124C" w:rsidRPr="0061511A" w:rsidRDefault="0029124C" w:rsidP="0029124C">
      <w:pPr>
        <w:pBdr>
          <w:top w:val="nil"/>
          <w:left w:val="nil"/>
          <w:bottom w:val="nil"/>
          <w:right w:val="nil"/>
          <w:between w:val="nil"/>
        </w:pBdr>
        <w:spacing w:line="360" w:lineRule="auto"/>
        <w:jc w:val="both"/>
        <w:rPr>
          <w:rFonts w:ascii="Palatino Linotype" w:eastAsia="Palatino Linotype" w:hAnsi="Palatino Linotype" w:cs="Palatino Linotype"/>
          <w:sz w:val="22"/>
        </w:rPr>
      </w:pPr>
      <w:r w:rsidRPr="0061511A">
        <w:rPr>
          <w:rFonts w:ascii="Palatino Linotype" w:eastAsia="Palatino Linotype" w:hAnsi="Palatino Linotype" w:cs="Palatino Linotype"/>
          <w:sz w:val="22"/>
        </w:rPr>
        <w:t>Así, el RFC se vincula al nombre de su titular y permite identificar la edad de la persona, su fecha de nacimiento, así como su homoclave, la cual es única e irrepetible y determina la identificación de dicha persona para efectos fiscales, por lo que constituye un dato personal que concierne a una persona física identificada e identificable en términos de los artículos 3, fracción IX de la Ley de Transparencia y Acceso a la Información Pública del Estado de México y Municipios y 4 fracción VII de la Ley de Protección de Datos Personales del Estado de México; por lo que se actualiza la procedencia de la clasificación en términos de los dispuesto por el artículo 143 fracción I de la Ley de la Materia.</w:t>
      </w:r>
    </w:p>
    <w:p w14:paraId="0216C3D1" w14:textId="77777777" w:rsidR="0029124C" w:rsidRPr="0061511A" w:rsidRDefault="0029124C" w:rsidP="0029124C">
      <w:pPr>
        <w:pBdr>
          <w:top w:val="nil"/>
          <w:left w:val="nil"/>
          <w:bottom w:val="nil"/>
          <w:right w:val="nil"/>
          <w:between w:val="nil"/>
        </w:pBdr>
        <w:spacing w:line="360" w:lineRule="auto"/>
        <w:jc w:val="both"/>
        <w:rPr>
          <w:rFonts w:ascii="Palatino Linotype" w:eastAsia="Palatino Linotype" w:hAnsi="Palatino Linotype" w:cs="Palatino Linotype"/>
          <w:sz w:val="22"/>
        </w:rPr>
      </w:pPr>
    </w:p>
    <w:p w14:paraId="369C78B2" w14:textId="77777777" w:rsidR="0029124C" w:rsidRPr="0061511A" w:rsidRDefault="0029124C" w:rsidP="0029124C">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lastRenderedPageBreak/>
        <w:t xml:space="preserve">De igual manera la </w:t>
      </w:r>
      <w:r w:rsidRPr="0061511A">
        <w:rPr>
          <w:rFonts w:ascii="Palatino Linotype" w:eastAsia="Palatino Linotype" w:hAnsi="Palatino Linotype" w:cs="Palatino Linotype"/>
          <w:b/>
          <w:sz w:val="22"/>
          <w:szCs w:val="22"/>
        </w:rPr>
        <w:t>Clave Única de Registro de Población</w:t>
      </w:r>
      <w:r w:rsidRPr="0061511A">
        <w:rPr>
          <w:rFonts w:ascii="Palatino Linotype" w:eastAsia="Palatino Linotype" w:hAnsi="Palatino Linotype" w:cs="Palatino Linotype"/>
          <w:sz w:val="22"/>
          <w:szCs w:val="22"/>
        </w:rPr>
        <w:t xml:space="preserve">, </w:t>
      </w:r>
      <w:r w:rsidRPr="0061511A">
        <w:rPr>
          <w:rFonts w:ascii="Palatino Linotype" w:eastAsia="Palatino Linotype" w:hAnsi="Palatino Linotype" w:cs="Palatino Linotype"/>
          <w:b/>
          <w:sz w:val="22"/>
          <w:szCs w:val="22"/>
        </w:rPr>
        <w:t>CURP,</w:t>
      </w:r>
      <w:r w:rsidRPr="0061511A">
        <w:rPr>
          <w:rFonts w:ascii="Palatino Linotype" w:eastAsia="Palatino Linotype" w:hAnsi="Palatino Linotype" w:cs="Palatino Linotype"/>
          <w:sz w:val="22"/>
          <w:szCs w:val="22"/>
        </w:rPr>
        <w:t xml:space="preserve"> constituye un dato personal, ya que tiene como finalidad registrar a cada una de las personas que integran la población del país, con datos que permitan certificar y acreditar fehacientemente su identidad, en virtud de que se integra por datos personales que únicamente le conciernen a un particular como son su fecha de nacimiento, su nombre, sus apellidos y su lugar de nacimiento; información que permite distinguirlo del resto de los habitantes, por tal motivo, se considera que es de carácter confidencial.</w:t>
      </w:r>
    </w:p>
    <w:p w14:paraId="2BCF0CE6" w14:textId="77777777" w:rsidR="0029124C" w:rsidRPr="0061511A" w:rsidRDefault="0029124C" w:rsidP="0029124C">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Argumento que se sustenta con el criterio orientador con clave de control SO/018/2017 emitido por el entonces Instituto Nacional de Transparencia, Acceso a la Información y Protección de Datos Personales, INAI, el cual refiere:</w:t>
      </w:r>
    </w:p>
    <w:p w14:paraId="412E8AED" w14:textId="77777777" w:rsidR="0029124C" w:rsidRPr="0061511A" w:rsidRDefault="0029124C" w:rsidP="0029124C">
      <w:pPr>
        <w:ind w:left="851" w:right="851"/>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 xml:space="preserve"> “Clave Única de Registro de Población (CURP). </w:t>
      </w:r>
      <w:r w:rsidRPr="0061511A">
        <w:rPr>
          <w:rFonts w:ascii="Palatino Linotype" w:eastAsia="Palatino Linotype" w:hAnsi="Palatino Linotype" w:cs="Palatino Linotype"/>
          <w:i/>
          <w:sz w:val="22"/>
          <w:szCs w:val="22"/>
        </w:rPr>
        <w:t>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w:t>
      </w:r>
    </w:p>
    <w:p w14:paraId="319488DB" w14:textId="77777777" w:rsidR="0029124C" w:rsidRPr="0061511A" w:rsidRDefault="0029124C" w:rsidP="0029124C">
      <w:p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Por lo que respecta a la </w:t>
      </w:r>
      <w:r w:rsidRPr="0061511A">
        <w:rPr>
          <w:rFonts w:ascii="Palatino Linotype" w:eastAsia="Palatino Linotype" w:hAnsi="Palatino Linotype" w:cs="Palatino Linotype"/>
          <w:b/>
          <w:sz w:val="22"/>
          <w:szCs w:val="22"/>
        </w:rPr>
        <w:t>clave de seguridad social</w:t>
      </w:r>
      <w:r w:rsidRPr="0061511A">
        <w:rPr>
          <w:rFonts w:ascii="Palatino Linotype" w:eastAsia="Palatino Linotype" w:hAnsi="Palatino Linotype" w:cs="Palatino Linotype"/>
          <w:sz w:val="22"/>
          <w:szCs w:val="22"/>
        </w:rPr>
        <w:t>, en virtud de que su divulgación no aporta a la transparencia o a la rendición de cuentas y sí provoca una transgresión a la vida privada e intimidad de la persona, esta información también resulta ser de carácter confidencial.</w:t>
      </w:r>
    </w:p>
    <w:p w14:paraId="1CCB00DE" w14:textId="77777777" w:rsidR="0029124C" w:rsidRPr="0061511A" w:rsidRDefault="0029124C" w:rsidP="0029124C">
      <w:pPr>
        <w:pBdr>
          <w:top w:val="nil"/>
          <w:left w:val="nil"/>
          <w:bottom w:val="nil"/>
          <w:right w:val="nil"/>
          <w:between w:val="nil"/>
        </w:pBdr>
        <w:spacing w:line="360" w:lineRule="auto"/>
        <w:jc w:val="both"/>
        <w:rPr>
          <w:rFonts w:ascii="Palatino Linotype" w:eastAsia="Palatino Linotype" w:hAnsi="Palatino Linotype" w:cs="Palatino Linotype"/>
          <w:sz w:val="22"/>
        </w:rPr>
      </w:pPr>
      <w:r w:rsidRPr="0061511A">
        <w:rPr>
          <w:rFonts w:ascii="Palatino Linotype" w:eastAsia="Palatino Linotype" w:hAnsi="Palatino Linotype" w:cs="Palatino Linotype"/>
          <w:sz w:val="22"/>
        </w:rPr>
        <w:t xml:space="preserve">En ese contexto, la dirección o domicilio es el lugar en donde reside habitualmente una persona física, por lo que, permite hacerlo identificable y ubicable, propiciando que pueda ser molestado en su casa o negocio, de este modo, los datos que permiten a cualquier individuo con esfuerzos mínimos identificar el lugar de residencia o de trabajo constituye un dato personal y, por ende, confidencial, ya que incide directamente en la privacidad de personas físicas identificadas y su difusión podría afectar la esfera privada de las mismas. </w:t>
      </w:r>
      <w:r w:rsidRPr="0061511A">
        <w:rPr>
          <w:rFonts w:ascii="Palatino Linotype" w:eastAsia="Palatino Linotype" w:hAnsi="Palatino Linotype" w:cs="Palatino Linotype"/>
          <w:sz w:val="22"/>
        </w:rPr>
        <w:lastRenderedPageBreak/>
        <w:t>Por lo tanto, se actualiza la clasificación del domicilio y su comprobante, de conformidad con la fracción I, del artículo 143 de la Ley de Transparencia y Acceso a la Información Pública del Estado de México y Municipios.</w:t>
      </w:r>
    </w:p>
    <w:p w14:paraId="32ECFB6C"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p>
    <w:p w14:paraId="48762F9B" w14:textId="77777777" w:rsidR="0029124C" w:rsidRPr="0061511A" w:rsidRDefault="0029124C" w:rsidP="0029124C">
      <w:pPr>
        <w:pBdr>
          <w:top w:val="nil"/>
          <w:left w:val="nil"/>
          <w:bottom w:val="nil"/>
          <w:right w:val="nil"/>
          <w:between w:val="nil"/>
        </w:pBdr>
        <w:spacing w:after="200" w:line="360" w:lineRule="auto"/>
        <w:jc w:val="both"/>
        <w:rPr>
          <w:rFonts w:ascii="Palatino Linotype" w:eastAsia="Palatino Linotype" w:hAnsi="Palatino Linotype" w:cs="Palatino Linotype"/>
          <w:sz w:val="22"/>
          <w:szCs w:val="22"/>
        </w:rPr>
      </w:pPr>
      <w:bookmarkStart w:id="6" w:name="_heading=h.44nmlisd9vpp" w:colFirst="0" w:colLast="0"/>
      <w:bookmarkEnd w:id="6"/>
      <w:r w:rsidRPr="0061511A">
        <w:rPr>
          <w:rFonts w:ascii="Palatino Linotype" w:eastAsia="Palatino Linotype" w:hAnsi="Palatino Linotype" w:cs="Palatino Linotype"/>
          <w:b/>
          <w:bCs/>
          <w:sz w:val="22"/>
          <w:szCs w:val="22"/>
        </w:rPr>
        <w:t xml:space="preserve">Sobre la firma de servidores públicos, </w:t>
      </w:r>
      <w:r w:rsidRPr="0061511A">
        <w:rPr>
          <w:rFonts w:ascii="Palatino Linotype" w:eastAsia="Palatino Linotype" w:hAnsi="Palatino Linotype" w:cs="Palatino Linotype"/>
          <w:sz w:val="22"/>
          <w:szCs w:val="22"/>
        </w:rPr>
        <w:t>al tratarse de la escritura gráfica o grafo manuscrito que representa al nombre y apellido(s), o título, que una persona escribe de su propia mano, que tiene fines de identificación, jurídicos, representativos y diplomáticos, a través de los cuales es posible identificar o hacer identificable a su titular, constituye un dato personal que debe ser protegido, sin embargo, en el caso de los servidores públicos, dicho dato es público cuando, en ejercicio de las atribuciones que les fueron conferidas, emiten un acto de autoridad, siendo la firma el medio por el cual se le da validez a dicho acto.</w:t>
      </w:r>
    </w:p>
    <w:p w14:paraId="790D312F"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p>
    <w:p w14:paraId="0A24DD27"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Robustece lo anterior el criterio orientador 02-19 emitido por el Instituto Nacional de Transparencia, Acceso a la Información y Protección de Datos Personales, INAI, el cual refiere:</w:t>
      </w:r>
    </w:p>
    <w:p w14:paraId="4344C50F"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p>
    <w:p w14:paraId="4048AA83" w14:textId="77777777" w:rsidR="0029124C" w:rsidRPr="0061511A" w:rsidRDefault="0029124C" w:rsidP="0029124C">
      <w:pPr>
        <w:pBdr>
          <w:top w:val="nil"/>
          <w:left w:val="nil"/>
          <w:bottom w:val="nil"/>
          <w:right w:val="nil"/>
          <w:between w:val="nil"/>
        </w:pBdr>
        <w:spacing w:line="276" w:lineRule="auto"/>
        <w:ind w:left="567" w:right="-7"/>
        <w:jc w:val="both"/>
        <w:rPr>
          <w:rFonts w:ascii="Palatino Linotype" w:eastAsia="Palatino Linotype" w:hAnsi="Palatino Linotype" w:cs="Palatino Linotype"/>
          <w:i/>
          <w:iCs/>
          <w:sz w:val="22"/>
          <w:szCs w:val="22"/>
        </w:rPr>
      </w:pPr>
      <w:r w:rsidRPr="0061511A">
        <w:rPr>
          <w:rFonts w:ascii="Palatino Linotype" w:eastAsia="Palatino Linotype" w:hAnsi="Palatino Linotype" w:cs="Palatino Linotype"/>
          <w:i/>
          <w:iCs/>
          <w:sz w:val="22"/>
          <w:szCs w:val="22"/>
        </w:rPr>
        <w:t>“</w:t>
      </w:r>
      <w:r w:rsidRPr="0061511A">
        <w:rPr>
          <w:rFonts w:ascii="Palatino Linotype" w:eastAsia="Palatino Linotype" w:hAnsi="Palatino Linotype" w:cs="Palatino Linotype"/>
          <w:b/>
          <w:bCs/>
          <w:i/>
          <w:iCs/>
          <w:sz w:val="22"/>
          <w:szCs w:val="22"/>
        </w:rPr>
        <w:t>Firma y rúbrica de servidores públicos.</w:t>
      </w:r>
      <w:r w:rsidRPr="0061511A">
        <w:rPr>
          <w:rFonts w:ascii="Palatino Linotype" w:eastAsia="Palatino Linotype" w:hAnsi="Palatino Linotype" w:cs="Palatino Linotype"/>
          <w:i/>
          <w:iCs/>
          <w:sz w:val="22"/>
          <w:szCs w:val="22"/>
        </w:rPr>
        <w:t xml:space="preserve"> Si bien la firma y la rúbrica son datos personales confidenciales, cuando un servidor público emite un acto como autoridad, en ejercicio de las funciones que tiene conferidas, la firma o rúbrica mediante la cual se valida dicho acto es pública.”</w:t>
      </w:r>
    </w:p>
    <w:p w14:paraId="3EC24A2B" w14:textId="77777777" w:rsidR="0029124C" w:rsidRPr="0061511A" w:rsidRDefault="0029124C" w:rsidP="0029124C">
      <w:pPr>
        <w:spacing w:line="360" w:lineRule="auto"/>
        <w:ind w:right="-7"/>
        <w:jc w:val="both"/>
        <w:rPr>
          <w:rFonts w:ascii="Palatino Linotype" w:eastAsia="Palatino Linotype" w:hAnsi="Palatino Linotype" w:cs="Palatino Linotype"/>
          <w:sz w:val="22"/>
          <w:szCs w:val="22"/>
        </w:rPr>
      </w:pPr>
    </w:p>
    <w:p w14:paraId="3EA420A6" w14:textId="77777777" w:rsidR="0029124C" w:rsidRPr="0061511A" w:rsidRDefault="0029124C" w:rsidP="0029124C">
      <w:pPr>
        <w:spacing w:line="360" w:lineRule="auto"/>
        <w:ind w:right="-7"/>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Contexto que en el presente asunto, tratándose de documentos que den cuenta de la información curricular no se actualiza por no realizarse el documento en ejercicio de sus funciones de derecho público.</w:t>
      </w:r>
    </w:p>
    <w:p w14:paraId="39854FA8" w14:textId="77777777" w:rsidR="0029124C" w:rsidRPr="0061511A" w:rsidRDefault="0029124C" w:rsidP="0029124C">
      <w:pPr>
        <w:pBdr>
          <w:top w:val="nil"/>
          <w:left w:val="nil"/>
          <w:bottom w:val="nil"/>
          <w:right w:val="nil"/>
          <w:between w:val="nil"/>
        </w:pBdr>
        <w:spacing w:line="360" w:lineRule="auto"/>
        <w:ind w:right="49"/>
        <w:jc w:val="both"/>
        <w:rPr>
          <w:rFonts w:ascii="Palatino Linotype" w:eastAsia="Palatino Linotype" w:hAnsi="Palatino Linotype" w:cs="Palatino Linotype"/>
          <w:b/>
          <w:bCs/>
          <w:sz w:val="22"/>
          <w:szCs w:val="22"/>
        </w:rPr>
      </w:pPr>
    </w:p>
    <w:p w14:paraId="4A4DA138" w14:textId="77777777" w:rsidR="0029124C" w:rsidRPr="0061511A" w:rsidRDefault="0029124C" w:rsidP="0029124C">
      <w:pPr>
        <w:pBdr>
          <w:top w:val="nil"/>
          <w:left w:val="nil"/>
          <w:bottom w:val="nil"/>
          <w:right w:val="nil"/>
          <w:between w:val="nil"/>
        </w:pBdr>
        <w:spacing w:after="20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bCs/>
          <w:sz w:val="22"/>
          <w:szCs w:val="22"/>
        </w:rPr>
        <w:lastRenderedPageBreak/>
        <w:t>Por lo que hace a las fotografías de los servidores públicos</w:t>
      </w:r>
      <w:r w:rsidRPr="0061511A">
        <w:rPr>
          <w:rFonts w:ascii="Palatino Linotype" w:eastAsia="Palatino Linotype" w:hAnsi="Palatino Linotype" w:cs="Palatino Linotype"/>
          <w:sz w:val="22"/>
          <w:szCs w:val="22"/>
        </w:rPr>
        <w:t>, es preciso señalar que estas dan cuenta de las características físicas de los servidores públicos; por lo que, no debe perderse de vista que la imagen personal es la apariencia física, la cual puede ser captada en dibujo, pintura, escultura, fotografía, y video; la imagen así captada puede ser reproducida, publicada y divulgada por diversos medios, desde volantes impresos de la forma más rudimentaria, hasta filmaciones y fotografías transmitidas por televisión cine, video, correo electrónico o Internet.</w:t>
      </w:r>
    </w:p>
    <w:p w14:paraId="1F2EBC3C" w14:textId="77777777" w:rsidR="0029124C" w:rsidRPr="0061511A" w:rsidRDefault="0029124C" w:rsidP="0029124C">
      <w:pPr>
        <w:spacing w:after="20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Así, dichos datos constituyen la reproducción fiel de las características físicas de una persona en un momento determinado, por lo que representan un instrumento de identificación, proyección exterior y factor imprescindible para su propio reconocimiento como sujeto individual; lo que en el presente caso, acreditaría e identificaría a una persona como servidor público, por lo que es posible advertir que existe cierto interés público, cuando la fotografía obra en documentos de servidores públicos vinculados con el cumplimiento de disposiciones legales.</w:t>
      </w:r>
    </w:p>
    <w:p w14:paraId="5EF809EF" w14:textId="77777777" w:rsidR="0029124C" w:rsidRPr="0061511A" w:rsidRDefault="0029124C" w:rsidP="0029124C">
      <w:pPr>
        <w:spacing w:after="20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Además, existen documentos que contienen la fotografía con los cuales se permite identificar que una persona que se acredita como trabajador gubernamental, realmente tiene el cargo con el que se ostenta, otros documentos con los cuales se rinde cuentas a la ciudadanía, por ejemplo cuando se cubre el perfil de puesto; además cuando se brinda servicios a la ciudadanía, es de relevancia conocer e identificar a todos sus trabajadores, no importa el nivel o rango (con excepción del personal operativo en materia de seguridad, respecto del cual el Pleno de este Instituto ya se ha pronunciado en el sentido de que la información que los haga identificados o identificables debe clasificarse como reservada).</w:t>
      </w:r>
    </w:p>
    <w:p w14:paraId="6CA2023E" w14:textId="77777777" w:rsidR="0029124C" w:rsidRPr="0061511A" w:rsidRDefault="0029124C" w:rsidP="0029124C">
      <w:pPr>
        <w:spacing w:after="20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En este sentido, resultan aplicables por analogía, los Criterios 15/17 y 1/13 del Instituto Nacional de Transparencia y Acceso a la Información Pública y Protección de Datos </w:t>
      </w:r>
      <w:r w:rsidRPr="0061511A">
        <w:rPr>
          <w:rFonts w:ascii="Palatino Linotype" w:eastAsia="Palatino Linotype" w:hAnsi="Palatino Linotype" w:cs="Palatino Linotype"/>
          <w:sz w:val="22"/>
          <w:szCs w:val="22"/>
        </w:rPr>
        <w:lastRenderedPageBreak/>
        <w:t>Personales, en los cuales se esgrimen argumentos, que, si bien no refieren de manera específica a fotografías de servidores públicos, sí establecen un criterio para que este dato personal pueda ser considerado como público, cuando se pretende acreditar que una persona es servidor público.</w:t>
      </w:r>
    </w:p>
    <w:p w14:paraId="1E3CFE5C" w14:textId="77777777" w:rsidR="0029124C" w:rsidRPr="0061511A" w:rsidRDefault="0029124C" w:rsidP="0029124C">
      <w:pPr>
        <w:spacing w:after="20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Debe tenerse presente que el actuar de los servidores públicos incide de manera específica en los derechos de los particulares, pues el acto de un servidor público en ejercicio de sus funciones, de manera directa genera derechos y obligaciones pues se considera un acto administrativo o acto de autoridad, por lo que es primordial, que estos trabajadores se identifiquen ante la ciudadanía, por lo que otorgar acceso a los documentos que obran en los archivos de los sujetos obligados y que además están directamente relacionados con el cumplimiento de disposiciones normativas o el ejercicio de funciones revisten un interés público. </w:t>
      </w:r>
    </w:p>
    <w:p w14:paraId="24F6D063" w14:textId="77777777" w:rsidR="0029124C" w:rsidRPr="0061511A" w:rsidRDefault="0029124C" w:rsidP="0029124C">
      <w:pPr>
        <w:spacing w:after="20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Por lo anterior, cuando las fotografías de los servidores públicos obran en documentos que dan cuenta del cumplimiento de funciones, requisitos legales o los acredita como servidores públicos, deben ser consideradas un dato personal, que no puede ser clasificado como confidencial, pues en este caso, es superado por el interés público de conocer si en realidad, la persona que se ostenta en carácter de servidor público, se encuentra en ese encargo, si realiza las funciones o si cumple con los requisitos legales; sin que se considere como factor diferenciador para determinar la publicidad o clasificación el cargo o nivel jerárquico en el que se desempeñe el servidor público.</w:t>
      </w:r>
    </w:p>
    <w:p w14:paraId="2BA52BF3" w14:textId="77777777" w:rsidR="0029124C" w:rsidRPr="0061511A" w:rsidRDefault="0029124C" w:rsidP="0029124C">
      <w:pPr>
        <w:spacing w:after="20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De acuerdo con el argumento planteado, la determinación de esta resolución deja sin efectos el criterio adoptado anteriormente por el Pleno de este Instituto, con número 03/2019, en el que solo se consideraban como públicas las fotografías de mandos medios y/o superiores.</w:t>
      </w:r>
    </w:p>
    <w:p w14:paraId="7A93D5C7" w14:textId="77777777" w:rsidR="0029124C" w:rsidRPr="0061511A" w:rsidRDefault="0029124C" w:rsidP="0029124C">
      <w:pPr>
        <w:spacing w:after="200"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bCs/>
          <w:sz w:val="22"/>
          <w:szCs w:val="22"/>
        </w:rPr>
        <w:lastRenderedPageBreak/>
        <w:t>Conforme a lo anterior, las fotografías de servidores públicos sin importar el nivel o rango guardan la naturaleza de públicas</w:t>
      </w:r>
      <w:r w:rsidRPr="0061511A">
        <w:rPr>
          <w:rFonts w:ascii="Palatino Linotype" w:eastAsia="Palatino Linotype" w:hAnsi="Palatino Linotype" w:cs="Palatino Linotype"/>
          <w:sz w:val="22"/>
          <w:szCs w:val="22"/>
        </w:rPr>
        <w:t xml:space="preserve"> (con excepción del personal operativo en materia de seguridad) y no procede su clasificación, en términos del artículo 143, fracción I, de la Ley de Transparencia y Acceso a la Información Pública del Estado de México y Municipios, por lo que en la versión pública que se ordena, no podrá clasificarse esa información.</w:t>
      </w:r>
    </w:p>
    <w:p w14:paraId="147D1E98"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p>
    <w:p w14:paraId="1F0B64E5"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Igualmente, los Lineamientos Generales en Materia de Clasificación y Desclasificación de la Información, así como para la elaboración de Versiones Públicas, emitidos por el Consejo Nacional del Sistema Nacional de Transparencia, Acceso a la Información Pública y Protección de Datos Personales, publicados en el Diario Oficial de la Federación el día quince de abril de dos mil dieciséis, mismos que se encontraban vigentes a la fecha de la solicitud, tienen por objeto establecer los criterios con base en los cuales los sujetos obligados clasificarán como reservada o confidencial la información que posean, desclasificarán y generarán, en su caso, versiones públicas de expedientes o documentos que contengan partes o secciones clasificadas.</w:t>
      </w:r>
    </w:p>
    <w:p w14:paraId="132A5719"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p>
    <w:p w14:paraId="5A5C0C82"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Entorno a lo que aquí nos interesa, los Lineamientos Quincuagésimo, Quincuagésimo primero, Quincuagésimo segundo, Quincuagésimo cuarto y Quincuagésimo quinto, vigentes a la fecha de la solicitud señalan las formalidades que deberá llevar el acuerdo de clasificación que deberá emitir el </w:t>
      </w:r>
      <w:r w:rsidRPr="0061511A">
        <w:rPr>
          <w:rFonts w:ascii="Palatino Linotype" w:eastAsia="Palatino Linotype" w:hAnsi="Palatino Linotype" w:cs="Palatino Linotype"/>
          <w:b/>
          <w:sz w:val="22"/>
          <w:szCs w:val="22"/>
        </w:rPr>
        <w:t>Sujeto Obligado</w:t>
      </w:r>
      <w:r w:rsidRPr="0061511A">
        <w:rPr>
          <w:rFonts w:ascii="Palatino Linotype" w:eastAsia="Palatino Linotype" w:hAnsi="Palatino Linotype" w:cs="Palatino Linotype"/>
          <w:sz w:val="22"/>
          <w:szCs w:val="22"/>
        </w:rPr>
        <w:t>, siendo estas las siguientes:</w:t>
      </w:r>
    </w:p>
    <w:p w14:paraId="1858BA6F"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p>
    <w:p w14:paraId="1EF4FAAF" w14:textId="77777777" w:rsidR="0029124C" w:rsidRPr="0061511A" w:rsidRDefault="0029124C" w:rsidP="0029124C">
      <w:pPr>
        <w:spacing w:line="276" w:lineRule="auto"/>
        <w:ind w:left="567"/>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 xml:space="preserve">“CAPÍTULO VIII </w:t>
      </w:r>
    </w:p>
    <w:p w14:paraId="3741D48E" w14:textId="77777777" w:rsidR="0029124C" w:rsidRPr="0061511A" w:rsidRDefault="0029124C" w:rsidP="0029124C">
      <w:pPr>
        <w:spacing w:line="276" w:lineRule="auto"/>
        <w:ind w:left="567"/>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 xml:space="preserve">DE LOS ELEMENTOS PARA LA CLASIFICACIÓN </w:t>
      </w:r>
    </w:p>
    <w:p w14:paraId="73842246" w14:textId="77777777" w:rsidR="0029124C" w:rsidRPr="0061511A" w:rsidRDefault="0029124C" w:rsidP="0029124C">
      <w:pPr>
        <w:spacing w:line="276" w:lineRule="auto"/>
        <w:ind w:left="567"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 xml:space="preserve">Quincuagésimo. </w:t>
      </w:r>
      <w:r w:rsidRPr="0061511A">
        <w:rPr>
          <w:rFonts w:ascii="Palatino Linotype" w:eastAsia="Palatino Linotype" w:hAnsi="Palatino Linotype" w:cs="Palatino Linotype"/>
          <w:i/>
          <w:sz w:val="22"/>
          <w:szCs w:val="22"/>
        </w:rPr>
        <w:t xml:space="preserve">Los titulares de las áreas de los sujetos obligados podrán establecer sus propios modelos o formatos para la elaboración de versiones públicas de </w:t>
      </w:r>
      <w:r w:rsidRPr="0061511A">
        <w:rPr>
          <w:rFonts w:ascii="Palatino Linotype" w:eastAsia="Palatino Linotype" w:hAnsi="Palatino Linotype" w:cs="Palatino Linotype"/>
          <w:i/>
          <w:sz w:val="22"/>
          <w:szCs w:val="22"/>
        </w:rPr>
        <w:lastRenderedPageBreak/>
        <w:t xml:space="preserve">documentos o expedientes, siempre y cuando cumplan lo establecido en los presentes Lineamientos, así como en las correspondientes Leyes Generales. </w:t>
      </w:r>
    </w:p>
    <w:p w14:paraId="2F23DDB4" w14:textId="77777777" w:rsidR="0029124C" w:rsidRPr="0061511A" w:rsidRDefault="0029124C" w:rsidP="0029124C">
      <w:pPr>
        <w:spacing w:line="276" w:lineRule="auto"/>
        <w:ind w:left="567"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 xml:space="preserve">Quincuagésimo primero. </w:t>
      </w:r>
      <w:r w:rsidRPr="0061511A">
        <w:rPr>
          <w:rFonts w:ascii="Palatino Linotype" w:eastAsia="Palatino Linotype" w:hAnsi="Palatino Linotype" w:cs="Palatino Linotype"/>
          <w:i/>
          <w:sz w:val="22"/>
          <w:szCs w:val="22"/>
        </w:rPr>
        <w:t xml:space="preserve">Toda acta del Comité de Transparencia deberá contener: </w:t>
      </w:r>
    </w:p>
    <w:p w14:paraId="0DFD090D" w14:textId="77777777" w:rsidR="0029124C" w:rsidRPr="0061511A" w:rsidRDefault="0029124C" w:rsidP="0029124C">
      <w:pPr>
        <w:spacing w:line="276" w:lineRule="auto"/>
        <w:ind w:left="567"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 xml:space="preserve">I. El número de sesión y fecha; </w:t>
      </w:r>
    </w:p>
    <w:p w14:paraId="3F50F637" w14:textId="77777777" w:rsidR="0029124C" w:rsidRPr="0061511A" w:rsidRDefault="0029124C" w:rsidP="0029124C">
      <w:pPr>
        <w:spacing w:line="276" w:lineRule="auto"/>
        <w:ind w:left="567"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 xml:space="preserve">II. El nombre del área que solicitó la clasificación de información; </w:t>
      </w:r>
    </w:p>
    <w:p w14:paraId="20026231" w14:textId="77777777" w:rsidR="0029124C" w:rsidRPr="0061511A" w:rsidRDefault="0029124C" w:rsidP="0029124C">
      <w:pPr>
        <w:spacing w:line="276" w:lineRule="auto"/>
        <w:ind w:left="567"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 xml:space="preserve">III. La fundamentación legal y motivación correspondiente; </w:t>
      </w:r>
    </w:p>
    <w:p w14:paraId="167DACD9" w14:textId="77777777" w:rsidR="0029124C" w:rsidRPr="0061511A" w:rsidRDefault="0029124C" w:rsidP="0029124C">
      <w:pPr>
        <w:spacing w:line="276" w:lineRule="auto"/>
        <w:ind w:left="567"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 xml:space="preserve">IV. La resolución o resoluciones aprobadas; y </w:t>
      </w:r>
    </w:p>
    <w:p w14:paraId="6E5CB967" w14:textId="77777777" w:rsidR="0029124C" w:rsidRPr="0061511A" w:rsidRDefault="0029124C" w:rsidP="0029124C">
      <w:pPr>
        <w:spacing w:line="276" w:lineRule="auto"/>
        <w:ind w:left="567"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 xml:space="preserve">V. La rúbrica o firma digital de cada integrante del Comité de Transparencia. </w:t>
      </w:r>
    </w:p>
    <w:p w14:paraId="76418393" w14:textId="77777777" w:rsidR="0029124C" w:rsidRPr="0061511A" w:rsidRDefault="0029124C" w:rsidP="0029124C">
      <w:pPr>
        <w:spacing w:line="276" w:lineRule="auto"/>
        <w:ind w:left="567"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p>
    <w:p w14:paraId="4A61929E" w14:textId="77777777" w:rsidR="0029124C" w:rsidRPr="0061511A" w:rsidRDefault="0029124C" w:rsidP="0029124C">
      <w:pPr>
        <w:spacing w:line="276" w:lineRule="auto"/>
        <w:ind w:left="567" w:right="900"/>
        <w:jc w:val="both"/>
        <w:rPr>
          <w:rFonts w:ascii="Palatino Linotype" w:eastAsia="Palatino Linotype" w:hAnsi="Palatino Linotype" w:cs="Palatino Linotype"/>
          <w:b/>
          <w:i/>
          <w:sz w:val="22"/>
          <w:szCs w:val="22"/>
          <w:u w:val="single"/>
        </w:rPr>
      </w:pPr>
      <w:r w:rsidRPr="0061511A">
        <w:rPr>
          <w:rFonts w:ascii="Palatino Linotype" w:eastAsia="Palatino Linotype" w:hAnsi="Palatino Linotype" w:cs="Palatino Linotype"/>
          <w:i/>
          <w:sz w:val="22"/>
          <w:szCs w:val="22"/>
        </w:rPr>
        <w:t xml:space="preserve">En los casos de resoluciones del Comité de Transparencia en las que se </w:t>
      </w:r>
      <w:r w:rsidRPr="0061511A">
        <w:rPr>
          <w:rFonts w:ascii="Palatino Linotype" w:eastAsia="Palatino Linotype" w:hAnsi="Palatino Linotype" w:cs="Palatino Linotype"/>
          <w:b/>
          <w:i/>
          <w:sz w:val="22"/>
          <w:szCs w:val="22"/>
          <w:u w:val="single"/>
        </w:rPr>
        <w:t>confirme la clasificación de información confidencial solo se deberán de identificar los tipos de datos protegidos, de conformidad con el lineamiento trigésimo octavo.</w:t>
      </w:r>
    </w:p>
    <w:p w14:paraId="1C4286C0" w14:textId="77777777" w:rsidR="0029124C" w:rsidRPr="0061511A" w:rsidRDefault="0029124C" w:rsidP="0029124C">
      <w:pPr>
        <w:spacing w:line="276" w:lineRule="auto"/>
        <w:ind w:left="567" w:right="900"/>
        <w:jc w:val="both"/>
        <w:rPr>
          <w:rFonts w:ascii="Palatino Linotype" w:eastAsia="Palatino Linotype" w:hAnsi="Palatino Linotype" w:cs="Palatino Linotype"/>
          <w:b/>
          <w:i/>
          <w:sz w:val="22"/>
          <w:szCs w:val="22"/>
        </w:rPr>
      </w:pPr>
      <w:r w:rsidRPr="0061511A">
        <w:rPr>
          <w:rFonts w:ascii="Palatino Linotype" w:eastAsia="Palatino Linotype" w:hAnsi="Palatino Linotype" w:cs="Palatino Linotype"/>
          <w:b/>
          <w:i/>
          <w:sz w:val="22"/>
          <w:szCs w:val="22"/>
        </w:rPr>
        <w:t xml:space="preserve">Quincuagésimo segundo. </w:t>
      </w:r>
      <w:r w:rsidRPr="0061511A">
        <w:rPr>
          <w:rFonts w:ascii="Palatino Linotype" w:eastAsia="Palatino Linotype" w:hAnsi="Palatino Linotype" w:cs="Palatino Linotype"/>
          <w:i/>
          <w:sz w:val="22"/>
          <w:szCs w:val="22"/>
        </w:rPr>
        <w:t xml:space="preserve">Para la clasificación y elaboración de versiones públicas de documentos que contengan información clasificada como reservada o </w:t>
      </w:r>
      <w:r w:rsidRPr="0061511A">
        <w:rPr>
          <w:rFonts w:ascii="Palatino Linotype" w:eastAsia="Palatino Linotype" w:hAnsi="Palatino Linotype" w:cs="Palatino Linotype"/>
          <w:b/>
          <w:i/>
          <w:sz w:val="22"/>
          <w:szCs w:val="22"/>
        </w:rPr>
        <w:t>confidencial,</w:t>
      </w:r>
      <w:r w:rsidRPr="0061511A">
        <w:rPr>
          <w:rFonts w:ascii="Palatino Linotype" w:eastAsia="Palatino Linotype" w:hAnsi="Palatino Linotype" w:cs="Palatino Linotype"/>
          <w:i/>
          <w:sz w:val="22"/>
          <w:szCs w:val="22"/>
        </w:rPr>
        <w:t xml:space="preserve"> las áreas de los sujetos obligados deberán tomar las medidas pertinentes tendientes a asegurar que el espacio utilizado para testar la información no podrá ser empleado para la sobreposición de contenido distinto al autorizado por el Comité.</w:t>
      </w:r>
    </w:p>
    <w:p w14:paraId="3F3834F0" w14:textId="77777777" w:rsidR="0029124C" w:rsidRPr="0061511A" w:rsidRDefault="0029124C" w:rsidP="0029124C">
      <w:pPr>
        <w:spacing w:line="276" w:lineRule="auto"/>
        <w:ind w:left="567"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 xml:space="preserve">En el caso específico de la clasificación y elaboración de versiones públicas de documentos que contengan información confidencial, las áreas de los sujetos obligados deberán: </w:t>
      </w:r>
    </w:p>
    <w:p w14:paraId="6A53B613" w14:textId="77777777" w:rsidR="0029124C" w:rsidRPr="0061511A" w:rsidRDefault="0029124C" w:rsidP="0029124C">
      <w:pPr>
        <w:spacing w:line="276" w:lineRule="auto"/>
        <w:ind w:left="567" w:right="900"/>
        <w:jc w:val="both"/>
        <w:rPr>
          <w:rFonts w:ascii="Palatino Linotype" w:eastAsia="Palatino Linotype" w:hAnsi="Palatino Linotype" w:cs="Palatino Linotype"/>
          <w:b/>
          <w:i/>
          <w:sz w:val="22"/>
          <w:szCs w:val="22"/>
        </w:rPr>
      </w:pPr>
      <w:r w:rsidRPr="0061511A">
        <w:rPr>
          <w:rFonts w:ascii="Palatino Linotype" w:eastAsia="Palatino Linotype" w:hAnsi="Palatino Linotype" w:cs="Palatino Linotype"/>
          <w:b/>
          <w:i/>
          <w:sz w:val="22"/>
          <w:szCs w:val="22"/>
        </w:rPr>
        <w:t xml:space="preserve">I. Fijar la fecha en que se elaboró la versión pública y la fecha en la cual el Comité de Transparencia confirmó dicha versión; </w:t>
      </w:r>
    </w:p>
    <w:p w14:paraId="287CDD68" w14:textId="77777777" w:rsidR="0029124C" w:rsidRPr="0061511A" w:rsidRDefault="0029124C" w:rsidP="0029124C">
      <w:pPr>
        <w:spacing w:line="276" w:lineRule="auto"/>
        <w:ind w:left="567" w:right="900"/>
        <w:jc w:val="both"/>
        <w:rPr>
          <w:rFonts w:ascii="Palatino Linotype" w:eastAsia="Palatino Linotype" w:hAnsi="Palatino Linotype" w:cs="Palatino Linotype"/>
          <w:b/>
          <w:i/>
          <w:sz w:val="22"/>
          <w:szCs w:val="22"/>
        </w:rPr>
      </w:pPr>
      <w:r w:rsidRPr="0061511A">
        <w:rPr>
          <w:rFonts w:ascii="Palatino Linotype" w:eastAsia="Palatino Linotype" w:hAnsi="Palatino Linotype" w:cs="Palatino Linotype"/>
          <w:b/>
          <w:i/>
          <w:sz w:val="22"/>
          <w:szCs w:val="22"/>
        </w:rPr>
        <w:t xml:space="preserve">II. Señalar dentro del documento el tipo de información confidencial que fue testada en cada caso específico, de conformidad con el lineamiento trigésimo octavo; y </w:t>
      </w:r>
    </w:p>
    <w:p w14:paraId="5946A4D7" w14:textId="77777777" w:rsidR="0029124C" w:rsidRPr="0061511A" w:rsidRDefault="0029124C" w:rsidP="0029124C">
      <w:pPr>
        <w:spacing w:line="276" w:lineRule="auto"/>
        <w:ind w:left="567" w:right="900"/>
        <w:jc w:val="both"/>
        <w:rPr>
          <w:rFonts w:ascii="Palatino Linotype" w:eastAsia="Palatino Linotype" w:hAnsi="Palatino Linotype" w:cs="Palatino Linotype"/>
          <w:b/>
          <w:i/>
          <w:sz w:val="22"/>
          <w:szCs w:val="22"/>
        </w:rPr>
      </w:pPr>
      <w:r w:rsidRPr="0061511A">
        <w:rPr>
          <w:rFonts w:ascii="Palatino Linotype" w:eastAsia="Palatino Linotype" w:hAnsi="Palatino Linotype" w:cs="Palatino Linotype"/>
          <w:b/>
          <w:i/>
          <w:sz w:val="22"/>
          <w:szCs w:val="22"/>
        </w:rPr>
        <w:t xml:space="preserve">III. Señalar las personas o instancias autorizadas a acceder a la información clasificada. </w:t>
      </w:r>
    </w:p>
    <w:p w14:paraId="062E9F94" w14:textId="77777777" w:rsidR="0029124C" w:rsidRPr="0061511A" w:rsidRDefault="0029124C" w:rsidP="0029124C">
      <w:pPr>
        <w:spacing w:line="276" w:lineRule="auto"/>
        <w:ind w:left="567"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 xml:space="preserve">En los documentos de difusión electrónica, señalar en la primera hoja y en el nombre del archivo, que la versión pública corresponde a un documento que contiene </w:t>
      </w:r>
      <w:r w:rsidRPr="0061511A">
        <w:rPr>
          <w:rFonts w:ascii="Palatino Linotype" w:eastAsia="Palatino Linotype" w:hAnsi="Palatino Linotype" w:cs="Palatino Linotype"/>
          <w:b/>
          <w:i/>
          <w:sz w:val="22"/>
          <w:szCs w:val="22"/>
          <w:u w:val="single"/>
        </w:rPr>
        <w:t>información confidencial.</w:t>
      </w:r>
      <w:r w:rsidRPr="0061511A">
        <w:rPr>
          <w:rFonts w:ascii="Palatino Linotype" w:eastAsia="Palatino Linotype" w:hAnsi="Palatino Linotype" w:cs="Palatino Linotype"/>
          <w:i/>
          <w:sz w:val="22"/>
          <w:szCs w:val="22"/>
        </w:rPr>
        <w:t xml:space="preserve"> </w:t>
      </w:r>
    </w:p>
    <w:p w14:paraId="45ACB194" w14:textId="77777777" w:rsidR="0029124C" w:rsidRPr="0061511A" w:rsidRDefault="0029124C" w:rsidP="0029124C">
      <w:pPr>
        <w:spacing w:line="276" w:lineRule="auto"/>
        <w:ind w:left="567" w:right="900"/>
        <w:jc w:val="both"/>
        <w:rPr>
          <w:rFonts w:ascii="Palatino Linotype" w:eastAsia="Palatino Linotype" w:hAnsi="Palatino Linotype" w:cs="Palatino Linotype"/>
          <w:b/>
          <w:i/>
          <w:sz w:val="22"/>
          <w:szCs w:val="22"/>
        </w:rPr>
      </w:pPr>
      <w:r w:rsidRPr="0061511A">
        <w:rPr>
          <w:rFonts w:ascii="Palatino Linotype" w:eastAsia="Palatino Linotype" w:hAnsi="Palatino Linotype" w:cs="Palatino Linotype"/>
          <w:b/>
          <w:i/>
          <w:sz w:val="22"/>
          <w:szCs w:val="22"/>
        </w:rPr>
        <w:t>[…]</w:t>
      </w:r>
    </w:p>
    <w:p w14:paraId="0D25592E" w14:textId="77777777" w:rsidR="0029124C" w:rsidRPr="0061511A" w:rsidRDefault="0029124C" w:rsidP="0029124C">
      <w:pPr>
        <w:spacing w:line="276" w:lineRule="auto"/>
        <w:ind w:left="567" w:right="900"/>
        <w:jc w:val="both"/>
        <w:rPr>
          <w:rFonts w:ascii="Palatino Linotype" w:eastAsia="Palatino Linotype" w:hAnsi="Palatino Linotype" w:cs="Palatino Linotype"/>
          <w:b/>
          <w:i/>
          <w:sz w:val="22"/>
          <w:szCs w:val="22"/>
        </w:rPr>
      </w:pPr>
      <w:r w:rsidRPr="0061511A">
        <w:rPr>
          <w:rFonts w:ascii="Palatino Linotype" w:eastAsia="Palatino Linotype" w:hAnsi="Palatino Linotype" w:cs="Palatino Linotype"/>
          <w:b/>
          <w:i/>
          <w:sz w:val="22"/>
          <w:szCs w:val="22"/>
        </w:rPr>
        <w:lastRenderedPageBreak/>
        <w:t xml:space="preserve">Quincuagésimo cuarto. </w:t>
      </w:r>
      <w:r w:rsidRPr="0061511A">
        <w:rPr>
          <w:rFonts w:ascii="Palatino Linotype" w:eastAsia="Palatino Linotype" w:hAnsi="Palatino Linotype" w:cs="Palatino Linotype"/>
          <w:i/>
          <w:sz w:val="22"/>
          <w:szCs w:val="22"/>
        </w:rPr>
        <w:t xml:space="preserve">Cuando el Comité de Transparencia confirme la clasificación de documentos reservados y/o </w:t>
      </w:r>
      <w:r w:rsidRPr="0061511A">
        <w:rPr>
          <w:rFonts w:ascii="Palatino Linotype" w:eastAsia="Palatino Linotype" w:hAnsi="Palatino Linotype" w:cs="Palatino Linotype"/>
          <w:b/>
          <w:i/>
          <w:sz w:val="22"/>
          <w:szCs w:val="22"/>
        </w:rPr>
        <w:t>confidenciales</w:t>
      </w:r>
      <w:r w:rsidRPr="0061511A">
        <w:rPr>
          <w:rFonts w:ascii="Palatino Linotype" w:eastAsia="Palatino Linotype" w:hAnsi="Palatino Linotype" w:cs="Palatino Linotype"/>
          <w:i/>
          <w:sz w:val="22"/>
          <w:szCs w:val="22"/>
        </w:rPr>
        <w:t>,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61511A">
        <w:rPr>
          <w:rFonts w:ascii="Palatino Linotype" w:eastAsia="Palatino Linotype" w:hAnsi="Palatino Linotype" w:cs="Palatino Linotype"/>
          <w:b/>
          <w:i/>
          <w:sz w:val="22"/>
          <w:szCs w:val="22"/>
        </w:rPr>
        <w:t xml:space="preserve"> </w:t>
      </w:r>
    </w:p>
    <w:p w14:paraId="6CDAE817" w14:textId="77777777" w:rsidR="0029124C" w:rsidRPr="0061511A" w:rsidRDefault="0029124C" w:rsidP="0029124C">
      <w:pPr>
        <w:spacing w:line="276" w:lineRule="auto"/>
        <w:ind w:left="567" w:right="900"/>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 xml:space="preserve">Quincuagésimo quinto. </w:t>
      </w:r>
      <w:r w:rsidRPr="0061511A">
        <w:rPr>
          <w:rFonts w:ascii="Palatino Linotype" w:eastAsia="Palatino Linotype" w:hAnsi="Palatino Linotype" w:cs="Palatino Linotype"/>
          <w:i/>
          <w:sz w:val="22"/>
          <w:szCs w:val="22"/>
        </w:rPr>
        <w:t xml:space="preserve">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 (Énfasis añadido) </w:t>
      </w:r>
    </w:p>
    <w:p w14:paraId="2506A4E8"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p>
    <w:p w14:paraId="0AF11726"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Entorno a lo que aquí nos interesa, los Lineamientos Quincuagésimo sexto, Quincuagésimo séptimo y Quincuagésimo octavo, vigentes a la fecha de la solicitud establecen lo siguiente:</w:t>
      </w:r>
    </w:p>
    <w:p w14:paraId="5E11CF7D"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p>
    <w:p w14:paraId="6C51E193" w14:textId="77777777" w:rsidR="0029124C" w:rsidRPr="0061511A" w:rsidRDefault="0029124C" w:rsidP="0029124C">
      <w:pPr>
        <w:ind w:left="851"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w:t>
      </w:r>
      <w:r w:rsidRPr="0061511A">
        <w:rPr>
          <w:rFonts w:ascii="Palatino Linotype" w:eastAsia="Palatino Linotype" w:hAnsi="Palatino Linotype" w:cs="Palatino Linotype"/>
          <w:b/>
          <w:i/>
          <w:sz w:val="22"/>
          <w:szCs w:val="22"/>
        </w:rPr>
        <w:t>Quincuagésimo sexto.</w:t>
      </w:r>
      <w:r w:rsidRPr="0061511A">
        <w:rPr>
          <w:rFonts w:ascii="Palatino Linotype" w:eastAsia="Palatino Linotype" w:hAnsi="Palatino Linotype" w:cs="Palatino Linotype"/>
          <w:i/>
          <w:sz w:val="22"/>
          <w:szCs w:val="22"/>
        </w:rPr>
        <w:t xml:space="preserve"> La versión pública del documento o expediente que contenga partes o secciones reservadas o confidenciales, será elaborada por los sujetos obligados, previo pago de los costos de reproducción, a través de sus áreas y deberá ser aprobada por su Comité de Transparencia</w:t>
      </w:r>
    </w:p>
    <w:p w14:paraId="1C47A536" w14:textId="77777777" w:rsidR="0029124C" w:rsidRPr="0061511A" w:rsidRDefault="0029124C" w:rsidP="0029124C">
      <w:pPr>
        <w:ind w:left="851"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Quincuagésimo séptimo.</w:t>
      </w:r>
      <w:r w:rsidRPr="0061511A">
        <w:rPr>
          <w:rFonts w:ascii="Palatino Linotype" w:eastAsia="Palatino Linotype" w:hAnsi="Palatino Linotype" w:cs="Palatino Linotype"/>
          <w:i/>
          <w:sz w:val="22"/>
          <w:szCs w:val="22"/>
        </w:rPr>
        <w:t xml:space="preserve"> Se considera, en principio, como información pública y no podrá omitirse de las versiones públicas la siguiente: </w:t>
      </w:r>
    </w:p>
    <w:p w14:paraId="0399D62C" w14:textId="77777777" w:rsidR="0029124C" w:rsidRPr="0061511A" w:rsidRDefault="0029124C" w:rsidP="0029124C">
      <w:pPr>
        <w:ind w:left="851"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I.</w:t>
      </w:r>
      <w:r w:rsidRPr="0061511A">
        <w:rPr>
          <w:rFonts w:ascii="Palatino Linotype" w:eastAsia="Palatino Linotype" w:hAnsi="Palatino Linotype" w:cs="Palatino Linotype"/>
          <w:i/>
          <w:sz w:val="22"/>
          <w:szCs w:val="22"/>
        </w:rPr>
        <w:t xml:space="preserve"> La relativa a las Obligaciones de Transparencia que contempla el Título V de la Ley General y las demás disposiciones legales aplicables; </w:t>
      </w:r>
    </w:p>
    <w:p w14:paraId="3FBA0963" w14:textId="77777777" w:rsidR="0029124C" w:rsidRPr="0061511A" w:rsidRDefault="0029124C" w:rsidP="0029124C">
      <w:pPr>
        <w:ind w:left="851"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II.</w:t>
      </w:r>
      <w:r w:rsidRPr="0061511A">
        <w:rPr>
          <w:rFonts w:ascii="Palatino Linotype" w:eastAsia="Palatino Linotype" w:hAnsi="Palatino Linotype" w:cs="Palatino Linotype"/>
          <w:i/>
          <w:sz w:val="22"/>
          <w:szCs w:val="22"/>
        </w:rPr>
        <w:t xml:space="preserve"> El nombre de los servidores públicos en los documentos, y sus firmas autógrafas, cuando sean utilizados en el ejercicio de las facultades conferidas para el desempeño del servicio público, y </w:t>
      </w:r>
    </w:p>
    <w:p w14:paraId="5F06E5AB" w14:textId="77777777" w:rsidR="0029124C" w:rsidRPr="0061511A" w:rsidRDefault="0029124C" w:rsidP="0029124C">
      <w:pPr>
        <w:ind w:left="851"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t>III.</w:t>
      </w:r>
      <w:r w:rsidRPr="0061511A">
        <w:rPr>
          <w:rFonts w:ascii="Palatino Linotype" w:eastAsia="Palatino Linotype" w:hAnsi="Palatino Linotype" w:cs="Palatino Linotype"/>
          <w:i/>
          <w:sz w:val="22"/>
          <w:szCs w:val="22"/>
        </w:rPr>
        <w:t xml:space="preserve"> La información que documente decisiones y los actos de autoridad concluidos de los sujetos obligados, así como el ejercicio de las facultades o actividades de los servidores públicos, de manera que se pueda valorar el desempeño de los mismos.</w:t>
      </w:r>
    </w:p>
    <w:p w14:paraId="26A5AEA2" w14:textId="77777777" w:rsidR="0029124C" w:rsidRPr="0061511A" w:rsidRDefault="0029124C" w:rsidP="0029124C">
      <w:pPr>
        <w:spacing w:line="276" w:lineRule="auto"/>
        <w:ind w:left="851"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 xml:space="preserve">Lo anterior, siempre y cuando no se acredite alguna causal de clasificación, prevista en las leyes o en los tratados internaciones suscritos por el Estado mexicano. </w:t>
      </w:r>
    </w:p>
    <w:p w14:paraId="3D294AB4" w14:textId="77777777" w:rsidR="0029124C" w:rsidRPr="0061511A" w:rsidRDefault="0029124C" w:rsidP="0029124C">
      <w:pPr>
        <w:spacing w:line="276" w:lineRule="auto"/>
        <w:ind w:left="851" w:right="902"/>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b/>
          <w:i/>
          <w:sz w:val="22"/>
          <w:szCs w:val="22"/>
        </w:rPr>
        <w:lastRenderedPageBreak/>
        <w:t>Quincuagésimo octavo</w:t>
      </w:r>
      <w:r w:rsidRPr="0061511A">
        <w:rPr>
          <w:rFonts w:ascii="Palatino Linotype" w:eastAsia="Palatino Linotype" w:hAnsi="Palatino Linotype" w:cs="Palatino Linotype"/>
          <w:i/>
          <w:sz w:val="22"/>
          <w:szCs w:val="22"/>
        </w:rPr>
        <w:t>. Los sujetos obligados garantizarán que los sistemas o medios empleados para eliminar la información en las versiones públicas no permitan la recuperación o visualización de la misma.”</w:t>
      </w:r>
    </w:p>
    <w:p w14:paraId="7423AAA9" w14:textId="77777777" w:rsidR="0029124C" w:rsidRPr="0061511A" w:rsidRDefault="0029124C" w:rsidP="0029124C">
      <w:pPr>
        <w:spacing w:line="360" w:lineRule="auto"/>
        <w:ind w:left="851" w:right="902"/>
        <w:jc w:val="both"/>
        <w:rPr>
          <w:rFonts w:ascii="Palatino Linotype" w:eastAsia="Palatino Linotype" w:hAnsi="Palatino Linotype" w:cs="Palatino Linotype"/>
          <w:i/>
          <w:sz w:val="22"/>
          <w:szCs w:val="22"/>
        </w:rPr>
      </w:pPr>
    </w:p>
    <w:p w14:paraId="17571C58"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En el caso específico, la información solicitada puede contener datos susceptibles de clasificarse, que de hacerse públicos afectarían la intimidad y vida privada de particulares; que se ha reiterado en las resoluciones de este Pleno que además de los datos especificados en la Ley de Transparencia y Acceso a la Información Pública del Estado de México y Municipios, se consideran confidenciales cuyo acceso debe ser restringido, los cuales deben testarse al momento de la elaboración de versiones públicas.</w:t>
      </w:r>
    </w:p>
    <w:p w14:paraId="03E714B2"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p>
    <w:p w14:paraId="53119108" w14:textId="77777777" w:rsidR="0029124C" w:rsidRPr="0061511A" w:rsidRDefault="0029124C" w:rsidP="0029124C">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 xml:space="preserve">Por lo tanto, la entrega de documentos en su versión pública debe acompañarse necesariamente del Acuerdo del Comité de Transparencia que la sustente el cual debe estar debidamente fundado y motivado, en el que se expongan los fundamentos y razonamientos que llevaron al </w:t>
      </w:r>
      <w:r w:rsidRPr="0061511A">
        <w:rPr>
          <w:rFonts w:ascii="Palatino Linotype" w:eastAsia="Palatino Linotype" w:hAnsi="Palatino Linotype" w:cs="Palatino Linotype"/>
          <w:b/>
          <w:sz w:val="22"/>
          <w:szCs w:val="22"/>
        </w:rPr>
        <w:t>Sujeto Obligado</w:t>
      </w:r>
      <w:r w:rsidRPr="0061511A">
        <w:rPr>
          <w:rFonts w:ascii="Palatino Linotype" w:eastAsia="Palatino Linotype" w:hAnsi="Palatino Linotype" w:cs="Palatino Linotype"/>
          <w:sz w:val="22"/>
          <w:szCs w:val="22"/>
        </w:rPr>
        <w:t xml:space="preserve"> a testar, suprimir o eliminar datos de dicho soporte documental, ya que no hacerlo, se reitera que lo entregado no tendría un sustento jurídico ni resultaría ser una versión pública, sino más bien una documentación ilegible, incompleta o tachada; ya que el no justificar las causas o motivos por las que no se aprecian determinados datos -ya sea porque se testan o suprimen- deja al solicitante en estado de incertidumbre, al no conocer o comprender porque no aparecen en la documentación respectiva.</w:t>
      </w:r>
    </w:p>
    <w:p w14:paraId="2D424BB3" w14:textId="3265312A" w:rsidR="005A75CA" w:rsidRPr="0061511A" w:rsidRDefault="00E96B90" w:rsidP="00D7204E">
      <w:pPr>
        <w:spacing w:before="240" w:after="240"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Así, con fundamento en lo prescrito en los artículos 5</w:t>
      </w:r>
      <w:r w:rsidR="00FD0FF9" w:rsidRPr="0061511A">
        <w:rPr>
          <w:rFonts w:ascii="Palatino Linotype" w:eastAsia="Palatino Linotype" w:hAnsi="Palatino Linotype" w:cs="Palatino Linotype"/>
          <w:sz w:val="22"/>
          <w:szCs w:val="22"/>
        </w:rPr>
        <w:t xml:space="preserve">, </w:t>
      </w:r>
      <w:r w:rsidR="00170F4F" w:rsidRPr="0061511A">
        <w:rPr>
          <w:rFonts w:ascii="Palatino Linotype" w:eastAsia="Palatino Linotype" w:hAnsi="Palatino Linotype" w:cs="Palatino Linotype"/>
          <w:sz w:val="22"/>
          <w:szCs w:val="22"/>
        </w:rPr>
        <w:t>párrafos cuadragésimo cuarto, cuadragésimo quinto y cuadragésimo sexto, fracciones IV y V de la Constitución Política del Estado Libre y Soberano de México; transitorio Cuarto del Decreto número 198 de la “LXII” Legislatura del Estado de México</w:t>
      </w:r>
      <w:r w:rsidRPr="0061511A">
        <w:rPr>
          <w:rFonts w:ascii="Palatino Linotype" w:eastAsia="Palatino Linotype" w:hAnsi="Palatino Linotype" w:cs="Palatino Linotype"/>
          <w:sz w:val="22"/>
          <w:szCs w:val="22"/>
        </w:rPr>
        <w:t xml:space="preserve">; 2, fracción II; 29, 36 fracciones I y II; 176, 178, 181, 185 y </w:t>
      </w:r>
      <w:r w:rsidRPr="0061511A">
        <w:rPr>
          <w:rFonts w:ascii="Palatino Linotype" w:eastAsia="Palatino Linotype" w:hAnsi="Palatino Linotype" w:cs="Palatino Linotype"/>
          <w:sz w:val="22"/>
          <w:szCs w:val="22"/>
        </w:rPr>
        <w:lastRenderedPageBreak/>
        <w:t>186 fracción II de la Ley de Transparencia y Acceso a la Información Pública del Estado de México y Municipios, este Pleno:</w:t>
      </w:r>
    </w:p>
    <w:p w14:paraId="635EEE69" w14:textId="77777777" w:rsidR="005A75CA" w:rsidRPr="0061511A" w:rsidRDefault="00E96B90" w:rsidP="00D7204E">
      <w:pPr>
        <w:pBdr>
          <w:top w:val="nil"/>
          <w:left w:val="nil"/>
          <w:bottom w:val="nil"/>
          <w:right w:val="nil"/>
          <w:between w:val="nil"/>
        </w:pBdr>
        <w:spacing w:before="240" w:after="240" w:line="360" w:lineRule="auto"/>
        <w:jc w:val="center"/>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III. R E S U E L V E</w:t>
      </w:r>
    </w:p>
    <w:p w14:paraId="5C06C3FE" w14:textId="470F0F19" w:rsidR="005B0F96" w:rsidRPr="0061511A" w:rsidRDefault="005B0F96" w:rsidP="005B0F96">
      <w:pPr>
        <w:spacing w:before="240" w:after="240" w:line="360" w:lineRule="auto"/>
        <w:jc w:val="both"/>
        <w:rPr>
          <w:rFonts w:ascii="Palatino Linotype" w:eastAsia="Palatino Linotype" w:hAnsi="Palatino Linotype" w:cs="Palatino Linotype"/>
          <w:b/>
          <w:sz w:val="22"/>
          <w:szCs w:val="22"/>
        </w:rPr>
      </w:pPr>
      <w:bookmarkStart w:id="7" w:name="_heading=h.1t3h5sf" w:colFirst="0" w:colLast="0"/>
      <w:bookmarkEnd w:id="7"/>
      <w:r w:rsidRPr="0061511A">
        <w:rPr>
          <w:rFonts w:ascii="Palatino Linotype" w:eastAsia="Palatino Linotype" w:hAnsi="Palatino Linotype" w:cs="Palatino Linotype"/>
          <w:b/>
          <w:sz w:val="22"/>
          <w:szCs w:val="22"/>
        </w:rPr>
        <w:t xml:space="preserve">Primero. </w:t>
      </w:r>
      <w:r w:rsidRPr="0061511A">
        <w:rPr>
          <w:rFonts w:ascii="Palatino Linotype" w:eastAsia="Palatino Linotype" w:hAnsi="Palatino Linotype" w:cs="Palatino Linotype"/>
          <w:sz w:val="22"/>
          <w:szCs w:val="22"/>
        </w:rPr>
        <w:t>Resultan</w:t>
      </w:r>
      <w:r w:rsidRPr="0061511A">
        <w:rPr>
          <w:rFonts w:ascii="Palatino Linotype" w:eastAsia="Palatino Linotype" w:hAnsi="Palatino Linotype" w:cs="Palatino Linotype"/>
          <w:b/>
          <w:sz w:val="22"/>
          <w:szCs w:val="22"/>
        </w:rPr>
        <w:t xml:space="preserve"> fundados </w:t>
      </w:r>
      <w:r w:rsidRPr="0061511A">
        <w:rPr>
          <w:rFonts w:ascii="Palatino Linotype" w:eastAsia="Palatino Linotype" w:hAnsi="Palatino Linotype" w:cs="Palatino Linotype"/>
          <w:sz w:val="22"/>
          <w:szCs w:val="22"/>
        </w:rPr>
        <w:t xml:space="preserve">los motivos de inconformidad hechos valer por </w:t>
      </w:r>
      <w:r w:rsidRPr="0061511A">
        <w:rPr>
          <w:rFonts w:ascii="Palatino Linotype" w:eastAsia="Palatino Linotype" w:hAnsi="Palatino Linotype" w:cs="Palatino Linotype"/>
          <w:b/>
          <w:sz w:val="22"/>
          <w:szCs w:val="22"/>
        </w:rPr>
        <w:t>la parte Recurrente</w:t>
      </w:r>
      <w:r w:rsidRPr="0061511A">
        <w:rPr>
          <w:rFonts w:ascii="Palatino Linotype" w:eastAsia="Palatino Linotype" w:hAnsi="Palatino Linotype" w:cs="Palatino Linotype"/>
          <w:sz w:val="22"/>
          <w:szCs w:val="22"/>
        </w:rPr>
        <w:t xml:space="preserve"> en el Recurso de Revisión</w:t>
      </w:r>
      <w:r w:rsidRPr="0061511A">
        <w:rPr>
          <w:rFonts w:ascii="Palatino Linotype" w:eastAsia="Palatino Linotype" w:hAnsi="Palatino Linotype" w:cs="Palatino Linotype"/>
          <w:b/>
          <w:sz w:val="22"/>
          <w:szCs w:val="22"/>
        </w:rPr>
        <w:t xml:space="preserve"> 0</w:t>
      </w:r>
      <w:r w:rsidR="0027587D" w:rsidRPr="0061511A">
        <w:rPr>
          <w:rFonts w:ascii="Palatino Linotype" w:eastAsia="Palatino Linotype" w:hAnsi="Palatino Linotype" w:cs="Palatino Linotype"/>
          <w:b/>
          <w:sz w:val="22"/>
          <w:szCs w:val="22"/>
        </w:rPr>
        <w:t>2946</w:t>
      </w:r>
      <w:r w:rsidRPr="0061511A">
        <w:rPr>
          <w:rFonts w:ascii="Palatino Linotype" w:eastAsia="Palatino Linotype" w:hAnsi="Palatino Linotype" w:cs="Palatino Linotype"/>
          <w:b/>
          <w:sz w:val="22"/>
          <w:szCs w:val="22"/>
        </w:rPr>
        <w:t xml:space="preserve">/INFOEM/IP/RR/2026, </w:t>
      </w:r>
      <w:r w:rsidRPr="0061511A">
        <w:rPr>
          <w:rFonts w:ascii="Palatino Linotype" w:eastAsia="Palatino Linotype" w:hAnsi="Palatino Linotype" w:cs="Palatino Linotype"/>
          <w:sz w:val="22"/>
          <w:szCs w:val="22"/>
        </w:rPr>
        <w:t>por lo que</w:t>
      </w:r>
      <w:r w:rsidRPr="0061511A">
        <w:rPr>
          <w:rFonts w:ascii="Palatino Linotype" w:eastAsia="Palatino Linotype" w:hAnsi="Palatino Linotype" w:cs="Palatino Linotype"/>
          <w:b/>
          <w:sz w:val="22"/>
          <w:szCs w:val="22"/>
        </w:rPr>
        <w:t xml:space="preserve">, en términos del Considerando Cuarto </w:t>
      </w:r>
      <w:r w:rsidRPr="0061511A">
        <w:rPr>
          <w:rFonts w:ascii="Palatino Linotype" w:eastAsia="Palatino Linotype" w:hAnsi="Palatino Linotype" w:cs="Palatino Linotype"/>
          <w:sz w:val="22"/>
          <w:szCs w:val="22"/>
        </w:rPr>
        <w:t>de la presente resolución</w:t>
      </w:r>
      <w:r w:rsidRPr="0061511A">
        <w:rPr>
          <w:rFonts w:ascii="Palatino Linotype" w:eastAsia="Palatino Linotype" w:hAnsi="Palatino Linotype" w:cs="Palatino Linotype"/>
          <w:b/>
          <w:sz w:val="22"/>
          <w:szCs w:val="22"/>
        </w:rPr>
        <w:t>.</w:t>
      </w:r>
    </w:p>
    <w:p w14:paraId="0A99C4DD" w14:textId="0A123EC1" w:rsidR="005B0F96" w:rsidRPr="0061511A" w:rsidRDefault="005B0F96" w:rsidP="005B0F96">
      <w:pPr>
        <w:spacing w:before="240" w:after="240" w:line="360" w:lineRule="auto"/>
        <w:jc w:val="both"/>
        <w:rPr>
          <w:rFonts w:ascii="Palatino Linotype" w:eastAsia="Palatino Linotype" w:hAnsi="Palatino Linotype" w:cs="Palatino Linotype"/>
          <w:sz w:val="22"/>
          <w:szCs w:val="22"/>
        </w:rPr>
      </w:pPr>
      <w:bookmarkStart w:id="8" w:name="_heading=h.j3ppyxwlb1s2" w:colFirst="0" w:colLast="0"/>
      <w:bookmarkEnd w:id="8"/>
      <w:r w:rsidRPr="0061511A">
        <w:rPr>
          <w:rFonts w:ascii="Palatino Linotype" w:eastAsia="Palatino Linotype" w:hAnsi="Palatino Linotype" w:cs="Palatino Linotype"/>
          <w:b/>
          <w:sz w:val="22"/>
          <w:szCs w:val="22"/>
        </w:rPr>
        <w:t xml:space="preserve">Segundo. Se Ordena al Sujeto Obligado </w:t>
      </w:r>
      <w:r w:rsidRPr="0061511A">
        <w:rPr>
          <w:rFonts w:ascii="Palatino Linotype" w:eastAsia="Palatino Linotype" w:hAnsi="Palatino Linotype" w:cs="Palatino Linotype"/>
          <w:sz w:val="22"/>
          <w:szCs w:val="22"/>
        </w:rPr>
        <w:t>que en términos de los</w:t>
      </w:r>
      <w:r w:rsidRPr="0061511A">
        <w:rPr>
          <w:rFonts w:ascii="Palatino Linotype" w:eastAsia="Palatino Linotype" w:hAnsi="Palatino Linotype" w:cs="Palatino Linotype"/>
          <w:b/>
          <w:sz w:val="22"/>
          <w:szCs w:val="22"/>
        </w:rPr>
        <w:t xml:space="preserve"> Considerandos Cuarto y Quinto </w:t>
      </w:r>
      <w:r w:rsidRPr="0061511A">
        <w:rPr>
          <w:rFonts w:ascii="Palatino Linotype" w:eastAsia="Palatino Linotype" w:hAnsi="Palatino Linotype" w:cs="Palatino Linotype"/>
          <w:sz w:val="22"/>
          <w:szCs w:val="22"/>
        </w:rPr>
        <w:t xml:space="preserve">de esta resolución, previa búsqueda exhaustiva y razonable, haga entrega a </w:t>
      </w:r>
      <w:r w:rsidRPr="0061511A">
        <w:rPr>
          <w:rFonts w:ascii="Palatino Linotype" w:eastAsia="Palatino Linotype" w:hAnsi="Palatino Linotype" w:cs="Palatino Linotype"/>
          <w:b/>
          <w:sz w:val="22"/>
          <w:szCs w:val="22"/>
        </w:rPr>
        <w:t xml:space="preserve">la parte Recurrente a través del SAIMEX, </w:t>
      </w:r>
      <w:r w:rsidR="0027587D" w:rsidRPr="0061511A">
        <w:rPr>
          <w:rFonts w:ascii="Palatino Linotype" w:eastAsia="Palatino Linotype" w:hAnsi="Palatino Linotype" w:cs="Palatino Linotype"/>
          <w:b/>
          <w:sz w:val="22"/>
          <w:szCs w:val="22"/>
        </w:rPr>
        <w:t xml:space="preserve">de ser procedente </w:t>
      </w:r>
      <w:r w:rsidRPr="0061511A">
        <w:rPr>
          <w:rFonts w:ascii="Palatino Linotype" w:eastAsia="Palatino Linotype" w:hAnsi="Palatino Linotype" w:cs="Palatino Linotype"/>
          <w:b/>
          <w:sz w:val="22"/>
          <w:szCs w:val="22"/>
        </w:rPr>
        <w:t xml:space="preserve">en versión pública, </w:t>
      </w:r>
      <w:r w:rsidRPr="0061511A">
        <w:rPr>
          <w:rFonts w:ascii="Palatino Linotype" w:eastAsia="Palatino Linotype" w:hAnsi="Palatino Linotype" w:cs="Palatino Linotype"/>
          <w:sz w:val="22"/>
          <w:szCs w:val="22"/>
        </w:rPr>
        <w:t xml:space="preserve">la siguiente información: </w:t>
      </w:r>
    </w:p>
    <w:p w14:paraId="21238FFC" w14:textId="312F1C1F" w:rsidR="0027587D" w:rsidRPr="0061511A" w:rsidRDefault="0027587D" w:rsidP="0027587D">
      <w:pPr>
        <w:pStyle w:val="Prrafodelista"/>
        <w:numPr>
          <w:ilvl w:val="3"/>
          <w:numId w:val="26"/>
        </w:numPr>
        <w:pBdr>
          <w:top w:val="nil"/>
          <w:left w:val="nil"/>
          <w:bottom w:val="nil"/>
          <w:right w:val="nil"/>
          <w:between w:val="nil"/>
        </w:pBdr>
        <w:spacing w:before="280" w:after="280" w:line="360" w:lineRule="auto"/>
        <w:ind w:left="709"/>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Los documentos remitidos en informe justificado que dan cuenta de lo siguiente:</w:t>
      </w:r>
    </w:p>
    <w:p w14:paraId="5B305150" w14:textId="77777777" w:rsidR="0027587D" w:rsidRPr="0061511A" w:rsidRDefault="0027587D" w:rsidP="0027587D">
      <w:pPr>
        <w:pBdr>
          <w:top w:val="nil"/>
          <w:left w:val="nil"/>
          <w:bottom w:val="nil"/>
          <w:right w:val="nil"/>
          <w:between w:val="nil"/>
        </w:pBdr>
        <w:ind w:left="851"/>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-Fecha de ingreso o inicio en la comisión;</w:t>
      </w:r>
    </w:p>
    <w:p w14:paraId="67AC4ED7" w14:textId="77777777" w:rsidR="0027587D" w:rsidRPr="0061511A" w:rsidRDefault="0027587D" w:rsidP="0027587D">
      <w:pPr>
        <w:pBdr>
          <w:top w:val="nil"/>
          <w:left w:val="nil"/>
          <w:bottom w:val="nil"/>
          <w:right w:val="nil"/>
          <w:between w:val="nil"/>
        </w:pBdr>
        <w:ind w:left="851"/>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-Ficha curricular;</w:t>
      </w:r>
    </w:p>
    <w:p w14:paraId="585973B5" w14:textId="77777777" w:rsidR="0027587D" w:rsidRPr="0061511A" w:rsidRDefault="0027587D" w:rsidP="0027587D">
      <w:pPr>
        <w:pBdr>
          <w:top w:val="nil"/>
          <w:left w:val="nil"/>
          <w:bottom w:val="nil"/>
          <w:right w:val="nil"/>
          <w:between w:val="nil"/>
        </w:pBdr>
        <w:ind w:left="851"/>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-Documento que da cuenta de las funciones asignadas; y</w:t>
      </w:r>
    </w:p>
    <w:p w14:paraId="7AB8CC47" w14:textId="77777777" w:rsidR="0027587D" w:rsidRPr="0061511A" w:rsidRDefault="0027587D" w:rsidP="0027587D">
      <w:pPr>
        <w:pBdr>
          <w:top w:val="nil"/>
          <w:left w:val="nil"/>
          <w:bottom w:val="nil"/>
          <w:right w:val="nil"/>
          <w:between w:val="nil"/>
        </w:pBdr>
        <w:ind w:left="851"/>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-Horario o jornada laboral.</w:t>
      </w:r>
    </w:p>
    <w:p w14:paraId="27B81D21" w14:textId="4D0D3F39" w:rsidR="0027587D" w:rsidRPr="0061511A" w:rsidRDefault="0027587D" w:rsidP="0027587D">
      <w:pPr>
        <w:pStyle w:val="Prrafodelista"/>
        <w:numPr>
          <w:ilvl w:val="3"/>
          <w:numId w:val="26"/>
        </w:numPr>
        <w:pBdr>
          <w:top w:val="nil"/>
          <w:left w:val="nil"/>
          <w:bottom w:val="nil"/>
          <w:right w:val="nil"/>
          <w:between w:val="nil"/>
        </w:pBdr>
        <w:spacing w:before="280" w:after="280" w:line="360" w:lineRule="auto"/>
        <w:ind w:left="709"/>
        <w:jc w:val="both"/>
        <w:rPr>
          <w:rFonts w:ascii="Palatino Linotype" w:eastAsia="Palatino Linotype" w:hAnsi="Palatino Linotype" w:cs="Palatino Linotype"/>
          <w:b/>
          <w:sz w:val="22"/>
          <w:szCs w:val="22"/>
        </w:rPr>
      </w:pPr>
      <w:r w:rsidRPr="0061511A">
        <w:rPr>
          <w:rFonts w:ascii="Palatino Linotype" w:eastAsia="Palatino Linotype" w:hAnsi="Palatino Linotype" w:cs="Palatino Linotype"/>
          <w:b/>
          <w:sz w:val="22"/>
          <w:szCs w:val="22"/>
        </w:rPr>
        <w:t>Los documentos que den cuenta de las capacitaciones a las que ha asistido la servidora pública al cinco de febrero de dos mil veintiséis.</w:t>
      </w:r>
    </w:p>
    <w:p w14:paraId="0118F977" w14:textId="77777777" w:rsidR="0027587D" w:rsidRPr="0061511A" w:rsidRDefault="0027587D" w:rsidP="0027587D">
      <w:pPr>
        <w:pStyle w:val="Prrafodelista"/>
        <w:pBdr>
          <w:top w:val="nil"/>
          <w:left w:val="nil"/>
          <w:bottom w:val="nil"/>
          <w:right w:val="nil"/>
          <w:between w:val="nil"/>
        </w:pBdr>
        <w:spacing w:line="360" w:lineRule="auto"/>
        <w:ind w:left="1004" w:right="-149"/>
        <w:jc w:val="both"/>
        <w:rPr>
          <w:rFonts w:ascii="Palatino Linotype" w:eastAsia="Palatino Linotype" w:hAnsi="Palatino Linotype" w:cs="Palatino Linotype"/>
          <w:sz w:val="22"/>
          <w:szCs w:val="22"/>
        </w:rPr>
      </w:pPr>
    </w:p>
    <w:p w14:paraId="55DB534E" w14:textId="4F68A16B" w:rsidR="005B0F96" w:rsidRPr="0061511A" w:rsidRDefault="005B0F96" w:rsidP="005B0F96">
      <w:pPr>
        <w:pBdr>
          <w:top w:val="nil"/>
          <w:left w:val="nil"/>
          <w:bottom w:val="nil"/>
          <w:right w:val="nil"/>
          <w:between w:val="nil"/>
        </w:pBdr>
        <w:spacing w:line="360" w:lineRule="auto"/>
        <w:ind w:left="284" w:right="-149"/>
        <w:jc w:val="both"/>
        <w:rPr>
          <w:rFonts w:ascii="Palatino Linotype" w:eastAsia="Palatino Linotype" w:hAnsi="Palatino Linotype" w:cs="Palatino Linotype"/>
          <w:i/>
          <w:sz w:val="22"/>
          <w:szCs w:val="22"/>
        </w:rPr>
      </w:pPr>
      <w:r w:rsidRPr="0061511A">
        <w:rPr>
          <w:rFonts w:ascii="Palatino Linotype" w:eastAsia="Palatino Linotype" w:hAnsi="Palatino Linotype" w:cs="Palatino Linotype"/>
          <w:i/>
          <w:sz w:val="22"/>
          <w:szCs w:val="22"/>
        </w:rPr>
        <w:t xml:space="preserve">Para la entrega en versión pública, se deberá emitir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 la parte Recurrente. </w:t>
      </w:r>
    </w:p>
    <w:p w14:paraId="0F362BE4" w14:textId="77777777" w:rsidR="0027587D" w:rsidRPr="0061511A" w:rsidRDefault="0027587D" w:rsidP="005B0F96">
      <w:pPr>
        <w:pBdr>
          <w:top w:val="nil"/>
          <w:left w:val="nil"/>
          <w:bottom w:val="nil"/>
          <w:right w:val="nil"/>
          <w:between w:val="nil"/>
        </w:pBdr>
        <w:spacing w:line="360" w:lineRule="auto"/>
        <w:ind w:left="284" w:right="-149"/>
        <w:jc w:val="both"/>
        <w:rPr>
          <w:rFonts w:ascii="Palatino Linotype" w:eastAsia="Palatino Linotype" w:hAnsi="Palatino Linotype" w:cs="Palatino Linotype"/>
          <w:i/>
          <w:sz w:val="22"/>
          <w:szCs w:val="22"/>
        </w:rPr>
      </w:pPr>
    </w:p>
    <w:p w14:paraId="2D7CDEDE" w14:textId="6915303B" w:rsidR="0027587D" w:rsidRPr="0061511A" w:rsidRDefault="0027587D" w:rsidP="0027587D">
      <w:pPr>
        <w:pBdr>
          <w:top w:val="nil"/>
          <w:left w:val="nil"/>
          <w:bottom w:val="nil"/>
          <w:right w:val="nil"/>
          <w:between w:val="nil"/>
        </w:pBdr>
        <w:spacing w:line="360" w:lineRule="auto"/>
        <w:ind w:left="284" w:right="-149"/>
        <w:jc w:val="both"/>
        <w:rPr>
          <w:rFonts w:ascii="Palatino Linotype" w:eastAsia="Palatino Linotype" w:hAnsi="Palatino Linotype" w:cs="Palatino Linotype"/>
          <w:i/>
          <w:iCs/>
          <w:sz w:val="22"/>
          <w:szCs w:val="22"/>
        </w:rPr>
      </w:pPr>
      <w:r w:rsidRPr="0061511A">
        <w:rPr>
          <w:rFonts w:ascii="Palatino Linotype" w:eastAsia="Palatino Linotype" w:hAnsi="Palatino Linotype" w:cs="Palatino Linotype"/>
          <w:i/>
          <w:sz w:val="22"/>
          <w:szCs w:val="22"/>
        </w:rPr>
        <w:t xml:space="preserve">Para el caso de que la información que se ordena entregar </w:t>
      </w:r>
      <w:r w:rsidR="0027202A" w:rsidRPr="0061511A">
        <w:rPr>
          <w:rFonts w:ascii="Palatino Linotype" w:eastAsia="Palatino Linotype" w:hAnsi="Palatino Linotype" w:cs="Palatino Linotype"/>
          <w:b/>
          <w:i/>
          <w:sz w:val="22"/>
          <w:szCs w:val="22"/>
          <w:u w:val="single"/>
        </w:rPr>
        <w:t>en el punto 2</w:t>
      </w:r>
      <w:r w:rsidR="0027202A" w:rsidRPr="0061511A">
        <w:rPr>
          <w:rFonts w:ascii="Palatino Linotype" w:eastAsia="Palatino Linotype" w:hAnsi="Palatino Linotype" w:cs="Palatino Linotype"/>
          <w:i/>
          <w:sz w:val="22"/>
          <w:szCs w:val="22"/>
        </w:rPr>
        <w:t xml:space="preserve">, </w:t>
      </w:r>
      <w:r w:rsidRPr="0061511A">
        <w:rPr>
          <w:rFonts w:ascii="Palatino Linotype" w:eastAsia="Palatino Linotype" w:hAnsi="Palatino Linotype" w:cs="Palatino Linotype"/>
          <w:i/>
          <w:sz w:val="22"/>
          <w:szCs w:val="22"/>
        </w:rPr>
        <w:t xml:space="preserve">no obre en los archivos del Sujeto Obligado, por no haberse poseído o administrado, bastará con hacerlo del conocimiento del Particular en términos del artículo 19, párrafo segundo, de la Ley de Transparencia y Acceso a la Información Pública del Estado de México y Municipios, para tenerse por colmado dicho requerimiento. </w:t>
      </w:r>
    </w:p>
    <w:p w14:paraId="4AFF936D" w14:textId="77777777" w:rsidR="0027587D" w:rsidRPr="0061511A" w:rsidRDefault="0027587D" w:rsidP="005B0F96">
      <w:pPr>
        <w:pBdr>
          <w:top w:val="nil"/>
          <w:left w:val="nil"/>
          <w:bottom w:val="nil"/>
          <w:right w:val="nil"/>
          <w:between w:val="nil"/>
        </w:pBdr>
        <w:spacing w:line="360" w:lineRule="auto"/>
        <w:ind w:left="284" w:right="-149"/>
        <w:jc w:val="both"/>
        <w:rPr>
          <w:rFonts w:ascii="Palatino Linotype" w:eastAsia="Palatino Linotype" w:hAnsi="Palatino Linotype" w:cs="Palatino Linotype"/>
          <w:i/>
          <w:sz w:val="22"/>
          <w:szCs w:val="22"/>
        </w:rPr>
      </w:pPr>
    </w:p>
    <w:p w14:paraId="5A341A2C" w14:textId="77777777" w:rsidR="005B0F96" w:rsidRPr="0061511A" w:rsidRDefault="005B0F96" w:rsidP="005B0F96">
      <w:pPr>
        <w:spacing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bCs/>
          <w:sz w:val="22"/>
          <w:szCs w:val="22"/>
        </w:rPr>
        <w:t>Tercero.</w:t>
      </w:r>
      <w:r w:rsidRPr="0061511A">
        <w:rPr>
          <w:rFonts w:ascii="Palatino Linotype" w:eastAsia="Palatino Linotype" w:hAnsi="Palatino Linotype" w:cs="Palatino Linotype"/>
          <w:sz w:val="22"/>
          <w:szCs w:val="22"/>
        </w:rPr>
        <w:t xml:space="preserve"> </w:t>
      </w:r>
      <w:r w:rsidRPr="0061511A">
        <w:rPr>
          <w:rFonts w:ascii="Palatino Linotype" w:eastAsia="Palatino Linotype" w:hAnsi="Palatino Linotype" w:cs="Palatino Linotype"/>
          <w:b/>
          <w:bCs/>
          <w:sz w:val="22"/>
          <w:szCs w:val="22"/>
        </w:rPr>
        <w:t xml:space="preserve">Notifíquese vía SAIMEX </w:t>
      </w:r>
      <w:r w:rsidRPr="0061511A">
        <w:rPr>
          <w:rFonts w:ascii="Palatino Linotype" w:eastAsia="Palatino Linotype" w:hAnsi="Palatino Linotype" w:cs="Palatino Linotype"/>
          <w:sz w:val="22"/>
          <w:szCs w:val="22"/>
        </w:rPr>
        <w:t>la presente resolución al T</w:t>
      </w:r>
      <w:r w:rsidRPr="0061511A">
        <w:rPr>
          <w:rFonts w:ascii="Palatino Linotype" w:eastAsia="Palatino Linotype" w:hAnsi="Palatino Linotype" w:cs="Palatino Linotype"/>
          <w:b/>
          <w:bCs/>
          <w:sz w:val="22"/>
          <w:szCs w:val="22"/>
        </w:rPr>
        <w:t xml:space="preserve">itular de la Unidad de Transparencia </w:t>
      </w:r>
      <w:r w:rsidRPr="0061511A">
        <w:rPr>
          <w:rFonts w:ascii="Palatino Linotype" w:eastAsia="Palatino Linotype" w:hAnsi="Palatino Linotype" w:cs="Palatino Linotype"/>
          <w:sz w:val="22"/>
          <w:szCs w:val="22"/>
        </w:rPr>
        <w:t xml:space="preserve">del </w:t>
      </w:r>
      <w:r w:rsidRPr="0061511A">
        <w:rPr>
          <w:rFonts w:ascii="Palatino Linotype" w:eastAsia="Palatino Linotype" w:hAnsi="Palatino Linotype" w:cs="Palatino Linotype"/>
          <w:b/>
          <w:bCs/>
          <w:sz w:val="22"/>
          <w:szCs w:val="22"/>
        </w:rPr>
        <w:t>Sujeto Obligado</w:t>
      </w:r>
      <w:r w:rsidRPr="0061511A">
        <w:rPr>
          <w:rFonts w:ascii="Palatino Linotype" w:eastAsia="Palatino Linotype" w:hAnsi="Palatino Linotype" w:cs="Palatino Linotype"/>
          <w:sz w:val="22"/>
          <w:szCs w:val="22"/>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1BDCFBCE" w14:textId="77777777" w:rsidR="005B0F96" w:rsidRPr="0061511A" w:rsidRDefault="005B0F96" w:rsidP="005B0F96">
      <w:pPr>
        <w:spacing w:line="360" w:lineRule="auto"/>
        <w:ind w:right="49"/>
        <w:jc w:val="both"/>
        <w:rPr>
          <w:rFonts w:ascii="Palatino Linotype" w:eastAsia="Palatino Linotype" w:hAnsi="Palatino Linotype" w:cs="Palatino Linotype"/>
          <w:sz w:val="22"/>
          <w:szCs w:val="22"/>
        </w:rPr>
      </w:pPr>
    </w:p>
    <w:p w14:paraId="07B4BDF2" w14:textId="77777777" w:rsidR="005B0F96" w:rsidRPr="0061511A" w:rsidRDefault="005B0F96" w:rsidP="005B0F96">
      <w:pPr>
        <w:spacing w:line="360" w:lineRule="auto"/>
        <w:ind w:right="49"/>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bCs/>
          <w:sz w:val="22"/>
          <w:szCs w:val="22"/>
        </w:rPr>
        <w:t>Cuarto.</w:t>
      </w:r>
      <w:r w:rsidRPr="0061511A">
        <w:rPr>
          <w:rFonts w:ascii="Palatino Linotype" w:eastAsia="Palatino Linotype" w:hAnsi="Palatino Linotype" w:cs="Palatino Linotype"/>
          <w:sz w:val="22"/>
          <w:szCs w:val="22"/>
        </w:rPr>
        <w:t xml:space="preserve"> </w:t>
      </w:r>
      <w:r w:rsidRPr="0061511A">
        <w:rPr>
          <w:rFonts w:ascii="Palatino Linotype" w:eastAsia="Palatino Linotype" w:hAnsi="Palatino Linotype" w:cs="Palatino Linotype"/>
          <w:b/>
          <w:bCs/>
          <w:sz w:val="22"/>
          <w:szCs w:val="22"/>
        </w:rPr>
        <w:t>Notifíquese vía SAIMEX</w:t>
      </w:r>
      <w:r w:rsidRPr="0061511A">
        <w:rPr>
          <w:rFonts w:ascii="Palatino Linotype" w:eastAsia="Palatino Linotype" w:hAnsi="Palatino Linotype" w:cs="Palatino Linotype"/>
          <w:sz w:val="22"/>
          <w:szCs w:val="22"/>
        </w:rPr>
        <w:t xml:space="preserve"> a la parte </w:t>
      </w:r>
      <w:r w:rsidRPr="0061511A">
        <w:rPr>
          <w:rFonts w:ascii="Palatino Linotype" w:eastAsia="Palatino Linotype" w:hAnsi="Palatino Linotype" w:cs="Palatino Linotype"/>
          <w:b/>
          <w:bCs/>
          <w:sz w:val="22"/>
          <w:szCs w:val="22"/>
        </w:rPr>
        <w:t xml:space="preserve">Recurrente </w:t>
      </w:r>
      <w:r w:rsidRPr="0061511A">
        <w:rPr>
          <w:rFonts w:ascii="Palatino Linotype" w:eastAsia="Palatino Linotype" w:hAnsi="Palatino Linotype" w:cs="Palatino Linotype"/>
          <w:sz w:val="22"/>
          <w:szCs w:val="22"/>
        </w:rPr>
        <w:t xml:space="preserve">la presente resolución, así como, que de conformidad con lo establecido en el artículo 196 de la Ley de Transparencia y Acceso a la Información Pública del Estado de México y Municipios, podrá impugnar la presente resolución vía Juicio de Amparo en los términos de las leyes aplicables. </w:t>
      </w:r>
    </w:p>
    <w:p w14:paraId="3BE7918E" w14:textId="77777777" w:rsidR="005B0F96" w:rsidRPr="0061511A" w:rsidRDefault="005B0F96" w:rsidP="005B0F96">
      <w:pPr>
        <w:spacing w:line="360" w:lineRule="auto"/>
        <w:ind w:right="49"/>
        <w:jc w:val="both"/>
        <w:rPr>
          <w:rFonts w:ascii="Palatino Linotype" w:eastAsia="Palatino Linotype" w:hAnsi="Palatino Linotype" w:cs="Palatino Linotype"/>
          <w:sz w:val="22"/>
          <w:szCs w:val="22"/>
        </w:rPr>
      </w:pPr>
    </w:p>
    <w:p w14:paraId="3DC7C79B" w14:textId="77777777" w:rsidR="005B0F96" w:rsidRPr="0061511A" w:rsidRDefault="005B0F96" w:rsidP="005B0F96">
      <w:pPr>
        <w:spacing w:line="360" w:lineRule="auto"/>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b/>
          <w:bCs/>
          <w:sz w:val="22"/>
          <w:szCs w:val="22"/>
        </w:rPr>
        <w:t>Quinto. Notifíquese vía SAIMEX</w:t>
      </w:r>
      <w:r w:rsidRPr="0061511A">
        <w:rPr>
          <w:rFonts w:ascii="Palatino Linotype" w:eastAsia="Palatino Linotype" w:hAnsi="Palatino Linotype" w:cs="Palatino Linotype"/>
          <w:sz w:val="22"/>
          <w:szCs w:val="22"/>
        </w:rPr>
        <w:t xml:space="preserve"> a la parte </w:t>
      </w:r>
      <w:r w:rsidRPr="0061511A">
        <w:rPr>
          <w:rFonts w:ascii="Palatino Linotype" w:eastAsia="Palatino Linotype" w:hAnsi="Palatino Linotype" w:cs="Palatino Linotype"/>
          <w:b/>
          <w:bCs/>
          <w:sz w:val="22"/>
          <w:szCs w:val="22"/>
        </w:rPr>
        <w:t xml:space="preserve">Recurrente </w:t>
      </w:r>
      <w:r w:rsidRPr="0061511A">
        <w:rPr>
          <w:rFonts w:ascii="Palatino Linotype" w:eastAsia="Palatino Linotype" w:hAnsi="Palatino Linotype" w:cs="Palatino Linotype"/>
          <w:sz w:val="22"/>
          <w:szCs w:val="22"/>
        </w:rPr>
        <w:t xml:space="preserve">que la respuesta que dé el </w:t>
      </w:r>
      <w:r w:rsidRPr="0061511A">
        <w:rPr>
          <w:rFonts w:ascii="Palatino Linotype" w:eastAsia="Palatino Linotype" w:hAnsi="Palatino Linotype" w:cs="Palatino Linotype"/>
          <w:b/>
          <w:bCs/>
          <w:sz w:val="22"/>
          <w:szCs w:val="22"/>
        </w:rPr>
        <w:t>Sujeto Obligado</w:t>
      </w:r>
      <w:r w:rsidRPr="0061511A">
        <w:rPr>
          <w:rFonts w:ascii="Palatino Linotype" w:eastAsia="Palatino Linotype" w:hAnsi="Palatino Linotype" w:cs="Palatino Linotype"/>
          <w:sz w:val="22"/>
          <w:szCs w:val="22"/>
        </w:rPr>
        <w:t xml:space="preserve"> derivada de la presente resolución es susceptible de ser impugnada nuevamente, mediante recurso de revisión, ante el Instituto, en términos del artículo 179, último párrafo </w:t>
      </w:r>
      <w:r w:rsidRPr="0061511A">
        <w:rPr>
          <w:rFonts w:ascii="Palatino Linotype" w:eastAsia="Palatino Linotype" w:hAnsi="Palatino Linotype" w:cs="Palatino Linotype"/>
          <w:sz w:val="22"/>
          <w:szCs w:val="22"/>
        </w:rPr>
        <w:lastRenderedPageBreak/>
        <w:t>de la Ley de Transparencia y Acceso a la Información Pública del Estado de México y Municipios.</w:t>
      </w:r>
    </w:p>
    <w:p w14:paraId="3441690A" w14:textId="77777777" w:rsidR="005B0F96" w:rsidRPr="0061511A" w:rsidRDefault="005B0F96" w:rsidP="005B0F96">
      <w:pPr>
        <w:spacing w:line="360" w:lineRule="auto"/>
        <w:jc w:val="both"/>
        <w:rPr>
          <w:rFonts w:ascii="Palatino Linotype" w:eastAsia="Palatino Linotype" w:hAnsi="Palatino Linotype" w:cs="Palatino Linotype"/>
          <w:sz w:val="22"/>
          <w:szCs w:val="22"/>
        </w:rPr>
      </w:pPr>
    </w:p>
    <w:p w14:paraId="4C677568" w14:textId="77777777" w:rsidR="005B0F96" w:rsidRPr="0061511A" w:rsidRDefault="005B0F96" w:rsidP="005B0F96">
      <w:pPr>
        <w:spacing w:line="360" w:lineRule="auto"/>
        <w:jc w:val="both"/>
        <w:rPr>
          <w:rFonts w:ascii="Palatino Linotype" w:eastAsia="Palatino Linotype" w:hAnsi="Palatino Linotype" w:cs="Palatino Linotype"/>
          <w:b/>
          <w:bCs/>
          <w:sz w:val="22"/>
          <w:szCs w:val="22"/>
        </w:rPr>
      </w:pPr>
      <w:r w:rsidRPr="0061511A">
        <w:rPr>
          <w:rFonts w:ascii="Palatino Linotype" w:eastAsia="Palatino Linotype" w:hAnsi="Palatino Linotype" w:cs="Palatino Linotype"/>
          <w:b/>
          <w:bCs/>
          <w:sz w:val="22"/>
          <w:szCs w:val="22"/>
        </w:rPr>
        <w:t>Sexto. Gírese</w:t>
      </w:r>
      <w:r w:rsidRPr="0061511A">
        <w:rPr>
          <w:rFonts w:ascii="Palatino Linotype" w:eastAsia="Palatino Linotype" w:hAnsi="Palatino Linotype" w:cs="Palatino Linotype"/>
          <w:sz w:val="22"/>
          <w:szCs w:val="22"/>
        </w:rPr>
        <w:t xml:space="preserve"> oficio a la </w:t>
      </w:r>
      <w:r w:rsidRPr="0061511A">
        <w:rPr>
          <w:rFonts w:ascii="Palatino Linotype" w:eastAsia="Palatino Linotype" w:hAnsi="Palatino Linotype" w:cs="Palatino Linotype"/>
          <w:b/>
          <w:bCs/>
          <w:sz w:val="22"/>
          <w:szCs w:val="22"/>
        </w:rPr>
        <w:t>Secretaría Técnica del Pleno de este Instituto</w:t>
      </w:r>
      <w:r w:rsidRPr="0061511A">
        <w:rPr>
          <w:rFonts w:ascii="Palatino Linotype" w:eastAsia="Palatino Linotype" w:hAnsi="Palatino Linotype" w:cs="Palatino Linotype"/>
          <w:sz w:val="22"/>
          <w:szCs w:val="22"/>
        </w:rPr>
        <w:t xml:space="preserve"> para hacer de su conocimiento la presente resolución, a fin de que en ejercicio de sus atribuciones y de conformidad con el artículo 190, de la Ley de Transparencia y Acceso a la Información Pública del Estado de México y Municipios, determine lo conducente, en términos de lo señalado en el considerando</w:t>
      </w:r>
      <w:r w:rsidRPr="0061511A">
        <w:rPr>
          <w:rFonts w:ascii="Palatino Linotype" w:eastAsia="Palatino Linotype" w:hAnsi="Palatino Linotype" w:cs="Palatino Linotype"/>
          <w:b/>
          <w:bCs/>
          <w:sz w:val="22"/>
          <w:szCs w:val="22"/>
        </w:rPr>
        <w:t xml:space="preserve"> Cuarto </w:t>
      </w:r>
      <w:r w:rsidRPr="0061511A">
        <w:rPr>
          <w:rFonts w:ascii="Palatino Linotype" w:eastAsia="Palatino Linotype" w:hAnsi="Palatino Linotype" w:cs="Palatino Linotype"/>
          <w:sz w:val="22"/>
          <w:szCs w:val="22"/>
        </w:rPr>
        <w:t>de la presente resolución.</w:t>
      </w:r>
      <w:r w:rsidRPr="0061511A">
        <w:rPr>
          <w:rFonts w:ascii="Palatino Linotype" w:eastAsia="Palatino Linotype" w:hAnsi="Palatino Linotype" w:cs="Palatino Linotype"/>
          <w:b/>
          <w:bCs/>
          <w:sz w:val="22"/>
          <w:szCs w:val="22"/>
        </w:rPr>
        <w:t xml:space="preserve"> </w:t>
      </w:r>
    </w:p>
    <w:p w14:paraId="49BE783D" w14:textId="2988FF5B" w:rsidR="005A75CA" w:rsidRPr="00032DE3" w:rsidRDefault="00E96B90" w:rsidP="00D7204E">
      <w:pPr>
        <w:tabs>
          <w:tab w:val="left" w:pos="8647"/>
        </w:tabs>
        <w:spacing w:before="240" w:after="240" w:line="360" w:lineRule="auto"/>
        <w:ind w:right="51"/>
        <w:jc w:val="both"/>
        <w:rPr>
          <w:rFonts w:ascii="Palatino Linotype" w:eastAsia="Palatino Linotype" w:hAnsi="Palatino Linotype" w:cs="Palatino Linotype"/>
          <w:sz w:val="22"/>
          <w:szCs w:val="22"/>
        </w:rPr>
      </w:pPr>
      <w:r w:rsidRPr="0061511A">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w:t>
      </w:r>
      <w:r w:rsidR="00E96A06" w:rsidRPr="0061511A">
        <w:rPr>
          <w:rFonts w:ascii="Palatino Linotype" w:eastAsia="Palatino Linotype" w:hAnsi="Palatino Linotype" w:cs="Palatino Linotype"/>
          <w:sz w:val="22"/>
          <w:szCs w:val="22"/>
        </w:rPr>
        <w:t xml:space="preserve"> MARÍA DEL ROSARIO MEJÍA AYALA </w:t>
      </w:r>
      <w:r w:rsidRPr="0061511A">
        <w:rPr>
          <w:rFonts w:ascii="Palatino Linotype" w:eastAsia="Palatino Linotype" w:hAnsi="Palatino Linotype" w:cs="Palatino Linotype"/>
          <w:sz w:val="22"/>
          <w:szCs w:val="22"/>
        </w:rPr>
        <w:t>Y GUADALUPE RAMÍREZ PEÑA</w:t>
      </w:r>
      <w:r w:rsidR="00032DE3" w:rsidRPr="0061511A">
        <w:rPr>
          <w:rFonts w:ascii="Palatino Linotype" w:eastAsia="Palatino Linotype" w:hAnsi="Palatino Linotype" w:cs="Palatino Linotype"/>
          <w:sz w:val="22"/>
          <w:szCs w:val="22"/>
        </w:rPr>
        <w:t>, EMITIENDO VOTO PARTICULAR</w:t>
      </w:r>
      <w:r w:rsidR="00C55823" w:rsidRPr="0061511A">
        <w:rPr>
          <w:rFonts w:ascii="Palatino Linotype" w:eastAsia="Palatino Linotype" w:hAnsi="Palatino Linotype" w:cs="Palatino Linotype"/>
          <w:sz w:val="22"/>
          <w:szCs w:val="22"/>
        </w:rPr>
        <w:t xml:space="preserve">, </w:t>
      </w:r>
      <w:r w:rsidRPr="0061511A">
        <w:rPr>
          <w:rFonts w:ascii="Palatino Linotype" w:eastAsia="Palatino Linotype" w:hAnsi="Palatino Linotype" w:cs="Palatino Linotype"/>
          <w:sz w:val="22"/>
          <w:szCs w:val="22"/>
        </w:rPr>
        <w:t xml:space="preserve">EN LA </w:t>
      </w:r>
      <w:r w:rsidR="00E96A06" w:rsidRPr="0061511A">
        <w:rPr>
          <w:rFonts w:ascii="Palatino Linotype" w:eastAsia="Palatino Linotype" w:hAnsi="Palatino Linotype" w:cs="Palatino Linotype"/>
          <w:sz w:val="22"/>
          <w:szCs w:val="22"/>
        </w:rPr>
        <w:t>TRI</w:t>
      </w:r>
      <w:r w:rsidR="00AD7F25" w:rsidRPr="0061511A">
        <w:rPr>
          <w:rFonts w:ascii="Palatino Linotype" w:eastAsia="Palatino Linotype" w:hAnsi="Palatino Linotype" w:cs="Palatino Linotype"/>
          <w:sz w:val="22"/>
          <w:szCs w:val="22"/>
        </w:rPr>
        <w:t>GÉSIMA</w:t>
      </w:r>
      <w:r w:rsidR="005B0F96" w:rsidRPr="0061511A">
        <w:rPr>
          <w:rFonts w:ascii="Palatino Linotype" w:eastAsia="Palatino Linotype" w:hAnsi="Palatino Linotype" w:cs="Palatino Linotype"/>
          <w:sz w:val="22"/>
          <w:szCs w:val="22"/>
        </w:rPr>
        <w:t xml:space="preserve"> </w:t>
      </w:r>
      <w:r w:rsidR="0029124C" w:rsidRPr="0061511A">
        <w:rPr>
          <w:rFonts w:ascii="Palatino Linotype" w:eastAsia="Palatino Linotype" w:hAnsi="Palatino Linotype" w:cs="Palatino Linotype"/>
          <w:sz w:val="22"/>
          <w:szCs w:val="22"/>
        </w:rPr>
        <w:t>TERCERA</w:t>
      </w:r>
      <w:r w:rsidR="00106887" w:rsidRPr="0061511A">
        <w:rPr>
          <w:rFonts w:ascii="Palatino Linotype" w:eastAsia="Palatino Linotype" w:hAnsi="Palatino Linotype" w:cs="Palatino Linotype"/>
          <w:sz w:val="22"/>
          <w:szCs w:val="22"/>
        </w:rPr>
        <w:t xml:space="preserve"> </w:t>
      </w:r>
      <w:r w:rsidRPr="0061511A">
        <w:rPr>
          <w:rFonts w:ascii="Palatino Linotype" w:eastAsia="Palatino Linotype" w:hAnsi="Palatino Linotype" w:cs="Palatino Linotype"/>
          <w:sz w:val="22"/>
          <w:szCs w:val="22"/>
        </w:rPr>
        <w:t>SESIÓN ORDINARIA CELEBRADA EL</w:t>
      </w:r>
      <w:r w:rsidR="00AD7F25" w:rsidRPr="0061511A">
        <w:rPr>
          <w:rFonts w:ascii="Palatino Linotype" w:eastAsia="Palatino Linotype" w:hAnsi="Palatino Linotype" w:cs="Palatino Linotype"/>
          <w:sz w:val="22"/>
          <w:szCs w:val="22"/>
        </w:rPr>
        <w:t xml:space="preserve"> </w:t>
      </w:r>
      <w:r w:rsidR="0029124C" w:rsidRPr="0061511A">
        <w:rPr>
          <w:rFonts w:ascii="Palatino Linotype" w:eastAsia="Palatino Linotype" w:hAnsi="Palatino Linotype" w:cs="Palatino Linotype"/>
          <w:sz w:val="22"/>
          <w:szCs w:val="22"/>
        </w:rPr>
        <w:t>DIECISIETE</w:t>
      </w:r>
      <w:r w:rsidR="005B0F96" w:rsidRPr="0061511A">
        <w:rPr>
          <w:rFonts w:ascii="Palatino Linotype" w:eastAsia="Palatino Linotype" w:hAnsi="Palatino Linotype" w:cs="Palatino Linotype"/>
          <w:sz w:val="22"/>
          <w:szCs w:val="22"/>
        </w:rPr>
        <w:t xml:space="preserve"> DE SEPTIEMBRE</w:t>
      </w:r>
      <w:r w:rsidR="00A44EED" w:rsidRPr="0061511A">
        <w:rPr>
          <w:rFonts w:ascii="Palatino Linotype" w:eastAsia="Palatino Linotype" w:hAnsi="Palatino Linotype" w:cs="Palatino Linotype"/>
          <w:sz w:val="22"/>
          <w:szCs w:val="22"/>
        </w:rPr>
        <w:t xml:space="preserve"> </w:t>
      </w:r>
      <w:r w:rsidRPr="0061511A">
        <w:rPr>
          <w:rFonts w:ascii="Palatino Linotype" w:eastAsia="Palatino Linotype" w:hAnsi="Palatino Linotype" w:cs="Palatino Linotype"/>
          <w:sz w:val="22"/>
          <w:szCs w:val="22"/>
        </w:rPr>
        <w:t>DE DOS MIL VEINTI</w:t>
      </w:r>
      <w:r w:rsidR="0001490F" w:rsidRPr="0061511A">
        <w:rPr>
          <w:rFonts w:ascii="Palatino Linotype" w:eastAsia="Palatino Linotype" w:hAnsi="Palatino Linotype" w:cs="Palatino Linotype"/>
          <w:sz w:val="22"/>
          <w:szCs w:val="22"/>
        </w:rPr>
        <w:t>SÉIS</w:t>
      </w:r>
      <w:r w:rsidRPr="0061511A">
        <w:rPr>
          <w:rFonts w:ascii="Palatino Linotype" w:eastAsia="Palatino Linotype" w:hAnsi="Palatino Linotype" w:cs="Palatino Linotype"/>
          <w:sz w:val="22"/>
          <w:szCs w:val="22"/>
        </w:rPr>
        <w:t>, ANTE EL SECRETARIO TÉCNICO DEL PLENO ALEXIS TAPIA RAMÍREZ.</w:t>
      </w:r>
    </w:p>
    <w:p w14:paraId="2B17951A"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42BFD139"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53CA5C2F"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153F672B"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3C65AC45"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238EB021"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3407AC65"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256D6055"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701554D9"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7D64FCF8"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2649A4EA"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7248715B"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1CDC395F" w14:textId="77777777" w:rsidR="00033F56" w:rsidRPr="00032DE3" w:rsidRDefault="00033F56" w:rsidP="00D7204E">
      <w:pPr>
        <w:spacing w:line="360" w:lineRule="auto"/>
        <w:jc w:val="both"/>
        <w:rPr>
          <w:rFonts w:ascii="Palatino Linotype" w:eastAsia="Palatino Linotype" w:hAnsi="Palatino Linotype" w:cs="Palatino Linotype"/>
          <w:sz w:val="22"/>
          <w:szCs w:val="22"/>
        </w:rPr>
      </w:pPr>
    </w:p>
    <w:p w14:paraId="4791ACC8" w14:textId="77777777" w:rsidR="00033F56" w:rsidRPr="00032DE3" w:rsidRDefault="00033F56" w:rsidP="00D7204E">
      <w:pPr>
        <w:spacing w:line="360" w:lineRule="auto"/>
        <w:jc w:val="both"/>
        <w:rPr>
          <w:rFonts w:ascii="Palatino Linotype" w:eastAsia="Palatino Linotype" w:hAnsi="Palatino Linotype" w:cs="Palatino Linotype"/>
          <w:sz w:val="22"/>
          <w:szCs w:val="22"/>
        </w:rPr>
      </w:pPr>
    </w:p>
    <w:p w14:paraId="3A9E4222" w14:textId="77777777" w:rsidR="00033F56" w:rsidRPr="00032DE3" w:rsidRDefault="00033F56" w:rsidP="00D7204E">
      <w:pPr>
        <w:spacing w:line="360" w:lineRule="auto"/>
        <w:jc w:val="both"/>
        <w:rPr>
          <w:rFonts w:ascii="Palatino Linotype" w:eastAsia="Palatino Linotype" w:hAnsi="Palatino Linotype" w:cs="Palatino Linotype"/>
          <w:sz w:val="22"/>
          <w:szCs w:val="22"/>
        </w:rPr>
      </w:pPr>
    </w:p>
    <w:p w14:paraId="645BE525" w14:textId="77777777" w:rsidR="00033F56" w:rsidRPr="00032DE3" w:rsidRDefault="00033F56" w:rsidP="00D7204E">
      <w:pPr>
        <w:spacing w:line="360" w:lineRule="auto"/>
        <w:jc w:val="both"/>
        <w:rPr>
          <w:rFonts w:ascii="Palatino Linotype" w:eastAsia="Palatino Linotype" w:hAnsi="Palatino Linotype" w:cs="Palatino Linotype"/>
          <w:sz w:val="22"/>
          <w:szCs w:val="22"/>
        </w:rPr>
      </w:pPr>
    </w:p>
    <w:p w14:paraId="3472B1A1" w14:textId="77777777" w:rsidR="00033F56" w:rsidRPr="00032DE3" w:rsidRDefault="00033F56" w:rsidP="00D7204E">
      <w:pPr>
        <w:spacing w:line="360" w:lineRule="auto"/>
        <w:jc w:val="both"/>
        <w:rPr>
          <w:rFonts w:ascii="Palatino Linotype" w:eastAsia="Palatino Linotype" w:hAnsi="Palatino Linotype" w:cs="Palatino Linotype"/>
          <w:sz w:val="22"/>
          <w:szCs w:val="22"/>
        </w:rPr>
      </w:pPr>
    </w:p>
    <w:p w14:paraId="2F154AA0" w14:textId="77777777" w:rsidR="00033F56" w:rsidRPr="00032DE3" w:rsidRDefault="00033F56" w:rsidP="00D7204E">
      <w:pPr>
        <w:spacing w:line="360" w:lineRule="auto"/>
        <w:jc w:val="both"/>
        <w:rPr>
          <w:rFonts w:ascii="Palatino Linotype" w:eastAsia="Palatino Linotype" w:hAnsi="Palatino Linotype" w:cs="Palatino Linotype"/>
          <w:sz w:val="22"/>
          <w:szCs w:val="22"/>
        </w:rPr>
      </w:pPr>
    </w:p>
    <w:p w14:paraId="5EDCAD7F" w14:textId="77777777" w:rsidR="00033F56" w:rsidRPr="00032DE3" w:rsidRDefault="00033F56" w:rsidP="00D7204E">
      <w:pPr>
        <w:spacing w:line="360" w:lineRule="auto"/>
        <w:jc w:val="both"/>
        <w:rPr>
          <w:rFonts w:ascii="Palatino Linotype" w:eastAsia="Palatino Linotype" w:hAnsi="Palatino Linotype" w:cs="Palatino Linotype"/>
          <w:sz w:val="22"/>
          <w:szCs w:val="22"/>
        </w:rPr>
      </w:pPr>
    </w:p>
    <w:p w14:paraId="52F8C504" w14:textId="77777777" w:rsidR="00033F56" w:rsidRPr="00032DE3" w:rsidRDefault="00033F56" w:rsidP="00D7204E">
      <w:pPr>
        <w:spacing w:line="360" w:lineRule="auto"/>
        <w:jc w:val="both"/>
        <w:rPr>
          <w:rFonts w:ascii="Palatino Linotype" w:eastAsia="Palatino Linotype" w:hAnsi="Palatino Linotype" w:cs="Palatino Linotype"/>
          <w:sz w:val="22"/>
          <w:szCs w:val="22"/>
        </w:rPr>
      </w:pPr>
    </w:p>
    <w:p w14:paraId="2CAB092A" w14:textId="77777777" w:rsidR="00033F56" w:rsidRPr="00032DE3" w:rsidRDefault="00033F56" w:rsidP="00D7204E">
      <w:pPr>
        <w:spacing w:line="360" w:lineRule="auto"/>
        <w:jc w:val="both"/>
        <w:rPr>
          <w:rFonts w:ascii="Palatino Linotype" w:eastAsia="Palatino Linotype" w:hAnsi="Palatino Linotype" w:cs="Palatino Linotype"/>
          <w:sz w:val="22"/>
          <w:szCs w:val="22"/>
        </w:rPr>
      </w:pPr>
    </w:p>
    <w:p w14:paraId="6031B3C8"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6DCAE615"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1BE99916"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6BA2925E" w14:textId="77777777" w:rsidR="005A75CA" w:rsidRPr="00032DE3" w:rsidRDefault="005A75CA" w:rsidP="00D7204E">
      <w:pPr>
        <w:spacing w:line="360" w:lineRule="auto"/>
        <w:jc w:val="both"/>
        <w:rPr>
          <w:rFonts w:ascii="Palatino Linotype" w:eastAsia="Palatino Linotype" w:hAnsi="Palatino Linotype" w:cs="Palatino Linotype"/>
          <w:sz w:val="22"/>
          <w:szCs w:val="22"/>
        </w:rPr>
      </w:pPr>
    </w:p>
    <w:p w14:paraId="17C11245" w14:textId="3D7A6E0A" w:rsidR="005A75CA" w:rsidRPr="00032DE3" w:rsidRDefault="005A75CA" w:rsidP="00D7204E">
      <w:pPr>
        <w:spacing w:line="360" w:lineRule="auto"/>
        <w:jc w:val="both"/>
        <w:rPr>
          <w:rFonts w:ascii="Palatino Linotype" w:eastAsia="Palatino Linotype" w:hAnsi="Palatino Linotype" w:cs="Palatino Linotype"/>
          <w:sz w:val="22"/>
          <w:szCs w:val="22"/>
        </w:rPr>
      </w:pPr>
    </w:p>
    <w:p w14:paraId="56C32FE7" w14:textId="77777777" w:rsidR="002456A1" w:rsidRPr="00032DE3" w:rsidRDefault="002456A1" w:rsidP="00D7204E">
      <w:pPr>
        <w:spacing w:line="360" w:lineRule="auto"/>
        <w:jc w:val="both"/>
        <w:rPr>
          <w:rFonts w:ascii="Palatino Linotype" w:eastAsia="Palatino Linotype" w:hAnsi="Palatino Linotype" w:cs="Palatino Linotype"/>
          <w:sz w:val="22"/>
          <w:szCs w:val="22"/>
        </w:rPr>
      </w:pPr>
    </w:p>
    <w:p w14:paraId="116A91A3" w14:textId="77777777" w:rsidR="00A0077E" w:rsidRPr="00032DE3" w:rsidRDefault="00A0077E">
      <w:pPr>
        <w:spacing w:line="360" w:lineRule="auto"/>
        <w:jc w:val="both"/>
        <w:rPr>
          <w:rFonts w:ascii="Palatino Linotype" w:eastAsia="Palatino Linotype" w:hAnsi="Palatino Linotype" w:cs="Palatino Linotype"/>
          <w:sz w:val="22"/>
          <w:szCs w:val="22"/>
        </w:rPr>
      </w:pPr>
    </w:p>
    <w:sectPr w:rsidR="00A0077E" w:rsidRPr="00032DE3">
      <w:headerReference w:type="default" r:id="rId11"/>
      <w:footerReference w:type="default" r:id="rId12"/>
      <w:headerReference w:type="first" r:id="rId13"/>
      <w:footerReference w:type="first" r:id="rId14"/>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A1091" w14:textId="77777777" w:rsidR="00CC2403" w:rsidRDefault="00CC2403">
      <w:r>
        <w:separator/>
      </w:r>
    </w:p>
  </w:endnote>
  <w:endnote w:type="continuationSeparator" w:id="0">
    <w:p w14:paraId="4306E559" w14:textId="77777777" w:rsidR="00CC2403" w:rsidRDefault="00CC2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2F03" w14:textId="1481EBE5" w:rsidR="00197D57" w:rsidRDefault="00197D57">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61511A">
      <w:rPr>
        <w:rFonts w:ascii="Palatino Linotype" w:eastAsia="Palatino Linotype" w:hAnsi="Palatino Linotype" w:cs="Palatino Linotype"/>
        <w:b/>
        <w:noProof/>
        <w:color w:val="000000"/>
        <w:sz w:val="20"/>
        <w:szCs w:val="20"/>
      </w:rPr>
      <w:t>40</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61511A">
      <w:rPr>
        <w:rFonts w:ascii="Palatino Linotype" w:eastAsia="Palatino Linotype" w:hAnsi="Palatino Linotype" w:cs="Palatino Linotype"/>
        <w:b/>
        <w:noProof/>
        <w:color w:val="000000"/>
        <w:sz w:val="20"/>
        <w:szCs w:val="20"/>
      </w:rPr>
      <w:t>42</w:t>
    </w:r>
    <w:r>
      <w:rPr>
        <w:rFonts w:ascii="Palatino Linotype" w:eastAsia="Palatino Linotype" w:hAnsi="Palatino Linotype" w:cs="Palatino Linotype"/>
        <w:b/>
        <w:color w:val="000000"/>
        <w:sz w:val="20"/>
        <w:szCs w:val="20"/>
      </w:rPr>
      <w:fldChar w:fldCharType="end"/>
    </w:r>
  </w:p>
  <w:p w14:paraId="0C3274EA" w14:textId="77777777" w:rsidR="00197D57" w:rsidRDefault="00197D57">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3AB2" w14:textId="3990010D" w:rsidR="00197D57" w:rsidRDefault="00197D57">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61511A">
      <w:rPr>
        <w:rFonts w:ascii="Palatino Linotype" w:eastAsia="Palatino Linotype" w:hAnsi="Palatino Linotype" w:cs="Palatino Linotype"/>
        <w:b/>
        <w:noProof/>
        <w:color w:val="000000"/>
        <w:sz w:val="20"/>
        <w:szCs w:val="20"/>
      </w:rPr>
      <w:t>1</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61511A">
      <w:rPr>
        <w:rFonts w:ascii="Palatino Linotype" w:eastAsia="Palatino Linotype" w:hAnsi="Palatino Linotype" w:cs="Palatino Linotype"/>
        <w:b/>
        <w:noProof/>
        <w:color w:val="000000"/>
        <w:sz w:val="20"/>
        <w:szCs w:val="20"/>
      </w:rPr>
      <w:t>42</w:t>
    </w:r>
    <w:r>
      <w:rPr>
        <w:rFonts w:ascii="Palatino Linotype" w:eastAsia="Palatino Linotype" w:hAnsi="Palatino Linotype" w:cs="Palatino Linotype"/>
        <w:b/>
        <w:color w:val="000000"/>
        <w:sz w:val="20"/>
        <w:szCs w:val="20"/>
      </w:rPr>
      <w:fldChar w:fldCharType="end"/>
    </w:r>
  </w:p>
  <w:p w14:paraId="75507642" w14:textId="77777777" w:rsidR="00197D57" w:rsidRDefault="00197D57">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8F4D2" w14:textId="77777777" w:rsidR="00CC2403" w:rsidRDefault="00CC2403">
      <w:r>
        <w:separator/>
      </w:r>
    </w:p>
  </w:footnote>
  <w:footnote w:type="continuationSeparator" w:id="0">
    <w:p w14:paraId="7562E158" w14:textId="77777777" w:rsidR="00CC2403" w:rsidRDefault="00CC2403">
      <w:r>
        <w:continuationSeparator/>
      </w:r>
    </w:p>
  </w:footnote>
  <w:footnote w:id="1">
    <w:p w14:paraId="245C2CC2" w14:textId="77777777" w:rsidR="00197D57" w:rsidRDefault="00197D57" w:rsidP="00394545">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w:t>
      </w:r>
      <w:hyperlink r:id="rId1">
        <w:r>
          <w:rPr>
            <w:rFonts w:ascii="Palatino Linotype" w:eastAsia="Palatino Linotype" w:hAnsi="Palatino Linotype" w:cs="Palatino Linotype"/>
            <w:color w:val="0000FF"/>
            <w:sz w:val="18"/>
            <w:szCs w:val="18"/>
            <w:u w:val="single"/>
          </w:rPr>
          <w:t>https://www.osfem.gob.mx/assets/conocenos/marco_normativo/acuerdos/2025/acuerdo_07_2025.pdf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CA3C9" w14:textId="6169BA1A" w:rsidR="00197D57" w:rsidRDefault="00197D57">
    <w:pPr>
      <w:rPr>
        <w:rFonts w:ascii="Cambria" w:eastAsia="Cambria" w:hAnsi="Cambria" w:cs="Cambria"/>
        <w:color w:val="000000"/>
      </w:rPr>
    </w:pPr>
  </w:p>
  <w:tbl>
    <w:tblPr>
      <w:tblStyle w:val="affa"/>
      <w:tblW w:w="5953" w:type="dxa"/>
      <w:tblInd w:w="3261" w:type="dxa"/>
      <w:tblLayout w:type="fixed"/>
      <w:tblLook w:val="0400" w:firstRow="0" w:lastRow="0" w:firstColumn="0" w:lastColumn="0" w:noHBand="0" w:noVBand="1"/>
    </w:tblPr>
    <w:tblGrid>
      <w:gridCol w:w="2489"/>
      <w:gridCol w:w="3464"/>
    </w:tblGrid>
    <w:tr w:rsidR="00197D57" w14:paraId="7D7A7303" w14:textId="77777777">
      <w:tc>
        <w:tcPr>
          <w:tcW w:w="2489" w:type="dxa"/>
        </w:tcPr>
        <w:p w14:paraId="0E742E37" w14:textId="77777777" w:rsidR="00197D57" w:rsidRDefault="00197D57">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1A1D9F71" w14:textId="08809488" w:rsidR="00197D57" w:rsidRDefault="00197D57" w:rsidP="00F5124A">
          <w:pPr>
            <w:ind w:right="175"/>
            <w:jc w:val="both"/>
            <w:rPr>
              <w:rFonts w:ascii="Palatino Linotype" w:eastAsia="Palatino Linotype" w:hAnsi="Palatino Linotype" w:cs="Palatino Linotype"/>
              <w:b/>
              <w:sz w:val="22"/>
              <w:szCs w:val="22"/>
            </w:rPr>
          </w:pPr>
          <w:r>
            <w:rPr>
              <w:noProof/>
            </w:rPr>
            <w:drawing>
              <wp:anchor distT="0" distB="0" distL="0" distR="0" simplePos="0" relativeHeight="251658240" behindDoc="1" locked="0" layoutInCell="1" hidden="0" allowOverlap="1" wp14:anchorId="72FFB153" wp14:editId="3405BE90">
                <wp:simplePos x="0" y="0"/>
                <wp:positionH relativeFrom="column">
                  <wp:posOffset>-4800600</wp:posOffset>
                </wp:positionH>
                <wp:positionV relativeFrom="paragraph">
                  <wp:posOffset>-641985</wp:posOffset>
                </wp:positionV>
                <wp:extent cx="7809865" cy="10165715"/>
                <wp:effectExtent l="0" t="0" r="0" b="0"/>
                <wp:wrapNone/>
                <wp:docPr id="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14:sizeRelH relativeFrom="margin">
                  <wp14:pctWidth>0</wp14:pctWidth>
                </wp14:sizeRelH>
                <wp14:sizeRelV relativeFrom="margin">
                  <wp14:pctHeight>0</wp14:pctHeight>
                </wp14:sizeRelV>
              </wp:anchor>
            </w:drawing>
          </w:r>
          <w:r>
            <w:rPr>
              <w:rFonts w:ascii="Palatino Linotype" w:eastAsia="Palatino Linotype" w:hAnsi="Palatino Linotype" w:cs="Palatino Linotype"/>
              <w:b/>
              <w:sz w:val="22"/>
              <w:szCs w:val="22"/>
            </w:rPr>
            <w:t>02946/INFOEM/IP/RR/2026</w:t>
          </w:r>
        </w:p>
      </w:tc>
    </w:tr>
    <w:tr w:rsidR="00197D57" w14:paraId="3CD5D37A" w14:textId="77777777">
      <w:trPr>
        <w:trHeight w:val="228"/>
      </w:trPr>
      <w:tc>
        <w:tcPr>
          <w:tcW w:w="2489" w:type="dxa"/>
          <w:vAlign w:val="center"/>
        </w:tcPr>
        <w:p w14:paraId="5D9B266F" w14:textId="77777777" w:rsidR="00197D57" w:rsidRDefault="00197D57">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241E6357" w14:textId="6FE89A31" w:rsidR="00197D57" w:rsidRDefault="00197D57">
          <w:pPr>
            <w:ind w:left="-45" w:right="176"/>
            <w:jc w:val="both"/>
            <w:rPr>
              <w:rFonts w:ascii="Palatino Linotype" w:eastAsia="Palatino Linotype" w:hAnsi="Palatino Linotype" w:cs="Palatino Linotype"/>
              <w:b/>
              <w:sz w:val="22"/>
              <w:szCs w:val="22"/>
            </w:rPr>
          </w:pPr>
          <w:r w:rsidRPr="00F5124A">
            <w:rPr>
              <w:rFonts w:ascii="Palatino Linotype" w:eastAsia="Palatino Linotype" w:hAnsi="Palatino Linotype" w:cs="Palatino Linotype"/>
              <w:b/>
              <w:sz w:val="22"/>
              <w:szCs w:val="22"/>
            </w:rPr>
            <w:t>Sistema Municipal Para el Desarrollo Integral de la Familia de la Paz</w:t>
          </w:r>
        </w:p>
      </w:tc>
    </w:tr>
    <w:tr w:rsidR="00197D57" w14:paraId="4A406CF8" w14:textId="77777777">
      <w:tc>
        <w:tcPr>
          <w:tcW w:w="2489" w:type="dxa"/>
          <w:vAlign w:val="center"/>
        </w:tcPr>
        <w:p w14:paraId="721EC51C" w14:textId="77777777" w:rsidR="00197D57" w:rsidRDefault="00197D57">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217CC28D" w14:textId="77777777" w:rsidR="00197D57" w:rsidRDefault="00197D57">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24A14674" w14:textId="77777777" w:rsidR="00197D57" w:rsidRDefault="00197D57">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D45FF" w14:textId="77777777" w:rsidR="00197D57" w:rsidRDefault="00197D57">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r>
      <w:rPr>
        <w:noProof/>
      </w:rPr>
      <w:drawing>
        <wp:anchor distT="0" distB="0" distL="0" distR="0" simplePos="0" relativeHeight="251659264" behindDoc="1" locked="0" layoutInCell="1" hidden="0" allowOverlap="1" wp14:anchorId="5664C077" wp14:editId="72386D7E">
          <wp:simplePos x="0" y="0"/>
          <wp:positionH relativeFrom="column">
            <wp:posOffset>-1080134</wp:posOffset>
          </wp:positionH>
          <wp:positionV relativeFrom="paragraph">
            <wp:posOffset>-369892</wp:posOffset>
          </wp:positionV>
          <wp:extent cx="7809865" cy="10165715"/>
          <wp:effectExtent l="0" t="0" r="0" b="0"/>
          <wp:wrapNone/>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fb"/>
      <w:tblW w:w="5953" w:type="dxa"/>
      <w:tblInd w:w="3261" w:type="dxa"/>
      <w:tblLayout w:type="fixed"/>
      <w:tblLook w:val="0400" w:firstRow="0" w:lastRow="0" w:firstColumn="0" w:lastColumn="0" w:noHBand="0" w:noVBand="1"/>
    </w:tblPr>
    <w:tblGrid>
      <w:gridCol w:w="2489"/>
      <w:gridCol w:w="3464"/>
    </w:tblGrid>
    <w:tr w:rsidR="00197D57" w14:paraId="7EB27161" w14:textId="77777777">
      <w:tc>
        <w:tcPr>
          <w:tcW w:w="2489" w:type="dxa"/>
        </w:tcPr>
        <w:p w14:paraId="31032DEA" w14:textId="77777777" w:rsidR="00197D57" w:rsidRDefault="00197D57">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62054199" w14:textId="20D41DF3" w:rsidR="00197D57" w:rsidRDefault="00197D57" w:rsidP="00F5124A">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02946/INFOEM/IP/RR/2026</w:t>
          </w:r>
        </w:p>
      </w:tc>
    </w:tr>
    <w:tr w:rsidR="00197D57" w14:paraId="3DB6A4A9" w14:textId="77777777">
      <w:tc>
        <w:tcPr>
          <w:tcW w:w="2489" w:type="dxa"/>
        </w:tcPr>
        <w:p w14:paraId="1EB49E89" w14:textId="77777777" w:rsidR="00197D57" w:rsidRDefault="00197D57">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Recurrente</w:t>
          </w:r>
        </w:p>
      </w:tc>
      <w:tc>
        <w:tcPr>
          <w:tcW w:w="3464" w:type="dxa"/>
          <w:vAlign w:val="center"/>
        </w:tcPr>
        <w:p w14:paraId="1232B0D5" w14:textId="048DC733" w:rsidR="00197D57" w:rsidRDefault="00197D57" w:rsidP="004B1309">
          <w:pPr>
            <w:ind w:right="175"/>
            <w:jc w:val="both"/>
            <w:rPr>
              <w:rFonts w:ascii="Palatino Linotype" w:eastAsia="Palatino Linotype" w:hAnsi="Palatino Linotype" w:cs="Palatino Linotype"/>
              <w:b/>
              <w:sz w:val="22"/>
              <w:szCs w:val="22"/>
              <w:highlight w:val="yellow"/>
            </w:rPr>
          </w:pPr>
        </w:p>
      </w:tc>
    </w:tr>
    <w:tr w:rsidR="00197D57" w14:paraId="6C9948E1" w14:textId="77777777">
      <w:trPr>
        <w:trHeight w:val="228"/>
      </w:trPr>
      <w:tc>
        <w:tcPr>
          <w:tcW w:w="2489" w:type="dxa"/>
          <w:vAlign w:val="center"/>
        </w:tcPr>
        <w:p w14:paraId="22D7B399" w14:textId="77777777" w:rsidR="00197D57" w:rsidRDefault="00197D57">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4811C401" w14:textId="5D1B32C4" w:rsidR="00197D57" w:rsidRDefault="00197D57">
          <w:pPr>
            <w:ind w:left="-45" w:right="176"/>
            <w:jc w:val="both"/>
            <w:rPr>
              <w:rFonts w:ascii="Palatino Linotype" w:eastAsia="Palatino Linotype" w:hAnsi="Palatino Linotype" w:cs="Palatino Linotype"/>
              <w:b/>
              <w:sz w:val="22"/>
              <w:szCs w:val="22"/>
            </w:rPr>
          </w:pPr>
          <w:r w:rsidRPr="00F5124A">
            <w:rPr>
              <w:rFonts w:ascii="Palatino Linotype" w:eastAsia="Palatino Linotype" w:hAnsi="Palatino Linotype" w:cs="Palatino Linotype"/>
              <w:b/>
              <w:sz w:val="22"/>
              <w:szCs w:val="22"/>
            </w:rPr>
            <w:t>Sistema Municipal Para el Desarrollo Integral de la Familia de la Paz</w:t>
          </w:r>
        </w:p>
      </w:tc>
    </w:tr>
    <w:tr w:rsidR="00197D57" w14:paraId="2B1C1852" w14:textId="77777777">
      <w:tc>
        <w:tcPr>
          <w:tcW w:w="2489" w:type="dxa"/>
          <w:vAlign w:val="center"/>
        </w:tcPr>
        <w:p w14:paraId="4F8DDCDE" w14:textId="77777777" w:rsidR="00197D57" w:rsidRDefault="00197D57">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105F17AE" w14:textId="77777777" w:rsidR="00197D57" w:rsidRDefault="00197D57">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6FDDDEC6" w14:textId="77777777" w:rsidR="00197D57" w:rsidRDefault="00197D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4971"/>
    <w:multiLevelType w:val="multilevel"/>
    <w:tmpl w:val="4DD0B73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03A57F74"/>
    <w:multiLevelType w:val="hybridMultilevel"/>
    <w:tmpl w:val="A35C8184"/>
    <w:lvl w:ilvl="0" w:tplc="47B2DB02">
      <w:start w:val="7"/>
      <w:numFmt w:val="upperRoman"/>
      <w:lvlText w:val="%1."/>
      <w:lvlJc w:val="right"/>
      <w:pPr>
        <w:tabs>
          <w:tab w:val="num" w:pos="720"/>
        </w:tabs>
        <w:ind w:left="720" w:hanging="360"/>
      </w:pPr>
    </w:lvl>
    <w:lvl w:ilvl="1" w:tplc="9A50892C" w:tentative="1">
      <w:start w:val="1"/>
      <w:numFmt w:val="decimal"/>
      <w:lvlText w:val="%2."/>
      <w:lvlJc w:val="left"/>
      <w:pPr>
        <w:tabs>
          <w:tab w:val="num" w:pos="1440"/>
        </w:tabs>
        <w:ind w:left="1440" w:hanging="360"/>
      </w:pPr>
    </w:lvl>
    <w:lvl w:ilvl="2" w:tplc="D44871F8" w:tentative="1">
      <w:start w:val="1"/>
      <w:numFmt w:val="decimal"/>
      <w:lvlText w:val="%3."/>
      <w:lvlJc w:val="left"/>
      <w:pPr>
        <w:tabs>
          <w:tab w:val="num" w:pos="2160"/>
        </w:tabs>
        <w:ind w:left="2160" w:hanging="360"/>
      </w:pPr>
    </w:lvl>
    <w:lvl w:ilvl="3" w:tplc="C0BA28A4" w:tentative="1">
      <w:start w:val="1"/>
      <w:numFmt w:val="decimal"/>
      <w:lvlText w:val="%4."/>
      <w:lvlJc w:val="left"/>
      <w:pPr>
        <w:tabs>
          <w:tab w:val="num" w:pos="2880"/>
        </w:tabs>
        <w:ind w:left="2880" w:hanging="360"/>
      </w:pPr>
    </w:lvl>
    <w:lvl w:ilvl="4" w:tplc="7A4C2F22" w:tentative="1">
      <w:start w:val="1"/>
      <w:numFmt w:val="decimal"/>
      <w:lvlText w:val="%5."/>
      <w:lvlJc w:val="left"/>
      <w:pPr>
        <w:tabs>
          <w:tab w:val="num" w:pos="3600"/>
        </w:tabs>
        <w:ind w:left="3600" w:hanging="360"/>
      </w:pPr>
    </w:lvl>
    <w:lvl w:ilvl="5" w:tplc="8974C698" w:tentative="1">
      <w:start w:val="1"/>
      <w:numFmt w:val="decimal"/>
      <w:lvlText w:val="%6."/>
      <w:lvlJc w:val="left"/>
      <w:pPr>
        <w:tabs>
          <w:tab w:val="num" w:pos="4320"/>
        </w:tabs>
        <w:ind w:left="4320" w:hanging="360"/>
      </w:pPr>
    </w:lvl>
    <w:lvl w:ilvl="6" w:tplc="733EA828" w:tentative="1">
      <w:start w:val="1"/>
      <w:numFmt w:val="decimal"/>
      <w:lvlText w:val="%7."/>
      <w:lvlJc w:val="left"/>
      <w:pPr>
        <w:tabs>
          <w:tab w:val="num" w:pos="5040"/>
        </w:tabs>
        <w:ind w:left="5040" w:hanging="360"/>
      </w:pPr>
    </w:lvl>
    <w:lvl w:ilvl="7" w:tplc="857EBB64" w:tentative="1">
      <w:start w:val="1"/>
      <w:numFmt w:val="decimal"/>
      <w:lvlText w:val="%8."/>
      <w:lvlJc w:val="left"/>
      <w:pPr>
        <w:tabs>
          <w:tab w:val="num" w:pos="5760"/>
        </w:tabs>
        <w:ind w:left="5760" w:hanging="360"/>
      </w:pPr>
    </w:lvl>
    <w:lvl w:ilvl="8" w:tplc="81447CE8" w:tentative="1">
      <w:start w:val="1"/>
      <w:numFmt w:val="decimal"/>
      <w:lvlText w:val="%9."/>
      <w:lvlJc w:val="left"/>
      <w:pPr>
        <w:tabs>
          <w:tab w:val="num" w:pos="6480"/>
        </w:tabs>
        <w:ind w:left="6480" w:hanging="360"/>
      </w:pPr>
    </w:lvl>
  </w:abstractNum>
  <w:abstractNum w:abstractNumId="2" w15:restartNumberingAfterBreak="0">
    <w:nsid w:val="04097D91"/>
    <w:multiLevelType w:val="hybridMultilevel"/>
    <w:tmpl w:val="60D4FB8A"/>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3" w15:restartNumberingAfterBreak="0">
    <w:nsid w:val="044F74AF"/>
    <w:multiLevelType w:val="hybridMultilevel"/>
    <w:tmpl w:val="80326770"/>
    <w:lvl w:ilvl="0" w:tplc="080A000F">
      <w:start w:val="1"/>
      <w:numFmt w:val="decimal"/>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 w15:restartNumberingAfterBreak="0">
    <w:nsid w:val="05565543"/>
    <w:multiLevelType w:val="multilevel"/>
    <w:tmpl w:val="41889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69406AE"/>
    <w:multiLevelType w:val="multilevel"/>
    <w:tmpl w:val="FF948C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C2740C"/>
    <w:multiLevelType w:val="multilevel"/>
    <w:tmpl w:val="A16C3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BFF6193"/>
    <w:multiLevelType w:val="multilevel"/>
    <w:tmpl w:val="42AADD5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0CB65594"/>
    <w:multiLevelType w:val="multilevel"/>
    <w:tmpl w:val="C12080EC"/>
    <w:lvl w:ilvl="0">
      <w:start w:val="1"/>
      <w:numFmt w:val="lowerRoman"/>
      <w:lvlText w:val="%1)"/>
      <w:lvlJc w:val="left"/>
      <w:pPr>
        <w:ind w:left="14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55045E1"/>
    <w:multiLevelType w:val="multilevel"/>
    <w:tmpl w:val="0DFE2D7E"/>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5329F5"/>
    <w:multiLevelType w:val="multilevel"/>
    <w:tmpl w:val="A6488AC6"/>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27C90CDD"/>
    <w:multiLevelType w:val="multilevel"/>
    <w:tmpl w:val="724893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8C372C3"/>
    <w:multiLevelType w:val="hybridMultilevel"/>
    <w:tmpl w:val="DC5C4A3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0">
    <w:nsid w:val="2AD561E3"/>
    <w:multiLevelType w:val="multilevel"/>
    <w:tmpl w:val="0F1047C2"/>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4" w15:restartNumberingAfterBreak="0">
    <w:nsid w:val="2CC24FDF"/>
    <w:multiLevelType w:val="hybridMultilevel"/>
    <w:tmpl w:val="AB7C4FF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5" w15:restartNumberingAfterBreak="0">
    <w:nsid w:val="325938D9"/>
    <w:multiLevelType w:val="multilevel"/>
    <w:tmpl w:val="4E102662"/>
    <w:lvl w:ilvl="0">
      <w:start w:val="1"/>
      <w:numFmt w:val="lowerLetter"/>
      <w:pStyle w:val="Listaconvietas3"/>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372F31AE"/>
    <w:multiLevelType w:val="hybridMultilevel"/>
    <w:tmpl w:val="27C0729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7" w15:restartNumberingAfterBreak="0">
    <w:nsid w:val="3A2C6D8A"/>
    <w:multiLevelType w:val="hybridMultilevel"/>
    <w:tmpl w:val="4BF6766E"/>
    <w:lvl w:ilvl="0" w:tplc="EBBC3E08">
      <w:start w:val="7"/>
      <w:numFmt w:val="bullet"/>
      <w:lvlText w:val="-"/>
      <w:lvlJc w:val="left"/>
      <w:pPr>
        <w:ind w:left="720" w:hanging="360"/>
      </w:pPr>
      <w:rPr>
        <w:rFonts w:ascii="Palatino Linotype" w:eastAsia="Palatino Linotype" w:hAnsi="Palatino Linotype"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0912925"/>
    <w:multiLevelType w:val="multilevel"/>
    <w:tmpl w:val="6EAE7F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530B1C1E"/>
    <w:multiLevelType w:val="multilevel"/>
    <w:tmpl w:val="D6C286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7FB0EAA"/>
    <w:multiLevelType w:val="hybridMultilevel"/>
    <w:tmpl w:val="B03ED44C"/>
    <w:lvl w:ilvl="0" w:tplc="4F086008">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1" w15:restartNumberingAfterBreak="0">
    <w:nsid w:val="5CF976EC"/>
    <w:multiLevelType w:val="hybridMultilevel"/>
    <w:tmpl w:val="FDE62E48"/>
    <w:lvl w:ilvl="0" w:tplc="080A000F">
      <w:start w:val="1"/>
      <w:numFmt w:val="decimal"/>
      <w:lvlText w:val="%1."/>
      <w:lvlJc w:val="left"/>
      <w:pPr>
        <w:ind w:left="1724" w:hanging="360"/>
      </w:pPr>
    </w:lvl>
    <w:lvl w:ilvl="1" w:tplc="080A0019" w:tentative="1">
      <w:start w:val="1"/>
      <w:numFmt w:val="lowerLetter"/>
      <w:lvlText w:val="%2."/>
      <w:lvlJc w:val="left"/>
      <w:pPr>
        <w:ind w:left="2444" w:hanging="360"/>
      </w:pPr>
    </w:lvl>
    <w:lvl w:ilvl="2" w:tplc="080A001B" w:tentative="1">
      <w:start w:val="1"/>
      <w:numFmt w:val="lowerRoman"/>
      <w:lvlText w:val="%3."/>
      <w:lvlJc w:val="right"/>
      <w:pPr>
        <w:ind w:left="3164" w:hanging="180"/>
      </w:pPr>
    </w:lvl>
    <w:lvl w:ilvl="3" w:tplc="080A000F" w:tentative="1">
      <w:start w:val="1"/>
      <w:numFmt w:val="decimal"/>
      <w:lvlText w:val="%4."/>
      <w:lvlJc w:val="left"/>
      <w:pPr>
        <w:ind w:left="3884" w:hanging="360"/>
      </w:pPr>
    </w:lvl>
    <w:lvl w:ilvl="4" w:tplc="080A0019" w:tentative="1">
      <w:start w:val="1"/>
      <w:numFmt w:val="lowerLetter"/>
      <w:lvlText w:val="%5."/>
      <w:lvlJc w:val="left"/>
      <w:pPr>
        <w:ind w:left="4604" w:hanging="360"/>
      </w:pPr>
    </w:lvl>
    <w:lvl w:ilvl="5" w:tplc="080A001B" w:tentative="1">
      <w:start w:val="1"/>
      <w:numFmt w:val="lowerRoman"/>
      <w:lvlText w:val="%6."/>
      <w:lvlJc w:val="right"/>
      <w:pPr>
        <w:ind w:left="5324" w:hanging="180"/>
      </w:pPr>
    </w:lvl>
    <w:lvl w:ilvl="6" w:tplc="080A000F" w:tentative="1">
      <w:start w:val="1"/>
      <w:numFmt w:val="decimal"/>
      <w:lvlText w:val="%7."/>
      <w:lvlJc w:val="left"/>
      <w:pPr>
        <w:ind w:left="6044" w:hanging="360"/>
      </w:pPr>
    </w:lvl>
    <w:lvl w:ilvl="7" w:tplc="080A0019" w:tentative="1">
      <w:start w:val="1"/>
      <w:numFmt w:val="lowerLetter"/>
      <w:lvlText w:val="%8."/>
      <w:lvlJc w:val="left"/>
      <w:pPr>
        <w:ind w:left="6764" w:hanging="360"/>
      </w:pPr>
    </w:lvl>
    <w:lvl w:ilvl="8" w:tplc="080A001B" w:tentative="1">
      <w:start w:val="1"/>
      <w:numFmt w:val="lowerRoman"/>
      <w:lvlText w:val="%9."/>
      <w:lvlJc w:val="right"/>
      <w:pPr>
        <w:ind w:left="7484" w:hanging="180"/>
      </w:pPr>
    </w:lvl>
  </w:abstractNum>
  <w:abstractNum w:abstractNumId="22" w15:restartNumberingAfterBreak="0">
    <w:nsid w:val="5D485EB7"/>
    <w:multiLevelType w:val="hybridMultilevel"/>
    <w:tmpl w:val="F948D5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F7F5EB6"/>
    <w:multiLevelType w:val="multilevel"/>
    <w:tmpl w:val="6D16810E"/>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5F8D6E0B"/>
    <w:multiLevelType w:val="multilevel"/>
    <w:tmpl w:val="C31A3E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20930DE"/>
    <w:multiLevelType w:val="multilevel"/>
    <w:tmpl w:val="07B63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914618D"/>
    <w:multiLevelType w:val="multilevel"/>
    <w:tmpl w:val="59D84C9E"/>
    <w:lvl w:ilvl="0">
      <w:start w:val="1"/>
      <w:numFmt w:val="decimal"/>
      <w:lvlText w:val="%1)"/>
      <w:lvlJc w:val="lef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CB34B05"/>
    <w:multiLevelType w:val="multilevel"/>
    <w:tmpl w:val="9AC285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FD75C68"/>
    <w:multiLevelType w:val="hybridMultilevel"/>
    <w:tmpl w:val="8FF0672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9" w15:restartNumberingAfterBreak="0">
    <w:nsid w:val="7BD4592D"/>
    <w:multiLevelType w:val="multilevel"/>
    <w:tmpl w:val="BB5AF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6708981">
    <w:abstractNumId w:val="15"/>
  </w:num>
  <w:num w:numId="2" w16cid:durableId="1374117757">
    <w:abstractNumId w:val="7"/>
  </w:num>
  <w:num w:numId="3" w16cid:durableId="1007756547">
    <w:abstractNumId w:val="18"/>
  </w:num>
  <w:num w:numId="4" w16cid:durableId="25721001">
    <w:abstractNumId w:val="13"/>
  </w:num>
  <w:num w:numId="5" w16cid:durableId="619804512">
    <w:abstractNumId w:val="20"/>
  </w:num>
  <w:num w:numId="6" w16cid:durableId="11562644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1233417">
    <w:abstractNumId w:val="29"/>
  </w:num>
  <w:num w:numId="8" w16cid:durableId="1956135055">
    <w:abstractNumId w:val="4"/>
  </w:num>
  <w:num w:numId="9" w16cid:durableId="32077680">
    <w:abstractNumId w:val="12"/>
  </w:num>
  <w:num w:numId="10" w16cid:durableId="883101820">
    <w:abstractNumId w:val="25"/>
  </w:num>
  <w:num w:numId="11" w16cid:durableId="1393044598">
    <w:abstractNumId w:val="0"/>
  </w:num>
  <w:num w:numId="12" w16cid:durableId="822623716">
    <w:abstractNumId w:val="27"/>
  </w:num>
  <w:num w:numId="13" w16cid:durableId="1452238432">
    <w:abstractNumId w:val="5"/>
  </w:num>
  <w:num w:numId="14" w16cid:durableId="146941133">
    <w:abstractNumId w:val="24"/>
  </w:num>
  <w:num w:numId="15" w16cid:durableId="1085225866">
    <w:abstractNumId w:val="6"/>
  </w:num>
  <w:num w:numId="16" w16cid:durableId="1065909061">
    <w:abstractNumId w:val="16"/>
  </w:num>
  <w:num w:numId="17" w16cid:durableId="449520370">
    <w:abstractNumId w:val="26"/>
    <w:lvlOverride w:ilvl="0">
      <w:startOverride w:val="1"/>
    </w:lvlOverride>
    <w:lvlOverride w:ilvl="1"/>
    <w:lvlOverride w:ilvl="2"/>
    <w:lvlOverride w:ilvl="3"/>
    <w:lvlOverride w:ilvl="4"/>
    <w:lvlOverride w:ilvl="5"/>
    <w:lvlOverride w:ilvl="6"/>
    <w:lvlOverride w:ilvl="7"/>
    <w:lvlOverride w:ilvl="8"/>
  </w:num>
  <w:num w:numId="18" w16cid:durableId="15844177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102675">
    <w:abstractNumId w:val="19"/>
  </w:num>
  <w:num w:numId="20" w16cid:durableId="3592859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029810">
    <w:abstractNumId w:val="2"/>
  </w:num>
  <w:num w:numId="22" w16cid:durableId="1091975258">
    <w:abstractNumId w:val="1"/>
  </w:num>
  <w:num w:numId="23" w16cid:durableId="57827511">
    <w:abstractNumId w:val="14"/>
  </w:num>
  <w:num w:numId="24" w16cid:durableId="1152285617">
    <w:abstractNumId w:val="28"/>
  </w:num>
  <w:num w:numId="25" w16cid:durableId="96757961">
    <w:abstractNumId w:val="22"/>
  </w:num>
  <w:num w:numId="26" w16cid:durableId="1401781925">
    <w:abstractNumId w:val="23"/>
  </w:num>
  <w:num w:numId="27" w16cid:durableId="176509597">
    <w:abstractNumId w:val="17"/>
  </w:num>
  <w:num w:numId="28" w16cid:durableId="1448815008">
    <w:abstractNumId w:val="3"/>
  </w:num>
  <w:num w:numId="29" w16cid:durableId="580717730">
    <w:abstractNumId w:val="21"/>
  </w:num>
  <w:num w:numId="30" w16cid:durableId="11084272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CA"/>
    <w:rsid w:val="000001DD"/>
    <w:rsid w:val="00006FC8"/>
    <w:rsid w:val="00010CDA"/>
    <w:rsid w:val="0001191B"/>
    <w:rsid w:val="0001490F"/>
    <w:rsid w:val="00021F96"/>
    <w:rsid w:val="0002597E"/>
    <w:rsid w:val="00030138"/>
    <w:rsid w:val="0003239B"/>
    <w:rsid w:val="00032DE3"/>
    <w:rsid w:val="00033F56"/>
    <w:rsid w:val="000434F4"/>
    <w:rsid w:val="000450A5"/>
    <w:rsid w:val="00045196"/>
    <w:rsid w:val="00055422"/>
    <w:rsid w:val="00056155"/>
    <w:rsid w:val="00060351"/>
    <w:rsid w:val="00062182"/>
    <w:rsid w:val="0006362F"/>
    <w:rsid w:val="00075ABA"/>
    <w:rsid w:val="00081B2B"/>
    <w:rsid w:val="00086014"/>
    <w:rsid w:val="000911CE"/>
    <w:rsid w:val="00091354"/>
    <w:rsid w:val="00092537"/>
    <w:rsid w:val="000935A0"/>
    <w:rsid w:val="000967EE"/>
    <w:rsid w:val="000A5A93"/>
    <w:rsid w:val="000A6509"/>
    <w:rsid w:val="000B08E2"/>
    <w:rsid w:val="000B10EC"/>
    <w:rsid w:val="000B1F1E"/>
    <w:rsid w:val="000B6897"/>
    <w:rsid w:val="000B7422"/>
    <w:rsid w:val="000D20E1"/>
    <w:rsid w:val="000E1AC0"/>
    <w:rsid w:val="000E5B26"/>
    <w:rsid w:val="000F23D9"/>
    <w:rsid w:val="000F4C63"/>
    <w:rsid w:val="000F7432"/>
    <w:rsid w:val="00106887"/>
    <w:rsid w:val="00112919"/>
    <w:rsid w:val="0011483E"/>
    <w:rsid w:val="00114A40"/>
    <w:rsid w:val="00115D0B"/>
    <w:rsid w:val="00115E84"/>
    <w:rsid w:val="00117765"/>
    <w:rsid w:val="001205A1"/>
    <w:rsid w:val="00122A9E"/>
    <w:rsid w:val="001233DE"/>
    <w:rsid w:val="001267DD"/>
    <w:rsid w:val="00127F65"/>
    <w:rsid w:val="001314F8"/>
    <w:rsid w:val="001331C9"/>
    <w:rsid w:val="00133F88"/>
    <w:rsid w:val="001370F0"/>
    <w:rsid w:val="0014153C"/>
    <w:rsid w:val="001422C0"/>
    <w:rsid w:val="001478A2"/>
    <w:rsid w:val="00150A37"/>
    <w:rsid w:val="001563CF"/>
    <w:rsid w:val="00165861"/>
    <w:rsid w:val="00165B01"/>
    <w:rsid w:val="00170F4F"/>
    <w:rsid w:val="001749F1"/>
    <w:rsid w:val="0017599F"/>
    <w:rsid w:val="00177D9B"/>
    <w:rsid w:val="00184296"/>
    <w:rsid w:val="00190F9B"/>
    <w:rsid w:val="001922AD"/>
    <w:rsid w:val="001952E1"/>
    <w:rsid w:val="00195FC9"/>
    <w:rsid w:val="00197D57"/>
    <w:rsid w:val="001A0977"/>
    <w:rsid w:val="001A1378"/>
    <w:rsid w:val="001A591E"/>
    <w:rsid w:val="001B1226"/>
    <w:rsid w:val="001B38DE"/>
    <w:rsid w:val="001D078B"/>
    <w:rsid w:val="001D5ED1"/>
    <w:rsid w:val="001D66E3"/>
    <w:rsid w:val="001E3C46"/>
    <w:rsid w:val="001E5062"/>
    <w:rsid w:val="001E6B05"/>
    <w:rsid w:val="001F4E3C"/>
    <w:rsid w:val="001F5EE5"/>
    <w:rsid w:val="001F7FD6"/>
    <w:rsid w:val="0020229D"/>
    <w:rsid w:val="00203F01"/>
    <w:rsid w:val="002045B4"/>
    <w:rsid w:val="0020596D"/>
    <w:rsid w:val="00205B67"/>
    <w:rsid w:val="002108BF"/>
    <w:rsid w:val="00213621"/>
    <w:rsid w:val="00213DB1"/>
    <w:rsid w:val="00213E19"/>
    <w:rsid w:val="0022185E"/>
    <w:rsid w:val="00222A1F"/>
    <w:rsid w:val="002257A3"/>
    <w:rsid w:val="0023548E"/>
    <w:rsid w:val="002358DC"/>
    <w:rsid w:val="0023698F"/>
    <w:rsid w:val="00240951"/>
    <w:rsid w:val="0024539A"/>
    <w:rsid w:val="002456A1"/>
    <w:rsid w:val="00252329"/>
    <w:rsid w:val="00257C3E"/>
    <w:rsid w:val="00260267"/>
    <w:rsid w:val="002616BA"/>
    <w:rsid w:val="002716E6"/>
    <w:rsid w:val="0027202A"/>
    <w:rsid w:val="002747F8"/>
    <w:rsid w:val="0027587D"/>
    <w:rsid w:val="00276590"/>
    <w:rsid w:val="0029124C"/>
    <w:rsid w:val="00297CFA"/>
    <w:rsid w:val="002A5C21"/>
    <w:rsid w:val="002A698A"/>
    <w:rsid w:val="002A7CEA"/>
    <w:rsid w:val="002B655B"/>
    <w:rsid w:val="002B6976"/>
    <w:rsid w:val="002C7F27"/>
    <w:rsid w:val="002D3FC3"/>
    <w:rsid w:val="002D4CDF"/>
    <w:rsid w:val="002D5D34"/>
    <w:rsid w:val="002D6110"/>
    <w:rsid w:val="002D7C95"/>
    <w:rsid w:val="002E39F9"/>
    <w:rsid w:val="002F34CD"/>
    <w:rsid w:val="002F4E98"/>
    <w:rsid w:val="00302612"/>
    <w:rsid w:val="00304ABF"/>
    <w:rsid w:val="003050B9"/>
    <w:rsid w:val="003125FC"/>
    <w:rsid w:val="0032187A"/>
    <w:rsid w:val="0032741C"/>
    <w:rsid w:val="00330F84"/>
    <w:rsid w:val="00334509"/>
    <w:rsid w:val="00343EC0"/>
    <w:rsid w:val="00347B44"/>
    <w:rsid w:val="003506FB"/>
    <w:rsid w:val="00361DB3"/>
    <w:rsid w:val="00365214"/>
    <w:rsid w:val="00372145"/>
    <w:rsid w:val="00390104"/>
    <w:rsid w:val="00391314"/>
    <w:rsid w:val="00392126"/>
    <w:rsid w:val="003927D7"/>
    <w:rsid w:val="00394119"/>
    <w:rsid w:val="00394545"/>
    <w:rsid w:val="003945CF"/>
    <w:rsid w:val="003A53D5"/>
    <w:rsid w:val="003B12AA"/>
    <w:rsid w:val="003B2D46"/>
    <w:rsid w:val="003B4D06"/>
    <w:rsid w:val="003B5F0A"/>
    <w:rsid w:val="003C3C01"/>
    <w:rsid w:val="003C7CB0"/>
    <w:rsid w:val="003D009C"/>
    <w:rsid w:val="003D0956"/>
    <w:rsid w:val="003D1488"/>
    <w:rsid w:val="003D3C3A"/>
    <w:rsid w:val="003D4046"/>
    <w:rsid w:val="003E2AB0"/>
    <w:rsid w:val="003E5305"/>
    <w:rsid w:val="003F11AC"/>
    <w:rsid w:val="003F5E4F"/>
    <w:rsid w:val="00403FFC"/>
    <w:rsid w:val="00404DBE"/>
    <w:rsid w:val="0040684A"/>
    <w:rsid w:val="0040759E"/>
    <w:rsid w:val="00414607"/>
    <w:rsid w:val="004205DC"/>
    <w:rsid w:val="00421F6D"/>
    <w:rsid w:val="004306A8"/>
    <w:rsid w:val="004333E3"/>
    <w:rsid w:val="00434EB5"/>
    <w:rsid w:val="00440948"/>
    <w:rsid w:val="00444CAE"/>
    <w:rsid w:val="00444E83"/>
    <w:rsid w:val="004621D9"/>
    <w:rsid w:val="00462240"/>
    <w:rsid w:val="0046426F"/>
    <w:rsid w:val="004646CD"/>
    <w:rsid w:val="004739B6"/>
    <w:rsid w:val="00483971"/>
    <w:rsid w:val="004860EA"/>
    <w:rsid w:val="0049521E"/>
    <w:rsid w:val="00495A3F"/>
    <w:rsid w:val="00497588"/>
    <w:rsid w:val="004A4FEF"/>
    <w:rsid w:val="004A50BF"/>
    <w:rsid w:val="004B1309"/>
    <w:rsid w:val="004B1393"/>
    <w:rsid w:val="004B5C66"/>
    <w:rsid w:val="004B6C62"/>
    <w:rsid w:val="004C3BB2"/>
    <w:rsid w:val="004D606F"/>
    <w:rsid w:val="004E20A7"/>
    <w:rsid w:val="004F0876"/>
    <w:rsid w:val="004F3DC7"/>
    <w:rsid w:val="004F41CB"/>
    <w:rsid w:val="004F4FF9"/>
    <w:rsid w:val="004F7E09"/>
    <w:rsid w:val="00506273"/>
    <w:rsid w:val="005224DD"/>
    <w:rsid w:val="005226A1"/>
    <w:rsid w:val="00524144"/>
    <w:rsid w:val="00525B05"/>
    <w:rsid w:val="00530833"/>
    <w:rsid w:val="00537F4C"/>
    <w:rsid w:val="005508F7"/>
    <w:rsid w:val="00560785"/>
    <w:rsid w:val="005625FF"/>
    <w:rsid w:val="00565B39"/>
    <w:rsid w:val="0057365C"/>
    <w:rsid w:val="0057455B"/>
    <w:rsid w:val="00575D4C"/>
    <w:rsid w:val="0058265C"/>
    <w:rsid w:val="0058690B"/>
    <w:rsid w:val="00587371"/>
    <w:rsid w:val="0059083F"/>
    <w:rsid w:val="00590FB1"/>
    <w:rsid w:val="005A7411"/>
    <w:rsid w:val="005A75CA"/>
    <w:rsid w:val="005B0F96"/>
    <w:rsid w:val="005B6BEF"/>
    <w:rsid w:val="005C23D5"/>
    <w:rsid w:val="005D5DE1"/>
    <w:rsid w:val="005E179A"/>
    <w:rsid w:val="005E3413"/>
    <w:rsid w:val="005F0263"/>
    <w:rsid w:val="005F3716"/>
    <w:rsid w:val="00602229"/>
    <w:rsid w:val="00605FD6"/>
    <w:rsid w:val="00611C81"/>
    <w:rsid w:val="0061364A"/>
    <w:rsid w:val="006141D0"/>
    <w:rsid w:val="00614AF9"/>
    <w:rsid w:val="0061511A"/>
    <w:rsid w:val="00616184"/>
    <w:rsid w:val="00620310"/>
    <w:rsid w:val="00621E51"/>
    <w:rsid w:val="00626BB5"/>
    <w:rsid w:val="006270EE"/>
    <w:rsid w:val="00631944"/>
    <w:rsid w:val="00632241"/>
    <w:rsid w:val="00632C2A"/>
    <w:rsid w:val="0063443F"/>
    <w:rsid w:val="006344E4"/>
    <w:rsid w:val="00635B4A"/>
    <w:rsid w:val="00636524"/>
    <w:rsid w:val="006367B1"/>
    <w:rsid w:val="00637AFF"/>
    <w:rsid w:val="0064122E"/>
    <w:rsid w:val="00644029"/>
    <w:rsid w:val="00650812"/>
    <w:rsid w:val="006572E1"/>
    <w:rsid w:val="006604EC"/>
    <w:rsid w:val="00665D57"/>
    <w:rsid w:val="00670105"/>
    <w:rsid w:val="00676FA1"/>
    <w:rsid w:val="006822B4"/>
    <w:rsid w:val="00686B04"/>
    <w:rsid w:val="00690D64"/>
    <w:rsid w:val="00691873"/>
    <w:rsid w:val="00697A8E"/>
    <w:rsid w:val="006A4E1C"/>
    <w:rsid w:val="006A578F"/>
    <w:rsid w:val="006B42FD"/>
    <w:rsid w:val="006B5BE3"/>
    <w:rsid w:val="006C3C73"/>
    <w:rsid w:val="006C5AD6"/>
    <w:rsid w:val="006C6757"/>
    <w:rsid w:val="006C6F01"/>
    <w:rsid w:val="006C72C4"/>
    <w:rsid w:val="006D4370"/>
    <w:rsid w:val="006D6CC9"/>
    <w:rsid w:val="006D748F"/>
    <w:rsid w:val="006E0E72"/>
    <w:rsid w:val="006F059B"/>
    <w:rsid w:val="006F75DE"/>
    <w:rsid w:val="006F7F8D"/>
    <w:rsid w:val="007027BF"/>
    <w:rsid w:val="00704575"/>
    <w:rsid w:val="00706E58"/>
    <w:rsid w:val="007136F9"/>
    <w:rsid w:val="00713CC0"/>
    <w:rsid w:val="007144C5"/>
    <w:rsid w:val="00714D4B"/>
    <w:rsid w:val="00716118"/>
    <w:rsid w:val="0072309F"/>
    <w:rsid w:val="007258F7"/>
    <w:rsid w:val="00725AD8"/>
    <w:rsid w:val="00725C3E"/>
    <w:rsid w:val="00726CE4"/>
    <w:rsid w:val="00726D03"/>
    <w:rsid w:val="00730FDC"/>
    <w:rsid w:val="00733A73"/>
    <w:rsid w:val="007360BF"/>
    <w:rsid w:val="007360C5"/>
    <w:rsid w:val="00745FCC"/>
    <w:rsid w:val="00750797"/>
    <w:rsid w:val="0075611B"/>
    <w:rsid w:val="00756ED3"/>
    <w:rsid w:val="00762158"/>
    <w:rsid w:val="007655BF"/>
    <w:rsid w:val="00772F68"/>
    <w:rsid w:val="00773982"/>
    <w:rsid w:val="00786F36"/>
    <w:rsid w:val="00792150"/>
    <w:rsid w:val="00794DE9"/>
    <w:rsid w:val="007A1633"/>
    <w:rsid w:val="007A26C2"/>
    <w:rsid w:val="007A38A1"/>
    <w:rsid w:val="007B4542"/>
    <w:rsid w:val="007B7073"/>
    <w:rsid w:val="007C30FF"/>
    <w:rsid w:val="007D142D"/>
    <w:rsid w:val="007E1455"/>
    <w:rsid w:val="007E3F38"/>
    <w:rsid w:val="007E6096"/>
    <w:rsid w:val="007E62E7"/>
    <w:rsid w:val="007F534E"/>
    <w:rsid w:val="00811223"/>
    <w:rsid w:val="008115A6"/>
    <w:rsid w:val="008178BC"/>
    <w:rsid w:val="00817C00"/>
    <w:rsid w:val="0083220B"/>
    <w:rsid w:val="00837327"/>
    <w:rsid w:val="008416B3"/>
    <w:rsid w:val="00853F61"/>
    <w:rsid w:val="00870CC9"/>
    <w:rsid w:val="00871C8E"/>
    <w:rsid w:val="00871F4E"/>
    <w:rsid w:val="008765F7"/>
    <w:rsid w:val="00877C5D"/>
    <w:rsid w:val="00893EF4"/>
    <w:rsid w:val="00894CC7"/>
    <w:rsid w:val="008A5299"/>
    <w:rsid w:val="008B119B"/>
    <w:rsid w:val="008C0431"/>
    <w:rsid w:val="008C1BA6"/>
    <w:rsid w:val="008C3A86"/>
    <w:rsid w:val="008C583A"/>
    <w:rsid w:val="008D3781"/>
    <w:rsid w:val="008D41A6"/>
    <w:rsid w:val="008E0084"/>
    <w:rsid w:val="008E0201"/>
    <w:rsid w:val="008E10E3"/>
    <w:rsid w:val="008F3C8D"/>
    <w:rsid w:val="008F4EE1"/>
    <w:rsid w:val="008F513A"/>
    <w:rsid w:val="0090088A"/>
    <w:rsid w:val="00901A4F"/>
    <w:rsid w:val="0090428C"/>
    <w:rsid w:val="00906BE1"/>
    <w:rsid w:val="00906D09"/>
    <w:rsid w:val="009101FE"/>
    <w:rsid w:val="009105D0"/>
    <w:rsid w:val="00913064"/>
    <w:rsid w:val="0092171A"/>
    <w:rsid w:val="009320DE"/>
    <w:rsid w:val="0093211E"/>
    <w:rsid w:val="0093680E"/>
    <w:rsid w:val="00936CF1"/>
    <w:rsid w:val="00944957"/>
    <w:rsid w:val="00946C37"/>
    <w:rsid w:val="009474F2"/>
    <w:rsid w:val="00950232"/>
    <w:rsid w:val="00955A17"/>
    <w:rsid w:val="0095701F"/>
    <w:rsid w:val="00963CBD"/>
    <w:rsid w:val="00967195"/>
    <w:rsid w:val="0097089F"/>
    <w:rsid w:val="00970AC4"/>
    <w:rsid w:val="009761CD"/>
    <w:rsid w:val="0098044D"/>
    <w:rsid w:val="009865FE"/>
    <w:rsid w:val="009947B5"/>
    <w:rsid w:val="00997932"/>
    <w:rsid w:val="009A2EBA"/>
    <w:rsid w:val="009A64CC"/>
    <w:rsid w:val="009A715D"/>
    <w:rsid w:val="009B2FB9"/>
    <w:rsid w:val="009B5196"/>
    <w:rsid w:val="009B5EA0"/>
    <w:rsid w:val="009B76AB"/>
    <w:rsid w:val="009C2784"/>
    <w:rsid w:val="009C67A9"/>
    <w:rsid w:val="009D254A"/>
    <w:rsid w:val="009E1D30"/>
    <w:rsid w:val="009E7E7A"/>
    <w:rsid w:val="009F27C0"/>
    <w:rsid w:val="009F548D"/>
    <w:rsid w:val="009F570B"/>
    <w:rsid w:val="009F5A26"/>
    <w:rsid w:val="00A0077E"/>
    <w:rsid w:val="00A011FF"/>
    <w:rsid w:val="00A038BB"/>
    <w:rsid w:val="00A039DF"/>
    <w:rsid w:val="00A0758F"/>
    <w:rsid w:val="00A1535E"/>
    <w:rsid w:val="00A16DBC"/>
    <w:rsid w:val="00A17E93"/>
    <w:rsid w:val="00A2197E"/>
    <w:rsid w:val="00A25231"/>
    <w:rsid w:val="00A261A0"/>
    <w:rsid w:val="00A3292F"/>
    <w:rsid w:val="00A424AD"/>
    <w:rsid w:val="00A43857"/>
    <w:rsid w:val="00A44EED"/>
    <w:rsid w:val="00A46B12"/>
    <w:rsid w:val="00A521E3"/>
    <w:rsid w:val="00A54596"/>
    <w:rsid w:val="00A6002C"/>
    <w:rsid w:val="00A63EAB"/>
    <w:rsid w:val="00A754BF"/>
    <w:rsid w:val="00A77106"/>
    <w:rsid w:val="00A77D7D"/>
    <w:rsid w:val="00A82127"/>
    <w:rsid w:val="00A86E10"/>
    <w:rsid w:val="00AA167F"/>
    <w:rsid w:val="00AA28D8"/>
    <w:rsid w:val="00AA4F89"/>
    <w:rsid w:val="00AB354C"/>
    <w:rsid w:val="00AC0437"/>
    <w:rsid w:val="00AC79F3"/>
    <w:rsid w:val="00AD7321"/>
    <w:rsid w:val="00AD7F25"/>
    <w:rsid w:val="00AE1BCD"/>
    <w:rsid w:val="00B00645"/>
    <w:rsid w:val="00B01291"/>
    <w:rsid w:val="00B03297"/>
    <w:rsid w:val="00B036A9"/>
    <w:rsid w:val="00B116E9"/>
    <w:rsid w:val="00B11F9E"/>
    <w:rsid w:val="00B165AE"/>
    <w:rsid w:val="00B17CFB"/>
    <w:rsid w:val="00B24416"/>
    <w:rsid w:val="00B27559"/>
    <w:rsid w:val="00B278DC"/>
    <w:rsid w:val="00B323CF"/>
    <w:rsid w:val="00B35306"/>
    <w:rsid w:val="00B40B8A"/>
    <w:rsid w:val="00B41106"/>
    <w:rsid w:val="00B41661"/>
    <w:rsid w:val="00B42DDB"/>
    <w:rsid w:val="00B47F6C"/>
    <w:rsid w:val="00B50A90"/>
    <w:rsid w:val="00B53C66"/>
    <w:rsid w:val="00B63576"/>
    <w:rsid w:val="00B678B8"/>
    <w:rsid w:val="00B76B3B"/>
    <w:rsid w:val="00B8367A"/>
    <w:rsid w:val="00B8552B"/>
    <w:rsid w:val="00B95B0A"/>
    <w:rsid w:val="00BA01F0"/>
    <w:rsid w:val="00BA1303"/>
    <w:rsid w:val="00BA3CC9"/>
    <w:rsid w:val="00BA5BA4"/>
    <w:rsid w:val="00BA762F"/>
    <w:rsid w:val="00BB1D53"/>
    <w:rsid w:val="00BB34F7"/>
    <w:rsid w:val="00BB461B"/>
    <w:rsid w:val="00BB5BAE"/>
    <w:rsid w:val="00BC2E4B"/>
    <w:rsid w:val="00BC7DDC"/>
    <w:rsid w:val="00BD4336"/>
    <w:rsid w:val="00BE13BF"/>
    <w:rsid w:val="00BE2969"/>
    <w:rsid w:val="00BE4CD0"/>
    <w:rsid w:val="00BE57AC"/>
    <w:rsid w:val="00BE6FDF"/>
    <w:rsid w:val="00BF1453"/>
    <w:rsid w:val="00BF27F2"/>
    <w:rsid w:val="00BF3A98"/>
    <w:rsid w:val="00BF3FF9"/>
    <w:rsid w:val="00BF4BA8"/>
    <w:rsid w:val="00C01325"/>
    <w:rsid w:val="00C04B9C"/>
    <w:rsid w:val="00C04D06"/>
    <w:rsid w:val="00C07670"/>
    <w:rsid w:val="00C14B18"/>
    <w:rsid w:val="00C15A66"/>
    <w:rsid w:val="00C15E24"/>
    <w:rsid w:val="00C2035D"/>
    <w:rsid w:val="00C30E5B"/>
    <w:rsid w:val="00C352F1"/>
    <w:rsid w:val="00C410B3"/>
    <w:rsid w:val="00C41109"/>
    <w:rsid w:val="00C44E99"/>
    <w:rsid w:val="00C460B7"/>
    <w:rsid w:val="00C50DF1"/>
    <w:rsid w:val="00C550EC"/>
    <w:rsid w:val="00C55823"/>
    <w:rsid w:val="00C62D06"/>
    <w:rsid w:val="00C6372B"/>
    <w:rsid w:val="00C66282"/>
    <w:rsid w:val="00C710B0"/>
    <w:rsid w:val="00C81703"/>
    <w:rsid w:val="00C84A28"/>
    <w:rsid w:val="00C851CB"/>
    <w:rsid w:val="00C86E4D"/>
    <w:rsid w:val="00C87908"/>
    <w:rsid w:val="00C923CE"/>
    <w:rsid w:val="00C971B2"/>
    <w:rsid w:val="00CA2B4C"/>
    <w:rsid w:val="00CA3847"/>
    <w:rsid w:val="00CA515A"/>
    <w:rsid w:val="00CA7851"/>
    <w:rsid w:val="00CB315F"/>
    <w:rsid w:val="00CC2403"/>
    <w:rsid w:val="00CC2442"/>
    <w:rsid w:val="00CC7C4F"/>
    <w:rsid w:val="00CD1803"/>
    <w:rsid w:val="00CD4734"/>
    <w:rsid w:val="00CF3072"/>
    <w:rsid w:val="00CF6135"/>
    <w:rsid w:val="00CF6D00"/>
    <w:rsid w:val="00CF7113"/>
    <w:rsid w:val="00D01D09"/>
    <w:rsid w:val="00D02AA9"/>
    <w:rsid w:val="00D03B30"/>
    <w:rsid w:val="00D10117"/>
    <w:rsid w:val="00D1188B"/>
    <w:rsid w:val="00D132EC"/>
    <w:rsid w:val="00D15F61"/>
    <w:rsid w:val="00D1660F"/>
    <w:rsid w:val="00D25D51"/>
    <w:rsid w:val="00D26C1D"/>
    <w:rsid w:val="00D3023E"/>
    <w:rsid w:val="00D3676B"/>
    <w:rsid w:val="00D41469"/>
    <w:rsid w:val="00D4788B"/>
    <w:rsid w:val="00D535F2"/>
    <w:rsid w:val="00D5688F"/>
    <w:rsid w:val="00D708EC"/>
    <w:rsid w:val="00D70B41"/>
    <w:rsid w:val="00D71E47"/>
    <w:rsid w:val="00D7204E"/>
    <w:rsid w:val="00DA3E2B"/>
    <w:rsid w:val="00DB445B"/>
    <w:rsid w:val="00DB5B6C"/>
    <w:rsid w:val="00DC0C58"/>
    <w:rsid w:val="00DC4A5A"/>
    <w:rsid w:val="00DD2AD4"/>
    <w:rsid w:val="00DD4903"/>
    <w:rsid w:val="00DE0050"/>
    <w:rsid w:val="00DE24ED"/>
    <w:rsid w:val="00DF6B8B"/>
    <w:rsid w:val="00E0615F"/>
    <w:rsid w:val="00E072B8"/>
    <w:rsid w:val="00E120D6"/>
    <w:rsid w:val="00E135F5"/>
    <w:rsid w:val="00E2315B"/>
    <w:rsid w:val="00E3233B"/>
    <w:rsid w:val="00E34928"/>
    <w:rsid w:val="00E3627B"/>
    <w:rsid w:val="00E3658C"/>
    <w:rsid w:val="00E46B78"/>
    <w:rsid w:val="00E57A87"/>
    <w:rsid w:val="00E67226"/>
    <w:rsid w:val="00E7249D"/>
    <w:rsid w:val="00E74D78"/>
    <w:rsid w:val="00E807EB"/>
    <w:rsid w:val="00E80DC2"/>
    <w:rsid w:val="00E83DE2"/>
    <w:rsid w:val="00E84081"/>
    <w:rsid w:val="00E8604C"/>
    <w:rsid w:val="00E928BD"/>
    <w:rsid w:val="00E94C00"/>
    <w:rsid w:val="00E96A06"/>
    <w:rsid w:val="00E96B90"/>
    <w:rsid w:val="00EA2325"/>
    <w:rsid w:val="00EB5561"/>
    <w:rsid w:val="00EB58C5"/>
    <w:rsid w:val="00EC2BEC"/>
    <w:rsid w:val="00EC41AA"/>
    <w:rsid w:val="00EC42EC"/>
    <w:rsid w:val="00EC4642"/>
    <w:rsid w:val="00EC48FD"/>
    <w:rsid w:val="00ED032A"/>
    <w:rsid w:val="00ED3BAD"/>
    <w:rsid w:val="00ED6BA6"/>
    <w:rsid w:val="00ED7360"/>
    <w:rsid w:val="00EE05EA"/>
    <w:rsid w:val="00EE1FD9"/>
    <w:rsid w:val="00EE2187"/>
    <w:rsid w:val="00EE30A5"/>
    <w:rsid w:val="00EE6C05"/>
    <w:rsid w:val="00EF3EED"/>
    <w:rsid w:val="00EF54E4"/>
    <w:rsid w:val="00EF6173"/>
    <w:rsid w:val="00EF722A"/>
    <w:rsid w:val="00EF7E52"/>
    <w:rsid w:val="00F017AA"/>
    <w:rsid w:val="00F115B4"/>
    <w:rsid w:val="00F11672"/>
    <w:rsid w:val="00F1296D"/>
    <w:rsid w:val="00F13887"/>
    <w:rsid w:val="00F17B75"/>
    <w:rsid w:val="00F20581"/>
    <w:rsid w:val="00F219A5"/>
    <w:rsid w:val="00F362AE"/>
    <w:rsid w:val="00F40026"/>
    <w:rsid w:val="00F4152A"/>
    <w:rsid w:val="00F423BB"/>
    <w:rsid w:val="00F44777"/>
    <w:rsid w:val="00F5124A"/>
    <w:rsid w:val="00F52395"/>
    <w:rsid w:val="00F53898"/>
    <w:rsid w:val="00F5550B"/>
    <w:rsid w:val="00F556BB"/>
    <w:rsid w:val="00F61164"/>
    <w:rsid w:val="00F64912"/>
    <w:rsid w:val="00F67B5E"/>
    <w:rsid w:val="00F67BAD"/>
    <w:rsid w:val="00F73AA9"/>
    <w:rsid w:val="00F75F39"/>
    <w:rsid w:val="00F76AB4"/>
    <w:rsid w:val="00F82B96"/>
    <w:rsid w:val="00F913B0"/>
    <w:rsid w:val="00F93D65"/>
    <w:rsid w:val="00F95655"/>
    <w:rsid w:val="00F96B61"/>
    <w:rsid w:val="00FA1156"/>
    <w:rsid w:val="00FA377A"/>
    <w:rsid w:val="00FA62E2"/>
    <w:rsid w:val="00FB23C1"/>
    <w:rsid w:val="00FB513B"/>
    <w:rsid w:val="00FB7638"/>
    <w:rsid w:val="00FB77D5"/>
    <w:rsid w:val="00FC4F4F"/>
    <w:rsid w:val="00FC649F"/>
    <w:rsid w:val="00FD0FF9"/>
    <w:rsid w:val="00FD44DA"/>
    <w:rsid w:val="00FD591E"/>
    <w:rsid w:val="00FE0320"/>
    <w:rsid w:val="00FE6677"/>
    <w:rsid w:val="00FF09CB"/>
    <w:rsid w:val="00FF1B23"/>
    <w:rsid w:val="00FF4216"/>
    <w:rsid w:val="00FF43B7"/>
    <w:rsid w:val="00FF6D8D"/>
    <w:rsid w:val="00FF6EF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B5C60"/>
  <w15:docId w15:val="{1A4982B5-CB8A-451E-A332-C2694A25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uiPriority w:val="9"/>
    <w:semiHidden/>
    <w:unhideWhenUsed/>
    <w:qFormat/>
    <w:pPr>
      <w:keepNext/>
      <w:spacing w:before="240" w:after="60"/>
      <w:ind w:left="2160" w:hanging="720"/>
      <w:outlineLvl w:val="2"/>
    </w:pPr>
    <w:rPr>
      <w:rFonts w:ascii="Calibri" w:eastAsia="Calibri" w:hAnsi="Calibri" w:cs="Calibri"/>
      <w:b/>
      <w:sz w:val="26"/>
      <w:szCs w:val="26"/>
    </w:rPr>
  </w:style>
  <w:style w:type="paragraph" w:styleId="Ttulo4">
    <w:name w:val="heading 4"/>
    <w:basedOn w:val="Normal"/>
    <w:next w:val="Normal"/>
    <w:uiPriority w:val="9"/>
    <w:semiHidden/>
    <w:unhideWhenUsed/>
    <w:qFormat/>
    <w:pPr>
      <w:keepNext/>
      <w:spacing w:before="240" w:after="60"/>
      <w:ind w:left="2880" w:hanging="720"/>
      <w:outlineLvl w:val="3"/>
    </w:pPr>
    <w:rPr>
      <w:rFonts w:ascii="Cambria" w:eastAsia="Cambria" w:hAnsi="Cambria" w:cs="Cambria"/>
      <w:b/>
      <w:sz w:val="28"/>
      <w:szCs w:val="28"/>
    </w:rPr>
  </w:style>
  <w:style w:type="paragraph" w:styleId="Ttulo5">
    <w:name w:val="heading 5"/>
    <w:basedOn w:val="Normal"/>
    <w:next w:val="Normal"/>
    <w:uiPriority w:val="9"/>
    <w:semiHidden/>
    <w:unhideWhenUsed/>
    <w:qFormat/>
    <w:pPr>
      <w:spacing w:before="240" w:after="60"/>
      <w:ind w:left="3600" w:hanging="720"/>
      <w:outlineLvl w:val="4"/>
    </w:pPr>
    <w:rPr>
      <w:rFonts w:ascii="Cambria" w:eastAsia="Cambria" w:hAnsi="Cambria" w:cs="Cambria"/>
      <w:b/>
      <w:i/>
      <w:sz w:val="26"/>
      <w:szCs w:val="26"/>
    </w:rPr>
  </w:style>
  <w:style w:type="paragraph" w:styleId="Ttulo6">
    <w:name w:val="heading 6"/>
    <w:basedOn w:val="Normal"/>
    <w:next w:val="Normal"/>
    <w:uiPriority w:val="9"/>
    <w:semiHidden/>
    <w:unhideWhenUsed/>
    <w:qFormat/>
    <w:pPr>
      <w:spacing w:before="240" w:after="60"/>
      <w:ind w:left="4320" w:hanging="72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a">
    <w:basedOn w:val="TableNormalf1"/>
    <w:tblPr>
      <w:tblStyleRowBandSize w:val="1"/>
      <w:tblStyleColBandSize w:val="1"/>
      <w:tblCellMar>
        <w:left w:w="115" w:type="dxa"/>
        <w:right w:w="115" w:type="dxa"/>
      </w:tblCellMar>
    </w:tblPr>
  </w:style>
  <w:style w:type="table" w:customStyle="1" w:styleId="a0">
    <w:basedOn w:val="TableNormalf1"/>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0D197B"/>
    <w:pPr>
      <w:tabs>
        <w:tab w:val="center" w:pos="4419"/>
        <w:tab w:val="right" w:pos="8838"/>
      </w:tabs>
    </w:pPr>
  </w:style>
  <w:style w:type="character" w:customStyle="1" w:styleId="EncabezadoCar">
    <w:name w:val="Encabezado Car"/>
    <w:basedOn w:val="Fuentedeprrafopredeter"/>
    <w:link w:val="Encabezado"/>
    <w:uiPriority w:val="99"/>
    <w:rsid w:val="000D197B"/>
  </w:style>
  <w:style w:type="paragraph" w:styleId="Piedepgina">
    <w:name w:val="footer"/>
    <w:basedOn w:val="Normal"/>
    <w:link w:val="PiedepginaCar"/>
    <w:uiPriority w:val="99"/>
    <w:unhideWhenUsed/>
    <w:rsid w:val="000D197B"/>
    <w:pPr>
      <w:tabs>
        <w:tab w:val="center" w:pos="4419"/>
        <w:tab w:val="right" w:pos="8838"/>
      </w:tabs>
    </w:pPr>
  </w:style>
  <w:style w:type="character" w:customStyle="1" w:styleId="PiedepginaCar">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C43334"/>
    <w:pPr>
      <w:ind w:left="720"/>
      <w:contextualSpacing/>
    </w:pPr>
  </w:style>
  <w:style w:type="paragraph" w:styleId="NormalWeb">
    <w:name w:val="Normal (Web)"/>
    <w:basedOn w:val="Normal"/>
    <w:uiPriority w:val="99"/>
    <w:unhideWhenUsed/>
    <w:rsid w:val="00476335"/>
    <w:pPr>
      <w:spacing w:before="100" w:beforeAutospacing="1" w:after="100" w:after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806B5C"/>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806B5C"/>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qFormat/>
    <w:rsid w:val="00806B5C"/>
    <w:rPr>
      <w:vertAlign w:val="superscript"/>
    </w:rPr>
  </w:style>
  <w:style w:type="table" w:customStyle="1" w:styleId="a1">
    <w:basedOn w:val="TableNormalf1"/>
    <w:tblPr>
      <w:tblStyleRowBandSize w:val="1"/>
      <w:tblStyleColBandSize w:val="1"/>
      <w:tblCellMar>
        <w:left w:w="115" w:type="dxa"/>
        <w:right w:w="115" w:type="dxa"/>
      </w:tblCellMar>
    </w:tblPr>
  </w:style>
  <w:style w:type="table" w:customStyle="1" w:styleId="a2">
    <w:basedOn w:val="TableNormalf1"/>
    <w:tblPr>
      <w:tblStyleRowBandSize w:val="1"/>
      <w:tblStyleColBandSize w:val="1"/>
      <w:tblCellMar>
        <w:left w:w="115" w:type="dxa"/>
        <w:right w:w="115" w:type="dxa"/>
      </w:tblCellMar>
    </w:tblPr>
  </w:style>
  <w:style w:type="character" w:styleId="Hipervnculo">
    <w:name w:val="Hyperlink"/>
    <w:basedOn w:val="Fuentedeprrafopredeter"/>
    <w:uiPriority w:val="99"/>
    <w:unhideWhenUsed/>
    <w:rsid w:val="00504D6C"/>
    <w:rPr>
      <w:color w:val="0000FF" w:themeColor="hyperlink"/>
      <w:u w:val="single"/>
    </w:rPr>
  </w:style>
  <w:style w:type="character" w:styleId="Hipervnculovisitado">
    <w:name w:val="FollowedHyperlink"/>
    <w:basedOn w:val="Fuentedeprrafopredeter"/>
    <w:uiPriority w:val="99"/>
    <w:semiHidden/>
    <w:unhideWhenUsed/>
    <w:rsid w:val="00504D6C"/>
    <w:rPr>
      <w:color w:val="800080" w:themeColor="followedHyperlink"/>
      <w:u w:val="single"/>
    </w:rPr>
  </w:style>
  <w:style w:type="table" w:styleId="Tablaconcuadrcula">
    <w:name w:val="Table Grid"/>
    <w:basedOn w:val="Tablanormal"/>
    <w:uiPriority w:val="39"/>
    <w:rsid w:val="00134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3">
    <w:basedOn w:val="TableNormalf0"/>
    <w:tblPr>
      <w:tblStyleRowBandSize w:val="1"/>
      <w:tblStyleColBandSize w:val="1"/>
      <w:tblCellMar>
        <w:left w:w="115" w:type="dxa"/>
        <w:right w:w="115" w:type="dxa"/>
      </w:tblCellMar>
    </w:tblPr>
  </w:style>
  <w:style w:type="table" w:customStyle="1" w:styleId="a4">
    <w:basedOn w:val="TableNormalf0"/>
    <w:tblPr>
      <w:tblStyleRowBandSize w:val="1"/>
      <w:tblStyleColBandSize w:val="1"/>
      <w:tblCellMar>
        <w:left w:w="115" w:type="dxa"/>
        <w:right w:w="115" w:type="dxa"/>
      </w:tblCellMar>
    </w:tblPr>
  </w:style>
  <w:style w:type="paragraph" w:styleId="Listaconvietas3">
    <w:name w:val="List Bullet 3"/>
    <w:basedOn w:val="Normal"/>
    <w:uiPriority w:val="99"/>
    <w:unhideWhenUsed/>
    <w:rsid w:val="005E017B"/>
    <w:pPr>
      <w:numPr>
        <w:numId w:val="1"/>
      </w:numPr>
      <w:contextualSpacing/>
    </w:pPr>
  </w:style>
  <w:style w:type="character" w:customStyle="1" w:styleId="yt-core-attributed-string--link-inherit-color">
    <w:name w:val="yt-core-attributed-string--link-inherit-color"/>
    <w:basedOn w:val="Fuentedeprrafopredeter"/>
    <w:rsid w:val="00EA0BE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452086"/>
  </w:style>
  <w:style w:type="character" w:customStyle="1" w:styleId="Mencinsinresolver1">
    <w:name w:val="Mención sin resolver1"/>
    <w:basedOn w:val="Fuentedeprrafopredeter"/>
    <w:uiPriority w:val="99"/>
    <w:semiHidden/>
    <w:unhideWhenUsed/>
    <w:rsid w:val="00C64B15"/>
    <w:rPr>
      <w:color w:val="605E5C"/>
      <w:shd w:val="clear" w:color="auto" w:fill="E1DFDD"/>
    </w:rPr>
  </w:style>
  <w:style w:type="paragraph" w:customStyle="1" w:styleId="Default">
    <w:name w:val="Default"/>
    <w:rsid w:val="00B92077"/>
    <w:pPr>
      <w:autoSpaceDE w:val="0"/>
      <w:autoSpaceDN w:val="0"/>
      <w:adjustRightInd w:val="0"/>
    </w:pPr>
    <w:rPr>
      <w:rFonts w:ascii="Arial" w:hAnsi="Arial" w:cs="Arial"/>
      <w:color w:val="000000"/>
    </w:rPr>
  </w:style>
  <w:style w:type="character" w:customStyle="1" w:styleId="Mencinsinresolver2">
    <w:name w:val="Mención sin resolver2"/>
    <w:basedOn w:val="Fuentedeprrafopredeter"/>
    <w:uiPriority w:val="99"/>
    <w:semiHidden/>
    <w:unhideWhenUsed/>
    <w:rsid w:val="00251B93"/>
    <w:rPr>
      <w:color w:val="605E5C"/>
      <w:shd w:val="clear" w:color="auto" w:fill="E1DFDD"/>
    </w:rPr>
  </w:style>
  <w:style w:type="paragraph" w:styleId="Textodeglobo">
    <w:name w:val="Balloon Text"/>
    <w:basedOn w:val="Normal"/>
    <w:link w:val="TextodegloboCar"/>
    <w:uiPriority w:val="99"/>
    <w:semiHidden/>
    <w:unhideWhenUsed/>
    <w:rsid w:val="00DD0D6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0D64"/>
    <w:rPr>
      <w:rFonts w:ascii="Segoe UI" w:hAnsi="Segoe UI" w:cs="Segoe UI"/>
      <w:sz w:val="18"/>
      <w:szCs w:val="18"/>
    </w:rPr>
  </w:style>
  <w:style w:type="paragraph" w:styleId="Sinespaciado">
    <w:name w:val="No Spacing"/>
    <w:aliases w:val="Francesa"/>
    <w:link w:val="SinespaciadoCar"/>
    <w:uiPriority w:val="1"/>
    <w:qFormat/>
    <w:rsid w:val="000D0148"/>
    <w:rPr>
      <w:rFonts w:asciiTheme="minorHAnsi" w:eastAsiaTheme="minorHAnsi" w:hAnsiTheme="minorHAnsi" w:cstheme="minorBidi"/>
      <w:sz w:val="22"/>
      <w:szCs w:val="22"/>
      <w:lang w:eastAsia="en-US"/>
    </w:rPr>
  </w:style>
  <w:style w:type="character" w:customStyle="1" w:styleId="SinespaciadoCar">
    <w:name w:val="Sin espaciado Car"/>
    <w:aliases w:val="Francesa Car"/>
    <w:link w:val="Sinespaciado"/>
    <w:uiPriority w:val="1"/>
    <w:locked/>
    <w:rsid w:val="000D0148"/>
    <w:rPr>
      <w:rFonts w:asciiTheme="minorHAnsi" w:eastAsiaTheme="minorHAnsi" w:hAnsiTheme="minorHAnsi" w:cstheme="minorBidi"/>
      <w:sz w:val="22"/>
      <w:szCs w:val="22"/>
      <w:lang w:eastAsia="en-US"/>
    </w:rPr>
  </w:style>
  <w:style w:type="paragraph" w:customStyle="1" w:styleId="rtejustify">
    <w:name w:val="rtejustify"/>
    <w:basedOn w:val="Normal"/>
    <w:rsid w:val="00876EB7"/>
    <w:pPr>
      <w:spacing w:before="100" w:beforeAutospacing="1" w:after="100" w:afterAutospacing="1"/>
    </w:pPr>
  </w:style>
  <w:style w:type="table" w:customStyle="1" w:styleId="a5">
    <w:basedOn w:val="TableNormalf"/>
    <w:tblPr>
      <w:tblStyleRowBandSize w:val="1"/>
      <w:tblStyleColBandSize w:val="1"/>
      <w:tblCellMar>
        <w:left w:w="108" w:type="dxa"/>
        <w:right w:w="108" w:type="dxa"/>
      </w:tblCellMar>
    </w:tblPr>
  </w:style>
  <w:style w:type="table" w:customStyle="1" w:styleId="a6">
    <w:basedOn w:val="TableNormalf"/>
    <w:tblPr>
      <w:tblStyleRowBandSize w:val="1"/>
      <w:tblStyleColBandSize w:val="1"/>
      <w:tblCellMar>
        <w:left w:w="108" w:type="dxa"/>
        <w:right w:w="108" w:type="dxa"/>
      </w:tblCellMar>
    </w:tblPr>
  </w:style>
  <w:style w:type="table" w:customStyle="1" w:styleId="a7">
    <w:basedOn w:val="TableNormalf"/>
    <w:tblPr>
      <w:tblStyleRowBandSize w:val="1"/>
      <w:tblStyleColBandSize w:val="1"/>
      <w:tblCellMar>
        <w:left w:w="108" w:type="dxa"/>
        <w:right w:w="108" w:type="dxa"/>
      </w:tblCellMar>
    </w:tblPr>
  </w:style>
  <w:style w:type="table" w:customStyle="1" w:styleId="a8">
    <w:basedOn w:val="TableNormalf"/>
    <w:tblPr>
      <w:tblStyleRowBandSize w:val="1"/>
      <w:tblStyleColBandSize w:val="1"/>
      <w:tblCellMar>
        <w:left w:w="108" w:type="dxa"/>
        <w:right w:w="108" w:type="dxa"/>
      </w:tblCellMar>
    </w:tblPr>
  </w:style>
  <w:style w:type="table" w:customStyle="1" w:styleId="a9">
    <w:basedOn w:val="TableNormalf"/>
    <w:tblPr>
      <w:tblStyleRowBandSize w:val="1"/>
      <w:tblStyleColBandSize w:val="1"/>
      <w:tblCellMar>
        <w:left w:w="108" w:type="dxa"/>
        <w:right w:w="108" w:type="dxa"/>
      </w:tblCellMar>
    </w:tblPr>
  </w:style>
  <w:style w:type="table" w:customStyle="1" w:styleId="aa">
    <w:basedOn w:val="TableNormalf"/>
    <w:tblPr>
      <w:tblStyleRowBandSize w:val="1"/>
      <w:tblStyleColBandSize w:val="1"/>
      <w:tblCellMar>
        <w:left w:w="115" w:type="dxa"/>
        <w:right w:w="115" w:type="dxa"/>
      </w:tblCellMar>
    </w:tblPr>
  </w:style>
  <w:style w:type="table" w:customStyle="1" w:styleId="ab">
    <w:basedOn w:val="TableNormalf"/>
    <w:tblPr>
      <w:tblStyleRowBandSize w:val="1"/>
      <w:tblStyleColBandSize w:val="1"/>
      <w:tblCellMar>
        <w:left w:w="115" w:type="dxa"/>
        <w:right w:w="115" w:type="dxa"/>
      </w:tblCellMar>
    </w:tblPr>
  </w:style>
  <w:style w:type="table" w:customStyle="1" w:styleId="ac">
    <w:basedOn w:val="TableNormale"/>
    <w:tblPr>
      <w:tblStyleRowBandSize w:val="1"/>
      <w:tblStyleColBandSize w:val="1"/>
      <w:tblCellMar>
        <w:left w:w="108" w:type="dxa"/>
        <w:right w:w="108" w:type="dxa"/>
      </w:tblCellMar>
    </w:tblPr>
  </w:style>
  <w:style w:type="table" w:customStyle="1" w:styleId="ad">
    <w:basedOn w:val="TableNormale"/>
    <w:tblPr>
      <w:tblStyleRowBandSize w:val="1"/>
      <w:tblStyleColBandSize w:val="1"/>
      <w:tblCellMar>
        <w:left w:w="115" w:type="dxa"/>
        <w:right w:w="115" w:type="dxa"/>
      </w:tblCellMar>
    </w:tblPr>
  </w:style>
  <w:style w:type="table" w:customStyle="1" w:styleId="ae">
    <w:basedOn w:val="TableNormale"/>
    <w:tblPr>
      <w:tblStyleRowBandSize w:val="1"/>
      <w:tblStyleColBandSize w:val="1"/>
      <w:tblCellMar>
        <w:left w:w="115" w:type="dxa"/>
        <w:right w:w="115" w:type="dxa"/>
      </w:tblCellMar>
    </w:tblPr>
  </w:style>
  <w:style w:type="table" w:customStyle="1" w:styleId="af">
    <w:basedOn w:val="TableNormald"/>
    <w:tblPr>
      <w:tblStyleRowBandSize w:val="1"/>
      <w:tblStyleColBandSize w:val="1"/>
      <w:tblCellMar>
        <w:left w:w="115" w:type="dxa"/>
        <w:right w:w="115" w:type="dxa"/>
      </w:tblCellMar>
    </w:tblPr>
  </w:style>
  <w:style w:type="table" w:customStyle="1" w:styleId="af0">
    <w:basedOn w:val="TableNormald"/>
    <w:tblPr>
      <w:tblStyleRowBandSize w:val="1"/>
      <w:tblStyleColBandSize w:val="1"/>
      <w:tblCellMar>
        <w:left w:w="115" w:type="dxa"/>
        <w:right w:w="115" w:type="dxa"/>
      </w:tblCellMar>
    </w:tblPr>
  </w:style>
  <w:style w:type="table" w:customStyle="1" w:styleId="af1">
    <w:basedOn w:val="TableNormald"/>
    <w:tblPr>
      <w:tblStyleRowBandSize w:val="1"/>
      <w:tblStyleColBandSize w:val="1"/>
      <w:tblCellMar>
        <w:left w:w="115" w:type="dxa"/>
        <w:right w:w="115" w:type="dxa"/>
      </w:tblCellMar>
    </w:tblPr>
  </w:style>
  <w:style w:type="table" w:customStyle="1" w:styleId="af2">
    <w:basedOn w:val="TableNormalc"/>
    <w:tblPr>
      <w:tblStyleRowBandSize w:val="1"/>
      <w:tblStyleColBandSize w:val="1"/>
      <w:tblCellMar>
        <w:left w:w="115" w:type="dxa"/>
        <w:right w:w="115" w:type="dxa"/>
      </w:tblCellMar>
    </w:tblPr>
  </w:style>
  <w:style w:type="table" w:customStyle="1" w:styleId="af3">
    <w:basedOn w:val="TableNormalc"/>
    <w:tblPr>
      <w:tblStyleRowBandSize w:val="1"/>
      <w:tblStyleColBandSize w:val="1"/>
      <w:tblCellMar>
        <w:left w:w="115" w:type="dxa"/>
        <w:right w:w="115" w:type="dxa"/>
      </w:tblCellMar>
    </w:tblPr>
  </w:style>
  <w:style w:type="table" w:customStyle="1" w:styleId="af4">
    <w:basedOn w:val="TableNormalb"/>
    <w:tblPr>
      <w:tblStyleRowBandSize w:val="1"/>
      <w:tblStyleColBandSize w:val="1"/>
      <w:tblCellMar>
        <w:left w:w="115" w:type="dxa"/>
        <w:right w:w="115" w:type="dxa"/>
      </w:tblCellMar>
    </w:tblPr>
  </w:style>
  <w:style w:type="table" w:customStyle="1" w:styleId="af5">
    <w:basedOn w:val="TableNormalb"/>
    <w:tblPr>
      <w:tblStyleRowBandSize w:val="1"/>
      <w:tblStyleColBandSize w:val="1"/>
      <w:tblCellMar>
        <w:left w:w="115" w:type="dxa"/>
        <w:right w:w="115" w:type="dxa"/>
      </w:tblCellMar>
    </w:tblPr>
  </w:style>
  <w:style w:type="table" w:customStyle="1" w:styleId="af6">
    <w:basedOn w:val="TableNormala"/>
    <w:tblPr>
      <w:tblStyleRowBandSize w:val="1"/>
      <w:tblStyleColBandSize w:val="1"/>
      <w:tblCellMar>
        <w:left w:w="115" w:type="dxa"/>
        <w:right w:w="115" w:type="dxa"/>
      </w:tblCellMar>
    </w:tblPr>
  </w:style>
  <w:style w:type="table" w:customStyle="1" w:styleId="af7">
    <w:basedOn w:val="TableNormala"/>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2C02D7"/>
    <w:rPr>
      <w:b/>
      <w:bCs/>
    </w:rPr>
  </w:style>
  <w:style w:type="character" w:customStyle="1" w:styleId="object">
    <w:name w:val="object"/>
    <w:basedOn w:val="Fuentedeprrafopredeter"/>
    <w:rsid w:val="002C02D7"/>
  </w:style>
  <w:style w:type="table" w:customStyle="1" w:styleId="af8">
    <w:basedOn w:val="TableNormal9"/>
    <w:tblPr>
      <w:tblStyleRowBandSize w:val="1"/>
      <w:tblStyleColBandSize w:val="1"/>
      <w:tblCellMar>
        <w:left w:w="115" w:type="dxa"/>
        <w:right w:w="115" w:type="dxa"/>
      </w:tblCellMar>
    </w:tblPr>
  </w:style>
  <w:style w:type="table" w:customStyle="1" w:styleId="af9">
    <w:basedOn w:val="TableNormal9"/>
    <w:tblPr>
      <w:tblStyleRowBandSize w:val="1"/>
      <w:tblStyleColBandSize w:val="1"/>
      <w:tblCellMar>
        <w:left w:w="115" w:type="dxa"/>
        <w:right w:w="115" w:type="dxa"/>
      </w:tblCellMar>
    </w:tblPr>
  </w:style>
  <w:style w:type="table" w:customStyle="1" w:styleId="afa">
    <w:basedOn w:val="TableNormal8"/>
    <w:tblPr>
      <w:tblStyleRowBandSize w:val="1"/>
      <w:tblStyleColBandSize w:val="1"/>
      <w:tblCellMar>
        <w:left w:w="115" w:type="dxa"/>
        <w:right w:w="115" w:type="dxa"/>
      </w:tblCellMar>
    </w:tblPr>
  </w:style>
  <w:style w:type="table" w:customStyle="1" w:styleId="afb">
    <w:basedOn w:val="TableNormal8"/>
    <w:tblPr>
      <w:tblStyleRowBandSize w:val="1"/>
      <w:tblStyleColBandSize w:val="1"/>
      <w:tblCellMar>
        <w:left w:w="115" w:type="dxa"/>
        <w:right w:w="115" w:type="dxa"/>
      </w:tblCellMar>
    </w:tblPr>
  </w:style>
  <w:style w:type="table" w:customStyle="1" w:styleId="afc">
    <w:basedOn w:val="TableNormal7"/>
    <w:tblPr>
      <w:tblStyleRowBandSize w:val="1"/>
      <w:tblStyleColBandSize w:val="1"/>
      <w:tblCellMar>
        <w:left w:w="115" w:type="dxa"/>
        <w:right w:w="115" w:type="dxa"/>
      </w:tblCellMar>
    </w:tblPr>
  </w:style>
  <w:style w:type="table" w:customStyle="1" w:styleId="afd">
    <w:basedOn w:val="TableNormal7"/>
    <w:tblPr>
      <w:tblStyleRowBandSize w:val="1"/>
      <w:tblStyleColBandSize w:val="1"/>
      <w:tblCellMar>
        <w:left w:w="115" w:type="dxa"/>
        <w:right w:w="115" w:type="dxa"/>
      </w:tblCellMar>
    </w:tblPr>
  </w:style>
  <w:style w:type="table" w:customStyle="1" w:styleId="afe">
    <w:basedOn w:val="TableNormal6"/>
    <w:tblPr>
      <w:tblStyleRowBandSize w:val="1"/>
      <w:tblStyleColBandSize w:val="1"/>
      <w:tblCellMar>
        <w:left w:w="115" w:type="dxa"/>
        <w:right w:w="115" w:type="dxa"/>
      </w:tblCellMar>
    </w:tblPr>
  </w:style>
  <w:style w:type="table" w:customStyle="1" w:styleId="aff">
    <w:basedOn w:val="TableNormal6"/>
    <w:tblPr>
      <w:tblStyleRowBandSize w:val="1"/>
      <w:tblStyleColBandSize w:val="1"/>
      <w:tblCellMar>
        <w:left w:w="115" w:type="dxa"/>
        <w:right w:w="115" w:type="dxa"/>
      </w:tblCellMar>
    </w:tblPr>
  </w:style>
  <w:style w:type="table" w:customStyle="1" w:styleId="aff0">
    <w:basedOn w:val="TableNormal5"/>
    <w:tblPr>
      <w:tblStyleRowBandSize w:val="1"/>
      <w:tblStyleColBandSize w:val="1"/>
      <w:tblCellMar>
        <w:left w:w="115" w:type="dxa"/>
        <w:right w:w="115" w:type="dxa"/>
      </w:tblCellMar>
    </w:tblPr>
  </w:style>
  <w:style w:type="table" w:customStyle="1" w:styleId="aff1">
    <w:basedOn w:val="TableNormal5"/>
    <w:tblPr>
      <w:tblStyleRowBandSize w:val="1"/>
      <w:tblStyleColBandSize w:val="1"/>
      <w:tblCellMar>
        <w:left w:w="115" w:type="dxa"/>
        <w:right w:w="115" w:type="dxa"/>
      </w:tblCellMar>
    </w:tblPr>
  </w:style>
  <w:style w:type="table" w:customStyle="1" w:styleId="aff2">
    <w:basedOn w:val="TableNormal4"/>
    <w:tblPr>
      <w:tblStyleRowBandSize w:val="1"/>
      <w:tblStyleColBandSize w:val="1"/>
      <w:tblCellMar>
        <w:left w:w="115" w:type="dxa"/>
        <w:right w:w="115" w:type="dxa"/>
      </w:tblCellMar>
    </w:tblPr>
  </w:style>
  <w:style w:type="table" w:customStyle="1" w:styleId="aff3">
    <w:basedOn w:val="TableNormal4"/>
    <w:tblPr>
      <w:tblStyleRowBandSize w:val="1"/>
      <w:tblStyleColBandSize w:val="1"/>
      <w:tblCellMar>
        <w:left w:w="115" w:type="dxa"/>
        <w:right w:w="115" w:type="dxa"/>
      </w:tblCellMar>
    </w:tblPr>
  </w:style>
  <w:style w:type="table" w:customStyle="1" w:styleId="aff4">
    <w:basedOn w:val="TableNormal3"/>
    <w:tblPr>
      <w:tblStyleRowBandSize w:val="1"/>
      <w:tblStyleColBandSize w:val="1"/>
      <w:tblCellMar>
        <w:left w:w="115" w:type="dxa"/>
        <w:right w:w="115"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2"/>
    <w:tblPr>
      <w:tblStyleRowBandSize w:val="1"/>
      <w:tblStyleColBandSize w:val="1"/>
      <w:tblCellMar>
        <w:left w:w="115" w:type="dxa"/>
        <w:right w:w="115" w:type="dxa"/>
      </w:tblCellMar>
    </w:tblPr>
  </w:style>
  <w:style w:type="table" w:customStyle="1" w:styleId="aff7">
    <w:basedOn w:val="TableNormal2"/>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character" w:customStyle="1" w:styleId="Mencinsinresolver3">
    <w:name w:val="Mención sin resolver3"/>
    <w:basedOn w:val="Fuentedeprrafopredeter"/>
    <w:uiPriority w:val="99"/>
    <w:semiHidden/>
    <w:unhideWhenUsed/>
    <w:rsid w:val="009E7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278397">
      <w:bodyDiv w:val="1"/>
      <w:marLeft w:val="0"/>
      <w:marRight w:val="0"/>
      <w:marTop w:val="0"/>
      <w:marBottom w:val="0"/>
      <w:divBdr>
        <w:top w:val="none" w:sz="0" w:space="0" w:color="auto"/>
        <w:left w:val="none" w:sz="0" w:space="0" w:color="auto"/>
        <w:bottom w:val="none" w:sz="0" w:space="0" w:color="auto"/>
        <w:right w:val="none" w:sz="0" w:space="0" w:color="auto"/>
      </w:divBdr>
    </w:div>
    <w:div w:id="592202347">
      <w:bodyDiv w:val="1"/>
      <w:marLeft w:val="0"/>
      <w:marRight w:val="0"/>
      <w:marTop w:val="0"/>
      <w:marBottom w:val="0"/>
      <w:divBdr>
        <w:top w:val="none" w:sz="0" w:space="0" w:color="auto"/>
        <w:left w:val="none" w:sz="0" w:space="0" w:color="auto"/>
        <w:bottom w:val="none" w:sz="0" w:space="0" w:color="auto"/>
        <w:right w:val="none" w:sz="0" w:space="0" w:color="auto"/>
      </w:divBdr>
    </w:div>
    <w:div w:id="1544562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blio.juridicas.unam.mx/bjv/resultados?ti=guia+tecnic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osfem.gob.mx/assets/conocenos/marco_normativo/acuerdos/2025/acuerdo_07_202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GQr8oyXmASkkdxUHD/BHbVPS6g==">CgMxLjAyCWguM3JkY3JqbjIOaC5kYWozajJ4bzZxNjYyCGguZ2pkZ3hzMgloLjNkeTZ2a20yCWguMzBqMHpsbDIJaC4yczhleW8xMgloLjN6bnlzaDcyCWguMmV0OTJwMDIJaC4xdDNoNXNmMg5oLmhuenhzY2g1Z3lzejIOaC5vdDNxcTZ2eGEwOGYyCGgubG54Yno5OAByITEycGNwNjJrZDZCbW00M09JLWdXbTBFLTItNFhnWVJKag==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10627</Words>
  <Characters>58454</Characters>
  <Application>Microsoft Office Word</Application>
  <DocSecurity>0</DocSecurity>
  <Lines>487</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ADRIANA INFOEM</cp:lastModifiedBy>
  <cp:revision>2</cp:revision>
  <cp:lastPrinted>2026-09-18T17:58:00Z</cp:lastPrinted>
  <dcterms:created xsi:type="dcterms:W3CDTF">2026-09-22T20:02:00Z</dcterms:created>
  <dcterms:modified xsi:type="dcterms:W3CDTF">2026-09-22T20:02:00Z</dcterms:modified>
</cp:coreProperties>
</file>