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57F2A" w14:textId="30CC62B5"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Resolución del Pleno del Instituto de Transparencia, Acceso a la Información Pública y Protección de Datos Personales del Estado de México y Municipios, con domicilio en Metepec, Estado de México, a</w:t>
      </w:r>
      <w:r w:rsidRPr="003C3998">
        <w:rPr>
          <w:rFonts w:ascii="Palatino Linotype" w:eastAsia="Palatino Linotype" w:hAnsi="Palatino Linotype" w:cs="Palatino Linotype"/>
          <w:b/>
          <w:bCs/>
          <w:sz w:val="22"/>
          <w:szCs w:val="22"/>
        </w:rPr>
        <w:t xml:space="preserve"> </w:t>
      </w:r>
      <w:r w:rsidR="00A42FA2" w:rsidRPr="003C3998">
        <w:rPr>
          <w:rFonts w:ascii="Palatino Linotype" w:eastAsia="Palatino Linotype" w:hAnsi="Palatino Linotype" w:cs="Palatino Linotype"/>
          <w:b/>
          <w:bCs/>
          <w:sz w:val="22"/>
          <w:szCs w:val="22"/>
        </w:rPr>
        <w:t>veinti</w:t>
      </w:r>
      <w:r w:rsidR="00796140" w:rsidRPr="003C3998">
        <w:rPr>
          <w:rFonts w:ascii="Palatino Linotype" w:eastAsia="Palatino Linotype" w:hAnsi="Palatino Linotype" w:cs="Palatino Linotype"/>
          <w:b/>
          <w:bCs/>
          <w:sz w:val="22"/>
          <w:szCs w:val="22"/>
        </w:rPr>
        <w:t>cuatro</w:t>
      </w:r>
      <w:r w:rsidR="005905EE" w:rsidRPr="003C3998">
        <w:rPr>
          <w:rFonts w:ascii="Palatino Linotype" w:eastAsia="Palatino Linotype" w:hAnsi="Palatino Linotype" w:cs="Palatino Linotype"/>
          <w:b/>
          <w:bCs/>
          <w:sz w:val="22"/>
          <w:szCs w:val="22"/>
        </w:rPr>
        <w:t xml:space="preserve"> de septiembre</w:t>
      </w:r>
      <w:r w:rsidR="003131D9" w:rsidRPr="003C3998">
        <w:rPr>
          <w:rFonts w:ascii="Palatino Linotype" w:eastAsia="Palatino Linotype" w:hAnsi="Palatino Linotype" w:cs="Palatino Linotype"/>
          <w:b/>
          <w:bCs/>
          <w:sz w:val="22"/>
          <w:szCs w:val="22"/>
        </w:rPr>
        <w:t xml:space="preserve"> de dos mil veintiséis</w:t>
      </w:r>
      <w:r w:rsidRPr="003C3998">
        <w:rPr>
          <w:rFonts w:ascii="Palatino Linotype" w:eastAsia="Palatino Linotype" w:hAnsi="Palatino Linotype" w:cs="Palatino Linotype"/>
          <w:sz w:val="22"/>
          <w:szCs w:val="22"/>
        </w:rPr>
        <w:t xml:space="preserve">. </w:t>
      </w:r>
    </w:p>
    <w:p w14:paraId="4296E896" w14:textId="77777777" w:rsidR="0012021A" w:rsidRPr="003C3998" w:rsidRDefault="0012021A" w:rsidP="007D356E">
      <w:pPr>
        <w:spacing w:line="360" w:lineRule="auto"/>
        <w:jc w:val="both"/>
        <w:rPr>
          <w:rFonts w:ascii="Palatino Linotype" w:eastAsia="Palatino Linotype" w:hAnsi="Palatino Linotype" w:cs="Palatino Linotype"/>
          <w:sz w:val="22"/>
          <w:szCs w:val="22"/>
        </w:rPr>
      </w:pPr>
    </w:p>
    <w:p w14:paraId="0BEC3A2A" w14:textId="43B1A689" w:rsidR="00D10152" w:rsidRPr="003C3998" w:rsidRDefault="00785AE5" w:rsidP="007D356E">
      <w:pPr>
        <w:tabs>
          <w:tab w:val="left" w:pos="5812"/>
        </w:tabs>
        <w:spacing w:line="360" w:lineRule="auto"/>
        <w:jc w:val="both"/>
        <w:rPr>
          <w:rFonts w:ascii="Palatino Linotype" w:eastAsia="Palatino Linotype" w:hAnsi="Palatino Linotype" w:cs="Palatino Linotype"/>
          <w:sz w:val="22"/>
          <w:szCs w:val="22"/>
        </w:rPr>
      </w:pPr>
      <w:bookmarkStart w:id="0" w:name="_heading=h.daj3j2xo6q66" w:colFirst="0" w:colLast="0"/>
      <w:bookmarkEnd w:id="0"/>
      <w:r w:rsidRPr="003C3998">
        <w:rPr>
          <w:rFonts w:ascii="Palatino Linotype" w:eastAsia="Palatino Linotype" w:hAnsi="Palatino Linotype" w:cs="Palatino Linotype"/>
          <w:b/>
          <w:sz w:val="22"/>
          <w:szCs w:val="22"/>
        </w:rPr>
        <w:t>VISTO</w:t>
      </w:r>
      <w:r w:rsidRPr="003C3998">
        <w:rPr>
          <w:rFonts w:ascii="Palatino Linotype" w:eastAsia="Palatino Linotype" w:hAnsi="Palatino Linotype" w:cs="Palatino Linotype"/>
          <w:sz w:val="22"/>
          <w:szCs w:val="22"/>
        </w:rPr>
        <w:t xml:space="preserve"> el expediente formado con motivo del recurso de revisión </w:t>
      </w:r>
      <w:r w:rsidR="000809D9" w:rsidRPr="003C3998">
        <w:rPr>
          <w:rFonts w:ascii="Palatino Linotype" w:eastAsia="Palatino Linotype" w:hAnsi="Palatino Linotype" w:cs="Palatino Linotype"/>
          <w:b/>
          <w:sz w:val="22"/>
          <w:szCs w:val="22"/>
        </w:rPr>
        <w:t>0</w:t>
      </w:r>
      <w:r w:rsidR="00A42FA2" w:rsidRPr="003C3998">
        <w:rPr>
          <w:rFonts w:ascii="Palatino Linotype" w:eastAsia="Palatino Linotype" w:hAnsi="Palatino Linotype" w:cs="Palatino Linotype"/>
          <w:b/>
          <w:sz w:val="22"/>
          <w:szCs w:val="22"/>
        </w:rPr>
        <w:t>7494</w:t>
      </w:r>
      <w:r w:rsidR="000809D9" w:rsidRPr="003C3998">
        <w:rPr>
          <w:rFonts w:ascii="Palatino Linotype" w:eastAsia="Palatino Linotype" w:hAnsi="Palatino Linotype" w:cs="Palatino Linotype"/>
          <w:b/>
          <w:sz w:val="22"/>
          <w:szCs w:val="22"/>
        </w:rPr>
        <w:t>/INFOEM/IP/RR/2026</w:t>
      </w:r>
      <w:r w:rsidRPr="003C3998">
        <w:rPr>
          <w:rFonts w:ascii="Palatino Linotype" w:eastAsia="Palatino Linotype" w:hAnsi="Palatino Linotype" w:cs="Palatino Linotype"/>
          <w:sz w:val="22"/>
          <w:szCs w:val="22"/>
        </w:rPr>
        <w:t>, interpuesto por</w:t>
      </w:r>
      <w:r w:rsidRPr="003C3998">
        <w:rPr>
          <w:rFonts w:ascii="Palatino Linotype" w:eastAsia="Palatino Linotype" w:hAnsi="Palatino Linotype" w:cs="Palatino Linotype"/>
          <w:b/>
          <w:sz w:val="22"/>
          <w:szCs w:val="22"/>
        </w:rPr>
        <w:t xml:space="preserve"> </w:t>
      </w:r>
      <w:r w:rsidR="004678A6" w:rsidRPr="004678A6">
        <w:rPr>
          <w:rFonts w:ascii="Palatino Linotype" w:eastAsia="Palatino Linotype" w:hAnsi="Palatino Linotype" w:cs="Palatino Linotype"/>
          <w:b/>
          <w:sz w:val="22"/>
          <w:szCs w:val="22"/>
        </w:rPr>
        <w:t>XXXXXX XXXX XXXXXX XXXX</w:t>
      </w:r>
      <w:r w:rsidR="005905EE" w:rsidRPr="004678A6">
        <w:rPr>
          <w:rFonts w:ascii="Palatino Linotype" w:eastAsia="Palatino Linotype" w:hAnsi="Palatino Linotype" w:cs="Palatino Linotype"/>
          <w:b/>
          <w:sz w:val="22"/>
          <w:szCs w:val="22"/>
        </w:rPr>
        <w:t>,</w:t>
      </w:r>
      <w:r w:rsidRPr="003C3998">
        <w:rPr>
          <w:rFonts w:ascii="Palatino Linotype" w:eastAsia="Palatino Linotype" w:hAnsi="Palatino Linotype" w:cs="Palatino Linotype"/>
          <w:sz w:val="22"/>
          <w:szCs w:val="22"/>
        </w:rPr>
        <w:t xml:space="preserve"> en lo sucesivo</w:t>
      </w:r>
      <w:r w:rsidRPr="003C3998">
        <w:rPr>
          <w:rFonts w:ascii="Palatino Linotype" w:eastAsia="Palatino Linotype" w:hAnsi="Palatino Linotype" w:cs="Palatino Linotype"/>
          <w:b/>
          <w:sz w:val="22"/>
          <w:szCs w:val="22"/>
        </w:rPr>
        <w:t xml:space="preserve"> </w:t>
      </w:r>
      <w:r w:rsidRPr="003C3998">
        <w:rPr>
          <w:rFonts w:ascii="Palatino Linotype" w:eastAsia="Palatino Linotype" w:hAnsi="Palatino Linotype" w:cs="Palatino Linotype"/>
          <w:sz w:val="22"/>
          <w:szCs w:val="22"/>
        </w:rPr>
        <w:t xml:space="preserve">la parte </w:t>
      </w:r>
      <w:r w:rsidRPr="003C3998">
        <w:rPr>
          <w:rFonts w:ascii="Palatino Linotype" w:eastAsia="Palatino Linotype" w:hAnsi="Palatino Linotype" w:cs="Palatino Linotype"/>
          <w:b/>
          <w:sz w:val="22"/>
          <w:szCs w:val="22"/>
        </w:rPr>
        <w:t>Recurrente,</w:t>
      </w:r>
      <w:r w:rsidRPr="003C3998">
        <w:rPr>
          <w:rFonts w:ascii="Palatino Linotype" w:eastAsia="Palatino Linotype" w:hAnsi="Palatino Linotype" w:cs="Palatino Linotype"/>
          <w:sz w:val="22"/>
          <w:szCs w:val="22"/>
        </w:rPr>
        <w:t xml:space="preserve"> en contra de la respuesta a la solicitud de información con número de folio</w:t>
      </w:r>
      <w:r w:rsidRPr="003C3998">
        <w:rPr>
          <w:rFonts w:ascii="Palatino Linotype" w:eastAsia="Palatino Linotype" w:hAnsi="Palatino Linotype" w:cs="Palatino Linotype"/>
          <w:b/>
          <w:sz w:val="22"/>
          <w:szCs w:val="22"/>
        </w:rPr>
        <w:t xml:space="preserve"> </w:t>
      </w:r>
      <w:r w:rsidR="003131D9" w:rsidRPr="003C3998">
        <w:rPr>
          <w:rFonts w:ascii="Palatino Linotype" w:eastAsia="Palatino Linotype" w:hAnsi="Palatino Linotype" w:cs="Palatino Linotype"/>
          <w:b/>
          <w:sz w:val="22"/>
          <w:szCs w:val="22"/>
        </w:rPr>
        <w:t>0</w:t>
      </w:r>
      <w:r w:rsidR="00F81823" w:rsidRPr="003C3998">
        <w:rPr>
          <w:rFonts w:ascii="Palatino Linotype" w:eastAsia="Palatino Linotype" w:hAnsi="Palatino Linotype" w:cs="Palatino Linotype"/>
          <w:b/>
          <w:sz w:val="22"/>
          <w:szCs w:val="22"/>
        </w:rPr>
        <w:t>0</w:t>
      </w:r>
      <w:r w:rsidR="000809D9" w:rsidRPr="003C3998">
        <w:rPr>
          <w:rFonts w:ascii="Palatino Linotype" w:eastAsia="Palatino Linotype" w:hAnsi="Palatino Linotype" w:cs="Palatino Linotype"/>
          <w:b/>
          <w:sz w:val="22"/>
          <w:szCs w:val="22"/>
        </w:rPr>
        <w:t>1</w:t>
      </w:r>
      <w:r w:rsidR="00A42FA2" w:rsidRPr="003C3998">
        <w:rPr>
          <w:rFonts w:ascii="Palatino Linotype" w:eastAsia="Palatino Linotype" w:hAnsi="Palatino Linotype" w:cs="Palatino Linotype"/>
          <w:b/>
          <w:sz w:val="22"/>
          <w:szCs w:val="22"/>
        </w:rPr>
        <w:t>01</w:t>
      </w:r>
      <w:r w:rsidR="003131D9" w:rsidRPr="003C3998">
        <w:rPr>
          <w:rFonts w:ascii="Palatino Linotype" w:eastAsia="Palatino Linotype" w:hAnsi="Palatino Linotype" w:cs="Palatino Linotype"/>
          <w:b/>
          <w:sz w:val="22"/>
          <w:szCs w:val="22"/>
        </w:rPr>
        <w:t>/</w:t>
      </w:r>
      <w:r w:rsidR="00A42FA2" w:rsidRPr="003C3998">
        <w:rPr>
          <w:rFonts w:ascii="Palatino Linotype" w:eastAsia="Palatino Linotype" w:hAnsi="Palatino Linotype" w:cs="Palatino Linotype"/>
          <w:b/>
          <w:sz w:val="22"/>
          <w:szCs w:val="22"/>
        </w:rPr>
        <w:t>OASECATEPEC</w:t>
      </w:r>
      <w:r w:rsidR="000809D9" w:rsidRPr="003C3998">
        <w:rPr>
          <w:rFonts w:ascii="Palatino Linotype" w:eastAsia="Palatino Linotype" w:hAnsi="Palatino Linotype" w:cs="Palatino Linotype"/>
          <w:b/>
          <w:sz w:val="22"/>
          <w:szCs w:val="22"/>
        </w:rPr>
        <w:t>/</w:t>
      </w:r>
      <w:r w:rsidR="003131D9" w:rsidRPr="003C3998">
        <w:rPr>
          <w:rFonts w:ascii="Palatino Linotype" w:eastAsia="Palatino Linotype" w:hAnsi="Palatino Linotype" w:cs="Palatino Linotype"/>
          <w:b/>
          <w:sz w:val="22"/>
          <w:szCs w:val="22"/>
        </w:rPr>
        <w:t>IP/2026</w:t>
      </w:r>
      <w:r w:rsidRPr="003C3998">
        <w:rPr>
          <w:rFonts w:ascii="Palatino Linotype" w:eastAsia="Palatino Linotype" w:hAnsi="Palatino Linotype" w:cs="Palatino Linotype"/>
          <w:b/>
          <w:sz w:val="22"/>
          <w:szCs w:val="22"/>
        </w:rPr>
        <w:t xml:space="preserve">, </w:t>
      </w:r>
      <w:r w:rsidRPr="003C3998">
        <w:rPr>
          <w:rFonts w:ascii="Palatino Linotype" w:eastAsia="Palatino Linotype" w:hAnsi="Palatino Linotype" w:cs="Palatino Linotype"/>
          <w:sz w:val="22"/>
          <w:szCs w:val="22"/>
        </w:rPr>
        <w:t>por parte de</w:t>
      </w:r>
      <w:r w:rsidR="00E94230" w:rsidRPr="003C3998">
        <w:rPr>
          <w:rFonts w:ascii="Palatino Linotype" w:eastAsia="Palatino Linotype" w:hAnsi="Palatino Linotype" w:cs="Palatino Linotype"/>
          <w:sz w:val="22"/>
          <w:szCs w:val="22"/>
        </w:rPr>
        <w:t xml:space="preserve">l </w:t>
      </w:r>
      <w:r w:rsidR="00A42FA2" w:rsidRPr="003C3998">
        <w:rPr>
          <w:rFonts w:ascii="Palatino Linotype" w:eastAsia="Palatino Linotype" w:hAnsi="Palatino Linotype" w:cs="Palatino Linotype"/>
          <w:b/>
          <w:sz w:val="22"/>
          <w:szCs w:val="22"/>
        </w:rPr>
        <w:t>Sistema de Agua Potable Alcantarillado y Saneamiento de Ecatepec de Morelos</w:t>
      </w:r>
      <w:r w:rsidRPr="003C3998">
        <w:rPr>
          <w:rFonts w:ascii="Palatino Linotype" w:eastAsia="Palatino Linotype" w:hAnsi="Palatino Linotype" w:cs="Palatino Linotype"/>
          <w:b/>
          <w:sz w:val="22"/>
          <w:szCs w:val="22"/>
        </w:rPr>
        <w:t xml:space="preserve">, </w:t>
      </w:r>
      <w:r w:rsidRPr="003C3998">
        <w:rPr>
          <w:rFonts w:ascii="Palatino Linotype" w:eastAsia="Palatino Linotype" w:hAnsi="Palatino Linotype" w:cs="Palatino Linotype"/>
          <w:sz w:val="22"/>
          <w:szCs w:val="22"/>
        </w:rPr>
        <w:t xml:space="preserve">en lo sucesivo el </w:t>
      </w:r>
      <w:r w:rsidRPr="003C3998">
        <w:rPr>
          <w:rFonts w:ascii="Palatino Linotype" w:eastAsia="Palatino Linotype" w:hAnsi="Palatino Linotype" w:cs="Palatino Linotype"/>
          <w:b/>
          <w:sz w:val="22"/>
          <w:szCs w:val="22"/>
        </w:rPr>
        <w:t xml:space="preserve">Sujeto Obligado, </w:t>
      </w:r>
      <w:r w:rsidRPr="003C3998">
        <w:rPr>
          <w:rFonts w:ascii="Palatino Linotype" w:eastAsia="Palatino Linotype" w:hAnsi="Palatino Linotype" w:cs="Palatino Linotype"/>
          <w:sz w:val="22"/>
          <w:szCs w:val="22"/>
        </w:rPr>
        <w:t xml:space="preserve">se procede a dictar la presente resolución con base en los siguientes: </w:t>
      </w:r>
    </w:p>
    <w:p w14:paraId="00A6C07D" w14:textId="77777777" w:rsidR="0012021A" w:rsidRPr="003C3998" w:rsidRDefault="0012021A" w:rsidP="007D356E">
      <w:pPr>
        <w:tabs>
          <w:tab w:val="left" w:pos="5812"/>
        </w:tabs>
        <w:spacing w:line="360" w:lineRule="auto"/>
        <w:jc w:val="both"/>
        <w:rPr>
          <w:rFonts w:ascii="Palatino Linotype" w:eastAsia="Palatino Linotype" w:hAnsi="Palatino Linotype" w:cs="Palatino Linotype"/>
          <w:sz w:val="22"/>
          <w:szCs w:val="22"/>
        </w:rPr>
      </w:pPr>
    </w:p>
    <w:p w14:paraId="008010D0" w14:textId="77777777" w:rsidR="00D10152" w:rsidRPr="003C3998" w:rsidRDefault="00785AE5" w:rsidP="007D356E">
      <w:pPr>
        <w:spacing w:line="360" w:lineRule="auto"/>
        <w:jc w:val="center"/>
        <w:rPr>
          <w:rFonts w:ascii="Palatino Linotype" w:eastAsia="Palatino Linotype" w:hAnsi="Palatino Linotype" w:cs="Palatino Linotype"/>
          <w:b/>
          <w:sz w:val="22"/>
          <w:szCs w:val="22"/>
        </w:rPr>
      </w:pPr>
      <w:r w:rsidRPr="003C3998">
        <w:rPr>
          <w:rFonts w:ascii="Palatino Linotype" w:eastAsia="Palatino Linotype" w:hAnsi="Palatino Linotype" w:cs="Palatino Linotype"/>
          <w:b/>
          <w:sz w:val="22"/>
          <w:szCs w:val="22"/>
        </w:rPr>
        <w:t>I. A N T E C E D E N T E S</w:t>
      </w:r>
    </w:p>
    <w:p w14:paraId="7C250875" w14:textId="77777777" w:rsidR="0012021A" w:rsidRPr="003C3998" w:rsidRDefault="0012021A" w:rsidP="007D356E">
      <w:pPr>
        <w:spacing w:line="360" w:lineRule="auto"/>
        <w:jc w:val="both"/>
        <w:rPr>
          <w:rFonts w:ascii="Palatino Linotype" w:eastAsia="Palatino Linotype" w:hAnsi="Palatino Linotype" w:cs="Palatino Linotype"/>
          <w:b/>
          <w:sz w:val="22"/>
          <w:szCs w:val="22"/>
        </w:rPr>
      </w:pPr>
      <w:bookmarkStart w:id="1" w:name="_heading=h.gjdgxs" w:colFirst="0" w:colLast="0"/>
      <w:bookmarkEnd w:id="1"/>
    </w:p>
    <w:p w14:paraId="4C11ADD7" w14:textId="1202144E"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1. Solicitud de acceso a la información.</w:t>
      </w:r>
      <w:r w:rsidRPr="003C3998">
        <w:rPr>
          <w:rFonts w:ascii="Palatino Linotype" w:eastAsia="Palatino Linotype" w:hAnsi="Palatino Linotype" w:cs="Palatino Linotype"/>
          <w:sz w:val="22"/>
          <w:szCs w:val="22"/>
        </w:rPr>
        <w:t xml:space="preserve"> El </w:t>
      </w:r>
      <w:r w:rsidR="00A42FA2" w:rsidRPr="003C3998">
        <w:rPr>
          <w:rFonts w:ascii="Palatino Linotype" w:eastAsia="Palatino Linotype" w:hAnsi="Palatino Linotype" w:cs="Palatino Linotype"/>
          <w:b/>
          <w:bCs/>
          <w:sz w:val="22"/>
          <w:szCs w:val="22"/>
        </w:rPr>
        <w:t>ocho de julio</w:t>
      </w:r>
      <w:r w:rsidR="003131D9" w:rsidRPr="003C3998">
        <w:rPr>
          <w:rFonts w:ascii="Palatino Linotype" w:eastAsia="Palatino Linotype" w:hAnsi="Palatino Linotype" w:cs="Palatino Linotype"/>
          <w:b/>
          <w:sz w:val="22"/>
          <w:szCs w:val="22"/>
        </w:rPr>
        <w:t xml:space="preserve"> de dos mil veintiséis</w:t>
      </w:r>
      <w:r w:rsidRPr="003C3998">
        <w:rPr>
          <w:rFonts w:ascii="Palatino Linotype" w:eastAsia="Palatino Linotype" w:hAnsi="Palatino Linotype" w:cs="Palatino Linotype"/>
          <w:b/>
          <w:sz w:val="22"/>
          <w:szCs w:val="22"/>
        </w:rPr>
        <w:t>,</w:t>
      </w:r>
      <w:r w:rsidRPr="003C3998">
        <w:rPr>
          <w:rFonts w:ascii="Palatino Linotype" w:eastAsia="Palatino Linotype" w:hAnsi="Palatino Linotype" w:cs="Palatino Linotype"/>
          <w:sz w:val="22"/>
          <w:szCs w:val="22"/>
        </w:rPr>
        <w:t xml:space="preserve"> la parte </w:t>
      </w:r>
      <w:r w:rsidRPr="003C3998">
        <w:rPr>
          <w:rFonts w:ascii="Palatino Linotype" w:eastAsia="Palatino Linotype" w:hAnsi="Palatino Linotype" w:cs="Palatino Linotype"/>
          <w:b/>
          <w:sz w:val="22"/>
          <w:szCs w:val="22"/>
        </w:rPr>
        <w:t xml:space="preserve">Recurrente </w:t>
      </w:r>
      <w:r w:rsidRPr="003C3998">
        <w:rPr>
          <w:rFonts w:ascii="Palatino Linotype" w:eastAsia="Palatino Linotype" w:hAnsi="Palatino Linotype" w:cs="Palatino Linotype"/>
          <w:sz w:val="22"/>
          <w:szCs w:val="22"/>
        </w:rPr>
        <w:t xml:space="preserve">presentó la solicitud de acceso a la información pública ante el </w:t>
      </w:r>
      <w:r w:rsidRPr="003C3998">
        <w:rPr>
          <w:rFonts w:ascii="Palatino Linotype" w:eastAsia="Palatino Linotype" w:hAnsi="Palatino Linotype" w:cs="Palatino Linotype"/>
          <w:b/>
          <w:sz w:val="22"/>
          <w:szCs w:val="22"/>
        </w:rPr>
        <w:t>Sujeto Obligado</w:t>
      </w:r>
      <w:r w:rsidRPr="003C3998">
        <w:rPr>
          <w:rFonts w:ascii="Palatino Linotype" w:eastAsia="Palatino Linotype" w:hAnsi="Palatino Linotype" w:cs="Palatino Linotype"/>
          <w:sz w:val="22"/>
          <w:szCs w:val="22"/>
        </w:rPr>
        <w:t xml:space="preserve">, a través del Sistema de Acceso a la Información Mexiquense, en lo subsecuente el </w:t>
      </w:r>
      <w:r w:rsidRPr="003C3998">
        <w:rPr>
          <w:rFonts w:ascii="Palatino Linotype" w:eastAsia="Palatino Linotype" w:hAnsi="Palatino Linotype" w:cs="Palatino Linotype"/>
          <w:b/>
          <w:sz w:val="22"/>
          <w:szCs w:val="22"/>
        </w:rPr>
        <w:t>SAIMEX,</w:t>
      </w:r>
      <w:r w:rsidRPr="003C3998">
        <w:rPr>
          <w:rFonts w:ascii="Palatino Linotype" w:eastAsia="Palatino Linotype" w:hAnsi="Palatino Linotype" w:cs="Palatino Linotype"/>
          <w:sz w:val="22"/>
          <w:szCs w:val="22"/>
        </w:rPr>
        <w:t xml:space="preserve"> mediante la cual requirió lo siguiente:</w:t>
      </w:r>
    </w:p>
    <w:p w14:paraId="037C9B5E" w14:textId="77777777" w:rsidR="0012021A" w:rsidRPr="003C3998" w:rsidRDefault="0012021A" w:rsidP="007D356E">
      <w:pPr>
        <w:tabs>
          <w:tab w:val="left" w:pos="4678"/>
        </w:tabs>
        <w:ind w:left="851" w:right="902"/>
        <w:jc w:val="both"/>
        <w:rPr>
          <w:rFonts w:ascii="Palatino Linotype" w:eastAsia="Palatino Linotype" w:hAnsi="Palatino Linotype" w:cs="Palatino Linotype"/>
          <w:i/>
          <w:sz w:val="22"/>
          <w:szCs w:val="22"/>
        </w:rPr>
      </w:pPr>
    </w:p>
    <w:p w14:paraId="4F30F5D4" w14:textId="72E6C3AC" w:rsidR="0012021A" w:rsidRPr="003C3998" w:rsidRDefault="00785AE5" w:rsidP="000809D9">
      <w:pPr>
        <w:tabs>
          <w:tab w:val="left" w:pos="4678"/>
        </w:tabs>
        <w:spacing w:line="276" w:lineRule="auto"/>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r w:rsidR="00A42FA2" w:rsidRPr="003C3998">
        <w:rPr>
          <w:rFonts w:ascii="Palatino Linotype" w:hAnsi="Palatino Linotype"/>
          <w:i/>
          <w:sz w:val="22"/>
          <w:szCs w:val="22"/>
        </w:rPr>
        <w:t>Solicito atentamente información del TODO el parque vehicular con el que cuenta el OPD SAPASE en 2026, con los siguientes DATOS: Tipo de vehículo, marca, capacidad de carga, número de pasajeros, placas, año de vehículo. Considerar el vehículo automotor del área usuaria y el que se encuentre en proceso de BAJA.</w:t>
      </w:r>
      <w:r w:rsidR="003131D9" w:rsidRPr="003C3998">
        <w:rPr>
          <w:rFonts w:ascii="Palatino Linotype" w:eastAsia="Palatino Linotype" w:hAnsi="Palatino Linotype" w:cs="Palatino Linotype"/>
          <w:i/>
          <w:sz w:val="22"/>
          <w:szCs w:val="22"/>
        </w:rPr>
        <w:t>"</w:t>
      </w:r>
      <w:r w:rsidRPr="003C3998">
        <w:rPr>
          <w:rFonts w:ascii="Palatino Linotype" w:eastAsia="Palatino Linotype" w:hAnsi="Palatino Linotype" w:cs="Palatino Linotype"/>
          <w:i/>
          <w:sz w:val="22"/>
          <w:szCs w:val="22"/>
        </w:rPr>
        <w:t xml:space="preserve"> (sic) </w:t>
      </w:r>
      <w:bookmarkStart w:id="2" w:name="_heading=h.3dy6vkm" w:colFirst="0" w:colLast="0"/>
      <w:bookmarkEnd w:id="2"/>
    </w:p>
    <w:p w14:paraId="0605608E" w14:textId="77777777" w:rsidR="00E94230" w:rsidRPr="003C3998" w:rsidRDefault="00E94230" w:rsidP="00E94230">
      <w:pPr>
        <w:tabs>
          <w:tab w:val="left" w:pos="4678"/>
        </w:tabs>
        <w:spacing w:line="276" w:lineRule="auto"/>
        <w:ind w:left="567" w:right="616"/>
        <w:jc w:val="both"/>
        <w:rPr>
          <w:rFonts w:ascii="Palatino Linotype" w:eastAsia="Palatino Linotype" w:hAnsi="Palatino Linotype" w:cs="Palatino Linotype"/>
          <w:i/>
          <w:sz w:val="22"/>
          <w:szCs w:val="22"/>
        </w:rPr>
      </w:pPr>
    </w:p>
    <w:p w14:paraId="0400CAF1" w14:textId="5E6120B7"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Modalidad de Entrega:</w:t>
      </w:r>
      <w:r w:rsidRPr="003C3998">
        <w:rPr>
          <w:rFonts w:ascii="Palatino Linotype" w:eastAsia="Palatino Linotype" w:hAnsi="Palatino Linotype" w:cs="Palatino Linotype"/>
          <w:sz w:val="22"/>
          <w:szCs w:val="22"/>
        </w:rPr>
        <w:t xml:space="preserve"> a través del</w:t>
      </w:r>
      <w:r w:rsidRPr="003C3998">
        <w:rPr>
          <w:rFonts w:ascii="Palatino Linotype" w:eastAsia="Palatino Linotype" w:hAnsi="Palatino Linotype" w:cs="Palatino Linotype"/>
          <w:b/>
          <w:sz w:val="22"/>
          <w:szCs w:val="22"/>
        </w:rPr>
        <w:t xml:space="preserve"> SAIMEX.</w:t>
      </w:r>
    </w:p>
    <w:p w14:paraId="015C6C7C" w14:textId="77777777" w:rsidR="000809D9" w:rsidRPr="003C3998" w:rsidRDefault="000809D9" w:rsidP="00793B86">
      <w:pPr>
        <w:spacing w:line="360" w:lineRule="auto"/>
        <w:jc w:val="both"/>
        <w:rPr>
          <w:rFonts w:ascii="Palatino Linotype" w:eastAsia="Palatino Linotype" w:hAnsi="Palatino Linotype" w:cs="Palatino Linotype"/>
          <w:b/>
          <w:sz w:val="22"/>
          <w:szCs w:val="22"/>
        </w:rPr>
      </w:pPr>
    </w:p>
    <w:p w14:paraId="2D5EF78B" w14:textId="00751E0B" w:rsidR="007D356E" w:rsidRPr="003C3998" w:rsidRDefault="00D14E51" w:rsidP="00793B86">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lastRenderedPageBreak/>
        <w:t>2</w:t>
      </w:r>
      <w:r w:rsidR="000809D9" w:rsidRPr="003C3998">
        <w:rPr>
          <w:rFonts w:ascii="Palatino Linotype" w:eastAsia="Palatino Linotype" w:hAnsi="Palatino Linotype" w:cs="Palatino Linotype"/>
          <w:b/>
          <w:sz w:val="22"/>
          <w:szCs w:val="22"/>
        </w:rPr>
        <w:t xml:space="preserve">. </w:t>
      </w:r>
      <w:r w:rsidR="00785AE5" w:rsidRPr="003C3998">
        <w:rPr>
          <w:rFonts w:ascii="Palatino Linotype" w:eastAsia="Palatino Linotype" w:hAnsi="Palatino Linotype" w:cs="Palatino Linotype"/>
          <w:b/>
          <w:sz w:val="22"/>
          <w:szCs w:val="22"/>
        </w:rPr>
        <w:t xml:space="preserve">Respuesta. </w:t>
      </w:r>
      <w:r w:rsidR="00785AE5" w:rsidRPr="003C3998">
        <w:rPr>
          <w:rFonts w:ascii="Palatino Linotype" w:eastAsia="Palatino Linotype" w:hAnsi="Palatino Linotype" w:cs="Palatino Linotype"/>
          <w:sz w:val="22"/>
          <w:szCs w:val="22"/>
        </w:rPr>
        <w:t xml:space="preserve">El </w:t>
      </w:r>
      <w:r w:rsidRPr="003C3998">
        <w:rPr>
          <w:rFonts w:ascii="Palatino Linotype" w:eastAsia="Palatino Linotype" w:hAnsi="Palatino Linotype" w:cs="Palatino Linotype"/>
          <w:b/>
          <w:bCs/>
          <w:sz w:val="22"/>
          <w:szCs w:val="22"/>
        </w:rPr>
        <w:t>veintiuno</w:t>
      </w:r>
      <w:r w:rsidR="003131D9" w:rsidRPr="003C3998">
        <w:rPr>
          <w:rFonts w:ascii="Palatino Linotype" w:eastAsia="Palatino Linotype" w:hAnsi="Palatino Linotype" w:cs="Palatino Linotype"/>
          <w:b/>
          <w:sz w:val="22"/>
          <w:szCs w:val="22"/>
        </w:rPr>
        <w:t xml:space="preserve"> de </w:t>
      </w:r>
      <w:r w:rsidR="00793B86" w:rsidRPr="003C3998">
        <w:rPr>
          <w:rFonts w:ascii="Palatino Linotype" w:eastAsia="Palatino Linotype" w:hAnsi="Palatino Linotype" w:cs="Palatino Linotype"/>
          <w:b/>
          <w:sz w:val="22"/>
          <w:szCs w:val="22"/>
        </w:rPr>
        <w:t>ju</w:t>
      </w:r>
      <w:r w:rsidRPr="003C3998">
        <w:rPr>
          <w:rFonts w:ascii="Palatino Linotype" w:eastAsia="Palatino Linotype" w:hAnsi="Palatino Linotype" w:cs="Palatino Linotype"/>
          <w:b/>
          <w:sz w:val="22"/>
          <w:szCs w:val="22"/>
        </w:rPr>
        <w:t>lio</w:t>
      </w:r>
      <w:r w:rsidR="003131D9" w:rsidRPr="003C3998">
        <w:rPr>
          <w:rFonts w:ascii="Palatino Linotype" w:eastAsia="Palatino Linotype" w:hAnsi="Palatino Linotype" w:cs="Palatino Linotype"/>
          <w:b/>
          <w:sz w:val="22"/>
          <w:szCs w:val="22"/>
        </w:rPr>
        <w:t xml:space="preserve"> de dos mil veintiséis</w:t>
      </w:r>
      <w:r w:rsidR="00785AE5" w:rsidRPr="003C3998">
        <w:rPr>
          <w:rFonts w:ascii="Palatino Linotype" w:eastAsia="Palatino Linotype" w:hAnsi="Palatino Linotype" w:cs="Palatino Linotype"/>
          <w:b/>
          <w:sz w:val="22"/>
          <w:szCs w:val="22"/>
        </w:rPr>
        <w:t>,</w:t>
      </w:r>
      <w:r w:rsidR="00785AE5" w:rsidRPr="003C3998">
        <w:rPr>
          <w:rFonts w:ascii="Palatino Linotype" w:eastAsia="Palatino Linotype" w:hAnsi="Palatino Linotype" w:cs="Palatino Linotype"/>
          <w:sz w:val="22"/>
          <w:szCs w:val="22"/>
        </w:rPr>
        <w:t xml:space="preserve"> el </w:t>
      </w:r>
      <w:r w:rsidR="00785AE5" w:rsidRPr="003C3998">
        <w:rPr>
          <w:rFonts w:ascii="Palatino Linotype" w:eastAsia="Palatino Linotype" w:hAnsi="Palatino Linotype" w:cs="Palatino Linotype"/>
          <w:b/>
          <w:sz w:val="22"/>
          <w:szCs w:val="22"/>
        </w:rPr>
        <w:t xml:space="preserve">Sujeto Obligado </w:t>
      </w:r>
      <w:r w:rsidR="00785AE5" w:rsidRPr="003C3998">
        <w:rPr>
          <w:rFonts w:ascii="Palatino Linotype" w:eastAsia="Palatino Linotype" w:hAnsi="Palatino Linotype" w:cs="Palatino Linotype"/>
          <w:sz w:val="22"/>
          <w:szCs w:val="22"/>
        </w:rPr>
        <w:t xml:space="preserve">envió su respuesta a la solicitud de acceso a la información a través del SAIMEX, sustancialmente en los términos siguientes:   </w:t>
      </w:r>
    </w:p>
    <w:p w14:paraId="43968356" w14:textId="77777777" w:rsidR="00D14E51" w:rsidRPr="003C3998" w:rsidRDefault="005905EE" w:rsidP="00D14E51">
      <w:pPr>
        <w:spacing w:line="276" w:lineRule="auto"/>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r w:rsidR="00D14E51" w:rsidRPr="003C3998">
        <w:rPr>
          <w:rFonts w:ascii="Palatino Linotype" w:eastAsia="Palatino Linotype" w:hAnsi="Palatino Linotype" w:cs="Palatino Linotype"/>
          <w:i/>
          <w:sz w:val="22"/>
          <w:szCs w:val="22"/>
        </w:rPr>
        <w:t>En respuesta a la solicitud recibida, nos permitimos hacer de su conocimiento que con fundamento en el artículo 53, Fracciones: II, V y VI de la Ley de Transparencia y Acceso a la Información Pública del Estado de México y Municipios, le contestamos que:</w:t>
      </w:r>
    </w:p>
    <w:p w14:paraId="00394134" w14:textId="77777777" w:rsidR="00D14E51" w:rsidRPr="003C3998" w:rsidRDefault="00D14E51" w:rsidP="00D14E51">
      <w:pPr>
        <w:spacing w:line="276" w:lineRule="auto"/>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Folio de la Solicitud: 00101/OASECATEPE/IP/2026 En atención a su solicitud recibida y con fundamento en el artículo 53, fracciones II, V y VI de la Ley de Transparencia y Acceso a la Información Pública del Estado de México y Municipios, me permito hacerle de conocimiento que, de conformidad con lo establecido en los artículos 12 y 59 de la Ley de ley de Transparencia Local, y bajo la más estricta responsabilidad del Servidor Público Habilitado, haciendo una búsqueda exhaustiva y razonable, se envía la respuesta a la solicitud de información que nos ocupa en los archivos PDF adjuntos a esta contestación.</w:t>
      </w:r>
    </w:p>
    <w:p w14:paraId="2F871BE4" w14:textId="77777777" w:rsidR="00D14E51" w:rsidRPr="003C3998" w:rsidRDefault="00D14E51" w:rsidP="00D14E51">
      <w:pPr>
        <w:spacing w:line="276" w:lineRule="auto"/>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ATENTAMENTE</w:t>
      </w:r>
    </w:p>
    <w:p w14:paraId="4BB62B31" w14:textId="6D45D5EA" w:rsidR="00E61FDF" w:rsidRPr="003C3998" w:rsidRDefault="00D14E51" w:rsidP="00D14E51">
      <w:pPr>
        <w:spacing w:line="276" w:lineRule="auto"/>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LIC. MONSERRAT LOPEZ CRUZ</w:t>
      </w:r>
      <w:r w:rsidR="00785AE5" w:rsidRPr="003C3998">
        <w:rPr>
          <w:rFonts w:ascii="Palatino Linotype" w:eastAsia="Palatino Linotype" w:hAnsi="Palatino Linotype" w:cs="Palatino Linotype"/>
          <w:i/>
          <w:sz w:val="22"/>
          <w:szCs w:val="22"/>
        </w:rPr>
        <w:t>” (sic)</w:t>
      </w:r>
    </w:p>
    <w:p w14:paraId="079CE0F7" w14:textId="77777777" w:rsidR="00E61FDF" w:rsidRPr="003C3998" w:rsidRDefault="00E61FDF" w:rsidP="007D356E">
      <w:pPr>
        <w:spacing w:line="276" w:lineRule="auto"/>
        <w:ind w:left="851" w:right="616"/>
        <w:jc w:val="both"/>
        <w:rPr>
          <w:rFonts w:ascii="Palatino Linotype" w:eastAsia="Palatino Linotype" w:hAnsi="Palatino Linotype" w:cs="Palatino Linotype"/>
          <w:i/>
          <w:sz w:val="22"/>
          <w:szCs w:val="22"/>
        </w:rPr>
      </w:pPr>
    </w:p>
    <w:p w14:paraId="43401CF5" w14:textId="6CBA39A2" w:rsidR="00D14E51" w:rsidRPr="003C3998" w:rsidRDefault="00785AE5" w:rsidP="007D356E">
      <w:pPr>
        <w:spacing w:line="360" w:lineRule="auto"/>
        <w:ind w:right="49"/>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El </w:t>
      </w:r>
      <w:r w:rsidRPr="003C3998">
        <w:rPr>
          <w:rFonts w:ascii="Palatino Linotype" w:eastAsia="Palatino Linotype" w:hAnsi="Palatino Linotype" w:cs="Palatino Linotype"/>
          <w:b/>
          <w:sz w:val="22"/>
          <w:szCs w:val="22"/>
        </w:rPr>
        <w:t xml:space="preserve">Sujeto Obligado </w:t>
      </w:r>
      <w:r w:rsidRPr="003C3998">
        <w:rPr>
          <w:rFonts w:ascii="Palatino Linotype" w:eastAsia="Palatino Linotype" w:hAnsi="Palatino Linotype" w:cs="Palatino Linotype"/>
          <w:sz w:val="22"/>
          <w:szCs w:val="22"/>
        </w:rPr>
        <w:t xml:space="preserve">adjuntó </w:t>
      </w:r>
      <w:r w:rsidR="007755BA" w:rsidRPr="003C3998">
        <w:rPr>
          <w:rFonts w:ascii="Palatino Linotype" w:eastAsia="Palatino Linotype" w:hAnsi="Palatino Linotype" w:cs="Palatino Linotype"/>
          <w:sz w:val="22"/>
          <w:szCs w:val="22"/>
        </w:rPr>
        <w:t xml:space="preserve">el documento electrónico denominado </w:t>
      </w:r>
      <w:r w:rsidR="00D14E51" w:rsidRPr="003C3998">
        <w:rPr>
          <w:rFonts w:ascii="Palatino Linotype" w:eastAsia="Palatino Linotype" w:hAnsi="Palatino Linotype" w:cs="Palatino Linotype"/>
          <w:sz w:val="22"/>
          <w:szCs w:val="22"/>
        </w:rPr>
        <w:t>RESPUESTA 00101-26.pdf que contiene el oficio suscrito por el Jefe del Departamento de Mantenimiento y Control Vehícular mediante el cual se remite el Padrón de Unidades que contiene la información de cada una de ellas.</w:t>
      </w:r>
    </w:p>
    <w:p w14:paraId="637F3AF6" w14:textId="77777777" w:rsidR="008F5B77" w:rsidRPr="003C3998" w:rsidRDefault="008F5B77" w:rsidP="007D356E">
      <w:pPr>
        <w:spacing w:line="360" w:lineRule="auto"/>
        <w:ind w:right="49"/>
        <w:jc w:val="both"/>
        <w:rPr>
          <w:rFonts w:ascii="Palatino Linotype" w:eastAsia="Palatino Linotype" w:hAnsi="Palatino Linotype" w:cs="Palatino Linotype"/>
          <w:sz w:val="22"/>
          <w:szCs w:val="22"/>
        </w:rPr>
      </w:pPr>
    </w:p>
    <w:p w14:paraId="4AECC494" w14:textId="2CAE9D13" w:rsidR="00D10152" w:rsidRPr="003C3998" w:rsidRDefault="00D14E51" w:rsidP="007D356E">
      <w:pPr>
        <w:spacing w:line="360" w:lineRule="auto"/>
        <w:ind w:right="49"/>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3</w:t>
      </w:r>
      <w:r w:rsidR="00785AE5" w:rsidRPr="003C3998">
        <w:rPr>
          <w:rFonts w:ascii="Palatino Linotype" w:eastAsia="Palatino Linotype" w:hAnsi="Palatino Linotype" w:cs="Palatino Linotype"/>
          <w:b/>
          <w:sz w:val="22"/>
          <w:szCs w:val="22"/>
        </w:rPr>
        <w:t xml:space="preserve">. Interposición del recurso de revisión. </w:t>
      </w:r>
      <w:r w:rsidR="00785AE5" w:rsidRPr="003C3998">
        <w:rPr>
          <w:rFonts w:ascii="Palatino Linotype" w:eastAsia="Palatino Linotype" w:hAnsi="Palatino Linotype" w:cs="Palatino Linotype"/>
          <w:sz w:val="22"/>
          <w:szCs w:val="22"/>
        </w:rPr>
        <w:t xml:space="preserve">Inconforme con los términos de la respuesta emitida por parte del </w:t>
      </w:r>
      <w:r w:rsidR="00785AE5" w:rsidRPr="003C3998">
        <w:rPr>
          <w:rFonts w:ascii="Palatino Linotype" w:eastAsia="Palatino Linotype" w:hAnsi="Palatino Linotype" w:cs="Palatino Linotype"/>
          <w:b/>
          <w:sz w:val="22"/>
          <w:szCs w:val="22"/>
        </w:rPr>
        <w:t>Sujeto Obligado</w:t>
      </w:r>
      <w:r w:rsidR="00785AE5" w:rsidRPr="003C3998">
        <w:rPr>
          <w:rFonts w:ascii="Palatino Linotype" w:eastAsia="Palatino Linotype" w:hAnsi="Palatino Linotype" w:cs="Palatino Linotype"/>
          <w:sz w:val="22"/>
          <w:szCs w:val="22"/>
        </w:rPr>
        <w:t xml:space="preserve">, el </w:t>
      </w:r>
      <w:r w:rsidR="00D72562" w:rsidRPr="003C3998">
        <w:rPr>
          <w:rFonts w:ascii="Palatino Linotype" w:eastAsia="Palatino Linotype" w:hAnsi="Palatino Linotype" w:cs="Palatino Linotype"/>
          <w:b/>
          <w:bCs/>
          <w:sz w:val="22"/>
          <w:szCs w:val="22"/>
        </w:rPr>
        <w:t xml:space="preserve">treinta </w:t>
      </w:r>
      <w:r w:rsidR="007755BA" w:rsidRPr="003C3998">
        <w:rPr>
          <w:rFonts w:ascii="Palatino Linotype" w:eastAsia="Palatino Linotype" w:hAnsi="Palatino Linotype" w:cs="Palatino Linotype"/>
          <w:b/>
          <w:bCs/>
          <w:sz w:val="22"/>
          <w:szCs w:val="22"/>
        </w:rPr>
        <w:t>de junio</w:t>
      </w:r>
      <w:r w:rsidR="00F17013" w:rsidRPr="003C3998">
        <w:rPr>
          <w:rFonts w:ascii="Palatino Linotype" w:eastAsia="Palatino Linotype" w:hAnsi="Palatino Linotype" w:cs="Palatino Linotype"/>
          <w:b/>
          <w:sz w:val="22"/>
          <w:szCs w:val="22"/>
        </w:rPr>
        <w:t xml:space="preserve"> </w:t>
      </w:r>
      <w:r w:rsidR="00785AE5" w:rsidRPr="003C3998">
        <w:rPr>
          <w:rFonts w:ascii="Palatino Linotype" w:eastAsia="Palatino Linotype" w:hAnsi="Palatino Linotype" w:cs="Palatino Linotype"/>
          <w:b/>
          <w:sz w:val="22"/>
          <w:szCs w:val="22"/>
        </w:rPr>
        <w:t xml:space="preserve">de dos mil </w:t>
      </w:r>
      <w:r w:rsidR="003131D9" w:rsidRPr="003C3998">
        <w:rPr>
          <w:rFonts w:ascii="Palatino Linotype" w:eastAsia="Palatino Linotype" w:hAnsi="Palatino Linotype" w:cs="Palatino Linotype"/>
          <w:b/>
          <w:sz w:val="22"/>
          <w:szCs w:val="22"/>
        </w:rPr>
        <w:t>veintiséis</w:t>
      </w:r>
      <w:r w:rsidR="00785AE5" w:rsidRPr="003C3998">
        <w:rPr>
          <w:rFonts w:ascii="Palatino Linotype" w:eastAsia="Palatino Linotype" w:hAnsi="Palatino Linotype" w:cs="Palatino Linotype"/>
          <w:b/>
          <w:sz w:val="22"/>
          <w:szCs w:val="22"/>
        </w:rPr>
        <w:t>,</w:t>
      </w:r>
      <w:r w:rsidR="00785AE5" w:rsidRPr="003C3998">
        <w:rPr>
          <w:rFonts w:ascii="Palatino Linotype" w:eastAsia="Palatino Linotype" w:hAnsi="Palatino Linotype" w:cs="Palatino Linotype"/>
          <w:sz w:val="22"/>
          <w:szCs w:val="22"/>
        </w:rPr>
        <w:t xml:space="preserve"> la parte </w:t>
      </w:r>
      <w:r w:rsidR="00785AE5" w:rsidRPr="003C3998">
        <w:rPr>
          <w:rFonts w:ascii="Palatino Linotype" w:eastAsia="Palatino Linotype" w:hAnsi="Palatino Linotype" w:cs="Palatino Linotype"/>
          <w:b/>
          <w:sz w:val="22"/>
          <w:szCs w:val="22"/>
        </w:rPr>
        <w:t>Recurrente</w:t>
      </w:r>
      <w:r w:rsidR="00785AE5" w:rsidRPr="003C3998">
        <w:rPr>
          <w:rFonts w:ascii="Palatino Linotype" w:eastAsia="Palatino Linotype" w:hAnsi="Palatino Linotype" w:cs="Palatino Linotype"/>
          <w:sz w:val="22"/>
          <w:szCs w:val="22"/>
        </w:rPr>
        <w:t xml:space="preserve"> interpuso el recurso de revisión a través de </w:t>
      </w:r>
      <w:r w:rsidR="00785AE5" w:rsidRPr="003C3998">
        <w:rPr>
          <w:rFonts w:ascii="Palatino Linotype" w:eastAsia="Palatino Linotype" w:hAnsi="Palatino Linotype" w:cs="Palatino Linotype"/>
          <w:b/>
          <w:sz w:val="22"/>
          <w:szCs w:val="22"/>
        </w:rPr>
        <w:t>SAIMEX</w:t>
      </w:r>
      <w:r w:rsidR="00182959" w:rsidRPr="003C3998">
        <w:rPr>
          <w:rFonts w:ascii="Palatino Linotype" w:eastAsia="Palatino Linotype" w:hAnsi="Palatino Linotype" w:cs="Palatino Linotype"/>
          <w:b/>
          <w:sz w:val="22"/>
          <w:szCs w:val="22"/>
        </w:rPr>
        <w:t xml:space="preserve">; sin embargo, al ser día inhábil, se tuvo por presentado el tres de agosto de dos mil veintiséis, </w:t>
      </w:r>
      <w:r w:rsidR="00785AE5" w:rsidRPr="003C3998">
        <w:rPr>
          <w:rFonts w:ascii="Palatino Linotype" w:eastAsia="Palatino Linotype" w:hAnsi="Palatino Linotype" w:cs="Palatino Linotype"/>
          <w:sz w:val="22"/>
          <w:szCs w:val="22"/>
        </w:rPr>
        <w:t>en donde se manifestó de la siguiente manera:</w:t>
      </w:r>
      <w:r w:rsidR="002A6F7B" w:rsidRPr="003C3998">
        <w:rPr>
          <w:rFonts w:ascii="Palatino Linotype" w:eastAsia="Palatino Linotype" w:hAnsi="Palatino Linotype" w:cs="Palatino Linotype"/>
          <w:sz w:val="22"/>
          <w:szCs w:val="22"/>
        </w:rPr>
        <w:t xml:space="preserve"> </w:t>
      </w:r>
    </w:p>
    <w:p w14:paraId="56C59BBF" w14:textId="77777777" w:rsidR="00E61FDF" w:rsidRPr="003C3998" w:rsidRDefault="00E61FDF" w:rsidP="007D356E">
      <w:pPr>
        <w:spacing w:line="360" w:lineRule="auto"/>
        <w:ind w:right="49"/>
        <w:jc w:val="both"/>
        <w:rPr>
          <w:rFonts w:ascii="Palatino Linotype" w:eastAsia="Palatino Linotype" w:hAnsi="Palatino Linotype" w:cs="Palatino Linotype"/>
          <w:b/>
          <w:sz w:val="22"/>
          <w:szCs w:val="22"/>
        </w:rPr>
      </w:pPr>
    </w:p>
    <w:p w14:paraId="783E4E2F" w14:textId="77777777" w:rsidR="00D10152" w:rsidRPr="003C3998" w:rsidRDefault="00785AE5" w:rsidP="0099680F">
      <w:pPr>
        <w:spacing w:line="360" w:lineRule="auto"/>
        <w:ind w:left="567" w:right="49"/>
        <w:jc w:val="both"/>
        <w:rPr>
          <w:rFonts w:ascii="Palatino Linotype" w:eastAsia="Palatino Linotype" w:hAnsi="Palatino Linotype" w:cs="Palatino Linotype"/>
          <w:b/>
          <w:sz w:val="22"/>
          <w:szCs w:val="22"/>
        </w:rPr>
      </w:pPr>
      <w:r w:rsidRPr="003C3998">
        <w:rPr>
          <w:rFonts w:ascii="Palatino Linotype" w:eastAsia="Palatino Linotype" w:hAnsi="Palatino Linotype" w:cs="Palatino Linotype"/>
          <w:b/>
          <w:sz w:val="22"/>
          <w:szCs w:val="22"/>
        </w:rPr>
        <w:t xml:space="preserve">Acto impugnado: </w:t>
      </w:r>
    </w:p>
    <w:p w14:paraId="094A5AE9" w14:textId="6EF61B94" w:rsidR="00D10152" w:rsidRPr="003C3998" w:rsidRDefault="00785AE5" w:rsidP="0099680F">
      <w:pPr>
        <w:tabs>
          <w:tab w:val="left" w:pos="2745"/>
        </w:tabs>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lastRenderedPageBreak/>
        <w:t>“</w:t>
      </w:r>
      <w:r w:rsidR="00182959" w:rsidRPr="003C3998">
        <w:rPr>
          <w:rFonts w:ascii="Palatino Linotype" w:eastAsia="Palatino Linotype" w:hAnsi="Palatino Linotype" w:cs="Palatino Linotype"/>
          <w:i/>
          <w:sz w:val="22"/>
          <w:szCs w:val="22"/>
        </w:rPr>
        <w:t>Solicito atentamente información del TODO el parque vehicular con el que cuenta el OPD SAPASE en 2026, con los siguientes DATOS: Tipo de vehículo, marca, capacidad de carga, número de pasajeros, placas, año de vehículo. Considerar el vehículo automotor del área usuaria y el que se encuentre en proceso de BAJA.</w:t>
      </w:r>
      <w:r w:rsidR="003131D9" w:rsidRPr="003C3998">
        <w:rPr>
          <w:rFonts w:ascii="Palatino Linotype" w:eastAsia="Palatino Linotype" w:hAnsi="Palatino Linotype" w:cs="Palatino Linotype"/>
          <w:i/>
          <w:sz w:val="22"/>
          <w:szCs w:val="22"/>
        </w:rPr>
        <w:t>"</w:t>
      </w:r>
      <w:r w:rsidRPr="003C3998">
        <w:rPr>
          <w:rFonts w:ascii="Palatino Linotype" w:eastAsia="Palatino Linotype" w:hAnsi="Palatino Linotype" w:cs="Palatino Linotype"/>
          <w:i/>
          <w:sz w:val="22"/>
          <w:szCs w:val="22"/>
        </w:rPr>
        <w:t>(sic)</w:t>
      </w:r>
    </w:p>
    <w:p w14:paraId="048E5D9C" w14:textId="77777777" w:rsidR="00D10152" w:rsidRPr="003C3998" w:rsidRDefault="00785AE5" w:rsidP="0099680F">
      <w:pPr>
        <w:spacing w:line="360" w:lineRule="auto"/>
        <w:ind w:left="567"/>
        <w:jc w:val="both"/>
        <w:rPr>
          <w:rFonts w:ascii="Palatino Linotype" w:eastAsia="Palatino Linotype" w:hAnsi="Palatino Linotype" w:cs="Palatino Linotype"/>
          <w:sz w:val="22"/>
          <w:szCs w:val="22"/>
        </w:rPr>
      </w:pPr>
      <w:bookmarkStart w:id="3" w:name="_heading=h.30j0zll" w:colFirst="0" w:colLast="0"/>
      <w:bookmarkEnd w:id="3"/>
      <w:r w:rsidRPr="003C3998">
        <w:rPr>
          <w:rFonts w:ascii="Palatino Linotype" w:eastAsia="Palatino Linotype" w:hAnsi="Palatino Linotype" w:cs="Palatino Linotype"/>
          <w:b/>
          <w:sz w:val="22"/>
          <w:szCs w:val="22"/>
        </w:rPr>
        <w:t>Y, Razones o motivos de inconformidad</w:t>
      </w:r>
      <w:r w:rsidRPr="003C3998">
        <w:rPr>
          <w:rFonts w:ascii="Palatino Linotype" w:eastAsia="Palatino Linotype" w:hAnsi="Palatino Linotype" w:cs="Palatino Linotype"/>
          <w:sz w:val="22"/>
          <w:szCs w:val="22"/>
        </w:rPr>
        <w:t>:</w:t>
      </w:r>
    </w:p>
    <w:p w14:paraId="1BC1A5EB" w14:textId="0F99600F" w:rsidR="00E61FDF" w:rsidRPr="003C3998" w:rsidRDefault="00785AE5" w:rsidP="00A2490A">
      <w:pPr>
        <w:tabs>
          <w:tab w:val="left" w:pos="2745"/>
        </w:tabs>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r w:rsidR="00182959" w:rsidRPr="003C3998">
        <w:rPr>
          <w:rFonts w:ascii="Palatino Linotype" w:eastAsia="Palatino Linotype" w:hAnsi="Palatino Linotype" w:cs="Palatino Linotype"/>
          <w:i/>
          <w:sz w:val="22"/>
          <w:szCs w:val="22"/>
        </w:rPr>
        <w:t>Se me ha entregado INFORMACIÓN INCOMPLETA. Las tarjetas de circulación contienen la información solicitada: "número de pasajeros"</w:t>
      </w:r>
      <w:r w:rsidRPr="003C3998">
        <w:rPr>
          <w:rFonts w:ascii="Palatino Linotype" w:eastAsia="Palatino Linotype" w:hAnsi="Palatino Linotype" w:cs="Palatino Linotype"/>
          <w:i/>
          <w:sz w:val="22"/>
          <w:szCs w:val="22"/>
        </w:rPr>
        <w:t>” (sic)</w:t>
      </w:r>
    </w:p>
    <w:p w14:paraId="25EECD9F" w14:textId="77777777" w:rsidR="002F5BD7" w:rsidRPr="003C3998" w:rsidRDefault="002F5BD7" w:rsidP="00D72562">
      <w:pPr>
        <w:tabs>
          <w:tab w:val="left" w:pos="2745"/>
        </w:tabs>
        <w:spacing w:line="276" w:lineRule="auto"/>
        <w:ind w:right="616"/>
        <w:jc w:val="both"/>
        <w:rPr>
          <w:rFonts w:ascii="Palatino Linotype" w:eastAsia="Palatino Linotype" w:hAnsi="Palatino Linotype" w:cs="Palatino Linotype"/>
          <w:i/>
          <w:sz w:val="22"/>
          <w:szCs w:val="22"/>
        </w:rPr>
      </w:pPr>
    </w:p>
    <w:p w14:paraId="665BCC88" w14:textId="235B3B36" w:rsidR="00D10152" w:rsidRPr="003C3998" w:rsidRDefault="00182959"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4</w:t>
      </w:r>
      <w:r w:rsidR="00785AE5" w:rsidRPr="003C3998">
        <w:rPr>
          <w:rFonts w:ascii="Palatino Linotype" w:eastAsia="Palatino Linotype" w:hAnsi="Palatino Linotype" w:cs="Palatino Linotype"/>
          <w:b/>
          <w:sz w:val="22"/>
          <w:szCs w:val="22"/>
        </w:rPr>
        <w:t xml:space="preserve">. Turno. </w:t>
      </w:r>
      <w:r w:rsidR="00785AE5" w:rsidRPr="003C3998">
        <w:rPr>
          <w:rFonts w:ascii="Palatino Linotype" w:eastAsia="Palatino Linotype" w:hAnsi="Palatino Linotype" w:cs="Palatino Linotype"/>
          <w:sz w:val="22"/>
          <w:szCs w:val="22"/>
        </w:rPr>
        <w:t>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al Comisionad</w:t>
      </w:r>
      <w:r w:rsidR="007755BA" w:rsidRPr="003C3998">
        <w:rPr>
          <w:rFonts w:ascii="Palatino Linotype" w:eastAsia="Palatino Linotype" w:hAnsi="Palatino Linotype" w:cs="Palatino Linotype"/>
          <w:sz w:val="22"/>
          <w:szCs w:val="22"/>
        </w:rPr>
        <w:t>o</w:t>
      </w:r>
      <w:r w:rsidR="00785AE5" w:rsidRPr="003C3998">
        <w:rPr>
          <w:rFonts w:ascii="Palatino Linotype" w:eastAsia="Palatino Linotype" w:hAnsi="Palatino Linotype" w:cs="Palatino Linotype"/>
          <w:sz w:val="22"/>
          <w:szCs w:val="22"/>
        </w:rPr>
        <w:t xml:space="preserve"> </w:t>
      </w:r>
      <w:r w:rsidR="007755BA" w:rsidRPr="003C3998">
        <w:rPr>
          <w:rFonts w:ascii="Palatino Linotype" w:eastAsia="Palatino Linotype" w:hAnsi="Palatino Linotype" w:cs="Palatino Linotype"/>
          <w:b/>
          <w:bCs/>
          <w:sz w:val="22"/>
          <w:szCs w:val="22"/>
        </w:rPr>
        <w:t>Luis Gustavo Parra Noriega</w:t>
      </w:r>
      <w:r w:rsidR="00785AE5" w:rsidRPr="003C3998">
        <w:rPr>
          <w:rFonts w:ascii="Palatino Linotype" w:eastAsia="Palatino Linotype" w:hAnsi="Palatino Linotype" w:cs="Palatino Linotype"/>
          <w:b/>
          <w:sz w:val="22"/>
          <w:szCs w:val="22"/>
        </w:rPr>
        <w:t xml:space="preserve">, </w:t>
      </w:r>
      <w:r w:rsidR="00785AE5" w:rsidRPr="003C3998">
        <w:rPr>
          <w:rFonts w:ascii="Palatino Linotype" w:eastAsia="Palatino Linotype" w:hAnsi="Palatino Linotype" w:cs="Palatino Linotype"/>
          <w:sz w:val="22"/>
          <w:szCs w:val="22"/>
        </w:rPr>
        <w:t>a efecto de que analizara sobre su admisión o su desechamiento.</w:t>
      </w:r>
    </w:p>
    <w:p w14:paraId="751E8626" w14:textId="77777777" w:rsidR="00E61FDF" w:rsidRPr="003C3998" w:rsidRDefault="00E61FDF" w:rsidP="007D356E">
      <w:pPr>
        <w:spacing w:line="360" w:lineRule="auto"/>
        <w:jc w:val="both"/>
        <w:rPr>
          <w:rFonts w:ascii="Palatino Linotype" w:eastAsia="Palatino Linotype" w:hAnsi="Palatino Linotype" w:cs="Palatino Linotype"/>
          <w:sz w:val="22"/>
          <w:szCs w:val="22"/>
        </w:rPr>
      </w:pPr>
    </w:p>
    <w:p w14:paraId="6AC268B4" w14:textId="16DAC289" w:rsidR="00D10152" w:rsidRPr="003C3998" w:rsidRDefault="00182959"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5</w:t>
      </w:r>
      <w:r w:rsidR="00785AE5" w:rsidRPr="003C3998">
        <w:rPr>
          <w:rFonts w:ascii="Palatino Linotype" w:eastAsia="Palatino Linotype" w:hAnsi="Palatino Linotype" w:cs="Palatino Linotype"/>
          <w:b/>
          <w:sz w:val="22"/>
          <w:szCs w:val="22"/>
        </w:rPr>
        <w:t>. Admisión del Recurso de revisión.</w:t>
      </w:r>
      <w:r w:rsidR="00785AE5" w:rsidRPr="003C3998">
        <w:rPr>
          <w:rFonts w:ascii="Palatino Linotype" w:eastAsia="Palatino Linotype" w:hAnsi="Palatino Linotype" w:cs="Palatino Linotype"/>
          <w:sz w:val="22"/>
          <w:szCs w:val="22"/>
        </w:rPr>
        <w:t xml:space="preserve"> El</w:t>
      </w:r>
      <w:r w:rsidR="00785AE5" w:rsidRPr="003C3998">
        <w:rPr>
          <w:rFonts w:ascii="Palatino Linotype" w:eastAsia="Palatino Linotype" w:hAnsi="Palatino Linotype" w:cs="Palatino Linotype"/>
          <w:b/>
          <w:sz w:val="22"/>
          <w:szCs w:val="22"/>
        </w:rPr>
        <w:t xml:space="preserve"> </w:t>
      </w:r>
      <w:r w:rsidR="00AB1EC0" w:rsidRPr="003C3998">
        <w:rPr>
          <w:rFonts w:ascii="Palatino Linotype" w:eastAsia="Palatino Linotype" w:hAnsi="Palatino Linotype" w:cs="Palatino Linotype"/>
          <w:b/>
          <w:sz w:val="22"/>
          <w:szCs w:val="22"/>
        </w:rPr>
        <w:t>cinco</w:t>
      </w:r>
      <w:r w:rsidR="009D7BBF" w:rsidRPr="003C3998">
        <w:rPr>
          <w:rFonts w:ascii="Palatino Linotype" w:eastAsia="Palatino Linotype" w:hAnsi="Palatino Linotype" w:cs="Palatino Linotype"/>
          <w:b/>
          <w:sz w:val="22"/>
          <w:szCs w:val="22"/>
        </w:rPr>
        <w:t xml:space="preserve"> de </w:t>
      </w:r>
      <w:r w:rsidR="00AB1EC0" w:rsidRPr="003C3998">
        <w:rPr>
          <w:rFonts w:ascii="Palatino Linotype" w:eastAsia="Palatino Linotype" w:hAnsi="Palatino Linotype" w:cs="Palatino Linotype"/>
          <w:b/>
          <w:sz w:val="22"/>
          <w:szCs w:val="22"/>
        </w:rPr>
        <w:t>agosto</w:t>
      </w:r>
      <w:r w:rsidR="003131D9" w:rsidRPr="003C3998">
        <w:rPr>
          <w:rFonts w:ascii="Palatino Linotype" w:eastAsia="Palatino Linotype" w:hAnsi="Palatino Linotype" w:cs="Palatino Linotype"/>
          <w:b/>
          <w:sz w:val="22"/>
          <w:szCs w:val="22"/>
        </w:rPr>
        <w:t xml:space="preserve"> de dos mil veintiséis</w:t>
      </w:r>
      <w:r w:rsidR="00785AE5" w:rsidRPr="003C3998">
        <w:rPr>
          <w:rFonts w:ascii="Palatino Linotype" w:eastAsia="Palatino Linotype" w:hAnsi="Palatino Linotype" w:cs="Palatino Linotype"/>
          <w:b/>
          <w:sz w:val="22"/>
          <w:szCs w:val="22"/>
        </w:rPr>
        <w:t xml:space="preserve">, </w:t>
      </w:r>
      <w:r w:rsidR="00785AE5" w:rsidRPr="003C3998">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00785AE5" w:rsidRPr="003C3998">
        <w:rPr>
          <w:rFonts w:ascii="Palatino Linotype" w:eastAsia="Palatino Linotype" w:hAnsi="Palatino Linotype" w:cs="Palatino Linotype"/>
          <w:b/>
          <w:sz w:val="22"/>
          <w:szCs w:val="22"/>
        </w:rPr>
        <w:t xml:space="preserve">Sujeto Obligado </w:t>
      </w:r>
      <w:r w:rsidR="00785AE5" w:rsidRPr="003C3998">
        <w:rPr>
          <w:rFonts w:ascii="Palatino Linotype" w:eastAsia="Palatino Linotype" w:hAnsi="Palatino Linotype" w:cs="Palatino Linotype"/>
          <w:sz w:val="22"/>
          <w:szCs w:val="22"/>
        </w:rPr>
        <w:t>presentara su informe justificado.</w:t>
      </w:r>
    </w:p>
    <w:p w14:paraId="2C715DC6" w14:textId="77777777" w:rsidR="00E61FDF" w:rsidRPr="003C3998" w:rsidRDefault="00E61FDF" w:rsidP="007D356E">
      <w:pPr>
        <w:spacing w:line="360" w:lineRule="auto"/>
        <w:jc w:val="both"/>
        <w:rPr>
          <w:rFonts w:ascii="Palatino Linotype" w:eastAsia="Palatino Linotype" w:hAnsi="Palatino Linotype" w:cs="Palatino Linotype"/>
          <w:b/>
          <w:sz w:val="22"/>
          <w:szCs w:val="22"/>
        </w:rPr>
      </w:pPr>
    </w:p>
    <w:p w14:paraId="1C260D86" w14:textId="77777777" w:rsidR="00AB1EC0" w:rsidRPr="003C3998" w:rsidRDefault="00182959" w:rsidP="007D356E">
      <w:pPr>
        <w:spacing w:line="360" w:lineRule="auto"/>
        <w:jc w:val="both"/>
        <w:rPr>
          <w:rFonts w:ascii="Palatino Linotype" w:eastAsia="Palatino Linotype" w:hAnsi="Palatino Linotype" w:cs="Palatino Linotype"/>
          <w:b/>
          <w:bCs/>
          <w:sz w:val="22"/>
          <w:szCs w:val="22"/>
        </w:rPr>
      </w:pPr>
      <w:bookmarkStart w:id="4" w:name="_heading=h.2s8eyo1" w:colFirst="0" w:colLast="0"/>
      <w:bookmarkEnd w:id="4"/>
      <w:r w:rsidRPr="003C3998">
        <w:rPr>
          <w:rFonts w:ascii="Palatino Linotype" w:eastAsia="Palatino Linotype" w:hAnsi="Palatino Linotype" w:cs="Palatino Linotype"/>
          <w:b/>
          <w:sz w:val="22"/>
          <w:szCs w:val="22"/>
        </w:rPr>
        <w:t>6</w:t>
      </w:r>
      <w:r w:rsidR="00785AE5" w:rsidRPr="003C3998">
        <w:rPr>
          <w:rFonts w:ascii="Palatino Linotype" w:eastAsia="Palatino Linotype" w:hAnsi="Palatino Linotype" w:cs="Palatino Linotype"/>
          <w:b/>
          <w:sz w:val="22"/>
          <w:szCs w:val="22"/>
        </w:rPr>
        <w:t>. Manifestaciones</w:t>
      </w:r>
      <w:r w:rsidR="00785AE5" w:rsidRPr="003C3998">
        <w:rPr>
          <w:rFonts w:ascii="Palatino Linotype" w:eastAsia="Palatino Linotype" w:hAnsi="Palatino Linotype" w:cs="Palatino Linotype"/>
          <w:sz w:val="22"/>
          <w:szCs w:val="22"/>
        </w:rPr>
        <w:t xml:space="preserve">. </w:t>
      </w:r>
      <w:r w:rsidR="00AB1EC0" w:rsidRPr="003C3998">
        <w:rPr>
          <w:rFonts w:ascii="Palatino Linotype" w:eastAsia="Palatino Linotype" w:hAnsi="Palatino Linotype" w:cs="Palatino Linotype"/>
          <w:sz w:val="22"/>
          <w:szCs w:val="22"/>
        </w:rPr>
        <w:t>De las constancias que obran en el expediente electrónico del SAIMEX, se advierte que tanto el Sujeto Obligado como el Recurrente fueron omisos en realizar manifestaciones; se inserta imagen de referencia:</w:t>
      </w:r>
    </w:p>
    <w:p w14:paraId="3CA83937" w14:textId="77777777" w:rsidR="00AB1EC0" w:rsidRPr="003C3998" w:rsidRDefault="00AB1EC0" w:rsidP="007D356E">
      <w:pPr>
        <w:spacing w:line="360" w:lineRule="auto"/>
        <w:jc w:val="both"/>
        <w:rPr>
          <w:rFonts w:ascii="Palatino Linotype" w:eastAsia="Palatino Linotype" w:hAnsi="Palatino Linotype" w:cs="Palatino Linotype"/>
          <w:b/>
          <w:bCs/>
          <w:sz w:val="22"/>
          <w:szCs w:val="22"/>
        </w:rPr>
      </w:pPr>
    </w:p>
    <w:p w14:paraId="6B49F2E4" w14:textId="49354455" w:rsidR="00AB1EC0" w:rsidRPr="003C3998" w:rsidRDefault="002C7E61" w:rsidP="007D356E">
      <w:pPr>
        <w:spacing w:line="360" w:lineRule="auto"/>
        <w:jc w:val="both"/>
        <w:rPr>
          <w:rFonts w:ascii="Palatino Linotype" w:eastAsia="Palatino Linotype" w:hAnsi="Palatino Linotype" w:cs="Palatino Linotype"/>
          <w:b/>
          <w:bCs/>
          <w:sz w:val="22"/>
          <w:szCs w:val="22"/>
        </w:rPr>
      </w:pPr>
      <w:r w:rsidRPr="003C3998">
        <w:rPr>
          <w:rFonts w:ascii="Palatino Linotype" w:eastAsia="Palatino Linotype" w:hAnsi="Palatino Linotype" w:cs="Palatino Linotype"/>
          <w:b/>
          <w:bCs/>
          <w:noProof/>
          <w:sz w:val="22"/>
          <w:szCs w:val="22"/>
        </w:rPr>
        <w:drawing>
          <wp:inline distT="0" distB="0" distL="0" distR="0" wp14:anchorId="1B8B46C0" wp14:editId="0D34356E">
            <wp:extent cx="5612130" cy="1473835"/>
            <wp:effectExtent l="0" t="0" r="1270" b="0"/>
            <wp:docPr id="21310838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083891" name="Imagen 21310838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1473835"/>
                    </a:xfrm>
                    <a:prstGeom prst="rect">
                      <a:avLst/>
                    </a:prstGeom>
                  </pic:spPr>
                </pic:pic>
              </a:graphicData>
            </a:graphic>
          </wp:inline>
        </w:drawing>
      </w:r>
    </w:p>
    <w:p w14:paraId="7F0A2B8D" w14:textId="77777777" w:rsidR="00C12F75" w:rsidRPr="003C3998" w:rsidRDefault="00C12F75" w:rsidP="007D356E">
      <w:pPr>
        <w:spacing w:line="360" w:lineRule="auto"/>
        <w:jc w:val="both"/>
        <w:rPr>
          <w:rFonts w:ascii="Palatino Linotype" w:eastAsia="Palatino Linotype" w:hAnsi="Palatino Linotype" w:cs="Palatino Linotype"/>
          <w:sz w:val="22"/>
          <w:szCs w:val="22"/>
        </w:rPr>
      </w:pPr>
    </w:p>
    <w:p w14:paraId="6DB0BD06" w14:textId="1A0EC701" w:rsidR="00890DC6" w:rsidRPr="003C3998" w:rsidRDefault="00182959" w:rsidP="002C7E61">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bCs/>
          <w:sz w:val="22"/>
          <w:szCs w:val="22"/>
        </w:rPr>
        <w:t>7</w:t>
      </w:r>
      <w:r w:rsidR="004864D3" w:rsidRPr="003C3998">
        <w:rPr>
          <w:rFonts w:ascii="Palatino Linotype" w:eastAsia="Palatino Linotype" w:hAnsi="Palatino Linotype" w:cs="Palatino Linotype"/>
          <w:b/>
          <w:bCs/>
          <w:sz w:val="22"/>
          <w:szCs w:val="22"/>
        </w:rPr>
        <w:t xml:space="preserve">. </w:t>
      </w:r>
      <w:r w:rsidR="004864D3" w:rsidRPr="003C3998">
        <w:rPr>
          <w:rFonts w:ascii="Palatino Linotype" w:eastAsia="Palatino Linotype" w:hAnsi="Palatino Linotype" w:cs="Palatino Linotype"/>
          <w:b/>
          <w:sz w:val="22"/>
          <w:szCs w:val="22"/>
        </w:rPr>
        <w:t xml:space="preserve">Ampliación de plazo. El </w:t>
      </w:r>
      <w:r w:rsidR="002C7E61" w:rsidRPr="003C3998">
        <w:rPr>
          <w:rFonts w:ascii="Palatino Linotype" w:eastAsia="Palatino Linotype" w:hAnsi="Palatino Linotype" w:cs="Palatino Linotype"/>
          <w:b/>
          <w:sz w:val="22"/>
          <w:szCs w:val="22"/>
        </w:rPr>
        <w:t>diecisiete</w:t>
      </w:r>
      <w:r w:rsidR="004864D3" w:rsidRPr="003C3998">
        <w:rPr>
          <w:rFonts w:ascii="Palatino Linotype" w:eastAsia="Palatino Linotype" w:hAnsi="Palatino Linotype" w:cs="Palatino Linotype"/>
          <w:b/>
          <w:sz w:val="22"/>
          <w:szCs w:val="22"/>
        </w:rPr>
        <w:t xml:space="preserve"> de </w:t>
      </w:r>
      <w:r w:rsidR="00335F1C" w:rsidRPr="003C3998">
        <w:rPr>
          <w:rFonts w:ascii="Palatino Linotype" w:eastAsia="Palatino Linotype" w:hAnsi="Palatino Linotype" w:cs="Palatino Linotype"/>
          <w:b/>
          <w:sz w:val="22"/>
          <w:szCs w:val="22"/>
        </w:rPr>
        <w:t>septiembre</w:t>
      </w:r>
      <w:r w:rsidR="004864D3" w:rsidRPr="003C3998">
        <w:rPr>
          <w:rFonts w:ascii="Palatino Linotype" w:eastAsia="Palatino Linotype" w:hAnsi="Palatino Linotype" w:cs="Palatino Linotype"/>
          <w:b/>
          <w:bCs/>
          <w:sz w:val="22"/>
          <w:szCs w:val="22"/>
        </w:rPr>
        <w:t xml:space="preserve"> de dos mil veintiséis</w:t>
      </w:r>
      <w:r w:rsidR="004864D3" w:rsidRPr="003C3998">
        <w:rPr>
          <w:rFonts w:ascii="Palatino Linotype" w:eastAsia="Palatino Linotype" w:hAnsi="Palatino Linotype" w:cs="Palatino Linotype"/>
          <w:sz w:val="22"/>
          <w:szCs w:val="22"/>
        </w:rPr>
        <w:t>, se amplió el término para resolver el recurso de revisión en términos del artículo 181 párrafo tercero de la Ley de Transparencia y Acceso a la Información Pública del Estado de México y Municipios.</w:t>
      </w:r>
    </w:p>
    <w:p w14:paraId="1882728B" w14:textId="77777777" w:rsidR="002C7E61" w:rsidRPr="003C3998" w:rsidRDefault="002C7E61" w:rsidP="007D356E">
      <w:pPr>
        <w:spacing w:line="360" w:lineRule="auto"/>
        <w:jc w:val="both"/>
        <w:rPr>
          <w:rFonts w:ascii="Palatino Linotype" w:hAnsi="Palatino Linotype"/>
          <w:b/>
          <w:bCs/>
          <w:sz w:val="22"/>
          <w:szCs w:val="22"/>
        </w:rPr>
      </w:pPr>
    </w:p>
    <w:p w14:paraId="7FFBC168" w14:textId="27DABA92" w:rsidR="004864D3" w:rsidRPr="003C3998" w:rsidRDefault="002C7E61"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8</w:t>
      </w:r>
      <w:r w:rsidR="00785AE5" w:rsidRPr="003C3998">
        <w:rPr>
          <w:rFonts w:ascii="Palatino Linotype" w:eastAsia="Palatino Linotype" w:hAnsi="Palatino Linotype" w:cs="Palatino Linotype"/>
          <w:b/>
          <w:sz w:val="22"/>
          <w:szCs w:val="22"/>
        </w:rPr>
        <w:t xml:space="preserve">. </w:t>
      </w:r>
      <w:r w:rsidR="00CA0651" w:rsidRPr="003C3998">
        <w:rPr>
          <w:rFonts w:ascii="Palatino Linotype" w:eastAsia="Palatino Linotype" w:hAnsi="Palatino Linotype" w:cs="Palatino Linotype"/>
          <w:b/>
          <w:sz w:val="22"/>
          <w:szCs w:val="22"/>
        </w:rPr>
        <w:t xml:space="preserve">Cierre de instrucción. </w:t>
      </w:r>
      <w:r w:rsidR="00CA0651" w:rsidRPr="003C3998">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Pr="003C3998">
        <w:rPr>
          <w:rFonts w:ascii="Palatino Linotype" w:eastAsia="Palatino Linotype" w:hAnsi="Palatino Linotype" w:cs="Palatino Linotype"/>
          <w:b/>
          <w:bCs/>
          <w:sz w:val="22"/>
          <w:szCs w:val="22"/>
        </w:rPr>
        <w:t>diecisiete</w:t>
      </w:r>
      <w:r w:rsidR="000F16DE" w:rsidRPr="003C3998">
        <w:rPr>
          <w:rFonts w:ascii="Palatino Linotype" w:eastAsia="Palatino Linotype" w:hAnsi="Palatino Linotype" w:cs="Palatino Linotype"/>
          <w:b/>
          <w:bCs/>
          <w:sz w:val="22"/>
          <w:szCs w:val="22"/>
        </w:rPr>
        <w:t xml:space="preserve"> de septiembre</w:t>
      </w:r>
      <w:r w:rsidR="00824A94" w:rsidRPr="003C3998">
        <w:rPr>
          <w:rFonts w:ascii="Palatino Linotype" w:eastAsia="Palatino Linotype" w:hAnsi="Palatino Linotype" w:cs="Palatino Linotype"/>
          <w:b/>
          <w:sz w:val="22"/>
          <w:szCs w:val="22"/>
        </w:rPr>
        <w:t xml:space="preserve"> de dos mil veintiséis</w:t>
      </w:r>
      <w:r w:rsidR="00CA0651" w:rsidRPr="003C3998">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2FECF456" w14:textId="77777777" w:rsidR="00E61FDF" w:rsidRPr="003C3998" w:rsidRDefault="00E61FDF" w:rsidP="007D356E">
      <w:pPr>
        <w:spacing w:line="360" w:lineRule="auto"/>
        <w:jc w:val="both"/>
        <w:rPr>
          <w:rFonts w:ascii="Palatino Linotype" w:eastAsia="Palatino Linotype" w:hAnsi="Palatino Linotype" w:cs="Palatino Linotype"/>
          <w:sz w:val="22"/>
          <w:szCs w:val="22"/>
        </w:rPr>
      </w:pPr>
    </w:p>
    <w:p w14:paraId="5CDC025C" w14:textId="77777777"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73AFC16C" w14:textId="77777777" w:rsidR="00A22E4D" w:rsidRPr="003C3998" w:rsidRDefault="00A22E4D" w:rsidP="007D356E">
      <w:pPr>
        <w:spacing w:line="360" w:lineRule="auto"/>
        <w:jc w:val="both"/>
        <w:rPr>
          <w:rFonts w:ascii="Palatino Linotype" w:eastAsia="Palatino Linotype" w:hAnsi="Palatino Linotype" w:cs="Palatino Linotype"/>
          <w:sz w:val="22"/>
          <w:szCs w:val="22"/>
        </w:rPr>
      </w:pPr>
    </w:p>
    <w:p w14:paraId="7F5365B9" w14:textId="77777777" w:rsidR="00D10152" w:rsidRPr="003C3998" w:rsidRDefault="00785AE5" w:rsidP="007D356E">
      <w:pPr>
        <w:widowControl w:val="0"/>
        <w:spacing w:line="360" w:lineRule="auto"/>
        <w:jc w:val="center"/>
        <w:rPr>
          <w:rFonts w:ascii="Palatino Linotype" w:eastAsia="Palatino Linotype" w:hAnsi="Palatino Linotype" w:cs="Palatino Linotype"/>
          <w:b/>
          <w:sz w:val="22"/>
          <w:szCs w:val="22"/>
        </w:rPr>
      </w:pPr>
      <w:r w:rsidRPr="003C3998">
        <w:rPr>
          <w:rFonts w:ascii="Palatino Linotype" w:eastAsia="Palatino Linotype" w:hAnsi="Palatino Linotype" w:cs="Palatino Linotype"/>
          <w:b/>
          <w:sz w:val="22"/>
          <w:szCs w:val="22"/>
        </w:rPr>
        <w:t>II. C O N S I D E R A N D O S</w:t>
      </w:r>
    </w:p>
    <w:p w14:paraId="5ED30066" w14:textId="77777777" w:rsidR="00E61FDF" w:rsidRPr="003C3998" w:rsidRDefault="00E61FDF" w:rsidP="007D356E">
      <w:pPr>
        <w:spacing w:line="360" w:lineRule="auto"/>
        <w:jc w:val="both"/>
        <w:rPr>
          <w:rFonts w:ascii="Palatino Linotype" w:eastAsia="Palatino Linotype" w:hAnsi="Palatino Linotype" w:cs="Palatino Linotype"/>
          <w:b/>
          <w:sz w:val="22"/>
          <w:szCs w:val="22"/>
        </w:rPr>
      </w:pPr>
    </w:p>
    <w:p w14:paraId="3D727666" w14:textId="30664788"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Primero. Competencia.</w:t>
      </w:r>
      <w:r w:rsidRPr="003C3998">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w:t>
      </w:r>
      <w:r w:rsidR="00824A94" w:rsidRPr="003C3998">
        <w:rPr>
          <w:rFonts w:ascii="Palatino Linotype" w:eastAsia="Palatino Linotype" w:hAnsi="Palatino Linotype" w:cs="Palatino Linotype"/>
          <w:sz w:val="22"/>
          <w:szCs w:val="22"/>
        </w:rPr>
        <w:t>cuadragésimo cuarto, cuadragésimo quinto y cuadragésimo sexto, fracciones IV y V de la Constitución Política del Estado Libre y Soberano de México; transitorio Cuarto del Decreto número 198 de la “LXII” Legislatura del Estado de México</w:t>
      </w:r>
      <w:r w:rsidRPr="003C3998">
        <w:rPr>
          <w:rFonts w:ascii="Palatino Linotype" w:eastAsia="Palatino Linotype" w:hAnsi="Palatino Linotype" w:cs="Palatino Linotype"/>
          <w:sz w:val="22"/>
          <w:szCs w:val="22"/>
        </w:rPr>
        <w:t>;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5FADB3DE" w14:textId="77777777" w:rsidR="00E61FDF" w:rsidRPr="003C3998" w:rsidRDefault="00E61FDF" w:rsidP="007D356E">
      <w:pPr>
        <w:spacing w:line="360" w:lineRule="auto"/>
        <w:jc w:val="both"/>
        <w:rPr>
          <w:rFonts w:ascii="Palatino Linotype" w:eastAsia="Palatino Linotype" w:hAnsi="Palatino Linotype" w:cs="Palatino Linotype"/>
          <w:sz w:val="22"/>
          <w:szCs w:val="22"/>
        </w:rPr>
      </w:pPr>
    </w:p>
    <w:p w14:paraId="6B34FB32" w14:textId="77777777" w:rsidR="00D10152" w:rsidRPr="003C3998" w:rsidRDefault="00785AE5" w:rsidP="007D356E">
      <w:pPr>
        <w:spacing w:line="360" w:lineRule="auto"/>
        <w:jc w:val="both"/>
        <w:rPr>
          <w:rFonts w:ascii="Palatino Linotype" w:eastAsia="Palatino Linotype" w:hAnsi="Palatino Linotype" w:cs="Palatino Linotype"/>
          <w:sz w:val="22"/>
          <w:szCs w:val="22"/>
        </w:rPr>
      </w:pPr>
      <w:bookmarkStart w:id="5" w:name="_heading=h.tyjcwt" w:colFirst="0" w:colLast="0"/>
      <w:bookmarkEnd w:id="5"/>
      <w:r w:rsidRPr="003C3998">
        <w:rPr>
          <w:rFonts w:ascii="Palatino Linotype" w:eastAsia="Palatino Linotype" w:hAnsi="Palatino Linotype" w:cs="Palatino Linotype"/>
          <w:b/>
          <w:sz w:val="22"/>
          <w:szCs w:val="22"/>
        </w:rPr>
        <w:t>Segundo. Oportunidad y Procedibilidad del Recurso de Revisión</w:t>
      </w:r>
      <w:r w:rsidRPr="003C3998">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68E19645" w14:textId="77777777" w:rsidR="008A2AA1" w:rsidRPr="003C3998" w:rsidRDefault="008A2AA1" w:rsidP="007D356E">
      <w:pPr>
        <w:spacing w:line="360" w:lineRule="auto"/>
        <w:jc w:val="both"/>
        <w:rPr>
          <w:rFonts w:ascii="Palatino Linotype" w:eastAsia="Palatino Linotype" w:hAnsi="Palatino Linotype" w:cs="Palatino Linotype"/>
          <w:sz w:val="22"/>
          <w:szCs w:val="22"/>
        </w:rPr>
      </w:pPr>
    </w:p>
    <w:p w14:paraId="2A3D3B25" w14:textId="42BCD5D2" w:rsidR="00091714"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3C3998">
        <w:rPr>
          <w:rFonts w:ascii="Palatino Linotype" w:eastAsia="Palatino Linotype" w:hAnsi="Palatino Linotype" w:cs="Palatino Linotype"/>
          <w:b/>
          <w:sz w:val="22"/>
          <w:szCs w:val="22"/>
        </w:rPr>
        <w:t xml:space="preserve">Sujeto Obligado </w:t>
      </w:r>
      <w:r w:rsidRPr="003C3998">
        <w:rPr>
          <w:rFonts w:ascii="Palatino Linotype" w:eastAsia="Palatino Linotype" w:hAnsi="Palatino Linotype" w:cs="Palatino Linotype"/>
          <w:sz w:val="22"/>
          <w:szCs w:val="22"/>
        </w:rPr>
        <w:t>remitió la respuesta a la solicitud de información el día</w:t>
      </w:r>
      <w:r w:rsidR="00335F1C" w:rsidRPr="003C3998">
        <w:rPr>
          <w:rFonts w:ascii="Palatino Linotype" w:eastAsia="Palatino Linotype" w:hAnsi="Palatino Linotype" w:cs="Palatino Linotype"/>
          <w:b/>
          <w:bCs/>
          <w:sz w:val="22"/>
          <w:szCs w:val="22"/>
        </w:rPr>
        <w:t xml:space="preserve"> </w:t>
      </w:r>
      <w:r w:rsidR="00881AF5" w:rsidRPr="003C3998">
        <w:rPr>
          <w:rFonts w:ascii="Palatino Linotype" w:eastAsia="Palatino Linotype" w:hAnsi="Palatino Linotype" w:cs="Palatino Linotype"/>
          <w:b/>
          <w:bCs/>
          <w:sz w:val="22"/>
          <w:szCs w:val="22"/>
        </w:rPr>
        <w:t>veintiuno de julio</w:t>
      </w:r>
      <w:r w:rsidR="00824A94" w:rsidRPr="003C3998">
        <w:rPr>
          <w:rFonts w:ascii="Palatino Linotype" w:eastAsia="Palatino Linotype" w:hAnsi="Palatino Linotype" w:cs="Palatino Linotype"/>
          <w:b/>
          <w:sz w:val="22"/>
          <w:szCs w:val="22"/>
        </w:rPr>
        <w:t xml:space="preserve"> de dos mil veintiséis</w:t>
      </w:r>
      <w:r w:rsidRPr="003C3998">
        <w:rPr>
          <w:rFonts w:ascii="Palatino Linotype" w:eastAsia="Palatino Linotype" w:hAnsi="Palatino Linotype" w:cs="Palatino Linotype"/>
          <w:b/>
          <w:sz w:val="22"/>
          <w:szCs w:val="22"/>
        </w:rPr>
        <w:t xml:space="preserve">, </w:t>
      </w:r>
      <w:r w:rsidRPr="003C3998">
        <w:rPr>
          <w:rFonts w:ascii="Palatino Linotype" w:eastAsia="Palatino Linotype" w:hAnsi="Palatino Linotype" w:cs="Palatino Linotype"/>
          <w:sz w:val="22"/>
          <w:szCs w:val="22"/>
        </w:rPr>
        <w:t xml:space="preserve">mientras que el recurso de revisión interpuesto por la parte </w:t>
      </w:r>
      <w:r w:rsidRPr="003C3998">
        <w:rPr>
          <w:rFonts w:ascii="Palatino Linotype" w:eastAsia="Palatino Linotype" w:hAnsi="Palatino Linotype" w:cs="Palatino Linotype"/>
          <w:b/>
          <w:sz w:val="22"/>
          <w:szCs w:val="22"/>
        </w:rPr>
        <w:t xml:space="preserve">Recurrente, </w:t>
      </w:r>
      <w:r w:rsidRPr="003C3998">
        <w:rPr>
          <w:rFonts w:ascii="Palatino Linotype" w:eastAsia="Palatino Linotype" w:hAnsi="Palatino Linotype" w:cs="Palatino Linotype"/>
          <w:sz w:val="22"/>
          <w:szCs w:val="22"/>
        </w:rPr>
        <w:t>se tuvo por presentado el día</w:t>
      </w:r>
      <w:r w:rsidR="00EF706F" w:rsidRPr="003C3998">
        <w:rPr>
          <w:rFonts w:ascii="Palatino Linotype" w:eastAsia="Palatino Linotype" w:hAnsi="Palatino Linotype" w:cs="Palatino Linotype"/>
          <w:b/>
          <w:sz w:val="22"/>
          <w:szCs w:val="22"/>
        </w:rPr>
        <w:t xml:space="preserve"> </w:t>
      </w:r>
      <w:r w:rsidR="00881AF5" w:rsidRPr="003C3998">
        <w:rPr>
          <w:rFonts w:ascii="Palatino Linotype" w:eastAsia="Palatino Linotype" w:hAnsi="Palatino Linotype" w:cs="Palatino Linotype"/>
          <w:b/>
          <w:sz w:val="22"/>
          <w:szCs w:val="22"/>
        </w:rPr>
        <w:t>tres de agoso</w:t>
      </w:r>
      <w:r w:rsidR="00824A94" w:rsidRPr="003C3998">
        <w:rPr>
          <w:rFonts w:ascii="Palatino Linotype" w:eastAsia="Palatino Linotype" w:hAnsi="Palatino Linotype" w:cs="Palatino Linotype"/>
          <w:b/>
          <w:sz w:val="22"/>
          <w:szCs w:val="22"/>
        </w:rPr>
        <w:t xml:space="preserve"> de dos mil veintiséis</w:t>
      </w:r>
      <w:r w:rsidRPr="003C3998">
        <w:rPr>
          <w:rFonts w:ascii="Palatino Linotype" w:eastAsia="Palatino Linotype" w:hAnsi="Palatino Linotype" w:cs="Palatino Linotype"/>
          <w:b/>
          <w:sz w:val="22"/>
          <w:szCs w:val="22"/>
        </w:rPr>
        <w:t xml:space="preserve">, </w:t>
      </w:r>
      <w:r w:rsidRPr="003C3998">
        <w:rPr>
          <w:rFonts w:ascii="Palatino Linotype" w:eastAsia="Palatino Linotype" w:hAnsi="Palatino Linotype" w:cs="Palatino Linotype"/>
          <w:sz w:val="22"/>
          <w:szCs w:val="22"/>
        </w:rPr>
        <w:t xml:space="preserve">esto es, </w:t>
      </w:r>
      <w:r w:rsidR="002345D9" w:rsidRPr="003C3998">
        <w:rPr>
          <w:rFonts w:ascii="Palatino Linotype" w:eastAsia="Palatino Linotype" w:hAnsi="Palatino Linotype" w:cs="Palatino Linotype"/>
          <w:sz w:val="22"/>
          <w:szCs w:val="22"/>
        </w:rPr>
        <w:t xml:space="preserve">al </w:t>
      </w:r>
      <w:r w:rsidR="00881AF5" w:rsidRPr="003C3998">
        <w:rPr>
          <w:rFonts w:ascii="Palatino Linotype" w:eastAsia="Palatino Linotype" w:hAnsi="Palatino Linotype" w:cs="Palatino Linotype"/>
          <w:sz w:val="22"/>
          <w:szCs w:val="22"/>
        </w:rPr>
        <w:t xml:space="preserve">primer </w:t>
      </w:r>
      <w:r w:rsidR="002345D9" w:rsidRPr="003C3998">
        <w:rPr>
          <w:rFonts w:ascii="Palatino Linotype" w:eastAsia="Palatino Linotype" w:hAnsi="Palatino Linotype" w:cs="Palatino Linotype"/>
          <w:sz w:val="22"/>
          <w:szCs w:val="22"/>
        </w:rPr>
        <w:t>día</w:t>
      </w:r>
      <w:r w:rsidR="00983031" w:rsidRPr="003C3998">
        <w:rPr>
          <w:rFonts w:ascii="Palatino Linotype" w:eastAsia="Palatino Linotype" w:hAnsi="Palatino Linotype" w:cs="Palatino Linotype"/>
          <w:sz w:val="22"/>
          <w:szCs w:val="22"/>
        </w:rPr>
        <w:t xml:space="preserve"> que se tuvo conocimiento </w:t>
      </w:r>
      <w:r w:rsidRPr="003C3998">
        <w:rPr>
          <w:rFonts w:ascii="Palatino Linotype" w:eastAsia="Palatino Linotype" w:hAnsi="Palatino Linotype" w:cs="Palatino Linotype"/>
          <w:sz w:val="22"/>
          <w:szCs w:val="22"/>
        </w:rPr>
        <w:t xml:space="preserve">de la respuesta impugnada. </w:t>
      </w:r>
    </w:p>
    <w:p w14:paraId="0B576080" w14:textId="77777777" w:rsidR="002345D9" w:rsidRPr="003C3998" w:rsidRDefault="002345D9" w:rsidP="007D356E">
      <w:pPr>
        <w:spacing w:line="360" w:lineRule="auto"/>
        <w:jc w:val="both"/>
        <w:rPr>
          <w:rFonts w:ascii="Palatino Linotype" w:eastAsia="Palatino Linotype" w:hAnsi="Palatino Linotype" w:cs="Palatino Linotype"/>
          <w:sz w:val="22"/>
          <w:szCs w:val="22"/>
        </w:rPr>
      </w:pPr>
    </w:p>
    <w:p w14:paraId="65E31064" w14:textId="0177905C" w:rsidR="00D10152" w:rsidRPr="003C3998" w:rsidRDefault="00785AE5" w:rsidP="007D356E">
      <w:pPr>
        <w:spacing w:line="360" w:lineRule="auto"/>
        <w:jc w:val="both"/>
        <w:rPr>
          <w:rFonts w:ascii="Palatino Linotype" w:eastAsia="Palatino Linotype" w:hAnsi="Palatino Linotype" w:cs="Palatino Linotype"/>
          <w:b/>
          <w:sz w:val="22"/>
          <w:szCs w:val="22"/>
        </w:rPr>
      </w:pPr>
      <w:r w:rsidRPr="003C3998">
        <w:rPr>
          <w:rFonts w:ascii="Palatino Linotype" w:eastAsia="Palatino Linotype" w:hAnsi="Palatino Linotype" w:cs="Palatino Linotype"/>
          <w:sz w:val="22"/>
          <w:szCs w:val="22"/>
        </w:rPr>
        <w:t>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RPr="003C3998">
        <w:rPr>
          <w:rFonts w:ascii="Palatino Linotype" w:eastAsia="Palatino Linotype" w:hAnsi="Palatino Linotype" w:cs="Palatino Linotype"/>
          <w:b/>
          <w:sz w:val="22"/>
          <w:szCs w:val="22"/>
        </w:rPr>
        <w:t xml:space="preserve"> SAIMEX.</w:t>
      </w:r>
      <w:r w:rsidR="00B24AA5" w:rsidRPr="003C3998">
        <w:rPr>
          <w:rFonts w:ascii="Palatino Linotype" w:eastAsia="Palatino Linotype" w:hAnsi="Palatino Linotype" w:cs="Palatino Linotype"/>
          <w:b/>
          <w:sz w:val="22"/>
          <w:szCs w:val="22"/>
        </w:rPr>
        <w:t xml:space="preserve"> </w:t>
      </w:r>
    </w:p>
    <w:p w14:paraId="52161EB7" w14:textId="77777777" w:rsidR="008A2AA1" w:rsidRPr="003C3998" w:rsidRDefault="008A2AA1" w:rsidP="007D356E">
      <w:pPr>
        <w:spacing w:line="360" w:lineRule="auto"/>
        <w:jc w:val="both"/>
        <w:rPr>
          <w:rFonts w:ascii="Palatino Linotype" w:eastAsia="Palatino Linotype" w:hAnsi="Palatino Linotype" w:cs="Palatino Linotype"/>
          <w:b/>
          <w:sz w:val="22"/>
          <w:szCs w:val="22"/>
        </w:rPr>
      </w:pPr>
    </w:p>
    <w:p w14:paraId="52F8B886" w14:textId="4AFB1238"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Finalmente, se advierte que resulta procedente la interposición del recurso, según lo manifestado por la parte </w:t>
      </w:r>
      <w:r w:rsidRPr="003C3998">
        <w:rPr>
          <w:rFonts w:ascii="Palatino Linotype" w:eastAsia="Palatino Linotype" w:hAnsi="Palatino Linotype" w:cs="Palatino Linotype"/>
          <w:b/>
          <w:sz w:val="22"/>
          <w:szCs w:val="22"/>
        </w:rPr>
        <w:t>Recurrente</w:t>
      </w:r>
      <w:r w:rsidRPr="003C3998">
        <w:rPr>
          <w:rFonts w:ascii="Palatino Linotype" w:eastAsia="Palatino Linotype" w:hAnsi="Palatino Linotype" w:cs="Palatino Linotype"/>
          <w:sz w:val="22"/>
          <w:szCs w:val="22"/>
        </w:rPr>
        <w:t xml:space="preserve"> en sus motivos de inconformidad, de acuerdo al artículo 179, </w:t>
      </w:r>
      <w:r w:rsidR="00A167A0" w:rsidRPr="003C3998">
        <w:rPr>
          <w:rFonts w:ascii="Palatino Linotype" w:eastAsia="Palatino Linotype" w:hAnsi="Palatino Linotype" w:cs="Palatino Linotype"/>
          <w:sz w:val="22"/>
          <w:szCs w:val="22"/>
        </w:rPr>
        <w:t>fracci</w:t>
      </w:r>
      <w:r w:rsidR="00824A94" w:rsidRPr="003C3998">
        <w:rPr>
          <w:rFonts w:ascii="Palatino Linotype" w:eastAsia="Palatino Linotype" w:hAnsi="Palatino Linotype" w:cs="Palatino Linotype"/>
          <w:sz w:val="22"/>
          <w:szCs w:val="22"/>
        </w:rPr>
        <w:t xml:space="preserve">ón </w:t>
      </w:r>
      <w:r w:rsidR="00881AF5" w:rsidRPr="003C3998">
        <w:rPr>
          <w:rFonts w:ascii="Palatino Linotype" w:eastAsia="Palatino Linotype" w:hAnsi="Palatino Linotype" w:cs="Palatino Linotype"/>
          <w:sz w:val="22"/>
          <w:szCs w:val="22"/>
        </w:rPr>
        <w:t>V</w:t>
      </w:r>
      <w:r w:rsidR="006A28A7" w:rsidRPr="003C3998">
        <w:rPr>
          <w:rFonts w:ascii="Palatino Linotype" w:eastAsia="Palatino Linotype" w:hAnsi="Palatino Linotype" w:cs="Palatino Linotype"/>
          <w:sz w:val="22"/>
          <w:szCs w:val="22"/>
        </w:rPr>
        <w:t xml:space="preserve"> </w:t>
      </w:r>
      <w:r w:rsidRPr="003C3998">
        <w:rPr>
          <w:rFonts w:ascii="Palatino Linotype" w:eastAsia="Palatino Linotype" w:hAnsi="Palatino Linotype" w:cs="Palatino Linotype"/>
          <w:sz w:val="22"/>
          <w:szCs w:val="22"/>
        </w:rPr>
        <w:t>del ordenamiento legal citado, que a la letra dice: </w:t>
      </w:r>
    </w:p>
    <w:p w14:paraId="1EB2FFAB" w14:textId="77777777" w:rsidR="008A2AA1" w:rsidRPr="003C3998" w:rsidRDefault="008A2AA1" w:rsidP="007D356E">
      <w:pPr>
        <w:tabs>
          <w:tab w:val="left" w:pos="7655"/>
        </w:tabs>
        <w:spacing w:line="276" w:lineRule="auto"/>
        <w:ind w:left="993" w:right="616"/>
        <w:jc w:val="both"/>
        <w:rPr>
          <w:rFonts w:ascii="Palatino Linotype" w:eastAsia="Palatino Linotype" w:hAnsi="Palatino Linotype" w:cs="Palatino Linotype"/>
          <w:i/>
          <w:sz w:val="22"/>
          <w:szCs w:val="22"/>
        </w:rPr>
      </w:pPr>
    </w:p>
    <w:p w14:paraId="2ACBD19C" w14:textId="35A53A1B" w:rsidR="00D10152" w:rsidRPr="003C3998" w:rsidRDefault="00785AE5" w:rsidP="007D356E">
      <w:pPr>
        <w:tabs>
          <w:tab w:val="left" w:pos="7655"/>
        </w:tabs>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r w:rsidRPr="003C3998">
        <w:rPr>
          <w:rFonts w:ascii="Palatino Linotype" w:eastAsia="Palatino Linotype" w:hAnsi="Palatino Linotype" w:cs="Palatino Linotype"/>
          <w:b/>
          <w:i/>
          <w:sz w:val="22"/>
          <w:szCs w:val="22"/>
        </w:rPr>
        <w:t>Artículo 179.</w:t>
      </w:r>
      <w:r w:rsidRPr="003C3998">
        <w:rPr>
          <w:rFonts w:ascii="Palatino Linotype" w:eastAsia="Palatino Linotype" w:hAnsi="Palatino Linotype" w:cs="Palatino Linotype"/>
          <w:i/>
          <w:sz w:val="22"/>
          <w:szCs w:val="22"/>
        </w:rPr>
        <w:t xml:space="preserve"> El recurso de revisión es un medio de protección que la Ley otorga a los particulares, para hacer valer su derecho de acceso a la información pública, y procederá en contra de las siguientes causas:</w:t>
      </w:r>
    </w:p>
    <w:p w14:paraId="409BB991" w14:textId="77777777" w:rsidR="00881AF5" w:rsidRPr="003C3998" w:rsidRDefault="006A28A7" w:rsidP="00B924B5">
      <w:pPr>
        <w:tabs>
          <w:tab w:val="left" w:pos="7655"/>
        </w:tabs>
        <w:spacing w:line="276" w:lineRule="auto"/>
        <w:ind w:left="851" w:right="616"/>
        <w:rPr>
          <w:rFonts w:ascii="Palatino Linotype" w:hAnsi="Palatino Linotype"/>
          <w:i/>
          <w:sz w:val="22"/>
          <w:szCs w:val="22"/>
        </w:rPr>
      </w:pPr>
      <w:r w:rsidRPr="003C3998">
        <w:rPr>
          <w:rFonts w:ascii="Palatino Linotype" w:hAnsi="Palatino Linotype"/>
          <w:i/>
          <w:sz w:val="22"/>
          <w:szCs w:val="22"/>
        </w:rPr>
        <w:t>…</w:t>
      </w:r>
    </w:p>
    <w:p w14:paraId="2B5FBD1C" w14:textId="34D083BB" w:rsidR="00881AF5" w:rsidRPr="003C3998" w:rsidRDefault="00881AF5" w:rsidP="00B924B5">
      <w:pPr>
        <w:tabs>
          <w:tab w:val="left" w:pos="7655"/>
        </w:tabs>
        <w:spacing w:line="276" w:lineRule="auto"/>
        <w:ind w:left="851" w:right="616"/>
        <w:rPr>
          <w:rFonts w:ascii="Palatino Linotype" w:hAnsi="Palatino Linotype"/>
          <w:i/>
          <w:sz w:val="22"/>
          <w:szCs w:val="22"/>
        </w:rPr>
      </w:pPr>
      <w:r w:rsidRPr="003C3998">
        <w:rPr>
          <w:rFonts w:ascii="Palatino Linotype" w:hAnsi="Palatino Linotype"/>
          <w:i/>
          <w:sz w:val="22"/>
          <w:szCs w:val="22"/>
        </w:rPr>
        <w:t>V. La entrega de información incompleta;</w:t>
      </w:r>
    </w:p>
    <w:p w14:paraId="547FCCF8" w14:textId="77B82ABD" w:rsidR="00A167A0" w:rsidRPr="003C3998" w:rsidRDefault="00881AF5" w:rsidP="00B924B5">
      <w:pPr>
        <w:tabs>
          <w:tab w:val="left" w:pos="7655"/>
        </w:tabs>
        <w:spacing w:line="276" w:lineRule="auto"/>
        <w:ind w:left="851" w:right="616"/>
        <w:rPr>
          <w:rFonts w:ascii="Palatino Linotype" w:eastAsia="Palatino Linotype" w:hAnsi="Palatino Linotype" w:cs="Palatino Linotype"/>
          <w:i/>
          <w:sz w:val="22"/>
          <w:szCs w:val="22"/>
        </w:rPr>
      </w:pPr>
      <w:r w:rsidRPr="003C3998">
        <w:rPr>
          <w:rFonts w:ascii="Palatino Linotype" w:hAnsi="Palatino Linotype"/>
          <w:i/>
          <w:sz w:val="22"/>
          <w:szCs w:val="22"/>
        </w:rPr>
        <w:t>…</w:t>
      </w:r>
      <w:r w:rsidR="00A167A0" w:rsidRPr="003C3998">
        <w:rPr>
          <w:rFonts w:ascii="Palatino Linotype" w:hAnsi="Palatino Linotype"/>
          <w:i/>
          <w:sz w:val="22"/>
          <w:szCs w:val="22"/>
        </w:rPr>
        <w:t>;</w:t>
      </w:r>
      <w:r w:rsidR="00A167A0" w:rsidRPr="003C3998">
        <w:rPr>
          <w:rFonts w:ascii="Palatino Linotype" w:eastAsia="Palatino Linotype" w:hAnsi="Palatino Linotype" w:cs="Palatino Linotype"/>
          <w:i/>
          <w:sz w:val="22"/>
          <w:szCs w:val="22"/>
        </w:rPr>
        <w:t>”</w:t>
      </w:r>
    </w:p>
    <w:p w14:paraId="2B76CE83" w14:textId="77777777" w:rsidR="008A2AA1" w:rsidRPr="003C3998" w:rsidRDefault="008A2AA1" w:rsidP="007D356E">
      <w:pPr>
        <w:spacing w:line="360" w:lineRule="auto"/>
        <w:jc w:val="both"/>
        <w:rPr>
          <w:rFonts w:ascii="Palatino Linotype" w:eastAsia="Palatino Linotype" w:hAnsi="Palatino Linotype" w:cs="Palatino Linotype"/>
          <w:b/>
          <w:sz w:val="22"/>
          <w:szCs w:val="22"/>
        </w:rPr>
      </w:pPr>
    </w:p>
    <w:p w14:paraId="5853D41E" w14:textId="5406FF23"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 xml:space="preserve">Tercero. Materia de la revisión. </w:t>
      </w:r>
      <w:r w:rsidRPr="003C3998">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3C3998">
        <w:rPr>
          <w:rFonts w:ascii="Palatino Linotype" w:eastAsia="Palatino Linotype" w:hAnsi="Palatino Linotype" w:cs="Palatino Linotype"/>
          <w:b/>
          <w:sz w:val="22"/>
          <w:szCs w:val="22"/>
        </w:rPr>
        <w:t xml:space="preserve">verificar si la información proporcionada por el Sujeto Obligado es adecuada y suficiente para satisfacer el derecho de acceso a la información pública </w:t>
      </w:r>
      <w:r w:rsidRPr="003C3998">
        <w:rPr>
          <w:rFonts w:ascii="Palatino Linotype" w:eastAsia="Palatino Linotype" w:hAnsi="Palatino Linotype" w:cs="Palatino Linotype"/>
          <w:sz w:val="22"/>
          <w:szCs w:val="22"/>
        </w:rPr>
        <w:t xml:space="preserve">de la parte </w:t>
      </w:r>
      <w:r w:rsidRPr="003C3998">
        <w:rPr>
          <w:rFonts w:ascii="Palatino Linotype" w:eastAsia="Palatino Linotype" w:hAnsi="Palatino Linotype" w:cs="Palatino Linotype"/>
          <w:b/>
          <w:sz w:val="22"/>
          <w:szCs w:val="22"/>
        </w:rPr>
        <w:t>Recurrente</w:t>
      </w:r>
      <w:r w:rsidRPr="003C3998">
        <w:rPr>
          <w:rFonts w:ascii="Palatino Linotype" w:eastAsia="Palatino Linotype" w:hAnsi="Palatino Linotype" w:cs="Palatino Linotype"/>
          <w:sz w:val="22"/>
          <w:szCs w:val="22"/>
        </w:rPr>
        <w:t>, o en su defecto, en caso de ser procedente, ordenar la entrega de información.</w:t>
      </w:r>
    </w:p>
    <w:p w14:paraId="37F1790D" w14:textId="77777777" w:rsidR="008A2AA1" w:rsidRPr="003C3998" w:rsidRDefault="008A2AA1" w:rsidP="007D356E">
      <w:pPr>
        <w:spacing w:line="360" w:lineRule="auto"/>
        <w:jc w:val="both"/>
        <w:rPr>
          <w:rFonts w:ascii="Palatino Linotype" w:eastAsia="Palatino Linotype" w:hAnsi="Palatino Linotype" w:cs="Palatino Linotype"/>
          <w:b/>
          <w:sz w:val="22"/>
          <w:szCs w:val="22"/>
        </w:rPr>
      </w:pPr>
    </w:p>
    <w:p w14:paraId="22FD6236" w14:textId="77777777" w:rsidR="00D10152" w:rsidRPr="003C3998" w:rsidRDefault="00785AE5" w:rsidP="007D356E">
      <w:pPr>
        <w:spacing w:line="360" w:lineRule="auto"/>
        <w:jc w:val="both"/>
        <w:rPr>
          <w:rFonts w:ascii="Palatino Linotype" w:eastAsia="Palatino Linotype" w:hAnsi="Palatino Linotype" w:cs="Palatino Linotype"/>
          <w:sz w:val="22"/>
          <w:szCs w:val="22"/>
        </w:rPr>
      </w:pPr>
      <w:bookmarkStart w:id="6" w:name="_heading=h.2et92p0" w:colFirst="0" w:colLast="0"/>
      <w:bookmarkEnd w:id="6"/>
      <w:r w:rsidRPr="003C3998">
        <w:rPr>
          <w:rFonts w:ascii="Palatino Linotype" w:eastAsia="Palatino Linotype" w:hAnsi="Palatino Linotype" w:cs="Palatino Linotype"/>
          <w:b/>
          <w:sz w:val="22"/>
          <w:szCs w:val="22"/>
        </w:rPr>
        <w:t xml:space="preserve">Cuarto. Estudio del asunto. </w:t>
      </w:r>
      <w:r w:rsidRPr="003C3998">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0773B231" w14:textId="77777777" w:rsidR="007D356E" w:rsidRPr="003C3998" w:rsidRDefault="007D356E" w:rsidP="007D356E">
      <w:pPr>
        <w:spacing w:line="276" w:lineRule="auto"/>
        <w:ind w:left="851" w:right="616"/>
        <w:jc w:val="both"/>
        <w:rPr>
          <w:rFonts w:ascii="Palatino Linotype" w:eastAsia="Palatino Linotype" w:hAnsi="Palatino Linotype" w:cs="Palatino Linotype"/>
          <w:i/>
          <w:sz w:val="22"/>
          <w:szCs w:val="22"/>
        </w:rPr>
      </w:pPr>
    </w:p>
    <w:p w14:paraId="6DAD66E4" w14:textId="36B2E122"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r w:rsidRPr="003C3998">
        <w:rPr>
          <w:rFonts w:ascii="Palatino Linotype" w:eastAsia="Palatino Linotype" w:hAnsi="Palatino Linotype" w:cs="Palatino Linotype"/>
          <w:b/>
          <w:i/>
          <w:sz w:val="22"/>
          <w:szCs w:val="22"/>
        </w:rPr>
        <w:t>Artículo 4</w:t>
      </w:r>
      <w:r w:rsidRPr="003C3998">
        <w:rPr>
          <w:rFonts w:ascii="Palatino Linotype" w:eastAsia="Palatino Linotype" w:hAnsi="Palatino Linotype" w:cs="Palatino Linotype"/>
          <w:i/>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3051184A" w14:textId="77777777"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Toda la información generada, obtenida, adquirida, transformada, administrada o en posesión de los sujetos obligados es pública y accesible de manera permanente a cualquier persona</w:t>
      </w:r>
      <w:r w:rsidRPr="003C3998">
        <w:rPr>
          <w:rFonts w:ascii="Palatino Linotype" w:eastAsia="Palatino Linotype" w:hAnsi="Palatino Linotype" w:cs="Palatino Linotype"/>
          <w:i/>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321D923F" w14:textId="77777777"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Los sujetos obligados deben poner en práctica, políticas y programas de acceso a la información que se apeguen a criterios de publicidad, veracidad, oportunidad, precisión y suficiencia en beneficio de los solicitantes</w:t>
      </w:r>
      <w:r w:rsidRPr="003C3998">
        <w:rPr>
          <w:rFonts w:ascii="Palatino Linotype" w:eastAsia="Palatino Linotype" w:hAnsi="Palatino Linotype" w:cs="Palatino Linotype"/>
          <w:i/>
          <w:sz w:val="22"/>
          <w:szCs w:val="22"/>
        </w:rPr>
        <w:t>.”</w:t>
      </w:r>
    </w:p>
    <w:p w14:paraId="7DEC0021" w14:textId="77777777" w:rsidR="008A2AA1" w:rsidRPr="003C3998" w:rsidRDefault="008A2AA1" w:rsidP="007D356E">
      <w:pPr>
        <w:spacing w:line="360" w:lineRule="auto"/>
        <w:jc w:val="both"/>
        <w:rPr>
          <w:rFonts w:ascii="Palatino Linotype" w:eastAsia="Palatino Linotype" w:hAnsi="Palatino Linotype" w:cs="Palatino Linotype"/>
          <w:sz w:val="22"/>
          <w:szCs w:val="22"/>
        </w:rPr>
      </w:pPr>
    </w:p>
    <w:p w14:paraId="338039AD" w14:textId="764CDDF5"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0944A548" w14:textId="77777777" w:rsidR="000F3B9D" w:rsidRPr="003C3998" w:rsidRDefault="000F3B9D" w:rsidP="007D356E">
      <w:pPr>
        <w:spacing w:line="276" w:lineRule="auto"/>
        <w:ind w:left="851" w:right="616"/>
        <w:jc w:val="both"/>
        <w:rPr>
          <w:rFonts w:ascii="Palatino Linotype" w:eastAsia="Palatino Linotype" w:hAnsi="Palatino Linotype" w:cs="Palatino Linotype"/>
          <w:bCs/>
          <w:i/>
          <w:sz w:val="22"/>
          <w:szCs w:val="22"/>
        </w:rPr>
      </w:pPr>
    </w:p>
    <w:p w14:paraId="593183ED" w14:textId="59B17E3C"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Cs/>
          <w:i/>
          <w:sz w:val="22"/>
          <w:szCs w:val="22"/>
        </w:rPr>
        <w:t>“</w:t>
      </w:r>
      <w:r w:rsidRPr="003C3998">
        <w:rPr>
          <w:rFonts w:ascii="Palatino Linotype" w:eastAsia="Palatino Linotype" w:hAnsi="Palatino Linotype" w:cs="Palatino Linotype"/>
          <w:b/>
          <w:i/>
          <w:sz w:val="22"/>
          <w:szCs w:val="22"/>
        </w:rPr>
        <w:t>Artículo 12.-</w:t>
      </w:r>
      <w:r w:rsidRPr="003C3998">
        <w:rPr>
          <w:rFonts w:ascii="Palatino Linotype" w:eastAsia="Palatino Linotype" w:hAnsi="Palatino Linotype" w:cs="Palatino Linotype"/>
          <w:i/>
          <w:sz w:val="22"/>
          <w:szCs w:val="22"/>
        </w:rPr>
        <w:t xml:space="preserve"> Quienes generen, recopilen, administren, manejen, procesen, archiven o conserven información pública serán responsables de la misma en los términos de las disposiciones jurídicas aplicables. </w:t>
      </w:r>
    </w:p>
    <w:p w14:paraId="5B9F1262" w14:textId="77777777"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Los sujetos obligados sólo proporcionarán la información pública que se les requiera y que obre en sus archivos y en el estado en que ésta se encuentre</w:t>
      </w:r>
      <w:r w:rsidRPr="003C3998">
        <w:rPr>
          <w:rFonts w:ascii="Palatino Linotype" w:eastAsia="Palatino Linotype" w:hAnsi="Palatino Linotype" w:cs="Palatino Linotype"/>
          <w:i/>
          <w:sz w:val="22"/>
          <w:szCs w:val="22"/>
        </w:rPr>
        <w:t xml:space="preserve">. </w:t>
      </w:r>
      <w:r w:rsidRPr="003C3998">
        <w:rPr>
          <w:rFonts w:ascii="Palatino Linotype" w:eastAsia="Palatino Linotype" w:hAnsi="Palatino Linotype" w:cs="Palatino Linotype"/>
          <w:b/>
          <w:i/>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1C3387AE" w14:textId="77777777" w:rsidR="008A2AA1" w:rsidRPr="003C3998" w:rsidRDefault="008A2AA1" w:rsidP="007D356E">
      <w:pPr>
        <w:spacing w:line="360" w:lineRule="auto"/>
        <w:ind w:right="-93"/>
        <w:jc w:val="both"/>
        <w:rPr>
          <w:rFonts w:ascii="Palatino Linotype" w:eastAsia="Palatino Linotype" w:hAnsi="Palatino Linotype" w:cs="Palatino Linotype"/>
          <w:sz w:val="22"/>
          <w:szCs w:val="22"/>
        </w:rPr>
      </w:pPr>
    </w:p>
    <w:p w14:paraId="00911A0A" w14:textId="3B6E9414" w:rsidR="00D10152" w:rsidRPr="003C3998" w:rsidRDefault="00785AE5" w:rsidP="007D356E">
      <w:pPr>
        <w:spacing w:line="360" w:lineRule="auto"/>
        <w:ind w:right="-93"/>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213324E4" w14:textId="77777777" w:rsidR="008A2AA1" w:rsidRPr="003C3998" w:rsidRDefault="008A2AA1" w:rsidP="007D356E">
      <w:pPr>
        <w:spacing w:line="360" w:lineRule="auto"/>
        <w:ind w:right="-93"/>
        <w:jc w:val="both"/>
        <w:rPr>
          <w:rFonts w:ascii="Palatino Linotype" w:eastAsia="Palatino Linotype" w:hAnsi="Palatino Linotype" w:cs="Palatino Linotype"/>
          <w:sz w:val="22"/>
          <w:szCs w:val="22"/>
        </w:rPr>
      </w:pPr>
    </w:p>
    <w:p w14:paraId="59A09C57" w14:textId="77777777" w:rsidR="00D10152" w:rsidRPr="003C3998" w:rsidRDefault="00785AE5" w:rsidP="007D356E">
      <w:pPr>
        <w:spacing w:line="360" w:lineRule="auto"/>
        <w:jc w:val="both"/>
        <w:rPr>
          <w:rFonts w:ascii="Palatino Linotype" w:eastAsia="Palatino Linotype" w:hAnsi="Palatino Linotype" w:cs="Palatino Linotype"/>
          <w:b/>
          <w:sz w:val="22"/>
          <w:szCs w:val="22"/>
        </w:rPr>
      </w:pPr>
      <w:r w:rsidRPr="003C3998">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3C3998">
        <w:rPr>
          <w:rFonts w:ascii="Palatino Linotype" w:eastAsia="Palatino Linotype" w:hAnsi="Palatino Linotype" w:cs="Palatino Linotype"/>
          <w:b/>
          <w:sz w:val="22"/>
          <w:szCs w:val="22"/>
        </w:rPr>
        <w:t xml:space="preserve"> </w:t>
      </w:r>
    </w:p>
    <w:p w14:paraId="5FC33BA4" w14:textId="77777777" w:rsidR="008A2AA1" w:rsidRPr="003C3998" w:rsidRDefault="008A2AA1" w:rsidP="007D356E">
      <w:pPr>
        <w:ind w:left="1134" w:right="902"/>
        <w:jc w:val="both"/>
        <w:rPr>
          <w:rFonts w:ascii="Palatino Linotype" w:eastAsia="Palatino Linotype" w:hAnsi="Palatino Linotype" w:cs="Palatino Linotype"/>
          <w:i/>
          <w:sz w:val="22"/>
          <w:szCs w:val="22"/>
        </w:rPr>
      </w:pPr>
    </w:p>
    <w:p w14:paraId="019AA3FB" w14:textId="2224259A"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r w:rsidRPr="003C3998">
        <w:rPr>
          <w:rFonts w:ascii="Palatino Linotype" w:eastAsia="Palatino Linotype" w:hAnsi="Palatino Linotype" w:cs="Palatino Linotype"/>
          <w:b/>
          <w:i/>
          <w:sz w:val="22"/>
          <w:szCs w:val="22"/>
        </w:rPr>
        <w:t>No existe obligación de elaborar documentos ad hoc para atender las solicitudes de acceso a la información.</w:t>
      </w:r>
      <w:r w:rsidRPr="003C3998">
        <w:rPr>
          <w:rFonts w:ascii="Palatino Linotype" w:eastAsia="Palatino Linotype" w:hAnsi="Palatino Linotype" w:cs="Palatino Linotype"/>
          <w:i/>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612B5EF8" w14:textId="77777777" w:rsidR="008A2AA1" w:rsidRPr="003C3998" w:rsidRDefault="008A2AA1" w:rsidP="007D356E">
      <w:pPr>
        <w:spacing w:line="360" w:lineRule="auto"/>
        <w:jc w:val="both"/>
        <w:rPr>
          <w:rFonts w:ascii="Palatino Linotype" w:eastAsia="Palatino Linotype" w:hAnsi="Palatino Linotype" w:cs="Palatino Linotype"/>
          <w:sz w:val="22"/>
          <w:szCs w:val="22"/>
        </w:rPr>
      </w:pPr>
    </w:p>
    <w:p w14:paraId="2491821E" w14:textId="5FD3F358"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5AECFFBC" w14:textId="77777777" w:rsidR="008A2AA1" w:rsidRPr="003C3998" w:rsidRDefault="008A2AA1" w:rsidP="007D356E">
      <w:pPr>
        <w:spacing w:line="360" w:lineRule="auto"/>
        <w:jc w:val="both"/>
        <w:rPr>
          <w:rFonts w:ascii="Palatino Linotype" w:eastAsia="Palatino Linotype" w:hAnsi="Palatino Linotype" w:cs="Palatino Linotype"/>
          <w:sz w:val="22"/>
          <w:szCs w:val="22"/>
        </w:rPr>
      </w:pPr>
    </w:p>
    <w:p w14:paraId="7D3979A2" w14:textId="77777777"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770937CD" w14:textId="77777777" w:rsidR="008A2AA1" w:rsidRPr="003C3998" w:rsidRDefault="008A2AA1" w:rsidP="007D356E">
      <w:pPr>
        <w:spacing w:line="360" w:lineRule="auto"/>
        <w:jc w:val="both"/>
        <w:rPr>
          <w:rFonts w:ascii="Palatino Linotype" w:eastAsia="Palatino Linotype" w:hAnsi="Palatino Linotype" w:cs="Palatino Linotype"/>
          <w:sz w:val="22"/>
          <w:szCs w:val="22"/>
        </w:rPr>
      </w:pPr>
    </w:p>
    <w:p w14:paraId="20FC4529" w14:textId="77777777"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r w:rsidRPr="003C3998">
        <w:rPr>
          <w:rFonts w:ascii="Palatino Linotype" w:eastAsia="Palatino Linotype" w:hAnsi="Palatino Linotype" w:cs="Palatino Linotype"/>
          <w:b/>
          <w:i/>
          <w:sz w:val="22"/>
          <w:szCs w:val="22"/>
        </w:rPr>
        <w:t xml:space="preserve">Artículo 3. </w:t>
      </w:r>
      <w:r w:rsidRPr="003C3998">
        <w:rPr>
          <w:rFonts w:ascii="Palatino Linotype" w:eastAsia="Palatino Linotype" w:hAnsi="Palatino Linotype" w:cs="Palatino Linotype"/>
          <w:i/>
          <w:sz w:val="22"/>
          <w:szCs w:val="22"/>
        </w:rPr>
        <w:t>Para los efectos de la presente Ley se entenderá por:</w:t>
      </w:r>
    </w:p>
    <w:p w14:paraId="08F5F729" w14:textId="77777777"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p>
    <w:p w14:paraId="5F179B63" w14:textId="77777777"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XI. Documento:</w:t>
      </w:r>
      <w:r w:rsidRPr="003C3998">
        <w:rPr>
          <w:rFonts w:ascii="Palatino Linotype" w:eastAsia="Palatino Linotype" w:hAnsi="Palatino Linotype" w:cs="Palatino Linotype"/>
          <w:i/>
          <w:sz w:val="22"/>
          <w:szCs w:val="22"/>
        </w:rPr>
        <w:t xml:space="preserve"> Los expedientes, reportes, estudios, actas</w:t>
      </w:r>
      <w:r w:rsidRPr="003C3998">
        <w:rPr>
          <w:rFonts w:ascii="Palatino Linotype" w:eastAsia="Palatino Linotype" w:hAnsi="Palatino Linotype" w:cs="Palatino Linotype"/>
          <w:b/>
          <w:i/>
          <w:sz w:val="22"/>
          <w:szCs w:val="22"/>
        </w:rPr>
        <w:t>,</w:t>
      </w:r>
      <w:r w:rsidRPr="003C3998">
        <w:rPr>
          <w:rFonts w:ascii="Palatino Linotype" w:eastAsia="Palatino Linotype" w:hAnsi="Palatino Linotype" w:cs="Palatino Linotype"/>
          <w:i/>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722661AC" w14:textId="77777777" w:rsidR="008A2AA1" w:rsidRPr="003C3998" w:rsidRDefault="008A2AA1" w:rsidP="007D356E">
      <w:pPr>
        <w:spacing w:line="360" w:lineRule="auto"/>
        <w:jc w:val="both"/>
        <w:rPr>
          <w:rFonts w:ascii="Palatino Linotype" w:eastAsia="Palatino Linotype" w:hAnsi="Palatino Linotype" w:cs="Palatino Linotype"/>
          <w:sz w:val="22"/>
          <w:szCs w:val="22"/>
        </w:rPr>
      </w:pPr>
    </w:p>
    <w:p w14:paraId="27B10759" w14:textId="4F7C6473"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0BB14786" w14:textId="77777777" w:rsidR="008A2AA1" w:rsidRPr="003C3998" w:rsidRDefault="008A2AA1" w:rsidP="007D356E">
      <w:pPr>
        <w:ind w:left="851" w:right="902"/>
        <w:jc w:val="both"/>
        <w:rPr>
          <w:rFonts w:ascii="Palatino Linotype" w:eastAsia="Palatino Linotype" w:hAnsi="Palatino Linotype" w:cs="Palatino Linotype"/>
          <w:b/>
          <w:sz w:val="22"/>
          <w:szCs w:val="22"/>
        </w:rPr>
      </w:pPr>
    </w:p>
    <w:p w14:paraId="4D73A7C4" w14:textId="457DF1C7"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Cs/>
          <w:sz w:val="22"/>
          <w:szCs w:val="22"/>
        </w:rPr>
        <w:t>“</w:t>
      </w:r>
      <w:r w:rsidRPr="003C3998">
        <w:rPr>
          <w:rFonts w:ascii="Palatino Linotype" w:eastAsia="Palatino Linotype" w:hAnsi="Palatino Linotype" w:cs="Palatino Linotype"/>
          <w:b/>
          <w:i/>
          <w:sz w:val="22"/>
          <w:szCs w:val="22"/>
        </w:rPr>
        <w:t>INFORMACIÓN PÚBLICA, CONCEPTO DE, EN MATERIA DE TRANSPARENCIA. INTERPRETACIÓN SISTEMÁTICA DE LOS ARTÍCULOS 2°, FRACCIÓN V, XV, Y XVI, 3°, 4°, 11 Y 41.</w:t>
      </w:r>
      <w:r w:rsidRPr="003C3998">
        <w:rPr>
          <w:rFonts w:ascii="Palatino Linotype" w:eastAsia="Palatino Linotype" w:hAnsi="Palatino Linotype" w:cs="Palatino Linotype"/>
          <w:i/>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68F7DA26" w14:textId="77777777" w:rsidR="00D10152" w:rsidRPr="003C3998" w:rsidRDefault="00785AE5" w:rsidP="007D356E">
      <w:pPr>
        <w:spacing w:line="276" w:lineRule="auto"/>
        <w:ind w:left="851"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En consecuencia el acceso a la información se refiere a que se cumplan cualquiera de los siguientes tres supuestos:</w:t>
      </w:r>
    </w:p>
    <w:p w14:paraId="0778DCBE" w14:textId="77777777" w:rsidR="00D10152" w:rsidRPr="003C3998" w:rsidRDefault="00785AE5" w:rsidP="007D356E">
      <w:pPr>
        <w:spacing w:line="276" w:lineRule="auto"/>
        <w:ind w:left="1134"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1) Que se trate de información registrada en cualquier soporte documental, que en ejercicio de las atribuciones conferidas, sea generada por los Sujetos Obligados;</w:t>
      </w:r>
    </w:p>
    <w:p w14:paraId="42B91EF1" w14:textId="77777777" w:rsidR="00D10152" w:rsidRPr="003C3998" w:rsidRDefault="00785AE5" w:rsidP="007D356E">
      <w:pPr>
        <w:spacing w:line="276" w:lineRule="auto"/>
        <w:ind w:left="1134"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2) Que se trate de información registrada en cualquier soporte documental, que en ejercicio de las atribuciones conferidas, sea administrada por los Sujetos Obligados, y</w:t>
      </w:r>
    </w:p>
    <w:p w14:paraId="52E4ED0D" w14:textId="77777777" w:rsidR="00D10152" w:rsidRPr="003C3998" w:rsidRDefault="00785AE5" w:rsidP="007D356E">
      <w:pPr>
        <w:spacing w:line="276" w:lineRule="auto"/>
        <w:ind w:left="1134"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3) Que se trate de información registrada en cualquier soporte documental, que en ejercicio de las atribuciones conferidas, se encuentre en posesión de los Sujetos Obligados.”</w:t>
      </w:r>
    </w:p>
    <w:p w14:paraId="00C0D9B5" w14:textId="77777777" w:rsidR="000F3B9D" w:rsidRPr="003C3998" w:rsidRDefault="000F3B9D" w:rsidP="007D356E">
      <w:pPr>
        <w:spacing w:line="360" w:lineRule="auto"/>
        <w:ind w:right="51"/>
        <w:jc w:val="both"/>
        <w:rPr>
          <w:rFonts w:ascii="Palatino Linotype" w:eastAsia="Palatino Linotype" w:hAnsi="Palatino Linotype" w:cs="Palatino Linotype"/>
          <w:sz w:val="22"/>
          <w:szCs w:val="22"/>
        </w:rPr>
      </w:pPr>
    </w:p>
    <w:p w14:paraId="3366DBF9" w14:textId="29857AB2" w:rsidR="00D10152" w:rsidRPr="003C3998" w:rsidRDefault="00785AE5" w:rsidP="007D356E">
      <w:pPr>
        <w:spacing w:line="360" w:lineRule="auto"/>
        <w:ind w:right="51"/>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243E0CC6" w14:textId="77777777" w:rsidR="008A2AA1" w:rsidRPr="003C3998" w:rsidRDefault="008A2AA1" w:rsidP="007D356E">
      <w:pPr>
        <w:spacing w:line="360" w:lineRule="auto"/>
        <w:ind w:right="51"/>
        <w:jc w:val="both"/>
        <w:rPr>
          <w:rFonts w:ascii="Palatino Linotype" w:eastAsia="Palatino Linotype" w:hAnsi="Palatino Linotype" w:cs="Palatino Linotype"/>
          <w:sz w:val="22"/>
          <w:szCs w:val="22"/>
        </w:rPr>
      </w:pPr>
    </w:p>
    <w:p w14:paraId="0C11A78B" w14:textId="77777777" w:rsidR="00D10152" w:rsidRPr="003C3998" w:rsidRDefault="00785AE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7C5F08BE" w14:textId="77777777" w:rsidR="008A2AA1" w:rsidRPr="003C3998" w:rsidRDefault="008A2AA1" w:rsidP="007D356E">
      <w:pPr>
        <w:spacing w:line="360" w:lineRule="auto"/>
        <w:jc w:val="both"/>
        <w:rPr>
          <w:rFonts w:ascii="Palatino Linotype" w:eastAsia="Palatino Linotype" w:hAnsi="Palatino Linotype" w:cs="Palatino Linotype"/>
          <w:sz w:val="22"/>
          <w:szCs w:val="22"/>
        </w:rPr>
      </w:pPr>
    </w:p>
    <w:p w14:paraId="1C5528EF" w14:textId="13FEBC74" w:rsidR="009C6343" w:rsidRPr="003C3998" w:rsidRDefault="009C6343" w:rsidP="007D356E">
      <w:pPr>
        <w:spacing w:line="360" w:lineRule="auto"/>
        <w:ind w:right="51"/>
        <w:jc w:val="both"/>
        <w:rPr>
          <w:rFonts w:ascii="Palatino Linotype" w:eastAsia="Palatino Linotype" w:hAnsi="Palatino Linotype" w:cs="Palatino Linotype"/>
          <w:b/>
          <w:sz w:val="22"/>
          <w:szCs w:val="22"/>
        </w:rPr>
      </w:pPr>
      <w:r w:rsidRPr="003C3998">
        <w:rPr>
          <w:rFonts w:ascii="Palatino Linotype" w:eastAsia="Palatino Linotype" w:hAnsi="Palatino Linotype" w:cs="Palatino Linotype"/>
          <w:sz w:val="22"/>
          <w:szCs w:val="22"/>
        </w:rPr>
        <w:t xml:space="preserve">Ahora bien, del análisis de la solicitud de información, motivo del recurso de revisión que ahora se resuelve, se advierte que la parte </w:t>
      </w:r>
      <w:r w:rsidRPr="003C3998">
        <w:rPr>
          <w:rFonts w:ascii="Palatino Linotype" w:eastAsia="Palatino Linotype" w:hAnsi="Palatino Linotype" w:cs="Palatino Linotype"/>
          <w:b/>
          <w:sz w:val="22"/>
          <w:szCs w:val="22"/>
        </w:rPr>
        <w:t>Recurrente</w:t>
      </w:r>
      <w:r w:rsidRPr="003C3998">
        <w:rPr>
          <w:rFonts w:ascii="Palatino Linotype" w:eastAsia="Palatino Linotype" w:hAnsi="Palatino Linotype" w:cs="Palatino Linotype"/>
          <w:sz w:val="22"/>
          <w:szCs w:val="22"/>
        </w:rPr>
        <w:t xml:space="preserve"> requirió al </w:t>
      </w:r>
      <w:r w:rsidRPr="003C3998">
        <w:rPr>
          <w:rFonts w:ascii="Palatino Linotype" w:eastAsia="Palatino Linotype" w:hAnsi="Palatino Linotype" w:cs="Palatino Linotype"/>
          <w:b/>
          <w:sz w:val="22"/>
          <w:szCs w:val="22"/>
        </w:rPr>
        <w:t xml:space="preserve">Sujeto Obligado </w:t>
      </w:r>
      <w:r w:rsidR="00684500" w:rsidRPr="003C3998">
        <w:rPr>
          <w:rFonts w:ascii="Palatino Linotype" w:eastAsia="Palatino Linotype" w:hAnsi="Palatino Linotype" w:cs="Palatino Linotype"/>
          <w:b/>
          <w:sz w:val="22"/>
          <w:szCs w:val="22"/>
        </w:rPr>
        <w:t>lo siguiente:</w:t>
      </w:r>
    </w:p>
    <w:p w14:paraId="3B3075AD" w14:textId="77777777" w:rsidR="005F5AA4" w:rsidRPr="003C3998" w:rsidRDefault="005F5AA4" w:rsidP="007D356E">
      <w:pPr>
        <w:spacing w:line="360" w:lineRule="auto"/>
        <w:ind w:right="51"/>
        <w:jc w:val="both"/>
        <w:rPr>
          <w:rFonts w:ascii="Palatino Linotype" w:eastAsia="Palatino Linotype" w:hAnsi="Palatino Linotype" w:cs="Palatino Linotype"/>
          <w:sz w:val="22"/>
          <w:szCs w:val="22"/>
        </w:rPr>
      </w:pPr>
    </w:p>
    <w:p w14:paraId="4FEC7681" w14:textId="77777777" w:rsidR="00881AF5" w:rsidRPr="003C3998" w:rsidRDefault="00881AF5" w:rsidP="005F5AA4">
      <w:pPr>
        <w:pStyle w:val="Prrafodelista"/>
        <w:numPr>
          <w:ilvl w:val="0"/>
          <w:numId w:val="25"/>
        </w:numPr>
        <w:spacing w:line="360" w:lineRule="auto"/>
        <w:ind w:right="51"/>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Solicito atentamente información del TODO el parque vehicular con el que cuenta el OPD SAPASE en 2026, con los siguientes DATOS: Tipo de vehículo, marca, capacidad de carga, número de pasajeros, placas, año de vehículo. Considerar el vehículo automotor del área usuaria y el que se encuentre en proceso de BAJA.</w:t>
      </w:r>
    </w:p>
    <w:p w14:paraId="0A101D76" w14:textId="30282217" w:rsidR="009C6343" w:rsidRPr="003C3998" w:rsidRDefault="009C6343" w:rsidP="00B924B5">
      <w:pPr>
        <w:spacing w:line="360" w:lineRule="auto"/>
        <w:ind w:right="51"/>
        <w:jc w:val="both"/>
        <w:rPr>
          <w:rFonts w:ascii="Palatino Linotype" w:eastAsia="Palatino Linotype" w:hAnsi="Palatino Linotype" w:cs="Palatino Linotype"/>
          <w:sz w:val="22"/>
          <w:szCs w:val="22"/>
        </w:rPr>
      </w:pPr>
    </w:p>
    <w:p w14:paraId="09D14FA0" w14:textId="6A60967B" w:rsidR="00881AF5" w:rsidRPr="003C3998" w:rsidRDefault="009C1574" w:rsidP="00881AF5">
      <w:pPr>
        <w:spacing w:line="360" w:lineRule="auto"/>
        <w:ind w:right="49"/>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E</w:t>
      </w:r>
      <w:r w:rsidR="008E6D8C" w:rsidRPr="003C3998">
        <w:rPr>
          <w:rFonts w:ascii="Palatino Linotype" w:eastAsia="Palatino Linotype" w:hAnsi="Palatino Linotype" w:cs="Palatino Linotype"/>
          <w:sz w:val="22"/>
          <w:szCs w:val="22"/>
        </w:rPr>
        <w:t>n respuesta el Sujeto Obligado</w:t>
      </w:r>
      <w:r w:rsidR="005F5AA4" w:rsidRPr="003C3998">
        <w:rPr>
          <w:rFonts w:ascii="Palatino Linotype" w:eastAsia="Palatino Linotype" w:hAnsi="Palatino Linotype" w:cs="Palatino Linotype"/>
          <w:sz w:val="22"/>
          <w:szCs w:val="22"/>
        </w:rPr>
        <w:t xml:space="preserve"> </w:t>
      </w:r>
      <w:r w:rsidR="00881AF5" w:rsidRPr="003C3998">
        <w:rPr>
          <w:rFonts w:ascii="Palatino Linotype" w:eastAsia="Palatino Linotype" w:hAnsi="Palatino Linotype" w:cs="Palatino Linotype"/>
          <w:sz w:val="22"/>
          <w:szCs w:val="22"/>
        </w:rPr>
        <w:t>a través del Jefe del Departamento de Mantenimiento y Control Vehícular remitió el Padrón de Unidades que contiene la información de cada una de ellas, como se muestra a continuación:</w:t>
      </w:r>
    </w:p>
    <w:p w14:paraId="58E771A0" w14:textId="77777777" w:rsidR="006D7431" w:rsidRPr="003C3998" w:rsidRDefault="006D7431" w:rsidP="00881AF5">
      <w:pPr>
        <w:spacing w:line="360" w:lineRule="auto"/>
        <w:ind w:right="49"/>
        <w:jc w:val="both"/>
        <w:rPr>
          <w:rFonts w:ascii="Palatino Linotype" w:eastAsia="Palatino Linotype" w:hAnsi="Palatino Linotype" w:cs="Palatino Linotype"/>
          <w:sz w:val="22"/>
          <w:szCs w:val="22"/>
        </w:rPr>
      </w:pPr>
    </w:p>
    <w:p w14:paraId="6F1EBB52" w14:textId="0DFFFA07" w:rsidR="00881AF5" w:rsidRPr="003C3998" w:rsidRDefault="006D7431" w:rsidP="007D356E">
      <w:pPr>
        <w:spacing w:line="360" w:lineRule="auto"/>
        <w:ind w:right="49"/>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noProof/>
          <w:sz w:val="22"/>
          <w:szCs w:val="22"/>
        </w:rPr>
        <w:drawing>
          <wp:inline distT="0" distB="0" distL="0" distR="0" wp14:anchorId="3027A101" wp14:editId="6F48D3D8">
            <wp:extent cx="5612130" cy="4453255"/>
            <wp:effectExtent l="0" t="0" r="1270" b="4445"/>
            <wp:docPr id="16549924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992438" name="Imagen 16549924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4453255"/>
                    </a:xfrm>
                    <a:prstGeom prst="rect">
                      <a:avLst/>
                    </a:prstGeom>
                  </pic:spPr>
                </pic:pic>
              </a:graphicData>
            </a:graphic>
          </wp:inline>
        </w:drawing>
      </w:r>
    </w:p>
    <w:p w14:paraId="23DC0E53" w14:textId="77777777" w:rsidR="00881AF5" w:rsidRPr="003C3998" w:rsidRDefault="00881AF5" w:rsidP="007D356E">
      <w:pPr>
        <w:spacing w:line="360" w:lineRule="auto"/>
        <w:ind w:right="49"/>
        <w:jc w:val="both"/>
        <w:rPr>
          <w:rFonts w:ascii="Palatino Linotype" w:eastAsia="Palatino Linotype" w:hAnsi="Palatino Linotype" w:cs="Palatino Linotype"/>
          <w:sz w:val="22"/>
          <w:szCs w:val="22"/>
        </w:rPr>
      </w:pPr>
    </w:p>
    <w:p w14:paraId="6BFAF5D6" w14:textId="332368AA" w:rsidR="00D273F2" w:rsidRPr="003C3998" w:rsidRDefault="006D7431" w:rsidP="007D356E">
      <w:pPr>
        <w:spacing w:line="360" w:lineRule="auto"/>
        <w:ind w:right="49"/>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Conocida la respuesta, el Recurrente se inconformó porque no se proporcionó la información relativa </w:t>
      </w:r>
      <w:r w:rsidR="00343582" w:rsidRPr="003C3998">
        <w:rPr>
          <w:rFonts w:ascii="Palatino Linotype" w:eastAsia="Palatino Linotype" w:hAnsi="Palatino Linotype" w:cs="Palatino Linotype"/>
          <w:sz w:val="22"/>
          <w:szCs w:val="22"/>
        </w:rPr>
        <w:t xml:space="preserve">a la capacidad del </w:t>
      </w:r>
      <w:r w:rsidRPr="003C3998">
        <w:rPr>
          <w:rFonts w:ascii="Palatino Linotype" w:eastAsia="Palatino Linotype" w:hAnsi="Palatino Linotype" w:cs="Palatino Linotype"/>
          <w:sz w:val="22"/>
          <w:szCs w:val="22"/>
        </w:rPr>
        <w:t>número de pasajeros</w:t>
      </w:r>
      <w:r w:rsidR="00343582" w:rsidRPr="003C3998">
        <w:rPr>
          <w:rFonts w:ascii="Palatino Linotype" w:eastAsia="Palatino Linotype" w:hAnsi="Palatino Linotype" w:cs="Palatino Linotype"/>
          <w:sz w:val="22"/>
          <w:szCs w:val="22"/>
        </w:rPr>
        <w:t xml:space="preserve"> de cada unidad.</w:t>
      </w:r>
    </w:p>
    <w:p w14:paraId="6F25BA3A" w14:textId="77777777" w:rsidR="006D7431" w:rsidRPr="003C3998" w:rsidRDefault="006D7431" w:rsidP="007D356E">
      <w:pPr>
        <w:spacing w:line="360" w:lineRule="auto"/>
        <w:ind w:right="49"/>
        <w:jc w:val="both"/>
        <w:rPr>
          <w:rFonts w:ascii="Palatino Linotype" w:eastAsia="Palatino Linotype" w:hAnsi="Palatino Linotype" w:cs="Palatino Linotype"/>
          <w:sz w:val="22"/>
          <w:szCs w:val="22"/>
        </w:rPr>
      </w:pPr>
    </w:p>
    <w:p w14:paraId="68AFD125" w14:textId="5660100A" w:rsidR="008E61F6" w:rsidRPr="003C3998" w:rsidRDefault="008E61F6" w:rsidP="008E61F6">
      <w:pPr>
        <w:spacing w:line="360" w:lineRule="auto"/>
        <w:ind w:right="49"/>
        <w:jc w:val="both"/>
        <w:rPr>
          <w:rFonts w:ascii="Palatino Linotype" w:eastAsia="Palatino Linotype" w:hAnsi="Palatino Linotype" w:cs="Palatino Linotype"/>
          <w:bCs/>
          <w:sz w:val="22"/>
          <w:szCs w:val="22"/>
        </w:rPr>
      </w:pPr>
      <w:r w:rsidRPr="003C3998">
        <w:rPr>
          <w:rFonts w:ascii="Palatino Linotype" w:eastAsia="Palatino Linotype" w:hAnsi="Palatino Linotype" w:cs="Palatino Linotype"/>
          <w:bCs/>
          <w:sz w:val="22"/>
          <w:szCs w:val="22"/>
        </w:rPr>
        <w:t>Tal y como se advierte, el Recurrente se inconformó únicamente por lo relativo a la información del número de pasajeros.</w:t>
      </w:r>
      <w:r w:rsidRPr="003C3998">
        <w:rPr>
          <w:rFonts w:ascii="Palatino Linotype" w:eastAsia="Palatino Linotype" w:hAnsi="Palatino Linotype" w:cs="Palatino Linotype"/>
          <w:sz w:val="22"/>
          <w:szCs w:val="22"/>
        </w:rPr>
        <w:t xml:space="preserve"> Por lo que se colige que, la parte de la respuesta que no fue impugnada debe declararse consentida. </w:t>
      </w:r>
    </w:p>
    <w:p w14:paraId="3BF76517" w14:textId="77777777" w:rsidR="008E61F6" w:rsidRPr="003C3998" w:rsidRDefault="008E61F6" w:rsidP="008E61F6">
      <w:pPr>
        <w:spacing w:line="360" w:lineRule="auto"/>
        <w:jc w:val="both"/>
        <w:rPr>
          <w:rFonts w:ascii="Palatino Linotype" w:eastAsia="Palatino Linotype" w:hAnsi="Palatino Linotype" w:cs="Palatino Linotype"/>
          <w:b/>
          <w:bCs/>
          <w:sz w:val="22"/>
          <w:szCs w:val="22"/>
        </w:rPr>
      </w:pPr>
    </w:p>
    <w:p w14:paraId="1CEDE55F" w14:textId="77777777" w:rsidR="008E61F6" w:rsidRPr="003C3998" w:rsidRDefault="008E61F6" w:rsidP="008E61F6">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Lo anterior es así, debido a que cuando la parte Recurrente impugna la respuesta del Sujeto Obligado, y este no expresa Razón o Motivo de Inconformidad en contra de todos los rubros solicitados, dichos rubros deben declararse atendidos, pues se entiende que la parte Recurrente ésta conforme con la información entregada al no contravenir la misma. Sirve de Apoyo a lo anterior, por analogía la Tesis Jurisprudencial Número 3ª./J.7/91, Publicada en el Semanario Judicial de la Federación y su Gaceta bajo el número de registro 174,177, que establece lo siguiente:</w:t>
      </w:r>
    </w:p>
    <w:p w14:paraId="6D8521F6" w14:textId="77777777" w:rsidR="008E61F6" w:rsidRPr="003C3998" w:rsidRDefault="008E61F6" w:rsidP="008E61F6">
      <w:pPr>
        <w:spacing w:line="360" w:lineRule="auto"/>
        <w:jc w:val="both"/>
        <w:rPr>
          <w:rFonts w:ascii="Palatino Linotype" w:eastAsia="Palatino Linotype" w:hAnsi="Palatino Linotype" w:cs="Palatino Linotype"/>
          <w:sz w:val="22"/>
          <w:szCs w:val="22"/>
        </w:rPr>
      </w:pPr>
    </w:p>
    <w:p w14:paraId="2774B9E7" w14:textId="77777777" w:rsidR="008E61F6" w:rsidRPr="003C3998" w:rsidRDefault="008E61F6" w:rsidP="008E61F6">
      <w:pPr>
        <w:ind w:left="567" w:right="616"/>
        <w:jc w:val="both"/>
        <w:rPr>
          <w:rFonts w:ascii="Palatino Linotype" w:eastAsia="Palatino Linotype" w:hAnsi="Palatino Linotype" w:cs="Palatino Linotype"/>
          <w:i/>
          <w:iCs/>
          <w:sz w:val="22"/>
          <w:szCs w:val="22"/>
        </w:rPr>
      </w:pPr>
      <w:r w:rsidRPr="003C3998">
        <w:rPr>
          <w:rFonts w:ascii="Palatino Linotype" w:eastAsia="Palatino Linotype" w:hAnsi="Palatino Linotype" w:cs="Palatino Linotype"/>
          <w:b/>
          <w:bCs/>
          <w:i/>
          <w:iCs/>
          <w:sz w:val="22"/>
          <w:szCs w:val="22"/>
        </w:rPr>
        <w:t xml:space="preserve">“REVISIÓN EN AMPARO. LOS RESOLUTIVOS NO COMBATIDOS DEBEN DECLARARSE FIRMES. </w:t>
      </w:r>
      <w:r w:rsidRPr="003C3998">
        <w:rPr>
          <w:rFonts w:ascii="Palatino Linotype" w:eastAsia="Palatino Linotype" w:hAnsi="Palatino Linotype" w:cs="Palatino Linotype"/>
          <w:i/>
          <w:iCs/>
          <w:sz w:val="22"/>
          <w:szCs w:val="22"/>
        </w:rPr>
        <w:t>Cuando algún resolutivo de la sentencia impugnada afecta a la recurrente, y ésta no expresa agravio en contra de las consideraciones que le sirven de base, dicho resolutivo debe declararse firme. Esto es, en el caso referido, no obstante que la materia de la revisión comprende a todos los resolutivos que afectan a la recurrente, deben declararse firmes aquéllos en contra de los cuales no se formuló agravio y dicha declaración de firmeza debe reflejarse en la parte considerativa y en los resolutivos debe confirmarse la sentencia recurrida en la parte correspondiente.</w:t>
      </w:r>
    </w:p>
    <w:p w14:paraId="440C9D2C" w14:textId="77777777" w:rsidR="008E61F6" w:rsidRPr="003C3998" w:rsidRDefault="008E61F6" w:rsidP="008E61F6">
      <w:pPr>
        <w:spacing w:line="360" w:lineRule="auto"/>
        <w:jc w:val="both"/>
        <w:rPr>
          <w:rFonts w:ascii="Palatino Linotype" w:eastAsia="Palatino Linotype" w:hAnsi="Palatino Linotype" w:cs="Palatino Linotype"/>
          <w:sz w:val="22"/>
          <w:szCs w:val="22"/>
        </w:rPr>
      </w:pPr>
    </w:p>
    <w:p w14:paraId="32F67B0D" w14:textId="77777777" w:rsidR="008E61F6" w:rsidRPr="003C3998" w:rsidRDefault="008E61F6" w:rsidP="008E61F6">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Consecuentemente, se insiste, ante la falta de impugnación eficaz, la respuesta entregada debe declararse consentida por persona solicitante.</w:t>
      </w:r>
    </w:p>
    <w:p w14:paraId="34DB61F0" w14:textId="77777777" w:rsidR="008E61F6" w:rsidRPr="003C3998" w:rsidRDefault="008E61F6" w:rsidP="008E61F6">
      <w:pPr>
        <w:spacing w:line="360" w:lineRule="auto"/>
        <w:jc w:val="both"/>
        <w:rPr>
          <w:rFonts w:ascii="Palatino Linotype" w:eastAsia="Palatino Linotype" w:hAnsi="Palatino Linotype" w:cs="Palatino Linotype"/>
          <w:sz w:val="22"/>
          <w:szCs w:val="22"/>
        </w:rPr>
      </w:pPr>
    </w:p>
    <w:p w14:paraId="5F490136" w14:textId="77777777" w:rsidR="008E61F6" w:rsidRPr="003C3998" w:rsidRDefault="008E61F6" w:rsidP="008E61F6">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Lo anterior se sustenta con lo plasmado en el criterio orientador 01/20 emitido por el entonces Instituto Nacional de Transparencia, Acceso a la Información, y Protección de Datos Personales, INAI, que lleva por rubro y texto los siguientes: </w:t>
      </w:r>
    </w:p>
    <w:p w14:paraId="0EC06A55" w14:textId="77777777" w:rsidR="008E61F6" w:rsidRPr="003C3998" w:rsidRDefault="008E61F6" w:rsidP="008E61F6">
      <w:pPr>
        <w:spacing w:line="360" w:lineRule="auto"/>
        <w:jc w:val="both"/>
        <w:rPr>
          <w:rFonts w:ascii="Palatino Linotype" w:eastAsia="Palatino Linotype" w:hAnsi="Palatino Linotype" w:cs="Palatino Linotype"/>
          <w:sz w:val="22"/>
          <w:szCs w:val="22"/>
        </w:rPr>
      </w:pPr>
    </w:p>
    <w:p w14:paraId="06BC0012" w14:textId="77777777" w:rsidR="008E61F6" w:rsidRPr="003C3998" w:rsidRDefault="008E61F6" w:rsidP="008E61F6">
      <w:pPr>
        <w:pBdr>
          <w:top w:val="nil"/>
          <w:left w:val="nil"/>
          <w:bottom w:val="nil"/>
          <w:right w:val="nil"/>
          <w:between w:val="nil"/>
        </w:pBdr>
        <w:spacing w:line="276" w:lineRule="auto"/>
        <w:ind w:left="567" w:right="902"/>
        <w:jc w:val="both"/>
        <w:rPr>
          <w:rFonts w:ascii="Palatino Linotype" w:eastAsia="Palatino Linotype" w:hAnsi="Palatino Linotype" w:cs="Palatino Linotype"/>
          <w:i/>
          <w:iCs/>
          <w:sz w:val="22"/>
          <w:szCs w:val="22"/>
        </w:rPr>
      </w:pPr>
      <w:r w:rsidRPr="003C3998">
        <w:rPr>
          <w:rFonts w:ascii="Palatino Linotype" w:eastAsia="Palatino Linotype" w:hAnsi="Palatino Linotype" w:cs="Palatino Linotype"/>
          <w:i/>
          <w:iCs/>
          <w:sz w:val="22"/>
          <w:szCs w:val="22"/>
        </w:rPr>
        <w:t>“</w:t>
      </w:r>
      <w:r w:rsidRPr="003C3998">
        <w:rPr>
          <w:rFonts w:ascii="Palatino Linotype" w:eastAsia="Palatino Linotype" w:hAnsi="Palatino Linotype" w:cs="Palatino Linotype"/>
          <w:b/>
          <w:bCs/>
          <w:i/>
          <w:iCs/>
          <w:sz w:val="22"/>
          <w:szCs w:val="22"/>
        </w:rPr>
        <w:t xml:space="preserve">Actos consentidos tácitamente. Improcedencia de su análisis. </w:t>
      </w:r>
      <w:r w:rsidRPr="003C3998">
        <w:rPr>
          <w:rFonts w:ascii="Palatino Linotype" w:eastAsia="Palatino Linotype" w:hAnsi="Palatino Linotype" w:cs="Palatino Linotype"/>
          <w:i/>
          <w:iCs/>
          <w:sz w:val="22"/>
          <w:szCs w:val="22"/>
        </w:rPr>
        <w:t>Si en su recurso de revisión, la persona recurrente no expresó inconformidad alguna con ciertas partes de la respuesta otorgada, se entienden tácitamente consentidas, por ende, no deben formar parte del estudio de fondo de la resolución que emite el Instituto.”</w:t>
      </w:r>
    </w:p>
    <w:p w14:paraId="755B6710" w14:textId="77777777" w:rsidR="008E61F6" w:rsidRPr="003C3998" w:rsidRDefault="008E61F6" w:rsidP="008E61F6">
      <w:pPr>
        <w:pBdr>
          <w:top w:val="nil"/>
          <w:left w:val="nil"/>
          <w:bottom w:val="nil"/>
          <w:right w:val="nil"/>
          <w:between w:val="nil"/>
        </w:pBdr>
        <w:spacing w:line="360" w:lineRule="auto"/>
        <w:ind w:left="567" w:right="902"/>
        <w:jc w:val="both"/>
        <w:rPr>
          <w:rFonts w:ascii="Palatino Linotype" w:eastAsia="Palatino Linotype" w:hAnsi="Palatino Linotype" w:cs="Palatino Linotype"/>
          <w:i/>
          <w:iCs/>
          <w:sz w:val="22"/>
          <w:szCs w:val="22"/>
        </w:rPr>
      </w:pPr>
    </w:p>
    <w:p w14:paraId="4E8DB750" w14:textId="77777777" w:rsidR="008E61F6" w:rsidRPr="003C3998" w:rsidRDefault="008E61F6" w:rsidP="008E61F6">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Asimismo, resulta aplicable por analogía la tesis jurisprudencial número VI.3o.C. J/60, publicada en el Semanario Judicial de la Federación y su Gaceta bajo el número de registro 176,608 que a la letra dice:</w:t>
      </w:r>
    </w:p>
    <w:p w14:paraId="2DBE647C" w14:textId="77777777" w:rsidR="008E61F6" w:rsidRPr="003C3998" w:rsidRDefault="008E61F6" w:rsidP="008E61F6">
      <w:pPr>
        <w:spacing w:line="360" w:lineRule="auto"/>
        <w:ind w:left="851" w:right="900"/>
        <w:jc w:val="both"/>
        <w:rPr>
          <w:rFonts w:ascii="Palatino Linotype" w:eastAsia="Palatino Linotype" w:hAnsi="Palatino Linotype" w:cs="Palatino Linotype"/>
          <w:b/>
          <w:bCs/>
          <w:i/>
          <w:iCs/>
          <w:smallCaps/>
          <w:sz w:val="22"/>
          <w:szCs w:val="22"/>
        </w:rPr>
      </w:pPr>
    </w:p>
    <w:p w14:paraId="7C21BC83" w14:textId="77777777" w:rsidR="008E61F6" w:rsidRPr="003C3998" w:rsidRDefault="008E61F6" w:rsidP="008E61F6">
      <w:pPr>
        <w:tabs>
          <w:tab w:val="left" w:pos="851"/>
          <w:tab w:val="left" w:pos="1276"/>
        </w:tabs>
        <w:ind w:left="567" w:right="709"/>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bCs/>
          <w:i/>
          <w:iCs/>
          <w:smallCaps/>
          <w:sz w:val="22"/>
          <w:szCs w:val="22"/>
        </w:rPr>
        <w:t xml:space="preserve">“ACTOS CONSENTIDOS. SON LOS QUE NO SE IMPUGNAN MEDIANTE EL RECURSO IDÓNEO. </w:t>
      </w:r>
      <w:r w:rsidRPr="003C3998">
        <w:rPr>
          <w:rFonts w:ascii="Palatino Linotype" w:eastAsia="Palatino Linotype" w:hAnsi="Palatino Linotype" w:cs="Palatino Linotype"/>
          <w:i/>
          <w:iCs/>
          <w:sz w:val="22"/>
          <w:szCs w:val="22"/>
        </w:rPr>
        <w:t>Debe reputarse como consentido el acto que no se impugnó por el medio establecido por la ley, ya que si se hizo uso de otro no previsto por ella o si se hace una simple manifestación de inconformidad, tales actuaciones no producen efectos jurídicos tendientes a revocar, confirmar o modificar el acto reclamado en amparo, lo que significa consentimiento del mismo por falta de impugnación eficaz.”</w:t>
      </w:r>
    </w:p>
    <w:p w14:paraId="3549FB21" w14:textId="77777777" w:rsidR="008E61F6" w:rsidRPr="003C3998" w:rsidRDefault="008E61F6" w:rsidP="008E61F6">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1F375429" w14:textId="77777777" w:rsidR="008E61F6" w:rsidRPr="003C3998" w:rsidRDefault="008E61F6" w:rsidP="008E61F6">
      <w:pPr>
        <w:spacing w:before="240" w:after="240" w:line="360" w:lineRule="auto"/>
        <w:ind w:right="49"/>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Dicho lo anterior, la información de la que resulta procedente pronunciarse respecto a la información relativa a la capacidad del número de pasajerosde cada unidad.</w:t>
      </w:r>
    </w:p>
    <w:p w14:paraId="439A5A61" w14:textId="200CB95F" w:rsidR="00BE1EE5" w:rsidRPr="003C3998" w:rsidRDefault="00BE1EE5" w:rsidP="00BE1EE5">
      <w:pPr>
        <w:spacing w:line="360" w:lineRule="auto"/>
        <w:ind w:right="49"/>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Dicho lo anterior, es necesario recordar que el Sujeto Obligado en su respuesta entregó Padrón de Unidades que contiene la información de cada una de ellas como lo es el área de adscripción, marca, tipo, modelo, número de serie y si se encuentra activa, descompuesta, baja o en proceso de baja; sin embargo, no se advierte la información relacionada con la capacidad del número de pasajeros de cada unidad.</w:t>
      </w:r>
    </w:p>
    <w:p w14:paraId="09106F33" w14:textId="77777777" w:rsidR="00BE1EE5" w:rsidRPr="003C3998" w:rsidRDefault="00BE1EE5" w:rsidP="00BE1EE5">
      <w:pPr>
        <w:spacing w:line="360" w:lineRule="auto"/>
        <w:ind w:right="49"/>
        <w:jc w:val="both"/>
        <w:rPr>
          <w:rFonts w:ascii="Palatino Linotype" w:eastAsia="Palatino Linotype" w:hAnsi="Palatino Linotype" w:cs="Palatino Linotype"/>
          <w:sz w:val="22"/>
          <w:szCs w:val="22"/>
        </w:rPr>
      </w:pPr>
    </w:p>
    <w:p w14:paraId="27B82339" w14:textId="128EBFD4" w:rsidR="00CF5939" w:rsidRPr="003C3998" w:rsidRDefault="00BE1EE5" w:rsidP="00BE1EE5">
      <w:pPr>
        <w:spacing w:line="360" w:lineRule="auto"/>
        <w:ind w:right="49"/>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Por lo anterior, se ORDENA al Sujeto Obligado entregar los documentos donde conste el número de pasajeros de cada una de las unidades remitidas en respuesta. Dicha información puede contenerse, de manera enunciativa más no limitativa en la tarjeta de circulación de cada unidad, pues la Secretaría de Finanzas a través del control vehícular, específicamente en la Validación de autenticidad de Tarjetas de Circulación dispone que la tarjeta de circulación contiene la siguiente información:</w:t>
      </w:r>
    </w:p>
    <w:p w14:paraId="0B0F7BE5" w14:textId="77777777" w:rsidR="00A76FC2" w:rsidRPr="003C3998" w:rsidRDefault="00A76FC2" w:rsidP="0018213A">
      <w:pPr>
        <w:spacing w:line="360" w:lineRule="auto"/>
        <w:ind w:right="49"/>
        <w:jc w:val="center"/>
        <w:rPr>
          <w:rFonts w:ascii="Palatino Linotype" w:eastAsia="Palatino Linotype" w:hAnsi="Palatino Linotype" w:cs="Palatino Linotype"/>
          <w:sz w:val="22"/>
          <w:szCs w:val="22"/>
        </w:rPr>
      </w:pPr>
    </w:p>
    <w:p w14:paraId="5611AC94" w14:textId="43904EC6" w:rsidR="00A76FC2" w:rsidRPr="003C3998" w:rsidRDefault="0018213A" w:rsidP="0018213A">
      <w:pPr>
        <w:spacing w:line="360" w:lineRule="auto"/>
        <w:ind w:right="49"/>
        <w:jc w:val="center"/>
        <w:rPr>
          <w:rFonts w:ascii="Palatino Linotype" w:eastAsia="Palatino Linotype" w:hAnsi="Palatino Linotype" w:cs="Palatino Linotype"/>
          <w:sz w:val="22"/>
          <w:szCs w:val="22"/>
        </w:rPr>
      </w:pPr>
      <w:r w:rsidRPr="003C3998">
        <w:rPr>
          <w:rFonts w:ascii="Palatino Linotype" w:eastAsia="Palatino Linotype" w:hAnsi="Palatino Linotype" w:cs="Palatino Linotype"/>
          <w:noProof/>
          <w:sz w:val="22"/>
          <w:szCs w:val="22"/>
        </w:rPr>
        <w:drawing>
          <wp:inline distT="0" distB="0" distL="0" distR="0" wp14:anchorId="122ADE9E" wp14:editId="77914D81">
            <wp:extent cx="3078933" cy="3185883"/>
            <wp:effectExtent l="0" t="0" r="0" b="1905"/>
            <wp:docPr id="2090570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57059" name="Imagen 20905705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2812" cy="3200244"/>
                    </a:xfrm>
                    <a:prstGeom prst="rect">
                      <a:avLst/>
                    </a:prstGeom>
                  </pic:spPr>
                </pic:pic>
              </a:graphicData>
            </a:graphic>
          </wp:inline>
        </w:drawing>
      </w:r>
    </w:p>
    <w:p w14:paraId="56E4A662" w14:textId="366F8883" w:rsidR="0018213A" w:rsidRPr="003C3998" w:rsidRDefault="0018213A" w:rsidP="00CF5939">
      <w:pPr>
        <w:spacing w:line="360" w:lineRule="auto"/>
        <w:jc w:val="both"/>
        <w:rPr>
          <w:rFonts w:ascii="Palatino Linotype" w:eastAsia="Palatino Linotype" w:hAnsi="Palatino Linotype" w:cs="Palatino Linotype"/>
          <w:bCs/>
          <w:sz w:val="22"/>
          <w:szCs w:val="22"/>
        </w:rPr>
      </w:pPr>
      <w:r w:rsidRPr="003C3998">
        <w:rPr>
          <w:rFonts w:ascii="Palatino Linotype" w:eastAsia="Palatino Linotype" w:hAnsi="Palatino Linotype" w:cs="Palatino Linotype"/>
          <w:bCs/>
          <w:sz w:val="22"/>
          <w:szCs w:val="22"/>
        </w:rPr>
        <w:t>Ahora bien, de ser el caso de que la información que se ordena entregar contenga información susceptible de clasificarse, el Sujeto Obligado estará a lo dispuesto en el Considerando que a continuación se enuncia.</w:t>
      </w:r>
    </w:p>
    <w:p w14:paraId="6FCD5616" w14:textId="77777777" w:rsidR="0018213A" w:rsidRPr="003C3998" w:rsidRDefault="0018213A" w:rsidP="00CF5939">
      <w:pPr>
        <w:spacing w:line="360" w:lineRule="auto"/>
        <w:jc w:val="both"/>
        <w:rPr>
          <w:rFonts w:ascii="Palatino Linotype" w:eastAsia="Palatino Linotype" w:hAnsi="Palatino Linotype" w:cs="Palatino Linotype"/>
          <w:b/>
          <w:sz w:val="22"/>
          <w:szCs w:val="22"/>
        </w:rPr>
      </w:pPr>
    </w:p>
    <w:p w14:paraId="0A851DB2" w14:textId="1CCFED3F" w:rsidR="00CF5939" w:rsidRPr="003C3998" w:rsidRDefault="00CF5939" w:rsidP="00CF5939">
      <w:pPr>
        <w:spacing w:line="360" w:lineRule="auto"/>
        <w:jc w:val="both"/>
        <w:rPr>
          <w:rFonts w:ascii="Palatino Linotype" w:eastAsia="Palatino Linotype" w:hAnsi="Palatino Linotype" w:cs="Palatino Linotype"/>
          <w:b/>
          <w:sz w:val="22"/>
          <w:szCs w:val="22"/>
        </w:rPr>
      </w:pPr>
      <w:r w:rsidRPr="003C3998">
        <w:rPr>
          <w:rFonts w:ascii="Palatino Linotype" w:eastAsia="Palatino Linotype" w:hAnsi="Palatino Linotype" w:cs="Palatino Linotype"/>
          <w:b/>
          <w:sz w:val="22"/>
          <w:szCs w:val="22"/>
        </w:rPr>
        <w:t xml:space="preserve">Quinto. Versión Pública. </w:t>
      </w:r>
      <w:r w:rsidRPr="003C3998">
        <w:rPr>
          <w:rFonts w:ascii="Palatino Linotype" w:eastAsia="Palatino Linotype" w:hAnsi="Palatino Linotype" w:cs="Palatino Linotype"/>
          <w:sz w:val="22"/>
          <w:szCs w:val="22"/>
        </w:rPr>
        <w:t xml:space="preserve">Finalmente, para la entrega de la información que se determina ordenar, el Sujeto Obligado deberá realizar un análisis con la finalidad de advertir si esta contiene datos que deben ser clasificados en los términos que la misma Ley en la materia señala. </w:t>
      </w:r>
    </w:p>
    <w:p w14:paraId="2FD0FD39"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p>
    <w:p w14:paraId="7F8F3916"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En ese sentido, el Sujeto Obligado tendrá que elaborar la versión pública de los documentos que vaya a entregar para dar cumplimiento a esta resolución a fin de satisfacer el derecho de acceso a la información pública del recurrente sin menoscabar el derecho a la protección de los datos personales de terceros. </w:t>
      </w:r>
    </w:p>
    <w:p w14:paraId="348E08D7"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p>
    <w:p w14:paraId="47F5DFB8" w14:textId="77777777" w:rsidR="00CF5939" w:rsidRPr="003C3998" w:rsidRDefault="00CF5939" w:rsidP="00CF5939">
      <w:pPr>
        <w:spacing w:line="360" w:lineRule="auto"/>
        <w:ind w:right="50"/>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Lo anterior, de conformidad con lo que señalan los artículos 3 fracciones IX, XX, XXI y XLV, 91, 132 fracciones II y III, y 143 de la Ley de Transparencia y Acceso a la Información Pública del Estado de México y Municipios que establecen: </w:t>
      </w:r>
    </w:p>
    <w:p w14:paraId="3E9477DA" w14:textId="77777777" w:rsidR="00CF5939" w:rsidRPr="003C3998" w:rsidRDefault="00CF5939" w:rsidP="00CF5939">
      <w:pPr>
        <w:spacing w:line="360" w:lineRule="auto"/>
        <w:ind w:right="50"/>
        <w:jc w:val="both"/>
        <w:rPr>
          <w:rFonts w:ascii="Palatino Linotype" w:eastAsia="Palatino Linotype" w:hAnsi="Palatino Linotype" w:cs="Palatino Linotype"/>
          <w:sz w:val="22"/>
          <w:szCs w:val="22"/>
        </w:rPr>
      </w:pPr>
      <w:bookmarkStart w:id="7" w:name="_GoBack"/>
      <w:bookmarkEnd w:id="7"/>
    </w:p>
    <w:p w14:paraId="60C6B026"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r w:rsidRPr="003C3998">
        <w:rPr>
          <w:rFonts w:ascii="Palatino Linotype" w:eastAsia="Palatino Linotype" w:hAnsi="Palatino Linotype" w:cs="Palatino Linotype"/>
          <w:b/>
          <w:i/>
          <w:sz w:val="22"/>
          <w:szCs w:val="22"/>
        </w:rPr>
        <w:t>Artículo 3.</w:t>
      </w:r>
      <w:r w:rsidRPr="003C3998">
        <w:rPr>
          <w:rFonts w:ascii="Palatino Linotype" w:eastAsia="Palatino Linotype" w:hAnsi="Palatino Linotype" w:cs="Palatino Linotype"/>
          <w:i/>
          <w:sz w:val="22"/>
          <w:szCs w:val="22"/>
        </w:rPr>
        <w:t xml:space="preserve"> Para los efectos de la presente Ley se entenderá por:</w:t>
      </w:r>
    </w:p>
    <w:p w14:paraId="4160865C"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p>
    <w:p w14:paraId="2F0F481F"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IX. Datos personales: La información concerniente a una persona, identificada o identificable según lo dispuesto por la Ley de Protección de Datos Personales del Estado de México; </w:t>
      </w:r>
    </w:p>
    <w:p w14:paraId="784E98C9"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XX. Información clasificada: Aquella considerada por la presente Ley como reservada o confidencial;</w:t>
      </w:r>
    </w:p>
    <w:p w14:paraId="7A485AD1"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XXI. Información confidencial: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44D0F13F"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XLV. Versión pública: Documento en el que se elimine, suprime o borra la información clasificada como reservada o confidencial para permitir su acceso.</w:t>
      </w:r>
    </w:p>
    <w:p w14:paraId="1EC3D854"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p>
    <w:p w14:paraId="5A4ECB35"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Artículo 91.</w:t>
      </w:r>
      <w:r w:rsidRPr="003C3998">
        <w:rPr>
          <w:rFonts w:ascii="Palatino Linotype" w:eastAsia="Palatino Linotype" w:hAnsi="Palatino Linotype" w:cs="Palatino Linotype"/>
          <w:i/>
          <w:sz w:val="22"/>
          <w:szCs w:val="22"/>
        </w:rPr>
        <w:t xml:space="preserve"> El acceso a la información pública será restringido excepcionalmente, cuando ésta sea clasificada como reservada o confidencial.</w:t>
      </w:r>
    </w:p>
    <w:p w14:paraId="1BD68F0A"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Artículo 132.</w:t>
      </w:r>
      <w:r w:rsidRPr="003C3998">
        <w:rPr>
          <w:rFonts w:ascii="Palatino Linotype" w:eastAsia="Palatino Linotype" w:hAnsi="Palatino Linotype" w:cs="Palatino Linotype"/>
          <w:i/>
          <w:sz w:val="22"/>
          <w:szCs w:val="22"/>
        </w:rPr>
        <w:t xml:space="preserve"> La clasificación de la información se llevará a cabo en el momento en que:</w:t>
      </w:r>
    </w:p>
    <w:p w14:paraId="113A43DC" w14:textId="77777777" w:rsidR="00CF5939" w:rsidRPr="003C3998" w:rsidRDefault="00CF5939" w:rsidP="00CF5939">
      <w:pPr>
        <w:tabs>
          <w:tab w:val="left" w:pos="1134"/>
        </w:tabs>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 Se reciba una solicitud de acceso a la información;</w:t>
      </w:r>
    </w:p>
    <w:p w14:paraId="0349FE81" w14:textId="77777777" w:rsidR="00CF5939" w:rsidRPr="003C3998" w:rsidRDefault="00CF5939" w:rsidP="00CF5939">
      <w:pPr>
        <w:tabs>
          <w:tab w:val="left" w:pos="1134"/>
        </w:tabs>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II. Se determine mediante resolución de autoridad competente; o</w:t>
      </w:r>
    </w:p>
    <w:p w14:paraId="48B55B74" w14:textId="77777777" w:rsidR="00CF5939" w:rsidRPr="003C3998" w:rsidRDefault="00CF5939" w:rsidP="00CF5939">
      <w:pPr>
        <w:tabs>
          <w:tab w:val="left" w:pos="1134"/>
        </w:tabs>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III. Se generen versiones públicas para dar cumplimiento a las obligaciones de transparencia previstas en esta Ley.</w:t>
      </w:r>
    </w:p>
    <w:p w14:paraId="70823AA5"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p>
    <w:p w14:paraId="4F10C40D"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Artículo 143</w:t>
      </w:r>
      <w:r w:rsidRPr="003C3998">
        <w:rPr>
          <w:rFonts w:ascii="Palatino Linotype" w:eastAsia="Palatino Linotype" w:hAnsi="Palatino Linotype" w:cs="Palatino Linotype"/>
          <w:i/>
          <w:sz w:val="22"/>
          <w:szCs w:val="22"/>
        </w:rPr>
        <w:t>. Para los efectos de esta Ley se considera información confidencial, la clasificada como tal, de manera permanente, por su naturaleza, cuando:</w:t>
      </w:r>
    </w:p>
    <w:p w14:paraId="513E0728"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 Se refiera a la información privada y los datos personales concernientes a una persona física o jurídico colectiva identificada o identificable;</w:t>
      </w:r>
    </w:p>
    <w:p w14:paraId="53A55A9A"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II. Los secretos bancario, fiduciario, industrial, comercial, fiscal, bursátil y postal, cuya titularidad corresponda a particulares, sujetos de derecho internacional o a sujetos obligados cuando no involucren el ejercicio de recursos públicos; y</w:t>
      </w:r>
    </w:p>
    <w:p w14:paraId="0991B451"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III. La que presenten los particulares a los sujetos obligados, de conformidad con lo dispuesto por las leyes o los tratados internacionales.</w:t>
      </w:r>
    </w:p>
    <w:p w14:paraId="35BF5042"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0776BCBC"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71333A15" w14:textId="77777777" w:rsidR="00CF5939" w:rsidRPr="003C3998" w:rsidRDefault="00CF5939" w:rsidP="00CF5939">
      <w:pPr>
        <w:ind w:left="567" w:right="616"/>
        <w:jc w:val="both"/>
        <w:rPr>
          <w:rFonts w:ascii="Palatino Linotype" w:eastAsia="Palatino Linotype" w:hAnsi="Palatino Linotype" w:cs="Palatino Linotype"/>
          <w:i/>
          <w:sz w:val="22"/>
          <w:szCs w:val="22"/>
        </w:rPr>
      </w:pPr>
    </w:p>
    <w:p w14:paraId="554823E6"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Igualmente, los Lineamientos Generales en Materia de Clasificación y Desclasificación de la Información, así como para la elaboración de Versiones Públicas, emitidos por el Consejo Nacional del Sistema Nacional de Transparencia, Acceso a la Información Pública y Protección de Datos Personales, vigentes a la fecha de la solicitud de información, tienen por objeto establecer los criterios con base en los cuales los sujetos obligados clasificarán como reservada o confidencial la información que posean, desclasificarán y generarán, en su caso, versiones públicas de expedientes o documentos que contengan partes o secciones clasificadas. </w:t>
      </w:r>
    </w:p>
    <w:p w14:paraId="4B961A87"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p>
    <w:p w14:paraId="58847D11" w14:textId="77777777" w:rsidR="00CF5939" w:rsidRPr="003C3998" w:rsidRDefault="00CF5939" w:rsidP="00CF5939">
      <w:pPr>
        <w:pBdr>
          <w:top w:val="nil"/>
          <w:left w:val="nil"/>
          <w:bottom w:val="nil"/>
          <w:right w:val="nil"/>
          <w:between w:val="nil"/>
        </w:pBdr>
        <w:spacing w:line="360" w:lineRule="auto"/>
        <w:ind w:right="50"/>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Respecto del </w:t>
      </w:r>
      <w:r w:rsidRPr="003C3998">
        <w:rPr>
          <w:rFonts w:ascii="Palatino Linotype" w:eastAsia="Palatino Linotype" w:hAnsi="Palatino Linotype" w:cs="Palatino Linotype"/>
          <w:b/>
          <w:bCs/>
          <w:sz w:val="22"/>
          <w:szCs w:val="22"/>
        </w:rPr>
        <w:t>nombre de las personas físicas</w:t>
      </w:r>
      <w:r w:rsidRPr="003C3998">
        <w:rPr>
          <w:rFonts w:ascii="Palatino Linotype" w:eastAsia="Palatino Linotype" w:hAnsi="Palatino Linotype" w:cs="Palatino Linotype"/>
          <w:sz w:val="22"/>
          <w:szCs w:val="22"/>
        </w:rPr>
        <w:t xml:space="preserve"> o los </w:t>
      </w:r>
      <w:r w:rsidRPr="003C3998">
        <w:rPr>
          <w:rFonts w:ascii="Palatino Linotype" w:eastAsia="Palatino Linotype" w:hAnsi="Palatino Linotype" w:cs="Palatino Linotype"/>
          <w:b/>
          <w:bCs/>
          <w:sz w:val="22"/>
          <w:szCs w:val="22"/>
        </w:rPr>
        <w:t>representantes legales de las personas morales</w:t>
      </w:r>
      <w:r w:rsidRPr="003C3998">
        <w:rPr>
          <w:rFonts w:ascii="Palatino Linotype" w:eastAsia="Palatino Linotype" w:hAnsi="Palatino Linotype" w:cs="Palatino Linotype"/>
          <w:sz w:val="22"/>
          <w:szCs w:val="22"/>
        </w:rPr>
        <w:t xml:space="preserve">, </w:t>
      </w:r>
      <w:r w:rsidRPr="003C3998">
        <w:rPr>
          <w:rFonts w:ascii="Palatino Linotype" w:eastAsia="Palatino Linotype" w:hAnsi="Palatino Linotype" w:cs="Palatino Linotype"/>
          <w:b/>
          <w:bCs/>
          <w:sz w:val="22"/>
          <w:szCs w:val="22"/>
        </w:rPr>
        <w:t>en su calidad de proveedores, contratistas o prestadores de servicios, y la firma y rúbrica de estos</w:t>
      </w:r>
      <w:r w:rsidRPr="003C3998">
        <w:rPr>
          <w:rFonts w:ascii="Palatino Linotype" w:eastAsia="Palatino Linotype" w:hAnsi="Palatino Linotype" w:cs="Palatino Linotype"/>
          <w:sz w:val="22"/>
          <w:szCs w:val="22"/>
        </w:rPr>
        <w:t>, que participen en algún  proceso de adjudicación en cualquiera de sus modalidades, los entes públicos tienen la obligación de difundir toda aquella información relativa a los montos y las personas a quienes entreguen, por cualquier motivo, recursos públicos, así como los informes que dichas personas entreguen sobre el uso y destino de dichos recursos, motivo por el cual los datos del representante legal de la persona moral que resultó favorecida con el procedimiento de licitación no conservan el carácter de confidencial y por tanto no deben ser testados.</w:t>
      </w:r>
    </w:p>
    <w:p w14:paraId="6DBECEB6" w14:textId="77777777" w:rsidR="00CF5939" w:rsidRPr="003C3998" w:rsidRDefault="00CF5939" w:rsidP="00CF5939">
      <w:pPr>
        <w:pBdr>
          <w:top w:val="nil"/>
          <w:left w:val="nil"/>
          <w:bottom w:val="nil"/>
          <w:right w:val="nil"/>
          <w:between w:val="nil"/>
        </w:pBdr>
        <w:spacing w:line="360" w:lineRule="auto"/>
        <w:ind w:right="50"/>
        <w:jc w:val="both"/>
        <w:rPr>
          <w:rFonts w:ascii="Palatino Linotype" w:hAnsi="Palatino Linotype"/>
          <w:sz w:val="22"/>
          <w:szCs w:val="22"/>
        </w:rPr>
      </w:pPr>
    </w:p>
    <w:p w14:paraId="4C0D1EA4" w14:textId="77777777" w:rsidR="00CF5939" w:rsidRPr="003C3998" w:rsidRDefault="00CF5939" w:rsidP="00CF5939">
      <w:pPr>
        <w:pBdr>
          <w:top w:val="nil"/>
          <w:left w:val="nil"/>
          <w:bottom w:val="nil"/>
          <w:right w:val="nil"/>
          <w:between w:val="nil"/>
        </w:pBdr>
        <w:spacing w:line="360" w:lineRule="auto"/>
        <w:ind w:right="50"/>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Argumentación que guarda sustento en lo estipulado por el artículo 23 de la Ley de Transparencia y Acceso a la Información Pública del Estado de México y Municipios en su penúltimo párrafo, mismo que es del tenor literal siguiente:</w:t>
      </w:r>
    </w:p>
    <w:p w14:paraId="2E5D6374" w14:textId="77777777" w:rsidR="00CF5939" w:rsidRPr="003C3998" w:rsidRDefault="00CF5939" w:rsidP="00CF5939">
      <w:pPr>
        <w:pBdr>
          <w:top w:val="nil"/>
          <w:left w:val="nil"/>
          <w:bottom w:val="nil"/>
          <w:right w:val="nil"/>
          <w:between w:val="nil"/>
        </w:pBdr>
        <w:spacing w:line="360" w:lineRule="auto"/>
        <w:ind w:right="50"/>
        <w:jc w:val="both"/>
        <w:rPr>
          <w:rFonts w:ascii="Palatino Linotype" w:eastAsia="Palatino Linotype" w:hAnsi="Palatino Linotype" w:cs="Palatino Linotype"/>
          <w:sz w:val="22"/>
          <w:szCs w:val="22"/>
        </w:rPr>
      </w:pPr>
    </w:p>
    <w:p w14:paraId="4FBD25DE" w14:textId="77777777" w:rsidR="00CF5939" w:rsidRPr="003C3998" w:rsidRDefault="00CF5939" w:rsidP="00CF5939">
      <w:pPr>
        <w:pBdr>
          <w:top w:val="nil"/>
          <w:left w:val="nil"/>
          <w:bottom w:val="nil"/>
          <w:right w:val="nil"/>
          <w:between w:val="nil"/>
        </w:pBdr>
        <w:spacing w:after="120"/>
        <w:ind w:left="851" w:right="902"/>
        <w:jc w:val="both"/>
        <w:rPr>
          <w:rFonts w:ascii="Palatino Linotype" w:hAnsi="Palatino Linotype"/>
          <w:sz w:val="22"/>
          <w:szCs w:val="22"/>
        </w:rPr>
      </w:pPr>
      <w:r w:rsidRPr="003C3998">
        <w:rPr>
          <w:rFonts w:ascii="Palatino Linotype" w:eastAsia="Palatino Linotype" w:hAnsi="Palatino Linotype" w:cs="Palatino Linotype"/>
          <w:i/>
          <w:iCs/>
          <w:sz w:val="22"/>
          <w:szCs w:val="22"/>
        </w:rPr>
        <w:t>“</w:t>
      </w:r>
      <w:r w:rsidRPr="003C3998">
        <w:rPr>
          <w:rFonts w:ascii="Palatino Linotype" w:eastAsia="Palatino Linotype" w:hAnsi="Palatino Linotype" w:cs="Palatino Linotype"/>
          <w:b/>
          <w:bCs/>
          <w:i/>
          <w:iCs/>
          <w:sz w:val="22"/>
          <w:szCs w:val="22"/>
        </w:rPr>
        <w:t>Artículo 23.</w:t>
      </w:r>
      <w:r w:rsidRPr="003C3998">
        <w:rPr>
          <w:rFonts w:ascii="Palatino Linotype" w:eastAsia="Palatino Linotype" w:hAnsi="Palatino Linotype" w:cs="Palatino Linotype"/>
          <w:i/>
          <w:iCs/>
          <w:sz w:val="22"/>
          <w:szCs w:val="22"/>
        </w:rPr>
        <w:t xml:space="preserve"> (…)</w:t>
      </w:r>
    </w:p>
    <w:p w14:paraId="26628F7D" w14:textId="77777777" w:rsidR="00CF5939" w:rsidRPr="003C3998" w:rsidRDefault="00CF5939" w:rsidP="00CF5939">
      <w:pPr>
        <w:pBdr>
          <w:top w:val="nil"/>
          <w:left w:val="nil"/>
          <w:bottom w:val="nil"/>
          <w:right w:val="nil"/>
          <w:between w:val="nil"/>
        </w:pBdr>
        <w:spacing w:before="120" w:after="120"/>
        <w:ind w:left="851" w:right="902"/>
        <w:jc w:val="both"/>
        <w:rPr>
          <w:rFonts w:ascii="Palatino Linotype" w:hAnsi="Palatino Linotype"/>
          <w:sz w:val="22"/>
          <w:szCs w:val="22"/>
        </w:rPr>
      </w:pPr>
      <w:r w:rsidRPr="003C3998">
        <w:rPr>
          <w:rFonts w:ascii="Palatino Linotype" w:eastAsia="Palatino Linotype" w:hAnsi="Palatino Linotype" w:cs="Palatino Linotype"/>
          <w:i/>
          <w:iCs/>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2E278015" w14:textId="77777777" w:rsidR="00CF5939" w:rsidRPr="003C3998" w:rsidRDefault="00CF5939" w:rsidP="00CF5939">
      <w:pPr>
        <w:pBdr>
          <w:top w:val="nil"/>
          <w:left w:val="nil"/>
          <w:bottom w:val="nil"/>
          <w:right w:val="nil"/>
          <w:between w:val="nil"/>
        </w:pBdr>
        <w:spacing w:before="280" w:after="280" w:line="360" w:lineRule="auto"/>
        <w:jc w:val="both"/>
        <w:rPr>
          <w:rFonts w:ascii="Palatino Linotype" w:hAnsi="Palatino Linotype"/>
          <w:sz w:val="22"/>
          <w:szCs w:val="22"/>
        </w:rPr>
      </w:pPr>
      <w:r w:rsidRPr="003C3998">
        <w:rPr>
          <w:rFonts w:ascii="Palatino Linotype" w:eastAsia="Palatino Linotype" w:hAnsi="Palatino Linotype" w:cs="Palatino Linotype"/>
          <w:sz w:val="22"/>
          <w:szCs w:val="22"/>
        </w:rPr>
        <w:t>Asimismo, resulta aplicable el contenido del criterio de interpretación 01/19 emitido por el Instituto Nacional de Transparencia, Acceso a la Información, y Protección de Datos Personales, INAI, que lleva por rubro y texto los siguientes</w:t>
      </w:r>
    </w:p>
    <w:p w14:paraId="3C697F05" w14:textId="77777777" w:rsidR="00CF5939" w:rsidRPr="003C3998" w:rsidRDefault="00CF5939" w:rsidP="00CF5939">
      <w:pPr>
        <w:pBdr>
          <w:top w:val="nil"/>
          <w:left w:val="nil"/>
          <w:bottom w:val="nil"/>
          <w:right w:val="nil"/>
          <w:between w:val="nil"/>
        </w:pBdr>
        <w:spacing w:line="276" w:lineRule="auto"/>
        <w:ind w:left="851" w:right="902"/>
        <w:jc w:val="both"/>
        <w:rPr>
          <w:rFonts w:ascii="Palatino Linotype" w:hAnsi="Palatino Linotype"/>
          <w:sz w:val="22"/>
          <w:szCs w:val="22"/>
        </w:rPr>
      </w:pPr>
      <w:r w:rsidRPr="003C3998">
        <w:rPr>
          <w:rFonts w:ascii="Palatino Linotype" w:eastAsia="Palatino Linotype" w:hAnsi="Palatino Linotype" w:cs="Palatino Linotype"/>
          <w:b/>
          <w:bCs/>
          <w:i/>
          <w:iCs/>
          <w:sz w:val="22"/>
          <w:szCs w:val="22"/>
        </w:rPr>
        <w:t>“Datos de identificación del representante o apoderado legal.</w:t>
      </w:r>
      <w:r w:rsidRPr="003C3998">
        <w:rPr>
          <w:rFonts w:ascii="Palatino Linotype" w:eastAsia="Palatino Linotype" w:hAnsi="Palatino Linotype" w:cs="Palatino Linotype"/>
          <w:i/>
          <w:iCs/>
          <w:sz w:val="22"/>
          <w:szCs w:val="22"/>
        </w:rPr>
        <w:t xml:space="preserve"> </w:t>
      </w:r>
      <w:r w:rsidRPr="003C3998">
        <w:rPr>
          <w:rFonts w:ascii="Palatino Linotype" w:eastAsia="Palatino Linotype" w:hAnsi="Palatino Linotype" w:cs="Palatino Linotype"/>
          <w:b/>
          <w:bCs/>
          <w:i/>
          <w:iCs/>
          <w:sz w:val="22"/>
          <w:szCs w:val="22"/>
        </w:rPr>
        <w:t xml:space="preserve">Naturaleza jurídica. El nombre, la </w:t>
      </w:r>
      <w:r w:rsidRPr="003C3998">
        <w:rPr>
          <w:rFonts w:ascii="Palatino Linotype" w:eastAsia="Palatino Linotype" w:hAnsi="Palatino Linotype" w:cs="Palatino Linotype"/>
          <w:b/>
          <w:bCs/>
          <w:i/>
          <w:iCs/>
          <w:sz w:val="22"/>
          <w:szCs w:val="22"/>
          <w:u w:val="single"/>
        </w:rPr>
        <w:t>firma y la rúbrica</w:t>
      </w:r>
      <w:r w:rsidRPr="003C3998">
        <w:rPr>
          <w:rFonts w:ascii="Palatino Linotype" w:eastAsia="Palatino Linotype" w:hAnsi="Palatino Linotype" w:cs="Palatino Linotype"/>
          <w:i/>
          <w:iCs/>
          <w:sz w:val="22"/>
          <w:szCs w:val="22"/>
        </w:rPr>
        <w:t xml:space="preserve"> de una persona física, que actúe como representante o apoderado legal de un tercero que haya celebrado un acto jurídico, con algún sujeto obligado, </w:t>
      </w:r>
      <w:r w:rsidRPr="003C3998">
        <w:rPr>
          <w:rFonts w:ascii="Palatino Linotype" w:eastAsia="Palatino Linotype" w:hAnsi="Palatino Linotype" w:cs="Palatino Linotype"/>
          <w:b/>
          <w:bCs/>
          <w:i/>
          <w:iCs/>
          <w:sz w:val="22"/>
          <w:szCs w:val="22"/>
          <w:u w:val="single"/>
        </w:rPr>
        <w:t>es información pública</w:t>
      </w:r>
      <w:r w:rsidRPr="003C3998">
        <w:rPr>
          <w:rFonts w:ascii="Palatino Linotype" w:eastAsia="Palatino Linotype" w:hAnsi="Palatino Linotype" w:cs="Palatino Linotype"/>
          <w:b/>
          <w:bCs/>
          <w:i/>
          <w:iCs/>
          <w:sz w:val="22"/>
          <w:szCs w:val="22"/>
        </w:rPr>
        <w:t>, en razón de que tales datos fueron proporcionados con el objeto de expresar el consentimiento obligacional del tercero y otorgar validez a dicho instrumento jurídico</w:t>
      </w:r>
      <w:r w:rsidRPr="003C3998">
        <w:rPr>
          <w:rFonts w:ascii="Palatino Linotype" w:eastAsia="Palatino Linotype" w:hAnsi="Palatino Linotype" w:cs="Palatino Linotype"/>
          <w:i/>
          <w:iCs/>
          <w:sz w:val="22"/>
          <w:szCs w:val="22"/>
        </w:rPr>
        <w:t>.”</w:t>
      </w:r>
    </w:p>
    <w:p w14:paraId="363AB10B"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p>
    <w:p w14:paraId="04A6BEC1"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Por cuanto hace al número de cuenta bancaria de los particulares debe ser clasificado como confidencial con fundamento en las fracciones I y II del artículo 143 de la Ley de la Materia de la Entidad; en razón de que, con su difusión se estaría poniendo en riesgo la seguridad de su titular.</w:t>
      </w:r>
    </w:p>
    <w:p w14:paraId="0BF097BB" w14:textId="77777777" w:rsidR="00CF5939" w:rsidRPr="003C3998" w:rsidRDefault="00CF5939" w:rsidP="00CF5939">
      <w:pPr>
        <w:spacing w:line="360" w:lineRule="auto"/>
        <w:ind w:right="50"/>
        <w:jc w:val="both"/>
        <w:rPr>
          <w:rFonts w:ascii="Palatino Linotype" w:eastAsia="Palatino Linotype" w:hAnsi="Palatino Linotype" w:cs="Palatino Linotype"/>
          <w:sz w:val="22"/>
          <w:szCs w:val="22"/>
        </w:rPr>
      </w:pPr>
    </w:p>
    <w:p w14:paraId="27F99B74" w14:textId="77777777" w:rsidR="00CF5939" w:rsidRPr="003C3998" w:rsidRDefault="00CF5939" w:rsidP="00CF5939">
      <w:pPr>
        <w:spacing w:line="360" w:lineRule="auto"/>
        <w:ind w:right="51"/>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Además de que, la publicidad de los números de cuenta bancaria de los particulares en nada contribuye a la rendición de cuentas, sino por el contrario, dar a conocer los números de las cuentas bancarias hace vulnerable a las personas físicas, al abrir la posibilidad de que terceros que cuenten con las posibilidades tecnológicas y/o económicas puedan realizar actos ilícitos mediante operaciones cibernéticas; en esa virtud, este Instituto determina que dicha información no puede ser del dominio público, toda vez que se podría dar un uso inadecuado a la misma o cometer algún ilícito o fraude en contra del patrimonio de los particulares. </w:t>
      </w:r>
    </w:p>
    <w:p w14:paraId="2DCD85A9" w14:textId="77777777" w:rsidR="00CF5939" w:rsidRPr="003C3998" w:rsidRDefault="00CF5939" w:rsidP="00CF5939">
      <w:pPr>
        <w:spacing w:line="360" w:lineRule="auto"/>
        <w:ind w:right="51"/>
        <w:jc w:val="both"/>
        <w:rPr>
          <w:rFonts w:ascii="Palatino Linotype" w:eastAsia="Palatino Linotype" w:hAnsi="Palatino Linotype" w:cs="Palatino Linotype"/>
          <w:sz w:val="22"/>
          <w:szCs w:val="22"/>
        </w:rPr>
      </w:pPr>
    </w:p>
    <w:p w14:paraId="408D7A0A" w14:textId="77777777" w:rsidR="00CF5939" w:rsidRPr="003C3998" w:rsidRDefault="00CF5939" w:rsidP="00CF5939">
      <w:pPr>
        <w:spacing w:line="360" w:lineRule="auto"/>
        <w:ind w:right="50"/>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Lo anterior encuentra sustento en el criterio 10/17 emitido por el Instituto Nacional de Transparencia y Acceso a la Información Pública del Estado de México y Municipios, que a la letra dicen:</w:t>
      </w:r>
    </w:p>
    <w:p w14:paraId="0E8F9CB7" w14:textId="77777777" w:rsidR="00CF5939" w:rsidRPr="003C3998" w:rsidRDefault="00CF5939" w:rsidP="00CF5939">
      <w:pPr>
        <w:spacing w:line="276" w:lineRule="auto"/>
        <w:ind w:left="851" w:right="1134"/>
        <w:jc w:val="both"/>
        <w:rPr>
          <w:rFonts w:ascii="Palatino Linotype" w:eastAsia="Palatino Linotype" w:hAnsi="Palatino Linotype" w:cs="Palatino Linotype"/>
          <w:i/>
          <w:iCs/>
          <w:sz w:val="22"/>
          <w:szCs w:val="22"/>
        </w:rPr>
      </w:pPr>
      <w:r w:rsidRPr="003C3998">
        <w:rPr>
          <w:rFonts w:ascii="Palatino Linotype" w:eastAsia="Palatino Linotype" w:hAnsi="Palatino Linotype" w:cs="Palatino Linotype"/>
          <w:b/>
          <w:bCs/>
          <w:i/>
          <w:iCs/>
          <w:sz w:val="22"/>
          <w:szCs w:val="22"/>
        </w:rPr>
        <w:t>“Cuentas bancarias y/o CLABE interbancaria de personas físicas y morales privadas.</w:t>
      </w:r>
      <w:r w:rsidRPr="003C3998">
        <w:rPr>
          <w:rFonts w:ascii="Palatino Linotype" w:eastAsia="Palatino Linotype" w:hAnsi="Palatino Linotype" w:cs="Palatino Linotype"/>
          <w:i/>
          <w:iCs/>
          <w:sz w:val="22"/>
          <w:szCs w:val="22"/>
        </w:rPr>
        <w:t xml:space="preserve">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14:paraId="367BCC1B" w14:textId="77777777" w:rsidR="00CF5939" w:rsidRPr="003C3998" w:rsidRDefault="00CF5939" w:rsidP="00CF5939">
      <w:pPr>
        <w:ind w:left="851" w:right="899"/>
        <w:jc w:val="center"/>
        <w:rPr>
          <w:rFonts w:ascii="Palatino Linotype" w:eastAsia="Palatino Linotype" w:hAnsi="Palatino Linotype" w:cs="Palatino Linotype"/>
          <w:b/>
          <w:bCs/>
          <w:i/>
          <w:iCs/>
          <w:sz w:val="22"/>
          <w:szCs w:val="22"/>
        </w:rPr>
      </w:pPr>
    </w:p>
    <w:p w14:paraId="4652076B" w14:textId="77777777" w:rsidR="00CF5939" w:rsidRPr="003C3998" w:rsidRDefault="00CF5939" w:rsidP="00CF5939">
      <w:pPr>
        <w:spacing w:line="360" w:lineRule="auto"/>
        <w:ind w:right="50"/>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Ahora bien, por cuanto hace a las cuentas bancarias de los Sujetos obligados, dicha información no puede considerarse como confidencial, pues la difusión de dichas cuentas o claves interbancarias, favorecen a la rendición de cuentas; ello tiene sustento en el criterio 11/17, emitido por el Instituto Nacional de Transparencia y Acceso a la Información Pública del Estado de México y Municipios, el cual para mayor referencia se inserta a continuación:</w:t>
      </w:r>
    </w:p>
    <w:p w14:paraId="53F36504" w14:textId="77777777" w:rsidR="00CF5939" w:rsidRPr="003C3998" w:rsidRDefault="00CF5939" w:rsidP="00CF5939">
      <w:pPr>
        <w:spacing w:line="276" w:lineRule="auto"/>
        <w:ind w:left="851" w:right="1134"/>
        <w:jc w:val="both"/>
        <w:rPr>
          <w:rFonts w:ascii="Palatino Linotype" w:eastAsia="Palatino Linotype" w:hAnsi="Palatino Linotype" w:cs="Palatino Linotype"/>
          <w:i/>
          <w:iCs/>
          <w:sz w:val="22"/>
          <w:szCs w:val="22"/>
        </w:rPr>
      </w:pPr>
    </w:p>
    <w:p w14:paraId="3B773FCB" w14:textId="77777777" w:rsidR="00CF5939" w:rsidRPr="003C3998" w:rsidRDefault="00CF5939" w:rsidP="00CF5939">
      <w:pPr>
        <w:spacing w:line="276" w:lineRule="auto"/>
        <w:ind w:left="851" w:right="1134"/>
        <w:jc w:val="both"/>
        <w:rPr>
          <w:rFonts w:ascii="Palatino Linotype" w:eastAsia="Palatino Linotype" w:hAnsi="Palatino Linotype" w:cs="Palatino Linotype"/>
          <w:i/>
          <w:iCs/>
          <w:sz w:val="22"/>
          <w:szCs w:val="22"/>
        </w:rPr>
      </w:pPr>
      <w:r w:rsidRPr="003C3998">
        <w:rPr>
          <w:rFonts w:ascii="Palatino Linotype" w:eastAsia="Palatino Linotype" w:hAnsi="Palatino Linotype" w:cs="Palatino Linotype"/>
          <w:i/>
          <w:iCs/>
          <w:sz w:val="22"/>
          <w:szCs w:val="22"/>
        </w:rPr>
        <w:t>“</w:t>
      </w:r>
      <w:r w:rsidRPr="003C3998">
        <w:rPr>
          <w:rFonts w:ascii="Palatino Linotype" w:eastAsia="Palatino Linotype" w:hAnsi="Palatino Linotype" w:cs="Palatino Linotype"/>
          <w:b/>
          <w:bCs/>
          <w:i/>
          <w:iCs/>
          <w:sz w:val="22"/>
          <w:szCs w:val="22"/>
        </w:rPr>
        <w:t>Cuentas bancarias y/o CLABE interbancaria de sujetos obligados que reciben y/o transfieren recursos públicos, son información pública.</w:t>
      </w:r>
      <w:r w:rsidRPr="003C3998">
        <w:rPr>
          <w:rFonts w:ascii="Palatino Linotype" w:eastAsia="Palatino Linotype" w:hAnsi="Palatino Linotype" w:cs="Palatino Linotype"/>
          <w:i/>
          <w:iCs/>
          <w:sz w:val="22"/>
          <w:szCs w:val="22"/>
        </w:rPr>
        <w:t xml:space="preserve"> La difusión de las cuentas bancarias y claves interbancarias pertenecientes a un sujeto obligado favorece la rendición de cuentas al transparentar la forma en que se administran los recursos públicos, razón por la cual no pueden considerarse como información clasificada. “</w:t>
      </w:r>
    </w:p>
    <w:p w14:paraId="68D71374" w14:textId="77777777" w:rsidR="00CF5939" w:rsidRPr="003C3998" w:rsidRDefault="00CF5939" w:rsidP="00CF5939">
      <w:pPr>
        <w:spacing w:line="360" w:lineRule="auto"/>
        <w:ind w:left="851" w:right="1134"/>
        <w:jc w:val="both"/>
        <w:rPr>
          <w:rFonts w:ascii="Palatino Linotype" w:eastAsia="Palatino Linotype" w:hAnsi="Palatino Linotype" w:cs="Palatino Linotype"/>
          <w:i/>
          <w:iCs/>
          <w:sz w:val="22"/>
          <w:szCs w:val="22"/>
        </w:rPr>
      </w:pPr>
    </w:p>
    <w:p w14:paraId="1E1238A3" w14:textId="77777777" w:rsidR="00CF5939" w:rsidRPr="003C3998" w:rsidRDefault="00CF5939" w:rsidP="00CF5939">
      <w:pPr>
        <w:spacing w:line="360" w:lineRule="auto"/>
        <w:ind w:right="50"/>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Sobre el </w:t>
      </w:r>
      <w:r w:rsidRPr="003C3998">
        <w:rPr>
          <w:rFonts w:ascii="Palatino Linotype" w:eastAsia="Palatino Linotype" w:hAnsi="Palatino Linotype" w:cs="Palatino Linotype"/>
          <w:b/>
          <w:bCs/>
          <w:sz w:val="22"/>
          <w:szCs w:val="22"/>
        </w:rPr>
        <w:t>RFC</w:t>
      </w:r>
      <w:r w:rsidRPr="003C3998">
        <w:rPr>
          <w:rFonts w:ascii="Palatino Linotype" w:eastAsia="Palatino Linotype" w:hAnsi="Palatino Linotype" w:cs="Palatino Linotype"/>
          <w:sz w:val="22"/>
          <w:szCs w:val="22"/>
        </w:rPr>
        <w:t>, dada la naturaleza de la información que se ordena, es importante resaltar que, si bien este Instituto ha sostenido que el RFC y domicilio de las personas físicas debe ser testado por los Sujetos Obligados, en las versiones públicas de los documentos que elaboren para atender las solicitudes de información pública, lo cierto es que tratándose de proveedores, prestadores de servicios o contratistas, dichos datos no deben ser suprimidos de las facturas y contratos que vayan a ser entregados.</w:t>
      </w:r>
    </w:p>
    <w:p w14:paraId="3C13837B"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p>
    <w:p w14:paraId="53A7DD59"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Por otro lado, es de destacar que los artículos Quincuagésimo, Quincuagésimo primero, Quincuagésimo segundo, de los Lineamientos Generales en Materia de Clasificación y Desclasificación de la Información, así como para la Elaboración de Versiones Públicas vigentes a la fecha de la solicitud señalan las formalidades que deberá llevar el acuerdo de clasificación que deberá emitir el Sujeto Obligado, siendo estas las siguientes:</w:t>
      </w:r>
    </w:p>
    <w:p w14:paraId="69E38D1A"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p>
    <w:p w14:paraId="59A8FC41"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 “</w:t>
      </w:r>
      <w:r w:rsidRPr="003C3998">
        <w:rPr>
          <w:rFonts w:ascii="Palatino Linotype" w:eastAsia="Palatino Linotype" w:hAnsi="Palatino Linotype" w:cs="Palatino Linotype"/>
          <w:b/>
          <w:i/>
          <w:sz w:val="22"/>
          <w:szCs w:val="22"/>
        </w:rPr>
        <w:t>Quincuagésimo</w:t>
      </w:r>
      <w:r w:rsidRPr="003C3998">
        <w:rPr>
          <w:rFonts w:ascii="Palatino Linotype" w:eastAsia="Palatino Linotype" w:hAnsi="Palatino Linotype" w:cs="Palatino Linotype"/>
          <w:i/>
          <w:sz w:val="22"/>
          <w:szCs w:val="22"/>
        </w:rPr>
        <w:t xml:space="preserve">. 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42E23356"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Quincuagésimo primero.</w:t>
      </w:r>
      <w:r w:rsidRPr="003C3998">
        <w:rPr>
          <w:rFonts w:ascii="Palatino Linotype" w:eastAsia="Palatino Linotype" w:hAnsi="Palatino Linotype" w:cs="Palatino Linotype"/>
          <w:i/>
          <w:sz w:val="22"/>
          <w:szCs w:val="22"/>
        </w:rPr>
        <w:t xml:space="preserve"> Toda acta del Comité de Transparencia deberá contener: </w:t>
      </w:r>
    </w:p>
    <w:p w14:paraId="7AD84F64"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I. El número de sesión y fecha; </w:t>
      </w:r>
    </w:p>
    <w:p w14:paraId="576AB7C5"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II. El nombre del área que solicitó la clasificación de información; </w:t>
      </w:r>
    </w:p>
    <w:p w14:paraId="3418F7EE"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III. La fundamentación legal y motivación correspondiente; </w:t>
      </w:r>
    </w:p>
    <w:p w14:paraId="3CEC2680"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IV. La resolución o resoluciones aprobadas; y </w:t>
      </w:r>
    </w:p>
    <w:p w14:paraId="4A8DC973"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V. La rúbrica o firma digital de cada integrante del Comité de Transparencia. </w:t>
      </w:r>
    </w:p>
    <w:p w14:paraId="3C762F86"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Las resoluciones del Comité en las que se haya determinado confirmar o modificar la clasificación de información pública como reservada, deberán incluir, cuando menos: </w:t>
      </w:r>
    </w:p>
    <w:p w14:paraId="1D09ECFE"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 Los motivos y razonamientos que sustenten la confirmación o modificación de la prueba de daño;</w:t>
      </w:r>
    </w:p>
    <w:p w14:paraId="20D5806D"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II. Descripción de las partes o secciones reservadas, en caso de clasificación parcial; </w:t>
      </w:r>
    </w:p>
    <w:p w14:paraId="39AC9942"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III. El periodo por el que mantendrá su clasificación y fecha de expiración; y </w:t>
      </w:r>
    </w:p>
    <w:p w14:paraId="2D8053A4"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IV. El nombre del titular y área encargada de realizar la versión pública del documento, en su caso. </w:t>
      </w:r>
    </w:p>
    <w:p w14:paraId="2F158C2D"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En los casos en que se clasifique la información como reservada siempre se entregará o anexará la prueba de daño con la respuesta al solicitante. </w:t>
      </w:r>
    </w:p>
    <w:p w14:paraId="68AF6CC4"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14:paraId="2CEC93EA"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Quincuagésimo segundo.</w:t>
      </w:r>
      <w:r w:rsidRPr="003C3998">
        <w:rPr>
          <w:rFonts w:ascii="Palatino Linotype" w:eastAsia="Palatino Linotype" w:hAnsi="Palatino Linotype" w:cs="Palatino Linotype"/>
          <w:i/>
          <w:sz w:val="22"/>
          <w:szCs w:val="22"/>
        </w:rPr>
        <w:t xml:space="preserve">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0AF34364"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En el caso específico de la clasificación y elaboración de versiones públicas de documentos que contengan información confidencial, las áreas de los sujetos obligados deberán: </w:t>
      </w:r>
    </w:p>
    <w:p w14:paraId="316CFC77"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 Fijar la fecha en que se elaboró la versión pública y la fecha en la cual el Comité de Transparencia confirmó dicha versión;</w:t>
      </w:r>
    </w:p>
    <w:p w14:paraId="3D1E305B"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II. Señalar dentro del documento el tipo de información confidencial que fue testada en cada caso específico, de conformidad con el lineamiento trigésimo octavo; y</w:t>
      </w:r>
    </w:p>
    <w:p w14:paraId="4A31E5B4"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III. Señalar las personas o instancias autorizadas a acceder a la información clasificada.</w:t>
      </w:r>
    </w:p>
    <w:p w14:paraId="774611A4"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En los documentos de difusión electrónica, señalar en la primera hoja y en el nombre del archivo, que la versión pública corresponde a un documento que contiene información confidencial.”</w:t>
      </w:r>
    </w:p>
    <w:p w14:paraId="561FA5F5"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p>
    <w:p w14:paraId="172E78B4"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 xml:space="preserve">De igual forma, deberá observar los Lineamientos Quincuagésimo cuarto, Quincuagésimo quinto, Quincuagésimo séptimo y Quincuagésimo octavo, vigentes a la fecha de la solicitud de información establecen lo siguiente: </w:t>
      </w:r>
    </w:p>
    <w:p w14:paraId="6CD95CEA" w14:textId="77777777" w:rsidR="00CF5939" w:rsidRPr="003C3998" w:rsidRDefault="00CF5939" w:rsidP="00CF5939">
      <w:pPr>
        <w:pBdr>
          <w:top w:val="nil"/>
          <w:left w:val="nil"/>
          <w:bottom w:val="nil"/>
          <w:right w:val="nil"/>
          <w:between w:val="nil"/>
        </w:pBd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r w:rsidRPr="003C3998">
        <w:rPr>
          <w:rFonts w:ascii="Palatino Linotype" w:eastAsia="Palatino Linotype" w:hAnsi="Palatino Linotype" w:cs="Palatino Linotype"/>
          <w:b/>
          <w:i/>
          <w:sz w:val="22"/>
          <w:szCs w:val="22"/>
        </w:rPr>
        <w:t>Quincuagésimo cuarto.</w:t>
      </w:r>
      <w:r w:rsidRPr="003C3998">
        <w:rPr>
          <w:rFonts w:ascii="Palatino Linotype" w:eastAsia="Palatino Linotype" w:hAnsi="Palatino Linotype" w:cs="Palatino Linotype"/>
          <w:i/>
          <w:sz w:val="22"/>
          <w:szCs w:val="22"/>
        </w:rPr>
        <w:t xml:space="preserve"> 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 </w:t>
      </w:r>
    </w:p>
    <w:p w14:paraId="69CE80CE"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Quincuagésimo quinto.</w:t>
      </w:r>
      <w:r w:rsidRPr="003C3998">
        <w:rPr>
          <w:rFonts w:ascii="Palatino Linotype" w:eastAsia="Palatino Linotype" w:hAnsi="Palatino Linotype" w:cs="Palatino Linotype"/>
          <w:i/>
          <w:sz w:val="22"/>
          <w:szCs w:val="22"/>
        </w:rPr>
        <w:t xml:space="preserve"> 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32304C28"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w:t>
      </w:r>
    </w:p>
    <w:p w14:paraId="01E674E6"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b/>
          <w:i/>
          <w:sz w:val="22"/>
          <w:szCs w:val="22"/>
        </w:rPr>
        <w:t>Quincuagésimo séptimo.</w:t>
      </w:r>
      <w:r w:rsidRPr="003C3998">
        <w:rPr>
          <w:rFonts w:ascii="Palatino Linotype" w:eastAsia="Palatino Linotype" w:hAnsi="Palatino Linotype" w:cs="Palatino Linotype"/>
          <w:i/>
          <w:sz w:val="22"/>
          <w:szCs w:val="22"/>
        </w:rPr>
        <w:t xml:space="preserve"> Se considera, en principio, como información pública y no podrá omitirse de las versiones públicas la siguiente: </w:t>
      </w:r>
    </w:p>
    <w:p w14:paraId="011F5148"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I. La relativa a las Obligaciones de Transparencia que contempla el Título V de la Ley General y las demás disposiciones legales aplicables; </w:t>
      </w:r>
    </w:p>
    <w:p w14:paraId="297DF3B4"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II. El nombre de los integrantes de los sujetos obligados en los documentos, y sus firmas autógrafas o digitales, cuando sean utilizados en el ejercicio de las facultades conferidas para el desempeño del servicio público, y</w:t>
      </w:r>
    </w:p>
    <w:p w14:paraId="5FFB01DF"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III. La información que documente decisiones y los actos de autoridad concluidos de los sujetos obligados, así como el ejercicio de las facultades o actividades de los servidores públicos, de manera que se pueda valorar el desempeño de los mismos. </w:t>
      </w:r>
    </w:p>
    <w:p w14:paraId="3B83ABAB"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 xml:space="preserve">Lo anterior, siempre y cuando no se acredite alguna causal de clasificación, prevista en las leyes o en los tratados internacionales suscritas por el Estado mexicano.  </w:t>
      </w:r>
    </w:p>
    <w:p w14:paraId="455D88ED" w14:textId="77777777" w:rsidR="00CF5939" w:rsidRPr="003C3998" w:rsidRDefault="00CF5939" w:rsidP="00CF5939">
      <w:pPr>
        <w:ind w:left="567" w:right="616"/>
        <w:jc w:val="both"/>
        <w:rPr>
          <w:rFonts w:ascii="Palatino Linotype" w:eastAsia="Palatino Linotype" w:hAnsi="Palatino Linotype" w:cs="Palatino Linotype"/>
          <w:i/>
          <w:sz w:val="22"/>
          <w:szCs w:val="22"/>
        </w:rPr>
      </w:pPr>
      <w:r w:rsidRPr="003C3998">
        <w:rPr>
          <w:rFonts w:ascii="Palatino Linotype" w:eastAsia="Palatino Linotype" w:hAnsi="Palatino Linotype" w:cs="Palatino Linotype"/>
          <w:i/>
          <w:sz w:val="22"/>
          <w:szCs w:val="22"/>
        </w:rPr>
        <w:t>Quincuagésimo octavo. Los sujetos obligados garantizarán que los sistemas o medios empleados para eliminar la información en las versiones públicas sean irreversibles, de tal forma que no permitan su recuperación o la visualización de la misma.”</w:t>
      </w:r>
    </w:p>
    <w:p w14:paraId="305AC2B7" w14:textId="77777777" w:rsidR="00CF5939" w:rsidRPr="003C3998" w:rsidRDefault="00CF5939" w:rsidP="00CF5939">
      <w:pPr>
        <w:spacing w:line="360" w:lineRule="auto"/>
        <w:ind w:left="567" w:right="616"/>
        <w:jc w:val="both"/>
        <w:rPr>
          <w:rFonts w:ascii="Palatino Linotype" w:eastAsia="Palatino Linotype" w:hAnsi="Palatino Linotype" w:cs="Palatino Linotype"/>
          <w:i/>
          <w:sz w:val="22"/>
          <w:szCs w:val="22"/>
        </w:rPr>
      </w:pPr>
    </w:p>
    <w:p w14:paraId="24ECBF6C"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Es entonces que, la entrega de documentos en su versión pública debe acompañarse necesariamente del Acuerdo del Comité de Transparencia que la sustente, el cual debe estar debidamente fundado y motivado y, deberá exponer los fundamentos y razonamientos que llevaron al Sujeto Obligado a testar, suprimir o eliminar datos de dicho soporte documental, ya que de no hacerlo,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al solicitante en estado de incertidumbre, al no conocer o comprender por qué no aparecen en la documentación respectiva.</w:t>
      </w:r>
    </w:p>
    <w:p w14:paraId="29785D04"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p>
    <w:p w14:paraId="09952093"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Es entonces que, la entrega de documentos en su versión pública debe acompañarse necesariamente del Acuerdo del Comité de Transparencia que la sustente, el cual debe estar debidamente fundado y motivado y, deberá exponer los fundamentos y razonamientos que llevaron al Sujeto Obligado a testar, suprimir o eliminar datos de dicho soporte documental, ya que de no hacerlo,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al solicitante en estado de incertidumbre, al no conocer o comprender por qué no aparecen en la documentación respectiva.</w:t>
      </w:r>
    </w:p>
    <w:p w14:paraId="390F4AC5"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p>
    <w:p w14:paraId="1AB43738" w14:textId="77777777" w:rsidR="00CF5939" w:rsidRPr="003C3998" w:rsidRDefault="00CF5939" w:rsidP="00CF5939">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sz w:val="22"/>
          <w:szCs w:val="22"/>
        </w:rPr>
        <w:t>Así, con fundamento en lo prescrito en los artículos 5 párrafos cuadragésimo cuarto, cuadragésimo quinto y cuadragésimo sexto, fracciones IV y V de la Constitución Política del Estado Libre y Soberano de México; Transitorio Cuarto, párrafo segundo del Decreto número 198 de la “LXII” Legislatura del Estado de México; 2, fracción II; 29, 36 fracciones I y II; 176, 178, 181, 185 de la Ley de Transparencia y Acceso a la Información Pública del Estado de México y Municipios, este Pleno:</w:t>
      </w:r>
    </w:p>
    <w:p w14:paraId="00DCD390" w14:textId="77777777" w:rsidR="00F9438D" w:rsidRPr="003C3998" w:rsidRDefault="00F9438D" w:rsidP="00CF5939">
      <w:pPr>
        <w:spacing w:line="360" w:lineRule="auto"/>
        <w:rPr>
          <w:rFonts w:ascii="Palatino Linotype" w:eastAsia="Palatino Linotype" w:hAnsi="Palatino Linotype" w:cs="Palatino Linotype"/>
          <w:b/>
          <w:sz w:val="22"/>
          <w:szCs w:val="22"/>
        </w:rPr>
      </w:pPr>
    </w:p>
    <w:p w14:paraId="3F47EA9A" w14:textId="77777777" w:rsidR="00B40AD5" w:rsidRPr="003C3998" w:rsidRDefault="00B40AD5" w:rsidP="007D356E">
      <w:pPr>
        <w:spacing w:line="360" w:lineRule="auto"/>
        <w:jc w:val="center"/>
        <w:rPr>
          <w:rFonts w:ascii="Palatino Linotype" w:eastAsia="Palatino Linotype" w:hAnsi="Palatino Linotype" w:cs="Palatino Linotype"/>
          <w:b/>
          <w:sz w:val="22"/>
          <w:szCs w:val="22"/>
        </w:rPr>
      </w:pPr>
      <w:r w:rsidRPr="003C3998">
        <w:rPr>
          <w:rFonts w:ascii="Palatino Linotype" w:eastAsia="Palatino Linotype" w:hAnsi="Palatino Linotype" w:cs="Palatino Linotype"/>
          <w:b/>
          <w:sz w:val="22"/>
          <w:szCs w:val="22"/>
        </w:rPr>
        <w:t>R E S U E L V E:</w:t>
      </w:r>
    </w:p>
    <w:p w14:paraId="44FFE8F7" w14:textId="77777777" w:rsidR="00B40AD5" w:rsidRPr="003C3998" w:rsidRDefault="00B40AD5" w:rsidP="007D356E">
      <w:pPr>
        <w:spacing w:line="360" w:lineRule="auto"/>
        <w:jc w:val="center"/>
        <w:rPr>
          <w:rFonts w:ascii="Palatino Linotype" w:eastAsia="Palatino Linotype" w:hAnsi="Palatino Linotype" w:cs="Palatino Linotype"/>
          <w:b/>
          <w:sz w:val="22"/>
          <w:szCs w:val="22"/>
        </w:rPr>
      </w:pPr>
    </w:p>
    <w:p w14:paraId="28992F76" w14:textId="37F9680B" w:rsidR="00B40AD5" w:rsidRPr="003C3998" w:rsidRDefault="00B40AD5" w:rsidP="007D356E">
      <w:pPr>
        <w:spacing w:line="360" w:lineRule="auto"/>
        <w:jc w:val="both"/>
        <w:rPr>
          <w:rFonts w:ascii="Palatino Linotype" w:eastAsia="Palatino Linotype" w:hAnsi="Palatino Linotype" w:cs="Palatino Linotype"/>
          <w:b/>
          <w:sz w:val="22"/>
          <w:szCs w:val="22"/>
        </w:rPr>
      </w:pPr>
      <w:r w:rsidRPr="003C3998">
        <w:rPr>
          <w:rFonts w:ascii="Palatino Linotype" w:eastAsia="Palatino Linotype" w:hAnsi="Palatino Linotype" w:cs="Palatino Linotype"/>
          <w:b/>
          <w:sz w:val="22"/>
          <w:szCs w:val="22"/>
        </w:rPr>
        <w:t xml:space="preserve">Primero. </w:t>
      </w:r>
      <w:r w:rsidRPr="003C3998">
        <w:rPr>
          <w:rFonts w:ascii="Palatino Linotype" w:eastAsia="Palatino Linotype" w:hAnsi="Palatino Linotype" w:cs="Palatino Linotype"/>
          <w:sz w:val="22"/>
          <w:szCs w:val="22"/>
        </w:rPr>
        <w:t xml:space="preserve">Resultan </w:t>
      </w:r>
      <w:r w:rsidR="00A91F51" w:rsidRPr="003C3998">
        <w:rPr>
          <w:rFonts w:ascii="Palatino Linotype" w:eastAsia="Palatino Linotype" w:hAnsi="Palatino Linotype" w:cs="Palatino Linotype"/>
          <w:b/>
          <w:bCs/>
          <w:sz w:val="22"/>
          <w:szCs w:val="22"/>
        </w:rPr>
        <w:t>parcialmente</w:t>
      </w:r>
      <w:r w:rsidR="00A91F51" w:rsidRPr="003C3998">
        <w:rPr>
          <w:rFonts w:ascii="Palatino Linotype" w:eastAsia="Palatino Linotype" w:hAnsi="Palatino Linotype" w:cs="Palatino Linotype"/>
          <w:sz w:val="22"/>
          <w:szCs w:val="22"/>
        </w:rPr>
        <w:t xml:space="preserve"> </w:t>
      </w:r>
      <w:r w:rsidRPr="003C3998">
        <w:rPr>
          <w:rFonts w:ascii="Palatino Linotype" w:eastAsia="Palatino Linotype" w:hAnsi="Palatino Linotype" w:cs="Palatino Linotype"/>
          <w:b/>
          <w:sz w:val="22"/>
          <w:szCs w:val="22"/>
        </w:rPr>
        <w:t>fundadas</w:t>
      </w:r>
      <w:r w:rsidRPr="003C3998">
        <w:rPr>
          <w:rFonts w:ascii="Palatino Linotype" w:eastAsia="Palatino Linotype" w:hAnsi="Palatino Linotype" w:cs="Palatino Linotype"/>
          <w:sz w:val="22"/>
          <w:szCs w:val="22"/>
        </w:rPr>
        <w:t xml:space="preserve"> las razones o motivos de inconformidad hechos valer por la parte</w:t>
      </w:r>
      <w:r w:rsidRPr="003C3998">
        <w:rPr>
          <w:rFonts w:ascii="Palatino Linotype" w:eastAsia="Palatino Linotype" w:hAnsi="Palatino Linotype" w:cs="Palatino Linotype"/>
          <w:b/>
          <w:sz w:val="22"/>
          <w:szCs w:val="22"/>
        </w:rPr>
        <w:t xml:space="preserve"> Recurrente</w:t>
      </w:r>
      <w:r w:rsidRPr="003C3998">
        <w:rPr>
          <w:rFonts w:ascii="Palatino Linotype" w:eastAsia="Palatino Linotype" w:hAnsi="Palatino Linotype" w:cs="Palatino Linotype"/>
          <w:sz w:val="22"/>
          <w:szCs w:val="22"/>
        </w:rPr>
        <w:t xml:space="preserve"> en el recurso de revisión </w:t>
      </w:r>
      <w:r w:rsidR="00A42FA2" w:rsidRPr="003C3998">
        <w:rPr>
          <w:rFonts w:ascii="Palatino Linotype" w:eastAsia="Palatino Linotype" w:hAnsi="Palatino Linotype" w:cs="Palatino Linotype"/>
          <w:b/>
          <w:sz w:val="22"/>
          <w:szCs w:val="22"/>
        </w:rPr>
        <w:t>07494/INFOEM/IP/RR/2026</w:t>
      </w:r>
      <w:r w:rsidRPr="003C3998">
        <w:rPr>
          <w:rFonts w:ascii="Palatino Linotype" w:eastAsia="Palatino Linotype" w:hAnsi="Palatino Linotype" w:cs="Palatino Linotype"/>
          <w:sz w:val="22"/>
          <w:szCs w:val="22"/>
        </w:rPr>
        <w:t xml:space="preserve">; por lo que, en términos del </w:t>
      </w:r>
      <w:r w:rsidRPr="003C3998">
        <w:rPr>
          <w:rFonts w:ascii="Palatino Linotype" w:eastAsia="Palatino Linotype" w:hAnsi="Palatino Linotype" w:cs="Palatino Linotype"/>
          <w:b/>
          <w:sz w:val="22"/>
          <w:szCs w:val="22"/>
        </w:rPr>
        <w:t>Considerando</w:t>
      </w:r>
      <w:r w:rsidRPr="003C3998">
        <w:rPr>
          <w:rFonts w:ascii="Palatino Linotype" w:eastAsia="Palatino Linotype" w:hAnsi="Palatino Linotype" w:cs="Palatino Linotype"/>
          <w:sz w:val="22"/>
          <w:szCs w:val="22"/>
        </w:rPr>
        <w:t xml:space="preserve"> </w:t>
      </w:r>
      <w:r w:rsidRPr="003C3998">
        <w:rPr>
          <w:rFonts w:ascii="Palatino Linotype" w:eastAsia="Palatino Linotype" w:hAnsi="Palatino Linotype" w:cs="Palatino Linotype"/>
          <w:b/>
          <w:sz w:val="22"/>
          <w:szCs w:val="22"/>
        </w:rPr>
        <w:t xml:space="preserve">Cuarto </w:t>
      </w:r>
      <w:r w:rsidRPr="003C3998">
        <w:rPr>
          <w:rFonts w:ascii="Palatino Linotype" w:eastAsia="Palatino Linotype" w:hAnsi="Palatino Linotype" w:cs="Palatino Linotype"/>
          <w:sz w:val="22"/>
          <w:szCs w:val="22"/>
        </w:rPr>
        <w:t xml:space="preserve">de esta resolución, se </w:t>
      </w:r>
      <w:r w:rsidR="0018213A" w:rsidRPr="003C3998">
        <w:rPr>
          <w:rFonts w:ascii="Palatino Linotype" w:eastAsia="Palatino Linotype" w:hAnsi="Palatino Linotype" w:cs="Palatino Linotype"/>
          <w:b/>
          <w:bCs/>
          <w:sz w:val="22"/>
          <w:szCs w:val="22"/>
        </w:rPr>
        <w:t>Modifica</w:t>
      </w:r>
      <w:r w:rsidRPr="003C3998">
        <w:rPr>
          <w:rFonts w:ascii="Palatino Linotype" w:eastAsia="Palatino Linotype" w:hAnsi="Palatino Linotype" w:cs="Palatino Linotype"/>
          <w:b/>
          <w:sz w:val="22"/>
          <w:szCs w:val="22"/>
        </w:rPr>
        <w:t xml:space="preserve"> </w:t>
      </w:r>
      <w:r w:rsidRPr="003C3998">
        <w:rPr>
          <w:rFonts w:ascii="Palatino Linotype" w:eastAsia="Palatino Linotype" w:hAnsi="Palatino Linotype" w:cs="Palatino Linotype"/>
          <w:sz w:val="22"/>
          <w:szCs w:val="22"/>
        </w:rPr>
        <w:t xml:space="preserve">la respuesta emitida por el </w:t>
      </w:r>
      <w:r w:rsidRPr="003C3998">
        <w:rPr>
          <w:rFonts w:ascii="Palatino Linotype" w:eastAsia="Palatino Linotype" w:hAnsi="Palatino Linotype" w:cs="Palatino Linotype"/>
          <w:b/>
          <w:sz w:val="22"/>
          <w:szCs w:val="22"/>
        </w:rPr>
        <w:t>Sujeto Obligado.</w:t>
      </w:r>
    </w:p>
    <w:p w14:paraId="17BE92A5" w14:textId="77777777" w:rsidR="00B40AD5" w:rsidRPr="003C3998" w:rsidRDefault="00B40AD5" w:rsidP="007D356E">
      <w:pPr>
        <w:spacing w:line="360" w:lineRule="auto"/>
        <w:jc w:val="both"/>
        <w:rPr>
          <w:rFonts w:ascii="Palatino Linotype" w:eastAsia="Palatino Linotype" w:hAnsi="Palatino Linotype" w:cs="Palatino Linotype"/>
          <w:sz w:val="22"/>
          <w:szCs w:val="22"/>
        </w:rPr>
      </w:pPr>
    </w:p>
    <w:p w14:paraId="050C7014" w14:textId="7B18D6DE" w:rsidR="00B40AD5" w:rsidRPr="003C3998" w:rsidRDefault="00B40AD5" w:rsidP="007D356E">
      <w:pPr>
        <w:spacing w:line="360" w:lineRule="auto"/>
        <w:jc w:val="both"/>
        <w:rPr>
          <w:rFonts w:ascii="Palatino Linotype" w:eastAsia="Palatino Linotype" w:hAnsi="Palatino Linotype" w:cs="Palatino Linotype"/>
          <w:sz w:val="22"/>
          <w:szCs w:val="22"/>
        </w:rPr>
      </w:pPr>
      <w:bookmarkStart w:id="8" w:name="_heading=h.1fob9te" w:colFirst="0" w:colLast="0"/>
      <w:bookmarkEnd w:id="8"/>
      <w:r w:rsidRPr="003C3998">
        <w:rPr>
          <w:rFonts w:ascii="Palatino Linotype" w:eastAsia="Palatino Linotype" w:hAnsi="Palatino Linotype" w:cs="Palatino Linotype"/>
          <w:b/>
          <w:sz w:val="22"/>
          <w:szCs w:val="22"/>
        </w:rPr>
        <w:t xml:space="preserve">Segundo. </w:t>
      </w:r>
      <w:r w:rsidRPr="003C3998">
        <w:rPr>
          <w:rFonts w:ascii="Palatino Linotype" w:eastAsia="Palatino Linotype" w:hAnsi="Palatino Linotype" w:cs="Palatino Linotype"/>
          <w:sz w:val="22"/>
          <w:szCs w:val="22"/>
        </w:rPr>
        <w:t xml:space="preserve">Se </w:t>
      </w:r>
      <w:r w:rsidRPr="003C3998">
        <w:rPr>
          <w:rFonts w:ascii="Palatino Linotype" w:eastAsia="Palatino Linotype" w:hAnsi="Palatino Linotype" w:cs="Palatino Linotype"/>
          <w:b/>
          <w:sz w:val="22"/>
          <w:szCs w:val="22"/>
        </w:rPr>
        <w:t xml:space="preserve">ordena </w:t>
      </w:r>
      <w:r w:rsidRPr="003C3998">
        <w:rPr>
          <w:rFonts w:ascii="Palatino Linotype" w:eastAsia="Palatino Linotype" w:hAnsi="Palatino Linotype" w:cs="Palatino Linotype"/>
          <w:sz w:val="22"/>
          <w:szCs w:val="22"/>
        </w:rPr>
        <w:t xml:space="preserve">al </w:t>
      </w:r>
      <w:r w:rsidRPr="003C3998">
        <w:rPr>
          <w:rFonts w:ascii="Palatino Linotype" w:eastAsia="Palatino Linotype" w:hAnsi="Palatino Linotype" w:cs="Palatino Linotype"/>
          <w:b/>
          <w:sz w:val="22"/>
          <w:szCs w:val="22"/>
        </w:rPr>
        <w:t>Sujeto Obligado</w:t>
      </w:r>
      <w:r w:rsidRPr="003C3998">
        <w:rPr>
          <w:rFonts w:ascii="Palatino Linotype" w:eastAsia="Palatino Linotype" w:hAnsi="Palatino Linotype" w:cs="Palatino Linotype"/>
          <w:sz w:val="22"/>
          <w:szCs w:val="22"/>
        </w:rPr>
        <w:t xml:space="preserve"> entregue a</w:t>
      </w:r>
      <w:r w:rsidRPr="003C3998">
        <w:rPr>
          <w:rFonts w:ascii="Palatino Linotype" w:eastAsia="Palatino Linotype" w:hAnsi="Palatino Linotype" w:cs="Palatino Linotype"/>
          <w:b/>
          <w:sz w:val="22"/>
          <w:szCs w:val="22"/>
        </w:rPr>
        <w:t xml:space="preserve"> </w:t>
      </w:r>
      <w:r w:rsidRPr="003C3998">
        <w:rPr>
          <w:rFonts w:ascii="Palatino Linotype" w:eastAsia="Palatino Linotype" w:hAnsi="Palatino Linotype" w:cs="Palatino Linotype"/>
          <w:sz w:val="22"/>
          <w:szCs w:val="22"/>
        </w:rPr>
        <w:t xml:space="preserve">la parte </w:t>
      </w:r>
      <w:r w:rsidRPr="003C3998">
        <w:rPr>
          <w:rFonts w:ascii="Palatino Linotype" w:eastAsia="Palatino Linotype" w:hAnsi="Palatino Linotype" w:cs="Palatino Linotype"/>
          <w:b/>
          <w:sz w:val="22"/>
          <w:szCs w:val="22"/>
        </w:rPr>
        <w:t>Recurrente</w:t>
      </w:r>
      <w:r w:rsidRPr="003C3998">
        <w:rPr>
          <w:rFonts w:ascii="Palatino Linotype" w:eastAsia="Palatino Linotype" w:hAnsi="Palatino Linotype" w:cs="Palatino Linotype"/>
          <w:sz w:val="22"/>
          <w:szCs w:val="22"/>
        </w:rPr>
        <w:t>, vía</w:t>
      </w:r>
      <w:r w:rsidRPr="003C3998">
        <w:rPr>
          <w:rFonts w:ascii="Palatino Linotype" w:eastAsia="Palatino Linotype" w:hAnsi="Palatino Linotype" w:cs="Palatino Linotype"/>
          <w:b/>
          <w:sz w:val="22"/>
          <w:szCs w:val="22"/>
        </w:rPr>
        <w:t xml:space="preserve"> SAIMEX, </w:t>
      </w:r>
      <w:r w:rsidRPr="003C3998">
        <w:rPr>
          <w:rFonts w:ascii="Palatino Linotype" w:eastAsia="Palatino Linotype" w:hAnsi="Palatino Linotype" w:cs="Palatino Linotype"/>
          <w:sz w:val="22"/>
          <w:szCs w:val="22"/>
        </w:rPr>
        <w:t>en términos de</w:t>
      </w:r>
      <w:r w:rsidRPr="003C3998">
        <w:rPr>
          <w:rFonts w:ascii="Palatino Linotype" w:eastAsia="Palatino Linotype" w:hAnsi="Palatino Linotype" w:cs="Palatino Linotype"/>
          <w:b/>
          <w:sz w:val="22"/>
          <w:szCs w:val="22"/>
        </w:rPr>
        <w:t>l Considerando</w:t>
      </w:r>
      <w:r w:rsidRPr="003C3998">
        <w:rPr>
          <w:rFonts w:ascii="Palatino Linotype" w:eastAsia="Palatino Linotype" w:hAnsi="Palatino Linotype" w:cs="Palatino Linotype"/>
          <w:sz w:val="22"/>
          <w:szCs w:val="22"/>
        </w:rPr>
        <w:t xml:space="preserve"> </w:t>
      </w:r>
      <w:r w:rsidRPr="003C3998">
        <w:rPr>
          <w:rFonts w:ascii="Palatino Linotype" w:eastAsia="Palatino Linotype" w:hAnsi="Palatino Linotype" w:cs="Palatino Linotype"/>
          <w:b/>
          <w:sz w:val="22"/>
          <w:szCs w:val="22"/>
        </w:rPr>
        <w:t>Cuarto</w:t>
      </w:r>
      <w:r w:rsidR="00357533" w:rsidRPr="003C3998">
        <w:rPr>
          <w:rFonts w:ascii="Palatino Linotype" w:eastAsia="Palatino Linotype" w:hAnsi="Palatino Linotype" w:cs="Palatino Linotype"/>
          <w:b/>
          <w:sz w:val="22"/>
          <w:szCs w:val="22"/>
        </w:rPr>
        <w:t xml:space="preserve"> y Quinto</w:t>
      </w:r>
      <w:r w:rsidRPr="003C3998">
        <w:rPr>
          <w:rFonts w:ascii="Palatino Linotype" w:eastAsia="Palatino Linotype" w:hAnsi="Palatino Linotype" w:cs="Palatino Linotype"/>
          <w:sz w:val="22"/>
          <w:szCs w:val="22"/>
        </w:rPr>
        <w:t xml:space="preserve">, </w:t>
      </w:r>
      <w:r w:rsidR="0018213A" w:rsidRPr="003C3998">
        <w:rPr>
          <w:rFonts w:ascii="Palatino Linotype" w:eastAsia="Palatino Linotype" w:hAnsi="Palatino Linotype" w:cs="Palatino Linotype"/>
          <w:sz w:val="22"/>
          <w:szCs w:val="22"/>
        </w:rPr>
        <w:t xml:space="preserve">de ser el caso </w:t>
      </w:r>
      <w:r w:rsidR="00053540" w:rsidRPr="003C3998">
        <w:rPr>
          <w:rFonts w:ascii="Palatino Linotype" w:eastAsia="Palatino Linotype" w:hAnsi="Palatino Linotype" w:cs="Palatino Linotype"/>
          <w:sz w:val="22"/>
          <w:szCs w:val="22"/>
        </w:rPr>
        <w:t xml:space="preserve">en versión pública, </w:t>
      </w:r>
      <w:r w:rsidR="00A91F51" w:rsidRPr="003C3998">
        <w:rPr>
          <w:rFonts w:ascii="Palatino Linotype" w:eastAsia="Palatino Linotype" w:hAnsi="Palatino Linotype" w:cs="Palatino Linotype"/>
          <w:sz w:val="22"/>
          <w:szCs w:val="22"/>
        </w:rPr>
        <w:t>l</w:t>
      </w:r>
      <w:r w:rsidR="0018213A" w:rsidRPr="003C3998">
        <w:rPr>
          <w:rFonts w:ascii="Palatino Linotype" w:eastAsia="Palatino Linotype" w:hAnsi="Palatino Linotype" w:cs="Palatino Linotype"/>
          <w:sz w:val="22"/>
          <w:szCs w:val="22"/>
        </w:rPr>
        <w:t>a</w:t>
      </w:r>
      <w:r w:rsidR="00A91F51" w:rsidRPr="003C3998">
        <w:rPr>
          <w:rFonts w:ascii="Palatino Linotype" w:eastAsia="Palatino Linotype" w:hAnsi="Palatino Linotype" w:cs="Palatino Linotype"/>
          <w:sz w:val="22"/>
          <w:szCs w:val="22"/>
        </w:rPr>
        <w:t xml:space="preserve"> siguiente información</w:t>
      </w:r>
      <w:r w:rsidRPr="003C3998">
        <w:rPr>
          <w:rFonts w:ascii="Palatino Linotype" w:eastAsia="Palatino Linotype" w:hAnsi="Palatino Linotype" w:cs="Palatino Linotype"/>
          <w:sz w:val="22"/>
          <w:szCs w:val="22"/>
        </w:rPr>
        <w:t>:</w:t>
      </w:r>
    </w:p>
    <w:p w14:paraId="58B7168F" w14:textId="77777777" w:rsidR="007952DA" w:rsidRPr="003C3998" w:rsidRDefault="007952DA" w:rsidP="007D356E">
      <w:pPr>
        <w:spacing w:line="360" w:lineRule="auto"/>
        <w:jc w:val="both"/>
        <w:rPr>
          <w:rFonts w:ascii="Palatino Linotype" w:eastAsia="Palatino Linotype" w:hAnsi="Palatino Linotype" w:cs="Palatino Linotype"/>
          <w:sz w:val="22"/>
          <w:szCs w:val="22"/>
        </w:rPr>
      </w:pPr>
    </w:p>
    <w:p w14:paraId="16D5D726" w14:textId="4BD2F86D" w:rsidR="00760178" w:rsidRPr="003C3998" w:rsidRDefault="0018213A" w:rsidP="00CF5939">
      <w:pPr>
        <w:pStyle w:val="Prrafodelista"/>
        <w:numPr>
          <w:ilvl w:val="0"/>
          <w:numId w:val="18"/>
        </w:numPr>
        <w:spacing w:line="360" w:lineRule="auto"/>
        <w:ind w:right="49"/>
        <w:jc w:val="both"/>
        <w:rPr>
          <w:rFonts w:ascii="Palatino Linotype" w:eastAsia="Palatino Linotype" w:hAnsi="Palatino Linotype" w:cs="Palatino Linotype"/>
          <w:b/>
          <w:bCs/>
          <w:sz w:val="22"/>
          <w:szCs w:val="22"/>
        </w:rPr>
      </w:pPr>
      <w:r w:rsidRPr="003C3998">
        <w:rPr>
          <w:rFonts w:ascii="Palatino Linotype" w:eastAsia="Palatino Linotype" w:hAnsi="Palatino Linotype" w:cs="Palatino Linotype"/>
          <w:b/>
          <w:bCs/>
          <w:sz w:val="22"/>
          <w:szCs w:val="22"/>
        </w:rPr>
        <w:t>Documento donde conste la capacidad del número de pasajeros del Padrón de Unidades Vehiculares remitido en respuesta.</w:t>
      </w:r>
    </w:p>
    <w:p w14:paraId="1D6323C8" w14:textId="77777777" w:rsidR="008E6B63" w:rsidRPr="003C3998" w:rsidRDefault="008E6B63" w:rsidP="008E6B63">
      <w:pPr>
        <w:spacing w:line="360" w:lineRule="auto"/>
        <w:ind w:left="66"/>
        <w:jc w:val="both"/>
        <w:rPr>
          <w:rFonts w:ascii="Palatino Linotype" w:eastAsia="Palatino Linotype" w:hAnsi="Palatino Linotype" w:cs="Palatino Linotype"/>
          <w:b/>
          <w:sz w:val="22"/>
          <w:szCs w:val="22"/>
        </w:rPr>
      </w:pPr>
    </w:p>
    <w:p w14:paraId="4FD9A0F5" w14:textId="77777777" w:rsidR="008E6B63" w:rsidRPr="003C3998" w:rsidRDefault="008E6B63" w:rsidP="008E6B63">
      <w:pPr>
        <w:spacing w:before="120" w:after="120"/>
        <w:ind w:left="284"/>
        <w:jc w:val="both"/>
        <w:rPr>
          <w:rFonts w:ascii="Palatino Linotype" w:eastAsia="Palatino Linotype" w:hAnsi="Palatino Linotype" w:cs="Palatino Linotype"/>
          <w:i/>
          <w:iCs/>
          <w:sz w:val="22"/>
          <w:szCs w:val="22"/>
        </w:rPr>
      </w:pPr>
      <w:r w:rsidRPr="003C3998">
        <w:rPr>
          <w:rFonts w:ascii="Palatino Linotype" w:eastAsia="Palatino Linotype" w:hAnsi="Palatino Linotype" w:cs="Palatino Linotype"/>
          <w:i/>
          <w:iCs/>
          <w:sz w:val="22"/>
          <w:szCs w:val="22"/>
        </w:rPr>
        <w:t xml:space="preserve">Para la entrega de información en versión pública, se deberá emitir el Acuerdo del Comité de Transparencia de acuerdo con la Ley de Transparencia y Acceso a la Información Pública del Estado de México y Municipios, en el que funde y motive las razones sobre los datos que se supriman </w:t>
      </w:r>
      <w:r w:rsidRPr="003C3998">
        <w:rPr>
          <w:rFonts w:ascii="Palatino Linotype" w:eastAsia="Palatino Linotype" w:hAnsi="Palatino Linotype" w:cs="Palatino Linotype"/>
          <w:i/>
          <w:sz w:val="22"/>
          <w:szCs w:val="22"/>
        </w:rPr>
        <w:t>o eliminen en el soporte documental que se ordena,</w:t>
      </w:r>
      <w:r w:rsidRPr="003C3998">
        <w:rPr>
          <w:rFonts w:ascii="Palatino Linotype" w:eastAsia="Palatino Linotype" w:hAnsi="Palatino Linotype" w:cs="Palatino Linotype"/>
          <w:i/>
          <w:iCs/>
          <w:sz w:val="22"/>
          <w:szCs w:val="22"/>
        </w:rPr>
        <w:t xml:space="preserve"> mismo que también hará de conocimiento de la parte </w:t>
      </w:r>
      <w:r w:rsidRPr="003C3998">
        <w:rPr>
          <w:rFonts w:ascii="Palatino Linotype" w:eastAsia="Palatino Linotype" w:hAnsi="Palatino Linotype" w:cs="Palatino Linotype"/>
          <w:b/>
          <w:i/>
          <w:iCs/>
          <w:sz w:val="22"/>
          <w:szCs w:val="22"/>
        </w:rPr>
        <w:t>Recurrente</w:t>
      </w:r>
      <w:r w:rsidRPr="003C3998">
        <w:rPr>
          <w:rFonts w:ascii="Palatino Linotype" w:eastAsia="Palatino Linotype" w:hAnsi="Palatino Linotype" w:cs="Palatino Linotype"/>
          <w:i/>
          <w:iCs/>
          <w:sz w:val="22"/>
          <w:szCs w:val="22"/>
        </w:rPr>
        <w:t>.</w:t>
      </w:r>
    </w:p>
    <w:p w14:paraId="6E5B55FC" w14:textId="77777777" w:rsidR="003C0FF5" w:rsidRPr="003C3998" w:rsidRDefault="003C0FF5" w:rsidP="00F9438D">
      <w:pPr>
        <w:pStyle w:val="Listaconvietas3"/>
        <w:numPr>
          <w:ilvl w:val="0"/>
          <w:numId w:val="0"/>
        </w:numPr>
        <w:spacing w:line="276" w:lineRule="auto"/>
        <w:ind w:right="616"/>
        <w:jc w:val="both"/>
        <w:rPr>
          <w:rFonts w:ascii="Palatino Linotype" w:eastAsia="Palatino Linotype" w:hAnsi="Palatino Linotype" w:cs="Palatino Linotype"/>
          <w:b/>
          <w:i/>
          <w:sz w:val="22"/>
          <w:szCs w:val="22"/>
        </w:rPr>
      </w:pPr>
    </w:p>
    <w:p w14:paraId="5843E657" w14:textId="77777777" w:rsidR="00B40AD5" w:rsidRPr="003C3998" w:rsidRDefault="00B40AD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 xml:space="preserve">Tercero. Notifíquese </w:t>
      </w:r>
      <w:r w:rsidRPr="003C3998">
        <w:rPr>
          <w:rFonts w:ascii="Palatino Linotype" w:eastAsia="Palatino Linotype" w:hAnsi="Palatino Linotype" w:cs="Palatino Linotype"/>
          <w:sz w:val="22"/>
          <w:szCs w:val="22"/>
        </w:rPr>
        <w:t>vía</w:t>
      </w:r>
      <w:r w:rsidRPr="003C3998">
        <w:rPr>
          <w:rFonts w:ascii="Palatino Linotype" w:eastAsia="Palatino Linotype" w:hAnsi="Palatino Linotype" w:cs="Palatino Linotype"/>
          <w:b/>
          <w:sz w:val="22"/>
          <w:szCs w:val="22"/>
        </w:rPr>
        <w:t xml:space="preserve"> SAIMEX, </w:t>
      </w:r>
      <w:r w:rsidRPr="003C3998">
        <w:rPr>
          <w:rFonts w:ascii="Palatino Linotype" w:eastAsia="Palatino Linotype" w:hAnsi="Palatino Linotype" w:cs="Palatino Linotype"/>
          <w:sz w:val="22"/>
          <w:szCs w:val="22"/>
        </w:rPr>
        <w:t>la presente resolución al Titular de la Unidad de Transparencia del Sujeto Obligado,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3FE86C20" w14:textId="77777777" w:rsidR="00B40AD5" w:rsidRPr="003C3998" w:rsidRDefault="00B40AD5" w:rsidP="007D356E">
      <w:pPr>
        <w:spacing w:line="360" w:lineRule="auto"/>
        <w:jc w:val="both"/>
        <w:rPr>
          <w:rFonts w:ascii="Palatino Linotype" w:eastAsia="Palatino Linotype" w:hAnsi="Palatino Linotype" w:cs="Palatino Linotype"/>
          <w:sz w:val="22"/>
          <w:szCs w:val="22"/>
        </w:rPr>
      </w:pPr>
    </w:p>
    <w:p w14:paraId="5288DD44" w14:textId="77777777" w:rsidR="00B40AD5" w:rsidRPr="003C3998" w:rsidRDefault="00B40AD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 xml:space="preserve">Cuarto. </w:t>
      </w:r>
      <w:r w:rsidRPr="003C3998">
        <w:rPr>
          <w:rFonts w:ascii="Palatino Linotype" w:eastAsia="Palatino Linotype" w:hAnsi="Palatino Linotype" w:cs="Palatino Linotype"/>
          <w:sz w:val="22"/>
          <w:szCs w:val="22"/>
        </w:rPr>
        <w:t xml:space="preserve">Notifíquese vía </w:t>
      </w:r>
      <w:r w:rsidRPr="003C3998">
        <w:rPr>
          <w:rFonts w:ascii="Palatino Linotype" w:eastAsia="Palatino Linotype" w:hAnsi="Palatino Linotype" w:cs="Palatino Linotype"/>
          <w:b/>
          <w:sz w:val="22"/>
          <w:szCs w:val="22"/>
        </w:rPr>
        <w:t>SAIMEX</w:t>
      </w:r>
      <w:r w:rsidRPr="003C3998">
        <w:rPr>
          <w:rFonts w:ascii="Palatino Linotype" w:eastAsia="Palatino Linotype" w:hAnsi="Palatino Linotype" w:cs="Palatino Linotype"/>
          <w:sz w:val="22"/>
          <w:szCs w:val="22"/>
        </w:rPr>
        <w:t xml:space="preserve">, al Titular de la Unidad de Transparencia del </w:t>
      </w:r>
      <w:r w:rsidRPr="003C3998">
        <w:rPr>
          <w:rFonts w:ascii="Palatino Linotype" w:eastAsia="Palatino Linotype" w:hAnsi="Palatino Linotype" w:cs="Palatino Linotype"/>
          <w:b/>
          <w:sz w:val="22"/>
          <w:szCs w:val="22"/>
        </w:rPr>
        <w:t>Sujeto Obligado</w:t>
      </w:r>
      <w:r w:rsidRPr="003C3998">
        <w:rPr>
          <w:rFonts w:ascii="Palatino Linotype" w:eastAsia="Palatino Linotype" w:hAnsi="Palatino Linotype" w:cs="Palatino Linotype"/>
          <w:sz w:val="22"/>
          <w:szCs w:val="22"/>
        </w:rPr>
        <w:t>,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14:paraId="679D6B24" w14:textId="77777777" w:rsidR="00B40AD5" w:rsidRPr="003C3998" w:rsidRDefault="00B40AD5" w:rsidP="007D356E">
      <w:pPr>
        <w:spacing w:line="360" w:lineRule="auto"/>
        <w:jc w:val="both"/>
        <w:rPr>
          <w:rFonts w:ascii="Palatino Linotype" w:eastAsia="Palatino Linotype" w:hAnsi="Palatino Linotype" w:cs="Palatino Linotype"/>
          <w:sz w:val="22"/>
          <w:szCs w:val="22"/>
        </w:rPr>
      </w:pPr>
    </w:p>
    <w:p w14:paraId="1D24446F" w14:textId="77777777" w:rsidR="00B40AD5" w:rsidRPr="003C3998" w:rsidRDefault="00B40AD5" w:rsidP="007D356E">
      <w:pPr>
        <w:spacing w:line="360" w:lineRule="auto"/>
        <w:jc w:val="both"/>
        <w:rPr>
          <w:rFonts w:ascii="Palatino Linotype" w:eastAsia="Palatino Linotype" w:hAnsi="Palatino Linotype" w:cs="Palatino Linotype"/>
          <w:sz w:val="22"/>
          <w:szCs w:val="22"/>
        </w:rPr>
      </w:pPr>
      <w:r w:rsidRPr="003C3998">
        <w:rPr>
          <w:rFonts w:ascii="Palatino Linotype" w:eastAsia="Palatino Linotype" w:hAnsi="Palatino Linotype" w:cs="Palatino Linotype"/>
          <w:b/>
          <w:sz w:val="22"/>
          <w:szCs w:val="22"/>
        </w:rPr>
        <w:t xml:space="preserve">Quinto. Notifíquese, </w:t>
      </w:r>
      <w:r w:rsidRPr="003C3998">
        <w:rPr>
          <w:rFonts w:ascii="Palatino Linotype" w:eastAsia="Palatino Linotype" w:hAnsi="Palatino Linotype" w:cs="Palatino Linotype"/>
          <w:sz w:val="22"/>
          <w:szCs w:val="22"/>
        </w:rPr>
        <w:t xml:space="preserve">vía </w:t>
      </w:r>
      <w:r w:rsidRPr="003C3998">
        <w:rPr>
          <w:rFonts w:ascii="Palatino Linotype" w:eastAsia="Palatino Linotype" w:hAnsi="Palatino Linotype" w:cs="Palatino Linotype"/>
          <w:b/>
          <w:sz w:val="22"/>
          <w:szCs w:val="22"/>
        </w:rPr>
        <w:t>SAIMEX</w:t>
      </w:r>
      <w:r w:rsidRPr="003C3998">
        <w:rPr>
          <w:rFonts w:ascii="Palatino Linotype" w:eastAsia="Palatino Linotype" w:hAnsi="Palatino Linotype" w:cs="Palatino Linotype"/>
          <w:sz w:val="22"/>
          <w:szCs w:val="22"/>
        </w:rPr>
        <w:t>, a la parte</w:t>
      </w:r>
      <w:r w:rsidRPr="003C3998">
        <w:rPr>
          <w:rFonts w:ascii="Palatino Linotype" w:eastAsia="Palatino Linotype" w:hAnsi="Palatino Linotype" w:cs="Palatino Linotype"/>
          <w:b/>
          <w:sz w:val="22"/>
          <w:szCs w:val="22"/>
        </w:rPr>
        <w:t xml:space="preserve"> Recurrente</w:t>
      </w:r>
      <w:r w:rsidRPr="003C3998">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53C15945" w14:textId="77777777" w:rsidR="001E32D7" w:rsidRPr="003C3998" w:rsidRDefault="001E32D7" w:rsidP="007D356E">
      <w:pPr>
        <w:spacing w:line="360" w:lineRule="auto"/>
        <w:jc w:val="both"/>
        <w:rPr>
          <w:rFonts w:ascii="Palatino Linotype" w:eastAsia="Palatino Linotype" w:hAnsi="Palatino Linotype" w:cs="Palatino Linotype"/>
          <w:sz w:val="22"/>
          <w:szCs w:val="22"/>
        </w:rPr>
      </w:pPr>
    </w:p>
    <w:p w14:paraId="5C7AAE7B" w14:textId="21A4474D" w:rsidR="00D10152" w:rsidRPr="00796140" w:rsidRDefault="00785AE5" w:rsidP="007D356E">
      <w:pPr>
        <w:tabs>
          <w:tab w:val="left" w:pos="8647"/>
        </w:tabs>
        <w:spacing w:line="360" w:lineRule="auto"/>
        <w:ind w:right="51"/>
        <w:jc w:val="both"/>
        <w:rPr>
          <w:rFonts w:ascii="Palatino Linotype" w:eastAsia="Palatino Linotype" w:hAnsi="Palatino Linotype" w:cs="Palatino Linotype"/>
          <w:sz w:val="22"/>
          <w:szCs w:val="22"/>
        </w:rPr>
      </w:pPr>
      <w:bookmarkStart w:id="9" w:name="_heading=h.lnxbz9" w:colFirst="0" w:colLast="0"/>
      <w:bookmarkEnd w:id="9"/>
      <w:r w:rsidRPr="003C3998">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Y GUADALUPE RAMÍREZ PEÑA, EN LA </w:t>
      </w:r>
      <w:r w:rsidR="005905EE" w:rsidRPr="003C3998">
        <w:rPr>
          <w:rFonts w:ascii="Palatino Linotype" w:eastAsia="Palatino Linotype" w:hAnsi="Palatino Linotype" w:cs="Palatino Linotype"/>
          <w:sz w:val="22"/>
          <w:szCs w:val="22"/>
        </w:rPr>
        <w:t xml:space="preserve">TRIGÉSIMA </w:t>
      </w:r>
      <w:r w:rsidR="00CD1249" w:rsidRPr="003C3998">
        <w:rPr>
          <w:rFonts w:ascii="Palatino Linotype" w:eastAsia="Palatino Linotype" w:hAnsi="Palatino Linotype" w:cs="Palatino Linotype"/>
          <w:sz w:val="22"/>
          <w:szCs w:val="22"/>
        </w:rPr>
        <w:t>CUARTA</w:t>
      </w:r>
      <w:r w:rsidR="00B66EB9" w:rsidRPr="003C3998">
        <w:rPr>
          <w:rFonts w:ascii="Palatino Linotype" w:eastAsia="Palatino Linotype" w:hAnsi="Palatino Linotype" w:cs="Palatino Linotype"/>
          <w:sz w:val="22"/>
          <w:szCs w:val="22"/>
        </w:rPr>
        <w:t xml:space="preserve"> </w:t>
      </w:r>
      <w:r w:rsidRPr="003C3998">
        <w:rPr>
          <w:rFonts w:ascii="Palatino Linotype" w:eastAsia="Palatino Linotype" w:hAnsi="Palatino Linotype" w:cs="Palatino Linotype"/>
          <w:sz w:val="22"/>
          <w:szCs w:val="22"/>
        </w:rPr>
        <w:t xml:space="preserve">SESIÓN ORDINARIA CELEBRADA EL </w:t>
      </w:r>
      <w:r w:rsidR="00CD1249" w:rsidRPr="003C3998">
        <w:rPr>
          <w:rFonts w:ascii="Palatino Linotype" w:eastAsia="Palatino Linotype" w:hAnsi="Palatino Linotype" w:cs="Palatino Linotype"/>
          <w:sz w:val="22"/>
          <w:szCs w:val="22"/>
        </w:rPr>
        <w:t>VEINTI</w:t>
      </w:r>
      <w:r w:rsidR="00796140" w:rsidRPr="003C3998">
        <w:rPr>
          <w:rFonts w:ascii="Palatino Linotype" w:eastAsia="Palatino Linotype" w:hAnsi="Palatino Linotype" w:cs="Palatino Linotype"/>
          <w:sz w:val="22"/>
          <w:szCs w:val="22"/>
        </w:rPr>
        <w:t>CUATRO</w:t>
      </w:r>
      <w:r w:rsidR="005905EE" w:rsidRPr="003C3998">
        <w:rPr>
          <w:rFonts w:ascii="Palatino Linotype" w:eastAsia="Palatino Linotype" w:hAnsi="Palatino Linotype" w:cs="Palatino Linotype"/>
          <w:sz w:val="22"/>
          <w:szCs w:val="22"/>
        </w:rPr>
        <w:t xml:space="preserve"> DE SEPTIEMBRE</w:t>
      </w:r>
      <w:r w:rsidR="00B66EB9" w:rsidRPr="003C3998">
        <w:rPr>
          <w:rFonts w:ascii="Palatino Linotype" w:eastAsia="Palatino Linotype" w:hAnsi="Palatino Linotype" w:cs="Palatino Linotype"/>
          <w:sz w:val="22"/>
          <w:szCs w:val="22"/>
        </w:rPr>
        <w:t xml:space="preserve"> DE DOS MIL VEINTISÉIS</w:t>
      </w:r>
      <w:r w:rsidRPr="003C3998">
        <w:rPr>
          <w:rFonts w:ascii="Palatino Linotype" w:eastAsia="Palatino Linotype" w:hAnsi="Palatino Linotype" w:cs="Palatino Linotype"/>
          <w:sz w:val="22"/>
          <w:szCs w:val="22"/>
        </w:rPr>
        <w:t>, ANTE EL SECRETARIO TÉCNICO DEL PLENO ALEXIS TAPIA RAMÍREZ.</w:t>
      </w:r>
    </w:p>
    <w:p w14:paraId="69848C62"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1D0A746E" w14:textId="77777777" w:rsidR="00D10152" w:rsidRPr="00796140" w:rsidRDefault="00D10152" w:rsidP="007D356E">
      <w:pPr>
        <w:spacing w:line="360" w:lineRule="auto"/>
        <w:jc w:val="center"/>
        <w:rPr>
          <w:rFonts w:ascii="Palatino Linotype" w:eastAsia="Palatino Linotype" w:hAnsi="Palatino Linotype" w:cs="Palatino Linotype"/>
          <w:sz w:val="22"/>
          <w:szCs w:val="22"/>
        </w:rPr>
      </w:pPr>
    </w:p>
    <w:p w14:paraId="352157DC"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5B3459BA"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0263275D"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30E9D8C1"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162D1FE9"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5C2DF62C"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6A49EF97"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31796C7E"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1A43E230"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3948F8B2"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3F79936A"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36191FAD"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7CE10556"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5F96BE1C"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35081A67"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12E9C048"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2C823BFC" w14:textId="77777777" w:rsidR="00D10152" w:rsidRPr="00796140" w:rsidRDefault="00D10152" w:rsidP="007D356E">
      <w:pPr>
        <w:spacing w:line="360" w:lineRule="auto"/>
        <w:jc w:val="both"/>
        <w:rPr>
          <w:rFonts w:ascii="Palatino Linotype" w:eastAsia="Palatino Linotype" w:hAnsi="Palatino Linotype" w:cs="Palatino Linotype"/>
          <w:sz w:val="22"/>
          <w:szCs w:val="22"/>
        </w:rPr>
      </w:pPr>
    </w:p>
    <w:p w14:paraId="1B44045F" w14:textId="2BF3946B" w:rsidR="00D10152" w:rsidRPr="00796140" w:rsidRDefault="00D10152" w:rsidP="007D356E">
      <w:pPr>
        <w:spacing w:line="360" w:lineRule="auto"/>
        <w:jc w:val="both"/>
        <w:rPr>
          <w:rFonts w:ascii="Palatino Linotype" w:eastAsia="Palatino Linotype" w:hAnsi="Palatino Linotype" w:cs="Palatino Linotype"/>
          <w:sz w:val="22"/>
          <w:szCs w:val="22"/>
        </w:rPr>
      </w:pPr>
    </w:p>
    <w:p w14:paraId="3A919E78" w14:textId="7F793403" w:rsidR="00796140" w:rsidRPr="00796140" w:rsidRDefault="00796140" w:rsidP="007D356E">
      <w:pPr>
        <w:spacing w:line="360" w:lineRule="auto"/>
        <w:jc w:val="both"/>
        <w:rPr>
          <w:rFonts w:ascii="Palatino Linotype" w:eastAsia="Palatino Linotype" w:hAnsi="Palatino Linotype" w:cs="Palatino Linotype"/>
          <w:sz w:val="22"/>
          <w:szCs w:val="22"/>
        </w:rPr>
      </w:pPr>
    </w:p>
    <w:p w14:paraId="67CD4FCC" w14:textId="4A7B36ED" w:rsidR="00796140" w:rsidRPr="00796140" w:rsidRDefault="00796140" w:rsidP="007D356E">
      <w:pPr>
        <w:spacing w:line="360" w:lineRule="auto"/>
        <w:jc w:val="both"/>
        <w:rPr>
          <w:rFonts w:ascii="Palatino Linotype" w:eastAsia="Palatino Linotype" w:hAnsi="Palatino Linotype" w:cs="Palatino Linotype"/>
          <w:sz w:val="22"/>
          <w:szCs w:val="22"/>
        </w:rPr>
      </w:pPr>
    </w:p>
    <w:p w14:paraId="73F6F890" w14:textId="64AA9DAD" w:rsidR="00796140" w:rsidRPr="00796140" w:rsidRDefault="00796140" w:rsidP="007D356E">
      <w:pPr>
        <w:spacing w:line="360" w:lineRule="auto"/>
        <w:jc w:val="both"/>
        <w:rPr>
          <w:rFonts w:ascii="Palatino Linotype" w:eastAsia="Palatino Linotype" w:hAnsi="Palatino Linotype" w:cs="Palatino Linotype"/>
          <w:sz w:val="22"/>
          <w:szCs w:val="22"/>
        </w:rPr>
      </w:pPr>
    </w:p>
    <w:p w14:paraId="006FEF50" w14:textId="613C6E08" w:rsidR="00796140" w:rsidRPr="00796140" w:rsidRDefault="00796140" w:rsidP="007D356E">
      <w:pPr>
        <w:spacing w:line="360" w:lineRule="auto"/>
        <w:jc w:val="both"/>
        <w:rPr>
          <w:rFonts w:ascii="Palatino Linotype" w:eastAsia="Palatino Linotype" w:hAnsi="Palatino Linotype" w:cs="Palatino Linotype"/>
          <w:sz w:val="22"/>
          <w:szCs w:val="22"/>
        </w:rPr>
      </w:pPr>
    </w:p>
    <w:p w14:paraId="66561BEC" w14:textId="77777777" w:rsidR="00796140" w:rsidRPr="00796140" w:rsidRDefault="00796140" w:rsidP="007D356E">
      <w:pPr>
        <w:spacing w:line="360" w:lineRule="auto"/>
        <w:jc w:val="both"/>
        <w:rPr>
          <w:rFonts w:ascii="Palatino Linotype" w:eastAsia="Palatino Linotype" w:hAnsi="Palatino Linotype" w:cs="Palatino Linotype"/>
          <w:sz w:val="22"/>
          <w:szCs w:val="22"/>
        </w:rPr>
      </w:pPr>
    </w:p>
    <w:sectPr w:rsidR="00796140" w:rsidRPr="00796140">
      <w:headerReference w:type="default" r:id="rId11"/>
      <w:footerReference w:type="default" r:id="rId12"/>
      <w:headerReference w:type="first" r:id="rId13"/>
      <w:footerReference w:type="first" r:id="rId14"/>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D9F1D" w14:textId="77777777" w:rsidR="008474DA" w:rsidRDefault="008474DA">
      <w:r>
        <w:separator/>
      </w:r>
    </w:p>
  </w:endnote>
  <w:endnote w:type="continuationSeparator" w:id="0">
    <w:p w14:paraId="1F23889E" w14:textId="77777777" w:rsidR="008474DA" w:rsidRDefault="00847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63605" w14:textId="7D6FE783" w:rsidR="00355E7E" w:rsidRDefault="00355E7E">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4678A6">
      <w:rPr>
        <w:rFonts w:ascii="Palatino Linotype" w:eastAsia="Palatino Linotype" w:hAnsi="Palatino Linotype" w:cs="Palatino Linotype"/>
        <w:b/>
        <w:noProof/>
        <w:color w:val="000000"/>
        <w:sz w:val="20"/>
        <w:szCs w:val="20"/>
      </w:rPr>
      <w:t>16</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4678A6">
      <w:rPr>
        <w:rFonts w:ascii="Palatino Linotype" w:eastAsia="Palatino Linotype" w:hAnsi="Palatino Linotype" w:cs="Palatino Linotype"/>
        <w:b/>
        <w:noProof/>
        <w:color w:val="000000"/>
        <w:sz w:val="20"/>
        <w:szCs w:val="20"/>
      </w:rPr>
      <w:t>27</w:t>
    </w:r>
    <w:r>
      <w:rPr>
        <w:rFonts w:ascii="Palatino Linotype" w:eastAsia="Palatino Linotype" w:hAnsi="Palatino Linotype" w:cs="Palatino Linotype"/>
        <w:b/>
        <w:color w:val="000000"/>
        <w:sz w:val="20"/>
        <w:szCs w:val="20"/>
      </w:rPr>
      <w:fldChar w:fldCharType="end"/>
    </w:r>
  </w:p>
  <w:p w14:paraId="37B340A6" w14:textId="77777777" w:rsidR="00355E7E" w:rsidRDefault="00355E7E">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956B4" w14:textId="6F2DAE34" w:rsidR="00355E7E" w:rsidRDefault="00355E7E">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4678A6">
      <w:rPr>
        <w:rFonts w:ascii="Palatino Linotype" w:eastAsia="Palatino Linotype" w:hAnsi="Palatino Linotype" w:cs="Palatino Linotype"/>
        <w:b/>
        <w:noProof/>
        <w:color w:val="000000"/>
        <w:sz w:val="20"/>
        <w:szCs w:val="20"/>
      </w:rPr>
      <w:t>1</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4678A6">
      <w:rPr>
        <w:rFonts w:ascii="Palatino Linotype" w:eastAsia="Palatino Linotype" w:hAnsi="Palatino Linotype" w:cs="Palatino Linotype"/>
        <w:b/>
        <w:noProof/>
        <w:color w:val="000000"/>
        <w:sz w:val="20"/>
        <w:szCs w:val="20"/>
      </w:rPr>
      <w:t>27</w:t>
    </w:r>
    <w:r>
      <w:rPr>
        <w:rFonts w:ascii="Palatino Linotype" w:eastAsia="Palatino Linotype" w:hAnsi="Palatino Linotype" w:cs="Palatino Linotype"/>
        <w:b/>
        <w:color w:val="000000"/>
        <w:sz w:val="20"/>
        <w:szCs w:val="20"/>
      </w:rPr>
      <w:fldChar w:fldCharType="end"/>
    </w:r>
  </w:p>
  <w:p w14:paraId="392029CF" w14:textId="77777777" w:rsidR="00355E7E" w:rsidRDefault="00355E7E">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5E250" w14:textId="77777777" w:rsidR="008474DA" w:rsidRDefault="008474DA">
      <w:r>
        <w:separator/>
      </w:r>
    </w:p>
  </w:footnote>
  <w:footnote w:type="continuationSeparator" w:id="0">
    <w:p w14:paraId="27F6CE26" w14:textId="77777777" w:rsidR="008474DA" w:rsidRDefault="008474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910D0" w14:textId="77777777" w:rsidR="00355E7E" w:rsidRDefault="00355E7E">
    <w:pPr>
      <w:rPr>
        <w:rFonts w:ascii="Cambria" w:eastAsia="Cambria" w:hAnsi="Cambria" w:cs="Cambria"/>
        <w:color w:val="000000"/>
      </w:rPr>
    </w:pPr>
    <w:r>
      <w:rPr>
        <w:noProof/>
      </w:rPr>
      <w:drawing>
        <wp:anchor distT="0" distB="0" distL="0" distR="0" simplePos="0" relativeHeight="251658240" behindDoc="1" locked="0" layoutInCell="1" hidden="0" allowOverlap="1" wp14:anchorId="20F1D627" wp14:editId="78B15E19">
          <wp:simplePos x="0" y="0"/>
          <wp:positionH relativeFrom="column">
            <wp:posOffset>-1080091</wp:posOffset>
          </wp:positionH>
          <wp:positionV relativeFrom="paragraph">
            <wp:posOffset>-488262</wp:posOffset>
          </wp:positionV>
          <wp:extent cx="7809865" cy="10165715"/>
          <wp:effectExtent l="0" t="0" r="0" b="0"/>
          <wp:wrapNone/>
          <wp:docPr id="30841598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fa"/>
      <w:tblW w:w="5953" w:type="dxa"/>
      <w:tblInd w:w="3261" w:type="dxa"/>
      <w:tblLayout w:type="fixed"/>
      <w:tblLook w:val="0400" w:firstRow="0" w:lastRow="0" w:firstColumn="0" w:lastColumn="0" w:noHBand="0" w:noVBand="1"/>
    </w:tblPr>
    <w:tblGrid>
      <w:gridCol w:w="2489"/>
      <w:gridCol w:w="3464"/>
    </w:tblGrid>
    <w:tr w:rsidR="00355E7E" w14:paraId="12ED3AA9" w14:textId="77777777">
      <w:tc>
        <w:tcPr>
          <w:tcW w:w="2489" w:type="dxa"/>
        </w:tcPr>
        <w:p w14:paraId="3466DFBE" w14:textId="77777777" w:rsidR="00355E7E" w:rsidRDefault="00355E7E">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69A2503E" w14:textId="06F93B9B" w:rsidR="00355E7E" w:rsidRDefault="00A42FA2" w:rsidP="009D4FFC">
          <w:pPr>
            <w:ind w:right="175"/>
            <w:jc w:val="both"/>
            <w:rPr>
              <w:rFonts w:ascii="Palatino Linotype" w:eastAsia="Palatino Linotype" w:hAnsi="Palatino Linotype" w:cs="Palatino Linotype"/>
              <w:b/>
              <w:sz w:val="22"/>
              <w:szCs w:val="22"/>
            </w:rPr>
          </w:pPr>
          <w:r w:rsidRPr="00E0449C">
            <w:rPr>
              <w:rFonts w:ascii="Palatino Linotype" w:eastAsia="Palatino Linotype" w:hAnsi="Palatino Linotype" w:cs="Palatino Linotype"/>
              <w:b/>
              <w:sz w:val="22"/>
              <w:szCs w:val="22"/>
            </w:rPr>
            <w:t>0</w:t>
          </w:r>
          <w:r>
            <w:rPr>
              <w:rFonts w:ascii="Palatino Linotype" w:eastAsia="Palatino Linotype" w:hAnsi="Palatino Linotype" w:cs="Palatino Linotype"/>
              <w:b/>
              <w:sz w:val="22"/>
              <w:szCs w:val="22"/>
            </w:rPr>
            <w:t>7494</w:t>
          </w:r>
          <w:r w:rsidRPr="00E0449C">
            <w:rPr>
              <w:rFonts w:ascii="Palatino Linotype" w:eastAsia="Palatino Linotype" w:hAnsi="Palatino Linotype" w:cs="Palatino Linotype"/>
              <w:b/>
              <w:sz w:val="22"/>
              <w:szCs w:val="22"/>
            </w:rPr>
            <w:t>/INFOEM/IP/RR/2026</w:t>
          </w:r>
        </w:p>
      </w:tc>
    </w:tr>
    <w:tr w:rsidR="00355E7E" w14:paraId="1F693A74" w14:textId="77777777">
      <w:trPr>
        <w:trHeight w:val="228"/>
      </w:trPr>
      <w:tc>
        <w:tcPr>
          <w:tcW w:w="2489" w:type="dxa"/>
          <w:vAlign w:val="center"/>
        </w:tcPr>
        <w:p w14:paraId="31F01A98" w14:textId="77777777" w:rsidR="00355E7E" w:rsidRDefault="00355E7E">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633911B5" w14:textId="59713987" w:rsidR="00355E7E" w:rsidRDefault="00A42FA2" w:rsidP="00F81823">
          <w:pPr>
            <w:ind w:left="-45" w:right="176"/>
            <w:jc w:val="both"/>
            <w:rPr>
              <w:rFonts w:ascii="Palatino Linotype" w:eastAsia="Palatino Linotype" w:hAnsi="Palatino Linotype" w:cs="Palatino Linotype"/>
              <w:b/>
              <w:sz w:val="22"/>
              <w:szCs w:val="22"/>
            </w:rPr>
          </w:pPr>
          <w:r w:rsidRPr="00A42FA2">
            <w:rPr>
              <w:rFonts w:ascii="Palatino Linotype" w:eastAsia="Palatino Linotype" w:hAnsi="Palatino Linotype" w:cs="Palatino Linotype"/>
              <w:b/>
              <w:sz w:val="22"/>
              <w:szCs w:val="22"/>
            </w:rPr>
            <w:t>Sistema de Agua Potable Alcantarillado y Saneamiento de Ecatepec de Morelos</w:t>
          </w:r>
        </w:p>
      </w:tc>
    </w:tr>
    <w:tr w:rsidR="00355E7E" w14:paraId="72A8C24D" w14:textId="77777777">
      <w:tc>
        <w:tcPr>
          <w:tcW w:w="2489" w:type="dxa"/>
          <w:vAlign w:val="center"/>
        </w:tcPr>
        <w:p w14:paraId="22F4249F" w14:textId="77777777" w:rsidR="00355E7E" w:rsidRDefault="00355E7E">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0B2DAF3F" w14:textId="77777777" w:rsidR="00355E7E" w:rsidRDefault="00355E7E">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4F32E993" w14:textId="77777777" w:rsidR="00355E7E" w:rsidRDefault="00355E7E">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BEAA8" w14:textId="77777777" w:rsidR="00355E7E" w:rsidRDefault="00355E7E">
    <w:pPr>
      <w:widowControl w:val="0"/>
      <w:pBdr>
        <w:top w:val="nil"/>
        <w:left w:val="nil"/>
        <w:bottom w:val="nil"/>
        <w:right w:val="nil"/>
        <w:between w:val="nil"/>
      </w:pBdr>
      <w:spacing w:line="276" w:lineRule="auto"/>
      <w:rPr>
        <w:rFonts w:ascii="Palatino Linotype" w:eastAsia="Palatino Linotype" w:hAnsi="Palatino Linotype" w:cs="Palatino Linotype"/>
        <w:sz w:val="16"/>
        <w:szCs w:val="16"/>
      </w:rPr>
    </w:pPr>
    <w:r>
      <w:rPr>
        <w:noProof/>
      </w:rPr>
      <w:drawing>
        <wp:anchor distT="0" distB="0" distL="0" distR="0" simplePos="0" relativeHeight="251659264" behindDoc="1" locked="0" layoutInCell="1" hidden="0" allowOverlap="1" wp14:anchorId="4773CD4F" wp14:editId="40981CA7">
          <wp:simplePos x="0" y="0"/>
          <wp:positionH relativeFrom="column">
            <wp:posOffset>-1080134</wp:posOffset>
          </wp:positionH>
          <wp:positionV relativeFrom="paragraph">
            <wp:posOffset>-369892</wp:posOffset>
          </wp:positionV>
          <wp:extent cx="7809865" cy="10165715"/>
          <wp:effectExtent l="0" t="0" r="0" b="0"/>
          <wp:wrapNone/>
          <wp:docPr id="14547421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fb"/>
      <w:tblW w:w="5953" w:type="dxa"/>
      <w:tblInd w:w="3261" w:type="dxa"/>
      <w:tblLayout w:type="fixed"/>
      <w:tblLook w:val="0400" w:firstRow="0" w:lastRow="0" w:firstColumn="0" w:lastColumn="0" w:noHBand="0" w:noVBand="1"/>
    </w:tblPr>
    <w:tblGrid>
      <w:gridCol w:w="2489"/>
      <w:gridCol w:w="3464"/>
    </w:tblGrid>
    <w:tr w:rsidR="00355E7E" w14:paraId="658BA233" w14:textId="77777777">
      <w:tc>
        <w:tcPr>
          <w:tcW w:w="2489" w:type="dxa"/>
        </w:tcPr>
        <w:p w14:paraId="3B662A4A" w14:textId="77777777" w:rsidR="00355E7E" w:rsidRDefault="00355E7E">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59712B01" w14:textId="24322714" w:rsidR="00355E7E" w:rsidRDefault="00A267F5" w:rsidP="00F81823">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w:t>
          </w:r>
          <w:r w:rsidR="00A42FA2">
            <w:rPr>
              <w:rFonts w:ascii="Palatino Linotype" w:eastAsia="Palatino Linotype" w:hAnsi="Palatino Linotype" w:cs="Palatino Linotype"/>
              <w:b/>
              <w:sz w:val="22"/>
              <w:szCs w:val="22"/>
            </w:rPr>
            <w:t>7494</w:t>
          </w:r>
          <w:r>
            <w:rPr>
              <w:rFonts w:ascii="Palatino Linotype" w:eastAsia="Palatino Linotype" w:hAnsi="Palatino Linotype" w:cs="Palatino Linotype"/>
              <w:b/>
              <w:sz w:val="22"/>
              <w:szCs w:val="22"/>
            </w:rPr>
            <w:t>/INFOEM/IP/RR/2026</w:t>
          </w:r>
        </w:p>
      </w:tc>
    </w:tr>
    <w:tr w:rsidR="00355E7E" w14:paraId="12107FBB" w14:textId="77777777">
      <w:tc>
        <w:tcPr>
          <w:tcW w:w="2489" w:type="dxa"/>
        </w:tcPr>
        <w:p w14:paraId="38DA5A64" w14:textId="77777777" w:rsidR="00355E7E" w:rsidRDefault="00355E7E">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Recurrente</w:t>
          </w:r>
        </w:p>
      </w:tc>
      <w:tc>
        <w:tcPr>
          <w:tcW w:w="3464" w:type="dxa"/>
          <w:vAlign w:val="center"/>
        </w:tcPr>
        <w:p w14:paraId="2BCA7C54" w14:textId="5AFB2519" w:rsidR="00355E7E" w:rsidRDefault="004678A6">
          <w:pPr>
            <w:ind w:right="175"/>
            <w:jc w:val="both"/>
            <w:rPr>
              <w:rFonts w:ascii="Palatino Linotype" w:eastAsia="Palatino Linotype" w:hAnsi="Palatino Linotype" w:cs="Palatino Linotype"/>
              <w:b/>
              <w:sz w:val="22"/>
              <w:szCs w:val="22"/>
            </w:rPr>
          </w:pPr>
          <w:r w:rsidRPr="004678A6">
            <w:rPr>
              <w:rFonts w:ascii="Palatino Linotype" w:eastAsia="Palatino Linotype" w:hAnsi="Palatino Linotype" w:cs="Palatino Linotype"/>
              <w:b/>
              <w:sz w:val="22"/>
              <w:szCs w:val="22"/>
            </w:rPr>
            <w:t>XXXXXX XXXX XXXXXX XXXX</w:t>
          </w:r>
        </w:p>
      </w:tc>
    </w:tr>
    <w:tr w:rsidR="00355E7E" w14:paraId="6911DA80" w14:textId="77777777">
      <w:trPr>
        <w:trHeight w:val="228"/>
      </w:trPr>
      <w:tc>
        <w:tcPr>
          <w:tcW w:w="2489" w:type="dxa"/>
          <w:vAlign w:val="center"/>
        </w:tcPr>
        <w:p w14:paraId="1E00DAEA" w14:textId="77777777" w:rsidR="00355E7E" w:rsidRDefault="00355E7E">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21DAFC68" w14:textId="217EFDFE" w:rsidR="00355E7E" w:rsidRDefault="00A42FA2" w:rsidP="00946E74">
          <w:pPr>
            <w:ind w:left="-45" w:right="176"/>
            <w:jc w:val="both"/>
            <w:rPr>
              <w:rFonts w:ascii="Palatino Linotype" w:eastAsia="Palatino Linotype" w:hAnsi="Palatino Linotype" w:cs="Palatino Linotype"/>
              <w:b/>
              <w:sz w:val="22"/>
              <w:szCs w:val="22"/>
            </w:rPr>
          </w:pPr>
          <w:r w:rsidRPr="00A42FA2">
            <w:rPr>
              <w:rFonts w:ascii="Palatino Linotype" w:eastAsia="Palatino Linotype" w:hAnsi="Palatino Linotype" w:cs="Palatino Linotype"/>
              <w:b/>
              <w:sz w:val="22"/>
              <w:szCs w:val="22"/>
            </w:rPr>
            <w:t>Sistema de Agua Potable Alcantarillado y Saneamiento de Ecatepec de Morelos</w:t>
          </w:r>
        </w:p>
      </w:tc>
    </w:tr>
    <w:tr w:rsidR="00355E7E" w14:paraId="1665E429" w14:textId="77777777">
      <w:tc>
        <w:tcPr>
          <w:tcW w:w="2489" w:type="dxa"/>
          <w:vAlign w:val="center"/>
        </w:tcPr>
        <w:p w14:paraId="6CF84D98" w14:textId="77777777" w:rsidR="00355E7E" w:rsidRDefault="00355E7E">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0CC5AC0B" w14:textId="77777777" w:rsidR="00355E7E" w:rsidRDefault="00355E7E">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5DEEBB48" w14:textId="77777777" w:rsidR="00355E7E" w:rsidRDefault="00355E7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5006446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13474101"/>
    <w:multiLevelType w:val="multilevel"/>
    <w:tmpl w:val="28906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C52DBE"/>
    <w:multiLevelType w:val="hybridMultilevel"/>
    <w:tmpl w:val="013A626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195329F5"/>
    <w:multiLevelType w:val="multilevel"/>
    <w:tmpl w:val="C3D69E56"/>
    <w:lvl w:ilvl="0">
      <w:start w:val="1"/>
      <w:numFmt w:val="upperLetter"/>
      <w:pStyle w:val="Listaconvietas3"/>
      <w:lvlText w:val="%1."/>
      <w:lvlJc w:val="left"/>
      <w:pPr>
        <w:ind w:left="927" w:hanging="360"/>
      </w:pPr>
      <w:rPr>
        <w:rFonts w:ascii="Times New Roman" w:eastAsia="Palatino Linotype"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1D057C3E"/>
    <w:multiLevelType w:val="hybridMultilevel"/>
    <w:tmpl w:val="0354EA7A"/>
    <w:lvl w:ilvl="0" w:tplc="DEB0857A">
      <w:start w:val="8"/>
      <w:numFmt w:val="bullet"/>
      <w:lvlText w:val="-"/>
      <w:lvlJc w:val="left"/>
      <w:pPr>
        <w:ind w:left="720" w:hanging="360"/>
      </w:pPr>
      <w:rPr>
        <w:rFonts w:ascii="Palatino Linotype" w:eastAsia="Palatino Linotype" w:hAnsi="Palatino Linotype" w:cs="Palatino Linotype"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2080067D"/>
    <w:multiLevelType w:val="hybridMultilevel"/>
    <w:tmpl w:val="37400D30"/>
    <w:lvl w:ilvl="0" w:tplc="04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23AC3FB1"/>
    <w:multiLevelType w:val="hybridMultilevel"/>
    <w:tmpl w:val="3E52381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26BF232C"/>
    <w:multiLevelType w:val="hybridMultilevel"/>
    <w:tmpl w:val="A46C2BA8"/>
    <w:lvl w:ilvl="0" w:tplc="DF403474">
      <w:start w:val="5"/>
      <w:numFmt w:val="bullet"/>
      <w:lvlText w:val="-"/>
      <w:lvlJc w:val="left"/>
      <w:pPr>
        <w:ind w:left="720" w:hanging="360"/>
      </w:pPr>
      <w:rPr>
        <w:rFonts w:ascii="Palatino Linotype" w:eastAsia="Palatino Linotype" w:hAnsi="Palatino Linotype" w:cs="Palatino Linotype"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281C7509"/>
    <w:multiLevelType w:val="hybridMultilevel"/>
    <w:tmpl w:val="77B2656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28707C06"/>
    <w:multiLevelType w:val="multilevel"/>
    <w:tmpl w:val="B0CC12D8"/>
    <w:lvl w:ilvl="0">
      <w:start w:val="2"/>
      <w:numFmt w:val="bullet"/>
      <w:lvlText w:val="-"/>
      <w:lvlJc w:val="left"/>
      <w:pPr>
        <w:ind w:left="720" w:hanging="360"/>
      </w:pPr>
      <w:rPr>
        <w:rFonts w:ascii="Calibri" w:eastAsia="Calibri" w:hAnsi="Calibri" w:cs="Calibri"/>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AFF2261"/>
    <w:multiLevelType w:val="hybridMultilevel"/>
    <w:tmpl w:val="8B3AC5CC"/>
    <w:lvl w:ilvl="0" w:tplc="0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055EEA"/>
    <w:multiLevelType w:val="hybridMultilevel"/>
    <w:tmpl w:val="A2D8E06C"/>
    <w:lvl w:ilvl="0" w:tplc="CD90BB58">
      <w:start w:val="5"/>
      <w:numFmt w:val="bullet"/>
      <w:lvlText w:val="-"/>
      <w:lvlJc w:val="left"/>
      <w:pPr>
        <w:ind w:left="720" w:hanging="360"/>
      </w:pPr>
      <w:rPr>
        <w:rFonts w:ascii="Palatino Linotype" w:eastAsia="Palatino Linotype" w:hAnsi="Palatino Linotype" w:cs="Palatino Linotype"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FEC7A78"/>
    <w:multiLevelType w:val="multilevel"/>
    <w:tmpl w:val="39EEDDB8"/>
    <w:lvl w:ilvl="0">
      <w:numFmt w:val="bullet"/>
      <w:lvlText w:val="-"/>
      <w:lvlJc w:val="left"/>
      <w:pPr>
        <w:ind w:left="720" w:hanging="360"/>
      </w:pPr>
      <w:rPr>
        <w:rFonts w:ascii="Palatino Linotype" w:eastAsia="Palatino Linotype" w:hAnsi="Palatino Linotype" w:cs="Palatino Linotype"/>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50E7677"/>
    <w:multiLevelType w:val="hybridMultilevel"/>
    <w:tmpl w:val="FE18788A"/>
    <w:lvl w:ilvl="0" w:tplc="B5760174">
      <w:start w:val="1"/>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15:restartNumberingAfterBreak="0">
    <w:nsid w:val="4949296B"/>
    <w:multiLevelType w:val="hybridMultilevel"/>
    <w:tmpl w:val="FB72CC74"/>
    <w:lvl w:ilvl="0" w:tplc="B5760174">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5" w15:restartNumberingAfterBreak="0">
    <w:nsid w:val="5FC010ED"/>
    <w:multiLevelType w:val="hybridMultilevel"/>
    <w:tmpl w:val="0C52E5D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5FC25949"/>
    <w:multiLevelType w:val="hybridMultilevel"/>
    <w:tmpl w:val="41165E5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62911B1D"/>
    <w:multiLevelType w:val="hybridMultilevel"/>
    <w:tmpl w:val="1CAAFE50"/>
    <w:lvl w:ilvl="0" w:tplc="B14AF252">
      <w:start w:val="8"/>
      <w:numFmt w:val="bullet"/>
      <w:lvlText w:val="-"/>
      <w:lvlJc w:val="left"/>
      <w:pPr>
        <w:ind w:left="720" w:hanging="360"/>
      </w:pPr>
      <w:rPr>
        <w:rFonts w:ascii="Palatino Linotype" w:eastAsia="Palatino Linotype" w:hAnsi="Palatino Linotype" w:cs="Palatino Linotype"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67DA74DC"/>
    <w:multiLevelType w:val="hybridMultilevel"/>
    <w:tmpl w:val="C9FEAE4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699D0526"/>
    <w:multiLevelType w:val="multilevel"/>
    <w:tmpl w:val="6C3EF8A6"/>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0" w15:restartNumberingAfterBreak="0">
    <w:nsid w:val="6AD82989"/>
    <w:multiLevelType w:val="multilevel"/>
    <w:tmpl w:val="741E2F88"/>
    <w:lvl w:ilvl="0">
      <w:start w:val="1"/>
      <w:numFmt w:val="lowerLetter"/>
      <w:lvlText w:val="%1)"/>
      <w:lvlJc w:val="left"/>
      <w:pPr>
        <w:ind w:left="927" w:hanging="360"/>
      </w:pPr>
      <w:rPr>
        <w:b/>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6F196DBC"/>
    <w:multiLevelType w:val="hybridMultilevel"/>
    <w:tmpl w:val="CB84246C"/>
    <w:lvl w:ilvl="0" w:tplc="9EA0E932">
      <w:start w:val="7"/>
      <w:numFmt w:val="bullet"/>
      <w:lvlText w:val="-"/>
      <w:lvlJc w:val="left"/>
      <w:pPr>
        <w:ind w:left="720" w:hanging="360"/>
      </w:pPr>
      <w:rPr>
        <w:rFonts w:ascii="Palatino Linotype" w:eastAsia="Palatino Linotype" w:hAnsi="Palatino Linotype" w:cs="Palatino Linotype"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70EC6C16"/>
    <w:multiLevelType w:val="hybridMultilevel"/>
    <w:tmpl w:val="D2CC81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1E2398C"/>
    <w:multiLevelType w:val="hybridMultilevel"/>
    <w:tmpl w:val="075003DA"/>
    <w:lvl w:ilvl="0" w:tplc="708C4D8A">
      <w:start w:val="1"/>
      <w:numFmt w:val="upperRoman"/>
      <w:lvlText w:val="%1."/>
      <w:lvlJc w:val="left"/>
      <w:pPr>
        <w:ind w:left="1571" w:hanging="7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4" w15:restartNumberingAfterBreak="0">
    <w:nsid w:val="73F70D33"/>
    <w:multiLevelType w:val="hybridMultilevel"/>
    <w:tmpl w:val="2BF4BAFE"/>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49C6360"/>
    <w:multiLevelType w:val="hybridMultilevel"/>
    <w:tmpl w:val="7B480FE8"/>
    <w:lvl w:ilvl="0" w:tplc="040A0001">
      <w:start w:val="1"/>
      <w:numFmt w:val="bullet"/>
      <w:lvlText w:val=""/>
      <w:lvlJc w:val="left"/>
      <w:pPr>
        <w:ind w:left="1287" w:hanging="360"/>
      </w:pPr>
      <w:rPr>
        <w:rFonts w:ascii="Symbol" w:hAnsi="Symbol" w:hint="default"/>
      </w:rPr>
    </w:lvl>
    <w:lvl w:ilvl="1" w:tplc="040A0003" w:tentative="1">
      <w:start w:val="1"/>
      <w:numFmt w:val="bullet"/>
      <w:lvlText w:val="o"/>
      <w:lvlJc w:val="left"/>
      <w:pPr>
        <w:ind w:left="2007" w:hanging="360"/>
      </w:pPr>
      <w:rPr>
        <w:rFonts w:ascii="Courier New" w:hAnsi="Courier New" w:cs="Courier New" w:hint="default"/>
      </w:rPr>
    </w:lvl>
    <w:lvl w:ilvl="2" w:tplc="040A0005" w:tentative="1">
      <w:start w:val="1"/>
      <w:numFmt w:val="bullet"/>
      <w:lvlText w:val=""/>
      <w:lvlJc w:val="left"/>
      <w:pPr>
        <w:ind w:left="2727" w:hanging="360"/>
      </w:pPr>
      <w:rPr>
        <w:rFonts w:ascii="Wingdings" w:hAnsi="Wingdings" w:hint="default"/>
      </w:rPr>
    </w:lvl>
    <w:lvl w:ilvl="3" w:tplc="040A0001" w:tentative="1">
      <w:start w:val="1"/>
      <w:numFmt w:val="bullet"/>
      <w:lvlText w:val=""/>
      <w:lvlJc w:val="left"/>
      <w:pPr>
        <w:ind w:left="3447" w:hanging="360"/>
      </w:pPr>
      <w:rPr>
        <w:rFonts w:ascii="Symbol" w:hAnsi="Symbol" w:hint="default"/>
      </w:rPr>
    </w:lvl>
    <w:lvl w:ilvl="4" w:tplc="040A0003" w:tentative="1">
      <w:start w:val="1"/>
      <w:numFmt w:val="bullet"/>
      <w:lvlText w:val="o"/>
      <w:lvlJc w:val="left"/>
      <w:pPr>
        <w:ind w:left="4167" w:hanging="360"/>
      </w:pPr>
      <w:rPr>
        <w:rFonts w:ascii="Courier New" w:hAnsi="Courier New" w:cs="Courier New" w:hint="default"/>
      </w:rPr>
    </w:lvl>
    <w:lvl w:ilvl="5" w:tplc="040A0005" w:tentative="1">
      <w:start w:val="1"/>
      <w:numFmt w:val="bullet"/>
      <w:lvlText w:val=""/>
      <w:lvlJc w:val="left"/>
      <w:pPr>
        <w:ind w:left="4887" w:hanging="360"/>
      </w:pPr>
      <w:rPr>
        <w:rFonts w:ascii="Wingdings" w:hAnsi="Wingdings" w:hint="default"/>
      </w:rPr>
    </w:lvl>
    <w:lvl w:ilvl="6" w:tplc="040A0001" w:tentative="1">
      <w:start w:val="1"/>
      <w:numFmt w:val="bullet"/>
      <w:lvlText w:val=""/>
      <w:lvlJc w:val="left"/>
      <w:pPr>
        <w:ind w:left="5607" w:hanging="360"/>
      </w:pPr>
      <w:rPr>
        <w:rFonts w:ascii="Symbol" w:hAnsi="Symbol" w:hint="default"/>
      </w:rPr>
    </w:lvl>
    <w:lvl w:ilvl="7" w:tplc="040A0003" w:tentative="1">
      <w:start w:val="1"/>
      <w:numFmt w:val="bullet"/>
      <w:lvlText w:val="o"/>
      <w:lvlJc w:val="left"/>
      <w:pPr>
        <w:ind w:left="6327" w:hanging="360"/>
      </w:pPr>
      <w:rPr>
        <w:rFonts w:ascii="Courier New" w:hAnsi="Courier New" w:cs="Courier New" w:hint="default"/>
      </w:rPr>
    </w:lvl>
    <w:lvl w:ilvl="8" w:tplc="040A0005" w:tentative="1">
      <w:start w:val="1"/>
      <w:numFmt w:val="bullet"/>
      <w:lvlText w:val=""/>
      <w:lvlJc w:val="left"/>
      <w:pPr>
        <w:ind w:left="7047" w:hanging="360"/>
      </w:pPr>
      <w:rPr>
        <w:rFonts w:ascii="Wingdings" w:hAnsi="Wingdings" w:hint="default"/>
      </w:rPr>
    </w:lvl>
  </w:abstractNum>
  <w:num w:numId="1">
    <w:abstractNumId w:val="3"/>
  </w:num>
  <w:num w:numId="2">
    <w:abstractNumId w:val="12"/>
  </w:num>
  <w:num w:numId="3">
    <w:abstractNumId w:val="14"/>
  </w:num>
  <w:num w:numId="4">
    <w:abstractNumId w:val="0"/>
  </w:num>
  <w:num w:numId="5">
    <w:abstractNumId w:val="20"/>
  </w:num>
  <w:num w:numId="6">
    <w:abstractNumId w:val="23"/>
  </w:num>
  <w:num w:numId="7">
    <w:abstractNumId w:val="13"/>
  </w:num>
  <w:num w:numId="8">
    <w:abstractNumId w:val="16"/>
  </w:num>
  <w:num w:numId="9">
    <w:abstractNumId w:val="6"/>
  </w:num>
  <w:num w:numId="10">
    <w:abstractNumId w:val="2"/>
  </w:num>
  <w:num w:numId="11">
    <w:abstractNumId w:val="19"/>
  </w:num>
  <w:num w:numId="12">
    <w:abstractNumId w:val="4"/>
  </w:num>
  <w:num w:numId="13">
    <w:abstractNumId w:val="10"/>
  </w:num>
  <w:num w:numId="14">
    <w:abstractNumId w:val="25"/>
  </w:num>
  <w:num w:numId="15">
    <w:abstractNumId w:val="15"/>
  </w:num>
  <w:num w:numId="16">
    <w:abstractNumId w:val="7"/>
  </w:num>
  <w:num w:numId="17">
    <w:abstractNumId w:val="11"/>
  </w:num>
  <w:num w:numId="18">
    <w:abstractNumId w:val="21"/>
  </w:num>
  <w:num w:numId="19">
    <w:abstractNumId w:val="9"/>
  </w:num>
  <w:num w:numId="20">
    <w:abstractNumId w:val="22"/>
  </w:num>
  <w:num w:numId="21">
    <w:abstractNumId w:val="24"/>
  </w:num>
  <w:num w:numId="22">
    <w:abstractNumId w:val="18"/>
  </w:num>
  <w:num w:numId="23">
    <w:abstractNumId w:val="8"/>
  </w:num>
  <w:num w:numId="24">
    <w:abstractNumId w:val="1"/>
  </w:num>
  <w:num w:numId="25">
    <w:abstractNumId w:val="17"/>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152"/>
    <w:rsid w:val="00005FD8"/>
    <w:rsid w:val="000175C1"/>
    <w:rsid w:val="0002036C"/>
    <w:rsid w:val="0002775A"/>
    <w:rsid w:val="000304DC"/>
    <w:rsid w:val="00034A43"/>
    <w:rsid w:val="000367EE"/>
    <w:rsid w:val="00040072"/>
    <w:rsid w:val="00053180"/>
    <w:rsid w:val="0005336F"/>
    <w:rsid w:val="0005347E"/>
    <w:rsid w:val="00053540"/>
    <w:rsid w:val="0006637B"/>
    <w:rsid w:val="0006733B"/>
    <w:rsid w:val="00067B3B"/>
    <w:rsid w:val="00072F69"/>
    <w:rsid w:val="000809D9"/>
    <w:rsid w:val="00091714"/>
    <w:rsid w:val="00093BA3"/>
    <w:rsid w:val="000B59B0"/>
    <w:rsid w:val="000C1FBC"/>
    <w:rsid w:val="000C5AFC"/>
    <w:rsid w:val="000E7BEB"/>
    <w:rsid w:val="000F16DE"/>
    <w:rsid w:val="000F3B9D"/>
    <w:rsid w:val="000F58B8"/>
    <w:rsid w:val="000F649F"/>
    <w:rsid w:val="000F715D"/>
    <w:rsid w:val="001041AC"/>
    <w:rsid w:val="00106EF8"/>
    <w:rsid w:val="001147BC"/>
    <w:rsid w:val="00114A3D"/>
    <w:rsid w:val="001162C1"/>
    <w:rsid w:val="0012021A"/>
    <w:rsid w:val="001219D1"/>
    <w:rsid w:val="001513F2"/>
    <w:rsid w:val="0015396F"/>
    <w:rsid w:val="0015732B"/>
    <w:rsid w:val="001623C8"/>
    <w:rsid w:val="00176AC6"/>
    <w:rsid w:val="00177AFF"/>
    <w:rsid w:val="0018213A"/>
    <w:rsid w:val="00182959"/>
    <w:rsid w:val="00186329"/>
    <w:rsid w:val="0018648E"/>
    <w:rsid w:val="0019623B"/>
    <w:rsid w:val="001B32B4"/>
    <w:rsid w:val="001C1B9B"/>
    <w:rsid w:val="001C2B46"/>
    <w:rsid w:val="001D7C20"/>
    <w:rsid w:val="001E32D7"/>
    <w:rsid w:val="001F643D"/>
    <w:rsid w:val="00211E65"/>
    <w:rsid w:val="00212225"/>
    <w:rsid w:val="00225994"/>
    <w:rsid w:val="00227979"/>
    <w:rsid w:val="002345D9"/>
    <w:rsid w:val="00237758"/>
    <w:rsid w:val="00243A62"/>
    <w:rsid w:val="002606C0"/>
    <w:rsid w:val="00272444"/>
    <w:rsid w:val="0027314F"/>
    <w:rsid w:val="00274D92"/>
    <w:rsid w:val="00276E4A"/>
    <w:rsid w:val="002933A3"/>
    <w:rsid w:val="0029719C"/>
    <w:rsid w:val="002A0B10"/>
    <w:rsid w:val="002A6F7B"/>
    <w:rsid w:val="002B1D4B"/>
    <w:rsid w:val="002B4B33"/>
    <w:rsid w:val="002C77CD"/>
    <w:rsid w:val="002C7E61"/>
    <w:rsid w:val="002D4A4A"/>
    <w:rsid w:val="002E2FBE"/>
    <w:rsid w:val="002E4605"/>
    <w:rsid w:val="002E6B4D"/>
    <w:rsid w:val="002F1D80"/>
    <w:rsid w:val="002F384A"/>
    <w:rsid w:val="002F5BD7"/>
    <w:rsid w:val="002F7A18"/>
    <w:rsid w:val="002F7CA8"/>
    <w:rsid w:val="003053C6"/>
    <w:rsid w:val="00312564"/>
    <w:rsid w:val="003131D9"/>
    <w:rsid w:val="003141AD"/>
    <w:rsid w:val="00315AA9"/>
    <w:rsid w:val="00327386"/>
    <w:rsid w:val="00335F1C"/>
    <w:rsid w:val="003402BF"/>
    <w:rsid w:val="00340D38"/>
    <w:rsid w:val="00343582"/>
    <w:rsid w:val="00343AFD"/>
    <w:rsid w:val="00347D54"/>
    <w:rsid w:val="00350BF3"/>
    <w:rsid w:val="003541DC"/>
    <w:rsid w:val="00355E7E"/>
    <w:rsid w:val="00357533"/>
    <w:rsid w:val="00370A0E"/>
    <w:rsid w:val="003737A9"/>
    <w:rsid w:val="00383A27"/>
    <w:rsid w:val="00393ADB"/>
    <w:rsid w:val="003B6859"/>
    <w:rsid w:val="003C0FF5"/>
    <w:rsid w:val="003C3998"/>
    <w:rsid w:val="003E10E0"/>
    <w:rsid w:val="003E5B2D"/>
    <w:rsid w:val="003E715C"/>
    <w:rsid w:val="003E7F53"/>
    <w:rsid w:val="003F765E"/>
    <w:rsid w:val="00400DAE"/>
    <w:rsid w:val="00401ED9"/>
    <w:rsid w:val="004239F8"/>
    <w:rsid w:val="0043589C"/>
    <w:rsid w:val="00450793"/>
    <w:rsid w:val="00456DEE"/>
    <w:rsid w:val="004678A6"/>
    <w:rsid w:val="00470DF1"/>
    <w:rsid w:val="00472EBB"/>
    <w:rsid w:val="0047708C"/>
    <w:rsid w:val="004864D3"/>
    <w:rsid w:val="00491B71"/>
    <w:rsid w:val="00494A75"/>
    <w:rsid w:val="00495886"/>
    <w:rsid w:val="004A0682"/>
    <w:rsid w:val="004B0D62"/>
    <w:rsid w:val="004B64D6"/>
    <w:rsid w:val="004C6426"/>
    <w:rsid w:val="004E287A"/>
    <w:rsid w:val="004F1040"/>
    <w:rsid w:val="00501C7A"/>
    <w:rsid w:val="00510968"/>
    <w:rsid w:val="00514E61"/>
    <w:rsid w:val="00524A25"/>
    <w:rsid w:val="005279A7"/>
    <w:rsid w:val="0053576A"/>
    <w:rsid w:val="00544415"/>
    <w:rsid w:val="00545318"/>
    <w:rsid w:val="005458F2"/>
    <w:rsid w:val="005504F8"/>
    <w:rsid w:val="005670FE"/>
    <w:rsid w:val="0058476C"/>
    <w:rsid w:val="005905EE"/>
    <w:rsid w:val="005A050C"/>
    <w:rsid w:val="005A78D7"/>
    <w:rsid w:val="005C5374"/>
    <w:rsid w:val="005E11FD"/>
    <w:rsid w:val="005F1031"/>
    <w:rsid w:val="005F52DD"/>
    <w:rsid w:val="005F5AA4"/>
    <w:rsid w:val="00601996"/>
    <w:rsid w:val="00611E11"/>
    <w:rsid w:val="00632209"/>
    <w:rsid w:val="00647AA7"/>
    <w:rsid w:val="00653437"/>
    <w:rsid w:val="006543CC"/>
    <w:rsid w:val="0066283B"/>
    <w:rsid w:val="00663C2C"/>
    <w:rsid w:val="00674661"/>
    <w:rsid w:val="00684500"/>
    <w:rsid w:val="00686722"/>
    <w:rsid w:val="00693A5C"/>
    <w:rsid w:val="006A28A7"/>
    <w:rsid w:val="006B0E1F"/>
    <w:rsid w:val="006B18BD"/>
    <w:rsid w:val="006B203D"/>
    <w:rsid w:val="006B5F66"/>
    <w:rsid w:val="006C5E21"/>
    <w:rsid w:val="006D7431"/>
    <w:rsid w:val="006E3A03"/>
    <w:rsid w:val="006F5EDF"/>
    <w:rsid w:val="007212F3"/>
    <w:rsid w:val="00727B50"/>
    <w:rsid w:val="007367FF"/>
    <w:rsid w:val="007422FC"/>
    <w:rsid w:val="00750DB8"/>
    <w:rsid w:val="00760178"/>
    <w:rsid w:val="007620DB"/>
    <w:rsid w:val="007755BA"/>
    <w:rsid w:val="00785AE5"/>
    <w:rsid w:val="00793B86"/>
    <w:rsid w:val="007952DA"/>
    <w:rsid w:val="00796140"/>
    <w:rsid w:val="0079645A"/>
    <w:rsid w:val="007A4533"/>
    <w:rsid w:val="007A6937"/>
    <w:rsid w:val="007A7F31"/>
    <w:rsid w:val="007C1F34"/>
    <w:rsid w:val="007C6008"/>
    <w:rsid w:val="007D0EF4"/>
    <w:rsid w:val="007D356E"/>
    <w:rsid w:val="007E4BD2"/>
    <w:rsid w:val="00803874"/>
    <w:rsid w:val="00805D57"/>
    <w:rsid w:val="00811B66"/>
    <w:rsid w:val="00812C61"/>
    <w:rsid w:val="00824A94"/>
    <w:rsid w:val="00824D2A"/>
    <w:rsid w:val="00825575"/>
    <w:rsid w:val="008259E0"/>
    <w:rsid w:val="0083463A"/>
    <w:rsid w:val="008408FC"/>
    <w:rsid w:val="008474DA"/>
    <w:rsid w:val="008642E8"/>
    <w:rsid w:val="00881AF5"/>
    <w:rsid w:val="0088434A"/>
    <w:rsid w:val="00890DC6"/>
    <w:rsid w:val="0089747F"/>
    <w:rsid w:val="008A2AA1"/>
    <w:rsid w:val="008B6CAB"/>
    <w:rsid w:val="008C67A1"/>
    <w:rsid w:val="008D5410"/>
    <w:rsid w:val="008D5F28"/>
    <w:rsid w:val="008E5613"/>
    <w:rsid w:val="008E61F6"/>
    <w:rsid w:val="008E6B63"/>
    <w:rsid w:val="008E6D8C"/>
    <w:rsid w:val="008F5B77"/>
    <w:rsid w:val="009116F5"/>
    <w:rsid w:val="0091405A"/>
    <w:rsid w:val="00937796"/>
    <w:rsid w:val="00946E74"/>
    <w:rsid w:val="00951B82"/>
    <w:rsid w:val="00953F5C"/>
    <w:rsid w:val="0095720E"/>
    <w:rsid w:val="00960B0F"/>
    <w:rsid w:val="00980F8E"/>
    <w:rsid w:val="00983031"/>
    <w:rsid w:val="0098370E"/>
    <w:rsid w:val="0099143D"/>
    <w:rsid w:val="00993894"/>
    <w:rsid w:val="0099680F"/>
    <w:rsid w:val="009A11D2"/>
    <w:rsid w:val="009C02CA"/>
    <w:rsid w:val="009C1574"/>
    <w:rsid w:val="009C504C"/>
    <w:rsid w:val="009C6343"/>
    <w:rsid w:val="009C63C1"/>
    <w:rsid w:val="009D4FFC"/>
    <w:rsid w:val="009D7BBF"/>
    <w:rsid w:val="00A07E46"/>
    <w:rsid w:val="00A122B4"/>
    <w:rsid w:val="00A167A0"/>
    <w:rsid w:val="00A22E4D"/>
    <w:rsid w:val="00A2490A"/>
    <w:rsid w:val="00A267F5"/>
    <w:rsid w:val="00A27E41"/>
    <w:rsid w:val="00A310FB"/>
    <w:rsid w:val="00A32E65"/>
    <w:rsid w:val="00A42FA2"/>
    <w:rsid w:val="00A7432C"/>
    <w:rsid w:val="00A769A7"/>
    <w:rsid w:val="00A76FC2"/>
    <w:rsid w:val="00A77817"/>
    <w:rsid w:val="00A91F51"/>
    <w:rsid w:val="00A94E32"/>
    <w:rsid w:val="00AA7FBE"/>
    <w:rsid w:val="00AB1EC0"/>
    <w:rsid w:val="00AC33A9"/>
    <w:rsid w:val="00AC507A"/>
    <w:rsid w:val="00AD5B6A"/>
    <w:rsid w:val="00AD6CFB"/>
    <w:rsid w:val="00AD77DA"/>
    <w:rsid w:val="00B10B71"/>
    <w:rsid w:val="00B142B7"/>
    <w:rsid w:val="00B1635F"/>
    <w:rsid w:val="00B21D03"/>
    <w:rsid w:val="00B24AA5"/>
    <w:rsid w:val="00B40014"/>
    <w:rsid w:val="00B40AD5"/>
    <w:rsid w:val="00B63DCC"/>
    <w:rsid w:val="00B66EB9"/>
    <w:rsid w:val="00B7435A"/>
    <w:rsid w:val="00B924B5"/>
    <w:rsid w:val="00B97970"/>
    <w:rsid w:val="00BA58DB"/>
    <w:rsid w:val="00BB5B68"/>
    <w:rsid w:val="00BC3010"/>
    <w:rsid w:val="00BD4B34"/>
    <w:rsid w:val="00BD5274"/>
    <w:rsid w:val="00BE1EE5"/>
    <w:rsid w:val="00BE36BC"/>
    <w:rsid w:val="00BE62CE"/>
    <w:rsid w:val="00BF0906"/>
    <w:rsid w:val="00C047BA"/>
    <w:rsid w:val="00C0502F"/>
    <w:rsid w:val="00C12F75"/>
    <w:rsid w:val="00C14C8A"/>
    <w:rsid w:val="00C5454F"/>
    <w:rsid w:val="00C55E6D"/>
    <w:rsid w:val="00C652DE"/>
    <w:rsid w:val="00C75854"/>
    <w:rsid w:val="00C86ECF"/>
    <w:rsid w:val="00C9149D"/>
    <w:rsid w:val="00CA0651"/>
    <w:rsid w:val="00CA597D"/>
    <w:rsid w:val="00CA61C8"/>
    <w:rsid w:val="00CC007E"/>
    <w:rsid w:val="00CC74D6"/>
    <w:rsid w:val="00CD0F28"/>
    <w:rsid w:val="00CD1249"/>
    <w:rsid w:val="00CD1DB4"/>
    <w:rsid w:val="00CD1DE1"/>
    <w:rsid w:val="00CD2073"/>
    <w:rsid w:val="00CD2F89"/>
    <w:rsid w:val="00CD4179"/>
    <w:rsid w:val="00CE3039"/>
    <w:rsid w:val="00CF1C52"/>
    <w:rsid w:val="00CF5939"/>
    <w:rsid w:val="00D00D23"/>
    <w:rsid w:val="00D02D43"/>
    <w:rsid w:val="00D10152"/>
    <w:rsid w:val="00D14E51"/>
    <w:rsid w:val="00D16271"/>
    <w:rsid w:val="00D273F2"/>
    <w:rsid w:val="00D30304"/>
    <w:rsid w:val="00D45209"/>
    <w:rsid w:val="00D473E7"/>
    <w:rsid w:val="00D72562"/>
    <w:rsid w:val="00D829AF"/>
    <w:rsid w:val="00D91C9B"/>
    <w:rsid w:val="00DB4FCB"/>
    <w:rsid w:val="00DC016E"/>
    <w:rsid w:val="00DE3822"/>
    <w:rsid w:val="00E0054B"/>
    <w:rsid w:val="00E01E9A"/>
    <w:rsid w:val="00E036D0"/>
    <w:rsid w:val="00E0449C"/>
    <w:rsid w:val="00E25B14"/>
    <w:rsid w:val="00E30BA3"/>
    <w:rsid w:val="00E32A1E"/>
    <w:rsid w:val="00E32CB5"/>
    <w:rsid w:val="00E3616C"/>
    <w:rsid w:val="00E42E71"/>
    <w:rsid w:val="00E53792"/>
    <w:rsid w:val="00E54A96"/>
    <w:rsid w:val="00E57549"/>
    <w:rsid w:val="00E57E9A"/>
    <w:rsid w:val="00E61FDF"/>
    <w:rsid w:val="00E94230"/>
    <w:rsid w:val="00E96D67"/>
    <w:rsid w:val="00EA75FB"/>
    <w:rsid w:val="00EB4974"/>
    <w:rsid w:val="00EC6EC3"/>
    <w:rsid w:val="00EF0A62"/>
    <w:rsid w:val="00EF706F"/>
    <w:rsid w:val="00F17013"/>
    <w:rsid w:val="00F30A2E"/>
    <w:rsid w:val="00F43B1D"/>
    <w:rsid w:val="00F54385"/>
    <w:rsid w:val="00F60A49"/>
    <w:rsid w:val="00F62BE1"/>
    <w:rsid w:val="00F65B80"/>
    <w:rsid w:val="00F81823"/>
    <w:rsid w:val="00F85C9C"/>
    <w:rsid w:val="00F90E35"/>
    <w:rsid w:val="00F934BE"/>
    <w:rsid w:val="00F9438D"/>
    <w:rsid w:val="00FA1C4E"/>
    <w:rsid w:val="00FE446E"/>
    <w:rsid w:val="00FF15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32FC06"/>
  <w15:docId w15:val="{050E7CFE-9D98-45C0-BF1E-E8417409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pPr>
      <w:keepNext/>
      <w:spacing w:before="240" w:after="60"/>
      <w:ind w:left="2160" w:hanging="720"/>
      <w:outlineLvl w:val="2"/>
    </w:pPr>
    <w:rPr>
      <w:rFonts w:ascii="Calibri" w:eastAsia="Calibri" w:hAnsi="Calibri" w:cs="Calibri"/>
      <w:b/>
      <w:sz w:val="26"/>
      <w:szCs w:val="26"/>
    </w:rPr>
  </w:style>
  <w:style w:type="paragraph" w:styleId="Ttulo4">
    <w:name w:val="heading 4"/>
    <w:basedOn w:val="Normal"/>
    <w:next w:val="Normal"/>
    <w:pPr>
      <w:keepNext/>
      <w:spacing w:before="240" w:after="60"/>
      <w:ind w:left="2880" w:hanging="720"/>
      <w:outlineLvl w:val="3"/>
    </w:pPr>
    <w:rPr>
      <w:rFonts w:ascii="Cambria" w:eastAsia="Cambria" w:hAnsi="Cambria" w:cs="Cambria"/>
      <w:b/>
      <w:sz w:val="28"/>
      <w:szCs w:val="28"/>
    </w:rPr>
  </w:style>
  <w:style w:type="paragraph" w:styleId="Ttulo5">
    <w:name w:val="heading 5"/>
    <w:basedOn w:val="Normal"/>
    <w:next w:val="Normal"/>
    <w:pPr>
      <w:spacing w:before="240" w:after="60"/>
      <w:ind w:left="3600" w:hanging="720"/>
      <w:outlineLvl w:val="4"/>
    </w:pPr>
    <w:rPr>
      <w:rFonts w:ascii="Cambria" w:eastAsia="Cambria" w:hAnsi="Cambria" w:cs="Cambria"/>
      <w:b/>
      <w:i/>
      <w:sz w:val="26"/>
      <w:szCs w:val="26"/>
    </w:rPr>
  </w:style>
  <w:style w:type="paragraph" w:styleId="Ttulo6">
    <w:name w:val="heading 6"/>
    <w:basedOn w:val="Normal"/>
    <w:next w:val="Normal"/>
    <w:pPr>
      <w:spacing w:before="240" w:after="60"/>
      <w:ind w:left="4320" w:hanging="72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a">
    <w:basedOn w:val="TableNormalf1"/>
    <w:tblPr>
      <w:tblStyleRowBandSize w:val="1"/>
      <w:tblStyleColBandSize w:val="1"/>
      <w:tblCellMar>
        <w:left w:w="115" w:type="dxa"/>
        <w:right w:w="115" w:type="dxa"/>
      </w:tblCellMar>
    </w:tblPr>
  </w:style>
  <w:style w:type="table" w:customStyle="1" w:styleId="a0">
    <w:basedOn w:val="TableNormalf1"/>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0D197B"/>
    <w:pPr>
      <w:tabs>
        <w:tab w:val="center" w:pos="4419"/>
        <w:tab w:val="right" w:pos="8838"/>
      </w:tabs>
    </w:pPr>
  </w:style>
  <w:style w:type="character" w:customStyle="1" w:styleId="EncabezadoCar">
    <w:name w:val="Encabezado Car"/>
    <w:basedOn w:val="Fuentedeprrafopredeter"/>
    <w:link w:val="Encabezado"/>
    <w:uiPriority w:val="99"/>
    <w:rsid w:val="000D197B"/>
  </w:style>
  <w:style w:type="paragraph" w:styleId="Piedepgina">
    <w:name w:val="footer"/>
    <w:basedOn w:val="Normal"/>
    <w:link w:val="PiedepginaCar"/>
    <w:uiPriority w:val="99"/>
    <w:unhideWhenUsed/>
    <w:rsid w:val="000D197B"/>
    <w:pPr>
      <w:tabs>
        <w:tab w:val="center" w:pos="4419"/>
        <w:tab w:val="right" w:pos="8838"/>
      </w:tabs>
    </w:pPr>
  </w:style>
  <w:style w:type="character" w:customStyle="1" w:styleId="PiedepginaCar">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C43334"/>
    <w:pPr>
      <w:ind w:left="720"/>
      <w:contextualSpacing/>
    </w:pPr>
  </w:style>
  <w:style w:type="paragraph" w:styleId="NormalWeb">
    <w:name w:val="Normal (Web)"/>
    <w:basedOn w:val="Normal"/>
    <w:uiPriority w:val="99"/>
    <w:unhideWhenUsed/>
    <w:rsid w:val="00476335"/>
    <w:pPr>
      <w:spacing w:before="100" w:beforeAutospacing="1" w:after="100" w:after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806B5C"/>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806B5C"/>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qFormat/>
    <w:rsid w:val="00806B5C"/>
    <w:rPr>
      <w:vertAlign w:val="superscript"/>
    </w:rPr>
  </w:style>
  <w:style w:type="table" w:customStyle="1" w:styleId="a1">
    <w:basedOn w:val="TableNormalf1"/>
    <w:tblPr>
      <w:tblStyleRowBandSize w:val="1"/>
      <w:tblStyleColBandSize w:val="1"/>
      <w:tblCellMar>
        <w:left w:w="115" w:type="dxa"/>
        <w:right w:w="115" w:type="dxa"/>
      </w:tblCellMar>
    </w:tblPr>
  </w:style>
  <w:style w:type="table" w:customStyle="1" w:styleId="a2">
    <w:basedOn w:val="TableNormalf1"/>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504D6C"/>
    <w:rPr>
      <w:color w:val="0000FF" w:themeColor="hyperlink"/>
      <w:u w:val="single"/>
    </w:rPr>
  </w:style>
  <w:style w:type="character" w:styleId="Hipervnculovisitado">
    <w:name w:val="FollowedHyperlink"/>
    <w:basedOn w:val="Fuentedeprrafopredeter"/>
    <w:uiPriority w:val="99"/>
    <w:semiHidden/>
    <w:unhideWhenUsed/>
    <w:rsid w:val="00504D6C"/>
    <w:rPr>
      <w:color w:val="800080" w:themeColor="followedHyperlink"/>
      <w:u w:val="single"/>
    </w:rPr>
  </w:style>
  <w:style w:type="table" w:styleId="Tablaconcuadrcula">
    <w:name w:val="Table Grid"/>
    <w:basedOn w:val="Tablanormal"/>
    <w:uiPriority w:val="39"/>
    <w:rsid w:val="00134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3">
    <w:basedOn w:val="TableNormalf0"/>
    <w:tblPr>
      <w:tblStyleRowBandSize w:val="1"/>
      <w:tblStyleColBandSize w:val="1"/>
      <w:tblCellMar>
        <w:left w:w="115" w:type="dxa"/>
        <w:right w:w="115" w:type="dxa"/>
      </w:tblCellMar>
    </w:tblPr>
  </w:style>
  <w:style w:type="table" w:customStyle="1" w:styleId="a4">
    <w:basedOn w:val="TableNormalf0"/>
    <w:tblPr>
      <w:tblStyleRowBandSize w:val="1"/>
      <w:tblStyleColBandSize w:val="1"/>
      <w:tblCellMar>
        <w:left w:w="115" w:type="dxa"/>
        <w:right w:w="115" w:type="dxa"/>
      </w:tblCellMar>
    </w:tblPr>
  </w:style>
  <w:style w:type="paragraph" w:styleId="Listaconvietas3">
    <w:name w:val="List Bullet 3"/>
    <w:basedOn w:val="Normal"/>
    <w:uiPriority w:val="99"/>
    <w:unhideWhenUsed/>
    <w:rsid w:val="005E017B"/>
    <w:pPr>
      <w:numPr>
        <w:numId w:val="1"/>
      </w:numPr>
      <w:contextualSpacing/>
    </w:pPr>
  </w:style>
  <w:style w:type="character" w:customStyle="1" w:styleId="yt-core-attributed-string--link-inherit-color">
    <w:name w:val="yt-core-attributed-string--link-inherit-color"/>
    <w:basedOn w:val="Fuentedeprrafopredeter"/>
    <w:rsid w:val="00EA0BE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452086"/>
  </w:style>
  <w:style w:type="character" w:customStyle="1" w:styleId="Mencinsinresolver1">
    <w:name w:val="Mención sin resolver1"/>
    <w:basedOn w:val="Fuentedeprrafopredeter"/>
    <w:uiPriority w:val="99"/>
    <w:semiHidden/>
    <w:unhideWhenUsed/>
    <w:rsid w:val="00C64B15"/>
    <w:rPr>
      <w:color w:val="605E5C"/>
      <w:shd w:val="clear" w:color="auto" w:fill="E1DFDD"/>
    </w:rPr>
  </w:style>
  <w:style w:type="paragraph" w:customStyle="1" w:styleId="Default">
    <w:name w:val="Default"/>
    <w:rsid w:val="00B92077"/>
    <w:pPr>
      <w:autoSpaceDE w:val="0"/>
      <w:autoSpaceDN w:val="0"/>
      <w:adjustRightInd w:val="0"/>
    </w:pPr>
    <w:rPr>
      <w:rFonts w:ascii="Arial" w:hAnsi="Arial" w:cs="Arial"/>
      <w:color w:val="000000"/>
    </w:rPr>
  </w:style>
  <w:style w:type="character" w:customStyle="1" w:styleId="Mencinsinresolver2">
    <w:name w:val="Mención sin resolver2"/>
    <w:basedOn w:val="Fuentedeprrafopredeter"/>
    <w:uiPriority w:val="99"/>
    <w:semiHidden/>
    <w:unhideWhenUsed/>
    <w:rsid w:val="00251B93"/>
    <w:rPr>
      <w:color w:val="605E5C"/>
      <w:shd w:val="clear" w:color="auto" w:fill="E1DFDD"/>
    </w:rPr>
  </w:style>
  <w:style w:type="paragraph" w:styleId="Textodeglobo">
    <w:name w:val="Balloon Text"/>
    <w:basedOn w:val="Normal"/>
    <w:link w:val="TextodegloboCar"/>
    <w:uiPriority w:val="99"/>
    <w:semiHidden/>
    <w:unhideWhenUsed/>
    <w:rsid w:val="00DD0D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0D64"/>
    <w:rPr>
      <w:rFonts w:ascii="Segoe UI" w:hAnsi="Segoe UI" w:cs="Segoe UI"/>
      <w:sz w:val="18"/>
      <w:szCs w:val="18"/>
    </w:rPr>
  </w:style>
  <w:style w:type="paragraph" w:styleId="Sinespaciado">
    <w:name w:val="No Spacing"/>
    <w:aliases w:val="Francesa"/>
    <w:link w:val="SinespaciadoCar"/>
    <w:uiPriority w:val="1"/>
    <w:qFormat/>
    <w:rsid w:val="000D0148"/>
    <w:rPr>
      <w:rFonts w:asciiTheme="minorHAnsi" w:eastAsiaTheme="minorHAnsi" w:hAnsiTheme="minorHAnsi" w:cstheme="minorBidi"/>
      <w:sz w:val="22"/>
      <w:szCs w:val="22"/>
      <w:lang w:eastAsia="en-US"/>
    </w:rPr>
  </w:style>
  <w:style w:type="character" w:customStyle="1" w:styleId="SinespaciadoCar">
    <w:name w:val="Sin espaciado Car"/>
    <w:aliases w:val="Francesa Car"/>
    <w:link w:val="Sinespaciado"/>
    <w:uiPriority w:val="1"/>
    <w:locked/>
    <w:rsid w:val="000D0148"/>
    <w:rPr>
      <w:rFonts w:asciiTheme="minorHAnsi" w:eastAsiaTheme="minorHAnsi" w:hAnsiTheme="minorHAnsi" w:cstheme="minorBidi"/>
      <w:sz w:val="22"/>
      <w:szCs w:val="22"/>
      <w:lang w:eastAsia="en-US"/>
    </w:rPr>
  </w:style>
  <w:style w:type="paragraph" w:customStyle="1" w:styleId="rtejustify">
    <w:name w:val="rtejustify"/>
    <w:basedOn w:val="Normal"/>
    <w:rsid w:val="00876EB7"/>
    <w:pPr>
      <w:spacing w:before="100" w:beforeAutospacing="1" w:after="100" w:afterAutospacing="1"/>
    </w:pPr>
  </w:style>
  <w:style w:type="table" w:customStyle="1" w:styleId="a5">
    <w:basedOn w:val="TableNormalf"/>
    <w:tblPr>
      <w:tblStyleRowBandSize w:val="1"/>
      <w:tblStyleColBandSize w:val="1"/>
      <w:tblCellMar>
        <w:left w:w="108" w:type="dxa"/>
        <w:right w:w="108" w:type="dxa"/>
      </w:tblCellMar>
    </w:tblPr>
  </w:style>
  <w:style w:type="table" w:customStyle="1" w:styleId="a6">
    <w:basedOn w:val="TableNormalf"/>
    <w:tblPr>
      <w:tblStyleRowBandSize w:val="1"/>
      <w:tblStyleColBandSize w:val="1"/>
      <w:tblCellMar>
        <w:left w:w="108" w:type="dxa"/>
        <w:right w:w="108" w:type="dxa"/>
      </w:tblCellMar>
    </w:tblPr>
  </w:style>
  <w:style w:type="table" w:customStyle="1" w:styleId="a7">
    <w:basedOn w:val="TableNormalf"/>
    <w:tblPr>
      <w:tblStyleRowBandSize w:val="1"/>
      <w:tblStyleColBandSize w:val="1"/>
      <w:tblCellMar>
        <w:left w:w="108" w:type="dxa"/>
        <w:right w:w="108" w:type="dxa"/>
      </w:tblCellMar>
    </w:tblPr>
  </w:style>
  <w:style w:type="table" w:customStyle="1" w:styleId="a8">
    <w:basedOn w:val="TableNormalf"/>
    <w:tblPr>
      <w:tblStyleRowBandSize w:val="1"/>
      <w:tblStyleColBandSize w:val="1"/>
      <w:tblCellMar>
        <w:left w:w="108" w:type="dxa"/>
        <w:right w:w="108" w:type="dxa"/>
      </w:tblCellMar>
    </w:tblPr>
  </w:style>
  <w:style w:type="table" w:customStyle="1" w:styleId="a9">
    <w:basedOn w:val="TableNormalf"/>
    <w:tblPr>
      <w:tblStyleRowBandSize w:val="1"/>
      <w:tblStyleColBandSize w:val="1"/>
      <w:tblCellMar>
        <w:left w:w="108" w:type="dxa"/>
        <w:right w:w="108" w:type="dxa"/>
      </w:tblCellMar>
    </w:tblPr>
  </w:style>
  <w:style w:type="table" w:customStyle="1" w:styleId="aa">
    <w:basedOn w:val="TableNormalf"/>
    <w:tblPr>
      <w:tblStyleRowBandSize w:val="1"/>
      <w:tblStyleColBandSize w:val="1"/>
      <w:tblCellMar>
        <w:left w:w="115" w:type="dxa"/>
        <w:right w:w="115" w:type="dxa"/>
      </w:tblCellMar>
    </w:tblPr>
  </w:style>
  <w:style w:type="table" w:customStyle="1" w:styleId="ab">
    <w:basedOn w:val="TableNormalf"/>
    <w:tblPr>
      <w:tblStyleRowBandSize w:val="1"/>
      <w:tblStyleColBandSize w:val="1"/>
      <w:tblCellMar>
        <w:left w:w="115" w:type="dxa"/>
        <w:right w:w="115" w:type="dxa"/>
      </w:tblCellMar>
    </w:tblPr>
  </w:style>
  <w:style w:type="table" w:customStyle="1" w:styleId="ac">
    <w:basedOn w:val="TableNormale"/>
    <w:tblPr>
      <w:tblStyleRowBandSize w:val="1"/>
      <w:tblStyleColBandSize w:val="1"/>
      <w:tblCellMar>
        <w:left w:w="108" w:type="dxa"/>
        <w:right w:w="108" w:type="dxa"/>
      </w:tblCellMar>
    </w:tblPr>
  </w:style>
  <w:style w:type="table" w:customStyle="1" w:styleId="ad">
    <w:basedOn w:val="TableNormale"/>
    <w:tblPr>
      <w:tblStyleRowBandSize w:val="1"/>
      <w:tblStyleColBandSize w:val="1"/>
      <w:tblCellMar>
        <w:left w:w="115" w:type="dxa"/>
        <w:right w:w="115" w:type="dxa"/>
      </w:tblCellMar>
    </w:tblPr>
  </w:style>
  <w:style w:type="table" w:customStyle="1" w:styleId="ae">
    <w:basedOn w:val="TableNormale"/>
    <w:tblPr>
      <w:tblStyleRowBandSize w:val="1"/>
      <w:tblStyleColBandSize w:val="1"/>
      <w:tblCellMar>
        <w:left w:w="115" w:type="dxa"/>
        <w:right w:w="115" w:type="dxa"/>
      </w:tblCellMar>
    </w:tblPr>
  </w:style>
  <w:style w:type="table" w:customStyle="1" w:styleId="af">
    <w:basedOn w:val="TableNormald"/>
    <w:tblPr>
      <w:tblStyleRowBandSize w:val="1"/>
      <w:tblStyleColBandSize w:val="1"/>
      <w:tblCellMar>
        <w:left w:w="115" w:type="dxa"/>
        <w:right w:w="115" w:type="dxa"/>
      </w:tblCellMar>
    </w:tblPr>
  </w:style>
  <w:style w:type="table" w:customStyle="1" w:styleId="af0">
    <w:basedOn w:val="TableNormald"/>
    <w:tblPr>
      <w:tblStyleRowBandSize w:val="1"/>
      <w:tblStyleColBandSize w:val="1"/>
      <w:tblCellMar>
        <w:left w:w="115" w:type="dxa"/>
        <w:right w:w="115" w:type="dxa"/>
      </w:tblCellMar>
    </w:tblPr>
  </w:style>
  <w:style w:type="table" w:customStyle="1" w:styleId="af1">
    <w:basedOn w:val="TableNormald"/>
    <w:tblPr>
      <w:tblStyleRowBandSize w:val="1"/>
      <w:tblStyleColBandSize w:val="1"/>
      <w:tblCellMar>
        <w:left w:w="115" w:type="dxa"/>
        <w:right w:w="115" w:type="dxa"/>
      </w:tblCellMar>
    </w:tblPr>
  </w:style>
  <w:style w:type="table" w:customStyle="1" w:styleId="af2">
    <w:basedOn w:val="TableNormalc"/>
    <w:tblPr>
      <w:tblStyleRowBandSize w:val="1"/>
      <w:tblStyleColBandSize w:val="1"/>
      <w:tblCellMar>
        <w:left w:w="115" w:type="dxa"/>
        <w:right w:w="115" w:type="dxa"/>
      </w:tblCellMar>
    </w:tblPr>
  </w:style>
  <w:style w:type="table" w:customStyle="1" w:styleId="af3">
    <w:basedOn w:val="TableNormalc"/>
    <w:tblPr>
      <w:tblStyleRowBandSize w:val="1"/>
      <w:tblStyleColBandSize w:val="1"/>
      <w:tblCellMar>
        <w:left w:w="115" w:type="dxa"/>
        <w:right w:w="115" w:type="dxa"/>
      </w:tblCellMar>
    </w:tblPr>
  </w:style>
  <w:style w:type="table" w:customStyle="1" w:styleId="af4">
    <w:basedOn w:val="TableNormalb"/>
    <w:tblPr>
      <w:tblStyleRowBandSize w:val="1"/>
      <w:tblStyleColBandSize w:val="1"/>
      <w:tblCellMar>
        <w:left w:w="115" w:type="dxa"/>
        <w:right w:w="115" w:type="dxa"/>
      </w:tblCellMar>
    </w:tblPr>
  </w:style>
  <w:style w:type="table" w:customStyle="1" w:styleId="af5">
    <w:basedOn w:val="TableNormalb"/>
    <w:tblPr>
      <w:tblStyleRowBandSize w:val="1"/>
      <w:tblStyleColBandSize w:val="1"/>
      <w:tblCellMar>
        <w:left w:w="115" w:type="dxa"/>
        <w:right w:w="115" w:type="dxa"/>
      </w:tblCellMar>
    </w:tblPr>
  </w:style>
  <w:style w:type="table" w:customStyle="1" w:styleId="af6">
    <w:basedOn w:val="TableNormala"/>
    <w:tblPr>
      <w:tblStyleRowBandSize w:val="1"/>
      <w:tblStyleColBandSize w:val="1"/>
      <w:tblCellMar>
        <w:left w:w="115" w:type="dxa"/>
        <w:right w:w="115" w:type="dxa"/>
      </w:tblCellMar>
    </w:tblPr>
  </w:style>
  <w:style w:type="table" w:customStyle="1" w:styleId="af7">
    <w:basedOn w:val="TableNormala"/>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2C02D7"/>
    <w:rPr>
      <w:b/>
      <w:bCs/>
    </w:rPr>
  </w:style>
  <w:style w:type="character" w:customStyle="1" w:styleId="object">
    <w:name w:val="object"/>
    <w:basedOn w:val="Fuentedeprrafopredeter"/>
    <w:rsid w:val="002C02D7"/>
  </w:style>
  <w:style w:type="table" w:customStyle="1" w:styleId="af8">
    <w:basedOn w:val="TableNormal9"/>
    <w:tblPr>
      <w:tblStyleRowBandSize w:val="1"/>
      <w:tblStyleColBandSize w:val="1"/>
      <w:tblCellMar>
        <w:left w:w="115" w:type="dxa"/>
        <w:right w:w="115" w:type="dxa"/>
      </w:tblCellMar>
    </w:tblPr>
  </w:style>
  <w:style w:type="table" w:customStyle="1" w:styleId="af9">
    <w:basedOn w:val="TableNormal9"/>
    <w:tblPr>
      <w:tblStyleRowBandSize w:val="1"/>
      <w:tblStyleColBandSize w:val="1"/>
      <w:tblCellMar>
        <w:left w:w="115" w:type="dxa"/>
        <w:right w:w="115" w:type="dxa"/>
      </w:tblCellMar>
    </w:tblPr>
  </w:style>
  <w:style w:type="table" w:customStyle="1" w:styleId="afa">
    <w:basedOn w:val="TableNormal8"/>
    <w:tblPr>
      <w:tblStyleRowBandSize w:val="1"/>
      <w:tblStyleColBandSize w:val="1"/>
      <w:tblCellMar>
        <w:left w:w="115" w:type="dxa"/>
        <w:right w:w="115" w:type="dxa"/>
      </w:tblCellMar>
    </w:tblPr>
  </w:style>
  <w:style w:type="table" w:customStyle="1" w:styleId="afb">
    <w:basedOn w:val="TableNormal8"/>
    <w:tblPr>
      <w:tblStyleRowBandSize w:val="1"/>
      <w:tblStyleColBandSize w:val="1"/>
      <w:tblCellMar>
        <w:left w:w="115" w:type="dxa"/>
        <w:right w:w="115" w:type="dxa"/>
      </w:tblCellMar>
    </w:tblPr>
  </w:style>
  <w:style w:type="table" w:customStyle="1" w:styleId="afc">
    <w:basedOn w:val="TableNormal7"/>
    <w:tblPr>
      <w:tblStyleRowBandSize w:val="1"/>
      <w:tblStyleColBandSize w:val="1"/>
      <w:tblCellMar>
        <w:left w:w="115" w:type="dxa"/>
        <w:right w:w="115" w:type="dxa"/>
      </w:tblCellMar>
    </w:tblPr>
  </w:style>
  <w:style w:type="table" w:customStyle="1" w:styleId="afd">
    <w:basedOn w:val="TableNormal7"/>
    <w:tblPr>
      <w:tblStyleRowBandSize w:val="1"/>
      <w:tblStyleColBandSize w:val="1"/>
      <w:tblCellMar>
        <w:left w:w="115" w:type="dxa"/>
        <w:right w:w="115" w:type="dxa"/>
      </w:tblCellMar>
    </w:tblPr>
  </w:style>
  <w:style w:type="table" w:customStyle="1" w:styleId="afe">
    <w:basedOn w:val="TableNormal6"/>
    <w:tblPr>
      <w:tblStyleRowBandSize w:val="1"/>
      <w:tblStyleColBandSize w:val="1"/>
      <w:tblCellMar>
        <w:left w:w="115" w:type="dxa"/>
        <w:right w:w="115" w:type="dxa"/>
      </w:tblCellMar>
    </w:tblPr>
  </w:style>
  <w:style w:type="table" w:customStyle="1" w:styleId="aff">
    <w:basedOn w:val="TableNormal6"/>
    <w:tblPr>
      <w:tblStyleRowBandSize w:val="1"/>
      <w:tblStyleColBandSize w:val="1"/>
      <w:tblCellMar>
        <w:left w:w="115" w:type="dxa"/>
        <w:right w:w="115" w:type="dxa"/>
      </w:tblCellMar>
    </w:tblPr>
  </w:style>
  <w:style w:type="table" w:customStyle="1" w:styleId="aff0">
    <w:basedOn w:val="TableNormal5"/>
    <w:tblPr>
      <w:tblStyleRowBandSize w:val="1"/>
      <w:tblStyleColBandSize w:val="1"/>
      <w:tblCellMar>
        <w:left w:w="115" w:type="dxa"/>
        <w:right w:w="115" w:type="dxa"/>
      </w:tblCellMar>
    </w:tblPr>
  </w:style>
  <w:style w:type="table" w:customStyle="1" w:styleId="aff1">
    <w:basedOn w:val="TableNormal5"/>
    <w:tblPr>
      <w:tblStyleRowBandSize w:val="1"/>
      <w:tblStyleColBandSize w:val="1"/>
      <w:tblCellMar>
        <w:left w:w="115" w:type="dxa"/>
        <w:right w:w="115" w:type="dxa"/>
      </w:tblCellMar>
    </w:tblPr>
  </w:style>
  <w:style w:type="table" w:customStyle="1" w:styleId="aff2">
    <w:basedOn w:val="TableNormal4"/>
    <w:tblPr>
      <w:tblStyleRowBandSize w:val="1"/>
      <w:tblStyleColBandSize w:val="1"/>
      <w:tblCellMar>
        <w:left w:w="115" w:type="dxa"/>
        <w:right w:w="115" w:type="dxa"/>
      </w:tblCellMar>
    </w:tblPr>
  </w:style>
  <w:style w:type="table" w:customStyle="1" w:styleId="aff3">
    <w:basedOn w:val="TableNormal4"/>
    <w:tblPr>
      <w:tblStyleRowBandSize w:val="1"/>
      <w:tblStyleColBandSize w:val="1"/>
      <w:tblCellMar>
        <w:left w:w="115" w:type="dxa"/>
        <w:right w:w="115" w:type="dxa"/>
      </w:tblCellMar>
    </w:tbl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2"/>
    <w:tblPr>
      <w:tblStyleRowBandSize w:val="1"/>
      <w:tblStyleColBandSize w:val="1"/>
      <w:tblCellMar>
        <w:left w:w="115" w:type="dxa"/>
        <w:right w:w="115" w:type="dxa"/>
      </w:tblCellMar>
    </w:tblPr>
  </w:style>
  <w:style w:type="table" w:customStyle="1" w:styleId="aff7">
    <w:basedOn w:val="TableNormal2"/>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character" w:styleId="nfasissutil">
    <w:name w:val="Subtle Emphasis"/>
    <w:basedOn w:val="Fuentedeprrafopredeter"/>
    <w:uiPriority w:val="19"/>
    <w:qFormat/>
    <w:rsid w:val="00B40AD5"/>
    <w:rPr>
      <w:i/>
      <w:iCs/>
      <w:color w:val="404040" w:themeColor="text1" w:themeTint="BF"/>
    </w:rPr>
  </w:style>
  <w:style w:type="character" w:customStyle="1" w:styleId="Mencinsinresolver3">
    <w:name w:val="Mención sin resolver3"/>
    <w:basedOn w:val="Fuentedeprrafopredeter"/>
    <w:uiPriority w:val="99"/>
    <w:semiHidden/>
    <w:unhideWhenUsed/>
    <w:rsid w:val="00960B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73485">
      <w:bodyDiv w:val="1"/>
      <w:marLeft w:val="0"/>
      <w:marRight w:val="0"/>
      <w:marTop w:val="0"/>
      <w:marBottom w:val="0"/>
      <w:divBdr>
        <w:top w:val="none" w:sz="0" w:space="0" w:color="auto"/>
        <w:left w:val="none" w:sz="0" w:space="0" w:color="auto"/>
        <w:bottom w:val="none" w:sz="0" w:space="0" w:color="auto"/>
        <w:right w:val="none" w:sz="0" w:space="0" w:color="auto"/>
      </w:divBdr>
    </w:div>
    <w:div w:id="278414921">
      <w:bodyDiv w:val="1"/>
      <w:marLeft w:val="0"/>
      <w:marRight w:val="0"/>
      <w:marTop w:val="0"/>
      <w:marBottom w:val="0"/>
      <w:divBdr>
        <w:top w:val="none" w:sz="0" w:space="0" w:color="auto"/>
        <w:left w:val="none" w:sz="0" w:space="0" w:color="auto"/>
        <w:bottom w:val="none" w:sz="0" w:space="0" w:color="auto"/>
        <w:right w:val="none" w:sz="0" w:space="0" w:color="auto"/>
      </w:divBdr>
    </w:div>
    <w:div w:id="447044120">
      <w:bodyDiv w:val="1"/>
      <w:marLeft w:val="0"/>
      <w:marRight w:val="0"/>
      <w:marTop w:val="0"/>
      <w:marBottom w:val="0"/>
      <w:divBdr>
        <w:top w:val="none" w:sz="0" w:space="0" w:color="auto"/>
        <w:left w:val="none" w:sz="0" w:space="0" w:color="auto"/>
        <w:bottom w:val="none" w:sz="0" w:space="0" w:color="auto"/>
        <w:right w:val="none" w:sz="0" w:space="0" w:color="auto"/>
      </w:divBdr>
    </w:div>
    <w:div w:id="558134373">
      <w:bodyDiv w:val="1"/>
      <w:marLeft w:val="0"/>
      <w:marRight w:val="0"/>
      <w:marTop w:val="0"/>
      <w:marBottom w:val="0"/>
      <w:divBdr>
        <w:top w:val="none" w:sz="0" w:space="0" w:color="auto"/>
        <w:left w:val="none" w:sz="0" w:space="0" w:color="auto"/>
        <w:bottom w:val="none" w:sz="0" w:space="0" w:color="auto"/>
        <w:right w:val="none" w:sz="0" w:space="0" w:color="auto"/>
      </w:divBdr>
    </w:div>
    <w:div w:id="775488186">
      <w:bodyDiv w:val="1"/>
      <w:marLeft w:val="0"/>
      <w:marRight w:val="0"/>
      <w:marTop w:val="0"/>
      <w:marBottom w:val="0"/>
      <w:divBdr>
        <w:top w:val="none" w:sz="0" w:space="0" w:color="auto"/>
        <w:left w:val="none" w:sz="0" w:space="0" w:color="auto"/>
        <w:bottom w:val="none" w:sz="0" w:space="0" w:color="auto"/>
        <w:right w:val="none" w:sz="0" w:space="0" w:color="auto"/>
      </w:divBdr>
    </w:div>
    <w:div w:id="870149478">
      <w:bodyDiv w:val="1"/>
      <w:marLeft w:val="0"/>
      <w:marRight w:val="0"/>
      <w:marTop w:val="0"/>
      <w:marBottom w:val="0"/>
      <w:divBdr>
        <w:top w:val="none" w:sz="0" w:space="0" w:color="auto"/>
        <w:left w:val="none" w:sz="0" w:space="0" w:color="auto"/>
        <w:bottom w:val="none" w:sz="0" w:space="0" w:color="auto"/>
        <w:right w:val="none" w:sz="0" w:space="0" w:color="auto"/>
      </w:divBdr>
    </w:div>
    <w:div w:id="1056389483">
      <w:bodyDiv w:val="1"/>
      <w:marLeft w:val="0"/>
      <w:marRight w:val="0"/>
      <w:marTop w:val="0"/>
      <w:marBottom w:val="0"/>
      <w:divBdr>
        <w:top w:val="none" w:sz="0" w:space="0" w:color="auto"/>
        <w:left w:val="none" w:sz="0" w:space="0" w:color="auto"/>
        <w:bottom w:val="none" w:sz="0" w:space="0" w:color="auto"/>
        <w:right w:val="none" w:sz="0" w:space="0" w:color="auto"/>
      </w:divBdr>
    </w:div>
    <w:div w:id="1176462792">
      <w:bodyDiv w:val="1"/>
      <w:marLeft w:val="0"/>
      <w:marRight w:val="0"/>
      <w:marTop w:val="0"/>
      <w:marBottom w:val="0"/>
      <w:divBdr>
        <w:top w:val="none" w:sz="0" w:space="0" w:color="auto"/>
        <w:left w:val="none" w:sz="0" w:space="0" w:color="auto"/>
        <w:bottom w:val="none" w:sz="0" w:space="0" w:color="auto"/>
        <w:right w:val="none" w:sz="0" w:space="0" w:color="auto"/>
      </w:divBdr>
    </w:div>
    <w:div w:id="1604418331">
      <w:bodyDiv w:val="1"/>
      <w:marLeft w:val="0"/>
      <w:marRight w:val="0"/>
      <w:marTop w:val="0"/>
      <w:marBottom w:val="0"/>
      <w:divBdr>
        <w:top w:val="none" w:sz="0" w:space="0" w:color="auto"/>
        <w:left w:val="none" w:sz="0" w:space="0" w:color="auto"/>
        <w:bottom w:val="none" w:sz="0" w:space="0" w:color="auto"/>
        <w:right w:val="none" w:sz="0" w:space="0" w:color="auto"/>
      </w:divBdr>
    </w:div>
    <w:div w:id="1625429502">
      <w:bodyDiv w:val="1"/>
      <w:marLeft w:val="0"/>
      <w:marRight w:val="0"/>
      <w:marTop w:val="0"/>
      <w:marBottom w:val="0"/>
      <w:divBdr>
        <w:top w:val="none" w:sz="0" w:space="0" w:color="auto"/>
        <w:left w:val="none" w:sz="0" w:space="0" w:color="auto"/>
        <w:bottom w:val="none" w:sz="0" w:space="0" w:color="auto"/>
        <w:right w:val="none" w:sz="0" w:space="0" w:color="auto"/>
      </w:divBdr>
    </w:div>
    <w:div w:id="1679694377">
      <w:bodyDiv w:val="1"/>
      <w:marLeft w:val="0"/>
      <w:marRight w:val="0"/>
      <w:marTop w:val="0"/>
      <w:marBottom w:val="0"/>
      <w:divBdr>
        <w:top w:val="none" w:sz="0" w:space="0" w:color="auto"/>
        <w:left w:val="none" w:sz="0" w:space="0" w:color="auto"/>
        <w:bottom w:val="none" w:sz="0" w:space="0" w:color="auto"/>
        <w:right w:val="none" w:sz="0" w:space="0" w:color="auto"/>
      </w:divBdr>
    </w:div>
    <w:div w:id="1703478412">
      <w:bodyDiv w:val="1"/>
      <w:marLeft w:val="0"/>
      <w:marRight w:val="0"/>
      <w:marTop w:val="0"/>
      <w:marBottom w:val="0"/>
      <w:divBdr>
        <w:top w:val="none" w:sz="0" w:space="0" w:color="auto"/>
        <w:left w:val="none" w:sz="0" w:space="0" w:color="auto"/>
        <w:bottom w:val="none" w:sz="0" w:space="0" w:color="auto"/>
        <w:right w:val="none" w:sz="0" w:space="0" w:color="auto"/>
      </w:divBdr>
    </w:div>
    <w:div w:id="1887140477">
      <w:bodyDiv w:val="1"/>
      <w:marLeft w:val="0"/>
      <w:marRight w:val="0"/>
      <w:marTop w:val="0"/>
      <w:marBottom w:val="0"/>
      <w:divBdr>
        <w:top w:val="none" w:sz="0" w:space="0" w:color="auto"/>
        <w:left w:val="none" w:sz="0" w:space="0" w:color="auto"/>
        <w:bottom w:val="none" w:sz="0" w:space="0" w:color="auto"/>
        <w:right w:val="none" w:sz="0" w:space="0" w:color="auto"/>
      </w:divBdr>
    </w:div>
    <w:div w:id="2137479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V5ylGZLJ11C52PpO5eJlCgLmKA==">CgMxLjAyCWguM3JkY3JqbjIOaC5kYWozajJ4bzZxNjYyCGguZ2pkZ3hzMgloLjNkeTZ2a20yCWguMzBqMHpsbDIJaC4yczhleW8xMghoLnR5amN3dDIJaC4yZXQ5MnAwMg5oLnY0MG1yMjllZHhzcTIJaC4xdDNoNXNmMghoLmxueGJ6OTgAciExcm9KeU5QYmhCbWVDenFUSm1jQ1BnTWp2d29laXFrZG4=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6639</Words>
  <Characters>36517</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Maricela Villagómez Martínez</cp:lastModifiedBy>
  <cp:revision>2</cp:revision>
  <cp:lastPrinted>2026-09-25T18:07:00Z</cp:lastPrinted>
  <dcterms:created xsi:type="dcterms:W3CDTF">2026-09-28T16:16:00Z</dcterms:created>
  <dcterms:modified xsi:type="dcterms:W3CDTF">2026-09-28T16:16:00Z</dcterms:modified>
</cp:coreProperties>
</file>