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340" w:rsidRDefault="00AA36F5">
      <w:pPr>
        <w:spacing w:line="360" w:lineRule="auto"/>
        <w:ind w:right="-101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Pr>
          <w:rFonts w:ascii="Palatino Linotype" w:eastAsia="Palatino Linotype" w:hAnsi="Palatino Linotype" w:cs="Palatino Linotype"/>
          <w:b/>
          <w:bCs/>
        </w:rPr>
        <w:t>fecha diez (10) de junio de dos mil veintiséis.</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spacing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10878/INFOEM/IP/RR/2025, </w:t>
      </w:r>
      <w:r>
        <w:rPr>
          <w:rFonts w:ascii="Palatino Linotype" w:eastAsia="Palatino Linotype" w:hAnsi="Palatino Linotype" w:cs="Palatino Linotype"/>
        </w:rPr>
        <w:t xml:space="preserve">promovido por </w:t>
      </w:r>
      <w:r w:rsidR="001226F1">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Colegio de Estudios Científicos y Tecnológicos del Estado de México,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por lo que se procede a dictar la presente resolución, con base en los siguientes: </w:t>
      </w:r>
    </w:p>
    <w:p w:rsidR="00E03340" w:rsidRDefault="00E03340">
      <w:pPr>
        <w:spacing w:line="360" w:lineRule="auto"/>
        <w:ind w:right="-1017"/>
        <w:jc w:val="both"/>
        <w:rPr>
          <w:rFonts w:ascii="Palatino Linotype" w:eastAsia="Palatino Linotype" w:hAnsi="Palatino Linotype" w:cs="Palatino Linotype"/>
          <w:b/>
          <w:bCs/>
        </w:rPr>
      </w:pPr>
    </w:p>
    <w:p w:rsidR="00E03340" w:rsidRDefault="00AA36F5">
      <w:pPr>
        <w:keepNext/>
        <w:keepLines/>
        <w:spacing w:line="360" w:lineRule="auto"/>
        <w:ind w:right="-1017"/>
        <w:jc w:val="center"/>
        <w:rPr>
          <w:rFonts w:ascii="Palatino Linotype" w:eastAsia="Palatino Linotype" w:hAnsi="Palatino Linotype" w:cs="Palatino Linotype"/>
          <w:b/>
          <w:bCs/>
        </w:rPr>
      </w:pPr>
      <w:bookmarkStart w:id="0" w:name="_heading=h.gjdgxs" w:colFirst="0" w:colLast="0"/>
      <w:bookmarkEnd w:id="0"/>
      <w:r>
        <w:rPr>
          <w:rFonts w:ascii="Palatino Linotype" w:eastAsia="Palatino Linotype" w:hAnsi="Palatino Linotype" w:cs="Palatino Linotype"/>
          <w:b/>
          <w:bCs/>
        </w:rPr>
        <w:t>A N T E C E D E N T E S</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veintiséis de agosto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Pr>
          <w:rFonts w:ascii="Palatino Linotype" w:eastAsia="Palatino Linotype" w:hAnsi="Palatino Linotype" w:cs="Palatino Linotype"/>
          <w:b/>
          <w:bCs/>
          <w:color w:val="000000"/>
        </w:rPr>
        <w:t xml:space="preserve">00042/CECyTEM/IP/2025, </w:t>
      </w:r>
      <w:r>
        <w:rPr>
          <w:rFonts w:ascii="Palatino Linotype" w:eastAsia="Palatino Linotype" w:hAnsi="Palatino Linotype" w:cs="Palatino Linotype"/>
        </w:rPr>
        <w:t>en la que se</w:t>
      </w:r>
      <w:r>
        <w:rPr>
          <w:rFonts w:ascii="Palatino Linotype" w:eastAsia="Palatino Linotype" w:hAnsi="Palatino Linotype" w:cs="Palatino Linotype"/>
          <w:color w:val="000000"/>
        </w:rPr>
        <w:t xml:space="preserve"> solicitó lo siguiente:</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spacing w:line="360" w:lineRule="auto"/>
        <w:ind w:left="720"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“Sueldo, plaza o categoría, Documento que acredite la escolaridad, la constancia de antecedentes no penales y/o certificado de antecedentes no penales sin omonimos, así como el currículum vitae de todos y cada uno de los servidores públicos que laboran en el Plantel Toluca 1 del personal administrativo y docentes.” (Sic) </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señaló como modalidad de entrega a través de SAIMEX.</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dos de septiembre de dos mil veinticinco</w:t>
      </w:r>
      <w:r>
        <w:rPr>
          <w:rFonts w:ascii="Palatino Linotype" w:eastAsia="Palatino Linotype" w:hAnsi="Palatino Linotype" w:cs="Palatino Linotype"/>
          <w:color w:val="000000"/>
        </w:rPr>
        <w:t xml:space="preserve">, se realizó un requerimiento al servidor público habilitado. </w:t>
      </w:r>
    </w:p>
    <w:p w:rsidR="00E03340" w:rsidRDefault="00E03340">
      <w:pPr>
        <w:pBdr>
          <w:top w:val="nil"/>
          <w:left w:val="nil"/>
          <w:bottom w:val="nil"/>
          <w:right w:val="nil"/>
          <w:between w:val="nil"/>
        </w:pBdr>
        <w:ind w:left="720"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diecisiete de septiembre de dos mil veinticinco</w:t>
      </w:r>
      <w:r>
        <w:rPr>
          <w:rFonts w:ascii="Palatino Linotype" w:eastAsia="Palatino Linotype" w:hAnsi="Palatino Linotype" w:cs="Palatino Linotype"/>
          <w:color w:val="000000"/>
        </w:rPr>
        <w:t>, el Sujeto Obligado dio respuesta a la solicitud de información en los siguientes términos:</w:t>
      </w:r>
    </w:p>
    <w:tbl>
      <w:tblPr>
        <w:tblStyle w:val="a"/>
        <w:tblW w:w="7256" w:type="dxa"/>
        <w:jc w:val="center"/>
        <w:tblInd w:w="0" w:type="dxa"/>
        <w:tblLayout w:type="fixed"/>
        <w:tblLook w:val="0400" w:firstRow="0" w:lastRow="0" w:firstColumn="0" w:lastColumn="0" w:noHBand="0" w:noVBand="1"/>
      </w:tblPr>
      <w:tblGrid>
        <w:gridCol w:w="7256"/>
      </w:tblGrid>
      <w:tr w:rsidR="00E03340">
        <w:trPr>
          <w:trHeight w:val="283"/>
          <w:jc w:val="center"/>
        </w:trPr>
        <w:tc>
          <w:tcPr>
            <w:tcW w:w="7256" w:type="dxa"/>
            <w:vAlign w:val="center"/>
          </w:tcPr>
          <w:p w:rsidR="00782A26" w:rsidRDefault="00782A26">
            <w:pPr>
              <w:ind w:right="-1017"/>
              <w:jc w:val="right"/>
              <w:rPr>
                <w:rFonts w:ascii="Palatino Linotype" w:eastAsia="Palatino Linotype" w:hAnsi="Palatino Linotype" w:cs="Palatino Linotype"/>
                <w:i/>
                <w:iCs/>
              </w:rPr>
            </w:pPr>
          </w:p>
          <w:p w:rsidR="00E03340" w:rsidRDefault="00AA36F5">
            <w:pPr>
              <w:ind w:right="-1017"/>
              <w:jc w:val="right"/>
              <w:rPr>
                <w:rFonts w:ascii="Palatino Linotype" w:eastAsia="Palatino Linotype" w:hAnsi="Palatino Linotype" w:cs="Palatino Linotype"/>
                <w:i/>
                <w:iCs/>
              </w:rPr>
            </w:pPr>
            <w:r>
              <w:rPr>
                <w:rFonts w:ascii="Palatino Linotype" w:eastAsia="Palatino Linotype" w:hAnsi="Palatino Linotype" w:cs="Palatino Linotype"/>
                <w:i/>
                <w:iCs/>
              </w:rPr>
              <w:t>“Metepec, México a 17 de Septiembre de 2025</w:t>
            </w:r>
          </w:p>
        </w:tc>
      </w:tr>
      <w:tr w:rsidR="00E03340">
        <w:trPr>
          <w:trHeight w:val="283"/>
          <w:jc w:val="center"/>
        </w:trPr>
        <w:tc>
          <w:tcPr>
            <w:tcW w:w="7256" w:type="dxa"/>
            <w:vAlign w:val="center"/>
          </w:tcPr>
          <w:p w:rsidR="00E03340" w:rsidRDefault="00AA36F5">
            <w:pPr>
              <w:ind w:right="-1017"/>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E03340">
        <w:trPr>
          <w:trHeight w:val="283"/>
          <w:jc w:val="center"/>
        </w:trPr>
        <w:tc>
          <w:tcPr>
            <w:tcW w:w="7256" w:type="dxa"/>
            <w:vAlign w:val="center"/>
          </w:tcPr>
          <w:p w:rsidR="00E03340" w:rsidRDefault="00AA36F5">
            <w:pPr>
              <w:ind w:right="-1017"/>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00042/CECyTEM/IP/2025</w:t>
            </w:r>
          </w:p>
        </w:tc>
      </w:tr>
      <w:tr w:rsidR="00E03340">
        <w:trPr>
          <w:trHeight w:val="424"/>
          <w:jc w:val="center"/>
        </w:trPr>
        <w:tc>
          <w:tcPr>
            <w:tcW w:w="7256" w:type="dxa"/>
            <w:vAlign w:val="center"/>
          </w:tcPr>
          <w:p w:rsidR="00E03340" w:rsidRDefault="00E03340">
            <w:pPr>
              <w:ind w:right="-1017"/>
              <w:jc w:val="right"/>
              <w:rPr>
                <w:rFonts w:ascii="Palatino Linotype" w:eastAsia="Palatino Linotype" w:hAnsi="Palatino Linotype" w:cs="Palatino Linotype"/>
                <w:i/>
                <w:iCs/>
              </w:rPr>
            </w:pPr>
          </w:p>
        </w:tc>
      </w:tr>
      <w:tr w:rsidR="00E03340">
        <w:trPr>
          <w:trHeight w:val="141"/>
          <w:jc w:val="center"/>
        </w:trPr>
        <w:tc>
          <w:tcPr>
            <w:tcW w:w="7256" w:type="dxa"/>
            <w:vAlign w:val="center"/>
          </w:tcPr>
          <w:p w:rsidR="00E03340" w:rsidRDefault="00AA36F5">
            <w:pPr>
              <w:ind w:right="-1017"/>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E03340">
        <w:trPr>
          <w:trHeight w:val="354"/>
          <w:jc w:val="center"/>
        </w:trPr>
        <w:tc>
          <w:tcPr>
            <w:tcW w:w="7256" w:type="dxa"/>
            <w:vAlign w:val="center"/>
          </w:tcPr>
          <w:p w:rsidR="00E03340" w:rsidRDefault="00E03340">
            <w:pPr>
              <w:ind w:right="-1017"/>
              <w:rPr>
                <w:rFonts w:ascii="Palatino Linotype" w:eastAsia="Palatino Linotype" w:hAnsi="Palatino Linotype" w:cs="Palatino Linotype"/>
                <w:i/>
                <w:iCs/>
              </w:rPr>
            </w:pPr>
          </w:p>
        </w:tc>
      </w:tr>
      <w:tr w:rsidR="00E03340">
        <w:trPr>
          <w:trHeight w:val="141"/>
          <w:jc w:val="center"/>
        </w:trPr>
        <w:tc>
          <w:tcPr>
            <w:tcW w:w="7256" w:type="dxa"/>
            <w:vAlign w:val="center"/>
          </w:tcPr>
          <w:p w:rsidR="00E03340" w:rsidRDefault="00AA36F5">
            <w:pPr>
              <w:ind w:right="-1017"/>
              <w:rPr>
                <w:rFonts w:ascii="Palatino Linotype" w:eastAsia="Palatino Linotype" w:hAnsi="Palatino Linotype" w:cs="Palatino Linotype"/>
                <w:i/>
                <w:iCs/>
              </w:rPr>
            </w:pPr>
            <w:r>
              <w:rPr>
                <w:rFonts w:ascii="Palatino Linotype" w:eastAsia="Palatino Linotype" w:hAnsi="Palatino Linotype" w:cs="Palatino Linotype"/>
                <w:i/>
                <w:iCs/>
              </w:rPr>
              <w:t>Se hace entrega de la información correspondiente a través del oficio No. 228C0401050101L/0774/2025 que emite la Jefa del Departamento de Administración de Personal del Colegio con sus respectivos anexos en versión pública aprobados en la Trigésima Séptima Sesión Ordinaria del Comité de Transparencia.</w:t>
            </w:r>
          </w:p>
        </w:tc>
      </w:tr>
      <w:tr w:rsidR="00E03340">
        <w:trPr>
          <w:trHeight w:val="354"/>
          <w:jc w:val="center"/>
        </w:trPr>
        <w:tc>
          <w:tcPr>
            <w:tcW w:w="7256" w:type="dxa"/>
            <w:vAlign w:val="center"/>
          </w:tcPr>
          <w:p w:rsidR="00E03340" w:rsidRDefault="00E03340">
            <w:pPr>
              <w:ind w:right="-1017"/>
              <w:rPr>
                <w:rFonts w:ascii="Palatino Linotype" w:eastAsia="Palatino Linotype" w:hAnsi="Palatino Linotype" w:cs="Palatino Linotype"/>
                <w:i/>
                <w:iCs/>
              </w:rPr>
            </w:pPr>
          </w:p>
        </w:tc>
      </w:tr>
      <w:tr w:rsidR="00E03340">
        <w:trPr>
          <w:trHeight w:val="141"/>
          <w:jc w:val="center"/>
        </w:trPr>
        <w:tc>
          <w:tcPr>
            <w:tcW w:w="7256" w:type="dxa"/>
            <w:vAlign w:val="center"/>
          </w:tcPr>
          <w:p w:rsidR="00E03340" w:rsidRDefault="00E03340">
            <w:pPr>
              <w:ind w:right="-1017"/>
              <w:jc w:val="center"/>
              <w:rPr>
                <w:rFonts w:ascii="Palatino Linotype" w:eastAsia="Palatino Linotype" w:hAnsi="Palatino Linotype" w:cs="Palatino Linotype"/>
                <w:i/>
                <w:iCs/>
              </w:rPr>
            </w:pPr>
          </w:p>
        </w:tc>
      </w:tr>
      <w:tr w:rsidR="00E03340">
        <w:trPr>
          <w:trHeight w:val="141"/>
          <w:jc w:val="center"/>
        </w:trPr>
        <w:tc>
          <w:tcPr>
            <w:tcW w:w="7256" w:type="dxa"/>
            <w:vAlign w:val="center"/>
          </w:tcPr>
          <w:p w:rsidR="00E03340" w:rsidRDefault="00E03340">
            <w:pPr>
              <w:ind w:right="-1017"/>
              <w:rPr>
                <w:rFonts w:ascii="Palatino Linotype" w:eastAsia="Palatino Linotype" w:hAnsi="Palatino Linotype" w:cs="Palatino Linotype"/>
                <w:i/>
                <w:iCs/>
              </w:rPr>
            </w:pPr>
          </w:p>
        </w:tc>
      </w:tr>
      <w:tr w:rsidR="00E03340">
        <w:trPr>
          <w:trHeight w:val="141"/>
          <w:jc w:val="center"/>
        </w:trPr>
        <w:tc>
          <w:tcPr>
            <w:tcW w:w="7256" w:type="dxa"/>
            <w:vAlign w:val="center"/>
          </w:tcPr>
          <w:p w:rsidR="00E03340" w:rsidRDefault="00AA36F5">
            <w:pPr>
              <w:ind w:right="-1017"/>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E03340">
        <w:trPr>
          <w:trHeight w:val="212"/>
          <w:jc w:val="center"/>
        </w:trPr>
        <w:tc>
          <w:tcPr>
            <w:tcW w:w="7256" w:type="dxa"/>
            <w:vAlign w:val="center"/>
          </w:tcPr>
          <w:p w:rsidR="00E03340" w:rsidRDefault="00E03340">
            <w:pPr>
              <w:ind w:right="-1017"/>
              <w:rPr>
                <w:rFonts w:ascii="Palatino Linotype" w:eastAsia="Palatino Linotype" w:hAnsi="Palatino Linotype" w:cs="Palatino Linotype"/>
                <w:i/>
                <w:iCs/>
              </w:rPr>
            </w:pPr>
          </w:p>
        </w:tc>
      </w:tr>
      <w:tr w:rsidR="00E03340">
        <w:trPr>
          <w:trHeight w:val="141"/>
          <w:jc w:val="center"/>
        </w:trPr>
        <w:tc>
          <w:tcPr>
            <w:tcW w:w="7256" w:type="dxa"/>
            <w:vAlign w:val="center"/>
          </w:tcPr>
          <w:p w:rsidR="00E03340" w:rsidRDefault="00AA36F5">
            <w:pPr>
              <w:ind w:right="-1017"/>
              <w:rPr>
                <w:rFonts w:ascii="Palatino Linotype" w:eastAsia="Palatino Linotype" w:hAnsi="Palatino Linotype" w:cs="Palatino Linotype"/>
                <w:i/>
                <w:iCs/>
              </w:rPr>
            </w:pPr>
            <w:r>
              <w:rPr>
                <w:rFonts w:ascii="Palatino Linotype" w:eastAsia="Palatino Linotype" w:hAnsi="Palatino Linotype" w:cs="Palatino Linotype"/>
                <w:i/>
                <w:iCs/>
              </w:rPr>
              <w:t>L.A. MARÍA DANIELA AGUILAR TORRES2</w:t>
            </w:r>
          </w:p>
        </w:tc>
      </w:tr>
    </w:tbl>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782A26" w:rsidRDefault="00782A26">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dieciocho de septiembre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en contra de la respuesta, señalando como:</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782A26" w:rsidRDefault="00782A26">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1"/>
        </w:numPr>
        <w:spacing w:line="360" w:lineRule="auto"/>
        <w:ind w:left="851" w:right="-1017" w:firstLine="0"/>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“Negación de información " (Sic)</w:t>
      </w:r>
    </w:p>
    <w:p w:rsidR="00E03340" w:rsidRDefault="00E03340">
      <w:pPr>
        <w:spacing w:line="360" w:lineRule="auto"/>
        <w:ind w:left="851" w:right="-1017"/>
        <w:jc w:val="both"/>
        <w:rPr>
          <w:rFonts w:ascii="Palatino Linotype" w:eastAsia="Palatino Linotype" w:hAnsi="Palatino Linotype" w:cs="Palatino Linotype"/>
        </w:rPr>
      </w:pPr>
    </w:p>
    <w:p w:rsidR="00E03340" w:rsidRDefault="00AA36F5">
      <w:pPr>
        <w:numPr>
          <w:ilvl w:val="0"/>
          <w:numId w:val="1"/>
        </w:numPr>
        <w:spacing w:line="360" w:lineRule="auto"/>
        <w:ind w:left="851" w:right="-1017" w:firstLine="0"/>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rPr>
        <w:t>"</w:t>
      </w:r>
      <w:r>
        <w:rPr>
          <w:rFonts w:ascii="Verdana" w:eastAsia="Verdana" w:hAnsi="Verdana" w:cs="Verdana"/>
          <w:color w:val="000000"/>
        </w:rPr>
        <w:t xml:space="preserve"> </w:t>
      </w:r>
      <w:r>
        <w:rPr>
          <w:rFonts w:ascii="Palatino Linotype" w:eastAsia="Palatino Linotype" w:hAnsi="Palatino Linotype" w:cs="Palatino Linotype"/>
          <w:i/>
          <w:iCs/>
        </w:rPr>
        <w:t>Negación de información ya que los archivos cargados en carpeta zip se encuentran dañados y no cargan y/o marca error " (Sic)</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 xml:space="preserve">su análisis. </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Comisionad</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rPr>
        <w:t>diecinueve de septiembre de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E03340" w:rsidRDefault="00E03340">
      <w:pPr>
        <w:pBdr>
          <w:top w:val="nil"/>
          <w:left w:val="nil"/>
          <w:bottom w:val="nil"/>
          <w:right w:val="nil"/>
          <w:between w:val="nil"/>
        </w:pBdr>
        <w:ind w:left="720" w:right="-1017"/>
        <w:jc w:val="both"/>
        <w:rPr>
          <w:rFonts w:ascii="Palatino Linotype" w:eastAsia="Palatino Linotype" w:hAnsi="Palatino Linotype" w:cs="Palatino Linotype"/>
          <w:color w:val="000000"/>
        </w:rPr>
      </w:pPr>
    </w:p>
    <w:p w:rsidR="00782A26"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por su parte, el Sujeto Obligado entregó informe justificado el </w:t>
      </w:r>
      <w:r>
        <w:rPr>
          <w:rFonts w:ascii="Palatino Linotype" w:eastAsia="Palatino Linotype" w:hAnsi="Palatino Linotype" w:cs="Palatino Linotype"/>
          <w:b/>
          <w:bCs/>
          <w:color w:val="000000"/>
        </w:rPr>
        <w:t>primero de octubre de dos mil veinticinco</w:t>
      </w:r>
      <w:r>
        <w:rPr>
          <w:rFonts w:ascii="Palatino Linotype" w:eastAsia="Palatino Linotype" w:hAnsi="Palatino Linotype" w:cs="Palatino Linotype"/>
          <w:color w:val="000000"/>
        </w:rPr>
        <w:t xml:space="preserve">, parte de los documentos remitidos en informe se pusieron a la vista del Recurrente el </w:t>
      </w:r>
      <w:r>
        <w:rPr>
          <w:rFonts w:ascii="Palatino Linotype" w:eastAsia="Palatino Linotype" w:hAnsi="Palatino Linotype" w:cs="Palatino Linotype"/>
          <w:b/>
          <w:bCs/>
          <w:color w:val="000000"/>
        </w:rPr>
        <w:t>dos de junio de dos mil veintiséis</w:t>
      </w:r>
      <w:r>
        <w:rPr>
          <w:rFonts w:ascii="Palatino Linotype" w:eastAsia="Palatino Linotype" w:hAnsi="Palatino Linotype" w:cs="Palatino Linotype"/>
          <w:color w:val="000000"/>
        </w:rPr>
        <w:t>, en los que se advierten documentos que acreditan el grado de estudios, certificado de no antecedentes penales y currículum vitae de los servidores públicos.</w:t>
      </w:r>
    </w:p>
    <w:p w:rsidR="00782A26" w:rsidRDefault="00782A26" w:rsidP="00782A26">
      <w:pPr>
        <w:pStyle w:val="Prrafodelista"/>
        <w:rPr>
          <w:rFonts w:ascii="Palatino Linotype" w:eastAsia="Palatino Linotype" w:hAnsi="Palatino Linotype" w:cs="Palatino Linotype"/>
          <w:color w:val="000000"/>
        </w:rPr>
      </w:pPr>
    </w:p>
    <w:p w:rsidR="00E03340" w:rsidRDefault="00AA36F5" w:rsidP="00782A26">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veintiséis de enero de dos mil veintiséis</w:t>
      </w:r>
      <w:r>
        <w:rPr>
          <w:rFonts w:ascii="Palatino Linotype" w:eastAsia="Palatino Linotype" w:hAnsi="Palatino Linotype" w:cs="Palatino Linotype"/>
          <w:color w:val="000000"/>
        </w:rPr>
        <w:t xml:space="preserve">, se notificó el acuerdo mediante el cual se aprobó la ampliación de plazo para emitir resolución. </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decretó el cierre de instrucción mediante el acuerdo del </w:t>
      </w:r>
      <w:r>
        <w:rPr>
          <w:rFonts w:ascii="Palatino Linotype" w:eastAsia="Palatino Linotype" w:hAnsi="Palatino Linotype" w:cs="Palatino Linotype"/>
          <w:b/>
          <w:bCs/>
          <w:color w:val="000000"/>
        </w:rPr>
        <w:t>ocho de junio de dos mil veintiséis.</w:t>
      </w:r>
    </w:p>
    <w:p w:rsidR="00E03340" w:rsidRDefault="00E03340">
      <w:pPr>
        <w:spacing w:line="360" w:lineRule="auto"/>
        <w:ind w:right="-1017"/>
        <w:jc w:val="center"/>
        <w:rPr>
          <w:rFonts w:ascii="Palatino Linotype" w:eastAsia="Palatino Linotype" w:hAnsi="Palatino Linotype" w:cs="Palatino Linotype"/>
        </w:rPr>
      </w:pPr>
    </w:p>
    <w:p w:rsidR="00E03340" w:rsidRDefault="00AA36F5">
      <w:pPr>
        <w:spacing w:line="360" w:lineRule="auto"/>
        <w:ind w:right="-1017"/>
        <w:jc w:val="center"/>
        <w:rPr>
          <w:rFonts w:ascii="Palatino Linotype" w:eastAsia="Palatino Linotype" w:hAnsi="Palatino Linotype" w:cs="Palatino Linotype"/>
        </w:rPr>
      </w:pPr>
      <w:bookmarkStart w:id="1" w:name="_heading=h.1fob9te" w:colFirst="0" w:colLast="0"/>
      <w:bookmarkEnd w:id="1"/>
      <w:r>
        <w:rPr>
          <w:rFonts w:ascii="Palatino Linotype" w:eastAsia="Palatino Linotype" w:hAnsi="Palatino Linotype" w:cs="Palatino Linotype"/>
          <w:b/>
          <w:bCs/>
        </w:rPr>
        <w:t>C O N S I D E R A N D O</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spacing w:line="360" w:lineRule="auto"/>
        <w:ind w:right="-1017"/>
        <w:jc w:val="both"/>
        <w:rPr>
          <w:rFonts w:ascii="Palatino Linotype" w:eastAsia="Palatino Linotype" w:hAnsi="Palatino Linotype" w:cs="Palatino Linotype"/>
          <w:b/>
          <w:bCs/>
        </w:rPr>
      </w:pPr>
      <w:bookmarkStart w:id="2" w:name="_heading=h.3znysh7" w:colFirst="0" w:colLast="0"/>
      <w:bookmarkEnd w:id="2"/>
      <w:r>
        <w:rPr>
          <w:rFonts w:ascii="Palatino Linotype" w:eastAsia="Palatino Linotype" w:hAnsi="Palatino Linotype" w:cs="Palatino Linotype"/>
          <w:b/>
          <w:bCs/>
        </w:rPr>
        <w:t>PRIMERO. De la competencia</w:t>
      </w:r>
    </w:p>
    <w:p w:rsidR="00E03340" w:rsidRDefault="00AA36F5">
      <w:pPr>
        <w:numPr>
          <w:ilvl w:val="0"/>
          <w:numId w:val="6"/>
        </w:numPr>
        <w:pBdr>
          <w:top w:val="nil"/>
          <w:left w:val="nil"/>
          <w:bottom w:val="nil"/>
          <w:right w:val="nil"/>
          <w:between w:val="nil"/>
        </w:pBdr>
        <w:spacing w:before="240" w:line="360" w:lineRule="auto"/>
        <w:ind w:left="0" w:right="-1017" w:firstLine="0"/>
        <w:jc w:val="both"/>
        <w:rPr>
          <w:rFonts w:ascii="Palatino Linotype" w:eastAsia="Palatino Linotype" w:hAnsi="Palatino Linotype" w:cs="Palatino Linotype"/>
          <w:color w:val="000000"/>
        </w:rPr>
      </w:pPr>
      <w:bookmarkStart w:id="3" w:name="_GoBack"/>
      <w:bookmarkEnd w:id="3"/>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E03340" w:rsidRDefault="00E03340">
      <w:pPr>
        <w:pBdr>
          <w:top w:val="nil"/>
          <w:left w:val="nil"/>
          <w:bottom w:val="nil"/>
          <w:right w:val="nil"/>
          <w:between w:val="nil"/>
        </w:pBdr>
        <w:spacing w:before="240" w:line="360" w:lineRule="auto"/>
        <w:ind w:right="-1017"/>
        <w:jc w:val="both"/>
        <w:rPr>
          <w:rFonts w:ascii="Palatino Linotype" w:eastAsia="Palatino Linotype" w:hAnsi="Palatino Linotype" w:cs="Palatino Linotype"/>
          <w:color w:val="000000"/>
        </w:rPr>
      </w:pPr>
    </w:p>
    <w:p w:rsidR="00E03340" w:rsidRDefault="00AA36F5">
      <w:pPr>
        <w:keepNext/>
        <w:keepLines/>
        <w:spacing w:line="360" w:lineRule="auto"/>
        <w:ind w:right="-1017"/>
        <w:jc w:val="both"/>
        <w:rPr>
          <w:rFonts w:ascii="Palatino Linotype" w:eastAsia="Palatino Linotype" w:hAnsi="Palatino Linotype" w:cs="Palatino Linotype"/>
          <w:b/>
          <w:bCs/>
        </w:rPr>
      </w:pPr>
      <w:bookmarkStart w:id="4" w:name="_heading=h.2et92p0" w:colFirst="0" w:colLast="0"/>
      <w:bookmarkEnd w:id="4"/>
      <w:r>
        <w:rPr>
          <w:rFonts w:ascii="Palatino Linotype" w:eastAsia="Palatino Linotype" w:hAnsi="Palatino Linotype" w:cs="Palatino Linotype"/>
          <w:b/>
          <w:bCs/>
        </w:rPr>
        <w:t>SEGUNDO. De la oportunidad y procedencia.</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w:t>
      </w:r>
      <w:r>
        <w:rPr>
          <w:rFonts w:ascii="Palatino Linotype" w:eastAsia="Palatino Linotype" w:hAnsi="Palatino Linotype" w:cs="Palatino Linotype"/>
          <w:color w:val="000000"/>
        </w:rPr>
        <w:lastRenderedPageBreak/>
        <w:t xml:space="preserve">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 a la solicitud el </w:t>
      </w:r>
      <w:r>
        <w:rPr>
          <w:rFonts w:ascii="Palatino Linotype" w:eastAsia="Palatino Linotype" w:hAnsi="Palatino Linotype" w:cs="Palatino Linotype"/>
          <w:b/>
          <w:bCs/>
          <w:color w:val="000000"/>
        </w:rPr>
        <w:t>diecisiete de septiembre de dos mil veinticinco</w:t>
      </w:r>
      <w:r>
        <w:rPr>
          <w:rFonts w:ascii="Palatino Linotype" w:eastAsia="Palatino Linotype" w:hAnsi="Palatino Linotype" w:cs="Palatino Linotype"/>
          <w:color w:val="000000"/>
        </w:rPr>
        <w:t>, de tal forma que el plazo para interponer el recurso de revisión transcurrió del</w:t>
      </w:r>
      <w:r>
        <w:rPr>
          <w:rFonts w:ascii="Palatino Linotype" w:eastAsia="Palatino Linotype" w:hAnsi="Palatino Linotype" w:cs="Palatino Linotype"/>
          <w:b/>
          <w:bCs/>
          <w:color w:val="000000"/>
        </w:rPr>
        <w:t xml:space="preserve"> dieciocho de septiembre al ocho de octubre de dos mil veinticinco</w:t>
      </w:r>
      <w:r>
        <w:rPr>
          <w:rFonts w:ascii="Palatino Linotype" w:eastAsia="Palatino Linotype" w:hAnsi="Palatino Linotype" w:cs="Palatino Linotype"/>
          <w:color w:val="000000"/>
        </w:rPr>
        <w:t xml:space="preserve">; en consecuencia, presentó su inconformidad el día </w:t>
      </w:r>
      <w:r>
        <w:rPr>
          <w:rFonts w:ascii="Palatino Linotype" w:eastAsia="Palatino Linotype" w:hAnsi="Palatino Linotype" w:cs="Palatino Linotype"/>
          <w:b/>
          <w:bCs/>
          <w:color w:val="000000"/>
        </w:rPr>
        <w:t>dieciocho de septiembre de dos mil veinticinco</w:t>
      </w:r>
      <w:r>
        <w:rPr>
          <w:rFonts w:ascii="Palatino Linotype" w:eastAsia="Palatino Linotype" w:hAnsi="Palatino Linotype" w:cs="Palatino Linotype"/>
          <w:color w:val="000000"/>
        </w:rPr>
        <w:t xml:space="preserve">, por lo que se encuentra dentro de los márgenes temporales previstos en el artículo 178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vigente.</w:t>
      </w:r>
    </w:p>
    <w:p w:rsidR="00E03340" w:rsidRDefault="00E03340">
      <w:pPr>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03340" w:rsidRDefault="00AA36F5">
      <w:pPr>
        <w:pStyle w:val="Ttulo1"/>
        <w:spacing w:line="360" w:lineRule="auto"/>
        <w:ind w:right="-1017"/>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TERCERO. Del planteamiento de la Litis</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particular solicitó de los servidores públicos que </w:t>
      </w:r>
      <w:r>
        <w:rPr>
          <w:rFonts w:ascii="Palatino Linotype" w:eastAsia="Palatino Linotype" w:hAnsi="Palatino Linotype" w:cs="Palatino Linotype"/>
        </w:rPr>
        <w:t>laboran</w:t>
      </w:r>
      <w:r>
        <w:rPr>
          <w:rFonts w:ascii="Palatino Linotype" w:eastAsia="Palatino Linotype" w:hAnsi="Palatino Linotype" w:cs="Palatino Linotype"/>
          <w:color w:val="000000"/>
        </w:rPr>
        <w:t xml:space="preserve"> en el Plantel Toluca 1 (docente y administrativo), lo siguiente:</w:t>
      </w:r>
    </w:p>
    <w:p w:rsidR="00E03340" w:rsidRDefault="00AA36F5">
      <w:pPr>
        <w:numPr>
          <w:ilvl w:val="0"/>
          <w:numId w:val="7"/>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Sueldo;</w:t>
      </w:r>
    </w:p>
    <w:p w:rsidR="00E03340" w:rsidRDefault="00AA36F5">
      <w:pPr>
        <w:numPr>
          <w:ilvl w:val="0"/>
          <w:numId w:val="7"/>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Plaza o categoría;</w:t>
      </w:r>
    </w:p>
    <w:p w:rsidR="00E03340" w:rsidRDefault="00AA36F5">
      <w:pPr>
        <w:numPr>
          <w:ilvl w:val="0"/>
          <w:numId w:val="7"/>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que acredite escolaridad;</w:t>
      </w:r>
    </w:p>
    <w:p w:rsidR="00E03340" w:rsidRDefault="00AA36F5">
      <w:pPr>
        <w:numPr>
          <w:ilvl w:val="0"/>
          <w:numId w:val="7"/>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Certificado de no antecedentes penales; y </w:t>
      </w:r>
    </w:p>
    <w:p w:rsidR="00E03340" w:rsidRDefault="00AA36F5">
      <w:pPr>
        <w:numPr>
          <w:ilvl w:val="0"/>
          <w:numId w:val="7"/>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Currículum vitae. </w:t>
      </w:r>
    </w:p>
    <w:p w:rsidR="00E03340" w:rsidRDefault="00E03340">
      <w:pPr>
        <w:pBdr>
          <w:top w:val="nil"/>
          <w:left w:val="nil"/>
          <w:bottom w:val="nil"/>
          <w:right w:val="nil"/>
          <w:between w:val="nil"/>
        </w:pBdr>
        <w:spacing w:line="360" w:lineRule="auto"/>
        <w:ind w:left="720" w:right="-1017"/>
        <w:jc w:val="both"/>
        <w:rPr>
          <w:rFonts w:ascii="Palatino Linotype" w:eastAsia="Palatino Linotype" w:hAnsi="Palatino Linotype" w:cs="Palatino Linotype"/>
          <w:i/>
          <w:iCs/>
          <w:color w:val="000000"/>
        </w:rPr>
      </w:pPr>
    </w:p>
    <w:p w:rsidR="00E03340" w:rsidRDefault="00AA36F5">
      <w:pPr>
        <w:numPr>
          <w:ilvl w:val="0"/>
          <w:numId w:val="6"/>
        </w:numPr>
        <w:spacing w:line="360" w:lineRule="auto"/>
        <w:ind w:left="0" w:right="-10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respuesta, el Sujeto Obligado refirió entregar la información remitida por el Departamento de Administración de Personal del Colegio con sus anexos, sin embargo, no </w:t>
      </w:r>
      <w:r>
        <w:rPr>
          <w:rFonts w:ascii="Palatino Linotype" w:eastAsia="Palatino Linotype" w:hAnsi="Palatino Linotype" w:cs="Palatino Linotype"/>
        </w:rPr>
        <w:lastRenderedPageBreak/>
        <w:t xml:space="preserve">adjuntó la información. Consecuentemente, el Recurrente se inconformó por la negativa de la información.  </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numPr>
          <w:ilvl w:val="0"/>
          <w:numId w:val="6"/>
        </w:numPr>
        <w:spacing w:line="360" w:lineRule="auto"/>
        <w:ind w:left="0" w:right="-101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  </w:t>
      </w:r>
    </w:p>
    <w:p w:rsidR="00E03340" w:rsidRDefault="00AA36F5">
      <w:pPr>
        <w:pStyle w:val="Ttulo1"/>
        <w:spacing w:line="360" w:lineRule="auto"/>
        <w:ind w:right="-1017"/>
        <w:jc w:val="both"/>
        <w:rPr>
          <w:rFonts w:ascii="Palatino Linotype" w:eastAsia="Palatino Linotype" w:hAnsi="Palatino Linotype" w:cs="Palatino Linotype"/>
          <w:b/>
          <w:bCs/>
          <w:color w:val="000000"/>
          <w:sz w:val="24"/>
          <w:szCs w:val="24"/>
        </w:rPr>
      </w:pPr>
      <w:bookmarkStart w:id="5" w:name="_heading=h.3dy6vkm" w:colFirst="0" w:colLast="0"/>
      <w:bookmarkEnd w:id="5"/>
      <w:r>
        <w:rPr>
          <w:rFonts w:ascii="Palatino Linotype" w:eastAsia="Palatino Linotype" w:hAnsi="Palatino Linotype" w:cs="Palatino Linotype"/>
          <w:b/>
          <w:bCs/>
          <w:color w:val="000000"/>
          <w:sz w:val="24"/>
          <w:szCs w:val="24"/>
        </w:rPr>
        <w:t xml:space="preserve">CUARTO. Estudio y resolución del recurso de revisión. </w:t>
      </w:r>
    </w:p>
    <w:p w:rsidR="00E03340" w:rsidRDefault="00AA36F5">
      <w:pPr>
        <w:numPr>
          <w:ilvl w:val="0"/>
          <w:numId w:val="6"/>
        </w:numPr>
        <w:pBdr>
          <w:top w:val="nil"/>
          <w:left w:val="nil"/>
          <w:bottom w:val="nil"/>
          <w:right w:val="nil"/>
          <w:between w:val="nil"/>
        </w:pBdr>
        <w:tabs>
          <w:tab w:val="left" w:pos="567"/>
        </w:tabs>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w:t>
      </w:r>
    </w:p>
    <w:p w:rsidR="00E03340" w:rsidRDefault="00E03340">
      <w:pPr>
        <w:spacing w:line="360" w:lineRule="auto"/>
        <w:ind w:right="-1017"/>
        <w:jc w:val="both"/>
        <w:rPr>
          <w:rFonts w:ascii="Palatino Linotype" w:eastAsia="Palatino Linotype" w:hAnsi="Palatino Linotype" w:cs="Palatino Linotype"/>
        </w:rPr>
      </w:pPr>
      <w:bookmarkStart w:id="6" w:name="_heading=h.4d34og8" w:colFirst="0" w:colLast="0"/>
      <w:bookmarkEnd w:id="6"/>
    </w:p>
    <w:p w:rsidR="00E03340" w:rsidRDefault="00AA36F5">
      <w:pPr>
        <w:numPr>
          <w:ilvl w:val="0"/>
          <w:numId w:val="6"/>
        </w:numPr>
        <w:tabs>
          <w:tab w:val="left" w:pos="0"/>
          <w:tab w:val="left" w:pos="567"/>
        </w:tabs>
        <w:spacing w:after="240" w:line="360" w:lineRule="auto"/>
        <w:ind w:left="0" w:right="-101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Pr>
          <w:rFonts w:ascii="Palatino Linotype" w:eastAsia="Palatino Linotype" w:hAnsi="Palatino Linotype" w:cs="Palatino Linotype"/>
          <w:b/>
          <w:bCs/>
          <w:color w:val="000000"/>
        </w:rPr>
        <w:t>SUJETO OBLIGADO y</w:t>
      </w:r>
      <w:r>
        <w:rPr>
          <w:rFonts w:ascii="Palatino Linotype" w:eastAsia="Palatino Linotype" w:hAnsi="Palatino Linotype" w:cs="Palatino Linotype"/>
          <w:color w:val="000000"/>
        </w:rPr>
        <w:t xml:space="preserve"> las manifestaciones realizadas por el </w:t>
      </w:r>
      <w:r>
        <w:rPr>
          <w:rFonts w:ascii="Palatino Linotype" w:eastAsia="Palatino Linotype" w:hAnsi="Palatino Linotype" w:cs="Palatino Linotype"/>
          <w:b/>
          <w:bCs/>
        </w:rPr>
        <w:t>SOLICITANTE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efecto de determinar si la información remitida se encuentra apegada a lo que establece la Ley en materia de Transparencia. Ahora bien, recordemos que el Recurrente solicitó del personal adscrito al Plantel Toluca 1, sueldo, plaza o categoría, documentos que acrediten escolaridad, certificado de no antecedentes penales y currículum vitae. </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Pr>
          <w:rFonts w:ascii="Palatino Linotype" w:eastAsia="Palatino Linotype" w:hAnsi="Palatino Linotype" w:cs="Palatino Linotype"/>
          <w:i/>
          <w:iCs/>
          <w:color w:val="000000"/>
        </w:rPr>
        <w:t xml:space="preserve">en el ámbito de sus atribuciones, de promover, respetar, proteger y </w:t>
      </w:r>
      <w:r>
        <w:rPr>
          <w:rFonts w:ascii="Palatino Linotype" w:eastAsia="Palatino Linotype" w:hAnsi="Palatino Linotype" w:cs="Palatino Linotype"/>
          <w:b/>
          <w:bCs/>
          <w:i/>
          <w:iCs/>
          <w:color w:val="000000"/>
        </w:rPr>
        <w:t>garantizar</w:t>
      </w:r>
      <w:r>
        <w:rPr>
          <w:rFonts w:ascii="Palatino Linotype" w:eastAsia="Palatino Linotype" w:hAnsi="Palatino Linotype" w:cs="Palatino Linotype"/>
          <w:i/>
          <w:iCs/>
          <w:color w:val="000000"/>
        </w:rPr>
        <w:t xml:space="preserve"> los derechos humanos. </w:t>
      </w:r>
      <w:r>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asimismo establece</w:t>
      </w:r>
      <w:r>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E03340" w:rsidRDefault="00E03340">
      <w:pPr>
        <w:pBdr>
          <w:top w:val="nil"/>
          <w:left w:val="nil"/>
          <w:bottom w:val="nil"/>
          <w:right w:val="nil"/>
          <w:between w:val="nil"/>
        </w:pBdr>
        <w:ind w:left="720" w:right="-1017"/>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Pr>
          <w:rFonts w:ascii="Palatino Linotype" w:eastAsia="Palatino Linotype" w:hAnsi="Palatino Linotype" w:cs="Palatino Linotype"/>
        </w:rPr>
        <w:t>administran</w:t>
      </w:r>
      <w:r>
        <w:rPr>
          <w:rFonts w:ascii="Palatino Linotype" w:eastAsia="Palatino Linotype" w:hAnsi="Palatino Linotype" w:cs="Palatino Linotype"/>
          <w:color w:val="000000"/>
        </w:rPr>
        <w:t xml:space="preserve">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E03340" w:rsidRDefault="00E03340">
      <w:pPr>
        <w:pBdr>
          <w:top w:val="nil"/>
          <w:left w:val="nil"/>
          <w:bottom w:val="nil"/>
          <w:right w:val="nil"/>
          <w:between w:val="nil"/>
        </w:pBdr>
        <w:ind w:right="-1017"/>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Es así que, su obligación es </w:t>
      </w:r>
      <w:r>
        <w:rPr>
          <w:rFonts w:ascii="Palatino Linotype" w:eastAsia="Palatino Linotype" w:hAnsi="Palatino Linotype" w:cs="Palatino Linotype"/>
          <w:i/>
          <w:iCs/>
          <w:color w:val="000000"/>
        </w:rPr>
        <w:t>realizar, con efectividad, los trámites internos necesarios para la atención de las solicitudes de información</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 es decir, deben otorgar respuestas concisas, contundentes y sobre todo que den la certeza de los actos que realizan.</w:t>
      </w:r>
    </w:p>
    <w:p w:rsidR="00E03340" w:rsidRDefault="00E03340">
      <w:pPr>
        <w:pBdr>
          <w:top w:val="nil"/>
          <w:left w:val="nil"/>
          <w:bottom w:val="nil"/>
          <w:right w:val="nil"/>
          <w:between w:val="nil"/>
        </w:pBdr>
        <w:ind w:right="-1017"/>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50. </w:t>
      </w:r>
      <w:r>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E03340" w:rsidRDefault="00E03340">
      <w:pPr>
        <w:ind w:left="851" w:right="-1017"/>
        <w:jc w:val="both"/>
        <w:rPr>
          <w:rFonts w:ascii="Palatino Linotype" w:eastAsia="Palatino Linotype" w:hAnsi="Palatino Linotype" w:cs="Palatino Linotype"/>
          <w:i/>
          <w:iCs/>
        </w:rPr>
      </w:pP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E03340">
      <w:pPr>
        <w:ind w:left="851" w:right="-1017"/>
        <w:jc w:val="both"/>
        <w:rPr>
          <w:rFonts w:ascii="Palatino Linotype" w:eastAsia="Palatino Linotype" w:hAnsi="Palatino Linotype" w:cs="Palatino Linotype"/>
          <w:i/>
          <w:iCs/>
        </w:rPr>
      </w:pP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E03340" w:rsidRDefault="00E03340">
      <w:pPr>
        <w:ind w:left="851" w:right="-1017"/>
        <w:jc w:val="both"/>
        <w:rPr>
          <w:rFonts w:ascii="Palatino Linotype" w:eastAsia="Palatino Linotype" w:hAnsi="Palatino Linotype" w:cs="Palatino Linotype"/>
          <w:i/>
          <w:iCs/>
        </w:rPr>
      </w:pP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E03340" w:rsidRDefault="00E03340">
      <w:pPr>
        <w:ind w:left="851" w:right="-1017"/>
        <w:jc w:val="both"/>
        <w:rPr>
          <w:rFonts w:ascii="Palatino Linotype" w:eastAsia="Palatino Linotype" w:hAnsi="Palatino Linotype" w:cs="Palatino Linotype"/>
          <w:i/>
          <w:iCs/>
        </w:rPr>
      </w:pP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E03340">
      <w:pPr>
        <w:ind w:left="851" w:right="-1017"/>
        <w:jc w:val="both"/>
        <w:rPr>
          <w:rFonts w:ascii="Palatino Linotype" w:eastAsia="Palatino Linotype" w:hAnsi="Palatino Linotype" w:cs="Palatino Linotype"/>
          <w:i/>
          <w:iCs/>
        </w:rPr>
      </w:pP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162. </w:t>
      </w:r>
      <w:r>
        <w:rPr>
          <w:rFonts w:ascii="Palatino Linotype" w:eastAsia="Palatino Linotype" w:hAnsi="Palatino Linotype" w:cs="Palatino Linotype"/>
          <w:i/>
          <w:iCs/>
        </w:rPr>
        <w:t xml:space="preserve">Las unidades de transparencia deberán garantizar que las solicitudes se turnen a todas las Áreas competentes que cuenten con la información o deban tenerla de acuerdo a sus </w:t>
      </w:r>
      <w:r>
        <w:rPr>
          <w:rFonts w:ascii="Palatino Linotype" w:eastAsia="Palatino Linotype" w:hAnsi="Palatino Linotype" w:cs="Palatino Linotype"/>
          <w:i/>
          <w:iCs/>
        </w:rPr>
        <w:lastRenderedPageBreak/>
        <w:t>facultades, competencias y funciones, con el objeto de que realicen una búsqueda exhaustiva y razonable de la información solicitada.</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w:t>
      </w:r>
      <w:r>
        <w:rPr>
          <w:rFonts w:ascii="Palatino Linotype" w:eastAsia="Palatino Linotype" w:hAnsi="Palatino Linotype" w:cs="Palatino Linotype"/>
        </w:rPr>
        <w:t>auxiliarán</w:t>
      </w:r>
      <w:r>
        <w:rPr>
          <w:rFonts w:ascii="Palatino Linotype" w:eastAsia="Palatino Linotype" w:hAnsi="Palatino Linotype" w:cs="Palatino Linotype"/>
          <w:color w:val="000000"/>
        </w:rPr>
        <w:t xml:space="preserve">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E03340" w:rsidRDefault="00E03340">
      <w:pPr>
        <w:pBdr>
          <w:top w:val="nil"/>
          <w:left w:val="nil"/>
          <w:bottom w:val="nil"/>
          <w:right w:val="nil"/>
          <w:between w:val="nil"/>
        </w:pBdr>
        <w:ind w:left="720" w:right="-1017"/>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particular, recordemos que el Sujeto Obligado no entregó documentos en respuesta, sin embargo, durante la etapa de manifestaciones, adjuntó su informe justificado remitido por el Departamento de Administración de Personal, quien se acuerdo al Manual General de Organización del Colegio de Estudios Científicos y Tecnológicos del Estado de México, es el área encargada de desarrollar y administrar programas y procedimientos en materia de personal, de acuerdo con los requerimientos de los Planteles del CECyTEM, con </w:t>
      </w:r>
      <w:r>
        <w:rPr>
          <w:rFonts w:ascii="Palatino Linotype" w:eastAsia="Palatino Linotype" w:hAnsi="Palatino Linotype" w:cs="Palatino Linotype"/>
          <w:color w:val="000000"/>
        </w:rPr>
        <w:lastRenderedPageBreak/>
        <w:t xml:space="preserve">apego a las disposiciones legales vigentes en materia laboral, además de llevar a cabo la selección e ingreso de las personas aspirantes, registrar y tramitar los nombramientos, altas, bajas ,permisos o cambios de adscripción, así como la actualización permanente, de los registros, documentación y expedientes de las personas servidora públicas, así como elaborar las nóminas de manera quincenal y generar oportunamente las remuneraciones y descuentos correspondientes. </w:t>
      </w:r>
    </w:p>
    <w:p w:rsidR="00E03340" w:rsidRDefault="00E03340">
      <w:pPr>
        <w:pBdr>
          <w:top w:val="nil"/>
          <w:left w:val="nil"/>
          <w:bottom w:val="nil"/>
          <w:right w:val="nil"/>
          <w:between w:val="nil"/>
        </w:pBdr>
        <w:ind w:left="720" w:right="-1017"/>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contexto, se puede advertir que la respuesta fue emitida por el área que de acuerdo a sus facultades, genera, posee y administra la información solicitada, es decir, que el Sujeto Obligado dio cumplimiento al proceso de búsqueda establecido en la legislación aplicable. </w:t>
      </w:r>
    </w:p>
    <w:p w:rsidR="00E03340" w:rsidRDefault="00E03340">
      <w:pPr>
        <w:pBdr>
          <w:top w:val="nil"/>
          <w:left w:val="nil"/>
          <w:bottom w:val="nil"/>
          <w:right w:val="nil"/>
          <w:between w:val="nil"/>
        </w:pBdr>
        <w:ind w:left="720" w:right="-1017"/>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el Sujeto Obligado en aras de garantizar el derecho de acceso a la información de Recurrente, adjuntó la información solicitada a través de diversos archivos en los que se advierte el comprobante de estudios, certificado de no antecedentes penales y currículum vitae de los servidores públicos, sin embargo, no se pusieron a la vista todos, por advertirse las siguientes consideraciones:</w:t>
      </w:r>
    </w:p>
    <w:p w:rsidR="00E03340" w:rsidRDefault="00AA36F5">
      <w:pPr>
        <w:numPr>
          <w:ilvl w:val="0"/>
          <w:numId w:val="7"/>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versión pública que se realizó permite ver los datos testados;</w:t>
      </w:r>
    </w:p>
    <w:p w:rsidR="00E03340" w:rsidRDefault="00AA36F5">
      <w:pPr>
        <w:numPr>
          <w:ilvl w:val="0"/>
          <w:numId w:val="7"/>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algunos archivos se dejó a la vista información confidencial;</w:t>
      </w:r>
    </w:p>
    <w:p w:rsidR="00E03340" w:rsidRDefault="00AA36F5">
      <w:pPr>
        <w:numPr>
          <w:ilvl w:val="0"/>
          <w:numId w:val="7"/>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los que se pusieron a la vista del Recurrente, en algunos se testó información pública como la fotografía de los servidores públicos.</w:t>
      </w:r>
    </w:p>
    <w:p w:rsidR="00E03340" w:rsidRDefault="00E03340">
      <w:pPr>
        <w:pBdr>
          <w:top w:val="nil"/>
          <w:left w:val="nil"/>
          <w:bottom w:val="nil"/>
          <w:right w:val="nil"/>
          <w:between w:val="nil"/>
        </w:pBdr>
        <w:spacing w:line="360" w:lineRule="auto"/>
        <w:ind w:left="720"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contexto, es necesario analizar los siguientes datos que se advierten dentro de los archivos remitidos en informe justificado:</w:t>
      </w:r>
    </w:p>
    <w:p w:rsidR="00E03340" w:rsidRDefault="00AA36F5">
      <w:pPr>
        <w:numPr>
          <w:ilvl w:val="3"/>
          <w:numId w:val="8"/>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Fotografía</w:t>
      </w:r>
      <w:r>
        <w:rPr>
          <w:rFonts w:ascii="Palatino Linotype" w:eastAsia="Palatino Linotype" w:hAnsi="Palatino Linotype" w:cs="Palatino Linotype"/>
          <w:color w:val="000000"/>
        </w:rPr>
        <w:t xml:space="preserve">: Por lo que hace a las fotografías, es preciso señalar que estas dan cuenta de las características físicas de los servidores públicos; por lo que, no debe </w:t>
      </w:r>
      <w:r>
        <w:rPr>
          <w:rFonts w:ascii="Palatino Linotype" w:eastAsia="Palatino Linotype" w:hAnsi="Palatino Linotype" w:cs="Palatino Linotype"/>
          <w:color w:val="000000"/>
        </w:rPr>
        <w:lastRenderedPageBreak/>
        <w:t xml:space="preserve">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Pr>
          <w:rFonts w:ascii="Palatino Linotype" w:eastAsia="Palatino Linotype" w:hAnsi="Palatino Linotype" w:cs="Palatino Linotype"/>
        </w:rPr>
        <w:t>acreditará</w:t>
      </w:r>
      <w:r>
        <w:rPr>
          <w:rFonts w:ascii="Palatino Linotype" w:eastAsia="Palatino Linotype" w:hAnsi="Palatino Linotype" w:cs="Palatino Linotype"/>
          <w:color w:val="000000"/>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este sentido, resultan aplicables por analogía, los Criterios SO/015/2017 y SO/001/2013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Conforme a lo anterior, las fotografías de servidores públicos sin importar el nivel o rango guardan la naturaleza de públicas (con excepción del personal operativo en materia de seguridad) no procede su clasificación, en términos del artículo 143, fracción I, de la Ley de Transparencia y Acceso a la Información Pública del Estado de México y Municipios, por lo que en las versiones públicas que se ordenen, no podrá clasificarse esa información. </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numPr>
          <w:ilvl w:val="3"/>
          <w:numId w:val="8"/>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Firma</w:t>
      </w:r>
      <w:r>
        <w:rPr>
          <w:rFonts w:ascii="Palatino Linotype" w:eastAsia="Palatino Linotype" w:hAnsi="Palatino Linotype" w:cs="Palatino Linotype"/>
          <w:color w:val="000000"/>
        </w:rPr>
        <w:t>: 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es así, toda vez que la firma de servidores públicos, vinculada al ejercicio de la función pública es información de naturaleza pública, pues documenta y rinde cuentas sobre el debido ejercicio de sus atribuciones. </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rsidR="00E03340" w:rsidRDefault="00AA36F5">
      <w:pP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w:t>
      </w:r>
    </w:p>
    <w:p w:rsidR="00E03340" w:rsidRDefault="00AA36F5">
      <w:pP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rPr>
        <w:t>“Firma y rúbrica de servidores públicos.</w:t>
      </w:r>
      <w:r>
        <w:rPr>
          <w:rFonts w:ascii="Palatino Linotype" w:eastAsia="Palatino Linotype" w:hAnsi="Palatino Linotype" w:cs="Palatino Linotype"/>
          <w:i/>
          <w:iCs/>
        </w:rPr>
        <w:t> Si bien la firma y la rúbrica son datos personales confidenciales, cuando un servidor público emite un acto como autoridad, en ejercicio de las funciones que tiene conferidas, la firma o rúbrica mediante la cual se valida dicho acto es pública.”</w:t>
      </w:r>
    </w:p>
    <w:p w:rsidR="00E03340" w:rsidRDefault="00AA36F5">
      <w:pPr>
        <w:tabs>
          <w:tab w:val="left" w:pos="4962"/>
        </w:tabs>
        <w:spacing w:line="360" w:lineRule="auto"/>
        <w:ind w:left="851" w:right="-1017"/>
        <w:jc w:val="both"/>
        <w:rPr>
          <w:rFonts w:ascii="Palatino Linotype" w:eastAsia="Palatino Linotype" w:hAnsi="Palatino Linotype" w:cs="Palatino Linotype"/>
        </w:rPr>
      </w:pPr>
      <w:r>
        <w:rPr>
          <w:rFonts w:ascii="Palatino Linotype" w:eastAsia="Palatino Linotype" w:hAnsi="Palatino Linotype" w:cs="Palatino Linotype"/>
        </w:rPr>
        <w:t>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un grado o nivel académico, acto que no se realiza en funciones de los servidores públicos. </w:t>
      </w:r>
    </w:p>
    <w:p w:rsidR="00E03340" w:rsidRDefault="00AA36F5">
      <w:pPr>
        <w:numPr>
          <w:ilvl w:val="0"/>
          <w:numId w:val="8"/>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000000"/>
        </w:rPr>
        <w:t>CURP:</w:t>
      </w:r>
      <w:r>
        <w:rPr>
          <w:rFonts w:ascii="Palatino Linotype" w:eastAsia="Palatino Linotype" w:hAnsi="Palatino Linotype" w:cs="Palatino Linotype"/>
          <w:color w:val="000000"/>
        </w:rPr>
        <w:t xml:space="preserve"> 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A partir de los datos básicos de la persona (nombre, apellido, sexo, fecha y lugar de nacimiento) encontrados en los documentos probatorios de identidad es que se genera la CURP, la cual tiene la particularidad de asegurar una correspondencia entre claves y personas.</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Entre las características de la CURP, se encuentra: </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Composición. </w:t>
      </w:r>
      <w:r>
        <w:rPr>
          <w:rFonts w:ascii="Palatino Linotype" w:eastAsia="Palatino Linotype" w:hAnsi="Palatino Linotype" w:cs="Palatino Linotype"/>
          <w:color w:val="000000"/>
        </w:rPr>
        <w:t>Alfanumérica.</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Longitud. </w:t>
      </w:r>
      <w:r>
        <w:rPr>
          <w:rFonts w:ascii="Palatino Linotype" w:eastAsia="Palatino Linotype" w:hAnsi="Palatino Linotype" w:cs="Palatino Linotype"/>
          <w:color w:val="000000"/>
        </w:rPr>
        <w:t xml:space="preserve"> 18 caracteres.</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Naturaleza. </w:t>
      </w:r>
      <w:r>
        <w:rPr>
          <w:rFonts w:ascii="Palatino Linotype" w:eastAsia="Palatino Linotype" w:hAnsi="Palatino Linotype" w:cs="Palatino Linotype"/>
          <w:color w:val="000000"/>
        </w:rPr>
        <w:t>Biunívoca.</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Universalidad. </w:t>
      </w:r>
      <w:r>
        <w:rPr>
          <w:rFonts w:ascii="Palatino Linotype" w:eastAsia="Palatino Linotype" w:hAnsi="Palatino Linotype" w:cs="Palatino Linotype"/>
          <w:color w:val="000000"/>
        </w:rPr>
        <w:t>Se asigna a todas las personas que conforman la población.</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E03340" w:rsidRDefault="00AA36F5">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E03340" w:rsidRDefault="00E03340">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color w:val="000000"/>
        </w:rPr>
      </w:pPr>
    </w:p>
    <w:p w:rsidR="00E03340" w:rsidRDefault="00AA36F5">
      <w:pPr>
        <w:numPr>
          <w:ilvl w:val="0"/>
          <w:numId w:val="8"/>
        </w:numPr>
        <w:pBdr>
          <w:top w:val="nil"/>
          <w:left w:val="nil"/>
          <w:bottom w:val="nil"/>
          <w:right w:val="nil"/>
          <w:between w:val="nil"/>
        </w:pBdr>
        <w:tabs>
          <w:tab w:val="left" w:pos="426"/>
          <w:tab w:val="left" w:pos="567"/>
          <w:tab w:val="left" w:pos="851"/>
        </w:tabs>
        <w:spacing w:line="360" w:lineRule="auto"/>
        <w:ind w:left="851"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RFC: </w:t>
      </w:r>
      <w:r>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E03340" w:rsidRDefault="00E03340">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E03340" w:rsidRDefault="00E03340">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E03340" w:rsidRDefault="00E03340">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Conforme a lo expuesto, el Registro Federal de Contribuyentes, es un dato personal, ya que hace a las personas físicas </w:t>
      </w:r>
      <w:r>
        <w:rPr>
          <w:rFonts w:ascii="Palatino Linotype" w:eastAsia="Palatino Linotype" w:hAnsi="Palatino Linotype" w:cs="Palatino Linotype"/>
        </w:rPr>
        <w:t>identificadas</w:t>
      </w:r>
      <w:r>
        <w:rPr>
          <w:rFonts w:ascii="Palatino Linotype" w:eastAsia="Palatino Linotype" w:hAnsi="Palatino Linotype" w:cs="Palatino Linotype"/>
          <w:color w:val="000000"/>
        </w:rPr>
        <w:t xml:space="preserve">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E03340" w:rsidRDefault="00AA36F5">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E03340" w:rsidRDefault="00E03340">
      <w:pPr>
        <w:pBdr>
          <w:top w:val="nil"/>
          <w:left w:val="nil"/>
          <w:bottom w:val="nil"/>
          <w:right w:val="nil"/>
          <w:between w:val="nil"/>
        </w:pBdr>
        <w:tabs>
          <w:tab w:val="left" w:pos="426"/>
          <w:tab w:val="left" w:pos="567"/>
          <w:tab w:val="left" w:pos="851"/>
        </w:tabs>
        <w:spacing w:line="360" w:lineRule="auto"/>
        <w:ind w:left="851" w:right="-1017"/>
        <w:jc w:val="both"/>
        <w:rPr>
          <w:rFonts w:ascii="Palatino Linotype" w:eastAsia="Palatino Linotype" w:hAnsi="Palatino Linotype" w:cs="Palatino Linotype"/>
          <w:b/>
          <w:bCs/>
          <w:color w:val="000000"/>
        </w:rPr>
      </w:pPr>
    </w:p>
    <w:p w:rsidR="00E03340" w:rsidRDefault="00AA36F5">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Registro Federal de Contribuyentes (RFC) de personas físicas. </w:t>
      </w:r>
    </w:p>
    <w:p w:rsidR="00E03340" w:rsidRDefault="00AA36F5">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El RFC es una clave de carácter fiscal, única e irrepetible, que permite identificar al titular, su edad y fecha de nacimiento, por lo que es un dato personal de carácter confidencial.</w:t>
      </w:r>
    </w:p>
    <w:p w:rsidR="00E03340" w:rsidRDefault="00E03340">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rPr>
      </w:pPr>
    </w:p>
    <w:p w:rsidR="00E03340" w:rsidRDefault="00AA36F5">
      <w:pPr>
        <w:pBdr>
          <w:top w:val="nil"/>
          <w:left w:val="nil"/>
          <w:bottom w:val="nil"/>
          <w:right w:val="nil"/>
          <w:between w:val="nil"/>
        </w:pBdr>
        <w:tabs>
          <w:tab w:val="left" w:pos="851"/>
        </w:tabs>
        <w:spacing w:line="360" w:lineRule="auto"/>
        <w:ind w:left="851" w:right="-1017"/>
        <w:jc w:val="both"/>
        <w:rPr>
          <w:rFonts w:ascii="Palatino Linotype" w:eastAsia="Palatino Linotype" w:hAnsi="Palatino Linotype" w:cs="Palatino Linotype"/>
          <w:i/>
          <w:iCs/>
          <w:color w:val="000000"/>
        </w:rPr>
      </w:pPr>
      <w:bookmarkStart w:id="7" w:name="_heading=h.35nkun2" w:colFirst="0" w:colLast="0"/>
      <w:bookmarkEnd w:id="7"/>
      <w:r>
        <w:rPr>
          <w:rFonts w:ascii="Palatino Linotype" w:eastAsia="Palatino Linotype" w:hAnsi="Palatino Linotype" w:cs="Palatino Linotype"/>
          <w:b/>
          <w:bCs/>
          <w:color w:val="000000"/>
        </w:rPr>
        <w:t>De tal suerte, el Registro Federal de Contribuyentes de las personas físicas no guarda relación con la transparencia de los recursos públicos</w:t>
      </w:r>
      <w:r>
        <w:rPr>
          <w:rFonts w:ascii="Palatino Linotype" w:eastAsia="Palatino Linotype" w:hAnsi="Palatino Linotype" w:cs="Palatino Linotype"/>
          <w:color w:val="000000"/>
        </w:rPr>
        <w:t>, así como tampoco con el desempeño laboral que pueda tener una persona.</w:t>
      </w:r>
    </w:p>
    <w:p w:rsidR="00E03340" w:rsidRDefault="00E03340">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b/>
          <w:bCs/>
          <w:color w:val="000000"/>
        </w:rPr>
      </w:pPr>
    </w:p>
    <w:p w:rsidR="00E03340" w:rsidRDefault="00AA36F5">
      <w:pPr>
        <w:numPr>
          <w:ilvl w:val="0"/>
          <w:numId w:val="8"/>
        </w:numPr>
        <w:pBdr>
          <w:top w:val="nil"/>
          <w:left w:val="nil"/>
          <w:bottom w:val="nil"/>
          <w:right w:val="nil"/>
          <w:between w:val="nil"/>
        </w:pBdr>
        <w:tabs>
          <w:tab w:val="left" w:pos="426"/>
          <w:tab w:val="left" w:pos="567"/>
        </w:tabs>
        <w:spacing w:line="360" w:lineRule="auto"/>
        <w:ind w:left="851"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Telefónico</w:t>
      </w:r>
      <w:r>
        <w:rPr>
          <w:rFonts w:ascii="Palatino Linotype" w:eastAsia="Palatino Linotype" w:hAnsi="Palatino Linotype" w:cs="Palatino Linotype"/>
          <w:color w:val="000000"/>
        </w:rPr>
        <w:t>: El número asignado a un teléfono particular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rsidR="00E03340" w:rsidRDefault="00E03340">
      <w:pPr>
        <w:pBdr>
          <w:top w:val="nil"/>
          <w:left w:val="nil"/>
          <w:bottom w:val="nil"/>
          <w:right w:val="nil"/>
          <w:between w:val="nil"/>
        </w:pBdr>
        <w:tabs>
          <w:tab w:val="left" w:pos="426"/>
          <w:tab w:val="left" w:pos="567"/>
        </w:tabs>
        <w:spacing w:line="360" w:lineRule="auto"/>
        <w:ind w:left="851" w:right="-1017"/>
        <w:jc w:val="both"/>
        <w:rPr>
          <w:rFonts w:ascii="Palatino Linotype" w:eastAsia="Palatino Linotype" w:hAnsi="Palatino Linotype" w:cs="Palatino Linotype"/>
          <w:b/>
          <w:bCs/>
          <w:color w:val="000000"/>
        </w:rPr>
      </w:pPr>
    </w:p>
    <w:p w:rsidR="00E03340" w:rsidRDefault="00AA36F5">
      <w:pPr>
        <w:numPr>
          <w:ilvl w:val="0"/>
          <w:numId w:val="8"/>
        </w:numPr>
        <w:pBdr>
          <w:top w:val="nil"/>
          <w:left w:val="nil"/>
          <w:bottom w:val="nil"/>
          <w:right w:val="nil"/>
          <w:between w:val="nil"/>
        </w:pBdr>
        <w:tabs>
          <w:tab w:val="left" w:pos="426"/>
          <w:tab w:val="left" w:pos="567"/>
        </w:tabs>
        <w:spacing w:line="360" w:lineRule="auto"/>
        <w:ind w:left="851"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Nombre de particulares:</w:t>
      </w:r>
      <w:r>
        <w:rPr>
          <w:rFonts w:ascii="Palatino Linotype" w:eastAsia="Palatino Linotype" w:hAnsi="Palatino Linotype" w:cs="Palatino Linotype"/>
          <w:color w:val="000000"/>
        </w:rPr>
        <w:t xml:space="preserv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es un elemento que hace a una persona física identificada o identificable, por lo que, se considera un dato personal.</w:t>
      </w:r>
    </w:p>
    <w:p w:rsidR="00E03340" w:rsidRDefault="00E03340">
      <w:pPr>
        <w:tabs>
          <w:tab w:val="left" w:pos="426"/>
          <w:tab w:val="left" w:pos="567"/>
        </w:tabs>
        <w:spacing w:line="360" w:lineRule="auto"/>
        <w:ind w:right="-1017"/>
        <w:jc w:val="both"/>
        <w:rPr>
          <w:rFonts w:ascii="Palatino Linotype" w:eastAsia="Palatino Linotype" w:hAnsi="Palatino Linotype" w:cs="Palatino Linotype"/>
          <w:b/>
          <w:bCs/>
        </w:rPr>
      </w:pPr>
    </w:p>
    <w:p w:rsidR="00E03340" w:rsidRDefault="00AA36F5">
      <w:pPr>
        <w:numPr>
          <w:ilvl w:val="0"/>
          <w:numId w:val="8"/>
        </w:numPr>
        <w:pBdr>
          <w:top w:val="nil"/>
          <w:left w:val="nil"/>
          <w:bottom w:val="nil"/>
          <w:right w:val="nil"/>
          <w:between w:val="nil"/>
        </w:pBdr>
        <w:tabs>
          <w:tab w:val="left" w:pos="426"/>
          <w:tab w:val="left" w:pos="567"/>
        </w:tabs>
        <w:spacing w:line="360" w:lineRule="auto"/>
        <w:ind w:left="851"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Domicilio:</w:t>
      </w:r>
      <w:r>
        <w:rPr>
          <w:rFonts w:ascii="Palatino Linotype" w:eastAsia="Palatino Linotype" w:hAnsi="Palatino Linotype" w:cs="Palatino Linotype"/>
          <w:color w:val="000000"/>
        </w:rPr>
        <w:t xml:space="preserve">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sin que esta información sea de relevancia para el interés público. Por lo que </w:t>
      </w:r>
      <w:r>
        <w:rPr>
          <w:rFonts w:ascii="Palatino Linotype" w:eastAsia="Palatino Linotype" w:hAnsi="Palatino Linotype" w:cs="Palatino Linotype"/>
          <w:b/>
          <w:bCs/>
          <w:color w:val="000000"/>
        </w:rPr>
        <w:t>el 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w:t>
      </w:r>
    </w:p>
    <w:p w:rsidR="00E03340" w:rsidRDefault="00E03340">
      <w:pPr>
        <w:tabs>
          <w:tab w:val="left" w:pos="426"/>
          <w:tab w:val="left" w:pos="567"/>
        </w:tabs>
        <w:spacing w:line="360" w:lineRule="auto"/>
        <w:ind w:left="851" w:right="-1017"/>
        <w:jc w:val="both"/>
        <w:rPr>
          <w:rFonts w:ascii="Palatino Linotype" w:eastAsia="Palatino Linotype" w:hAnsi="Palatino Linotype" w:cs="Palatino Linotype"/>
          <w:b/>
          <w:bCs/>
        </w:rPr>
      </w:pPr>
    </w:p>
    <w:p w:rsidR="00E03340" w:rsidRDefault="00AA36F5">
      <w:pPr>
        <w:numPr>
          <w:ilvl w:val="0"/>
          <w:numId w:val="8"/>
        </w:numPr>
        <w:pBdr>
          <w:top w:val="nil"/>
          <w:left w:val="nil"/>
          <w:bottom w:val="nil"/>
          <w:right w:val="nil"/>
          <w:between w:val="nil"/>
        </w:pBdr>
        <w:tabs>
          <w:tab w:val="left" w:pos="426"/>
          <w:tab w:val="left" w:pos="567"/>
        </w:tabs>
        <w:spacing w:line="360" w:lineRule="auto"/>
        <w:ind w:left="851"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Estado civil:</w:t>
      </w:r>
      <w:r>
        <w:rPr>
          <w:rFonts w:ascii="Palatino Linotype" w:eastAsia="Palatino Linotype" w:hAnsi="Palatino Linotype" w:cs="Palatino Linotype"/>
          <w:color w:val="000000"/>
        </w:rPr>
        <w:t xml:space="preserve"> Constituye un atributo de la personalidad que se refiere a la posición que ocupa una persona en relación con la familia; en razón de lo anterior, por su propia naturaleza es considerado un dato personal.  </w:t>
      </w:r>
    </w:p>
    <w:p w:rsidR="00E03340" w:rsidRDefault="00E03340">
      <w:pPr>
        <w:pBdr>
          <w:top w:val="nil"/>
          <w:left w:val="nil"/>
          <w:bottom w:val="nil"/>
          <w:right w:val="nil"/>
          <w:between w:val="nil"/>
        </w:pBdr>
        <w:ind w:left="720" w:right="-1017"/>
        <w:rPr>
          <w:rFonts w:ascii="Palatino Linotype" w:eastAsia="Palatino Linotype" w:hAnsi="Palatino Linotype" w:cs="Palatino Linotype"/>
          <w:color w:val="000000"/>
        </w:rPr>
      </w:pPr>
    </w:p>
    <w:p w:rsidR="00E03340" w:rsidRDefault="00AA36F5">
      <w:pPr>
        <w:numPr>
          <w:ilvl w:val="0"/>
          <w:numId w:val="8"/>
        </w:numPr>
        <w:pBdr>
          <w:top w:val="nil"/>
          <w:left w:val="nil"/>
          <w:bottom w:val="nil"/>
          <w:right w:val="nil"/>
          <w:between w:val="nil"/>
        </w:pBdr>
        <w:tabs>
          <w:tab w:val="left" w:pos="426"/>
          <w:tab w:val="left" w:pos="567"/>
        </w:tabs>
        <w:spacing w:line="360" w:lineRule="auto"/>
        <w:ind w:left="851"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Correo electrónico</w:t>
      </w:r>
      <w:r>
        <w:rPr>
          <w:rFonts w:ascii="Palatino Linotype" w:eastAsia="Palatino Linotype" w:hAnsi="Palatino Linotype" w:cs="Palatino Linotype"/>
          <w:color w:val="000000"/>
        </w:rPr>
        <w:t xml:space="preserve">: Es el sistema de transmisión de mensajes por computadora a través de redes informáticas; está formado con un usuario seguido del servicio de internet que lo gestiona, lo cual hace individualizado su uso en virtud de una persona que funge como su titular, por lo tanto, es de naturaleza confidencial. </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bookmarkStart w:id="8" w:name="_heading=h.p48cbrk8nbxk" w:colFirst="0" w:colLast="0"/>
      <w:bookmarkEnd w:id="8"/>
      <w:r>
        <w:rPr>
          <w:rFonts w:ascii="Palatino Linotype" w:eastAsia="Palatino Linotype" w:hAnsi="Palatino Linotype" w:cs="Palatino Linotype"/>
          <w:color w:val="000000"/>
        </w:rPr>
        <w:t xml:space="preserve">Derivado de lo anteriormente señalado, se advierte que los documentos remitidos en informe justificado si dan cuenta de la información referente al comprobante del grado de estudios, el certificado de no antecedentes penales y currículum vitae, sin embargo, la versión pública no es correcta, aunado a que, el Sujeto Obligado no dio seguimiento al proceso de clasificación establecido en la legislación aplicable, ya que no entregó el acuerdo que sustenta la versión pública, por lo tanto, es procedente es ordenar de nuevo la información. </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Por otro lado, el Sujeto Obligado no se pronunció respecto al sueldo y plaza o categoría; al respecto, es aplicable el Criterio 02/2017 emitido por el Instituto Nacional de Transparencia, Acceso a la Información  y Protección de Datos Personales se establece que: </w:t>
      </w:r>
    </w:p>
    <w:p w:rsidR="00E03340" w:rsidRDefault="00AA36F5">
      <w:pPr>
        <w:pBdr>
          <w:top w:val="nil"/>
          <w:left w:val="nil"/>
          <w:bottom w:val="nil"/>
          <w:right w:val="nil"/>
          <w:between w:val="nil"/>
        </w:pBdr>
        <w:spacing w:line="276"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Congruencia y exhaustividad. Sus alcances para garantizar el derecho de acceso a la información. </w:t>
      </w:r>
      <w:r>
        <w:rPr>
          <w:rFonts w:ascii="Palatino Linotype" w:eastAsia="Palatino Linotype" w:hAnsi="Palatino Linotype" w:cs="Palatino Linotype"/>
          <w:i/>
          <w:iCs/>
          <w:color w:val="000000"/>
        </w:rPr>
        <w:t>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E03340" w:rsidRDefault="00E03340">
      <w:pPr>
        <w:pBdr>
          <w:top w:val="nil"/>
          <w:left w:val="nil"/>
          <w:bottom w:val="nil"/>
          <w:right w:val="nil"/>
          <w:between w:val="nil"/>
        </w:pBdr>
        <w:spacing w:line="360" w:lineRule="auto"/>
        <w:ind w:left="644"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los sujetos obligados para garantizar el derecho de acceso a la Información, deberán cumplir con los principios de exhaustividad y congruencia, esto es, que la congruencia implica que exista concordancia entre el requerimiento formulado por el particular y la respuesta proporcionada por el sujeto obligado, mientras que </w:t>
      </w:r>
      <w:r>
        <w:rPr>
          <w:rFonts w:ascii="Palatino Linotype" w:eastAsia="Palatino Linotype" w:hAnsi="Palatino Linotype" w:cs="Palatino Linotype"/>
          <w:b/>
          <w:bCs/>
          <w:color w:val="000000"/>
        </w:rPr>
        <w:t>la exhaustividad</w:t>
      </w:r>
      <w:r>
        <w:rPr>
          <w:rFonts w:ascii="Palatino Linotype" w:eastAsia="Palatino Linotype" w:hAnsi="Palatino Linotype" w:cs="Palatino Linotype"/>
          <w:color w:val="000000"/>
        </w:rPr>
        <w:t xml:space="preserve"> establece que </w:t>
      </w:r>
      <w:r>
        <w:rPr>
          <w:rFonts w:ascii="Palatino Linotype" w:eastAsia="Palatino Linotype" w:hAnsi="Palatino Linotype" w:cs="Palatino Linotype"/>
          <w:b/>
          <w:bCs/>
          <w:color w:val="000000"/>
        </w:rPr>
        <w:t>el sujeto obligado deberá atender de manera expresa cada uno de los puntos solicitados, situación que en el presente caso no aconteció</w:t>
      </w:r>
      <w:r>
        <w:rPr>
          <w:rFonts w:ascii="Palatino Linotype" w:eastAsia="Palatino Linotype" w:hAnsi="Palatino Linotype" w:cs="Palatino Linotype"/>
          <w:color w:val="000000"/>
        </w:rPr>
        <w:t xml:space="preserve">. </w:t>
      </w:r>
    </w:p>
    <w:p w:rsidR="00E03340" w:rsidRDefault="00E03340">
      <w:pPr>
        <w:ind w:right="-1017"/>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el documento que de manera enunciativa puede dar cuenta del sueldo y categoría o plaza, la conciliación de nómina o recibos de nómina, en ese sentido, sobre la nómina nos lleva a precisar que en nuestra legislación del Estado de México no existe como tal una definición de “nómina”; sin embargo, el “Glosario de Términos Usuales de Finanzas Públicas” del Centro de Estudios de las Finanzas Públicas de la Cámara de Diputados del H. Congreso de </w:t>
      </w:r>
      <w:r>
        <w:rPr>
          <w:rFonts w:ascii="Palatino Linotype" w:eastAsia="Palatino Linotype" w:hAnsi="Palatino Linotype" w:cs="Palatino Linotype"/>
          <w:color w:val="000000"/>
        </w:rPr>
        <w:lastRenderedPageBreak/>
        <w:t>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E03340" w:rsidRDefault="00AA36F5">
      <w:pPr>
        <w:ind w:left="1134"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“NÓMINA </w:t>
      </w:r>
      <w:r>
        <w:rPr>
          <w:rFonts w:ascii="Palatino Linotype" w:eastAsia="Palatino Linotype" w:hAnsi="Palatino Linotype" w:cs="Palatino Linotype"/>
          <w:i/>
          <w:iCs/>
        </w:rPr>
        <w:t>Listado general de los trabajadores de una institución, en</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el cual se asientan las percepciones brutas, deducciones y</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alcance neto de las mismas; la nómina es utilizada para</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efectuar los pagos periódicos (semanales, quincenales o</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mensuales) a los trabajadores por concepto de sueldos y</w:t>
      </w:r>
      <w:r>
        <w:rPr>
          <w:rFonts w:ascii="Palatino Linotype" w:eastAsia="Palatino Linotype" w:hAnsi="Palatino Linotype" w:cs="Palatino Linotype"/>
          <w:b/>
          <w:bCs/>
          <w:i/>
          <w:iCs/>
        </w:rPr>
        <w:t xml:space="preserve"> </w:t>
      </w:r>
      <w:r>
        <w:rPr>
          <w:rFonts w:ascii="Palatino Linotype" w:eastAsia="Palatino Linotype" w:hAnsi="Palatino Linotype" w:cs="Palatino Linotype"/>
          <w:i/>
          <w:iCs/>
        </w:rPr>
        <w:t>salarios.”(Sic)</w:t>
      </w:r>
    </w:p>
    <w:p w:rsidR="00E03340" w:rsidRDefault="00E03340">
      <w:pPr>
        <w:spacing w:line="360" w:lineRule="auto"/>
        <w:ind w:left="1134"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base a lo anterior, conviene a traer lo establecido por el artículo 804, fracción II, de la Ley Federal de Trabajo, el cual a la letra establece: </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804.-</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El patrón tiene obligación de conservar y exhibir en juicio los documentos que a continuación se precisan</w:t>
      </w:r>
      <w:r>
        <w:rPr>
          <w:rFonts w:ascii="Palatino Linotype" w:eastAsia="Palatino Linotype" w:hAnsi="Palatino Linotype" w:cs="Palatino Linotype"/>
          <w:i/>
          <w:iCs/>
        </w:rPr>
        <w:t>:</w:t>
      </w:r>
    </w:p>
    <w:p w:rsidR="00E03340" w:rsidRDefault="00E03340">
      <w:pPr>
        <w:ind w:left="851" w:right="-1017"/>
        <w:jc w:val="both"/>
        <w:rPr>
          <w:rFonts w:ascii="Palatino Linotype" w:eastAsia="Palatino Linotype" w:hAnsi="Palatino Linotype" w:cs="Palatino Linotype"/>
          <w:i/>
          <w:iCs/>
        </w:rPr>
      </w:pPr>
    </w:p>
    <w:p w:rsidR="00E03340" w:rsidRDefault="00AA36F5">
      <w:pPr>
        <w:ind w:left="851" w:right="-10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Listas de raya o nómina de personal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cuando se lleven en el centro de trabajo; o recibos de pagos de salarios; </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AA36F5">
      <w:pPr>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documentos señalados en la fracción I deberán conservarse mientras dure la relación laboral y hasta un año después; </w:t>
      </w:r>
      <w:r>
        <w:rPr>
          <w:rFonts w:ascii="Palatino Linotype" w:eastAsia="Palatino Linotype" w:hAnsi="Palatino Linotype" w:cs="Palatino Linotype"/>
          <w:b/>
          <w:bCs/>
          <w:i/>
          <w:iCs/>
        </w:rPr>
        <w:t>los señalados en las fracciones II, III y IV, durante el último año y un año después de que se extinga la relación laboral</w:t>
      </w:r>
      <w:r>
        <w:rPr>
          <w:rFonts w:ascii="Palatino Linotype" w:eastAsia="Palatino Linotype" w:hAnsi="Palatino Linotype" w:cs="Palatino Linotype"/>
          <w:i/>
          <w:iCs/>
        </w:rPr>
        <w:t>; y los mencionados en la fracción V, conforme lo señalen las Leyes que los rijan.” (Sic)</w:t>
      </w:r>
    </w:p>
    <w:p w:rsidR="00E03340" w:rsidRDefault="00E03340">
      <w:pPr>
        <w:ind w:right="-1017"/>
        <w:jc w:val="both"/>
        <w:rPr>
          <w:rFonts w:ascii="Palatino Linotype" w:eastAsia="Palatino Linotype" w:hAnsi="Palatino Linotype" w:cs="Palatino Linotype"/>
          <w:i/>
          <w:iCs/>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ese contexto, tratándose de servidores públicos de los Municipios la Ley del Trabajo de los Servidores Públicos del Estado y Municipios, en su artículo 220-K, establece lo siguiente:</w:t>
      </w:r>
    </w:p>
    <w:p w:rsidR="00E03340" w:rsidRDefault="00AA36F5">
      <w:pPr>
        <w:tabs>
          <w:tab w:val="left" w:pos="9072"/>
        </w:tabs>
        <w:spacing w:before="240"/>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w:t>
      </w:r>
      <w:r>
        <w:rPr>
          <w:rFonts w:ascii="Palatino Linotype" w:eastAsia="Palatino Linotype" w:hAnsi="Palatino Linotype" w:cs="Palatino Linotype"/>
          <w:b/>
          <w:bCs/>
          <w:i/>
          <w:iCs/>
        </w:rPr>
        <w:t>institución o dependencia pública tiene la obligación de conservar y exhibir en el proceso los documentos que a continuación</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 precisan</w:t>
      </w:r>
      <w:r>
        <w:rPr>
          <w:rFonts w:ascii="Palatino Linotype" w:eastAsia="Palatino Linotype" w:hAnsi="Palatino Linotype" w:cs="Palatino Linotype"/>
          <w:i/>
          <w:iCs/>
        </w:rPr>
        <w:t>:</w:t>
      </w:r>
    </w:p>
    <w:p w:rsidR="00E03340" w:rsidRDefault="00AA36F5">
      <w:pPr>
        <w:tabs>
          <w:tab w:val="left" w:pos="9072"/>
        </w:tabs>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AA36F5">
      <w:pPr>
        <w:tabs>
          <w:tab w:val="left" w:pos="9072"/>
        </w:tabs>
        <w:ind w:left="851" w:right="-1017"/>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II. </w:t>
      </w:r>
      <w:r>
        <w:rPr>
          <w:rFonts w:ascii="Palatino Linotype" w:eastAsia="Palatino Linotype" w:hAnsi="Palatino Linotype" w:cs="Palatino Linotype"/>
          <w:b/>
          <w:bCs/>
          <w:i/>
          <w:iCs/>
        </w:rPr>
        <w:t>Recibos de pagos de salarios 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las constancias documentales del pago de salario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cuando </w:t>
      </w:r>
      <w:r>
        <w:rPr>
          <w:rFonts w:ascii="Palatino Linotype" w:eastAsia="Palatino Linotype" w:hAnsi="Palatino Linotype" w:cs="Palatino Linotype"/>
          <w:b/>
          <w:bCs/>
          <w:i/>
          <w:iCs/>
          <w:u w:val="single"/>
        </w:rPr>
        <w:t>sea por depósito o mediante información electrónica</w:t>
      </w:r>
      <w:r>
        <w:rPr>
          <w:rFonts w:ascii="Palatino Linotype" w:eastAsia="Palatino Linotype" w:hAnsi="Palatino Linotype" w:cs="Palatino Linotype"/>
          <w:b/>
          <w:bCs/>
          <w:i/>
          <w:iCs/>
        </w:rPr>
        <w:t>;</w:t>
      </w:r>
    </w:p>
    <w:p w:rsidR="00E03340" w:rsidRDefault="00AA36F5">
      <w:pPr>
        <w:tabs>
          <w:tab w:val="left" w:pos="9072"/>
        </w:tabs>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03340" w:rsidRDefault="00AA36F5">
      <w:pPr>
        <w:tabs>
          <w:tab w:val="left" w:pos="9072"/>
        </w:tabs>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E03340" w:rsidRDefault="00AA36F5">
      <w:pPr>
        <w:tabs>
          <w:tab w:val="left" w:pos="9072"/>
        </w:tabs>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E03340" w:rsidRDefault="00E03340">
      <w:pPr>
        <w:tabs>
          <w:tab w:val="left" w:pos="9072"/>
        </w:tabs>
        <w:ind w:left="851" w:right="-1017"/>
        <w:jc w:val="both"/>
        <w:rPr>
          <w:rFonts w:ascii="Palatino Linotype" w:eastAsia="Palatino Linotype" w:hAnsi="Palatino Linotype" w:cs="Palatino Linotype"/>
          <w:i/>
          <w:iCs/>
        </w:rPr>
      </w:pPr>
    </w:p>
    <w:p w:rsidR="00E03340" w:rsidRDefault="00E03340">
      <w:pPr>
        <w:tabs>
          <w:tab w:val="left" w:pos="9072"/>
        </w:tabs>
        <w:ind w:left="851" w:right="-1017"/>
        <w:jc w:val="both"/>
        <w:rPr>
          <w:rFonts w:ascii="Palatino Linotype" w:eastAsia="Palatino Linotype" w:hAnsi="Palatino Linotype" w:cs="Palatino Linotype"/>
          <w:i/>
          <w:iCs/>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línea de estudio, se debe de señalar que la información solicitada por parte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forma parte de la información de las obligaciones de transparencia común de conformidad con el artículo 92 de la Ley de Transparencia y Acceso a la Información Pública del Estado de México y Municipios. </w:t>
      </w:r>
    </w:p>
    <w:p w:rsidR="00E03340" w:rsidRDefault="00AA36F5">
      <w:pPr>
        <w:ind w:left="1134"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92.</w:t>
      </w:r>
      <w:r>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E03340" w:rsidRDefault="00AA36F5">
      <w:pPr>
        <w:ind w:left="1134"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E03340" w:rsidRDefault="00AA36F5">
      <w:pPr>
        <w:spacing w:line="276"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E03340" w:rsidRDefault="00E03340">
      <w:pPr>
        <w:spacing w:line="276" w:lineRule="auto"/>
        <w:ind w:left="851" w:right="-1017"/>
        <w:jc w:val="both"/>
        <w:rPr>
          <w:rFonts w:ascii="Palatino Linotype" w:eastAsia="Palatino Linotype" w:hAnsi="Palatino Linotype" w:cs="Palatino Linotype"/>
          <w:i/>
          <w:iCs/>
        </w:rPr>
      </w:pPr>
    </w:p>
    <w:p w:rsidR="00E03340" w:rsidRDefault="00AA36F5">
      <w:pPr>
        <w:spacing w:line="276"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03340" w:rsidRDefault="00E03340">
      <w:pPr>
        <w:spacing w:line="276" w:lineRule="auto"/>
        <w:ind w:left="851" w:right="-1017"/>
        <w:jc w:val="both"/>
        <w:rPr>
          <w:rFonts w:ascii="Palatino Linotype" w:eastAsia="Palatino Linotype" w:hAnsi="Palatino Linotype" w:cs="Palatino Linotype"/>
          <w:i/>
          <w:iCs/>
        </w:rPr>
      </w:pPr>
    </w:p>
    <w:p w:rsidR="00E03340" w:rsidRDefault="00AA36F5">
      <w:pPr>
        <w:spacing w:line="276"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E03340" w:rsidRDefault="00E03340">
      <w:pPr>
        <w:spacing w:line="276" w:lineRule="auto"/>
        <w:ind w:left="851" w:right="-1017"/>
        <w:jc w:val="both"/>
        <w:rPr>
          <w:rFonts w:ascii="Palatino Linotype" w:eastAsia="Palatino Linotype" w:hAnsi="Palatino Linotype" w:cs="Palatino Linotype"/>
          <w:i/>
          <w:iCs/>
          <w:color w:val="000000"/>
        </w:rPr>
      </w:pPr>
    </w:p>
    <w:p w:rsidR="00E03340" w:rsidRDefault="00AA36F5">
      <w:pPr>
        <w:spacing w:line="276"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Artículo 12. </w:t>
      </w:r>
      <w:r>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E03340" w:rsidRDefault="00E03340">
      <w:pPr>
        <w:spacing w:line="276" w:lineRule="auto"/>
        <w:ind w:left="851" w:right="-1017"/>
        <w:jc w:val="both"/>
        <w:rPr>
          <w:rFonts w:ascii="Palatino Linotype" w:eastAsia="Palatino Linotype" w:hAnsi="Palatino Linotype" w:cs="Palatino Linotype"/>
          <w:i/>
          <w:iCs/>
        </w:rPr>
      </w:pPr>
    </w:p>
    <w:p w:rsidR="00E03340" w:rsidRDefault="00AA36F5">
      <w:pPr>
        <w:spacing w:line="276"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E03340" w:rsidRDefault="00E03340">
      <w:pPr>
        <w:spacing w:line="360" w:lineRule="auto"/>
        <w:ind w:left="567" w:right="-1017"/>
        <w:jc w:val="both"/>
        <w:rPr>
          <w:rFonts w:ascii="Palatino Linotype" w:eastAsia="Palatino Linotype" w:hAnsi="Palatino Linotype" w:cs="Palatino Linotype"/>
          <w:i/>
          <w:iCs/>
          <w:color w:val="000000"/>
        </w:rPr>
      </w:pPr>
    </w:p>
    <w:p w:rsidR="00E03340" w:rsidRDefault="00AA36F5">
      <w:pPr>
        <w:numPr>
          <w:ilvl w:val="0"/>
          <w:numId w:val="6"/>
        </w:numPr>
        <w:pBdr>
          <w:top w:val="nil"/>
          <w:left w:val="nil"/>
          <w:bottom w:val="nil"/>
          <w:right w:val="nil"/>
          <w:between w:val="nil"/>
        </w:pBdr>
        <w:tabs>
          <w:tab w:val="left" w:pos="851"/>
        </w:tabs>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E03340" w:rsidRDefault="00E03340">
      <w:pPr>
        <w:pBdr>
          <w:top w:val="nil"/>
          <w:left w:val="nil"/>
          <w:bottom w:val="nil"/>
          <w:right w:val="nil"/>
          <w:between w:val="nil"/>
        </w:pBdr>
        <w:tabs>
          <w:tab w:val="left" w:pos="851"/>
        </w:tabs>
        <w:spacing w:line="360" w:lineRule="auto"/>
        <w:ind w:left="360"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tabs>
          <w:tab w:val="left" w:pos="851"/>
        </w:tabs>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E03340" w:rsidRDefault="00AA36F5">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w:t>
      </w:r>
      <w:r>
        <w:rPr>
          <w:rFonts w:ascii="Palatino Linotype" w:eastAsia="Palatino Linotype" w:hAnsi="Palatino Linotype" w:cs="Palatino Linotype"/>
          <w:i/>
          <w:iCs/>
          <w:color w:val="000000"/>
        </w:rPr>
        <w:lastRenderedPageBreak/>
        <w:t xml:space="preserve">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E03340" w:rsidRDefault="00E03340">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rPr>
      </w:pPr>
    </w:p>
    <w:p w:rsidR="00E03340" w:rsidRDefault="00AA36F5">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CUARTO TRIBUNAL COLEGIADO EN MATERIA ADMINISTRATIVA DEL PRIMER CIRCUITO. </w:t>
      </w:r>
    </w:p>
    <w:p w:rsidR="00E03340" w:rsidRDefault="00E03340">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rPr>
      </w:pPr>
    </w:p>
    <w:p w:rsidR="00E03340" w:rsidRDefault="00AA36F5">
      <w:pPr>
        <w:pBdr>
          <w:top w:val="nil"/>
          <w:left w:val="nil"/>
          <w:bottom w:val="nil"/>
          <w:right w:val="nil"/>
          <w:between w:val="nil"/>
        </w:pBdr>
        <w:tabs>
          <w:tab w:val="left" w:pos="851"/>
        </w:tabs>
        <w:spacing w:line="276"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E03340" w:rsidRDefault="00E03340">
      <w:pPr>
        <w:pBdr>
          <w:top w:val="nil"/>
          <w:left w:val="nil"/>
          <w:bottom w:val="nil"/>
          <w:right w:val="nil"/>
          <w:between w:val="nil"/>
        </w:pBdr>
        <w:spacing w:line="360" w:lineRule="auto"/>
        <w:ind w:left="720"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tabs>
          <w:tab w:val="left" w:pos="851"/>
        </w:tabs>
        <w:spacing w:after="240"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E03340" w:rsidRDefault="00AA36F5">
      <w:pPr>
        <w:spacing w:line="276"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rPr>
        <w:t>cualquier otro registro</w:t>
      </w:r>
      <w:r>
        <w:rPr>
          <w:rFonts w:ascii="Palatino Linotype" w:eastAsia="Palatino Linotype" w:hAnsi="Palatino Linotype" w:cs="Palatino Linotype"/>
          <w:i/>
          <w:iCs/>
        </w:rPr>
        <w:t xml:space="preserve"> que documente el ejercicio de </w:t>
      </w:r>
      <w:r>
        <w:rPr>
          <w:rFonts w:ascii="Palatino Linotype" w:eastAsia="Palatino Linotype" w:hAnsi="Palatino Linotype" w:cs="Palatino Linotype"/>
          <w:i/>
          <w:iCs/>
        </w:rPr>
        <w:lastRenderedPageBreak/>
        <w:t>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03340" w:rsidRDefault="00E03340">
      <w:pPr>
        <w:pBdr>
          <w:top w:val="nil"/>
          <w:left w:val="nil"/>
          <w:bottom w:val="nil"/>
          <w:right w:val="nil"/>
          <w:between w:val="nil"/>
        </w:pBdr>
        <w:tabs>
          <w:tab w:val="left" w:pos="851"/>
        </w:tabs>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tabs>
          <w:tab w:val="left" w:pos="851"/>
        </w:tabs>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E03340" w:rsidRDefault="00E03340">
      <w:pPr>
        <w:pBdr>
          <w:top w:val="nil"/>
          <w:left w:val="nil"/>
          <w:bottom w:val="nil"/>
          <w:right w:val="nil"/>
          <w:between w:val="nil"/>
        </w:pBdr>
        <w:tabs>
          <w:tab w:val="left" w:pos="567"/>
        </w:tabs>
        <w:spacing w:line="360" w:lineRule="auto"/>
        <w:ind w:right="-1017"/>
        <w:jc w:val="both"/>
        <w:rPr>
          <w:rFonts w:ascii="Palatino Linotype" w:eastAsia="Palatino Linotype" w:hAnsi="Palatino Linotype" w:cs="Palatino Linotype"/>
        </w:rPr>
      </w:pPr>
    </w:p>
    <w:p w:rsidR="00E03340" w:rsidRDefault="00AA36F5">
      <w:pPr>
        <w:numPr>
          <w:ilvl w:val="0"/>
          <w:numId w:val="6"/>
        </w:numPr>
        <w:pBdr>
          <w:top w:val="nil"/>
          <w:left w:val="nil"/>
          <w:bottom w:val="nil"/>
          <w:right w:val="nil"/>
          <w:between w:val="nil"/>
        </w:pBdr>
        <w:tabs>
          <w:tab w:val="left" w:pos="567"/>
        </w:tabs>
        <w:spacing w:line="360" w:lineRule="auto"/>
        <w:ind w:left="0" w:right="-101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10878/INFOEM/IP/RR/2025</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Pr>
          <w:rFonts w:ascii="Palatino Linotype" w:eastAsia="Palatino Linotype" w:hAnsi="Palatino Linotype" w:cs="Palatino Linotype"/>
        </w:rPr>
        <w:t xml:space="preserve">de México y Municipios, se </w:t>
      </w:r>
      <w:r>
        <w:rPr>
          <w:rFonts w:ascii="Palatino Linotype" w:eastAsia="Palatino Linotype" w:hAnsi="Palatino Linotype" w:cs="Palatino Linotype"/>
          <w:b/>
          <w:bCs/>
        </w:rPr>
        <w:t>REVOCA</w:t>
      </w:r>
      <w:r>
        <w:rPr>
          <w:rFonts w:ascii="Palatino Linotype" w:eastAsia="Palatino Linotype" w:hAnsi="Palatino Linotype" w:cs="Palatino Linotype"/>
        </w:rPr>
        <w:t xml:space="preserve"> la respuesta a la solicitud de información número </w:t>
      </w:r>
      <w:r>
        <w:rPr>
          <w:rFonts w:ascii="Palatino Linotype" w:eastAsia="Palatino Linotype" w:hAnsi="Palatino Linotype" w:cs="Palatino Linotype"/>
          <w:b/>
          <w:bCs/>
        </w:rPr>
        <w:t xml:space="preserve">00042/CECyTEM/IP/2025 </w:t>
      </w:r>
      <w:r>
        <w:rPr>
          <w:rFonts w:ascii="Palatino Linotype" w:eastAsia="Palatino Linotype" w:hAnsi="Palatino Linotype" w:cs="Palatino Linotype"/>
        </w:rPr>
        <w:t xml:space="preserve">y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entregar, de ser procedente en versión pública, lo siguiente:</w:t>
      </w:r>
    </w:p>
    <w:p w:rsidR="00E03340" w:rsidRDefault="00AA36F5">
      <w:pPr>
        <w:numPr>
          <w:ilvl w:val="0"/>
          <w:numId w:val="4"/>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De los servidores públicos adscritos al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Colegio de Estudios Científicos y Tecnológicos del Estado de México, al veintiséis de agosto de dos mil veinticinco: </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Soporte documental donde conste el sueldo bruto y neto;</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Soporte documental donde conste la plaza o categoría;</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Documento que acredite el grado de estudios;</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Certificado de no antecedentes penales; y</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Currículum vitae, ficha curricular o documento análogo.</w:t>
      </w:r>
    </w:p>
    <w:p w:rsidR="00E03340" w:rsidRDefault="00E03340">
      <w:pPr>
        <w:pBdr>
          <w:top w:val="nil"/>
          <w:left w:val="nil"/>
          <w:bottom w:val="nil"/>
          <w:right w:val="nil"/>
          <w:between w:val="nil"/>
        </w:pBdr>
        <w:spacing w:line="360" w:lineRule="auto"/>
        <w:ind w:left="1080" w:right="-1017"/>
        <w:jc w:val="both"/>
        <w:rPr>
          <w:rFonts w:ascii="Palatino Linotype" w:eastAsia="Palatino Linotype" w:hAnsi="Palatino Linotype" w:cs="Palatino Linotype"/>
          <w:color w:val="000000"/>
        </w:rPr>
      </w:pPr>
    </w:p>
    <w:p w:rsidR="00782A26" w:rsidRDefault="00782A26">
      <w:pPr>
        <w:pBdr>
          <w:top w:val="nil"/>
          <w:left w:val="nil"/>
          <w:bottom w:val="nil"/>
          <w:right w:val="nil"/>
          <w:between w:val="nil"/>
        </w:pBdr>
        <w:spacing w:line="360" w:lineRule="auto"/>
        <w:ind w:left="1080" w:right="-1017"/>
        <w:jc w:val="both"/>
        <w:rPr>
          <w:rFonts w:ascii="Palatino Linotype" w:eastAsia="Palatino Linotype" w:hAnsi="Palatino Linotype" w:cs="Palatino Linotype"/>
          <w:color w:val="000000"/>
        </w:rPr>
      </w:pPr>
    </w:p>
    <w:p w:rsidR="00782A26" w:rsidRDefault="00782A26">
      <w:pPr>
        <w:pBdr>
          <w:top w:val="nil"/>
          <w:left w:val="nil"/>
          <w:bottom w:val="nil"/>
          <w:right w:val="nil"/>
          <w:between w:val="nil"/>
        </w:pBdr>
        <w:spacing w:line="360" w:lineRule="auto"/>
        <w:ind w:left="1080" w:right="-1017"/>
        <w:jc w:val="both"/>
        <w:rPr>
          <w:rFonts w:ascii="Palatino Linotype" w:eastAsia="Palatino Linotype" w:hAnsi="Palatino Linotype" w:cs="Palatino Linotype"/>
          <w:color w:val="000000"/>
        </w:rPr>
      </w:pPr>
    </w:p>
    <w:p w:rsidR="00E03340" w:rsidRDefault="00AA36F5">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E03340" w:rsidRDefault="00AA36F5">
      <w:pPr>
        <w:numPr>
          <w:ilvl w:val="0"/>
          <w:numId w:val="6"/>
        </w:numPr>
        <w:pBdr>
          <w:top w:val="nil"/>
          <w:left w:val="nil"/>
          <w:bottom w:val="nil"/>
          <w:right w:val="nil"/>
          <w:between w:val="nil"/>
        </w:pBdr>
        <w:tabs>
          <w:tab w:val="left" w:pos="0"/>
        </w:tabs>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E03340" w:rsidRDefault="00E03340">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rPr>
      </w:pPr>
    </w:p>
    <w:p w:rsidR="00E03340" w:rsidRDefault="00AA36F5">
      <w:pPr>
        <w:numPr>
          <w:ilvl w:val="0"/>
          <w:numId w:val="6"/>
        </w:numPr>
        <w:pBdr>
          <w:top w:val="nil"/>
          <w:left w:val="nil"/>
          <w:bottom w:val="nil"/>
          <w:right w:val="nil"/>
          <w:between w:val="nil"/>
        </w:pBdr>
        <w:tabs>
          <w:tab w:val="left" w:pos="0"/>
        </w:tabs>
        <w:spacing w:line="360" w:lineRule="auto"/>
        <w:ind w:left="0"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E03340" w:rsidRDefault="00E03340">
      <w:pPr>
        <w:pBdr>
          <w:top w:val="nil"/>
          <w:left w:val="nil"/>
          <w:bottom w:val="nil"/>
          <w:right w:val="nil"/>
          <w:between w:val="nil"/>
        </w:pBdr>
        <w:tabs>
          <w:tab w:val="left" w:pos="0"/>
        </w:tabs>
        <w:spacing w:line="360" w:lineRule="auto"/>
        <w:ind w:right="-1017"/>
        <w:jc w:val="both"/>
        <w:rPr>
          <w:rFonts w:ascii="Palatino Linotype" w:eastAsia="Palatino Linotype" w:hAnsi="Palatino Linotype" w:cs="Palatino Linotype"/>
          <w:color w:val="000000"/>
        </w:rPr>
      </w:pPr>
    </w:p>
    <w:tbl>
      <w:tblPr>
        <w:tblStyle w:val="a0"/>
        <w:tblW w:w="984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E03340">
        <w:tc>
          <w:tcPr>
            <w:tcW w:w="2970" w:type="dxa"/>
          </w:tcPr>
          <w:p w:rsidR="00E03340" w:rsidRDefault="00AA36F5">
            <w:pPr>
              <w:spacing w:line="276" w:lineRule="auto"/>
              <w:ind w:right="-98"/>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70" w:type="dxa"/>
          </w:tcPr>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 xml:space="preserve">sin individualizar su análisis y tampoco se puede hacer un acuerdo </w:t>
            </w:r>
            <w:r>
              <w:rPr>
                <w:rFonts w:ascii="Palatino Linotype" w:eastAsia="Palatino Linotype" w:hAnsi="Palatino Linotype" w:cs="Palatino Linotype"/>
              </w:rPr>
              <w:lastRenderedPageBreak/>
              <w:t>por cada dato que se vaya a clasificar dentro de un documento con diez datos, por ejemplo, susceptibles de ser clasificados.</w:t>
            </w:r>
          </w:p>
        </w:tc>
      </w:tr>
      <w:tr w:rsidR="00E03340">
        <w:tc>
          <w:tcPr>
            <w:tcW w:w="2970" w:type="dxa"/>
          </w:tcPr>
          <w:p w:rsidR="00E03340" w:rsidRDefault="00AA36F5">
            <w:pPr>
              <w:spacing w:line="276" w:lineRule="auto"/>
              <w:ind w:right="-98"/>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870" w:type="dxa"/>
          </w:tcPr>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03340">
        <w:tc>
          <w:tcPr>
            <w:tcW w:w="2970" w:type="dxa"/>
          </w:tcPr>
          <w:p w:rsidR="00E03340" w:rsidRDefault="00AA36F5">
            <w:pPr>
              <w:spacing w:line="276" w:lineRule="auto"/>
              <w:ind w:right="-98"/>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6870" w:type="dxa"/>
          </w:tcPr>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w:t>
            </w:r>
            <w:r>
              <w:rPr>
                <w:rFonts w:ascii="Palatino Linotype" w:eastAsia="Palatino Linotype" w:hAnsi="Palatino Linotype" w:cs="Palatino Linotype"/>
              </w:rPr>
              <w:lastRenderedPageBreak/>
              <w:t>agenda de los asuntos a tratar en las sesiones, se insiste, a partir de las decisiones adoptadas previamente por los titulares de áreas y que son sujetas a control, en primera instancia, por el Comité de Transparencia.</w:t>
            </w:r>
          </w:p>
        </w:tc>
      </w:tr>
      <w:tr w:rsidR="00E03340">
        <w:tc>
          <w:tcPr>
            <w:tcW w:w="2970" w:type="dxa"/>
          </w:tcPr>
          <w:p w:rsidR="00E03340" w:rsidRDefault="00E03340">
            <w:pPr>
              <w:spacing w:line="276" w:lineRule="auto"/>
              <w:ind w:right="-98"/>
              <w:rPr>
                <w:rFonts w:ascii="Palatino Linotype" w:eastAsia="Palatino Linotype" w:hAnsi="Palatino Linotype" w:cs="Palatino Linotype"/>
              </w:rPr>
            </w:pP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6870" w:type="dxa"/>
          </w:tcPr>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03340">
        <w:tc>
          <w:tcPr>
            <w:tcW w:w="2970" w:type="dxa"/>
          </w:tcPr>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E03340" w:rsidRDefault="00E03340">
            <w:pPr>
              <w:spacing w:line="276" w:lineRule="auto"/>
              <w:ind w:right="-98"/>
              <w:rPr>
                <w:rFonts w:ascii="Palatino Linotype" w:eastAsia="Palatino Linotype" w:hAnsi="Palatino Linotype" w:cs="Palatino Linotype"/>
              </w:rPr>
            </w:pPr>
          </w:p>
        </w:tc>
        <w:tc>
          <w:tcPr>
            <w:tcW w:w="6870" w:type="dxa"/>
          </w:tcPr>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E03340" w:rsidRDefault="00AA36F5">
            <w:pPr>
              <w:spacing w:line="276" w:lineRule="auto"/>
              <w:ind w:right="-98"/>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03340" w:rsidRDefault="00AA36F5">
            <w:pPr>
              <w:spacing w:line="276" w:lineRule="auto"/>
              <w:ind w:right="-98"/>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03340" w:rsidRDefault="00E03340">
      <w:pPr>
        <w:spacing w:line="360" w:lineRule="auto"/>
        <w:ind w:right="-1017"/>
        <w:jc w:val="both"/>
        <w:rPr>
          <w:rFonts w:ascii="Palatino Linotype" w:eastAsia="Palatino Linotype" w:hAnsi="Palatino Linotype" w:cs="Palatino Linotype"/>
        </w:rPr>
      </w:pPr>
    </w:p>
    <w:p w:rsidR="00E03340" w:rsidRDefault="00AA36F5">
      <w:pPr>
        <w:pStyle w:val="Ttulo3"/>
        <w:numPr>
          <w:ilvl w:val="0"/>
          <w:numId w:val="2"/>
        </w:numPr>
        <w:ind w:right="-10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Clave ISSEMyM</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El Instituto de Seguridad Social del Estado de México y Municipios (ISSEMYM) es el organismo público encargado de proporcionar los servicios de seguridad social a los servidores públicos del Estado de México, con el objetivo de garantizar a los derechohabientes el acceso a </w:t>
      </w:r>
      <w:r>
        <w:rPr>
          <w:rFonts w:ascii="Palatino Linotype" w:eastAsia="Palatino Linotype" w:hAnsi="Palatino Linotype" w:cs="Palatino Linotype"/>
          <w:color w:val="000000"/>
        </w:rPr>
        <w:lastRenderedPageBreak/>
        <w:t>las prestaciones que otorga, de conformidad con el artículo 14 de la Ley de Seguridad Social para los Servidores Públicos del Estado de México y Municipios.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E03340" w:rsidRDefault="00AA36F5">
      <w:pPr>
        <w:pStyle w:val="Ttulo3"/>
        <w:numPr>
          <w:ilvl w:val="0"/>
          <w:numId w:val="2"/>
        </w:numPr>
        <w:ind w:right="-10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de empleado.</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El número de empleado de los servidores públicos del Ayuntamiento son asignados por el Departamento de Recursos Humanos o equivalente y se trata de un código identificador para uso exclusivo del empleado que, de vincularse y relacionarse al RFC lo hace identificable </w:t>
      </w:r>
      <w:r>
        <w:rPr>
          <w:rFonts w:ascii="Palatino Linotype" w:eastAsia="Palatino Linotype" w:hAnsi="Palatino Linotype" w:cs="Palatino Linotype"/>
          <w:color w:val="000000"/>
        </w:rPr>
        <w:lastRenderedPageBreak/>
        <w:t>plenamente y, con los mismos se puede tener acceso a diversa información, inclusive con sus datos personales.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Número de empleado.</w:t>
      </w:r>
      <w:r>
        <w:rPr>
          <w:rFonts w:ascii="Palatino Linotype" w:eastAsia="Palatino Linotype" w:hAnsi="Palatino Linotype" w:cs="Palatino Linotype"/>
          <w:i/>
          <w:iCs/>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E03340" w:rsidRDefault="00AA36F5">
      <w:pPr>
        <w:pStyle w:val="Ttulo3"/>
        <w:numPr>
          <w:ilvl w:val="0"/>
          <w:numId w:val="2"/>
        </w:numPr>
        <w:ind w:right="-10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Registro Federal de Contribuyentes (RFC)</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De acuerdo a lo establecido en el artículo en comento, esta clave se compone de trece caracteres alfanuméricos, con datos obtenidos de los apellidos, nombre (s), fecha de nacimiento </w:t>
      </w:r>
      <w:r>
        <w:rPr>
          <w:rFonts w:ascii="Palatino Linotype" w:eastAsia="Palatino Linotype" w:hAnsi="Palatino Linotype" w:cs="Palatino Linotype"/>
          <w:color w:val="000000"/>
        </w:rPr>
        <w:lastRenderedPageBreak/>
        <w:t>del titular, más una homoclave que establece el sistema automático del Servicio de Administración Tributaria.</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Conforme a lo expuesto, el Registro Federal de Contribuyentes, es un dato personal, ya que hace a las personas físicas </w:t>
      </w:r>
      <w:r>
        <w:rPr>
          <w:rFonts w:ascii="Palatino Linotype" w:eastAsia="Palatino Linotype" w:hAnsi="Palatino Linotype" w:cs="Palatino Linotype"/>
        </w:rPr>
        <w:t>identificadas</w:t>
      </w:r>
      <w:r>
        <w:rPr>
          <w:rFonts w:ascii="Palatino Linotype" w:eastAsia="Palatino Linotype" w:hAnsi="Palatino Linotype" w:cs="Palatino Linotype"/>
          <w:color w:val="000000"/>
        </w:rPr>
        <w:t xml:space="preserve">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Registro Federal de Contribuyentes (RFC) de personas físicas.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RFC es una clave de carácter fiscal, única e irrepetible, que permite identificar al titular, su edad y fecha de nacimiento, por lo que es un dato personal de carácter confidencial.</w:t>
      </w:r>
    </w:p>
    <w:p w:rsidR="00E03340" w:rsidRDefault="00E03340">
      <w:pPr>
        <w:shd w:val="clear" w:color="auto" w:fill="FFFFFF"/>
        <w:spacing w:before="240" w:after="240" w:line="360" w:lineRule="auto"/>
        <w:ind w:right="-1017"/>
        <w:jc w:val="both"/>
        <w:rPr>
          <w:rFonts w:ascii="Palatino Linotype" w:eastAsia="Palatino Linotype" w:hAnsi="Palatino Linotype" w:cs="Palatino Linotype"/>
          <w:color w:val="222222"/>
        </w:rPr>
      </w:pP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000000"/>
        </w:rPr>
        <w:lastRenderedPageBreak/>
        <w:t>De tal suerte, el Registro Federal de Contribuyentes de las personas físicas no guarda relación con la transparencia de los recursos públicos</w:t>
      </w:r>
      <w:r>
        <w:rPr>
          <w:rFonts w:ascii="Palatino Linotype" w:eastAsia="Palatino Linotype" w:hAnsi="Palatino Linotype" w:cs="Palatino Linotype"/>
          <w:color w:val="000000"/>
        </w:rPr>
        <w:t>, así como tampoco con el desempeño laboral que pueda tener una persona.</w:t>
      </w:r>
    </w:p>
    <w:p w:rsidR="00E03340" w:rsidRDefault="00AA36F5">
      <w:pPr>
        <w:pStyle w:val="Ttulo3"/>
        <w:numPr>
          <w:ilvl w:val="0"/>
          <w:numId w:val="2"/>
        </w:numPr>
        <w:ind w:right="-10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Deducciones personales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Pr>
          <w:rFonts w:ascii="Palatino Linotype" w:eastAsia="Palatino Linotype" w:hAnsi="Palatino Linotype" w:cs="Palatino Linotype"/>
          <w:b/>
          <w:bCs/>
          <w:color w:val="000000"/>
          <w:u w:val="single"/>
        </w:rPr>
        <w:t>cuotas sindicales y fondo de resistencia del Sindicato Único de Trabajadores de los Poderes, Municipios e Institución Descentralizadas del Estado de México</w:t>
      </w:r>
      <w:r>
        <w:rPr>
          <w:rFonts w:ascii="Palatino Linotype" w:eastAsia="Palatino Linotype" w:hAnsi="Palatino Linotype" w:cs="Palatino Linotype"/>
          <w:color w:val="000000"/>
        </w:rPr>
        <w:t>, seguro de vida, accidentes y enfermedades.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bookmarkStart w:id="9" w:name="_heading=h.1ksv4uv" w:colFirst="0" w:colLast="0"/>
      <w:bookmarkEnd w:id="9"/>
      <w:r>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p w:rsidR="00E03340" w:rsidRDefault="00AA36F5">
      <w:pPr>
        <w:pStyle w:val="Ttulo3"/>
        <w:numPr>
          <w:ilvl w:val="0"/>
          <w:numId w:val="2"/>
        </w:numPr>
        <w:ind w:right="-101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CÓDIGO QR</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Pr>
          <w:rFonts w:ascii="Palatino Linotype" w:eastAsia="Palatino Linotype" w:hAnsi="Palatino Linotype" w:cs="Palatino Linotype"/>
          <w:i/>
          <w:iCs/>
          <w:color w:val="000000"/>
        </w:rPr>
        <w:t>QR Code (Quick Response Code)</w:t>
      </w:r>
      <w:r>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8">
        <w:r>
          <w:rPr>
            <w:rFonts w:ascii="Palatino Linotype" w:eastAsia="Palatino Linotype" w:hAnsi="Palatino Linotype" w:cs="Palatino Linotype"/>
            <w:color w:val="0563C1"/>
            <w:u w:val="single"/>
          </w:rPr>
          <w:t>http://dof.gob.mx/nota_detalle.php?codigo=5492254&amp;fecha=28/07/2017</w:t>
        </w:r>
      </w:hyperlink>
      <w:r>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E03340" w:rsidRDefault="00AA36F5">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Única de Registro de Población (CURP)</w:t>
      </w:r>
    </w:p>
    <w:p w:rsidR="00E03340" w:rsidRDefault="00AA36F5">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Clave ISSEMyM</w:t>
      </w:r>
    </w:p>
    <w:p w:rsidR="00E03340" w:rsidRDefault="00AA36F5">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empleado </w:t>
      </w:r>
      <w:r>
        <w:rPr>
          <w:rFonts w:ascii="Palatino Linotype" w:eastAsia="Palatino Linotype" w:hAnsi="Palatino Linotype" w:cs="Palatino Linotype"/>
          <w:b/>
          <w:bCs/>
          <w:color w:val="000000"/>
        </w:rPr>
        <w:t>(sólo en el caso de que contenga datos personales o se relacione con los mismos, de lo contrario es información pública)</w:t>
      </w:r>
    </w:p>
    <w:p w:rsidR="00E03340" w:rsidRDefault="00AA36F5">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Registro Federal de Contribuyentes (RFC)</w:t>
      </w:r>
    </w:p>
    <w:p w:rsidR="00E03340" w:rsidRDefault="00AA36F5">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Deducciones personales</w:t>
      </w:r>
    </w:p>
    <w:p w:rsidR="00E03340" w:rsidRDefault="00AA36F5">
      <w:pPr>
        <w:numPr>
          <w:ilvl w:val="0"/>
          <w:numId w:val="9"/>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Código QR</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bookmarkStart w:id="10" w:name="_heading=h.44sinio" w:colFirst="0" w:colLast="0"/>
      <w:bookmarkEnd w:id="10"/>
      <w:r>
        <w:rPr>
          <w:rFonts w:ascii="Palatino Linotype" w:eastAsia="Palatino Linotype" w:hAnsi="Palatino Linotype" w:cs="Palatino Linotype"/>
          <w:color w:val="000000"/>
        </w:rPr>
        <w:t>Ahora bien, siguiendo con el análisis de los datos que contienen los recibos remitidos, siguen los siguientes:</w:t>
      </w:r>
    </w:p>
    <w:p w:rsidR="00E03340" w:rsidRDefault="00AA36F5">
      <w:pPr>
        <w:pStyle w:val="Ttulo3"/>
        <w:numPr>
          <w:ilvl w:val="0"/>
          <w:numId w:val="3"/>
        </w:numPr>
        <w:spacing w:line="360" w:lineRule="auto"/>
        <w:ind w:right="-10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Sellos digitales del emisor y del Servicio de Administración Tributaria y cadena original del complemento de certificación digital del órgano previamente señalado; así como folio fiscal. (PÚBLICOS)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w:t>
      </w:r>
      <w:r>
        <w:rPr>
          <w:rFonts w:ascii="Palatino Linotype" w:eastAsia="Palatino Linotype" w:hAnsi="Palatino Linotype" w:cs="Palatino Linotype"/>
          <w:color w:val="000000"/>
        </w:rPr>
        <w:lastRenderedPageBreak/>
        <w:t xml:space="preserve">identificado o identificable a su titular, pues dichos datos sólo son de utilidad de manera directa a la Secretaría de Hacienda y Crédito Público y si bien, dichas cadenas sí derivan de la información personal de los contribuyentes, </w:t>
      </w:r>
      <w:r>
        <w:rPr>
          <w:rFonts w:ascii="Palatino Linotype" w:eastAsia="Palatino Linotype" w:hAnsi="Palatino Linotype" w:cs="Palatino Linotype"/>
        </w:rPr>
        <w:t>está</w:t>
      </w:r>
      <w:r>
        <w:rPr>
          <w:rFonts w:ascii="Palatino Linotype" w:eastAsia="Palatino Linotype" w:hAnsi="Palatino Linotype" w:cs="Palatino Linotype"/>
          <w:color w:val="000000"/>
        </w:rPr>
        <w:t xml:space="preserve"> se encuentra encriptada como se verá a continuación.</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Las cadenas originales y sellos que se agregan a las facturas</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“Elementos utilizados en la generación de Sellos Digitales:</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•Cadena Original, el elemento a sellar, en este caso de un comprobante fiscal digital a través de Internet.</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•Certificado de Sello Digital y su correspondiente clave privada.</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•Algoritmos de criptografía de clave pública para firma electrónica avanzada.</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•Especificaciones de conversión de la firma electrónica avanzada a Base 64.</w:t>
      </w:r>
    </w:p>
    <w:p w:rsidR="00E03340" w:rsidRDefault="00AA36F5">
      <w:pPr>
        <w:spacing w:line="360" w:lineRule="auto"/>
        <w:ind w:left="851" w:right="-1017"/>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rsidR="00E03340" w:rsidRDefault="00E03340">
      <w:pPr>
        <w:spacing w:line="360" w:lineRule="auto"/>
        <w:ind w:left="851" w:right="-1017"/>
        <w:jc w:val="both"/>
        <w:rPr>
          <w:rFonts w:ascii="Palatino Linotype" w:eastAsia="Palatino Linotype" w:hAnsi="Palatino Linotype" w:cs="Palatino Linotype"/>
          <w:i/>
          <w:iCs/>
        </w:rPr>
      </w:pP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Criptografía de la Clave Pública</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criptografía de Clave Pública se basa en la generación de una pareja de números muy grandes relacionados íntimamente entre sí, de tal manera que una operación de encripción sobre un mensaje tomando como clave de encripción a uno de los dos números, produce un mensaje </w:t>
      </w:r>
      <w:r>
        <w:rPr>
          <w:rFonts w:ascii="Palatino Linotype" w:eastAsia="Palatino Linotype" w:hAnsi="Palatino Linotype" w:cs="Palatino Linotype"/>
          <w:i/>
          <w:iCs/>
          <w:color w:val="000000"/>
        </w:rPr>
        <w:lastRenderedPageBreak/>
        <w:t>alterado en su significado que solo puede ser devuelto a su estado original mediante la operación de desencripción correspondiente tomando como clave de desencripción al otro número de la pareja.”</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Es decir, por sí solos las cadenas originales y los sellos originales no contienen datos personales confidenciales, por lo que se considera que no actualizan </w:t>
      </w:r>
      <w:r>
        <w:rPr>
          <w:rFonts w:ascii="Palatino Linotype" w:eastAsia="Palatino Linotype" w:hAnsi="Palatino Linotype" w:cs="Palatino Linotype"/>
        </w:rPr>
        <w:t>el supuesto</w:t>
      </w:r>
      <w:r>
        <w:rPr>
          <w:rFonts w:ascii="Palatino Linotype" w:eastAsia="Palatino Linotype" w:hAnsi="Palatino Linotype" w:cs="Palatino Linotype"/>
          <w:color w:val="000000"/>
        </w:rPr>
        <w:t xml:space="preserve">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E03340" w:rsidRDefault="00AA36F5" w:rsidP="00782A26">
      <w:pPr>
        <w:shd w:val="clear" w:color="auto" w:fill="FFFFFF"/>
        <w:spacing w:before="240" w:after="240" w:line="360" w:lineRule="auto"/>
        <w:ind w:right="-1017"/>
        <w:jc w:val="center"/>
        <w:rPr>
          <w:rFonts w:ascii="Palatino Linotype" w:eastAsia="Palatino Linotype" w:hAnsi="Palatino Linotype" w:cs="Palatino Linotype"/>
          <w:color w:val="222222"/>
        </w:rPr>
      </w:pPr>
      <w:r>
        <w:rPr>
          <w:rFonts w:ascii="Palatino Linotype" w:eastAsia="Palatino Linotype" w:hAnsi="Palatino Linotype" w:cs="Palatino Linotype"/>
          <w:noProof/>
        </w:rPr>
        <w:drawing>
          <wp:inline distT="0" distB="0" distL="0" distR="0">
            <wp:extent cx="5612130" cy="42473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t="40505" r="32588" b="47482"/>
                    <a:stretch>
                      <a:fillRect/>
                    </a:stretch>
                  </pic:blipFill>
                  <pic:spPr>
                    <a:xfrm>
                      <a:off x="0" y="0"/>
                      <a:ext cx="5612130" cy="424735"/>
                    </a:xfrm>
                    <a:prstGeom prst="rect">
                      <a:avLst/>
                    </a:prstGeom>
                    <a:ln/>
                  </pic:spPr>
                </pic:pic>
              </a:graphicData>
            </a:graphic>
          </wp:inline>
        </w:drawing>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w:t>
      </w:r>
      <w:r>
        <w:rPr>
          <w:rFonts w:ascii="Palatino Linotype" w:eastAsia="Palatino Linotype" w:hAnsi="Palatino Linotype" w:cs="Palatino Linotype"/>
          <w:color w:val="000000"/>
        </w:rPr>
        <w:lastRenderedPageBreak/>
        <w:t>en la normatividad aplicable, sin necesidad algún dato personal, por lo que, tampoco actualiza la clasificación, en términos del artículo 143, fracción I de la Ley de la materia.</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E03340" w:rsidRDefault="00AA36F5">
      <w:pPr>
        <w:numPr>
          <w:ilvl w:val="0"/>
          <w:numId w:val="3"/>
        </w:num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Deducciones que no son personales.</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La Ley del Trabajo de los Servidores Públicos del Estado y Municipios</w:t>
      </w:r>
      <w:r>
        <w:rPr>
          <w:rFonts w:ascii="Palatino Linotype" w:eastAsia="Palatino Linotype" w:hAnsi="Palatino Linotype" w:cs="Palatino Linotype"/>
          <w:vertAlign w:val="superscript"/>
        </w:rPr>
        <w:footnoteReference w:id="4"/>
      </w:r>
      <w:r>
        <w:rPr>
          <w:rFonts w:ascii="Palatino Linotype" w:eastAsia="Palatino Linotype" w:hAnsi="Palatino Linotype" w:cs="Palatino Linotype"/>
        </w:rPr>
        <w:t xml:space="preserve"> en el artículo 84 establece lo siguiente:</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84. Sólo podrán hacerse retenciones, descuentos o deducciones al sueldo de los servidores públicos por concepto de: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 Gravámenes fiscales relacionados con el sueldo;</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Deudas contraídas con las instituciones públicas o dependencias por concepto de anticipos de sueldo, pagos hechos con exceso, errores o pérdidas debidamente comprobados;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Cuotas sindicales;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IV. Cuotas de aportación a fondos para la constitución de cooperativas y de cajas de ahorro, siempre que el servidor público hubiese manifestado previamente, de manera expresa, su conformidad;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 Descuentos ordenados por el Instituto de Seguridad Social del Estado de México y Municipios, con motivo de cuotas y obligaciones contraídas con éste por los servidores públicos;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Obligaciones a cargo del servidor público con las que haya consentido, derivadas de la adquisición o del uso de habitaciones consideradas como de interés social;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Faltas de puntualidad o de asistencia injustificadas;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Pensiones alimenticias ordenadas por la autoridad judicial; o </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IX. Cualquier otro convenido con instituciones de servicios y aceptado por el servidor público.</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E03340" w:rsidRDefault="00AA36F5">
      <w:pPr>
        <w:numPr>
          <w:ilvl w:val="0"/>
          <w:numId w:val="3"/>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Seguro de Capitalización Individualizado.</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w:t>
      </w:r>
      <w:r>
        <w:rPr>
          <w:rFonts w:ascii="Palatino Linotype" w:eastAsia="Palatino Linotype" w:hAnsi="Palatino Linotype" w:cs="Palatino Linotype"/>
          <w:color w:val="000000"/>
        </w:rPr>
        <w:tab/>
        <w:t>Subcuenta de cuota obligatoria; que corresponde a un porcentaje del sueldo sujeto a cotización, que se descuenta al servir público de manera automática.</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t>Subcuenta de aportación obligatoria: que es la aportación que realiza la Institución a favor del servidor público, el cual equivale a un porcentaje del sueldo sujeto a cotización.</w:t>
      </w:r>
    </w:p>
    <w:p w:rsidR="00E03340" w:rsidRDefault="00AA36F5">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w:t>
      </w:r>
      <w:r>
        <w:rPr>
          <w:rFonts w:ascii="Palatino Linotype" w:eastAsia="Palatino Linotype" w:hAnsi="Palatino Linotype" w:cs="Palatino Linotype"/>
          <w:color w:val="000000"/>
        </w:rPr>
        <w:tab/>
        <w:t xml:space="preserve">Subcuenta voluntaria: que es la cantidad que cada servidor público decide ahorrar de acuerdo con sus aportaciones, permitiendo acumular mayores ingresos para su retiro. </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E03340" w:rsidRDefault="00AA36F5">
      <w:pPr>
        <w:pBdr>
          <w:top w:val="nil"/>
          <w:left w:val="nil"/>
          <w:bottom w:val="nil"/>
          <w:right w:val="nil"/>
          <w:between w:val="nil"/>
        </w:pBdr>
        <w:spacing w:line="360" w:lineRule="auto"/>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w:t>
      </w:r>
      <w:r>
        <w:rPr>
          <w:rFonts w:ascii="Palatino Linotype" w:eastAsia="Palatino Linotype" w:hAnsi="Palatino Linotype" w:cs="Palatino Linotype"/>
          <w:i/>
          <w:iCs/>
          <w:color w:val="000000"/>
        </w:rPr>
        <w:lastRenderedPageBreak/>
        <w:t>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Pr>
          <w:rFonts w:ascii="Palatino Linotype" w:eastAsia="Palatino Linotype" w:hAnsi="Palatino Linotype" w:cs="Palatino Linotype"/>
          <w:color w:val="000000"/>
        </w:rPr>
        <w:t xml:space="preserve"> </w:t>
      </w:r>
    </w:p>
    <w:p w:rsidR="00E03340" w:rsidRDefault="00AA36F5">
      <w:pPr>
        <w:numPr>
          <w:ilvl w:val="0"/>
          <w:numId w:val="6"/>
        </w:numPr>
        <w:shd w:val="clear" w:color="auto" w:fill="FFFFFF"/>
        <w:spacing w:before="240" w:after="240" w:line="360" w:lineRule="auto"/>
        <w:ind w:left="0" w:right="-1017"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E03340" w:rsidRDefault="00AA36F5">
      <w:pPr>
        <w:numPr>
          <w:ilvl w:val="0"/>
          <w:numId w:val="6"/>
        </w:numPr>
        <w:spacing w:line="360" w:lineRule="auto"/>
        <w:ind w:left="0" w:right="-101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E03340" w:rsidRDefault="00AA36F5">
      <w:pPr>
        <w:keepNext/>
        <w:keepLines/>
        <w:spacing w:before="240" w:line="360" w:lineRule="auto"/>
        <w:ind w:right="-101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E03340" w:rsidRDefault="00E03340">
      <w:pPr>
        <w:keepNext/>
        <w:keepLines/>
        <w:spacing w:before="240" w:line="360" w:lineRule="auto"/>
        <w:ind w:right="-1017"/>
        <w:jc w:val="both"/>
        <w:rPr>
          <w:rFonts w:ascii="Palatino Linotype" w:eastAsia="Palatino Linotype" w:hAnsi="Palatino Linotype" w:cs="Palatino Linotype"/>
          <w:b/>
          <w:bCs/>
          <w:color w:val="000000"/>
        </w:rPr>
      </w:pPr>
    </w:p>
    <w:p w:rsidR="00E03340" w:rsidRDefault="00AA36F5">
      <w:pPr>
        <w:spacing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10878/INFOEM/IP/RR/2025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spacing w:line="360" w:lineRule="auto"/>
        <w:ind w:right="-1017"/>
        <w:jc w:val="both"/>
        <w:rPr>
          <w:rFonts w:ascii="Palatino Linotype" w:eastAsia="Palatino Linotype" w:hAnsi="Palatino Linotype" w:cs="Palatino Linotype"/>
        </w:rPr>
      </w:pPr>
      <w:bookmarkStart w:id="11" w:name="_heading=h.26in1rg" w:colFirst="0" w:colLast="0"/>
      <w:bookmarkEnd w:id="11"/>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REVOCA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Colegio de Estudios Científicos y Tecnológicos del Estado de México, </w:t>
      </w:r>
      <w:r>
        <w:rPr>
          <w:rFonts w:ascii="Palatino Linotype" w:eastAsia="Palatino Linotype" w:hAnsi="Palatino Linotype" w:cs="Palatino Linotype"/>
        </w:rPr>
        <w:t xml:space="preserve">a la solicitud </w:t>
      </w:r>
      <w:r>
        <w:rPr>
          <w:rFonts w:ascii="Palatino Linotype" w:eastAsia="Palatino Linotype" w:hAnsi="Palatino Linotype" w:cs="Palatino Linotype"/>
          <w:b/>
          <w:bCs/>
        </w:rPr>
        <w:t>00042/CECyTEM/IP/2025,</w:t>
      </w:r>
      <w:r>
        <w:rPr>
          <w:rFonts w:ascii="Palatino Linotype" w:eastAsia="Palatino Linotype" w:hAnsi="Palatino Linotype" w:cs="Palatino Linotype"/>
        </w:rPr>
        <w:t xml:space="preserve"> y 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numPr>
          <w:ilvl w:val="0"/>
          <w:numId w:val="5"/>
        </w:num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De los servidores públicos adscritos al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Colegio de Estudios Científicos y Tecnológicos del Estado de México, al veintiséis de agosto de dos mil veinticinco: </w:t>
      </w:r>
    </w:p>
    <w:p w:rsidR="00E03340" w:rsidRDefault="00E03340">
      <w:pPr>
        <w:pBdr>
          <w:top w:val="nil"/>
          <w:left w:val="nil"/>
          <w:bottom w:val="nil"/>
          <w:right w:val="nil"/>
          <w:between w:val="nil"/>
        </w:pBdr>
        <w:spacing w:line="360" w:lineRule="auto"/>
        <w:ind w:left="851" w:right="-1017"/>
        <w:jc w:val="both"/>
        <w:rPr>
          <w:rFonts w:ascii="Palatino Linotype" w:eastAsia="Palatino Linotype" w:hAnsi="Palatino Linotype" w:cs="Palatino Linotype"/>
          <w:color w:val="000000"/>
        </w:rPr>
      </w:pP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bookmarkStart w:id="12" w:name="_heading=h.6oxbj6l8i40c" w:colFirst="0" w:colLast="0"/>
      <w:bookmarkEnd w:id="12"/>
      <w:r>
        <w:rPr>
          <w:rFonts w:ascii="Palatino Linotype" w:eastAsia="Palatino Linotype" w:hAnsi="Palatino Linotype" w:cs="Palatino Linotype"/>
          <w:b/>
          <w:bCs/>
          <w:color w:val="000000"/>
        </w:rPr>
        <w:t>Soporte documental donde conste el sueldo bruto y neto;</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Soporte documental donde conste la plaza o categoría;</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Documento que acredite el grado de estudios;</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Certificado de no antecedentes penales; y</w:t>
      </w:r>
    </w:p>
    <w:p w:rsidR="00E03340" w:rsidRDefault="00AA36F5">
      <w:pPr>
        <w:numPr>
          <w:ilvl w:val="3"/>
          <w:numId w:val="6"/>
        </w:numPr>
        <w:pBdr>
          <w:top w:val="nil"/>
          <w:left w:val="nil"/>
          <w:bottom w:val="nil"/>
          <w:right w:val="nil"/>
          <w:between w:val="nil"/>
        </w:pBdr>
        <w:spacing w:line="360" w:lineRule="auto"/>
        <w:ind w:left="851" w:right="-1017"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Currículum vitae, ficha curricular o documento análogo.</w:t>
      </w:r>
    </w:p>
    <w:p w:rsidR="00E03340" w:rsidRDefault="00E03340">
      <w:pPr>
        <w:pBdr>
          <w:top w:val="nil"/>
          <w:left w:val="nil"/>
          <w:bottom w:val="nil"/>
          <w:right w:val="nil"/>
          <w:between w:val="nil"/>
        </w:pBdr>
        <w:spacing w:line="360" w:lineRule="auto"/>
        <w:ind w:left="1440" w:right="-1017"/>
        <w:jc w:val="both"/>
        <w:rPr>
          <w:rFonts w:ascii="Palatino Linotype" w:eastAsia="Palatino Linotype" w:hAnsi="Palatino Linotype" w:cs="Palatino Linotype"/>
          <w:color w:val="000000"/>
        </w:rPr>
      </w:pPr>
    </w:p>
    <w:p w:rsidR="00E03340" w:rsidRDefault="00AA36F5">
      <w:pPr>
        <w:tabs>
          <w:tab w:val="left" w:pos="993"/>
        </w:tabs>
        <w:spacing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Para </w:t>
      </w:r>
      <w:r>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rsidR="00E03340" w:rsidRDefault="00E03340">
      <w:pPr>
        <w:tabs>
          <w:tab w:val="left" w:pos="993"/>
        </w:tabs>
        <w:spacing w:line="360" w:lineRule="auto"/>
        <w:ind w:right="-1017"/>
        <w:jc w:val="both"/>
        <w:rPr>
          <w:rFonts w:ascii="Palatino Linotype" w:eastAsia="Palatino Linotype" w:hAnsi="Palatino Linotype" w:cs="Palatino Linotype"/>
        </w:rPr>
      </w:pPr>
    </w:p>
    <w:p w:rsidR="00E03340" w:rsidRDefault="00AA36F5">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caso de que la información que se ordena entregar en el punto 3 y 4, no obre en los archivos del Sujeto Obligado, bastará con que así se haga del conocimiento del Particular en términos del artículo 19, párrafo segundo, de la Ley de Transparencia y Acceso a la Información Pública del Estado de México y Municipios, para </w:t>
      </w:r>
      <w:r>
        <w:rPr>
          <w:rFonts w:ascii="Palatino Linotype" w:eastAsia="Palatino Linotype" w:hAnsi="Palatino Linotype" w:cs="Palatino Linotype"/>
        </w:rPr>
        <w:t>tener por</w:t>
      </w:r>
      <w:r>
        <w:rPr>
          <w:rFonts w:ascii="Palatino Linotype" w:eastAsia="Palatino Linotype" w:hAnsi="Palatino Linotype" w:cs="Palatino Linotype"/>
          <w:color w:val="000000"/>
        </w:rPr>
        <w:t xml:space="preserve"> colmado dicho requerimiento. </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b/>
          <w:bCs/>
        </w:rPr>
      </w:pPr>
    </w:p>
    <w:p w:rsidR="00E03340" w:rsidRDefault="00AA36F5">
      <w:pPr>
        <w:shd w:val="clear" w:color="auto" w:fill="FFFFFF"/>
        <w:spacing w:line="360" w:lineRule="auto"/>
        <w:ind w:right="-1017"/>
        <w:jc w:val="both"/>
        <w:rPr>
          <w:rFonts w:ascii="Palatino Linotype" w:eastAsia="Palatino Linotype" w:hAnsi="Palatino Linotype" w:cs="Palatino Linotype"/>
          <w:color w:val="222222"/>
        </w:rPr>
      </w:pPr>
      <w:r>
        <w:rPr>
          <w:rFonts w:ascii="Palatino Linotype" w:eastAsia="Palatino Linotype" w:hAnsi="Palatino Linotype" w:cs="Palatino Linotype"/>
          <w:b/>
          <w:bCs/>
          <w:color w:val="222222"/>
        </w:rPr>
        <w:t xml:space="preserve">TERCERO. </w:t>
      </w:r>
      <w:r>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dé cumplimiento a lo ordenado dentro del plazo de diez días hábiles,</w:t>
      </w:r>
      <w:r>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03340" w:rsidRDefault="00E03340">
      <w:pPr>
        <w:shd w:val="clear" w:color="auto" w:fill="FFFFFF"/>
        <w:spacing w:line="360" w:lineRule="auto"/>
        <w:ind w:right="-1017"/>
        <w:jc w:val="both"/>
        <w:rPr>
          <w:rFonts w:ascii="Palatino Linotype" w:eastAsia="Palatino Linotype" w:hAnsi="Palatino Linotype" w:cs="Palatino Linotype"/>
          <w:b/>
          <w:bCs/>
          <w:color w:val="222222"/>
        </w:rPr>
      </w:pPr>
    </w:p>
    <w:p w:rsidR="00E03340" w:rsidRDefault="00AA36F5">
      <w:pPr>
        <w:shd w:val="clear" w:color="auto" w:fill="FFFFFF"/>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color w:val="000000"/>
        </w:rPr>
        <w:lastRenderedPageBreak/>
        <w:t>SUJETO OBLIGADO</w:t>
      </w:r>
      <w:r>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E03340" w:rsidRDefault="00E03340">
      <w:pPr>
        <w:spacing w:line="360" w:lineRule="auto"/>
        <w:ind w:right="-1017"/>
        <w:jc w:val="both"/>
        <w:rPr>
          <w:rFonts w:ascii="Palatino Linotype" w:eastAsia="Palatino Linotype" w:hAnsi="Palatino Linotype" w:cs="Palatino Linotype"/>
        </w:rPr>
      </w:pPr>
    </w:p>
    <w:p w:rsidR="00E03340" w:rsidRDefault="00AA36F5">
      <w:pPr>
        <w:shd w:val="clear" w:color="auto" w:fill="FFFFFF"/>
        <w:spacing w:line="360" w:lineRule="auto"/>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b/>
          <w:bCs/>
          <w:color w:val="222222"/>
        </w:rPr>
        <w:t xml:space="preserve">Notifíquese </w:t>
      </w:r>
      <w:r>
        <w:rPr>
          <w:rFonts w:ascii="Palatino Linotype" w:eastAsia="Palatino Linotype" w:hAnsi="Palatino Linotype" w:cs="Palatino Linotype"/>
          <w:color w:val="222222"/>
        </w:rPr>
        <w:t xml:space="preserve">al </w:t>
      </w:r>
      <w:r>
        <w:rPr>
          <w:rFonts w:ascii="Palatino Linotype" w:eastAsia="Palatino Linotype" w:hAnsi="Palatino Linotype" w:cs="Palatino Linotype"/>
          <w:b/>
          <w:bCs/>
          <w:color w:val="222222"/>
        </w:rPr>
        <w:t>RECURRENTE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la presente resolución vía Sistema de Acceso a la Información Mexiquense (SAIMEX).</w:t>
      </w:r>
    </w:p>
    <w:p w:rsidR="00E03340" w:rsidRDefault="00E03340">
      <w:pPr>
        <w:shd w:val="clear" w:color="auto" w:fill="FFFFFF"/>
        <w:spacing w:line="360" w:lineRule="auto"/>
        <w:ind w:right="-1017"/>
        <w:jc w:val="both"/>
        <w:rPr>
          <w:rFonts w:ascii="Palatino Linotype" w:eastAsia="Palatino Linotype" w:hAnsi="Palatino Linotype" w:cs="Palatino Linotype"/>
        </w:rPr>
      </w:pPr>
    </w:p>
    <w:p w:rsidR="00E03340" w:rsidRDefault="00AA36F5">
      <w:pPr>
        <w:spacing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063B95" w:rsidRPr="003E2295" w:rsidRDefault="00063B95" w:rsidP="00063B95">
      <w:pPr>
        <w:spacing w:before="240" w:after="240" w:line="360" w:lineRule="auto"/>
        <w:ind w:right="-1021" w:firstLine="1"/>
        <w:jc w:val="both"/>
        <w:rPr>
          <w:rFonts w:ascii="Palatino Linotype" w:hAnsi="Palatino Linotype"/>
        </w:rPr>
      </w:pPr>
      <w:bookmarkStart w:id="13"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AA6E62">
        <w:rPr>
          <w:rFonts w:ascii="Palatino Linotype" w:hAnsi="Palatino Linotype" w:cs="Palatino Linotype"/>
        </w:rPr>
        <w:t xml:space="preserve"> EMITIENDO VOTO PARTICULAR CONCURRENTE</w:t>
      </w:r>
      <w:r w:rsidRPr="003E2295">
        <w:rPr>
          <w:rFonts w:ascii="Palatino Linotype" w:hAnsi="Palatino Linotype" w:cs="Palatino Linotype"/>
        </w:rPr>
        <w:t>, SHARON CRISTINA MORALES MARTÍNEZ</w:t>
      </w:r>
      <w:r w:rsidR="00AA6E62">
        <w:rPr>
          <w:rFonts w:ascii="Palatino Linotype" w:hAnsi="Palatino Linotype" w:cs="Palatino Linotype"/>
        </w:rPr>
        <w:t xml:space="preserve"> EMITIENDO VOTO PARTICULAR</w:t>
      </w:r>
      <w:r w:rsidRPr="003E2295">
        <w:rPr>
          <w:rFonts w:ascii="Palatino Linotype" w:hAnsi="Palatino Linotype" w:cs="Palatino Linotype"/>
        </w:rPr>
        <w:t>, LUIS GUSTAVO PARRA NORIEGA</w:t>
      </w:r>
      <w:r w:rsidR="00AA6E62">
        <w:rPr>
          <w:rFonts w:ascii="Palatino Linotype" w:hAnsi="Palatino Linotype" w:cs="Palatino Linotype"/>
        </w:rPr>
        <w:t xml:space="preserve"> EMITIENDO VOTO PARTICULAR CONCURRENTE</w:t>
      </w:r>
      <w:r w:rsidRPr="003E2295">
        <w:rPr>
          <w:rFonts w:ascii="Palatino Linotype" w:hAnsi="Palatino Linotype" w:cs="Palatino Linotype"/>
        </w:rPr>
        <w:t xml:space="preserve"> Y GUADALUPE RAMÍREZ PEÑA</w:t>
      </w:r>
      <w:r w:rsidR="00AA6E62">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rsidR="00E03340" w:rsidRDefault="00E03340" w:rsidP="00063B95">
      <w:pPr>
        <w:pBdr>
          <w:top w:val="nil"/>
          <w:left w:val="nil"/>
          <w:bottom w:val="nil"/>
          <w:right w:val="nil"/>
          <w:between w:val="nil"/>
        </w:pBdr>
        <w:tabs>
          <w:tab w:val="left" w:pos="284"/>
        </w:tabs>
        <w:spacing w:line="360" w:lineRule="auto"/>
        <w:ind w:right="-1021"/>
        <w:jc w:val="both"/>
        <w:rPr>
          <w:rFonts w:ascii="Palatino Linotype" w:eastAsia="Palatino Linotype" w:hAnsi="Palatino Linotype" w:cs="Palatino Linotype"/>
        </w:rPr>
      </w:pPr>
    </w:p>
    <w:p w:rsidR="00E03340" w:rsidRDefault="00E03340">
      <w:pPr>
        <w:pBdr>
          <w:top w:val="nil"/>
          <w:left w:val="nil"/>
          <w:bottom w:val="nil"/>
          <w:right w:val="nil"/>
          <w:between w:val="nil"/>
        </w:pBdr>
        <w:tabs>
          <w:tab w:val="left" w:pos="284"/>
        </w:tabs>
        <w:spacing w:line="360" w:lineRule="auto"/>
        <w:ind w:right="-1017"/>
        <w:jc w:val="both"/>
        <w:rPr>
          <w:rFonts w:ascii="Palatino Linotype" w:eastAsia="Palatino Linotype" w:hAnsi="Palatino Linotype" w:cs="Palatino Linotype"/>
        </w:rPr>
      </w:pPr>
    </w:p>
    <w:p w:rsidR="00E03340" w:rsidRDefault="00E03340">
      <w:pPr>
        <w:pBdr>
          <w:top w:val="nil"/>
          <w:left w:val="nil"/>
          <w:bottom w:val="nil"/>
          <w:right w:val="nil"/>
          <w:between w:val="nil"/>
        </w:pBdr>
        <w:tabs>
          <w:tab w:val="left" w:pos="284"/>
        </w:tabs>
        <w:spacing w:line="360" w:lineRule="auto"/>
        <w:ind w:right="-1017"/>
        <w:jc w:val="both"/>
        <w:rPr>
          <w:rFonts w:ascii="Palatino Linotype" w:eastAsia="Palatino Linotype" w:hAnsi="Palatino Linotype" w:cs="Palatino Linotype"/>
        </w:rPr>
      </w:pP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E03340">
      <w:pPr>
        <w:pBdr>
          <w:top w:val="nil"/>
          <w:left w:val="nil"/>
          <w:bottom w:val="nil"/>
          <w:right w:val="nil"/>
          <w:between w:val="nil"/>
        </w:pBdr>
        <w:ind w:left="720" w:right="-1017"/>
        <w:jc w:val="both"/>
        <w:rPr>
          <w:rFonts w:ascii="Palatino Linotype" w:eastAsia="Palatino Linotype" w:hAnsi="Palatino Linotype" w:cs="Palatino Linotype"/>
          <w:color w:val="000000"/>
        </w:rPr>
      </w:pPr>
    </w:p>
    <w:p w:rsidR="00E03340" w:rsidRDefault="00E0334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jc w:val="both"/>
        <w:rPr>
          <w:rFonts w:ascii="Palatino Linotype" w:eastAsia="Palatino Linotype" w:hAnsi="Palatino Linotype" w:cs="Palatino Linotype"/>
        </w:rPr>
      </w:pPr>
    </w:p>
    <w:p w:rsidR="00E03340" w:rsidRDefault="00E03340">
      <w:pPr>
        <w:ind w:right="-1017"/>
      </w:pPr>
    </w:p>
    <w:p w:rsidR="00E03340" w:rsidRDefault="00E03340">
      <w:pPr>
        <w:ind w:right="-1017"/>
      </w:pPr>
    </w:p>
    <w:sectPr w:rsidR="00E03340">
      <w:headerReference w:type="even" r:id="rId10"/>
      <w:headerReference w:type="default" r:id="rId11"/>
      <w:footerReference w:type="default" r:id="rId12"/>
      <w:headerReference w:type="first" r:id="rId13"/>
      <w:footerReference w:type="first" r:id="rId14"/>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D6F" w:rsidRDefault="00051D6F">
      <w:r>
        <w:separator/>
      </w:r>
    </w:p>
  </w:endnote>
  <w:endnote w:type="continuationSeparator" w:id="0">
    <w:p w:rsidR="00051D6F" w:rsidRDefault="0005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43820A41-9273-4DC2-BF92-C0A968AC6A2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E6A49E59-5395-4CD6-A08D-713748C1E6C5}"/>
    <w:embedBold r:id="rId3" w:fontKey="{AE405965-D32F-4BE4-B76F-92A7279ECC89}"/>
    <w:embedItalic r:id="rId4" w:fontKey="{DEBBD974-537A-45CA-88E9-E04DFC40DB63}"/>
    <w:embedBoldItalic r:id="rId5" w:fontKey="{435761C3-260B-4308-ADD0-6053E94C39E2}"/>
  </w:font>
  <w:font w:name="Calibri">
    <w:panose1 w:val="020F0502020204030204"/>
    <w:charset w:val="00"/>
    <w:family w:val="swiss"/>
    <w:pitch w:val="variable"/>
    <w:sig w:usb0="E4002EFF" w:usb1="C200247B" w:usb2="00000009" w:usb3="00000000" w:csb0="000001FF" w:csb1="00000000"/>
    <w:embedRegular r:id="rId6" w:fontKey="{E3443828-BFAA-4A72-9726-0F4FD092CCD6}"/>
  </w:font>
  <w:font w:name="Georgia">
    <w:panose1 w:val="02040502050405020303"/>
    <w:charset w:val="00"/>
    <w:family w:val="roman"/>
    <w:pitch w:val="variable"/>
    <w:sig w:usb0="00000287" w:usb1="00000000" w:usb2="00000000" w:usb3="00000000" w:csb0="0000009F" w:csb1="00000000"/>
    <w:embedItalic r:id="rId7" w:fontKey="{20617374-D1A9-4026-AC34-283189111026}"/>
  </w:font>
  <w:font w:name="Verdana">
    <w:panose1 w:val="020B0604030504040204"/>
    <w:charset w:val="00"/>
    <w:family w:val="swiss"/>
    <w:pitch w:val="variable"/>
    <w:sig w:usb0="A00006FF" w:usb1="4000205B" w:usb2="00000010" w:usb3="00000000" w:csb0="0000019F" w:csb1="00000000"/>
    <w:embedRegular r:id="rId8" w:fontKey="{3788EF37-E810-42A5-ACAE-7633397783FA}"/>
  </w:font>
  <w:font w:name="Garamond">
    <w:panose1 w:val="02020404030301010803"/>
    <w:charset w:val="00"/>
    <w:family w:val="roman"/>
    <w:pitch w:val="variable"/>
    <w:sig w:usb0="00000287" w:usb1="00000000" w:usb2="00000000" w:usb3="00000000" w:csb0="0000009F" w:csb1="00000000"/>
    <w:embedRegular r:id="rId9" w:fontKey="{D1A9F6DA-830D-4E4B-84F9-1A7223826E5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8C7DD627-AD46-4320-9989-FD15D7E419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340" w:rsidRDefault="00AA36F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1226F1">
      <w:rPr>
        <w:rFonts w:ascii="Palatino Linotype" w:eastAsia="Palatino Linotype" w:hAnsi="Palatino Linotype" w:cs="Palatino Linotype"/>
        <w:noProof/>
        <w:color w:val="000000"/>
        <w:sz w:val="22"/>
        <w:szCs w:val="22"/>
      </w:rPr>
      <w:t>35</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1226F1">
      <w:rPr>
        <w:rFonts w:ascii="Palatino Linotype" w:eastAsia="Palatino Linotype" w:hAnsi="Palatino Linotype" w:cs="Palatino Linotype"/>
        <w:noProof/>
        <w:color w:val="000000"/>
        <w:sz w:val="22"/>
        <w:szCs w:val="22"/>
      </w:rPr>
      <w:t>45</w:t>
    </w:r>
    <w:r>
      <w:rPr>
        <w:rFonts w:ascii="Palatino Linotype" w:eastAsia="Palatino Linotype" w:hAnsi="Palatino Linotype" w:cs="Palatino Linotype"/>
        <w:color w:val="000000"/>
        <w:sz w:val="22"/>
        <w:szCs w:val="22"/>
      </w:rPr>
      <w:fldChar w:fldCharType="end"/>
    </w:r>
  </w:p>
  <w:p w:rsidR="00E03340" w:rsidRDefault="00E0334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340" w:rsidRDefault="00AA36F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226F1">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226F1">
      <w:rPr>
        <w:rFonts w:ascii="Palatino Linotype" w:eastAsia="Palatino Linotype" w:hAnsi="Palatino Linotype" w:cs="Palatino Linotype"/>
        <w:b/>
        <w:bCs/>
        <w:noProof/>
        <w:color w:val="000000"/>
        <w:sz w:val="22"/>
        <w:szCs w:val="22"/>
      </w:rPr>
      <w:t>45</w:t>
    </w:r>
    <w:r>
      <w:rPr>
        <w:rFonts w:ascii="Palatino Linotype" w:eastAsia="Palatino Linotype" w:hAnsi="Palatino Linotype" w:cs="Palatino Linotype"/>
        <w:b/>
        <w:bCs/>
        <w:color w:val="000000"/>
        <w:sz w:val="22"/>
        <w:szCs w:val="22"/>
      </w:rPr>
      <w:fldChar w:fldCharType="end"/>
    </w:r>
  </w:p>
  <w:p w:rsidR="00E03340" w:rsidRDefault="00E0334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D6F" w:rsidRDefault="00051D6F">
      <w:r>
        <w:separator/>
      </w:r>
    </w:p>
  </w:footnote>
  <w:footnote w:type="continuationSeparator" w:id="0">
    <w:p w:rsidR="00051D6F" w:rsidRDefault="00051D6F">
      <w:r>
        <w:continuationSeparator/>
      </w:r>
    </w:p>
  </w:footnote>
  <w:footnote w:id="1">
    <w:p w:rsidR="00E03340" w:rsidRDefault="00AA36F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E03340" w:rsidRDefault="00AA36F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E03340" w:rsidRDefault="00AA36F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 w:id="3">
    <w:p w:rsidR="00E03340" w:rsidRDefault="00AA36F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E03340" w:rsidRDefault="00AA36F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E03340" w:rsidRDefault="00AA36F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 w:id="4">
    <w:p w:rsidR="00E03340" w:rsidRDefault="00AA36F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https://legislacion.edomex.gob.mx/sites/legislacion.edomex.gob.mx/files/files/pdf/ley/vig/leyvig083.pdf</w:t>
        </w:r>
      </w:hyperlink>
    </w:p>
    <w:p w:rsidR="00E03340" w:rsidRDefault="00E03340">
      <w:pPr>
        <w:pBdr>
          <w:top w:val="nil"/>
          <w:left w:val="nil"/>
          <w:bottom w:val="nil"/>
          <w:right w:val="nil"/>
          <w:between w:val="nil"/>
        </w:pBdr>
        <w:rPr>
          <w:rFonts w:ascii="Calibri" w:eastAsia="Calibri" w:hAnsi="Calibri" w:cs="Calibri"/>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3340" w:rsidRDefault="00051D6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2268"/>
      <w:gridCol w:w="8222"/>
    </w:tblGrid>
    <w:tr w:rsidR="00E03340" w:rsidTr="00782A26">
      <w:trPr>
        <w:trHeight w:val="1435"/>
      </w:trPr>
      <w:tc>
        <w:tcPr>
          <w:tcW w:w="2268" w:type="dxa"/>
          <w:shd w:val="clear" w:color="auto" w:fill="auto"/>
        </w:tcPr>
        <w:p w:rsidR="00E03340" w:rsidRDefault="00E03340">
          <w:pPr>
            <w:tabs>
              <w:tab w:val="right" w:pos="4273"/>
            </w:tabs>
            <w:rPr>
              <w:rFonts w:ascii="Garamond" w:eastAsia="Garamond" w:hAnsi="Garamond" w:cs="Garamond"/>
              <w:sz w:val="16"/>
              <w:szCs w:val="16"/>
            </w:rPr>
          </w:pPr>
        </w:p>
      </w:tc>
      <w:tc>
        <w:tcPr>
          <w:tcW w:w="8222" w:type="dxa"/>
          <w:shd w:val="clear" w:color="auto" w:fill="auto"/>
        </w:tcPr>
        <w:tbl>
          <w:tblPr>
            <w:tblStyle w:val="a2"/>
            <w:tblW w:w="7938" w:type="dxa"/>
            <w:tblInd w:w="27" w:type="dxa"/>
            <w:tblLayout w:type="fixed"/>
            <w:tblLook w:val="0400" w:firstRow="0" w:lastRow="0" w:firstColumn="0" w:lastColumn="0" w:noHBand="0" w:noVBand="1"/>
          </w:tblPr>
          <w:tblGrid>
            <w:gridCol w:w="2964"/>
            <w:gridCol w:w="4974"/>
          </w:tblGrid>
          <w:tr w:rsidR="00E03340" w:rsidTr="00782A26">
            <w:trPr>
              <w:trHeight w:val="150"/>
            </w:trPr>
            <w:tc>
              <w:tcPr>
                <w:tcW w:w="2964" w:type="dxa"/>
                <w:shd w:val="clear" w:color="auto" w:fill="auto"/>
              </w:tcPr>
              <w:p w:rsidR="00E03340" w:rsidRDefault="00AA36F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74" w:type="dxa"/>
                <w:shd w:val="clear" w:color="auto" w:fill="auto"/>
              </w:tcPr>
              <w:p w:rsidR="00E03340" w:rsidRDefault="00AA36F5" w:rsidP="00782A26">
                <w:pPr>
                  <w:tabs>
                    <w:tab w:val="right" w:pos="8838"/>
                  </w:tabs>
                  <w:ind w:left="-108" w:right="-1238"/>
                  <w:rPr>
                    <w:rFonts w:ascii="Palatino Linotype" w:eastAsia="Palatino Linotype" w:hAnsi="Palatino Linotype" w:cs="Palatino Linotype"/>
                  </w:rPr>
                </w:pPr>
                <w:r>
                  <w:rPr>
                    <w:rFonts w:ascii="Palatino Linotype" w:eastAsia="Palatino Linotype" w:hAnsi="Palatino Linotype" w:cs="Palatino Linotype"/>
                  </w:rPr>
                  <w:t>10878/INFOEM/IP/RR/2025</w:t>
                </w:r>
                <w:r>
                  <w:rPr>
                    <w:rFonts w:ascii="Palatino Linotype" w:eastAsia="Palatino Linotype" w:hAnsi="Palatino Linotype" w:cs="Palatino Linotype"/>
                    <w:b/>
                    <w:bCs/>
                  </w:rPr>
                  <w:t xml:space="preserve"> </w:t>
                </w:r>
              </w:p>
            </w:tc>
          </w:tr>
          <w:tr w:rsidR="00E03340" w:rsidTr="00782A26">
            <w:trPr>
              <w:trHeight w:val="295"/>
            </w:trPr>
            <w:tc>
              <w:tcPr>
                <w:tcW w:w="2964" w:type="dxa"/>
                <w:shd w:val="clear" w:color="auto" w:fill="auto"/>
              </w:tcPr>
              <w:p w:rsidR="00E03340" w:rsidRDefault="00AA36F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74" w:type="dxa"/>
                <w:shd w:val="clear" w:color="auto" w:fill="auto"/>
              </w:tcPr>
              <w:p w:rsidR="00E03340" w:rsidRDefault="00AA36F5" w:rsidP="00782A26">
                <w:pPr>
                  <w:tabs>
                    <w:tab w:val="right" w:pos="8838"/>
                  </w:tabs>
                  <w:ind w:left="-108" w:right="-115"/>
                  <w:rPr>
                    <w:rFonts w:ascii="Palatino Linotype" w:eastAsia="Palatino Linotype" w:hAnsi="Palatino Linotype" w:cs="Palatino Linotype"/>
                  </w:rPr>
                </w:pPr>
                <w:r>
                  <w:rPr>
                    <w:rFonts w:ascii="Palatino Linotype" w:eastAsia="Palatino Linotype" w:hAnsi="Palatino Linotype" w:cs="Palatino Linotype"/>
                  </w:rPr>
                  <w:t xml:space="preserve">Colegio de Estudios Científicos y Tecnológicos del Estado de México </w:t>
                </w:r>
              </w:p>
            </w:tc>
          </w:tr>
          <w:tr w:rsidR="00E03340" w:rsidTr="00782A26">
            <w:trPr>
              <w:trHeight w:val="295"/>
            </w:trPr>
            <w:tc>
              <w:tcPr>
                <w:tcW w:w="2964" w:type="dxa"/>
                <w:shd w:val="clear" w:color="auto" w:fill="auto"/>
              </w:tcPr>
              <w:p w:rsidR="00E03340" w:rsidRDefault="00AA36F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974" w:type="dxa"/>
                <w:shd w:val="clear" w:color="auto" w:fill="auto"/>
              </w:tcPr>
              <w:p w:rsidR="00E03340" w:rsidRDefault="00AA36F5" w:rsidP="00782A26">
                <w:pPr>
                  <w:tabs>
                    <w:tab w:val="right" w:pos="8838"/>
                  </w:tabs>
                  <w:ind w:left="-108" w:right="-1238"/>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E03340" w:rsidRDefault="00E03340" w:rsidP="00782A26">
                <w:pPr>
                  <w:tabs>
                    <w:tab w:val="right" w:pos="8838"/>
                  </w:tabs>
                  <w:ind w:left="-108" w:right="-1238"/>
                  <w:rPr>
                    <w:rFonts w:ascii="Palatino Linotype" w:eastAsia="Palatino Linotype" w:hAnsi="Palatino Linotype" w:cs="Palatino Linotype"/>
                    <w:b/>
                    <w:bCs/>
                  </w:rPr>
                </w:pPr>
              </w:p>
            </w:tc>
          </w:tr>
        </w:tbl>
        <w:p w:rsidR="00E03340" w:rsidRDefault="00E03340">
          <w:pPr>
            <w:tabs>
              <w:tab w:val="right" w:pos="8838"/>
            </w:tabs>
            <w:ind w:left="-28"/>
            <w:jc w:val="both"/>
            <w:rPr>
              <w:rFonts w:ascii="Arial" w:eastAsia="Arial" w:hAnsi="Arial" w:cs="Arial"/>
              <w:b/>
              <w:bCs/>
              <w:sz w:val="22"/>
              <w:szCs w:val="22"/>
            </w:rPr>
          </w:pPr>
        </w:p>
      </w:tc>
    </w:tr>
  </w:tbl>
  <w:p w:rsidR="00E03340" w:rsidRDefault="00051D6F">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490" w:type="dxa"/>
      <w:tblInd w:w="0" w:type="dxa"/>
      <w:tblLayout w:type="fixed"/>
      <w:tblLook w:val="0400" w:firstRow="0" w:lastRow="0" w:firstColumn="0" w:lastColumn="0" w:noHBand="0" w:noVBand="1"/>
    </w:tblPr>
    <w:tblGrid>
      <w:gridCol w:w="2265"/>
      <w:gridCol w:w="8225"/>
    </w:tblGrid>
    <w:tr w:rsidR="00E03340" w:rsidTr="00782A26">
      <w:trPr>
        <w:trHeight w:val="1435"/>
      </w:trPr>
      <w:tc>
        <w:tcPr>
          <w:tcW w:w="2265" w:type="dxa"/>
          <w:shd w:val="clear" w:color="auto" w:fill="auto"/>
        </w:tcPr>
        <w:p w:rsidR="00E03340" w:rsidRDefault="00E03340">
          <w:pPr>
            <w:tabs>
              <w:tab w:val="right" w:pos="4273"/>
            </w:tabs>
            <w:rPr>
              <w:rFonts w:ascii="Garamond" w:eastAsia="Garamond" w:hAnsi="Garamond" w:cs="Garamond"/>
              <w:sz w:val="22"/>
              <w:szCs w:val="22"/>
            </w:rPr>
          </w:pPr>
        </w:p>
      </w:tc>
      <w:tc>
        <w:tcPr>
          <w:tcW w:w="8225" w:type="dxa"/>
          <w:shd w:val="clear" w:color="auto" w:fill="auto"/>
        </w:tcPr>
        <w:tbl>
          <w:tblPr>
            <w:tblStyle w:val="a4"/>
            <w:tblW w:w="7797" w:type="dxa"/>
            <w:tblInd w:w="455" w:type="dxa"/>
            <w:tblLayout w:type="fixed"/>
            <w:tblLook w:val="0400" w:firstRow="0" w:lastRow="0" w:firstColumn="0" w:lastColumn="0" w:noHBand="0" w:noVBand="1"/>
          </w:tblPr>
          <w:tblGrid>
            <w:gridCol w:w="2542"/>
            <w:gridCol w:w="5255"/>
          </w:tblGrid>
          <w:tr w:rsidR="00E03340" w:rsidTr="00782A26">
            <w:trPr>
              <w:trHeight w:val="144"/>
            </w:trPr>
            <w:tc>
              <w:tcPr>
                <w:tcW w:w="2542" w:type="dxa"/>
                <w:shd w:val="clear" w:color="auto" w:fill="auto"/>
              </w:tcPr>
              <w:p w:rsidR="00E03340" w:rsidRDefault="00AA36F5">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255" w:type="dxa"/>
                <w:shd w:val="clear" w:color="auto" w:fill="auto"/>
              </w:tcPr>
              <w:p w:rsidR="00E03340" w:rsidRDefault="00AA36F5">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10878/INFOEM/IP/RR/2025</w:t>
                </w:r>
              </w:p>
            </w:tc>
          </w:tr>
          <w:tr w:rsidR="00E03340" w:rsidTr="00782A26">
            <w:trPr>
              <w:trHeight w:val="144"/>
            </w:trPr>
            <w:tc>
              <w:tcPr>
                <w:tcW w:w="2542" w:type="dxa"/>
                <w:shd w:val="clear" w:color="auto" w:fill="auto"/>
              </w:tcPr>
              <w:p w:rsidR="00E03340" w:rsidRDefault="00AA36F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255" w:type="dxa"/>
                <w:shd w:val="clear" w:color="auto" w:fill="auto"/>
              </w:tcPr>
              <w:p w:rsidR="00E03340" w:rsidRDefault="00AA36F5" w:rsidP="001226F1">
                <w:pPr>
                  <w:tabs>
                    <w:tab w:val="left" w:pos="3122"/>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b/>
                    <w:bCs/>
                  </w:rPr>
                  <w:t> </w:t>
                </w:r>
                <w:r w:rsidR="001226F1">
                  <w:rPr>
                    <w:rFonts w:ascii="Palatino Linotype" w:eastAsia="Palatino Linotype" w:hAnsi="Palatino Linotype" w:cs="Palatino Linotype"/>
                  </w:rPr>
                  <w:t>XXXX</w:t>
                </w:r>
              </w:p>
            </w:tc>
          </w:tr>
          <w:tr w:rsidR="00E03340" w:rsidTr="00782A26">
            <w:trPr>
              <w:trHeight w:val="283"/>
            </w:trPr>
            <w:tc>
              <w:tcPr>
                <w:tcW w:w="2542" w:type="dxa"/>
                <w:shd w:val="clear" w:color="auto" w:fill="auto"/>
              </w:tcPr>
              <w:p w:rsidR="00E03340" w:rsidRDefault="00AA36F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255" w:type="dxa"/>
                <w:shd w:val="clear" w:color="auto" w:fill="auto"/>
              </w:tcPr>
              <w:p w:rsidR="00E03340" w:rsidRDefault="00AA36F5" w:rsidP="00782A26">
                <w:pPr>
                  <w:tabs>
                    <w:tab w:val="left" w:pos="2834"/>
                    <w:tab w:val="right" w:pos="8838"/>
                  </w:tabs>
                  <w:ind w:left="-74" w:right="-693"/>
                  <w:rPr>
                    <w:rFonts w:ascii="Palatino Linotype" w:eastAsia="Palatino Linotype" w:hAnsi="Palatino Linotype" w:cs="Palatino Linotype"/>
                  </w:rPr>
                </w:pPr>
                <w:r>
                  <w:rPr>
                    <w:rFonts w:ascii="Palatino Linotype" w:eastAsia="Palatino Linotype" w:hAnsi="Palatino Linotype" w:cs="Palatino Linotype"/>
                  </w:rPr>
                  <w:t xml:space="preserve">Colegio de Estudios Científicos y Tecnológicos </w:t>
                </w:r>
              </w:p>
              <w:p w:rsidR="00E03340" w:rsidRDefault="00AA36F5">
                <w:pPr>
                  <w:tabs>
                    <w:tab w:val="left" w:pos="2834"/>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 xml:space="preserve">del Estado de México </w:t>
                </w:r>
              </w:p>
            </w:tc>
          </w:tr>
          <w:tr w:rsidR="00E03340" w:rsidTr="00782A26">
            <w:trPr>
              <w:trHeight w:val="283"/>
            </w:trPr>
            <w:tc>
              <w:tcPr>
                <w:tcW w:w="2542" w:type="dxa"/>
                <w:shd w:val="clear" w:color="auto" w:fill="auto"/>
              </w:tcPr>
              <w:p w:rsidR="00E03340" w:rsidRDefault="00AA36F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5255" w:type="dxa"/>
                <w:shd w:val="clear" w:color="auto" w:fill="auto"/>
              </w:tcPr>
              <w:p w:rsidR="00E03340" w:rsidRDefault="00AA36F5">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E03340" w:rsidRDefault="00E03340">
                <w:pPr>
                  <w:tabs>
                    <w:tab w:val="right" w:pos="8838"/>
                  </w:tabs>
                  <w:ind w:left="-74" w:right="-1269"/>
                  <w:rPr>
                    <w:rFonts w:ascii="Palatino Linotype" w:eastAsia="Palatino Linotype" w:hAnsi="Palatino Linotype" w:cs="Palatino Linotype"/>
                    <w:b/>
                    <w:bCs/>
                  </w:rPr>
                </w:pPr>
              </w:p>
            </w:tc>
          </w:tr>
        </w:tbl>
        <w:p w:rsidR="00E03340" w:rsidRDefault="00E03340">
          <w:pPr>
            <w:tabs>
              <w:tab w:val="right" w:pos="8838"/>
            </w:tabs>
            <w:ind w:left="-28"/>
            <w:jc w:val="both"/>
            <w:rPr>
              <w:rFonts w:ascii="Arial" w:eastAsia="Arial" w:hAnsi="Arial" w:cs="Arial"/>
              <w:b/>
              <w:bCs/>
              <w:sz w:val="22"/>
              <w:szCs w:val="22"/>
            </w:rPr>
          </w:pPr>
        </w:p>
      </w:tc>
    </w:tr>
  </w:tbl>
  <w:p w:rsidR="00E03340" w:rsidRDefault="00051D6F" w:rsidP="00782A26">
    <w:pPr>
      <w:pBdr>
        <w:top w:val="nil"/>
        <w:left w:val="nil"/>
        <w:bottom w:val="nil"/>
        <w:right w:val="nil"/>
        <w:between w:val="nil"/>
      </w:pBdr>
      <w:tabs>
        <w:tab w:val="center" w:pos="4419"/>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9.65pt;margin-top:-137.3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E7DC8"/>
    <w:multiLevelType w:val="multilevel"/>
    <w:tmpl w:val="762CDAFC"/>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AC7452"/>
    <w:multiLevelType w:val="multilevel"/>
    <w:tmpl w:val="8312E180"/>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EC5821"/>
    <w:multiLevelType w:val="multilevel"/>
    <w:tmpl w:val="811ED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B47BD1"/>
    <w:multiLevelType w:val="multilevel"/>
    <w:tmpl w:val="921E2372"/>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1F752B"/>
    <w:multiLevelType w:val="multilevel"/>
    <w:tmpl w:val="96526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A32A23"/>
    <w:multiLevelType w:val="multilevel"/>
    <w:tmpl w:val="9A728D62"/>
    <w:lvl w:ilvl="0">
      <w:start w:val="12"/>
      <w:numFmt w:val="bullet"/>
      <w:lvlText w:val="-"/>
      <w:lvlJc w:val="left"/>
      <w:pPr>
        <w:ind w:left="720" w:hanging="360"/>
      </w:pPr>
      <w:rPr>
        <w:rFonts w:ascii="Palatino Linotype" w:eastAsia="Palatino Linotype" w:hAnsi="Palatino Linotype" w:cs="Palatino Linotype"/>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3013D5"/>
    <w:multiLevelType w:val="multilevel"/>
    <w:tmpl w:val="E8383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8E18AB"/>
    <w:multiLevelType w:val="multilevel"/>
    <w:tmpl w:val="1FD8F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B0A143D"/>
    <w:multiLevelType w:val="multilevel"/>
    <w:tmpl w:val="1BBE8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8"/>
  </w:num>
  <w:num w:numId="3">
    <w:abstractNumId w:val="4"/>
  </w:num>
  <w:num w:numId="4">
    <w:abstractNumId w:val="0"/>
  </w:num>
  <w:num w:numId="5">
    <w:abstractNumId w:val="3"/>
  </w:num>
  <w:num w:numId="6">
    <w:abstractNumId w:val="1"/>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40"/>
    <w:rsid w:val="00051D6F"/>
    <w:rsid w:val="00063B95"/>
    <w:rsid w:val="001226F1"/>
    <w:rsid w:val="002D0422"/>
    <w:rsid w:val="006252DF"/>
    <w:rsid w:val="00782A26"/>
    <w:rsid w:val="00AA36F5"/>
    <w:rsid w:val="00AA6E62"/>
    <w:rsid w:val="00CF15AC"/>
    <w:rsid w:val="00CF3BD2"/>
    <w:rsid w:val="00E03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88FF5B4-2EAA-4F98-80A7-525629F4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63B95"/>
    <w:pPr>
      <w:tabs>
        <w:tab w:val="center" w:pos="4419"/>
        <w:tab w:val="right" w:pos="8838"/>
      </w:tabs>
    </w:pPr>
  </w:style>
  <w:style w:type="character" w:customStyle="1" w:styleId="PiedepginaCar">
    <w:name w:val="Pie de página Car"/>
    <w:basedOn w:val="Fuentedeprrafopredeter"/>
    <w:link w:val="Piedepgina"/>
    <w:uiPriority w:val="99"/>
    <w:rsid w:val="00063B95"/>
  </w:style>
  <w:style w:type="paragraph" w:styleId="Prrafodelista">
    <w:name w:val="List Paragraph"/>
    <w:basedOn w:val="Normal"/>
    <w:uiPriority w:val="34"/>
    <w:qFormat/>
    <w:rsid w:val="00782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f.gob.mx/nota_detalle.php?codigo=5492254&amp;fecha=28/07/201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BsCa8MTnUVQjMWjaxBvKydu+vg==">CgMxLjAyCGguZ2pkZ3hzMgloLjFmb2I5dGUyCWguM3pueXNoNzIJaC4yZXQ5MnAwMgloLjNkeTZ2a20yCWguNGQzNG9nODIJaC4zNW5rdW4yMg5oLnA0OGNicms4bmJ4azIJaC4xa3N2NHV2MgloLjQ0c2luaW8yCWguMjZpbjFyZzIOaC42b3hiajZsOGk0MGM4AHIhMWVqVUFhaWVyekdkRWlwSUtIeGN5RU00Wk01SUcyTVZx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45</Pages>
  <Words>11149</Words>
  <Characters>61322</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2026-06-12T17:07:00Z</cp:lastPrinted>
  <dcterms:created xsi:type="dcterms:W3CDTF">2026-06-10T20:33:00Z</dcterms:created>
  <dcterms:modified xsi:type="dcterms:W3CDTF">2026-06-16T23:29:00Z</dcterms:modified>
</cp:coreProperties>
</file>