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0A2D551F" w:rsidR="009E3316" w:rsidRPr="00382BE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382BE0">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9A25D4" w:rsidRPr="00382BE0">
        <w:rPr>
          <w:rFonts w:ascii="Palatino Linotype" w:eastAsia="Palatino Linotype" w:hAnsi="Palatino Linotype" w:cs="Palatino Linotype"/>
          <w:color w:val="000000"/>
          <w:sz w:val="24"/>
          <w:szCs w:val="24"/>
        </w:rPr>
        <w:t>trece de mayo</w:t>
      </w:r>
      <w:r w:rsidRPr="00382BE0">
        <w:rPr>
          <w:rFonts w:ascii="Palatino Linotype" w:eastAsia="Palatino Linotype" w:hAnsi="Palatino Linotype" w:cs="Palatino Linotype"/>
          <w:color w:val="000000"/>
          <w:sz w:val="24"/>
          <w:szCs w:val="24"/>
        </w:rPr>
        <w:t xml:space="preserve"> de dos mil </w:t>
      </w:r>
      <w:r w:rsidR="001408BE" w:rsidRPr="00382BE0">
        <w:rPr>
          <w:rFonts w:ascii="Palatino Linotype" w:eastAsia="Palatino Linotype" w:hAnsi="Palatino Linotype" w:cs="Palatino Linotype"/>
          <w:color w:val="000000"/>
          <w:sz w:val="24"/>
          <w:szCs w:val="24"/>
        </w:rPr>
        <w:t>veintiséis</w:t>
      </w:r>
      <w:r w:rsidRPr="00382BE0">
        <w:rPr>
          <w:rFonts w:ascii="Palatino Linotype" w:eastAsia="Palatino Linotype" w:hAnsi="Palatino Linotype" w:cs="Palatino Linotype"/>
          <w:color w:val="000000"/>
          <w:sz w:val="24"/>
          <w:szCs w:val="24"/>
        </w:rPr>
        <w:t>.</w:t>
      </w:r>
    </w:p>
    <w:p w14:paraId="1BDF4917" w14:textId="77777777" w:rsidR="009E3316" w:rsidRPr="00382BE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42F321DA" w:rsidR="009E3316" w:rsidRPr="00382BE0"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382BE0">
        <w:rPr>
          <w:rFonts w:ascii="Palatino Linotype" w:eastAsia="Palatino Linotype" w:hAnsi="Palatino Linotype" w:cs="Palatino Linotype"/>
          <w:b/>
          <w:sz w:val="24"/>
          <w:szCs w:val="24"/>
        </w:rPr>
        <w:t>VISTO</w:t>
      </w:r>
      <w:r w:rsidRPr="00382BE0">
        <w:rPr>
          <w:rFonts w:ascii="Palatino Linotype" w:eastAsia="Palatino Linotype" w:hAnsi="Palatino Linotype" w:cs="Palatino Linotype"/>
          <w:sz w:val="24"/>
          <w:szCs w:val="24"/>
        </w:rPr>
        <w:t xml:space="preserve"> el expediente electrónico del recurso de revisión con número </w:t>
      </w:r>
      <w:bookmarkStart w:id="0" w:name="_GoBack"/>
      <w:r w:rsidRPr="00382BE0">
        <w:rPr>
          <w:rFonts w:ascii="Palatino Linotype" w:eastAsia="Palatino Linotype" w:hAnsi="Palatino Linotype" w:cs="Palatino Linotype"/>
          <w:b/>
          <w:sz w:val="24"/>
          <w:szCs w:val="24"/>
        </w:rPr>
        <w:t>0</w:t>
      </w:r>
      <w:r w:rsidR="00A8301C" w:rsidRPr="00382BE0">
        <w:rPr>
          <w:rFonts w:ascii="Palatino Linotype" w:eastAsia="Palatino Linotype" w:hAnsi="Palatino Linotype" w:cs="Palatino Linotype"/>
          <w:b/>
          <w:sz w:val="24"/>
          <w:szCs w:val="24"/>
        </w:rPr>
        <w:t>3</w:t>
      </w:r>
      <w:r w:rsidR="00D15BED" w:rsidRPr="00382BE0">
        <w:rPr>
          <w:rFonts w:ascii="Palatino Linotype" w:eastAsia="Palatino Linotype" w:hAnsi="Palatino Linotype" w:cs="Palatino Linotype"/>
          <w:b/>
          <w:sz w:val="24"/>
          <w:szCs w:val="24"/>
        </w:rPr>
        <w:t>610</w:t>
      </w:r>
      <w:r w:rsidRPr="00382BE0">
        <w:rPr>
          <w:rFonts w:ascii="Palatino Linotype" w:eastAsia="Palatino Linotype" w:hAnsi="Palatino Linotype" w:cs="Palatino Linotype"/>
          <w:b/>
          <w:sz w:val="24"/>
          <w:szCs w:val="24"/>
        </w:rPr>
        <w:t>/INFOEM/IP/RR/202</w:t>
      </w:r>
      <w:r w:rsidR="00A8301C" w:rsidRPr="00382BE0">
        <w:rPr>
          <w:rFonts w:ascii="Palatino Linotype" w:eastAsia="Palatino Linotype" w:hAnsi="Palatino Linotype" w:cs="Palatino Linotype"/>
          <w:b/>
          <w:sz w:val="24"/>
          <w:szCs w:val="24"/>
        </w:rPr>
        <w:t>6</w:t>
      </w:r>
      <w:bookmarkEnd w:id="0"/>
      <w:r w:rsidRPr="00382BE0">
        <w:rPr>
          <w:rFonts w:ascii="Palatino Linotype" w:eastAsia="Palatino Linotype" w:hAnsi="Palatino Linotype" w:cs="Palatino Linotype"/>
          <w:b/>
          <w:sz w:val="24"/>
          <w:szCs w:val="24"/>
        </w:rPr>
        <w:t xml:space="preserve">, </w:t>
      </w:r>
      <w:r w:rsidRPr="00382BE0">
        <w:rPr>
          <w:rFonts w:ascii="Palatino Linotype" w:eastAsia="Palatino Linotype" w:hAnsi="Palatino Linotype" w:cs="Palatino Linotype"/>
          <w:color w:val="000000"/>
          <w:sz w:val="24"/>
          <w:szCs w:val="24"/>
        </w:rPr>
        <w:t xml:space="preserve">interpuesto </w:t>
      </w:r>
      <w:r w:rsidR="006A5601" w:rsidRPr="00382BE0">
        <w:rPr>
          <w:rFonts w:ascii="Palatino Linotype" w:eastAsia="Palatino Linotype" w:hAnsi="Palatino Linotype" w:cs="Palatino Linotype"/>
          <w:color w:val="000000"/>
          <w:sz w:val="24"/>
          <w:szCs w:val="24"/>
        </w:rPr>
        <w:t xml:space="preserve">por persona que manifiesta su nombre </w:t>
      </w:r>
      <w:r w:rsidR="0050508E" w:rsidRPr="00382BE0">
        <w:rPr>
          <w:rFonts w:ascii="Palatino Linotype" w:eastAsia="Palatino Linotype" w:hAnsi="Palatino Linotype" w:cs="Palatino Linotype"/>
          <w:color w:val="000000"/>
          <w:sz w:val="24"/>
          <w:szCs w:val="24"/>
        </w:rPr>
        <w:t>com</w:t>
      </w:r>
      <w:r w:rsidR="006A5601" w:rsidRPr="00382BE0">
        <w:rPr>
          <w:rFonts w:ascii="Palatino Linotype" w:eastAsia="Palatino Linotype" w:hAnsi="Palatino Linotype" w:cs="Palatino Linotype"/>
          <w:color w:val="000000"/>
          <w:sz w:val="24"/>
          <w:szCs w:val="24"/>
        </w:rPr>
        <w:t>o dato de identificación</w:t>
      </w:r>
      <w:r w:rsidRPr="00382BE0">
        <w:rPr>
          <w:rFonts w:ascii="Palatino Linotype" w:eastAsia="Palatino Linotype" w:hAnsi="Palatino Linotype" w:cs="Palatino Linotype"/>
          <w:color w:val="000000"/>
          <w:sz w:val="24"/>
          <w:szCs w:val="24"/>
        </w:rPr>
        <w:t xml:space="preserve">, a quien en lo sucesivo se le denominara como la parte </w:t>
      </w:r>
      <w:r w:rsidRPr="00382BE0">
        <w:rPr>
          <w:rFonts w:ascii="Palatino Linotype" w:eastAsia="Palatino Linotype" w:hAnsi="Palatino Linotype" w:cs="Palatino Linotype"/>
          <w:b/>
          <w:color w:val="000000"/>
          <w:sz w:val="24"/>
          <w:szCs w:val="24"/>
        </w:rPr>
        <w:t>Recurrente</w:t>
      </w:r>
      <w:r w:rsidRPr="00382BE0">
        <w:rPr>
          <w:rFonts w:ascii="Palatino Linotype" w:eastAsia="Palatino Linotype" w:hAnsi="Palatino Linotype" w:cs="Palatino Linotype"/>
          <w:color w:val="000000"/>
          <w:sz w:val="24"/>
          <w:szCs w:val="24"/>
        </w:rPr>
        <w:t xml:space="preserve">, </w:t>
      </w:r>
      <w:r w:rsidRPr="00382BE0">
        <w:rPr>
          <w:rFonts w:ascii="Palatino Linotype" w:eastAsia="Palatino Linotype" w:hAnsi="Palatino Linotype" w:cs="Palatino Linotype"/>
          <w:sz w:val="24"/>
          <w:szCs w:val="24"/>
        </w:rPr>
        <w:t xml:space="preserve">en contra de la falta de respuesta del </w:t>
      </w:r>
      <w:r w:rsidR="00D15BED" w:rsidRPr="00382BE0">
        <w:rPr>
          <w:rFonts w:ascii="Palatino Linotype" w:eastAsia="Palatino Linotype" w:hAnsi="Palatino Linotype" w:cs="Palatino Linotype"/>
          <w:b/>
          <w:color w:val="000000"/>
          <w:sz w:val="24"/>
          <w:szCs w:val="24"/>
        </w:rPr>
        <w:t>Ayuntamiento de Huehuetoca</w:t>
      </w:r>
      <w:r w:rsidRPr="00382BE0">
        <w:rPr>
          <w:rFonts w:ascii="Palatino Linotype" w:eastAsia="Palatino Linotype" w:hAnsi="Palatino Linotype" w:cs="Palatino Linotype"/>
          <w:b/>
          <w:sz w:val="24"/>
          <w:szCs w:val="24"/>
        </w:rPr>
        <w:t xml:space="preserve">, </w:t>
      </w:r>
      <w:r w:rsidRPr="00382BE0">
        <w:rPr>
          <w:rFonts w:ascii="Palatino Linotype" w:eastAsia="Palatino Linotype" w:hAnsi="Palatino Linotype" w:cs="Palatino Linotype"/>
          <w:sz w:val="24"/>
          <w:szCs w:val="24"/>
        </w:rPr>
        <w:t>en lo subsecuente</w:t>
      </w:r>
      <w:r w:rsidRPr="00382BE0">
        <w:rPr>
          <w:rFonts w:ascii="Palatino Linotype" w:eastAsia="Palatino Linotype" w:hAnsi="Palatino Linotype" w:cs="Palatino Linotype"/>
          <w:b/>
          <w:sz w:val="24"/>
          <w:szCs w:val="24"/>
        </w:rPr>
        <w:t xml:space="preserve"> el Sujeto Obligado, </w:t>
      </w:r>
      <w:r w:rsidRPr="00382BE0">
        <w:rPr>
          <w:rFonts w:ascii="Palatino Linotype" w:eastAsia="Palatino Linotype" w:hAnsi="Palatino Linotype" w:cs="Palatino Linotype"/>
          <w:sz w:val="24"/>
          <w:szCs w:val="24"/>
        </w:rPr>
        <w:t>se procede a dictar la presente resolución.</w:t>
      </w:r>
    </w:p>
    <w:p w14:paraId="092D6E80" w14:textId="77777777" w:rsidR="009E3316" w:rsidRPr="00382BE0"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382BE0" w:rsidRDefault="009E3316" w:rsidP="009E3316">
      <w:pPr>
        <w:spacing w:after="0" w:line="360" w:lineRule="auto"/>
        <w:jc w:val="center"/>
        <w:rPr>
          <w:rFonts w:ascii="Palatino Linotype" w:eastAsia="Palatino Linotype" w:hAnsi="Palatino Linotype" w:cs="Palatino Linotype"/>
          <w:b/>
          <w:sz w:val="28"/>
          <w:szCs w:val="28"/>
        </w:rPr>
      </w:pPr>
      <w:r w:rsidRPr="00382BE0">
        <w:rPr>
          <w:rFonts w:ascii="Palatino Linotype" w:eastAsia="Palatino Linotype" w:hAnsi="Palatino Linotype" w:cs="Palatino Linotype"/>
          <w:b/>
          <w:sz w:val="28"/>
          <w:szCs w:val="28"/>
        </w:rPr>
        <w:t>A N T E C E D E N T E S</w:t>
      </w:r>
    </w:p>
    <w:p w14:paraId="036D13B8" w14:textId="77777777" w:rsidR="009E3316" w:rsidRPr="00382BE0"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382BE0" w:rsidRDefault="009E3316" w:rsidP="009E3316">
      <w:pPr>
        <w:spacing w:after="0" w:line="360" w:lineRule="auto"/>
        <w:jc w:val="both"/>
        <w:rPr>
          <w:rFonts w:ascii="Palatino Linotype" w:eastAsia="Palatino Linotype" w:hAnsi="Palatino Linotype" w:cs="Palatino Linotype"/>
          <w:b/>
          <w:sz w:val="28"/>
          <w:szCs w:val="24"/>
        </w:rPr>
      </w:pPr>
      <w:r w:rsidRPr="00382BE0">
        <w:rPr>
          <w:rFonts w:ascii="Palatino Linotype" w:eastAsia="Palatino Linotype" w:hAnsi="Palatino Linotype" w:cs="Palatino Linotype"/>
          <w:b/>
          <w:sz w:val="28"/>
          <w:szCs w:val="24"/>
        </w:rPr>
        <w:t xml:space="preserve">PRIMERO. </w:t>
      </w:r>
      <w:r w:rsidRPr="00382BE0">
        <w:rPr>
          <w:rFonts w:ascii="Palatino Linotype" w:eastAsia="Palatino Linotype" w:hAnsi="Palatino Linotype" w:cs="Palatino Linotype"/>
          <w:b/>
          <w:color w:val="000000"/>
          <w:sz w:val="28"/>
          <w:szCs w:val="24"/>
        </w:rPr>
        <w:t>De la solicitud de información.</w:t>
      </w:r>
    </w:p>
    <w:p w14:paraId="571CFC38" w14:textId="0B35EC2C" w:rsidR="009E3316" w:rsidRPr="00382BE0" w:rsidRDefault="009E3316" w:rsidP="009E3316">
      <w:pPr>
        <w:spacing w:after="0" w:line="360" w:lineRule="auto"/>
        <w:jc w:val="both"/>
        <w:rPr>
          <w:rFonts w:ascii="Palatino Linotype" w:eastAsia="Palatino Linotype" w:hAnsi="Palatino Linotype" w:cs="Palatino Linotype"/>
          <w:b/>
          <w:sz w:val="24"/>
          <w:szCs w:val="24"/>
        </w:rPr>
      </w:pPr>
      <w:r w:rsidRPr="00382BE0">
        <w:rPr>
          <w:rFonts w:ascii="Palatino Linotype" w:eastAsia="Palatino Linotype" w:hAnsi="Palatino Linotype" w:cs="Palatino Linotype"/>
          <w:sz w:val="24"/>
          <w:szCs w:val="24"/>
        </w:rPr>
        <w:t xml:space="preserve">En fecha </w:t>
      </w:r>
      <w:r w:rsidR="00D15BED" w:rsidRPr="00382BE0">
        <w:rPr>
          <w:rFonts w:ascii="Palatino Linotype" w:eastAsia="Palatino Linotype" w:hAnsi="Palatino Linotype" w:cs="Palatino Linotype"/>
          <w:b/>
          <w:sz w:val="24"/>
          <w:szCs w:val="24"/>
        </w:rPr>
        <w:t>tres de marzo</w:t>
      </w:r>
      <w:r w:rsidR="005740DF" w:rsidRPr="00382BE0">
        <w:rPr>
          <w:rFonts w:ascii="Palatino Linotype" w:eastAsia="Palatino Linotype" w:hAnsi="Palatino Linotype" w:cs="Palatino Linotype"/>
          <w:b/>
          <w:sz w:val="24"/>
          <w:szCs w:val="24"/>
        </w:rPr>
        <w:t xml:space="preserve"> de dos mil veintiséis</w:t>
      </w:r>
      <w:r w:rsidRPr="00382BE0">
        <w:rPr>
          <w:rFonts w:ascii="Palatino Linotype" w:eastAsia="Palatino Linotype" w:hAnsi="Palatino Linotype" w:cs="Palatino Linotype"/>
          <w:sz w:val="24"/>
          <w:szCs w:val="24"/>
        </w:rPr>
        <w:t>, la parte</w:t>
      </w:r>
      <w:r w:rsidRPr="00382BE0">
        <w:rPr>
          <w:rFonts w:ascii="Palatino Linotype" w:eastAsia="Palatino Linotype" w:hAnsi="Palatino Linotype" w:cs="Palatino Linotype"/>
          <w:b/>
          <w:sz w:val="24"/>
          <w:szCs w:val="24"/>
        </w:rPr>
        <w:t xml:space="preserve"> Recurrente</w:t>
      </w:r>
      <w:r w:rsidRPr="00382BE0">
        <w:rPr>
          <w:rFonts w:ascii="Palatino Linotype" w:eastAsia="Palatino Linotype" w:hAnsi="Palatino Linotype" w:cs="Palatino Linotype"/>
          <w:sz w:val="24"/>
          <w:szCs w:val="24"/>
        </w:rPr>
        <w:t xml:space="preserve"> presentó a través del Sistema de Acceso a la Información Mexiquense (</w:t>
      </w:r>
      <w:r w:rsidRPr="00382BE0">
        <w:rPr>
          <w:rFonts w:ascii="Palatino Linotype" w:eastAsia="Palatino Linotype" w:hAnsi="Palatino Linotype" w:cs="Palatino Linotype"/>
          <w:b/>
          <w:sz w:val="24"/>
          <w:szCs w:val="24"/>
        </w:rPr>
        <w:t>SAIMEX)</w:t>
      </w:r>
      <w:r w:rsidRPr="00382BE0">
        <w:rPr>
          <w:rFonts w:ascii="Palatino Linotype" w:eastAsia="Palatino Linotype" w:hAnsi="Palatino Linotype" w:cs="Palatino Linotype"/>
          <w:sz w:val="24"/>
          <w:szCs w:val="24"/>
        </w:rPr>
        <w:t xml:space="preserve">, la solicitud de acceso a la información pública, con número de folio </w:t>
      </w:r>
      <w:r w:rsidR="00D15BED" w:rsidRPr="00382BE0">
        <w:rPr>
          <w:rFonts w:ascii="Palatino Linotype" w:eastAsia="Palatino Linotype" w:hAnsi="Palatino Linotype" w:cs="Palatino Linotype"/>
          <w:b/>
          <w:bCs/>
          <w:sz w:val="24"/>
          <w:szCs w:val="24"/>
        </w:rPr>
        <w:t>00032/HUEHUETO/IP/2026</w:t>
      </w:r>
      <w:r w:rsidRPr="00382BE0">
        <w:rPr>
          <w:rFonts w:ascii="Palatino Linotype" w:eastAsia="Palatino Linotype" w:hAnsi="Palatino Linotype" w:cs="Palatino Linotype"/>
          <w:sz w:val="24"/>
          <w:szCs w:val="24"/>
        </w:rPr>
        <w:t xml:space="preserve">, de lo siguiente: </w:t>
      </w:r>
    </w:p>
    <w:p w14:paraId="0E04DAD2" w14:textId="38245EC5" w:rsidR="009E3316" w:rsidRPr="00382BE0" w:rsidRDefault="009E3316" w:rsidP="009E3316">
      <w:pPr>
        <w:pStyle w:val="INFOEM"/>
        <w:rPr>
          <w:lang w:val="es-ES_tradnl" w:eastAsia="es-ES"/>
        </w:rPr>
      </w:pPr>
      <w:r w:rsidRPr="00382BE0">
        <w:rPr>
          <w:lang w:val="es-ES_tradnl" w:eastAsia="es-ES"/>
        </w:rPr>
        <w:t>“</w:t>
      </w:r>
      <w:r w:rsidR="00D15BED" w:rsidRPr="00382BE0">
        <w:rPr>
          <w:lang w:val="es-ES_tradnl" w:eastAsia="es-ES"/>
        </w:rPr>
        <w:t xml:space="preserve">Con fundamento en los artículos 6° y 134 de la Constitución Política de los Estados Unidos Mexicanos; artículo 5 de la Constitución Política del Estado Libre y Soberano de México; artículos 1 y 2 de la Ley General de Transparencia y Acceso a la Información Pública; así como artículos 6 y 7 de la Ley de Archivos y Administración de Documentos del Estado de México y Municipios, solicito lo siguiente: Documentación completa que describa el procedimiento técnico, administrativo y normativo utilizado para la elaboración del Presupuesto correspondiente al ejercicio </w:t>
      </w:r>
      <w:r w:rsidR="00D15BED" w:rsidRPr="00382BE0">
        <w:rPr>
          <w:lang w:val="es-ES_tradnl" w:eastAsia="es-ES"/>
        </w:rPr>
        <w:lastRenderedPageBreak/>
        <w:t>fiscal 2025. Metodología empleada para la integración de partidas presupuestales. Lineamientos internos, manuales, acuerdos, actas o dictámenes que sustenten la construcción del Presupuesto. Estudios técnicos, financieros o de impacto que hayan servido de base para su elaboración. Mecanismos institucionales de seguimiento, evaluación y control del ejercicio presupuestal. Informes trimestrales, matrices de indicadores, auditorías internas o externas relacionadas con el seguimiento del presupuesto. Actas de comité, junta o sesión donde se haya discutido o aprobado el Presupuesto. Instrumentos de control archivístico donde conste la producción y resguardo de dicha documentación. Se solicita la información en formato electrónico. En términos del principio de máxima publicidad, se solicita que cualquier clasificación esté debidamente fundada y motivada conforme a la ley, precisando la prueba de daño correspondiente. Asimismo, se hace del conocimiento que, en caso de negativa, clasificación indebida, declaración injustificada de inexistencia o entrega incompleta, se promoverá el recurso de revisión correspondiente y se dará vista al Órgano Interno de Control por posible responsabilidad administrativa conforme a la legislación aplicable</w:t>
      </w:r>
      <w:r w:rsidRPr="00382BE0">
        <w:rPr>
          <w:lang w:val="es-ES_tradnl" w:eastAsia="es-ES"/>
        </w:rPr>
        <w:t>” (Sic)</w:t>
      </w:r>
    </w:p>
    <w:p w14:paraId="6B4B6209" w14:textId="77777777" w:rsidR="009E3316" w:rsidRPr="00382BE0" w:rsidRDefault="009E3316" w:rsidP="009E3316">
      <w:pPr>
        <w:spacing w:before="240" w:line="360" w:lineRule="auto"/>
        <w:jc w:val="both"/>
        <w:rPr>
          <w:rFonts w:ascii="Palatino Linotype" w:hAnsi="Palatino Linotype"/>
          <w:lang w:val="es-ES_tradnl"/>
        </w:rPr>
      </w:pPr>
      <w:r w:rsidRPr="00382BE0">
        <w:rPr>
          <w:rFonts w:ascii="Palatino Linotype" w:hAnsi="Palatino Linotype"/>
          <w:b/>
          <w:lang w:val="es-ES_tradnl"/>
        </w:rPr>
        <w:t>Modalidad de entrega:</w:t>
      </w:r>
      <w:r w:rsidRPr="00382BE0">
        <w:rPr>
          <w:rFonts w:ascii="Palatino Linotype" w:hAnsi="Palatino Linotype"/>
          <w:lang w:val="es-ES_tradnl"/>
        </w:rPr>
        <w:t xml:space="preserve"> A través del SAIMEX.</w:t>
      </w:r>
    </w:p>
    <w:p w14:paraId="45FCD281" w14:textId="77777777" w:rsidR="009E3316" w:rsidRPr="00382BE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382BE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382BE0">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382BE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82BE0">
        <w:rPr>
          <w:rFonts w:ascii="Palatino Linotype" w:eastAsia="Palatino Linotype" w:hAnsi="Palatino Linotype" w:cs="Palatino Linotype"/>
          <w:color w:val="000000"/>
          <w:sz w:val="24"/>
          <w:szCs w:val="24"/>
        </w:rPr>
        <w:t>E</w:t>
      </w:r>
      <w:r w:rsidRPr="00382BE0">
        <w:rPr>
          <w:rFonts w:ascii="Palatino Linotype" w:eastAsia="Palatino Linotype" w:hAnsi="Palatino Linotype" w:cs="Palatino Linotype"/>
          <w:sz w:val="24"/>
          <w:szCs w:val="24"/>
        </w:rPr>
        <w:t xml:space="preserv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no proporcionó respuesta a la solicitud de información </w:t>
      </w:r>
      <w:r w:rsidRPr="00382BE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382BE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382BE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382BE0">
        <w:rPr>
          <w:rFonts w:ascii="Palatino Linotype" w:eastAsia="Palatino Linotype" w:hAnsi="Palatino Linotype" w:cs="Palatino Linotype"/>
          <w:b/>
          <w:sz w:val="28"/>
          <w:szCs w:val="24"/>
        </w:rPr>
        <w:t xml:space="preserve">TERCERO. </w:t>
      </w:r>
      <w:r w:rsidRPr="00382BE0">
        <w:rPr>
          <w:rFonts w:ascii="Palatino Linotype" w:eastAsia="Palatino Linotype" w:hAnsi="Palatino Linotype" w:cs="Palatino Linotype"/>
          <w:b/>
          <w:color w:val="000000"/>
          <w:sz w:val="28"/>
          <w:szCs w:val="24"/>
        </w:rPr>
        <w:t>Del recurso de revisión.</w:t>
      </w:r>
    </w:p>
    <w:p w14:paraId="3772108F" w14:textId="45D4F936" w:rsidR="009E3316" w:rsidRPr="00382BE0" w:rsidRDefault="009E3316" w:rsidP="009E3316">
      <w:pPr>
        <w:spacing w:after="0" w:line="360" w:lineRule="auto"/>
        <w:jc w:val="both"/>
        <w:rPr>
          <w:rFonts w:ascii="Palatino Linotype" w:eastAsia="Palatino Linotype" w:hAnsi="Palatino Linotype" w:cs="Palatino Linotype"/>
          <w:b/>
          <w:sz w:val="24"/>
          <w:szCs w:val="24"/>
        </w:rPr>
      </w:pPr>
      <w:r w:rsidRPr="00382BE0">
        <w:rPr>
          <w:rFonts w:ascii="Palatino Linotype" w:eastAsia="Palatino Linotype" w:hAnsi="Palatino Linotype" w:cs="Palatino Linotype"/>
          <w:sz w:val="24"/>
          <w:szCs w:val="24"/>
        </w:rPr>
        <w:lastRenderedPageBreak/>
        <w:t>Ante la falta de respuesta</w:t>
      </w:r>
      <w:r w:rsidRPr="00382BE0">
        <w:rPr>
          <w:rFonts w:ascii="Palatino Linotype" w:eastAsia="Palatino Linotype" w:hAnsi="Palatino Linotype" w:cs="Palatino Linotype"/>
          <w:b/>
          <w:sz w:val="24"/>
          <w:szCs w:val="24"/>
        </w:rPr>
        <w:t xml:space="preserve"> </w:t>
      </w:r>
      <w:r w:rsidRPr="00382BE0">
        <w:rPr>
          <w:rFonts w:ascii="Palatino Linotype" w:eastAsia="Palatino Linotype" w:hAnsi="Palatino Linotype" w:cs="Palatino Linotype"/>
          <w:sz w:val="24"/>
          <w:szCs w:val="24"/>
        </w:rPr>
        <w:t xml:space="preserve">del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la parte </w:t>
      </w:r>
      <w:r w:rsidRPr="00382BE0">
        <w:rPr>
          <w:rFonts w:ascii="Palatino Linotype" w:eastAsia="Palatino Linotype" w:hAnsi="Palatino Linotype" w:cs="Palatino Linotype"/>
          <w:b/>
          <w:sz w:val="24"/>
          <w:szCs w:val="24"/>
        </w:rPr>
        <w:t>Recurrente</w:t>
      </w:r>
      <w:r w:rsidRPr="00382BE0">
        <w:rPr>
          <w:rFonts w:ascii="Palatino Linotype" w:eastAsia="Palatino Linotype" w:hAnsi="Palatino Linotype" w:cs="Palatino Linotype"/>
          <w:sz w:val="24"/>
          <w:szCs w:val="24"/>
        </w:rPr>
        <w:t xml:space="preserve"> interpuso el recurso de revisión en fecha </w:t>
      </w:r>
      <w:r w:rsidR="003F23F0" w:rsidRPr="00382BE0">
        <w:rPr>
          <w:rFonts w:ascii="Palatino Linotype" w:eastAsia="Palatino Linotype" w:hAnsi="Palatino Linotype" w:cs="Palatino Linotype"/>
          <w:b/>
          <w:sz w:val="24"/>
          <w:szCs w:val="24"/>
        </w:rPr>
        <w:t>veintiséis</w:t>
      </w:r>
      <w:r w:rsidR="00636694" w:rsidRPr="00382BE0">
        <w:rPr>
          <w:rFonts w:ascii="Palatino Linotype" w:eastAsia="Palatino Linotype" w:hAnsi="Palatino Linotype" w:cs="Palatino Linotype"/>
          <w:b/>
          <w:sz w:val="24"/>
          <w:szCs w:val="24"/>
        </w:rPr>
        <w:t xml:space="preserve"> de marzo de dos mil veintiséis</w:t>
      </w:r>
      <w:r w:rsidRPr="00382BE0">
        <w:rPr>
          <w:rFonts w:ascii="Palatino Linotype" w:eastAsia="Palatino Linotype" w:hAnsi="Palatino Linotype" w:cs="Palatino Linotype"/>
          <w:sz w:val="24"/>
          <w:szCs w:val="24"/>
        </w:rPr>
        <w:t>, registrado</w:t>
      </w:r>
      <w:r w:rsidRPr="00382BE0">
        <w:rPr>
          <w:rFonts w:ascii="Palatino Linotype" w:eastAsia="Palatino Linotype" w:hAnsi="Palatino Linotype" w:cs="Palatino Linotype"/>
          <w:b/>
          <w:sz w:val="24"/>
          <w:szCs w:val="24"/>
        </w:rPr>
        <w:t xml:space="preserve"> </w:t>
      </w:r>
      <w:r w:rsidRPr="00382BE0">
        <w:rPr>
          <w:rFonts w:ascii="Palatino Linotype" w:eastAsia="Palatino Linotype" w:hAnsi="Palatino Linotype" w:cs="Palatino Linotype"/>
          <w:sz w:val="24"/>
          <w:szCs w:val="24"/>
        </w:rPr>
        <w:t xml:space="preserve">en el </w:t>
      </w:r>
      <w:r w:rsidRPr="00382BE0">
        <w:rPr>
          <w:rFonts w:ascii="Palatino Linotype" w:eastAsia="Palatino Linotype" w:hAnsi="Palatino Linotype" w:cs="Palatino Linotype"/>
          <w:b/>
          <w:sz w:val="24"/>
          <w:szCs w:val="24"/>
        </w:rPr>
        <w:t xml:space="preserve">SAIMEX </w:t>
      </w:r>
      <w:r w:rsidRPr="00382BE0">
        <w:rPr>
          <w:rFonts w:ascii="Palatino Linotype" w:eastAsia="Palatino Linotype" w:hAnsi="Palatino Linotype" w:cs="Palatino Linotype"/>
          <w:sz w:val="24"/>
          <w:szCs w:val="24"/>
        </w:rPr>
        <w:t xml:space="preserve">con el número de expediente </w:t>
      </w:r>
      <w:r w:rsidRPr="00382BE0">
        <w:rPr>
          <w:rFonts w:ascii="Palatino Linotype" w:eastAsia="Palatino Linotype" w:hAnsi="Palatino Linotype" w:cs="Palatino Linotype"/>
          <w:b/>
          <w:sz w:val="24"/>
          <w:szCs w:val="24"/>
        </w:rPr>
        <w:t>0</w:t>
      </w:r>
      <w:r w:rsidR="00636694" w:rsidRPr="00382BE0">
        <w:rPr>
          <w:rFonts w:ascii="Palatino Linotype" w:eastAsia="Palatino Linotype" w:hAnsi="Palatino Linotype" w:cs="Palatino Linotype"/>
          <w:b/>
          <w:sz w:val="24"/>
          <w:szCs w:val="24"/>
        </w:rPr>
        <w:t>3</w:t>
      </w:r>
      <w:r w:rsidR="003F23F0" w:rsidRPr="00382BE0">
        <w:rPr>
          <w:rFonts w:ascii="Palatino Linotype" w:eastAsia="Palatino Linotype" w:hAnsi="Palatino Linotype" w:cs="Palatino Linotype"/>
          <w:b/>
          <w:sz w:val="24"/>
          <w:szCs w:val="24"/>
        </w:rPr>
        <w:t>61</w:t>
      </w:r>
      <w:r w:rsidR="00636694" w:rsidRPr="00382BE0">
        <w:rPr>
          <w:rFonts w:ascii="Palatino Linotype" w:eastAsia="Palatino Linotype" w:hAnsi="Palatino Linotype" w:cs="Palatino Linotype"/>
          <w:b/>
          <w:sz w:val="24"/>
          <w:szCs w:val="24"/>
        </w:rPr>
        <w:t>0</w:t>
      </w:r>
      <w:r w:rsidRPr="00382BE0">
        <w:rPr>
          <w:rFonts w:ascii="Palatino Linotype" w:eastAsia="Palatino Linotype" w:hAnsi="Palatino Linotype" w:cs="Palatino Linotype"/>
          <w:b/>
          <w:sz w:val="24"/>
          <w:szCs w:val="24"/>
        </w:rPr>
        <w:t>/INFOEM/IP/RR/202</w:t>
      </w:r>
      <w:r w:rsidR="00636694" w:rsidRPr="00382BE0">
        <w:rPr>
          <w:rFonts w:ascii="Palatino Linotype" w:eastAsia="Palatino Linotype" w:hAnsi="Palatino Linotype" w:cs="Palatino Linotype"/>
          <w:b/>
          <w:sz w:val="24"/>
          <w:szCs w:val="24"/>
        </w:rPr>
        <w:t>6</w:t>
      </w:r>
      <w:r w:rsidRPr="00382BE0">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382BE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382BE0" w:rsidRDefault="009E3316" w:rsidP="009E3316">
      <w:pPr>
        <w:numPr>
          <w:ilvl w:val="0"/>
          <w:numId w:val="1"/>
        </w:numPr>
        <w:pBdr>
          <w:top w:val="nil"/>
          <w:left w:val="nil"/>
          <w:bottom w:val="nil"/>
          <w:right w:val="nil"/>
          <w:between w:val="nil"/>
        </w:pBdr>
        <w:spacing w:after="0" w:line="360" w:lineRule="auto"/>
        <w:jc w:val="both"/>
        <w:rPr>
          <w:i/>
        </w:rPr>
      </w:pPr>
      <w:r w:rsidRPr="00382BE0">
        <w:rPr>
          <w:rFonts w:ascii="Palatino Linotype" w:eastAsia="Palatino Linotype" w:hAnsi="Palatino Linotype" w:cs="Palatino Linotype"/>
          <w:b/>
          <w:i/>
          <w:color w:val="000000"/>
        </w:rPr>
        <w:t xml:space="preserve">Acto Impugnado: </w:t>
      </w:r>
    </w:p>
    <w:p w14:paraId="1703B167" w14:textId="02AF7E60" w:rsidR="009E3316" w:rsidRPr="00382BE0" w:rsidRDefault="009E3316" w:rsidP="009E3316">
      <w:pPr>
        <w:pStyle w:val="INFOEM"/>
      </w:pPr>
      <w:r w:rsidRPr="00382BE0">
        <w:t>“</w:t>
      </w:r>
      <w:r w:rsidR="003F23F0" w:rsidRPr="00382BE0">
        <w:t>La falta de respuesta del sujeto obligado a la solicitud de acceso a la información mediante la cual se requirió documentación relacionada con el procedimiento técnico, administrativo y normativo utilizado para la elaboración del Presupuesto correspondiente al ejercicio fiscal 2025, incluyendo documentación relativa a su integración, seguimiento, evaluación y control, sin que el sujeto obligado haya emitido respuesta, prevención, acuerdo de inexistencia, clasificación de la información o determinación alguna dentro del plazo legal establecido. La omisión de respuesta constituye una negativa ficta de acceso a la información pública, al no haberse garantizado el derecho de acceso a documentación que debe obrar en los archivos del sujeto obligado y que se relaciona directamente con el ejercicio de recursos públicos.</w:t>
      </w:r>
      <w:r w:rsidRPr="00382BE0">
        <w:t xml:space="preserve">" (Sic) </w:t>
      </w:r>
    </w:p>
    <w:p w14:paraId="03B98361" w14:textId="77777777" w:rsidR="009E3316" w:rsidRPr="00382BE0"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382BE0" w:rsidRDefault="009E3316" w:rsidP="009E3316">
      <w:pPr>
        <w:numPr>
          <w:ilvl w:val="0"/>
          <w:numId w:val="1"/>
        </w:numPr>
        <w:pBdr>
          <w:top w:val="nil"/>
          <w:left w:val="nil"/>
          <w:bottom w:val="nil"/>
          <w:right w:val="nil"/>
          <w:between w:val="nil"/>
        </w:pBdr>
        <w:spacing w:after="0" w:line="360" w:lineRule="auto"/>
        <w:jc w:val="both"/>
      </w:pPr>
      <w:r w:rsidRPr="00382BE0">
        <w:rPr>
          <w:rFonts w:ascii="Palatino Linotype" w:eastAsia="Palatino Linotype" w:hAnsi="Palatino Linotype" w:cs="Palatino Linotype"/>
          <w:b/>
          <w:i/>
          <w:color w:val="000000"/>
        </w:rPr>
        <w:t>Razones o Motivos de Inconformidad</w:t>
      </w:r>
      <w:r w:rsidRPr="00382BE0">
        <w:rPr>
          <w:rFonts w:ascii="Palatino Linotype" w:eastAsia="Palatino Linotype" w:hAnsi="Palatino Linotype" w:cs="Palatino Linotype"/>
          <w:i/>
          <w:color w:val="000000"/>
        </w:rPr>
        <w:t xml:space="preserve">: </w:t>
      </w:r>
    </w:p>
    <w:p w14:paraId="1E680440" w14:textId="634682E6" w:rsidR="009E3316" w:rsidRPr="00382BE0" w:rsidRDefault="009E3316" w:rsidP="009E3316">
      <w:pPr>
        <w:pStyle w:val="INFOEM"/>
      </w:pPr>
      <w:r w:rsidRPr="00382BE0">
        <w:t>“</w:t>
      </w:r>
      <w:r w:rsidR="003F23F0" w:rsidRPr="00382BE0">
        <w:t xml:space="preserve">La presente inconformidad se interpone debido a la falta de respuesta del sujeto obligado a la solicitud de acceso a la información presentada, mediante la cual se requirió documentación relacionada con el procedimiento técnico, administrativo y normativo utilizado para la elaboración del Presupuesto correspondiente al ejercicio fiscal 2025, así como documentación relativa a su integración, seguimiento, evaluación y control. La solicitud se refiere a documentos administrativos generados </w:t>
      </w:r>
      <w:r w:rsidR="003F23F0" w:rsidRPr="00382BE0">
        <w:lastRenderedPageBreak/>
        <w:t>en el ejercicio de facultades del sujeto obligado en materia presupuestaria, incluyendo metodología de integración del presupuesto, lineamientos internos, manuales, acuerdos, actas, dictámenes, estudios técnicos, informes trimestrales, matrices de indicadores, auditorías e instrumentos archivísticos. Se precisa que la documentación solicitada comprende también los formatos que integran el Proyecto de Presupuesto de Egresos en el marco del Presupuesto basado en Resultados Municipal (</w:t>
      </w:r>
      <w:proofErr w:type="spellStart"/>
      <w:r w:rsidR="003F23F0" w:rsidRPr="00382BE0">
        <w:t>PbRM</w:t>
      </w:r>
      <w:proofErr w:type="spellEnd"/>
      <w:r w:rsidR="003F23F0" w:rsidRPr="00382BE0">
        <w:t>), incluyendo formatos programáticos y presupuestales utilizados por los ayuntamientos para la integración del presupuesto, tales como los formatos relacionados con el Presupuesto de Ingresos detallado y carátula de presupuesto, así como los formatos de seguimiento trimestral del ejercicio presupuestal, comúnmente identificados como formatos 08b y 08c, mediante los cuales se reporta el avance programático y presupuestal. Dichos formatos constituyen instrumentos administrativos estandarizados que documentan el proceso de integración, aprobación, seguimiento y evaluación del presupuesto público, por lo que corresponden a documentos que deben obrar en los archivos del sujeto obligado. En el presente caso, el sujeto obligado no emitió respuesta, prevención ni determinación alguna respecto de la solicitud presentada dentro del plazo legal, lo cual impide ejercer el derecho de acceso a la información pública. Aun en el supuesto de que el sujeto obligado considerara que la solicitud requería mayor precisión, tenía la obligación de prevenir al solicitante para que aclarara su solicitud, lo cual no ocurrió. La falta de respuesta constituye una negativa ficta de acceso a la información, vulnerando el derecho humano reconocido en el artículo 6° constitucional, al impedir el acceso a documentación pública relacionada con el ejercicio de recursos públicos y con los instrumentos administrativos mediante los cuales se integra y evalúa el presupuesto municipal.</w:t>
      </w:r>
      <w:r w:rsidRPr="00382BE0">
        <w:t>”</w:t>
      </w:r>
      <w:r w:rsidRPr="00382BE0">
        <w:rPr>
          <w:sz w:val="24"/>
          <w:szCs w:val="24"/>
        </w:rPr>
        <w:t xml:space="preserve"> (Sic)</w:t>
      </w:r>
      <w:r w:rsidRPr="00382BE0">
        <w:rPr>
          <w:rFonts w:ascii="Times New Roman" w:eastAsia="Times New Roman" w:hAnsi="Times New Roman" w:cs="Times New Roman"/>
          <w:sz w:val="24"/>
          <w:szCs w:val="24"/>
        </w:rPr>
        <w:t xml:space="preserve"> </w:t>
      </w:r>
    </w:p>
    <w:p w14:paraId="1777C7DF" w14:textId="77777777" w:rsidR="009E3316" w:rsidRPr="00382BE0"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382BE0" w:rsidRDefault="009E3316" w:rsidP="009E3316">
      <w:pPr>
        <w:spacing w:before="240" w:line="360" w:lineRule="auto"/>
        <w:jc w:val="both"/>
        <w:rPr>
          <w:rFonts w:ascii="Palatino Linotype" w:hAnsi="Palatino Linotype" w:cs="Arial"/>
          <w:b/>
        </w:rPr>
      </w:pPr>
      <w:r w:rsidRPr="00382BE0">
        <w:rPr>
          <w:rFonts w:ascii="Palatino Linotype" w:hAnsi="Palatino Linotype" w:cs="Arial"/>
          <w:b/>
          <w:sz w:val="28"/>
        </w:rPr>
        <w:lastRenderedPageBreak/>
        <w:t>CUARTO</w:t>
      </w:r>
      <w:r w:rsidRPr="00382BE0">
        <w:rPr>
          <w:rFonts w:ascii="Palatino Linotype" w:hAnsi="Palatino Linotype" w:cs="Arial"/>
          <w:b/>
        </w:rPr>
        <w:t xml:space="preserve">. </w:t>
      </w:r>
      <w:r w:rsidRPr="00382BE0">
        <w:rPr>
          <w:rFonts w:ascii="Palatino Linotype" w:hAnsi="Palatino Linotype" w:cs="Arial"/>
          <w:b/>
          <w:sz w:val="28"/>
          <w:szCs w:val="28"/>
        </w:rPr>
        <w:t>Del turno y admisión del recurso de revisión.</w:t>
      </w:r>
    </w:p>
    <w:p w14:paraId="26FD1593" w14:textId="2A67BB64" w:rsidR="009E3316" w:rsidRPr="00382BE0" w:rsidRDefault="009E3316" w:rsidP="009E3316">
      <w:pPr>
        <w:spacing w:before="240" w:line="360" w:lineRule="auto"/>
        <w:jc w:val="both"/>
        <w:rPr>
          <w:rFonts w:ascii="Palatino Linotype" w:hAnsi="Palatino Linotype" w:cs="Arial"/>
          <w:sz w:val="32"/>
        </w:rPr>
      </w:pPr>
      <w:r w:rsidRPr="00382BE0">
        <w:rPr>
          <w:rFonts w:ascii="Palatino Linotype" w:hAnsi="Palatino Linotype"/>
          <w:sz w:val="24"/>
        </w:rPr>
        <w:t xml:space="preserve">El medio de impugnación fue turnado al Comisionado Presidente </w:t>
      </w:r>
      <w:r w:rsidRPr="00382BE0">
        <w:rPr>
          <w:rFonts w:ascii="Palatino Linotype" w:hAnsi="Palatino Linotype"/>
          <w:b/>
          <w:sz w:val="24"/>
        </w:rPr>
        <w:t>José Martínez Vilchis,</w:t>
      </w:r>
      <w:r w:rsidRPr="00382BE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382BE0">
        <w:rPr>
          <w:rFonts w:ascii="Palatino Linotype" w:hAnsi="Palatino Linotype"/>
          <w:b/>
          <w:sz w:val="24"/>
        </w:rPr>
        <w:t>admisión</w:t>
      </w:r>
      <w:r w:rsidRPr="00382BE0">
        <w:rPr>
          <w:rFonts w:ascii="Palatino Linotype" w:hAnsi="Palatino Linotype"/>
          <w:sz w:val="24"/>
        </w:rPr>
        <w:t xml:space="preserve"> en fecha </w:t>
      </w:r>
      <w:r w:rsidR="00177CF2" w:rsidRPr="00382BE0">
        <w:rPr>
          <w:rFonts w:ascii="Palatino Linotype" w:eastAsia="Palatino Linotype" w:hAnsi="Palatino Linotype" w:cs="Palatino Linotype"/>
          <w:b/>
          <w:sz w:val="24"/>
          <w:szCs w:val="24"/>
        </w:rPr>
        <w:t>seis de abril de dos mil veintiséis</w:t>
      </w:r>
      <w:r w:rsidRPr="00382BE0">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382BE0"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382BE0" w:rsidRDefault="009E3316" w:rsidP="009E3316">
      <w:pPr>
        <w:pStyle w:val="Prrafodelista"/>
        <w:spacing w:line="360" w:lineRule="auto"/>
        <w:ind w:left="0"/>
        <w:jc w:val="both"/>
        <w:rPr>
          <w:rFonts w:ascii="Palatino Linotype" w:hAnsi="Palatino Linotype" w:cs="Arial"/>
          <w:b/>
          <w:sz w:val="28"/>
          <w:szCs w:val="28"/>
        </w:rPr>
      </w:pPr>
      <w:r w:rsidRPr="00382BE0">
        <w:rPr>
          <w:rFonts w:ascii="Palatino Linotype" w:hAnsi="Palatino Linotype" w:cs="Arial"/>
          <w:b/>
          <w:sz w:val="28"/>
        </w:rPr>
        <w:t>QUINTO</w:t>
      </w:r>
      <w:r w:rsidRPr="00382BE0">
        <w:rPr>
          <w:rFonts w:ascii="Palatino Linotype" w:hAnsi="Palatino Linotype" w:cs="Arial"/>
          <w:b/>
        </w:rPr>
        <w:t>.</w:t>
      </w:r>
      <w:r w:rsidRPr="00382BE0">
        <w:rPr>
          <w:rFonts w:ascii="Palatino Linotype" w:hAnsi="Palatino Linotype" w:cs="Arial"/>
          <w:b/>
          <w:sz w:val="28"/>
          <w:szCs w:val="28"/>
        </w:rPr>
        <w:t xml:space="preserve"> De la etapa de instrucción.</w:t>
      </w:r>
    </w:p>
    <w:p w14:paraId="647001C9" w14:textId="77777777" w:rsidR="009E3316" w:rsidRPr="00382BE0" w:rsidRDefault="009E3316" w:rsidP="009E3316">
      <w:pPr>
        <w:spacing w:after="0" w:line="360" w:lineRule="auto"/>
        <w:jc w:val="both"/>
        <w:rPr>
          <w:rFonts w:ascii="Palatino Linotype" w:hAnsi="Palatino Linotype"/>
          <w:sz w:val="24"/>
          <w:szCs w:val="24"/>
        </w:rPr>
      </w:pPr>
      <w:r w:rsidRPr="00382BE0">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382BE0">
        <w:rPr>
          <w:rFonts w:ascii="Palatino Linotype" w:hAnsi="Palatino Linotype" w:cs="Arial"/>
          <w:b/>
          <w:sz w:val="24"/>
          <w:szCs w:val="24"/>
        </w:rPr>
        <w:t>,</w:t>
      </w:r>
      <w:r w:rsidRPr="00382BE0">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382BE0" w:rsidRDefault="009E3316" w:rsidP="009E3316">
      <w:pPr>
        <w:spacing w:after="0" w:line="360" w:lineRule="auto"/>
        <w:jc w:val="both"/>
        <w:rPr>
          <w:rFonts w:ascii="Palatino Linotype" w:hAnsi="Palatino Linotype" w:cs="Arial"/>
          <w:sz w:val="24"/>
          <w:szCs w:val="24"/>
        </w:rPr>
      </w:pPr>
    </w:p>
    <w:p w14:paraId="2716A149" w14:textId="77777777" w:rsidR="009E3316" w:rsidRPr="00382BE0" w:rsidRDefault="009E3316" w:rsidP="009E3316">
      <w:pPr>
        <w:spacing w:after="0" w:line="360" w:lineRule="auto"/>
        <w:jc w:val="both"/>
        <w:rPr>
          <w:rFonts w:ascii="Palatino Linotype" w:hAnsi="Palatino Linotype" w:cs="Arial"/>
          <w:sz w:val="24"/>
          <w:szCs w:val="24"/>
        </w:rPr>
      </w:pPr>
      <w:r w:rsidRPr="00382BE0">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382BE0" w:rsidRDefault="009E3316" w:rsidP="009E3316">
      <w:pPr>
        <w:spacing w:after="0" w:line="360" w:lineRule="auto"/>
        <w:jc w:val="both"/>
        <w:rPr>
          <w:rFonts w:ascii="Palatino Linotype" w:hAnsi="Palatino Linotype" w:cs="Arial"/>
          <w:b/>
          <w:sz w:val="28"/>
          <w:szCs w:val="28"/>
        </w:rPr>
      </w:pPr>
    </w:p>
    <w:p w14:paraId="7B12577E" w14:textId="77777777" w:rsidR="009E3316" w:rsidRPr="00382BE0" w:rsidRDefault="009E3316" w:rsidP="009E3316">
      <w:pPr>
        <w:spacing w:after="0" w:line="360" w:lineRule="auto"/>
        <w:jc w:val="both"/>
        <w:rPr>
          <w:rFonts w:ascii="Palatino Linotype" w:hAnsi="Palatino Linotype" w:cs="Arial"/>
          <w:b/>
          <w:sz w:val="28"/>
          <w:szCs w:val="28"/>
        </w:rPr>
      </w:pPr>
      <w:r w:rsidRPr="00382BE0">
        <w:rPr>
          <w:rFonts w:ascii="Palatino Linotype" w:hAnsi="Palatino Linotype" w:cs="Arial"/>
          <w:b/>
          <w:sz w:val="28"/>
          <w:szCs w:val="28"/>
        </w:rPr>
        <w:t>SEXTO. Del Cierre de Instrucción.</w:t>
      </w:r>
    </w:p>
    <w:p w14:paraId="09B37DE1" w14:textId="3FE03CC6" w:rsidR="009E3316" w:rsidRPr="00382BE0" w:rsidRDefault="009E3316" w:rsidP="009E3316">
      <w:pPr>
        <w:spacing w:after="0" w:line="360" w:lineRule="auto"/>
        <w:jc w:val="both"/>
        <w:rPr>
          <w:rFonts w:ascii="Palatino Linotype" w:hAnsi="Palatino Linotype" w:cs="Arial"/>
          <w:sz w:val="24"/>
          <w:szCs w:val="24"/>
        </w:rPr>
      </w:pPr>
      <w:r w:rsidRPr="00382BE0">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w:t>
      </w:r>
      <w:r w:rsidRPr="00382BE0">
        <w:rPr>
          <w:rFonts w:ascii="Palatino Linotype" w:hAnsi="Palatino Linotype" w:cs="Arial"/>
          <w:sz w:val="24"/>
          <w:szCs w:val="24"/>
        </w:rPr>
        <w:lastRenderedPageBreak/>
        <w:t xml:space="preserve">pendiente por desahogar, ni que documentos que integrar al expediente electrónico, se decretó el cierre de instrucción en fecha </w:t>
      </w:r>
      <w:r w:rsidR="00626129" w:rsidRPr="00382BE0">
        <w:rPr>
          <w:rFonts w:ascii="Palatino Linotype" w:hAnsi="Palatino Linotype" w:cs="Arial"/>
          <w:b/>
          <w:sz w:val="24"/>
          <w:szCs w:val="24"/>
        </w:rPr>
        <w:t>veintitrés</w:t>
      </w:r>
      <w:r w:rsidR="001F682C" w:rsidRPr="00382BE0">
        <w:rPr>
          <w:rFonts w:ascii="Palatino Linotype" w:hAnsi="Palatino Linotype" w:cs="Arial"/>
          <w:b/>
          <w:sz w:val="24"/>
          <w:szCs w:val="24"/>
        </w:rPr>
        <w:t xml:space="preserve"> de abril de dos mil veintiséis</w:t>
      </w:r>
      <w:r w:rsidRPr="00382BE0">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382BE0" w:rsidRDefault="009E3316" w:rsidP="009E3316">
      <w:pPr>
        <w:spacing w:after="0" w:line="360" w:lineRule="auto"/>
        <w:jc w:val="center"/>
        <w:rPr>
          <w:rFonts w:ascii="Palatino Linotype" w:eastAsia="Palatino Linotype" w:hAnsi="Palatino Linotype" w:cs="Palatino Linotype"/>
          <w:sz w:val="24"/>
          <w:szCs w:val="24"/>
        </w:rPr>
      </w:pPr>
      <w:r w:rsidRPr="00382BE0">
        <w:rPr>
          <w:rFonts w:ascii="Palatino Linotype" w:eastAsia="Palatino Linotype" w:hAnsi="Palatino Linotype" w:cs="Palatino Linotype"/>
          <w:b/>
          <w:sz w:val="28"/>
          <w:szCs w:val="28"/>
        </w:rPr>
        <w:t xml:space="preserve">C O N S I D E R A N D O </w:t>
      </w:r>
    </w:p>
    <w:p w14:paraId="103A28CF"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382BE0" w:rsidRDefault="009E3316" w:rsidP="009E3316">
      <w:pPr>
        <w:spacing w:after="0" w:line="360" w:lineRule="auto"/>
        <w:jc w:val="both"/>
        <w:rPr>
          <w:rFonts w:ascii="Palatino Linotype" w:eastAsia="Palatino Linotype" w:hAnsi="Palatino Linotype" w:cs="Palatino Linotype"/>
          <w:sz w:val="28"/>
          <w:szCs w:val="24"/>
        </w:rPr>
      </w:pPr>
      <w:r w:rsidRPr="00382BE0">
        <w:rPr>
          <w:rFonts w:ascii="Palatino Linotype" w:eastAsia="Palatino Linotype" w:hAnsi="Palatino Linotype" w:cs="Palatino Linotype"/>
          <w:b/>
          <w:sz w:val="28"/>
          <w:szCs w:val="24"/>
        </w:rPr>
        <w:t>PRIMERO. De la competencia</w:t>
      </w:r>
      <w:r w:rsidRPr="00382BE0">
        <w:rPr>
          <w:rFonts w:ascii="Palatino Linotype" w:eastAsia="Palatino Linotype" w:hAnsi="Palatino Linotype" w:cs="Palatino Linotype"/>
          <w:sz w:val="28"/>
          <w:szCs w:val="24"/>
        </w:rPr>
        <w:t>.</w:t>
      </w:r>
    </w:p>
    <w:p w14:paraId="7FA63AB1" w14:textId="77777777" w:rsidR="009E3316" w:rsidRPr="00382BE0" w:rsidRDefault="009E3316" w:rsidP="009E3316">
      <w:pPr>
        <w:spacing w:after="0" w:line="360" w:lineRule="auto"/>
        <w:jc w:val="both"/>
        <w:rPr>
          <w:rFonts w:ascii="Palatino Linotype" w:hAnsi="Palatino Linotype"/>
          <w:sz w:val="24"/>
          <w:lang w:val="es-ES"/>
        </w:rPr>
      </w:pPr>
      <w:r w:rsidRPr="00382BE0">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382BE0" w:rsidRDefault="009E3316" w:rsidP="009E3316">
      <w:pPr>
        <w:spacing w:after="0" w:line="360" w:lineRule="auto"/>
        <w:jc w:val="both"/>
        <w:rPr>
          <w:rFonts w:ascii="Palatino Linotype" w:eastAsia="Palatino Linotype" w:hAnsi="Palatino Linotype" w:cs="Palatino Linotype"/>
          <w:sz w:val="28"/>
          <w:szCs w:val="24"/>
        </w:rPr>
      </w:pPr>
      <w:r w:rsidRPr="00382BE0">
        <w:rPr>
          <w:rFonts w:ascii="Palatino Linotype" w:eastAsia="Palatino Linotype" w:hAnsi="Palatino Linotype" w:cs="Palatino Linotype"/>
          <w:b/>
          <w:sz w:val="28"/>
          <w:szCs w:val="24"/>
        </w:rPr>
        <w:t>SEGUNDO. De la Oportunidad y Procedencia del Recurso de Revisión</w:t>
      </w:r>
      <w:r w:rsidRPr="00382BE0">
        <w:rPr>
          <w:rFonts w:ascii="Palatino Linotype" w:eastAsia="Palatino Linotype" w:hAnsi="Palatino Linotype" w:cs="Palatino Linotype"/>
          <w:sz w:val="28"/>
          <w:szCs w:val="24"/>
        </w:rPr>
        <w:t>.</w:t>
      </w:r>
    </w:p>
    <w:p w14:paraId="21B97FE4" w14:textId="77777777" w:rsidR="009E3316" w:rsidRPr="00382BE0" w:rsidRDefault="009E3316" w:rsidP="009E3316">
      <w:pPr>
        <w:spacing w:after="0" w:line="360" w:lineRule="auto"/>
        <w:jc w:val="both"/>
        <w:rPr>
          <w:rFonts w:ascii="Palatino Linotype" w:eastAsia="Palatino Linotype" w:hAnsi="Palatino Linotype" w:cs="Palatino Linotype"/>
          <w:b/>
          <w:sz w:val="24"/>
          <w:szCs w:val="24"/>
        </w:rPr>
      </w:pPr>
      <w:r w:rsidRPr="00382BE0">
        <w:rPr>
          <w:rFonts w:ascii="Palatino Linotype" w:eastAsia="Palatino Linotype" w:hAnsi="Palatino Linotype" w:cs="Palatino Linotype"/>
          <w:sz w:val="24"/>
          <w:szCs w:val="24"/>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w:t>
      </w:r>
      <w:r w:rsidRPr="00382BE0">
        <w:rPr>
          <w:rFonts w:ascii="Palatino Linotype" w:eastAsia="Palatino Linotype" w:hAnsi="Palatino Linotype" w:cs="Palatino Linotype"/>
          <w:sz w:val="24"/>
          <w:szCs w:val="24"/>
        </w:rPr>
        <w:lastRenderedPageBreak/>
        <w:t>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382BE0">
        <w:rPr>
          <w:rFonts w:ascii="Palatino Linotype" w:eastAsia="Palatino Linotype" w:hAnsi="Palatino Linotype" w:cs="Palatino Linotype"/>
          <w:b/>
          <w:sz w:val="24"/>
          <w:szCs w:val="24"/>
        </w:rPr>
        <w:t>Recurrente</w:t>
      </w:r>
      <w:r w:rsidRPr="00382BE0">
        <w:rPr>
          <w:rFonts w:ascii="Palatino Linotype" w:eastAsia="Palatino Linotype" w:hAnsi="Palatino Linotype" w:cs="Palatino Linotype"/>
          <w:sz w:val="24"/>
          <w:szCs w:val="24"/>
        </w:rPr>
        <w:t xml:space="preserve">, por lo que, en el presente caso, al haber sido presentado el recurso de revisión vía </w:t>
      </w:r>
      <w:r w:rsidRPr="00382BE0">
        <w:rPr>
          <w:rFonts w:ascii="Palatino Linotype" w:eastAsia="Palatino Linotype" w:hAnsi="Palatino Linotype" w:cs="Palatino Linotype"/>
          <w:b/>
          <w:sz w:val="24"/>
          <w:szCs w:val="24"/>
        </w:rPr>
        <w:t>SAIMEX</w:t>
      </w:r>
      <w:r w:rsidRPr="00382BE0">
        <w:rPr>
          <w:rFonts w:ascii="Palatino Linotype" w:eastAsia="Palatino Linotype" w:hAnsi="Palatino Linotype" w:cs="Palatino Linotype"/>
          <w:sz w:val="24"/>
          <w:szCs w:val="24"/>
        </w:rPr>
        <w:t>, dicho requisito resulta innecesario.</w:t>
      </w:r>
    </w:p>
    <w:p w14:paraId="118EA90A"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382BE0" w:rsidRDefault="009E3316" w:rsidP="009E3316">
      <w:pPr>
        <w:spacing w:before="240" w:after="240" w:line="360" w:lineRule="auto"/>
        <w:jc w:val="both"/>
        <w:rPr>
          <w:rFonts w:ascii="Palatino Linotype" w:eastAsia="Palatino Linotype" w:hAnsi="Palatino Linotype" w:cs="Palatino Linotype"/>
          <w:i/>
          <w:sz w:val="24"/>
          <w:szCs w:val="24"/>
        </w:rPr>
      </w:pPr>
      <w:r w:rsidRPr="00382BE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hipótesis jurídica que se actualiza en este caso, aunado a que la parte </w:t>
      </w:r>
      <w:r w:rsidRPr="00382BE0">
        <w:rPr>
          <w:rFonts w:ascii="Palatino Linotype" w:eastAsia="Palatino Linotype" w:hAnsi="Palatino Linotype" w:cs="Palatino Linotype"/>
          <w:b/>
          <w:sz w:val="24"/>
          <w:szCs w:val="24"/>
        </w:rPr>
        <w:t>Recurrente</w:t>
      </w:r>
      <w:r w:rsidRPr="00382BE0">
        <w:rPr>
          <w:rFonts w:ascii="Palatino Linotype" w:eastAsia="Palatino Linotype" w:hAnsi="Palatino Linotype" w:cs="Palatino Linotype"/>
          <w:sz w:val="24"/>
          <w:szCs w:val="24"/>
        </w:rPr>
        <w:t xml:space="preserve"> combate falta de trámite por 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382BE0" w:rsidRDefault="009E3316" w:rsidP="009E3316">
      <w:pPr>
        <w:widowControl w:val="0"/>
        <w:spacing w:after="0" w:line="360" w:lineRule="auto"/>
        <w:jc w:val="both"/>
        <w:rPr>
          <w:rFonts w:ascii="Palatino Linotype" w:eastAsia="Palatino Linotype" w:hAnsi="Palatino Linotype" w:cs="Palatino Linotype"/>
          <w:b/>
          <w:sz w:val="28"/>
          <w:szCs w:val="28"/>
        </w:rPr>
      </w:pPr>
      <w:r w:rsidRPr="00382BE0">
        <w:rPr>
          <w:rFonts w:ascii="Palatino Linotype" w:eastAsia="Palatino Linotype" w:hAnsi="Palatino Linotype" w:cs="Palatino Linotype"/>
          <w:b/>
          <w:sz w:val="28"/>
          <w:szCs w:val="28"/>
        </w:rPr>
        <w:t xml:space="preserve">TERCERO. Estudio y resolución del asunto. </w:t>
      </w:r>
    </w:p>
    <w:p w14:paraId="04EF9FC4" w14:textId="77777777" w:rsidR="009E3316" w:rsidRPr="00382BE0" w:rsidRDefault="009E3316" w:rsidP="009E3316">
      <w:pPr>
        <w:spacing w:after="0" w:line="360" w:lineRule="auto"/>
        <w:jc w:val="both"/>
        <w:rPr>
          <w:rFonts w:ascii="Palatino Linotype" w:eastAsia="Palatino Linotype" w:hAnsi="Palatino Linotype" w:cs="Palatino Linotype"/>
          <w:color w:val="000000"/>
          <w:sz w:val="24"/>
          <w:szCs w:val="24"/>
        </w:rPr>
      </w:pPr>
      <w:r w:rsidRPr="00382BE0">
        <w:rPr>
          <w:rFonts w:ascii="Palatino Linotype" w:eastAsia="Palatino Linotype" w:hAnsi="Palatino Linotype" w:cs="Palatino Linotype"/>
          <w:sz w:val="24"/>
          <w:szCs w:val="24"/>
        </w:rPr>
        <w:t xml:space="preserve">El derecho de acceso a la información pública es un </w:t>
      </w:r>
      <w:r w:rsidRPr="00382BE0">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382BE0">
        <w:rPr>
          <w:rFonts w:ascii="Palatino Linotype" w:eastAsia="Palatino Linotype" w:hAnsi="Palatino Linotype" w:cs="Palatino Linotype"/>
          <w:sz w:val="24"/>
          <w:szCs w:val="24"/>
        </w:rPr>
        <w:t>l</w:t>
      </w:r>
      <w:r w:rsidRPr="00382BE0">
        <w:rPr>
          <w:rFonts w:ascii="Palatino Linotype" w:eastAsia="Palatino Linotype" w:hAnsi="Palatino Linotype" w:cs="Palatino Linotype"/>
          <w:sz w:val="24"/>
          <w:szCs w:val="24"/>
        </w:rPr>
        <w:t>.</w:t>
      </w:r>
    </w:p>
    <w:p w14:paraId="78F44065"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382BE0">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382BE0">
        <w:rPr>
          <w:rFonts w:ascii="Palatino Linotype" w:eastAsia="Palatino Linotype" w:hAnsi="Palatino Linotype" w:cs="Palatino Linotype"/>
          <w:b/>
          <w:color w:val="000000"/>
          <w:sz w:val="24"/>
          <w:szCs w:val="24"/>
        </w:rPr>
        <w:t xml:space="preserve"> </w:t>
      </w:r>
      <w:r w:rsidRPr="00382BE0">
        <w:rPr>
          <w:rFonts w:ascii="Palatino Linotype" w:eastAsia="Palatino Linotype" w:hAnsi="Palatino Linotype" w:cs="Palatino Linotype"/>
          <w:color w:val="000000"/>
          <w:sz w:val="24"/>
          <w:szCs w:val="24"/>
        </w:rPr>
        <w:t>y</w:t>
      </w:r>
      <w:r w:rsidRPr="00382BE0">
        <w:rPr>
          <w:rFonts w:ascii="Palatino Linotype" w:eastAsia="Palatino Linotype" w:hAnsi="Palatino Linotype" w:cs="Palatino Linotype"/>
          <w:b/>
          <w:color w:val="000000"/>
          <w:sz w:val="24"/>
          <w:szCs w:val="24"/>
        </w:rPr>
        <w:t xml:space="preserve"> </w:t>
      </w:r>
      <w:r w:rsidRPr="00382BE0">
        <w:rPr>
          <w:rFonts w:ascii="Palatino Linotype" w:eastAsia="Palatino Linotype" w:hAnsi="Palatino Linotype" w:cs="Palatino Linotype"/>
          <w:sz w:val="24"/>
          <w:szCs w:val="24"/>
        </w:rPr>
        <w:t>por tanto, procedente la interposición del recurso de revisión.</w:t>
      </w:r>
    </w:p>
    <w:p w14:paraId="2B406B1C"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En consecuencia, las razones o motivos de inconformidad hechos valer, resultan </w:t>
      </w:r>
      <w:r w:rsidRPr="00382BE0">
        <w:rPr>
          <w:rFonts w:ascii="Palatino Linotype" w:eastAsia="Palatino Linotype" w:hAnsi="Palatino Linotype" w:cs="Palatino Linotype"/>
          <w:b/>
          <w:sz w:val="24"/>
          <w:szCs w:val="24"/>
        </w:rPr>
        <w:t>fundadas y procedentes</w:t>
      </w:r>
      <w:r w:rsidRPr="00382BE0">
        <w:rPr>
          <w:rFonts w:ascii="Palatino Linotype" w:eastAsia="Palatino Linotype" w:hAnsi="Palatino Linotype" w:cs="Palatino Linotype"/>
          <w:sz w:val="24"/>
          <w:szCs w:val="24"/>
        </w:rPr>
        <w:t xml:space="preserve">, en virtud de las constancias que obran en el expediente electrónico SAIMEX, se acredita que 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fue omiso en responder la solicitud de información hecha por la parte </w:t>
      </w:r>
      <w:r w:rsidRPr="00382BE0">
        <w:rPr>
          <w:rFonts w:ascii="Palatino Linotype" w:eastAsia="Palatino Linotype" w:hAnsi="Palatino Linotype" w:cs="Palatino Linotype"/>
          <w:b/>
          <w:sz w:val="24"/>
          <w:szCs w:val="24"/>
        </w:rPr>
        <w:t>Recurrente</w:t>
      </w:r>
      <w:r w:rsidRPr="00382BE0">
        <w:rPr>
          <w:rFonts w:ascii="Palatino Linotype" w:eastAsia="Palatino Linotype" w:hAnsi="Palatino Linotype" w:cs="Palatino Linotype"/>
          <w:sz w:val="24"/>
          <w:szCs w:val="24"/>
        </w:rPr>
        <w:t xml:space="preserve">, es decir, incumplió las obligaciones que se le imponen como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382BE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w:t>
      </w:r>
      <w:r w:rsidRPr="00382BE0">
        <w:rPr>
          <w:rFonts w:ascii="Palatino Linotype" w:eastAsia="Palatino Linotype" w:hAnsi="Palatino Linotype" w:cs="Palatino Linotype"/>
          <w:sz w:val="24"/>
          <w:szCs w:val="24"/>
        </w:rPr>
        <w:lastRenderedPageBreak/>
        <w:t xml:space="preserve">confidencial o reservada. </w:t>
      </w:r>
    </w:p>
    <w:p w14:paraId="3A3FE0F2" w14:textId="77777777" w:rsidR="009E3316" w:rsidRPr="00382BE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382BE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382BE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382BE0" w:rsidRDefault="009E3316" w:rsidP="009E3316">
      <w:pPr>
        <w:spacing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382BE0" w:rsidRDefault="009E3316" w:rsidP="009E3316">
      <w:pPr>
        <w:spacing w:after="0" w:line="360" w:lineRule="auto"/>
        <w:jc w:val="both"/>
        <w:rPr>
          <w:rFonts w:ascii="Palatino Linotype" w:eastAsia="Palatino Linotype" w:hAnsi="Palatino Linotype" w:cs="Palatino Linotype"/>
          <w:i/>
          <w:sz w:val="24"/>
          <w:szCs w:val="24"/>
        </w:rPr>
      </w:pPr>
      <w:r w:rsidRPr="00382BE0">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382BE0">
        <w:rPr>
          <w:rFonts w:ascii="Palatino Linotype" w:eastAsia="Palatino Linotype" w:hAnsi="Palatino Linotype" w:cs="Palatino Linotype"/>
          <w:i/>
          <w:sz w:val="24"/>
          <w:szCs w:val="24"/>
        </w:rPr>
        <w:t xml:space="preserve">procedimiento de acceso a la información es la garantía primaria del derecho en cuestión, </w:t>
      </w:r>
      <w:r w:rsidRPr="00382BE0">
        <w:rPr>
          <w:rFonts w:ascii="Palatino Linotype" w:eastAsia="Palatino Linotype" w:hAnsi="Palatino Linotype" w:cs="Palatino Linotype"/>
          <w:sz w:val="24"/>
          <w:szCs w:val="24"/>
        </w:rPr>
        <w:t xml:space="preserve">por lo tanto, la falta de respuesta a una solicitud de acceso a la información constituye un incumplimiento </w:t>
      </w:r>
      <w:r w:rsidRPr="00382BE0">
        <w:rPr>
          <w:rFonts w:ascii="Palatino Linotype" w:eastAsia="Palatino Linotype" w:hAnsi="Palatino Linotype" w:cs="Palatino Linotype"/>
          <w:sz w:val="24"/>
          <w:szCs w:val="24"/>
        </w:rPr>
        <w:lastRenderedPageBreak/>
        <w:t xml:space="preserve">del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Por lo que, en cumplimiento a esta resolución, el </w:t>
      </w:r>
      <w:r w:rsidRPr="00382BE0">
        <w:rPr>
          <w:rFonts w:ascii="Palatino Linotype" w:eastAsia="Palatino Linotype" w:hAnsi="Palatino Linotype" w:cs="Palatino Linotype"/>
          <w:b/>
          <w:sz w:val="24"/>
          <w:szCs w:val="24"/>
        </w:rPr>
        <w:t xml:space="preserve">Sujeto Obligado </w:t>
      </w:r>
      <w:r w:rsidRPr="00382BE0">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382BE0" w:rsidRDefault="009E3316" w:rsidP="009E3316">
      <w:pPr>
        <w:numPr>
          <w:ilvl w:val="0"/>
          <w:numId w:val="2"/>
        </w:numPr>
        <w:spacing w:after="0" w:line="360" w:lineRule="auto"/>
        <w:jc w:val="both"/>
        <w:rPr>
          <w:b/>
          <w:sz w:val="28"/>
          <w:szCs w:val="28"/>
        </w:rPr>
      </w:pPr>
      <w:r w:rsidRPr="00382BE0">
        <w:rPr>
          <w:rFonts w:ascii="Palatino Linotype" w:eastAsia="Palatino Linotype" w:hAnsi="Palatino Linotype" w:cs="Palatino Linotype"/>
          <w:b/>
          <w:sz w:val="28"/>
          <w:szCs w:val="28"/>
        </w:rPr>
        <w:t>De la clasificación de la información</w:t>
      </w:r>
    </w:p>
    <w:p w14:paraId="7EA2EC11"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382BE0"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382BE0"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382BE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382BE0"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382BE0" w:rsidRDefault="009E3316" w:rsidP="009E3316">
      <w:pPr>
        <w:spacing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382BE0" w:rsidRDefault="009E3316" w:rsidP="009E3316">
      <w:pPr>
        <w:spacing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w:t>
      </w:r>
      <w:r w:rsidRPr="00382BE0">
        <w:rPr>
          <w:rFonts w:ascii="Palatino Linotype" w:eastAsia="Palatino Linotype" w:hAnsi="Palatino Linotype" w:cs="Palatino Linotype"/>
          <w:sz w:val="24"/>
          <w:szCs w:val="24"/>
        </w:rPr>
        <w:lastRenderedPageBreak/>
        <w:t>bien una documentación ilegible, incompleta o tachada que deja al solicitante en estado de incertidumbre, al no conocer o comprender porque no aparecen en la documentación respectiva.</w:t>
      </w:r>
    </w:p>
    <w:p w14:paraId="403F095F"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82BE0">
        <w:rPr>
          <w:rFonts w:ascii="Palatino Linotype" w:eastAsia="Palatino Linotype" w:hAnsi="Palatino Linotype" w:cs="Palatino Linotype"/>
          <w:i/>
          <w:sz w:val="24"/>
          <w:szCs w:val="24"/>
        </w:rPr>
        <w:t>.</w:t>
      </w:r>
    </w:p>
    <w:p w14:paraId="2A4469C9"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382BE0" w:rsidRDefault="009E3316" w:rsidP="009E3316">
      <w:pPr>
        <w:numPr>
          <w:ilvl w:val="0"/>
          <w:numId w:val="3"/>
        </w:numPr>
        <w:tabs>
          <w:tab w:val="left" w:pos="7938"/>
        </w:tabs>
        <w:spacing w:after="0" w:line="360" w:lineRule="auto"/>
        <w:ind w:left="426"/>
        <w:jc w:val="both"/>
        <w:rPr>
          <w:b/>
          <w:sz w:val="28"/>
          <w:szCs w:val="28"/>
        </w:rPr>
      </w:pPr>
      <w:r w:rsidRPr="00382BE0">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382BE0" w:rsidRDefault="009E3316" w:rsidP="009E3316">
      <w:pPr>
        <w:spacing w:line="360" w:lineRule="auto"/>
        <w:ind w:right="49"/>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Como ya se mencionó el</w:t>
      </w:r>
      <w:r w:rsidRPr="00382BE0">
        <w:rPr>
          <w:rFonts w:ascii="Palatino Linotype" w:eastAsia="Palatino Linotype" w:hAnsi="Palatino Linotype" w:cs="Palatino Linotype"/>
          <w:b/>
          <w:sz w:val="24"/>
          <w:szCs w:val="24"/>
        </w:rPr>
        <w:t xml:space="preserve"> Sujeto Obligado</w:t>
      </w:r>
      <w:r w:rsidRPr="00382BE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82BE0">
        <w:rPr>
          <w:rFonts w:ascii="Palatino Linotype" w:eastAsia="Palatino Linotype" w:hAnsi="Palatino Linotype" w:cs="Palatino Linotype"/>
          <w:b/>
          <w:sz w:val="24"/>
          <w:szCs w:val="24"/>
        </w:rPr>
        <w:t xml:space="preserve"> </w:t>
      </w:r>
      <w:r w:rsidRPr="00382BE0">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382BE0" w:rsidRDefault="009E3316" w:rsidP="009E3316">
      <w:pPr>
        <w:spacing w:line="360" w:lineRule="auto"/>
        <w:ind w:right="49"/>
        <w:jc w:val="both"/>
        <w:rPr>
          <w:rFonts w:ascii="Palatino Linotype" w:eastAsia="Palatino Linotype" w:hAnsi="Palatino Linotype" w:cs="Palatino Linotype"/>
          <w:sz w:val="24"/>
          <w:szCs w:val="24"/>
        </w:rPr>
      </w:pPr>
    </w:p>
    <w:p w14:paraId="6924884E" w14:textId="79BBA77D"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w:t>
      </w:r>
      <w:r w:rsidRPr="00382BE0">
        <w:rPr>
          <w:rFonts w:ascii="Palatino Linotype" w:eastAsia="Palatino Linotype" w:hAnsi="Palatino Linotype" w:cs="Palatino Linotype"/>
          <w:sz w:val="24"/>
          <w:szCs w:val="24"/>
        </w:rPr>
        <w:lastRenderedPageBreak/>
        <w:t xml:space="preserve">Municipios, se </w:t>
      </w:r>
      <w:r w:rsidRPr="00382BE0">
        <w:rPr>
          <w:rFonts w:ascii="Palatino Linotype" w:eastAsia="Palatino Linotype" w:hAnsi="Palatino Linotype" w:cs="Palatino Linotype"/>
          <w:b/>
          <w:sz w:val="24"/>
          <w:szCs w:val="24"/>
        </w:rPr>
        <w:t>ORDENA</w:t>
      </w:r>
      <w:r w:rsidRPr="00382BE0">
        <w:rPr>
          <w:rFonts w:ascii="Palatino Linotype" w:eastAsia="Palatino Linotype" w:hAnsi="Palatino Linotype" w:cs="Palatino Linotype"/>
          <w:sz w:val="24"/>
          <w:szCs w:val="24"/>
        </w:rPr>
        <w:t xml:space="preserve"> al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atienda la solicitud de información </w:t>
      </w:r>
      <w:r w:rsidR="00FF782B" w:rsidRPr="00382BE0">
        <w:rPr>
          <w:rFonts w:ascii="Palatino Linotype" w:eastAsia="Palatino Linotype" w:hAnsi="Palatino Linotype" w:cs="Palatino Linotype"/>
          <w:b/>
          <w:bCs/>
          <w:sz w:val="24"/>
          <w:szCs w:val="24"/>
        </w:rPr>
        <w:t>00032/HUEHUETO/IP/2026</w:t>
      </w:r>
      <w:r w:rsidRPr="00382BE0">
        <w:rPr>
          <w:rFonts w:ascii="Palatino Linotype" w:eastAsia="Palatino Linotype" w:hAnsi="Palatino Linotype" w:cs="Palatino Linotype"/>
          <w:b/>
          <w:sz w:val="24"/>
          <w:szCs w:val="24"/>
        </w:rPr>
        <w:t>,</w:t>
      </w:r>
      <w:r w:rsidRPr="00382BE0">
        <w:rPr>
          <w:rFonts w:ascii="Palatino Linotype" w:eastAsia="Palatino Linotype" w:hAnsi="Palatino Linotype" w:cs="Palatino Linotype"/>
          <w:sz w:val="24"/>
          <w:szCs w:val="24"/>
        </w:rPr>
        <w:t xml:space="preserve"> que han sido materia del presente fallo</w:t>
      </w:r>
    </w:p>
    <w:p w14:paraId="398E055B"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Por lo antes expuesto y fundado es de resolverse y,</w:t>
      </w:r>
    </w:p>
    <w:p w14:paraId="187058EA"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382BE0"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382BE0">
        <w:rPr>
          <w:rFonts w:ascii="Palatino Linotype" w:eastAsia="Palatino Linotype" w:hAnsi="Palatino Linotype" w:cs="Palatino Linotype"/>
          <w:b/>
          <w:color w:val="000000"/>
          <w:sz w:val="28"/>
          <w:szCs w:val="28"/>
        </w:rPr>
        <w:t>SE    RESUELVE</w:t>
      </w:r>
    </w:p>
    <w:p w14:paraId="5E8D5263" w14:textId="77777777" w:rsidR="009E3316" w:rsidRPr="00382BE0"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b/>
          <w:sz w:val="28"/>
          <w:szCs w:val="28"/>
        </w:rPr>
        <w:t>PRIMERO.</w:t>
      </w:r>
      <w:r w:rsidRPr="00382BE0">
        <w:rPr>
          <w:rFonts w:ascii="Palatino Linotype" w:eastAsia="Palatino Linotype" w:hAnsi="Palatino Linotype" w:cs="Palatino Linotype"/>
          <w:sz w:val="24"/>
          <w:szCs w:val="24"/>
        </w:rPr>
        <w:t xml:space="preserve"> Resultan fundadas las razones o motivos de inconformidad hechos valer por la parte </w:t>
      </w:r>
      <w:r w:rsidRPr="00382BE0">
        <w:rPr>
          <w:rFonts w:ascii="Palatino Linotype" w:eastAsia="Palatino Linotype" w:hAnsi="Palatino Linotype" w:cs="Palatino Linotype"/>
          <w:b/>
          <w:sz w:val="24"/>
          <w:szCs w:val="24"/>
        </w:rPr>
        <w:t>Recurrente,</w:t>
      </w:r>
      <w:r w:rsidRPr="00382BE0">
        <w:rPr>
          <w:rFonts w:ascii="Palatino Linotype" w:eastAsia="Palatino Linotype" w:hAnsi="Palatino Linotype" w:cs="Palatino Linotype"/>
          <w:sz w:val="24"/>
          <w:szCs w:val="24"/>
        </w:rPr>
        <w:t xml:space="preserve"> en términos del considerando </w:t>
      </w:r>
      <w:r w:rsidRPr="00382BE0">
        <w:rPr>
          <w:rFonts w:ascii="Palatino Linotype" w:eastAsia="Palatino Linotype" w:hAnsi="Palatino Linotype" w:cs="Palatino Linotype"/>
          <w:b/>
          <w:sz w:val="24"/>
          <w:szCs w:val="24"/>
        </w:rPr>
        <w:t>TERCERO</w:t>
      </w:r>
      <w:r w:rsidRPr="00382BE0">
        <w:rPr>
          <w:rFonts w:ascii="Palatino Linotype" w:eastAsia="Palatino Linotype" w:hAnsi="Palatino Linotype" w:cs="Palatino Linotype"/>
          <w:sz w:val="24"/>
          <w:szCs w:val="24"/>
        </w:rPr>
        <w:t>, de la presente resolución.</w:t>
      </w:r>
    </w:p>
    <w:p w14:paraId="51771CB7"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7C58E679"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b/>
          <w:sz w:val="28"/>
          <w:szCs w:val="28"/>
        </w:rPr>
        <w:t>SEGUNDO.</w:t>
      </w:r>
      <w:r w:rsidRPr="00382BE0">
        <w:rPr>
          <w:rFonts w:ascii="Palatino Linotype" w:eastAsia="Palatino Linotype" w:hAnsi="Palatino Linotype" w:cs="Palatino Linotype"/>
          <w:sz w:val="24"/>
          <w:szCs w:val="24"/>
        </w:rPr>
        <w:t xml:space="preserve"> Se </w:t>
      </w:r>
      <w:r w:rsidRPr="00382BE0">
        <w:rPr>
          <w:rFonts w:ascii="Palatino Linotype" w:eastAsia="Palatino Linotype" w:hAnsi="Palatino Linotype" w:cs="Palatino Linotype"/>
          <w:b/>
          <w:sz w:val="24"/>
          <w:szCs w:val="24"/>
        </w:rPr>
        <w:t>ORDENA</w:t>
      </w:r>
      <w:r w:rsidRPr="00382BE0">
        <w:rPr>
          <w:rFonts w:ascii="Palatino Linotype" w:eastAsia="Palatino Linotype" w:hAnsi="Palatino Linotype" w:cs="Palatino Linotype"/>
          <w:sz w:val="24"/>
          <w:szCs w:val="24"/>
        </w:rPr>
        <w:t xml:space="preserve"> al </w:t>
      </w:r>
      <w:r w:rsidRPr="00382BE0">
        <w:rPr>
          <w:rFonts w:ascii="Palatino Linotype" w:eastAsia="Palatino Linotype" w:hAnsi="Palatino Linotype" w:cs="Palatino Linotype"/>
          <w:b/>
          <w:sz w:val="24"/>
          <w:szCs w:val="24"/>
        </w:rPr>
        <w:t>Sujeto Obligado</w:t>
      </w:r>
      <w:r w:rsidRPr="00382BE0">
        <w:rPr>
          <w:rFonts w:ascii="Palatino Linotype" w:eastAsia="Palatino Linotype" w:hAnsi="Palatino Linotype" w:cs="Palatino Linotype"/>
          <w:sz w:val="24"/>
          <w:szCs w:val="24"/>
        </w:rPr>
        <w:t xml:space="preserve"> atienda la solicitud de información </w:t>
      </w:r>
      <w:r w:rsidR="00FF782B" w:rsidRPr="00382BE0">
        <w:rPr>
          <w:rFonts w:ascii="Palatino Linotype" w:eastAsia="Palatino Linotype" w:hAnsi="Palatino Linotype" w:cs="Palatino Linotype"/>
          <w:b/>
          <w:bCs/>
          <w:sz w:val="24"/>
          <w:szCs w:val="24"/>
        </w:rPr>
        <w:t>00032/HUEHUETO/IP/2026</w:t>
      </w:r>
      <w:r w:rsidRPr="00382BE0">
        <w:rPr>
          <w:rFonts w:ascii="Palatino Linotype" w:eastAsia="Palatino Linotype" w:hAnsi="Palatino Linotype" w:cs="Palatino Linotype"/>
          <w:sz w:val="24"/>
          <w:szCs w:val="24"/>
        </w:rPr>
        <w:t xml:space="preserve">, vía Sistema de Acceso a la Información Mexiquense (SAIMEX), en términos del Considerando </w:t>
      </w:r>
      <w:r w:rsidRPr="00382BE0">
        <w:rPr>
          <w:rFonts w:ascii="Palatino Linotype" w:eastAsia="Palatino Linotype" w:hAnsi="Palatino Linotype" w:cs="Palatino Linotype"/>
          <w:b/>
          <w:sz w:val="24"/>
          <w:szCs w:val="24"/>
        </w:rPr>
        <w:t xml:space="preserve">TERCERO </w:t>
      </w:r>
      <w:r w:rsidRPr="00382BE0">
        <w:rPr>
          <w:rFonts w:ascii="Palatino Linotype" w:eastAsia="Palatino Linotype" w:hAnsi="Palatino Linotype" w:cs="Palatino Linotype"/>
          <w:sz w:val="24"/>
          <w:szCs w:val="24"/>
        </w:rPr>
        <w:t>de esta resolución</w:t>
      </w:r>
      <w:r w:rsidRPr="00382BE0">
        <w:rPr>
          <w:rFonts w:ascii="Palatino Linotype" w:eastAsia="Palatino Linotype" w:hAnsi="Palatino Linotype" w:cs="Palatino Linotype"/>
          <w:b/>
          <w:sz w:val="24"/>
          <w:szCs w:val="24"/>
        </w:rPr>
        <w:t>.</w:t>
      </w:r>
      <w:r w:rsidR="004034C3" w:rsidRPr="00382BE0">
        <w:rPr>
          <w:rFonts w:ascii="Palatino Linotype" w:eastAsia="Palatino Linotype" w:hAnsi="Palatino Linotype" w:cs="Palatino Linotype"/>
          <w:b/>
          <w:sz w:val="24"/>
          <w:szCs w:val="24"/>
        </w:rPr>
        <w:t xml:space="preserve"> </w:t>
      </w:r>
    </w:p>
    <w:p w14:paraId="3B839A27" w14:textId="77777777" w:rsidR="009E3316" w:rsidRPr="00382BE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382BE0" w:rsidRDefault="009E3316" w:rsidP="009E3316">
      <w:pPr>
        <w:tabs>
          <w:tab w:val="left" w:pos="8647"/>
        </w:tabs>
        <w:spacing w:after="0" w:line="360" w:lineRule="auto"/>
        <w:ind w:right="51"/>
        <w:jc w:val="both"/>
        <w:rPr>
          <w:rFonts w:ascii="Palatino Linotype" w:hAnsi="Palatino Linotype" w:cs="Arial"/>
          <w:sz w:val="24"/>
          <w:szCs w:val="24"/>
        </w:rPr>
      </w:pPr>
      <w:r w:rsidRPr="00382BE0">
        <w:rPr>
          <w:rFonts w:ascii="Palatino Linotype" w:hAnsi="Palatino Linotype" w:cs="Arial"/>
          <w:b/>
          <w:sz w:val="28"/>
          <w:szCs w:val="24"/>
        </w:rPr>
        <w:t>TERCERO</w:t>
      </w:r>
      <w:r w:rsidRPr="00382BE0">
        <w:rPr>
          <w:rFonts w:ascii="Palatino Linotype" w:hAnsi="Palatino Linotype" w:cs="Arial"/>
          <w:b/>
          <w:sz w:val="24"/>
          <w:szCs w:val="24"/>
        </w:rPr>
        <w:t>.</w:t>
      </w:r>
      <w:r w:rsidRPr="00382BE0">
        <w:rPr>
          <w:rFonts w:ascii="Palatino Linotype" w:hAnsi="Palatino Linotype" w:cs="Arial"/>
          <w:sz w:val="24"/>
          <w:szCs w:val="24"/>
        </w:rPr>
        <w:t xml:space="preserve"> </w:t>
      </w:r>
      <w:r w:rsidRPr="00382BE0">
        <w:rPr>
          <w:rFonts w:ascii="Palatino Linotype" w:hAnsi="Palatino Linotype" w:cs="Arial"/>
          <w:b/>
          <w:sz w:val="24"/>
          <w:szCs w:val="24"/>
        </w:rPr>
        <w:t>Notifíquese</w:t>
      </w:r>
      <w:r w:rsidRPr="00382BE0">
        <w:rPr>
          <w:rFonts w:ascii="Palatino Linotype" w:eastAsia="Times New Roman" w:hAnsi="Palatino Linotype" w:cs="Arial"/>
          <w:sz w:val="24"/>
          <w:szCs w:val="24"/>
          <w:lang w:val="es-ES" w:eastAsia="es-ES"/>
        </w:rPr>
        <w:t xml:space="preserve"> a través del SAIMEX,</w:t>
      </w:r>
      <w:r w:rsidRPr="00382BE0">
        <w:rPr>
          <w:rFonts w:ascii="Palatino Linotype" w:hAnsi="Palatino Linotype" w:cs="Arial"/>
          <w:b/>
          <w:i/>
          <w:sz w:val="24"/>
          <w:szCs w:val="24"/>
        </w:rPr>
        <w:t xml:space="preserve"> </w:t>
      </w:r>
      <w:r w:rsidRPr="00382BE0">
        <w:rPr>
          <w:rFonts w:ascii="Palatino Linotype" w:hAnsi="Palatino Linotype" w:cs="Arial"/>
          <w:sz w:val="24"/>
          <w:szCs w:val="24"/>
        </w:rPr>
        <w:t>al Titular de la Unidad de Transparencia del</w:t>
      </w:r>
      <w:r w:rsidRPr="00382BE0">
        <w:rPr>
          <w:rFonts w:ascii="Palatino Linotype" w:hAnsi="Palatino Linotype" w:cs="Arial"/>
          <w:b/>
          <w:sz w:val="24"/>
          <w:szCs w:val="24"/>
        </w:rPr>
        <w:t xml:space="preserve"> Sujeto Obligado</w:t>
      </w:r>
      <w:r w:rsidRPr="00382BE0">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382BE0">
        <w:rPr>
          <w:rFonts w:ascii="Palatino Linotype" w:hAnsi="Palatino Linotype" w:cs="Arial"/>
          <w:b/>
          <w:sz w:val="24"/>
          <w:szCs w:val="32"/>
          <w:lang w:val="es-ES_tradnl"/>
        </w:rPr>
        <w:t>y</w:t>
      </w:r>
      <w:r w:rsidRPr="00382BE0">
        <w:rPr>
          <w:rFonts w:ascii="Palatino Linotype" w:hAnsi="Palatino Linotype" w:cs="Arial"/>
          <w:sz w:val="24"/>
          <w:szCs w:val="32"/>
          <w:lang w:val="es-ES_tradnl"/>
        </w:rPr>
        <w:t xml:space="preserve"> </w:t>
      </w:r>
      <w:r w:rsidRPr="00382BE0">
        <w:rPr>
          <w:rFonts w:ascii="Palatino Linotype" w:eastAsia="Palatino Linotype" w:hAnsi="Palatino Linotype" w:cs="Palatino Linotype"/>
          <w:b/>
          <w:color w:val="000000"/>
          <w:sz w:val="24"/>
          <w:lang w:val="es-ES_tradnl"/>
        </w:rPr>
        <w:t xml:space="preserve">se le apercibe que en caso de negarse a cumplir la presente resolución o hacerlo de manera parcial, se le impondrá una medida de apremio de conformidad con lo previsto en los artículos 198, 200, fracción III; 214, 215 y 216 de la Ley  de </w:t>
      </w:r>
      <w:r w:rsidRPr="00382BE0">
        <w:rPr>
          <w:rFonts w:ascii="Palatino Linotype" w:eastAsia="Palatino Linotype" w:hAnsi="Palatino Linotype" w:cs="Palatino Linotype"/>
          <w:b/>
          <w:color w:val="000000"/>
          <w:sz w:val="24"/>
          <w:lang w:val="es-ES_tradnl"/>
        </w:rPr>
        <w:lastRenderedPageBreak/>
        <w:t>Transparencia y Acceso a la Información Pública del Estado de México y Municipios.</w:t>
      </w:r>
    </w:p>
    <w:p w14:paraId="014C66C3" w14:textId="77777777" w:rsidR="009E3316" w:rsidRPr="00382BE0"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382BE0" w:rsidRDefault="009E3316" w:rsidP="009E3316">
      <w:pPr>
        <w:spacing w:after="0" w:line="360" w:lineRule="auto"/>
        <w:jc w:val="both"/>
        <w:rPr>
          <w:rFonts w:ascii="Palatino Linotype" w:eastAsia="Times New Roman" w:hAnsi="Palatino Linotype" w:cs="Arial"/>
          <w:sz w:val="24"/>
          <w:szCs w:val="24"/>
          <w:lang w:val="es-ES" w:eastAsia="es-ES"/>
        </w:rPr>
      </w:pPr>
      <w:r w:rsidRPr="00382BE0">
        <w:rPr>
          <w:rFonts w:ascii="Palatino Linotype" w:eastAsia="Times New Roman" w:hAnsi="Palatino Linotype" w:cs="Arial"/>
          <w:b/>
          <w:sz w:val="28"/>
          <w:szCs w:val="24"/>
          <w:lang w:val="es-ES" w:eastAsia="es-ES"/>
        </w:rPr>
        <w:t>CUARTO</w:t>
      </w:r>
      <w:r w:rsidRPr="00382BE0">
        <w:rPr>
          <w:rFonts w:ascii="Palatino Linotype" w:eastAsia="Times New Roman" w:hAnsi="Palatino Linotype" w:cs="Arial"/>
          <w:b/>
          <w:sz w:val="24"/>
          <w:szCs w:val="24"/>
          <w:lang w:val="es-ES" w:eastAsia="es-ES"/>
        </w:rPr>
        <w:t>. Notifíquese</w:t>
      </w:r>
      <w:r w:rsidRPr="00382BE0">
        <w:rPr>
          <w:rFonts w:ascii="Palatino Linotype" w:eastAsia="Times New Roman" w:hAnsi="Palatino Linotype" w:cs="Arial"/>
          <w:sz w:val="24"/>
          <w:szCs w:val="24"/>
          <w:lang w:val="es-ES" w:eastAsia="es-ES"/>
        </w:rPr>
        <w:t xml:space="preserve"> </w:t>
      </w:r>
      <w:r w:rsidRPr="00382BE0">
        <w:rPr>
          <w:rFonts w:ascii="Palatino Linotype" w:eastAsia="Times New Roman" w:hAnsi="Palatino Linotype" w:cs="Arial"/>
          <w:b/>
          <w:sz w:val="24"/>
          <w:szCs w:val="24"/>
          <w:lang w:val="es-ES" w:eastAsia="es-ES"/>
        </w:rPr>
        <w:t>a l</w:t>
      </w:r>
      <w:r w:rsidR="00A52F6C" w:rsidRPr="00382BE0">
        <w:rPr>
          <w:rFonts w:ascii="Palatino Linotype" w:eastAsia="Times New Roman" w:hAnsi="Palatino Linotype" w:cs="Arial"/>
          <w:b/>
          <w:sz w:val="24"/>
          <w:szCs w:val="24"/>
          <w:lang w:val="es-ES" w:eastAsia="es-ES"/>
        </w:rPr>
        <w:t>a</w:t>
      </w:r>
      <w:r w:rsidRPr="00382BE0">
        <w:rPr>
          <w:rFonts w:ascii="Palatino Linotype" w:eastAsia="Times New Roman" w:hAnsi="Palatino Linotype" w:cs="Arial"/>
          <w:b/>
          <w:sz w:val="24"/>
          <w:szCs w:val="24"/>
          <w:lang w:val="es-ES" w:eastAsia="es-ES"/>
        </w:rPr>
        <w:t xml:space="preserve"> Recurrente</w:t>
      </w:r>
      <w:r w:rsidRPr="00382BE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382BE0"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382BE0" w:rsidRDefault="009E3316" w:rsidP="009E3316">
      <w:pPr>
        <w:spacing w:after="0" w:line="360" w:lineRule="auto"/>
        <w:jc w:val="both"/>
        <w:rPr>
          <w:rFonts w:ascii="Palatino Linotype" w:hAnsi="Palatino Linotype" w:cs="Times New Roman"/>
          <w:sz w:val="24"/>
          <w:szCs w:val="24"/>
          <w:lang w:eastAsia="es-ES_tradnl"/>
        </w:rPr>
      </w:pPr>
      <w:r w:rsidRPr="00382BE0">
        <w:rPr>
          <w:rFonts w:ascii="Palatino Linotype" w:hAnsi="Palatino Linotype" w:cs="Times New Roman"/>
          <w:b/>
          <w:sz w:val="28"/>
          <w:szCs w:val="24"/>
          <w:lang w:eastAsia="es-ES_tradnl"/>
        </w:rPr>
        <w:t>QUINTO</w:t>
      </w:r>
      <w:r w:rsidRPr="00382BE0">
        <w:rPr>
          <w:rFonts w:ascii="Palatino Linotype" w:hAnsi="Palatino Linotype" w:cs="Times New Roman"/>
          <w:b/>
          <w:sz w:val="24"/>
          <w:szCs w:val="24"/>
          <w:lang w:eastAsia="es-ES_tradnl"/>
        </w:rPr>
        <w:t>.</w:t>
      </w:r>
      <w:r w:rsidRPr="00382BE0">
        <w:rPr>
          <w:rFonts w:ascii="Palatino Linotype" w:hAnsi="Palatino Linotype" w:cs="Times New Roman"/>
          <w:sz w:val="24"/>
          <w:szCs w:val="24"/>
          <w:lang w:eastAsia="es-ES_tradnl"/>
        </w:rPr>
        <w:t xml:space="preserve"> </w:t>
      </w:r>
      <w:r w:rsidRPr="00382BE0">
        <w:rPr>
          <w:rFonts w:ascii="Palatino Linotype" w:hAnsi="Palatino Linotype" w:cs="Times New Roman"/>
          <w:b/>
          <w:sz w:val="24"/>
          <w:szCs w:val="24"/>
          <w:lang w:eastAsia="es-ES_tradnl"/>
        </w:rPr>
        <w:t>Notifíquese</w:t>
      </w:r>
      <w:r w:rsidRPr="00382BE0">
        <w:rPr>
          <w:rFonts w:ascii="Palatino Linotype" w:hAnsi="Palatino Linotype" w:cs="Times New Roman"/>
          <w:sz w:val="24"/>
          <w:szCs w:val="24"/>
          <w:lang w:eastAsia="es-ES_tradnl"/>
        </w:rPr>
        <w:t xml:space="preserve"> al </w:t>
      </w:r>
      <w:r w:rsidRPr="00382BE0">
        <w:rPr>
          <w:rFonts w:ascii="Palatino Linotype" w:hAnsi="Palatino Linotype" w:cs="Times New Roman"/>
          <w:b/>
          <w:sz w:val="24"/>
          <w:szCs w:val="24"/>
          <w:lang w:eastAsia="es-ES_tradnl"/>
        </w:rPr>
        <w:t>Recurrente</w:t>
      </w:r>
      <w:r w:rsidRPr="00382BE0">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382BE0">
        <w:rPr>
          <w:rFonts w:ascii="Palatino Linotype" w:hAnsi="Palatino Linotype" w:cs="Times New Roman"/>
          <w:b/>
          <w:sz w:val="24"/>
          <w:szCs w:val="24"/>
          <w:lang w:eastAsia="es-ES_tradnl"/>
        </w:rPr>
        <w:t>Sujeto Obligado</w:t>
      </w:r>
      <w:r w:rsidRPr="00382BE0">
        <w:rPr>
          <w:rFonts w:ascii="Palatino Linotype" w:hAnsi="Palatino Linotype" w:cs="Times New Roman"/>
          <w:sz w:val="24"/>
          <w:szCs w:val="24"/>
          <w:lang w:eastAsia="es-ES_tradnl"/>
        </w:rPr>
        <w:t>, en cumplimiento a esta Resolución.</w:t>
      </w:r>
    </w:p>
    <w:p w14:paraId="5C687485" w14:textId="77777777" w:rsidR="009E3316" w:rsidRPr="00382BE0"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382BE0" w:rsidRDefault="009E3316" w:rsidP="009E3316">
      <w:pPr>
        <w:spacing w:after="0" w:line="360" w:lineRule="auto"/>
        <w:jc w:val="both"/>
        <w:rPr>
          <w:rFonts w:ascii="Palatino Linotype" w:hAnsi="Palatino Linotype"/>
          <w:sz w:val="24"/>
          <w:szCs w:val="24"/>
          <w:lang w:eastAsia="es-ES_tradnl"/>
        </w:rPr>
      </w:pPr>
      <w:r w:rsidRPr="00382BE0">
        <w:rPr>
          <w:rFonts w:ascii="Palatino Linotype" w:hAnsi="Palatino Linotype" w:cs="Times New Roman"/>
          <w:b/>
          <w:sz w:val="28"/>
          <w:szCs w:val="24"/>
          <w:lang w:eastAsia="es-ES_tradnl"/>
        </w:rPr>
        <w:t>SEXTO</w:t>
      </w:r>
      <w:r w:rsidRPr="00382BE0">
        <w:rPr>
          <w:rFonts w:ascii="Palatino Linotype" w:hAnsi="Palatino Linotype" w:cs="Times New Roman"/>
          <w:b/>
          <w:sz w:val="24"/>
          <w:szCs w:val="24"/>
          <w:lang w:eastAsia="es-ES_tradnl"/>
        </w:rPr>
        <w:t xml:space="preserve">. - </w:t>
      </w:r>
      <w:r w:rsidRPr="00382BE0">
        <w:rPr>
          <w:rFonts w:ascii="Palatino Linotype" w:hAnsi="Palatino Linotype"/>
          <w:b/>
          <w:sz w:val="24"/>
          <w:szCs w:val="24"/>
          <w:lang w:eastAsia="es-ES_tradnl"/>
        </w:rPr>
        <w:t xml:space="preserve">Gírese </w:t>
      </w:r>
      <w:r w:rsidRPr="00382BE0">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382BE0">
        <w:rPr>
          <w:rFonts w:ascii="Palatino Linotype" w:hAnsi="Palatino Linotype"/>
          <w:b/>
          <w:bCs/>
          <w:sz w:val="24"/>
          <w:szCs w:val="24"/>
          <w:lang w:eastAsia="es-ES_tradnl"/>
        </w:rPr>
        <w:t>TERCERO</w:t>
      </w:r>
      <w:r w:rsidRPr="00382BE0">
        <w:rPr>
          <w:rFonts w:ascii="Palatino Linotype" w:hAnsi="Palatino Linotype"/>
          <w:sz w:val="24"/>
          <w:szCs w:val="24"/>
          <w:lang w:eastAsia="es-ES_tradnl"/>
        </w:rPr>
        <w:t xml:space="preserve"> de la presente resolución.</w:t>
      </w:r>
    </w:p>
    <w:p w14:paraId="0B8C099F" w14:textId="77777777" w:rsidR="009E3316" w:rsidRPr="00382BE0" w:rsidRDefault="009E3316" w:rsidP="009E3316">
      <w:pPr>
        <w:spacing w:after="0" w:line="360" w:lineRule="auto"/>
        <w:jc w:val="both"/>
        <w:rPr>
          <w:rFonts w:ascii="Palatino Linotype" w:eastAsia="Palatino Linotype" w:hAnsi="Palatino Linotype" w:cs="Palatino Linotype"/>
          <w:sz w:val="24"/>
          <w:szCs w:val="24"/>
        </w:rPr>
      </w:pPr>
    </w:p>
    <w:p w14:paraId="1659C619" w14:textId="4318E6B5" w:rsidR="009E3316" w:rsidRDefault="00382BE0" w:rsidP="009E3316">
      <w:pPr>
        <w:spacing w:after="0" w:line="360" w:lineRule="auto"/>
        <w:jc w:val="both"/>
        <w:rPr>
          <w:rFonts w:ascii="Palatino Linotype" w:eastAsia="Palatino Linotype" w:hAnsi="Palatino Linotype" w:cs="Palatino Linotype"/>
          <w:sz w:val="24"/>
          <w:szCs w:val="24"/>
        </w:rPr>
      </w:pPr>
      <w:r w:rsidRPr="00382BE0">
        <w:rPr>
          <w:rFonts w:ascii="Palatino Linotype" w:eastAsia="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w:t>
      </w:r>
      <w:r w:rsidRPr="00382BE0">
        <w:rPr>
          <w:rFonts w:ascii="Palatino Linotype" w:eastAsia="Palatino Linotype" w:hAnsi="Palatino Linotype" w:cs="Palatino Linotype"/>
          <w:sz w:val="24"/>
          <w:szCs w:val="24"/>
        </w:rPr>
        <w:lastRenderedPageBreak/>
        <w:t>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9E3316" w:rsidRPr="00382BE0">
        <w:rPr>
          <w:rFonts w:ascii="Palatino Linotype" w:eastAsia="Palatino Linotype" w:hAnsi="Palatino Linotype" w:cs="Palatino Linotype"/>
          <w:sz w:val="24"/>
          <w:szCs w:val="24"/>
        </w:rPr>
        <w:t>. ------------------------------------------------------------------------------------------------------------------------------------------------------------------------------------------------------------------------------------------------------------------------------------------------------------------------------------------------------------------------------------------------------------------------------------------</w:t>
      </w:r>
      <w:r w:rsidR="00E47FC8" w:rsidRPr="00382BE0">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A160A" w14:textId="77777777" w:rsidR="00C61478" w:rsidRDefault="00C61478" w:rsidP="009E3316">
      <w:pPr>
        <w:spacing w:after="0" w:line="240" w:lineRule="auto"/>
      </w:pPr>
      <w:r>
        <w:separator/>
      </w:r>
    </w:p>
  </w:endnote>
  <w:endnote w:type="continuationSeparator" w:id="0">
    <w:p w14:paraId="5C08DF62" w14:textId="77777777" w:rsidR="00C61478" w:rsidRDefault="00C61478"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C6303">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C6303">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C630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C6303">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77F45" w14:textId="77777777" w:rsidR="00C61478" w:rsidRDefault="00C61478" w:rsidP="009E3316">
      <w:pPr>
        <w:spacing w:after="0" w:line="240" w:lineRule="auto"/>
      </w:pPr>
      <w:r>
        <w:separator/>
      </w:r>
    </w:p>
  </w:footnote>
  <w:footnote w:type="continuationSeparator" w:id="0">
    <w:p w14:paraId="623FE051" w14:textId="77777777" w:rsidR="00C61478" w:rsidRDefault="00C61478"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378AA71F"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w:t>
          </w:r>
          <w:r w:rsidR="00B542A6">
            <w:rPr>
              <w:rFonts w:ascii="Palatino Linotype" w:eastAsia="Palatino Linotype" w:hAnsi="Palatino Linotype" w:cs="Palatino Linotype"/>
              <w:b/>
              <w:sz w:val="24"/>
              <w:szCs w:val="24"/>
            </w:rPr>
            <w:t>610</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EBCC3D8" w:rsidR="00D53A8A" w:rsidRDefault="009D63A2">
          <w:pPr>
            <w:spacing w:after="120" w:line="256" w:lineRule="auto"/>
            <w:ind w:left="-486" w:right="214" w:firstLine="284"/>
            <w:jc w:val="right"/>
            <w:rPr>
              <w:rFonts w:ascii="Palatino Linotype" w:eastAsia="Palatino Linotype" w:hAnsi="Palatino Linotype" w:cs="Palatino Linotype"/>
              <w:b/>
              <w:sz w:val="24"/>
              <w:szCs w:val="24"/>
            </w:rPr>
          </w:pPr>
          <w:r w:rsidRPr="009D63A2">
            <w:rPr>
              <w:rFonts w:ascii="Palatino Linotype" w:eastAsia="Palatino Linotype" w:hAnsi="Palatino Linotype" w:cs="Palatino Linotype"/>
              <w:b/>
              <w:color w:val="000000"/>
              <w:sz w:val="24"/>
              <w:szCs w:val="24"/>
            </w:rPr>
            <w:t xml:space="preserve">Ayuntamiento de </w:t>
          </w:r>
          <w:r w:rsidR="00D15BED" w:rsidRPr="00D15BED">
            <w:rPr>
              <w:rFonts w:ascii="Palatino Linotype" w:eastAsia="Palatino Linotype" w:hAnsi="Palatino Linotype" w:cs="Palatino Linotype"/>
              <w:b/>
              <w:color w:val="000000"/>
              <w:sz w:val="24"/>
              <w:szCs w:val="24"/>
            </w:rPr>
            <w:t>Huehuetoca</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0FF51EBB"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w:t>
          </w:r>
          <w:r w:rsidR="00B542A6">
            <w:rPr>
              <w:rFonts w:ascii="Palatino Linotype" w:eastAsia="Palatino Linotype" w:hAnsi="Palatino Linotype" w:cs="Palatino Linotype"/>
              <w:b/>
              <w:sz w:val="24"/>
              <w:szCs w:val="24"/>
            </w:rPr>
            <w:t>610</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7EC273AC" w:rsidR="00D53A8A" w:rsidRDefault="009D63A2">
          <w:pPr>
            <w:spacing w:after="120" w:line="256" w:lineRule="auto"/>
            <w:ind w:left="-486" w:right="214" w:firstLine="284"/>
            <w:jc w:val="right"/>
            <w:rPr>
              <w:rFonts w:ascii="Palatino Linotype" w:eastAsia="Palatino Linotype" w:hAnsi="Palatino Linotype" w:cs="Palatino Linotype"/>
              <w:b/>
            </w:rPr>
          </w:pPr>
          <w:r w:rsidRPr="009D63A2">
            <w:rPr>
              <w:rFonts w:ascii="Palatino Linotype" w:eastAsia="Palatino Linotype" w:hAnsi="Palatino Linotype" w:cs="Palatino Linotype"/>
              <w:b/>
              <w:color w:val="000000"/>
              <w:sz w:val="24"/>
              <w:szCs w:val="24"/>
            </w:rPr>
            <w:t xml:space="preserve">Ayuntamiento de </w:t>
          </w:r>
          <w:r w:rsidR="00D15BED" w:rsidRPr="00D15BED">
            <w:rPr>
              <w:rFonts w:ascii="Palatino Linotype" w:eastAsia="Palatino Linotype" w:hAnsi="Palatino Linotype" w:cs="Palatino Linotype"/>
              <w:b/>
              <w:color w:val="000000"/>
              <w:sz w:val="24"/>
              <w:szCs w:val="24"/>
            </w:rPr>
            <w:t>Huehuetoca</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78BF4046" w:rsidR="00D53A8A" w:rsidRDefault="00BC6303">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32380"/>
    <w:rsid w:val="000339BD"/>
    <w:rsid w:val="00037DD8"/>
    <w:rsid w:val="00057631"/>
    <w:rsid w:val="00095930"/>
    <w:rsid w:val="000B1D91"/>
    <w:rsid w:val="000E25FB"/>
    <w:rsid w:val="000E32FB"/>
    <w:rsid w:val="00126513"/>
    <w:rsid w:val="001408BE"/>
    <w:rsid w:val="00167DB6"/>
    <w:rsid w:val="00177CF2"/>
    <w:rsid w:val="001B3FA8"/>
    <w:rsid w:val="001D45A2"/>
    <w:rsid w:val="001E197F"/>
    <w:rsid w:val="001F682C"/>
    <w:rsid w:val="001F7C0B"/>
    <w:rsid w:val="00281BE1"/>
    <w:rsid w:val="002A188B"/>
    <w:rsid w:val="002B3598"/>
    <w:rsid w:val="002D2141"/>
    <w:rsid w:val="002D639D"/>
    <w:rsid w:val="00326AAC"/>
    <w:rsid w:val="0034213D"/>
    <w:rsid w:val="00373129"/>
    <w:rsid w:val="003818FE"/>
    <w:rsid w:val="00382BE0"/>
    <w:rsid w:val="00385493"/>
    <w:rsid w:val="0038572D"/>
    <w:rsid w:val="00386954"/>
    <w:rsid w:val="003D47BE"/>
    <w:rsid w:val="003F23F0"/>
    <w:rsid w:val="004034C3"/>
    <w:rsid w:val="00405799"/>
    <w:rsid w:val="00451211"/>
    <w:rsid w:val="00454597"/>
    <w:rsid w:val="00483692"/>
    <w:rsid w:val="004A4A57"/>
    <w:rsid w:val="004B79F5"/>
    <w:rsid w:val="004C7FCA"/>
    <w:rsid w:val="004D5D06"/>
    <w:rsid w:val="0050508E"/>
    <w:rsid w:val="005740DF"/>
    <w:rsid w:val="005B34B6"/>
    <w:rsid w:val="005D1BC7"/>
    <w:rsid w:val="00604949"/>
    <w:rsid w:val="00626129"/>
    <w:rsid w:val="00636694"/>
    <w:rsid w:val="00637809"/>
    <w:rsid w:val="00640ABD"/>
    <w:rsid w:val="00662649"/>
    <w:rsid w:val="00664255"/>
    <w:rsid w:val="006962E2"/>
    <w:rsid w:val="006A5601"/>
    <w:rsid w:val="006A56B5"/>
    <w:rsid w:val="006B07F0"/>
    <w:rsid w:val="00751EC2"/>
    <w:rsid w:val="007B0A03"/>
    <w:rsid w:val="00845EA7"/>
    <w:rsid w:val="008D5AEB"/>
    <w:rsid w:val="00905EB8"/>
    <w:rsid w:val="00910898"/>
    <w:rsid w:val="009520BB"/>
    <w:rsid w:val="00976F5B"/>
    <w:rsid w:val="009A25D4"/>
    <w:rsid w:val="009B12A2"/>
    <w:rsid w:val="009B36C9"/>
    <w:rsid w:val="009D63A2"/>
    <w:rsid w:val="009D69A3"/>
    <w:rsid w:val="009D6E62"/>
    <w:rsid w:val="009E3316"/>
    <w:rsid w:val="00A503B2"/>
    <w:rsid w:val="00A52F6C"/>
    <w:rsid w:val="00A8301C"/>
    <w:rsid w:val="00B171BF"/>
    <w:rsid w:val="00B22CF1"/>
    <w:rsid w:val="00B25F4B"/>
    <w:rsid w:val="00B34752"/>
    <w:rsid w:val="00B4539B"/>
    <w:rsid w:val="00B542A6"/>
    <w:rsid w:val="00BC5A0C"/>
    <w:rsid w:val="00BC6303"/>
    <w:rsid w:val="00C61478"/>
    <w:rsid w:val="00C755AE"/>
    <w:rsid w:val="00C76A30"/>
    <w:rsid w:val="00C83432"/>
    <w:rsid w:val="00C9156C"/>
    <w:rsid w:val="00CB7BE0"/>
    <w:rsid w:val="00D01584"/>
    <w:rsid w:val="00D0571D"/>
    <w:rsid w:val="00D15BED"/>
    <w:rsid w:val="00D53A8A"/>
    <w:rsid w:val="00D6696B"/>
    <w:rsid w:val="00DA20B5"/>
    <w:rsid w:val="00E206A4"/>
    <w:rsid w:val="00E2615D"/>
    <w:rsid w:val="00E47FC8"/>
    <w:rsid w:val="00E97113"/>
    <w:rsid w:val="00EB5F5B"/>
    <w:rsid w:val="00F24385"/>
    <w:rsid w:val="00F424DB"/>
    <w:rsid w:val="00F50861"/>
    <w:rsid w:val="00F516CC"/>
    <w:rsid w:val="00F65063"/>
    <w:rsid w:val="00FA157C"/>
    <w:rsid w:val="00FA35DC"/>
    <w:rsid w:val="00FF7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4002</Words>
  <Characters>22011</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12</cp:revision>
  <cp:lastPrinted>2026-05-14T19:46:00Z</cp:lastPrinted>
  <dcterms:created xsi:type="dcterms:W3CDTF">2026-04-23T17:59:00Z</dcterms:created>
  <dcterms:modified xsi:type="dcterms:W3CDTF">2026-05-19T16:16:00Z</dcterms:modified>
</cp:coreProperties>
</file>