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866A41" w:rsidRDefault="001E3125">
      <w:pPr>
        <w:spacing w:line="360" w:lineRule="auto"/>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66A41">
        <w:rPr>
          <w:rFonts w:ascii="Palatino Linotype" w:eastAsia="Palatino Linotype" w:hAnsi="Palatino Linotype" w:cs="Palatino Linotype"/>
          <w:b/>
        </w:rPr>
        <w:t xml:space="preserve">de fecha </w:t>
      </w:r>
      <w:r w:rsidR="0011254F" w:rsidRPr="00866A41">
        <w:rPr>
          <w:rFonts w:ascii="Palatino Linotype" w:eastAsia="Palatino Linotype" w:hAnsi="Palatino Linotype" w:cs="Palatino Linotype"/>
          <w:b/>
        </w:rPr>
        <w:t xml:space="preserve">veintiuno </w:t>
      </w:r>
      <w:r w:rsidR="00866A41" w:rsidRPr="00866A41">
        <w:rPr>
          <w:rFonts w:ascii="Palatino Linotype" w:eastAsia="Palatino Linotype" w:hAnsi="Palatino Linotype" w:cs="Palatino Linotype"/>
          <w:b/>
        </w:rPr>
        <w:t xml:space="preserve">(21) </w:t>
      </w:r>
      <w:r w:rsidR="0011254F" w:rsidRPr="00866A41">
        <w:rPr>
          <w:rFonts w:ascii="Palatino Linotype" w:eastAsia="Palatino Linotype" w:hAnsi="Palatino Linotype" w:cs="Palatino Linotype"/>
          <w:b/>
        </w:rPr>
        <w:t>de enero de dos mil veintiséis</w:t>
      </w:r>
      <w:r w:rsidRPr="00866A41">
        <w:rPr>
          <w:rFonts w:ascii="Palatino Linotype" w:eastAsia="Palatino Linotype" w:hAnsi="Palatino Linotype" w:cs="Palatino Linotype"/>
          <w:b/>
        </w:rPr>
        <w:t>.</w:t>
      </w:r>
    </w:p>
    <w:p w:rsidR="00E94D86" w:rsidRPr="00866A41" w:rsidRDefault="00E94D86" w:rsidP="00A30F8D">
      <w:pPr>
        <w:jc w:val="both"/>
        <w:rPr>
          <w:rFonts w:ascii="Palatino Linotype" w:eastAsia="Palatino Linotype" w:hAnsi="Palatino Linotype" w:cs="Palatino Linotype"/>
        </w:rPr>
      </w:pPr>
    </w:p>
    <w:p w:rsidR="00E94D86" w:rsidRPr="00866A41" w:rsidRDefault="001E3125">
      <w:pPr>
        <w:spacing w:line="360" w:lineRule="auto"/>
        <w:jc w:val="both"/>
        <w:rPr>
          <w:rFonts w:ascii="Palatino Linotype" w:eastAsia="Palatino Linotype" w:hAnsi="Palatino Linotype" w:cs="Palatino Linotype"/>
        </w:rPr>
      </w:pPr>
      <w:r w:rsidRPr="00866A41">
        <w:rPr>
          <w:rFonts w:ascii="Palatino Linotype" w:eastAsia="Palatino Linotype" w:hAnsi="Palatino Linotype" w:cs="Palatino Linotype"/>
          <w:b/>
        </w:rPr>
        <w:t>VISTO</w:t>
      </w:r>
      <w:r w:rsidRPr="00866A41">
        <w:rPr>
          <w:rFonts w:ascii="Palatino Linotype" w:eastAsia="Palatino Linotype" w:hAnsi="Palatino Linotype" w:cs="Palatino Linotype"/>
        </w:rPr>
        <w:t xml:space="preserve"> el expediente electrónico formado con motivo del recurso de revisión </w:t>
      </w:r>
      <w:r w:rsidR="0011254F" w:rsidRPr="00866A41">
        <w:rPr>
          <w:rFonts w:ascii="Palatino Linotype" w:eastAsia="Palatino Linotype" w:hAnsi="Palatino Linotype" w:cs="Palatino Linotype"/>
          <w:b/>
        </w:rPr>
        <w:t>10088</w:t>
      </w:r>
      <w:r w:rsidR="000067CB" w:rsidRPr="00866A41">
        <w:rPr>
          <w:rFonts w:ascii="Palatino Linotype" w:eastAsia="Palatino Linotype" w:hAnsi="Palatino Linotype" w:cs="Palatino Linotype"/>
          <w:b/>
        </w:rPr>
        <w:t>/INFOEM/IP/RR/2025</w:t>
      </w:r>
      <w:r w:rsidRPr="00866A41">
        <w:rPr>
          <w:rFonts w:ascii="Palatino Linotype" w:eastAsia="Palatino Linotype" w:hAnsi="Palatino Linotype" w:cs="Palatino Linotype"/>
          <w:b/>
        </w:rPr>
        <w:t xml:space="preserve">, </w:t>
      </w:r>
      <w:r w:rsidRPr="00866A41">
        <w:rPr>
          <w:rFonts w:ascii="Palatino Linotype" w:eastAsia="Palatino Linotype" w:hAnsi="Palatino Linotype" w:cs="Palatino Linotype"/>
        </w:rPr>
        <w:t>promovido por</w:t>
      </w:r>
      <w:r w:rsidR="004401C8" w:rsidRPr="00866A41">
        <w:rPr>
          <w:rFonts w:ascii="Palatino Linotype" w:eastAsia="Palatino Linotype" w:hAnsi="Palatino Linotype" w:cs="Palatino Linotype"/>
        </w:rPr>
        <w:t xml:space="preserve"> </w:t>
      </w:r>
      <w:r w:rsidR="008F68C2">
        <w:rPr>
          <w:rFonts w:ascii="Palatino Linotype" w:eastAsia="Palatino Linotype" w:hAnsi="Palatino Linotype" w:cs="Palatino Linotype"/>
          <w:b/>
        </w:rPr>
        <w:t>XXXX</w:t>
      </w:r>
      <w:r w:rsidR="000067CB" w:rsidRPr="00866A41">
        <w:rPr>
          <w:rFonts w:ascii="Palatino Linotype" w:eastAsia="Palatino Linotype" w:hAnsi="Palatino Linotype" w:cs="Palatino Linotype"/>
          <w:b/>
        </w:rPr>
        <w:t>,</w:t>
      </w:r>
      <w:r w:rsidR="000067CB" w:rsidRPr="00866A41">
        <w:rPr>
          <w:rFonts w:ascii="Palatino Linotype" w:eastAsia="Palatino Linotype" w:hAnsi="Palatino Linotype" w:cs="Palatino Linotype"/>
        </w:rPr>
        <w:t xml:space="preserve"> en lo sucesivo el</w:t>
      </w:r>
      <w:r w:rsidR="004401C8" w:rsidRPr="00866A41">
        <w:rPr>
          <w:rFonts w:ascii="Palatino Linotype" w:eastAsia="Palatino Linotype" w:hAnsi="Palatino Linotype" w:cs="Palatino Linotype"/>
          <w:b/>
        </w:rPr>
        <w:t xml:space="preserve"> RECURRENTE</w:t>
      </w:r>
      <w:r w:rsidRPr="00866A41">
        <w:rPr>
          <w:rFonts w:ascii="Palatino Linotype" w:eastAsia="Palatino Linotype" w:hAnsi="Palatino Linotype" w:cs="Palatino Linotype"/>
          <w:b/>
        </w:rPr>
        <w:t>,</w:t>
      </w:r>
      <w:r w:rsidRPr="00866A41">
        <w:rPr>
          <w:rFonts w:ascii="Palatino Linotype" w:eastAsia="Palatino Linotype" w:hAnsi="Palatino Linotype" w:cs="Palatino Linotype"/>
        </w:rPr>
        <w:t xml:space="preserve"> en contra de la respuesta de</w:t>
      </w:r>
      <w:r w:rsidR="000067CB" w:rsidRPr="00866A41">
        <w:rPr>
          <w:rFonts w:ascii="Palatino Linotype" w:eastAsia="Palatino Linotype" w:hAnsi="Palatino Linotype" w:cs="Palatino Linotype"/>
        </w:rPr>
        <w:t>l</w:t>
      </w:r>
      <w:r w:rsidR="00BE4003" w:rsidRPr="00866A41">
        <w:rPr>
          <w:rFonts w:ascii="Palatino Linotype" w:eastAsia="Palatino Linotype" w:hAnsi="Palatino Linotype" w:cs="Palatino Linotype"/>
        </w:rPr>
        <w:t xml:space="preserve"> </w:t>
      </w:r>
      <w:r w:rsidR="0011254F" w:rsidRPr="00866A41">
        <w:rPr>
          <w:rFonts w:ascii="Palatino Linotype" w:eastAsia="Palatino Linotype" w:hAnsi="Palatino Linotype" w:cs="Palatino Linotype"/>
          <w:b/>
        </w:rPr>
        <w:t xml:space="preserve">Sistema Municipal para el Desarrollo Integral de la Familia </w:t>
      </w:r>
      <w:r w:rsidR="00EC726C" w:rsidRPr="00866A41">
        <w:rPr>
          <w:rFonts w:ascii="Palatino Linotype" w:eastAsia="Palatino Linotype" w:hAnsi="Palatino Linotype" w:cs="Palatino Linotype"/>
          <w:b/>
        </w:rPr>
        <w:t>de Chicoloapan</w:t>
      </w:r>
      <w:r w:rsidRPr="00866A41">
        <w:rPr>
          <w:rFonts w:ascii="Palatino Linotype" w:eastAsia="Palatino Linotype" w:hAnsi="Palatino Linotype" w:cs="Palatino Linotype"/>
          <w:b/>
        </w:rPr>
        <w:t xml:space="preserve">, </w:t>
      </w:r>
      <w:r w:rsidR="00866A41">
        <w:rPr>
          <w:rFonts w:ascii="Palatino Linotype" w:eastAsia="Palatino Linotype" w:hAnsi="Palatino Linotype" w:cs="Palatino Linotype"/>
        </w:rPr>
        <w:t>en adelante</w:t>
      </w:r>
      <w:r w:rsidRPr="00866A41">
        <w:rPr>
          <w:rFonts w:ascii="Palatino Linotype" w:eastAsia="Palatino Linotype" w:hAnsi="Palatino Linotype" w:cs="Palatino Linotype"/>
        </w:rPr>
        <w:t xml:space="preserve"> el</w:t>
      </w:r>
      <w:r w:rsidRPr="00866A41">
        <w:rPr>
          <w:rFonts w:ascii="Palatino Linotype" w:eastAsia="Palatino Linotype" w:hAnsi="Palatino Linotype" w:cs="Palatino Linotype"/>
          <w:b/>
        </w:rPr>
        <w:t xml:space="preserve"> SUJETO OBLIGADO</w:t>
      </w:r>
      <w:r w:rsidRPr="00866A41">
        <w:rPr>
          <w:rFonts w:ascii="Palatino Linotype" w:eastAsia="Palatino Linotype" w:hAnsi="Palatino Linotype" w:cs="Palatino Linotype"/>
        </w:rPr>
        <w:t>, por lo que se procede a dictar la presente resolución, con base en los siguientes:</w:t>
      </w:r>
    </w:p>
    <w:p w:rsidR="00E94D86" w:rsidRPr="00866A41" w:rsidRDefault="00E94D86" w:rsidP="00A30F8D">
      <w:pPr>
        <w:jc w:val="both"/>
        <w:rPr>
          <w:rFonts w:ascii="Palatino Linotype" w:eastAsia="Palatino Linotype" w:hAnsi="Palatino Linotype" w:cs="Palatino Linotype"/>
        </w:rPr>
      </w:pPr>
    </w:p>
    <w:p w:rsidR="00E94D86" w:rsidRPr="00866A41" w:rsidRDefault="001E3125">
      <w:pPr>
        <w:keepNext/>
        <w:keepLines/>
        <w:spacing w:line="360" w:lineRule="auto"/>
        <w:jc w:val="center"/>
        <w:rPr>
          <w:rFonts w:ascii="Palatino Linotype" w:eastAsia="Palatino Linotype" w:hAnsi="Palatino Linotype" w:cs="Palatino Linotype"/>
          <w:b/>
        </w:rPr>
      </w:pPr>
      <w:r w:rsidRPr="00866A41">
        <w:rPr>
          <w:rFonts w:ascii="Palatino Linotype" w:eastAsia="Palatino Linotype" w:hAnsi="Palatino Linotype" w:cs="Palatino Linotype"/>
          <w:b/>
        </w:rPr>
        <w:t>A N T E C E D E N T E S</w:t>
      </w:r>
    </w:p>
    <w:p w:rsidR="00E94D86" w:rsidRPr="00866A41" w:rsidRDefault="00E94D86" w:rsidP="00A30F8D">
      <w:pPr>
        <w:rPr>
          <w:rFonts w:ascii="Palatino Linotype" w:eastAsia="Palatino Linotype" w:hAnsi="Palatino Linotype" w:cs="Palatino Linotype"/>
        </w:rPr>
      </w:pPr>
    </w:p>
    <w:p w:rsidR="00E94D86" w:rsidRPr="00866A41" w:rsidRDefault="001E3125">
      <w:pPr>
        <w:numPr>
          <w:ilvl w:val="0"/>
          <w:numId w:val="1"/>
        </w:numPr>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El </w:t>
      </w:r>
      <w:r w:rsidR="00EC726C" w:rsidRPr="00866A41">
        <w:rPr>
          <w:rFonts w:ascii="Palatino Linotype" w:eastAsia="Palatino Linotype" w:hAnsi="Palatino Linotype" w:cs="Palatino Linotype"/>
          <w:b/>
        </w:rPr>
        <w:t xml:space="preserve">siete de julio </w:t>
      </w:r>
      <w:r w:rsidR="000067CB"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 la</w:t>
      </w:r>
      <w:r w:rsidRPr="00866A41">
        <w:rPr>
          <w:rFonts w:ascii="Palatino Linotype" w:eastAsia="Palatino Linotype" w:hAnsi="Palatino Linotype" w:cs="Palatino Linotype"/>
          <w:b/>
        </w:rPr>
        <w:t xml:space="preserve"> RECURRENTE </w:t>
      </w:r>
      <w:r w:rsidRPr="00866A41">
        <w:rPr>
          <w:rFonts w:ascii="Palatino Linotype" w:eastAsia="Palatino Linotype" w:hAnsi="Palatino Linotype" w:cs="Palatino Linotype"/>
        </w:rPr>
        <w:t xml:space="preserve">presentó ante 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a través del el Sistema de Acceso a la Información Mexiquense </w:t>
      </w:r>
      <w:r w:rsidRPr="00866A41">
        <w:rPr>
          <w:rFonts w:ascii="Palatino Linotype" w:eastAsia="Palatino Linotype" w:hAnsi="Palatino Linotype" w:cs="Palatino Linotype"/>
          <w:b/>
        </w:rPr>
        <w:t>(SAIMEX),</w:t>
      </w:r>
      <w:r w:rsidRPr="00866A41">
        <w:rPr>
          <w:rFonts w:ascii="Palatino Linotype" w:eastAsia="Palatino Linotype" w:hAnsi="Palatino Linotype" w:cs="Palatino Linotype"/>
        </w:rPr>
        <w:t xml:space="preserve"> la solicitud de información pública </w:t>
      </w:r>
      <w:r w:rsidR="0011254F" w:rsidRPr="00866A41">
        <w:rPr>
          <w:rFonts w:ascii="Palatino Linotype" w:eastAsia="Palatino Linotype" w:hAnsi="Palatino Linotype" w:cs="Palatino Linotype"/>
          <w:b/>
        </w:rPr>
        <w:t>00019</w:t>
      </w:r>
      <w:r w:rsidRPr="00866A41">
        <w:rPr>
          <w:rFonts w:ascii="Palatino Linotype" w:eastAsia="Palatino Linotype" w:hAnsi="Palatino Linotype" w:cs="Palatino Linotype"/>
          <w:b/>
        </w:rPr>
        <w:t>/</w:t>
      </w:r>
      <w:r w:rsidR="0011254F" w:rsidRPr="00866A41">
        <w:rPr>
          <w:rFonts w:ascii="Palatino Linotype" w:eastAsia="Palatino Linotype" w:hAnsi="Palatino Linotype" w:cs="Palatino Linotype"/>
          <w:b/>
        </w:rPr>
        <w:t>DIF</w:t>
      </w:r>
      <w:r w:rsidR="00EC726C" w:rsidRPr="00866A41">
        <w:rPr>
          <w:rFonts w:ascii="Palatino Linotype" w:eastAsia="Palatino Linotype" w:hAnsi="Palatino Linotype" w:cs="Palatino Linotype"/>
          <w:b/>
        </w:rPr>
        <w:t>CHICOLO</w:t>
      </w:r>
      <w:r w:rsidR="000067CB" w:rsidRPr="00866A41">
        <w:rPr>
          <w:rFonts w:ascii="Palatino Linotype" w:eastAsia="Palatino Linotype" w:hAnsi="Palatino Linotype" w:cs="Palatino Linotype"/>
          <w:b/>
        </w:rPr>
        <w:t>/IP/2025</w:t>
      </w:r>
      <w:r w:rsidRPr="00866A41">
        <w:rPr>
          <w:rFonts w:ascii="Palatino Linotype" w:eastAsia="Palatino Linotype" w:hAnsi="Palatino Linotype" w:cs="Palatino Linotype"/>
        </w:rPr>
        <w:t>, en la que solicitó:</w:t>
      </w:r>
    </w:p>
    <w:p w:rsidR="00E94D86" w:rsidRPr="00866A41" w:rsidRDefault="00E94D86" w:rsidP="00A30F8D">
      <w:pPr>
        <w:jc w:val="both"/>
        <w:rPr>
          <w:rFonts w:ascii="Palatino Linotype" w:eastAsia="Palatino Linotype" w:hAnsi="Palatino Linotype" w:cs="Palatino Linotype"/>
        </w:rPr>
      </w:pPr>
    </w:p>
    <w:p w:rsidR="006E5F99" w:rsidRPr="00866A41" w:rsidRDefault="001E3125" w:rsidP="003A2DC2">
      <w:pPr>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w:t>
      </w:r>
      <w:r w:rsidR="00EC726C" w:rsidRPr="00866A41">
        <w:rPr>
          <w:rFonts w:ascii="Palatino Linotype" w:eastAsia="Palatino Linotype" w:hAnsi="Palatino Linotype" w:cs="Palatino Linotype"/>
          <w:i/>
          <w:color w:val="000000"/>
        </w:rPr>
        <w:t xml:space="preserve">Se </w:t>
      </w:r>
      <w:r w:rsidR="0011254F" w:rsidRPr="00866A41">
        <w:rPr>
          <w:rFonts w:ascii="Palatino Linotype" w:eastAsia="Palatino Linotype" w:hAnsi="Palatino Linotype" w:cs="Palatino Linotype"/>
          <w:i/>
          <w:color w:val="000000"/>
        </w:rPr>
        <w:t>le solicita al gobierno del municipio de Chicoloapan, Estado de México, a través del Sistema municipal DIF de Chicoloapan, proporcione por este medio el cumplimiento del artículo 32 de la Ley Orgánica Municipal del Estado de México vigente, en sus siete fracciones del actual Director General del Sistema municipal DIF de Chicoloapan, así como la exhibición en copia simple por este medio de cada uno de los documentos que dan cumplimiento a esos siete apretados. Lo anterior una vez completado el termino de ley señalado por el articulo mencionado de la Ley citada.</w:t>
      </w:r>
      <w:r w:rsidRPr="00866A41">
        <w:rPr>
          <w:rFonts w:ascii="Palatino Linotype" w:eastAsia="Palatino Linotype" w:hAnsi="Palatino Linotype" w:cs="Palatino Linotype"/>
          <w:i/>
          <w:color w:val="000000"/>
        </w:rPr>
        <w:t xml:space="preserve">” (Sic) </w:t>
      </w:r>
    </w:p>
    <w:p w:rsidR="00E94D86" w:rsidRDefault="00E94D86" w:rsidP="00A30F8D">
      <w:pPr>
        <w:pBdr>
          <w:top w:val="nil"/>
          <w:left w:val="nil"/>
          <w:bottom w:val="nil"/>
          <w:right w:val="nil"/>
          <w:between w:val="nil"/>
        </w:pBdr>
        <w:jc w:val="both"/>
        <w:rPr>
          <w:rFonts w:ascii="Palatino Linotype" w:eastAsia="Palatino Linotype" w:hAnsi="Palatino Linotype" w:cs="Palatino Linotype"/>
          <w:color w:val="000000"/>
        </w:rPr>
      </w:pPr>
    </w:p>
    <w:p w:rsidR="00866A41" w:rsidRDefault="00866A41" w:rsidP="00A30F8D">
      <w:pPr>
        <w:pBdr>
          <w:top w:val="nil"/>
          <w:left w:val="nil"/>
          <w:bottom w:val="nil"/>
          <w:right w:val="nil"/>
          <w:between w:val="nil"/>
        </w:pBdr>
        <w:jc w:val="both"/>
        <w:rPr>
          <w:rFonts w:ascii="Palatino Linotype" w:eastAsia="Palatino Linotype" w:hAnsi="Palatino Linotype" w:cs="Palatino Linotype"/>
          <w:color w:val="000000"/>
        </w:rPr>
      </w:pPr>
    </w:p>
    <w:p w:rsidR="00866A41" w:rsidRPr="00866A41" w:rsidRDefault="00866A41" w:rsidP="00A30F8D">
      <w:pPr>
        <w:pBdr>
          <w:top w:val="nil"/>
          <w:left w:val="nil"/>
          <w:bottom w:val="nil"/>
          <w:right w:val="nil"/>
          <w:between w:val="nil"/>
        </w:pBdr>
        <w:jc w:val="both"/>
        <w:rPr>
          <w:rFonts w:ascii="Palatino Linotype" w:eastAsia="Palatino Linotype" w:hAnsi="Palatino Linotype" w:cs="Palatino Linotype"/>
          <w:color w:val="000000"/>
        </w:rPr>
      </w:pPr>
    </w:p>
    <w:p w:rsidR="00E94D86" w:rsidRPr="00866A41" w:rsidRDefault="001E3125" w:rsidP="004414BC">
      <w:pPr>
        <w:numPr>
          <w:ilvl w:val="0"/>
          <w:numId w:val="1"/>
        </w:numPr>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Se hace constar que se señaló como modalidad de entrega de la información a través del </w:t>
      </w:r>
      <w:r w:rsidR="00A22674" w:rsidRPr="00866A41">
        <w:rPr>
          <w:rFonts w:ascii="Palatino Linotype" w:eastAsia="Palatino Linotype" w:hAnsi="Palatino Linotype" w:cs="Palatino Linotype"/>
          <w:b/>
        </w:rPr>
        <w:t>SAIMEX.</w:t>
      </w:r>
    </w:p>
    <w:p w:rsidR="00E94D86" w:rsidRPr="00866A41" w:rsidRDefault="00E94D86" w:rsidP="00A30F8D">
      <w:pPr>
        <w:jc w:val="both"/>
        <w:rPr>
          <w:rFonts w:ascii="Palatino Linotype" w:eastAsia="Palatino Linotype" w:hAnsi="Palatino Linotype" w:cs="Palatino Linotype"/>
          <w:b/>
        </w:rPr>
      </w:pPr>
    </w:p>
    <w:p w:rsidR="00E94D86" w:rsidRPr="00866A41" w:rsidRDefault="001E3125" w:rsidP="004414BC">
      <w:pPr>
        <w:numPr>
          <w:ilvl w:val="0"/>
          <w:numId w:val="1"/>
        </w:numPr>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lastRenderedPageBreak/>
        <w:t xml:space="preserve">El </w:t>
      </w:r>
      <w:r w:rsidR="0011254F" w:rsidRPr="00866A41">
        <w:rPr>
          <w:rFonts w:ascii="Palatino Linotype" w:eastAsia="Palatino Linotype" w:hAnsi="Palatino Linotype" w:cs="Palatino Linotype"/>
          <w:b/>
        </w:rPr>
        <w:t xml:space="preserve">doce de agosto </w:t>
      </w:r>
      <w:r w:rsidR="000067CB"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 xml:space="preserve">, 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b/>
          <w:i/>
        </w:rPr>
        <w:t xml:space="preserve"> </w:t>
      </w:r>
      <w:r w:rsidRPr="00866A41">
        <w:rPr>
          <w:rFonts w:ascii="Palatino Linotype" w:eastAsia="Palatino Linotype" w:hAnsi="Palatino Linotype" w:cs="Palatino Linotype"/>
        </w:rPr>
        <w:t>dio respuesta a la solicitud de información, en los siguientes términos:</w:t>
      </w:r>
    </w:p>
    <w:p w:rsidR="00E94D86" w:rsidRPr="00866A41" w:rsidRDefault="000067CB" w:rsidP="0011254F">
      <w:pPr>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w:t>
      </w:r>
      <w:r w:rsidR="0011254F" w:rsidRPr="00866A41">
        <w:rPr>
          <w:rFonts w:ascii="Palatino Linotype" w:eastAsia="Palatino Linotype" w:hAnsi="Palatino Linotype" w:cs="Palatino Linotype"/>
          <w:i/>
          <w:color w:val="000000"/>
        </w:rPr>
        <w:t>C. DANIELA TRAPAGA FABILA RESPONSABLE DEL DEPARTAMENTO DE TRANSPARENCIA DEL SISTEMA MUNICIPAL DIF DE CHICOLOAPAN P R E S E N T E Por medio de la presente le envío un cordial saludo y toda vez que mediante oficio SMDIFCH/UT/71/2025 por el cual solicito información pública bajo el folio 00019/DIFCHICOLO/IP/2025, me permito anexar Copia simple de los documentos que da cumplimiento a los 7 requisitos del artículo 32 de la Ley Orgánica Municipal del estado de México vigente, dichos requisitos de la actual Directora del Sistema Municipal para el Desarrollo Integral de la Familia de Chicoloapan. Conforme a lo establecido en la LEY QUE CREA LOS ORGANISMOS PÚBLICOS DESCENTRALIZADOS DE ASISTENCIA SOCIAL, DE CARÁCTER MUNICIPAL, DENOMINADOS "SISTEMAS MUNICIPALES PARA EL DESARROLLO INTEGRAL DE LA FAMILIA", la LEY DE ASISTENCIA SOCIAL DEL ESTADO DE MÉXICO Y MUNICIPIOS y LA LEY ORGÁNICA MUNICIPAL DEL ESTADO DE MÉXICO. Sin otro particular le agradezco la atención que se sirva brindar a la presente, quedando a disposición para cualquier duda o aclaración. A T E N T A M E N T E Ing. Susana Olvera Contreras TITULAR DEL DEPARTAMENTO DE RECURSOS HUMANOS DEL SISTEMA MUNICIPAL PARA EL DESARROLLO INTEGRAL DE LA FAMILIA DE CHICOLOAPAN.</w:t>
      </w:r>
      <w:r w:rsidR="001E3125" w:rsidRPr="00866A41">
        <w:rPr>
          <w:rFonts w:ascii="Palatino Linotype" w:eastAsia="Palatino Linotype" w:hAnsi="Palatino Linotype" w:cs="Palatino Linotype"/>
          <w:i/>
          <w:color w:val="000000"/>
        </w:rPr>
        <w:t>” (Sic)</w:t>
      </w:r>
      <w:r w:rsidR="00BE4003" w:rsidRPr="00866A41">
        <w:rPr>
          <w:rFonts w:ascii="Palatino Linotype" w:eastAsia="Palatino Linotype" w:hAnsi="Palatino Linotype" w:cs="Palatino Linotype"/>
          <w:i/>
          <w:color w:val="000000"/>
        </w:rPr>
        <w:t xml:space="preserve"> </w:t>
      </w:r>
    </w:p>
    <w:p w:rsidR="00FC50EC" w:rsidRPr="00866A41" w:rsidRDefault="00FC50EC" w:rsidP="000067CB">
      <w:pPr>
        <w:ind w:right="710"/>
        <w:jc w:val="both"/>
        <w:rPr>
          <w:rFonts w:ascii="Palatino Linotype" w:eastAsia="Palatino Linotype" w:hAnsi="Palatino Linotype" w:cs="Palatino Linotype"/>
          <w:i/>
          <w:color w:val="000000"/>
        </w:rPr>
      </w:pPr>
    </w:p>
    <w:p w:rsidR="0011254F" w:rsidRPr="00866A41" w:rsidRDefault="0011254F" w:rsidP="0011254F">
      <w:pPr>
        <w:ind w:right="257"/>
        <w:jc w:val="both"/>
        <w:rPr>
          <w:rFonts w:ascii="Palatino Linotype" w:hAnsi="Palatino Linotype"/>
        </w:rPr>
      </w:pPr>
      <w:r w:rsidRPr="00866A41">
        <w:rPr>
          <w:rFonts w:ascii="Palatino Linotype" w:eastAsia="Palatino Linotype" w:hAnsi="Palatino Linotype" w:cs="Palatino Linotype"/>
        </w:rPr>
        <w:t>A la respuesta adjunta el a</w:t>
      </w:r>
      <w:r w:rsidR="001E3125" w:rsidRPr="00866A41">
        <w:rPr>
          <w:rFonts w:ascii="Palatino Linotype" w:eastAsia="Palatino Linotype" w:hAnsi="Palatino Linotype" w:cs="Palatino Linotype"/>
        </w:rPr>
        <w:t>rchivo</w:t>
      </w:r>
      <w:r w:rsidR="00B620ED" w:rsidRPr="00866A41">
        <w:rPr>
          <w:rFonts w:ascii="Palatino Linotype" w:eastAsia="Palatino Linotype" w:hAnsi="Palatino Linotype" w:cs="Palatino Linotype"/>
        </w:rPr>
        <w:t xml:space="preserve"> electrónico </w:t>
      </w:r>
      <w:r w:rsidRPr="00866A41">
        <w:rPr>
          <w:rFonts w:ascii="Palatino Linotype" w:eastAsia="Palatino Linotype" w:hAnsi="Palatino Linotype" w:cs="Palatino Linotype"/>
        </w:rPr>
        <w:t xml:space="preserve">denominado </w:t>
      </w:r>
      <w:r w:rsidRPr="00866A41">
        <w:rPr>
          <w:rStyle w:val="Hipervnculo"/>
          <w:rFonts w:ascii="Palatino Linotype" w:hAnsi="Palatino Linotype" w:cs="Arial"/>
          <w:b/>
          <w:bCs/>
          <w:color w:val="auto"/>
          <w:u w:val="none"/>
        </w:rPr>
        <w:t>OFICIO 160.pdf</w:t>
      </w:r>
      <w:r w:rsidR="000067CB" w:rsidRPr="00866A41">
        <w:rPr>
          <w:rFonts w:ascii="Palatino Linotype" w:hAnsi="Palatino Linotype"/>
        </w:rPr>
        <w:t>:</w:t>
      </w:r>
      <w:r w:rsidR="00EC45F6" w:rsidRPr="00866A41">
        <w:rPr>
          <w:rFonts w:ascii="Palatino Linotype" w:hAnsi="Palatino Linotype"/>
        </w:rPr>
        <w:t xml:space="preserve"> </w:t>
      </w:r>
      <w:r w:rsidRPr="00866A41">
        <w:rPr>
          <w:rFonts w:ascii="Palatino Linotype" w:hAnsi="Palatino Linotype"/>
        </w:rPr>
        <w:t>el cual contiene lo siguiente:</w:t>
      </w:r>
    </w:p>
    <w:p w:rsidR="0011254F" w:rsidRPr="00866A41" w:rsidRDefault="0011254F" w:rsidP="0011254F">
      <w:pPr>
        <w:ind w:right="257"/>
        <w:jc w:val="both"/>
        <w:rPr>
          <w:rFonts w:ascii="Palatino Linotype" w:hAnsi="Palatino Linotype"/>
        </w:rPr>
      </w:pPr>
    </w:p>
    <w:p w:rsidR="0011254F" w:rsidRPr="00866A41" w:rsidRDefault="0011254F" w:rsidP="0011254F">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Oficio RH/SMDIF/160/2025 de fecha once de agosto de dos mil veinticinco, suscrito por la Titular de Recursos Humanos, mediante el cual informa que anexa los documentos que dan cumplimiento a lo establecido en el artículo 32 de la Ley Orgánica Municipal del Estado de México, en atención a la Directora General del Sistema Municipal para el Desarrollo Integral de la Familia de Chicoloapan; agregando los siguientes documentos en versión pública.</w:t>
      </w:r>
    </w:p>
    <w:p w:rsidR="0011254F" w:rsidRPr="00866A41" w:rsidRDefault="0011254F" w:rsidP="0011254F">
      <w:pPr>
        <w:pStyle w:val="Prrafodelista"/>
        <w:ind w:right="257"/>
        <w:jc w:val="both"/>
        <w:rPr>
          <w:rFonts w:ascii="Palatino Linotype" w:eastAsia="Palatino Linotype" w:hAnsi="Palatino Linotype" w:cs="Palatino Linotype"/>
          <w:sz w:val="24"/>
        </w:rPr>
      </w:pPr>
    </w:p>
    <w:p w:rsidR="0011254F" w:rsidRPr="00866A41" w:rsidRDefault="0011254F" w:rsidP="0011254F">
      <w:pPr>
        <w:pStyle w:val="Prrafodelista"/>
        <w:numPr>
          <w:ilvl w:val="1"/>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 xml:space="preserve">Currículum </w:t>
      </w:r>
    </w:p>
    <w:p w:rsidR="0011254F" w:rsidRPr="00866A41" w:rsidRDefault="0011254F" w:rsidP="0011254F">
      <w:pPr>
        <w:pStyle w:val="Prrafodelista"/>
        <w:numPr>
          <w:ilvl w:val="1"/>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INE</w:t>
      </w:r>
    </w:p>
    <w:p w:rsidR="0011254F" w:rsidRPr="00866A41" w:rsidRDefault="0011254F" w:rsidP="0011254F">
      <w:pPr>
        <w:pStyle w:val="Prrafodelista"/>
        <w:numPr>
          <w:ilvl w:val="1"/>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Constancia de no Inhabilitación</w:t>
      </w:r>
    </w:p>
    <w:p w:rsidR="0011254F" w:rsidRPr="00866A41" w:rsidRDefault="0011254F" w:rsidP="0011254F">
      <w:pPr>
        <w:pStyle w:val="Prrafodelista"/>
        <w:numPr>
          <w:ilvl w:val="1"/>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Antecedentes no Penales</w:t>
      </w:r>
    </w:p>
    <w:p w:rsidR="0011254F" w:rsidRPr="00866A41" w:rsidRDefault="0011254F" w:rsidP="00866A41">
      <w:pPr>
        <w:pStyle w:val="Prrafodelista"/>
        <w:numPr>
          <w:ilvl w:val="1"/>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 xml:space="preserve">Certificado de no Deudos Alimentario Moroso </w:t>
      </w:r>
    </w:p>
    <w:p w:rsidR="00C82ED1" w:rsidRPr="00866A41" w:rsidRDefault="001E3125" w:rsidP="00C82ED1">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lastRenderedPageBreak/>
        <w:t xml:space="preserve">El </w:t>
      </w:r>
      <w:r w:rsidR="0011254F" w:rsidRPr="00866A41">
        <w:rPr>
          <w:rFonts w:ascii="Palatino Linotype" w:eastAsia="Palatino Linotype" w:hAnsi="Palatino Linotype" w:cs="Palatino Linotype"/>
          <w:b/>
        </w:rPr>
        <w:t>veintiséis</w:t>
      </w:r>
      <w:r w:rsidR="00340E0F" w:rsidRPr="00866A41">
        <w:rPr>
          <w:rFonts w:ascii="Palatino Linotype" w:eastAsia="Palatino Linotype" w:hAnsi="Palatino Linotype" w:cs="Palatino Linotype"/>
          <w:b/>
        </w:rPr>
        <w:t xml:space="preserve"> de agosto </w:t>
      </w:r>
      <w:r w:rsidR="000067CB"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w:t>
      </w:r>
      <w:r w:rsidRPr="00866A41">
        <w:rPr>
          <w:rFonts w:ascii="Palatino Linotype" w:eastAsia="Palatino Linotype" w:hAnsi="Palatino Linotype" w:cs="Palatino Linotype"/>
          <w:b/>
        </w:rPr>
        <w:t xml:space="preserve"> </w:t>
      </w:r>
      <w:r w:rsidRPr="00866A41">
        <w:rPr>
          <w:rFonts w:ascii="Palatino Linotype" w:eastAsia="Palatino Linotype" w:hAnsi="Palatino Linotype" w:cs="Palatino Linotype"/>
        </w:rPr>
        <w:t xml:space="preserve">el </w:t>
      </w:r>
      <w:r w:rsidRPr="00866A41">
        <w:rPr>
          <w:rFonts w:ascii="Palatino Linotype" w:eastAsia="Palatino Linotype" w:hAnsi="Palatino Linotype" w:cs="Palatino Linotype"/>
          <w:b/>
        </w:rPr>
        <w:t>RECURRENTE</w:t>
      </w:r>
      <w:r w:rsidRPr="00866A41">
        <w:rPr>
          <w:rFonts w:ascii="Palatino Linotype" w:eastAsia="Palatino Linotype" w:hAnsi="Palatino Linotype" w:cs="Palatino Linotype"/>
        </w:rPr>
        <w:t xml:space="preserve"> interpuso el recurso de revisión en contra de la respuesta, señalando como:</w:t>
      </w:r>
    </w:p>
    <w:p w:rsidR="00C82ED1" w:rsidRPr="00866A41" w:rsidRDefault="00C82ED1" w:rsidP="00A30F8D">
      <w:pPr>
        <w:ind w:right="1"/>
        <w:jc w:val="both"/>
        <w:rPr>
          <w:rFonts w:ascii="Palatino Linotype" w:eastAsia="Palatino Linotype" w:hAnsi="Palatino Linotype" w:cs="Palatino Linotype"/>
        </w:rPr>
      </w:pPr>
    </w:p>
    <w:p w:rsidR="00E94D86" w:rsidRPr="00866A41" w:rsidRDefault="00866A41" w:rsidP="00866A41">
      <w:pPr>
        <w:pStyle w:val="Prrafodelista"/>
        <w:numPr>
          <w:ilvl w:val="0"/>
          <w:numId w:val="40"/>
        </w:numPr>
        <w:ind w:right="567"/>
        <w:jc w:val="both"/>
        <w:rPr>
          <w:rFonts w:ascii="Palatino Linotype" w:hAnsi="Palatino Linotype"/>
          <w:i/>
        </w:rPr>
      </w:pPr>
      <w:r w:rsidRPr="00866A41">
        <w:rPr>
          <w:rFonts w:ascii="Palatino Linotype" w:eastAsia="Palatino Linotype" w:hAnsi="Palatino Linotype" w:cs="Palatino Linotype"/>
          <w:b/>
          <w:sz w:val="24"/>
        </w:rPr>
        <w:t>ACTO IMPUGNADO</w:t>
      </w:r>
      <w:r w:rsidR="001E3125" w:rsidRPr="00866A41">
        <w:rPr>
          <w:rFonts w:ascii="Palatino Linotype" w:eastAsia="Palatino Linotype" w:hAnsi="Palatino Linotype" w:cs="Palatino Linotype"/>
          <w:b/>
          <w:i/>
        </w:rPr>
        <w:t>:</w:t>
      </w:r>
      <w:r w:rsidR="001E3125" w:rsidRPr="00866A41">
        <w:rPr>
          <w:rFonts w:ascii="Palatino Linotype" w:eastAsia="Palatino Linotype" w:hAnsi="Palatino Linotype" w:cs="Palatino Linotype"/>
          <w:i/>
          <w:color w:val="000000"/>
        </w:rPr>
        <w:t xml:space="preserve"> “</w:t>
      </w:r>
      <w:r w:rsidR="0011254F" w:rsidRPr="00866A41">
        <w:rPr>
          <w:rFonts w:ascii="Palatino Linotype" w:eastAsia="Palatino Linotype" w:hAnsi="Palatino Linotype" w:cs="Palatino Linotype"/>
          <w:i/>
          <w:color w:val="000000"/>
        </w:rPr>
        <w:t>no se presentan todos los documentos solicitados</w:t>
      </w:r>
      <w:r w:rsidR="001E3125" w:rsidRPr="00866A41">
        <w:rPr>
          <w:rFonts w:ascii="Palatino Linotype" w:eastAsia="Palatino Linotype" w:hAnsi="Palatino Linotype" w:cs="Palatino Linotype"/>
          <w:i/>
          <w:color w:val="000000"/>
        </w:rPr>
        <w:t>” (Sic)</w:t>
      </w:r>
    </w:p>
    <w:p w:rsidR="00E94D86" w:rsidRPr="00866A41" w:rsidRDefault="00E94D86" w:rsidP="00866A41">
      <w:pPr>
        <w:ind w:right="567"/>
        <w:jc w:val="both"/>
        <w:rPr>
          <w:rFonts w:ascii="Palatino Linotype" w:eastAsia="Palatino Linotype" w:hAnsi="Palatino Linotype" w:cs="Palatino Linotype"/>
        </w:rPr>
      </w:pPr>
    </w:p>
    <w:p w:rsidR="00E94D86" w:rsidRPr="008F68C2" w:rsidRDefault="00866A41" w:rsidP="00866A41">
      <w:pPr>
        <w:pStyle w:val="Prrafodelista"/>
        <w:numPr>
          <w:ilvl w:val="0"/>
          <w:numId w:val="40"/>
        </w:numPr>
        <w:ind w:right="567"/>
        <w:jc w:val="both"/>
        <w:rPr>
          <w:rFonts w:ascii="Palatino Linotype" w:eastAsia="Palatino Linotype" w:hAnsi="Palatino Linotype" w:cs="Palatino Linotype"/>
          <w:i/>
          <w:color w:val="000000"/>
          <w:sz w:val="24"/>
        </w:rPr>
      </w:pPr>
      <w:r w:rsidRPr="00866A41">
        <w:rPr>
          <w:rFonts w:ascii="Palatino Linotype" w:eastAsia="Palatino Linotype" w:hAnsi="Palatino Linotype" w:cs="Palatino Linotype"/>
          <w:b/>
          <w:sz w:val="24"/>
        </w:rPr>
        <w:t xml:space="preserve">RAZONES O MOTIVOS DE INCONFORMIDAD: </w:t>
      </w:r>
      <w:r w:rsidR="006E5F99" w:rsidRPr="008F68C2">
        <w:rPr>
          <w:rFonts w:ascii="Palatino Linotype" w:eastAsia="Palatino Linotype" w:hAnsi="Palatino Linotype" w:cs="Palatino Linotype"/>
          <w:i/>
          <w:color w:val="000000"/>
          <w:sz w:val="24"/>
        </w:rPr>
        <w:t>“</w:t>
      </w:r>
      <w:r w:rsidR="0011254F" w:rsidRPr="008F68C2">
        <w:rPr>
          <w:rFonts w:ascii="Palatino Linotype" w:eastAsia="Palatino Linotype" w:hAnsi="Palatino Linotype" w:cs="Palatino Linotype"/>
          <w:i/>
          <w:color w:val="000000"/>
          <w:sz w:val="24"/>
        </w:rPr>
        <w:t>la actual Directora General del Sistema municipal DIF de Chicoloapan, no exhibe el documento que avala la fracción IV del artículo 32 de Ley Orgánica Municipal del Estado de México. Se hace mención que la Ley es clara en el cumplimiento de lo requisitos y a la fecha ya son más siete meses de que asumió el cargo que hoy ostenta</w:t>
      </w:r>
      <w:r w:rsidR="00340E0F" w:rsidRPr="008F68C2">
        <w:rPr>
          <w:rFonts w:ascii="Palatino Linotype" w:eastAsia="Palatino Linotype" w:hAnsi="Palatino Linotype" w:cs="Palatino Linotype"/>
          <w:i/>
          <w:color w:val="000000"/>
          <w:sz w:val="24"/>
        </w:rPr>
        <w:t>.</w:t>
      </w:r>
      <w:r w:rsidR="001E3125" w:rsidRPr="008F68C2">
        <w:rPr>
          <w:rFonts w:ascii="Palatino Linotype" w:eastAsia="Palatino Linotype" w:hAnsi="Palatino Linotype" w:cs="Palatino Linotype"/>
          <w:i/>
          <w:color w:val="000000"/>
          <w:sz w:val="24"/>
        </w:rPr>
        <w:t>” (Sic)</w:t>
      </w:r>
    </w:p>
    <w:p w:rsidR="00A22674" w:rsidRPr="00866A41" w:rsidRDefault="00A22674" w:rsidP="00A30F8D">
      <w:pPr>
        <w:ind w:right="568"/>
        <w:jc w:val="both"/>
        <w:rPr>
          <w:rFonts w:ascii="Palatino Linotype" w:eastAsia="Palatino Linotype" w:hAnsi="Palatino Linotype" w:cs="Palatino Linotype"/>
          <w:b/>
        </w:rPr>
      </w:pPr>
    </w:p>
    <w:p w:rsidR="00E94D86" w:rsidRPr="00866A41" w:rsidRDefault="001E3125">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866A41">
        <w:rPr>
          <w:rFonts w:ascii="Palatino Linotype" w:eastAsia="Palatino Linotype" w:hAnsi="Palatino Linotype" w:cs="Palatino Linotype"/>
          <w:b/>
        </w:rPr>
        <w:t xml:space="preserve">Ley de Transparencia y Acceso a la Información Pública del Estado de México y Municipios </w:t>
      </w:r>
      <w:r w:rsidRPr="00866A41">
        <w:rPr>
          <w:rFonts w:ascii="Palatino Linotype" w:eastAsia="Palatino Linotype" w:hAnsi="Palatino Linotype" w:cs="Palatino Linotype"/>
        </w:rPr>
        <w:t xml:space="preserve">se turna a la </w:t>
      </w:r>
      <w:r w:rsidRPr="00866A41">
        <w:rPr>
          <w:rFonts w:ascii="Palatino Linotype" w:eastAsia="Palatino Linotype" w:hAnsi="Palatino Linotype" w:cs="Palatino Linotype"/>
          <w:b/>
        </w:rPr>
        <w:t xml:space="preserve">Comisionada María del Rosario Mejía Ayala, </w:t>
      </w:r>
      <w:r w:rsidRPr="00866A41">
        <w:rPr>
          <w:rFonts w:ascii="Palatino Linotype" w:eastAsia="Palatino Linotype" w:hAnsi="Palatino Linotype" w:cs="Palatino Linotype"/>
        </w:rPr>
        <w:t xml:space="preserve">para su análisis. </w:t>
      </w:r>
    </w:p>
    <w:p w:rsidR="00E94D86" w:rsidRPr="00866A41" w:rsidRDefault="00E94D86" w:rsidP="00A30F8D">
      <w:pPr>
        <w:ind w:right="-592"/>
        <w:jc w:val="both"/>
        <w:rPr>
          <w:rFonts w:ascii="Palatino Linotype" w:eastAsia="Palatino Linotype" w:hAnsi="Palatino Linotype" w:cs="Palatino Linotype"/>
        </w:rPr>
      </w:pPr>
    </w:p>
    <w:p w:rsidR="00E94D86" w:rsidRPr="00866A41" w:rsidRDefault="00866A41">
      <w:pPr>
        <w:numPr>
          <w:ilvl w:val="0"/>
          <w:numId w:val="1"/>
        </w:numPr>
        <w:spacing w:line="360" w:lineRule="auto"/>
        <w:ind w:left="0" w:right="1"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La Comisionada p</w:t>
      </w:r>
      <w:r w:rsidR="001E3125" w:rsidRPr="00866A41">
        <w:rPr>
          <w:rFonts w:ascii="Palatino Linotype" w:eastAsia="Palatino Linotype" w:hAnsi="Palatino Linotype" w:cs="Palatino Linotype"/>
        </w:rPr>
        <w:t xml:space="preserve">onente con fundamento en lo dispuesto por el artículo 185 fracción II de la ley de la materia, a través del </w:t>
      </w:r>
      <w:r w:rsidR="001E3125" w:rsidRPr="00866A41">
        <w:rPr>
          <w:rFonts w:ascii="Palatino Linotype" w:eastAsia="Palatino Linotype" w:hAnsi="Palatino Linotype" w:cs="Palatino Linotype"/>
          <w:b/>
        </w:rPr>
        <w:t xml:space="preserve">acuerdo de admisión del </w:t>
      </w:r>
      <w:r w:rsidR="0011254F" w:rsidRPr="00866A41">
        <w:rPr>
          <w:rFonts w:ascii="Palatino Linotype" w:eastAsia="Palatino Linotype" w:hAnsi="Palatino Linotype" w:cs="Palatino Linotype"/>
          <w:b/>
        </w:rPr>
        <w:t xml:space="preserve">veintiocho </w:t>
      </w:r>
      <w:r w:rsidR="00340E0F" w:rsidRPr="00866A41">
        <w:rPr>
          <w:rFonts w:ascii="Palatino Linotype" w:eastAsia="Palatino Linotype" w:hAnsi="Palatino Linotype" w:cs="Palatino Linotype"/>
          <w:b/>
        </w:rPr>
        <w:t xml:space="preserve">de agosto </w:t>
      </w:r>
      <w:r w:rsidR="000067CB" w:rsidRPr="00866A41">
        <w:rPr>
          <w:rFonts w:ascii="Palatino Linotype" w:eastAsia="Palatino Linotype" w:hAnsi="Palatino Linotype" w:cs="Palatino Linotype"/>
          <w:b/>
        </w:rPr>
        <w:t>de dos mil veinticinco</w:t>
      </w:r>
      <w:r w:rsidR="001E3125" w:rsidRPr="00866A41">
        <w:rPr>
          <w:rFonts w:ascii="Palatino Linotype" w:eastAsia="Palatino Linotype" w:hAnsi="Palatino Linotype" w:cs="Palatino Linotype"/>
        </w:rPr>
        <w:t xml:space="preserve">, puso a disposición de las partes el expediente electrónico vía </w:t>
      </w:r>
      <w:r w:rsidR="001E3125" w:rsidRPr="00866A41">
        <w:rPr>
          <w:rFonts w:ascii="Palatino Linotype" w:eastAsia="Palatino Linotype" w:hAnsi="Palatino Linotype" w:cs="Palatino Linotype"/>
          <w:b/>
        </w:rPr>
        <w:t xml:space="preserve">SAIMEX </w:t>
      </w:r>
      <w:r w:rsidR="001E3125" w:rsidRPr="00866A41">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1E3125" w:rsidRPr="00866A41">
        <w:rPr>
          <w:rFonts w:ascii="Palatino Linotype" w:eastAsia="Palatino Linotype" w:hAnsi="Palatino Linotype" w:cs="Palatino Linotype"/>
          <w:b/>
        </w:rPr>
        <w:t>SUJETO OBLIGADO</w:t>
      </w:r>
      <w:r w:rsidR="001E3125" w:rsidRPr="00866A41">
        <w:rPr>
          <w:rFonts w:ascii="Palatino Linotype" w:eastAsia="Palatino Linotype" w:hAnsi="Palatino Linotype" w:cs="Palatino Linotype"/>
        </w:rPr>
        <w:t xml:space="preserve"> presentará el informe justificado procedente. </w:t>
      </w:r>
    </w:p>
    <w:p w:rsidR="00B82092" w:rsidRPr="00866A41" w:rsidRDefault="00B82092" w:rsidP="003A2DC2">
      <w:pPr>
        <w:rPr>
          <w:rFonts w:ascii="Palatino Linotype" w:eastAsia="Palatino Linotype" w:hAnsi="Palatino Linotype" w:cs="Palatino Linotype"/>
        </w:rPr>
      </w:pPr>
    </w:p>
    <w:p w:rsidR="006C7FB2" w:rsidRPr="00866A41" w:rsidRDefault="003A2DC2" w:rsidP="00ED7B3F">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El</w:t>
      </w:r>
      <w:r w:rsidR="00B82092" w:rsidRPr="00866A41">
        <w:rPr>
          <w:rFonts w:ascii="Palatino Linotype" w:eastAsia="Palatino Linotype" w:hAnsi="Palatino Linotype" w:cs="Palatino Linotype"/>
        </w:rPr>
        <w:t xml:space="preserve"> </w:t>
      </w:r>
      <w:r w:rsidR="0011254F" w:rsidRPr="00866A41">
        <w:rPr>
          <w:rFonts w:ascii="Palatino Linotype" w:eastAsia="Palatino Linotype" w:hAnsi="Palatino Linotype" w:cs="Palatino Linotype"/>
          <w:b/>
        </w:rPr>
        <w:t>dieciséis de octubre</w:t>
      </w:r>
      <w:r w:rsidR="000067CB" w:rsidRPr="00866A41">
        <w:rPr>
          <w:rFonts w:ascii="Palatino Linotype" w:eastAsia="Palatino Linotype" w:hAnsi="Palatino Linotype" w:cs="Palatino Linotype"/>
          <w:b/>
        </w:rPr>
        <w:t xml:space="preserve"> de dos mil veinticinco</w:t>
      </w:r>
      <w:r w:rsidR="00B82092" w:rsidRPr="00866A41">
        <w:rPr>
          <w:rFonts w:ascii="Palatino Linotype" w:eastAsia="Palatino Linotype" w:hAnsi="Palatino Linotype" w:cs="Palatino Linotype"/>
        </w:rPr>
        <w:t xml:space="preserve">, </w:t>
      </w:r>
      <w:r w:rsidR="004F5574" w:rsidRPr="00866A41">
        <w:rPr>
          <w:rFonts w:ascii="Palatino Linotype" w:eastAsia="Palatino Linotype" w:hAnsi="Palatino Linotype" w:cs="Palatino Linotype"/>
        </w:rPr>
        <w:t>el</w:t>
      </w:r>
      <w:r w:rsidR="001E3125" w:rsidRPr="00866A41">
        <w:rPr>
          <w:rFonts w:ascii="Palatino Linotype" w:eastAsia="Palatino Linotype" w:hAnsi="Palatino Linotype" w:cs="Palatino Linotype"/>
        </w:rPr>
        <w:t xml:space="preserve"> </w:t>
      </w:r>
      <w:r w:rsidR="001E3125" w:rsidRPr="00866A41">
        <w:rPr>
          <w:rFonts w:ascii="Palatino Linotype" w:eastAsia="Palatino Linotype" w:hAnsi="Palatino Linotype" w:cs="Palatino Linotype"/>
          <w:b/>
        </w:rPr>
        <w:t>SUJETO OBLIGADO</w:t>
      </w:r>
      <w:r w:rsidR="001E3125" w:rsidRPr="00866A41">
        <w:rPr>
          <w:rFonts w:ascii="Palatino Linotype" w:eastAsia="Palatino Linotype" w:hAnsi="Palatino Linotype" w:cs="Palatino Linotype"/>
        </w:rPr>
        <w:t xml:space="preserve"> </w:t>
      </w:r>
      <w:r w:rsidR="004F5574" w:rsidRPr="00866A41">
        <w:rPr>
          <w:rFonts w:ascii="Palatino Linotype" w:eastAsia="Palatino Linotype" w:hAnsi="Palatino Linotype" w:cs="Palatino Linotype"/>
        </w:rPr>
        <w:t>rindió</w:t>
      </w:r>
      <w:r w:rsidR="006E5F99" w:rsidRPr="00866A41">
        <w:rPr>
          <w:rFonts w:ascii="Palatino Linotype" w:eastAsia="Palatino Linotype" w:hAnsi="Palatino Linotype" w:cs="Palatino Linotype"/>
        </w:rPr>
        <w:t xml:space="preserve"> </w:t>
      </w:r>
      <w:r w:rsidR="001E3125" w:rsidRPr="00866A41">
        <w:rPr>
          <w:rFonts w:ascii="Palatino Linotype" w:eastAsia="Palatino Linotype" w:hAnsi="Palatino Linotype" w:cs="Palatino Linotype"/>
        </w:rPr>
        <w:t>el informe justificado correspondiente</w:t>
      </w:r>
      <w:r w:rsidR="004F5574" w:rsidRPr="00866A41">
        <w:rPr>
          <w:rFonts w:ascii="Palatino Linotype" w:eastAsia="Palatino Linotype" w:hAnsi="Palatino Linotype" w:cs="Palatino Linotype"/>
        </w:rPr>
        <w:t xml:space="preserve">, </w:t>
      </w:r>
      <w:r w:rsidR="00B82092" w:rsidRPr="00866A41">
        <w:rPr>
          <w:rFonts w:ascii="Palatino Linotype" w:eastAsia="Palatino Linotype" w:hAnsi="Palatino Linotype" w:cs="Palatino Linotype"/>
        </w:rPr>
        <w:t>por medio de</w:t>
      </w:r>
      <w:r w:rsidR="005B7BED" w:rsidRPr="00866A41">
        <w:rPr>
          <w:rFonts w:ascii="Palatino Linotype" w:eastAsia="Palatino Linotype" w:hAnsi="Palatino Linotype" w:cs="Palatino Linotype"/>
        </w:rPr>
        <w:t>l</w:t>
      </w:r>
      <w:r w:rsidR="000067CB" w:rsidRPr="00866A41">
        <w:rPr>
          <w:rFonts w:ascii="Palatino Linotype" w:eastAsia="Palatino Linotype" w:hAnsi="Palatino Linotype" w:cs="Palatino Linotype"/>
        </w:rPr>
        <w:t xml:space="preserve"> </w:t>
      </w:r>
      <w:r w:rsidR="009A316C" w:rsidRPr="00866A41">
        <w:rPr>
          <w:rFonts w:ascii="Palatino Linotype" w:eastAsia="Palatino Linotype" w:hAnsi="Palatino Linotype" w:cs="Palatino Linotype"/>
        </w:rPr>
        <w:t>documento</w:t>
      </w:r>
      <w:r w:rsidR="0011254F" w:rsidRPr="00866A41">
        <w:rPr>
          <w:rFonts w:ascii="Palatino Linotype" w:eastAsia="Palatino Linotype" w:hAnsi="Palatino Linotype" w:cs="Palatino Linotype"/>
          <w:b/>
        </w:rPr>
        <w:t>00019DIFCHICOLOIPRR</w:t>
      </w:r>
      <w:r w:rsidR="005B7BED" w:rsidRPr="00866A41">
        <w:rPr>
          <w:rFonts w:ascii="Palatino Linotype" w:eastAsia="Palatino Linotype" w:hAnsi="Palatino Linotype" w:cs="Palatino Linotype"/>
          <w:b/>
        </w:rPr>
        <w:t>.</w:t>
      </w:r>
      <w:r w:rsidR="009A316C" w:rsidRPr="00866A41">
        <w:rPr>
          <w:rFonts w:ascii="Palatino Linotype" w:eastAsia="Palatino Linotype" w:hAnsi="Palatino Linotype" w:cs="Palatino Linotype"/>
          <w:b/>
        </w:rPr>
        <w:t>pdf</w:t>
      </w:r>
      <w:r w:rsidR="000067CB" w:rsidRPr="00866A41">
        <w:rPr>
          <w:rFonts w:ascii="Palatino Linotype" w:eastAsia="Palatino Linotype" w:hAnsi="Palatino Linotype" w:cs="Palatino Linotype"/>
          <w:b/>
        </w:rPr>
        <w:t>,</w:t>
      </w:r>
      <w:r w:rsidR="000067CB" w:rsidRPr="00866A41">
        <w:rPr>
          <w:rFonts w:ascii="Palatino Linotype" w:eastAsia="Palatino Linotype" w:hAnsi="Palatino Linotype" w:cs="Palatino Linotype"/>
        </w:rPr>
        <w:t xml:space="preserve"> </w:t>
      </w:r>
      <w:r w:rsidR="005B7BED" w:rsidRPr="00866A41">
        <w:rPr>
          <w:rFonts w:ascii="Palatino Linotype" w:eastAsia="Palatino Linotype" w:hAnsi="Palatino Linotype" w:cs="Palatino Linotype"/>
        </w:rPr>
        <w:t xml:space="preserve">(cabe precisar que el mismo documento fue </w:t>
      </w:r>
      <w:r w:rsidR="0011254F" w:rsidRPr="00866A41">
        <w:rPr>
          <w:rFonts w:ascii="Palatino Linotype" w:eastAsia="Palatino Linotype" w:hAnsi="Palatino Linotype" w:cs="Palatino Linotype"/>
        </w:rPr>
        <w:t>agregado al</w:t>
      </w:r>
      <w:r w:rsidR="00111EA4" w:rsidRPr="00866A41">
        <w:rPr>
          <w:rFonts w:ascii="Palatino Linotype" w:eastAsia="Palatino Linotype" w:hAnsi="Palatino Linotype" w:cs="Palatino Linotype"/>
        </w:rPr>
        <w:t xml:space="preserve"> apartado de archivos enviados por el Recurrente</w:t>
      </w:r>
      <w:r w:rsidR="005B7BED" w:rsidRPr="00866A41">
        <w:rPr>
          <w:rFonts w:ascii="Palatino Linotype" w:eastAsia="Palatino Linotype" w:hAnsi="Palatino Linotype" w:cs="Palatino Linotype"/>
        </w:rPr>
        <w:t xml:space="preserve">), </w:t>
      </w:r>
      <w:r w:rsidR="009A316C" w:rsidRPr="00866A41">
        <w:rPr>
          <w:rFonts w:ascii="Palatino Linotype" w:eastAsia="Palatino Linotype" w:hAnsi="Palatino Linotype" w:cs="Palatino Linotype"/>
        </w:rPr>
        <w:t>del que se desprende lo</w:t>
      </w:r>
      <w:r w:rsidR="005B7BED" w:rsidRPr="00866A41">
        <w:rPr>
          <w:rFonts w:ascii="Palatino Linotype" w:eastAsia="Palatino Linotype" w:hAnsi="Palatino Linotype" w:cs="Palatino Linotype"/>
        </w:rPr>
        <w:t xml:space="preserve"> siguiente:</w:t>
      </w:r>
    </w:p>
    <w:p w:rsidR="005B7BED" w:rsidRPr="00866A41" w:rsidRDefault="005B7BED" w:rsidP="005B7BED">
      <w:pPr>
        <w:pStyle w:val="Prrafodelista"/>
        <w:rPr>
          <w:rFonts w:ascii="Palatino Linotype" w:eastAsia="Palatino Linotype" w:hAnsi="Palatino Linotype" w:cs="Palatino Linotype"/>
          <w:sz w:val="24"/>
        </w:rPr>
      </w:pPr>
    </w:p>
    <w:p w:rsidR="005B7BED" w:rsidRPr="00866A41" w:rsidRDefault="009A316C" w:rsidP="00D831BA">
      <w:pPr>
        <w:ind w:left="567" w:right="567"/>
        <w:jc w:val="both"/>
        <w:rPr>
          <w:rFonts w:ascii="Palatino Linotype" w:hAnsi="Palatino Linotype"/>
        </w:rPr>
      </w:pPr>
      <w:r w:rsidRPr="00866A41">
        <w:rPr>
          <w:rFonts w:ascii="Palatino Linotype" w:hAnsi="Palatino Linotype"/>
        </w:rPr>
        <w:lastRenderedPageBreak/>
        <w:t xml:space="preserve">Oficio </w:t>
      </w:r>
      <w:r w:rsidR="00111EA4" w:rsidRPr="00866A41">
        <w:rPr>
          <w:rFonts w:ascii="Palatino Linotype" w:hAnsi="Palatino Linotype"/>
        </w:rPr>
        <w:t>SMDIFCH/DT/82/2025</w:t>
      </w:r>
      <w:r w:rsidR="005B7BED" w:rsidRPr="00866A41">
        <w:rPr>
          <w:rFonts w:ascii="Palatino Linotype" w:hAnsi="Palatino Linotype"/>
        </w:rPr>
        <w:t xml:space="preserve">, de fecha </w:t>
      </w:r>
      <w:r w:rsidR="00111EA4" w:rsidRPr="00866A41">
        <w:rPr>
          <w:rFonts w:ascii="Palatino Linotype" w:hAnsi="Palatino Linotype"/>
        </w:rPr>
        <w:t xml:space="preserve">quince de septiembre </w:t>
      </w:r>
      <w:r w:rsidR="005B7BED" w:rsidRPr="00866A41">
        <w:rPr>
          <w:rFonts w:ascii="Palatino Linotype" w:hAnsi="Palatino Linotype"/>
        </w:rPr>
        <w:t xml:space="preserve">de dos mil veinticinco, suscrito por la </w:t>
      </w:r>
      <w:r w:rsidR="00111EA4" w:rsidRPr="00866A41">
        <w:rPr>
          <w:rFonts w:ascii="Palatino Linotype" w:hAnsi="Palatino Linotype"/>
        </w:rPr>
        <w:t>Responsable del Departamento de Transparencia</w:t>
      </w:r>
      <w:r w:rsidR="005B7BED" w:rsidRPr="00866A41">
        <w:rPr>
          <w:rFonts w:ascii="Palatino Linotype" w:hAnsi="Palatino Linotype"/>
        </w:rPr>
        <w:t xml:space="preserve">, mediante el cual </w:t>
      </w:r>
      <w:r w:rsidR="00111EA4" w:rsidRPr="00866A41">
        <w:rPr>
          <w:rFonts w:ascii="Palatino Linotype" w:hAnsi="Palatino Linotype"/>
        </w:rPr>
        <w:t>informa</w:t>
      </w:r>
      <w:r w:rsidR="005B7BED" w:rsidRPr="00866A41">
        <w:rPr>
          <w:rFonts w:ascii="Palatino Linotype" w:hAnsi="Palatino Linotype"/>
        </w:rPr>
        <w:t>:</w:t>
      </w:r>
    </w:p>
    <w:p w:rsidR="005B7BED" w:rsidRPr="00866A41" w:rsidRDefault="005B7BED" w:rsidP="00D831BA">
      <w:pPr>
        <w:ind w:left="567" w:right="567"/>
        <w:jc w:val="both"/>
        <w:rPr>
          <w:rFonts w:ascii="Palatino Linotype" w:hAnsi="Palatino Linotype"/>
        </w:rPr>
      </w:pPr>
    </w:p>
    <w:p w:rsidR="00111EA4" w:rsidRPr="00866A41" w:rsidRDefault="005B7BED" w:rsidP="00111EA4">
      <w:pPr>
        <w:ind w:left="567" w:right="567"/>
        <w:jc w:val="both"/>
        <w:rPr>
          <w:rFonts w:ascii="Palatino Linotype" w:hAnsi="Palatino Linotype"/>
          <w:i/>
        </w:rPr>
      </w:pPr>
      <w:r w:rsidRPr="00866A41">
        <w:rPr>
          <w:rFonts w:ascii="Palatino Linotype" w:hAnsi="Palatino Linotype"/>
          <w:i/>
        </w:rPr>
        <w:t>...</w:t>
      </w:r>
      <w:r w:rsidR="00ED7B3F" w:rsidRPr="00866A41">
        <w:rPr>
          <w:rFonts w:ascii="Palatino Linotype" w:hAnsi="Palatino Linotype"/>
          <w:i/>
        </w:rPr>
        <w:t xml:space="preserve"> </w:t>
      </w:r>
      <w:r w:rsidR="00111EA4" w:rsidRPr="00866A41">
        <w:rPr>
          <w:rFonts w:ascii="Palatino Linotype" w:hAnsi="Palatino Linotype"/>
          <w:i/>
        </w:rPr>
        <w:t>se advierte que no existe disposición legal o reglamentaria que exija una certificación específica para el cargo de Directora del Sistema Municipal DIF de Chicoloapan. Dicho nombramiento es de confianza y se realiza por designación directa del Ayuntamiento y de la Presidenta Honoraria del Sistema Municipal DIF.</w:t>
      </w:r>
    </w:p>
    <w:p w:rsidR="005B7BED" w:rsidRPr="00866A41" w:rsidRDefault="00111EA4" w:rsidP="00D831BA">
      <w:pPr>
        <w:ind w:left="567" w:right="567"/>
        <w:jc w:val="both"/>
        <w:rPr>
          <w:rFonts w:ascii="Palatino Linotype" w:hAnsi="Palatino Linotype"/>
          <w:i/>
        </w:rPr>
      </w:pPr>
      <w:r w:rsidRPr="00866A41">
        <w:rPr>
          <w:rFonts w:ascii="Palatino Linotype" w:hAnsi="Palatino Linotype"/>
          <w:i/>
        </w:rPr>
        <w:t>En tal virtud, no obra en los archivos de este Sujeto Obligado documento alguno que acredite certificación en términos de la fracción IV, toda vez que no es un requisito exigible para el ejercicio del cargo</w:t>
      </w:r>
      <w:r w:rsidR="00ED7B3F" w:rsidRPr="00866A41">
        <w:rPr>
          <w:rFonts w:ascii="Palatino Linotype" w:hAnsi="Palatino Linotype"/>
          <w:i/>
        </w:rPr>
        <w:t>… (Sic.)</w:t>
      </w:r>
    </w:p>
    <w:p w:rsidR="005B7BED" w:rsidRPr="00866A41" w:rsidRDefault="005B7BED" w:rsidP="00D831BA">
      <w:pPr>
        <w:ind w:left="567" w:right="567"/>
        <w:jc w:val="both"/>
        <w:rPr>
          <w:rFonts w:ascii="Palatino Linotype" w:hAnsi="Palatino Linotype"/>
        </w:rPr>
      </w:pPr>
    </w:p>
    <w:p w:rsidR="00FD7A52" w:rsidRPr="00866A41" w:rsidRDefault="00FD7A52" w:rsidP="00FD7A52">
      <w:pPr>
        <w:pStyle w:val="Prrafodelista"/>
        <w:numPr>
          <w:ilvl w:val="0"/>
          <w:numId w:val="1"/>
        </w:numPr>
        <w:pBdr>
          <w:top w:val="nil"/>
          <w:left w:val="nil"/>
          <w:bottom w:val="nil"/>
          <w:right w:val="nil"/>
          <w:between w:val="nil"/>
        </w:pBdr>
        <w:ind w:left="0" w:firstLine="0"/>
        <w:contextualSpacing w:val="0"/>
        <w:jc w:val="both"/>
        <w:rPr>
          <w:rFonts w:ascii="Palatino Linotype" w:hAnsi="Palatino Linotype"/>
          <w:sz w:val="24"/>
        </w:rPr>
      </w:pPr>
      <w:r w:rsidRPr="00866A41">
        <w:rPr>
          <w:rFonts w:ascii="Palatino Linotype" w:hAnsi="Palatino Linotype"/>
          <w:sz w:val="24"/>
        </w:rPr>
        <w:t xml:space="preserve">Por su parte, el </w:t>
      </w:r>
      <w:r w:rsidRPr="00866A41">
        <w:rPr>
          <w:rFonts w:ascii="Palatino Linotype" w:hAnsi="Palatino Linotype"/>
          <w:b/>
          <w:sz w:val="24"/>
        </w:rPr>
        <w:t>RECURRENTE</w:t>
      </w:r>
      <w:r w:rsidRPr="00866A41">
        <w:rPr>
          <w:rFonts w:ascii="Palatino Linotype" w:hAnsi="Palatino Linotype"/>
          <w:sz w:val="24"/>
        </w:rPr>
        <w:t xml:space="preserve"> dejó de realizar manifestaciones que a su derecho conviniera y asistiera. </w:t>
      </w:r>
    </w:p>
    <w:p w:rsidR="00FD7A52" w:rsidRPr="00866A41" w:rsidRDefault="00FD7A52" w:rsidP="00FD7A52">
      <w:pPr>
        <w:pStyle w:val="Prrafodelista"/>
        <w:pBdr>
          <w:top w:val="nil"/>
          <w:left w:val="nil"/>
          <w:bottom w:val="nil"/>
          <w:right w:val="nil"/>
          <w:between w:val="nil"/>
        </w:pBdr>
        <w:ind w:left="0"/>
        <w:contextualSpacing w:val="0"/>
        <w:jc w:val="both"/>
        <w:rPr>
          <w:rFonts w:ascii="Palatino Linotype" w:hAnsi="Palatino Linotype"/>
          <w:sz w:val="24"/>
        </w:rPr>
      </w:pPr>
    </w:p>
    <w:p w:rsidR="00E94D86" w:rsidRPr="00866A41" w:rsidRDefault="001E3125">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La Comisionada Ponente decretó el cierre de instrucción mediante el acuerdo del </w:t>
      </w:r>
      <w:r w:rsidR="00111EA4" w:rsidRPr="00866A41">
        <w:rPr>
          <w:rFonts w:ascii="Palatino Linotype" w:eastAsia="Palatino Linotype" w:hAnsi="Palatino Linotype" w:cs="Palatino Linotype"/>
          <w:b/>
        </w:rPr>
        <w:t>veintiuno de enero de dos mil dieciséis</w:t>
      </w:r>
      <w:r w:rsidRPr="00866A41">
        <w:rPr>
          <w:rFonts w:ascii="Palatino Linotype" w:eastAsia="Palatino Linotype" w:hAnsi="Palatino Linotype" w:cs="Palatino Linotype"/>
        </w:rPr>
        <w:t>.</w:t>
      </w:r>
    </w:p>
    <w:p w:rsidR="00E94D86" w:rsidRPr="00866A41" w:rsidRDefault="00E94D86" w:rsidP="004414BC">
      <w:pPr>
        <w:rPr>
          <w:rFonts w:ascii="Palatino Linotype" w:eastAsia="Palatino Linotype" w:hAnsi="Palatino Linotype" w:cs="Palatino Linotype"/>
          <w:b/>
        </w:rPr>
      </w:pPr>
    </w:p>
    <w:p w:rsidR="00E94D86" w:rsidRPr="00866A41" w:rsidRDefault="001E3125">
      <w:pPr>
        <w:keepNext/>
        <w:keepLines/>
        <w:spacing w:line="360" w:lineRule="auto"/>
        <w:ind w:right="-592"/>
        <w:jc w:val="center"/>
        <w:rPr>
          <w:rFonts w:ascii="Palatino Linotype" w:eastAsia="Palatino Linotype" w:hAnsi="Palatino Linotype" w:cs="Palatino Linotype"/>
          <w:b/>
        </w:rPr>
      </w:pPr>
      <w:r w:rsidRPr="00866A41">
        <w:rPr>
          <w:rFonts w:ascii="Palatino Linotype" w:eastAsia="Palatino Linotype" w:hAnsi="Palatino Linotype" w:cs="Palatino Linotype"/>
          <w:b/>
        </w:rPr>
        <w:t xml:space="preserve">C O N S I D E R A N D O </w:t>
      </w:r>
    </w:p>
    <w:p w:rsidR="00E94D86" w:rsidRPr="00866A41" w:rsidRDefault="00E94D86" w:rsidP="00C82ED1">
      <w:pPr>
        <w:keepNext/>
        <w:keepLines/>
        <w:ind w:right="-592"/>
        <w:rPr>
          <w:rFonts w:ascii="Palatino Linotype" w:eastAsia="Palatino Linotype" w:hAnsi="Palatino Linotype" w:cs="Palatino Linotype"/>
        </w:rPr>
      </w:pPr>
    </w:p>
    <w:p w:rsidR="00E94D86" w:rsidRPr="00866A41" w:rsidRDefault="001E3125">
      <w:pPr>
        <w:keepNext/>
        <w:keepLines/>
        <w:spacing w:line="360" w:lineRule="auto"/>
        <w:ind w:right="-592"/>
        <w:rPr>
          <w:rFonts w:ascii="Palatino Linotype" w:eastAsia="Palatino Linotype" w:hAnsi="Palatino Linotype" w:cs="Palatino Linotype"/>
          <w:b/>
        </w:rPr>
      </w:pPr>
      <w:r w:rsidRPr="00866A41">
        <w:rPr>
          <w:rFonts w:ascii="Palatino Linotype" w:eastAsia="Palatino Linotype" w:hAnsi="Palatino Linotype" w:cs="Palatino Linotype"/>
          <w:b/>
        </w:rPr>
        <w:t>PRIMERO. De la competencia.</w:t>
      </w:r>
    </w:p>
    <w:p w:rsidR="00E94D86" w:rsidRPr="00866A41" w:rsidRDefault="00FD7A52" w:rsidP="00FD7A52">
      <w:pPr>
        <w:numPr>
          <w:ilvl w:val="0"/>
          <w:numId w:val="1"/>
        </w:numPr>
        <w:spacing w:line="360" w:lineRule="auto"/>
        <w:ind w:left="0" w:right="1" w:firstLine="0"/>
        <w:jc w:val="both"/>
        <w:rPr>
          <w:rFonts w:ascii="Palatino Linotype" w:eastAsia="Palatino Linotype" w:hAnsi="Palatino Linotype" w:cs="Palatino Linotype"/>
          <w:b/>
        </w:rPr>
      </w:pPr>
      <w:bookmarkStart w:id="0" w:name="_heading=h.3znysh7" w:colFirst="0" w:colLast="0"/>
      <w:bookmarkEnd w:id="0"/>
      <w:r w:rsidRPr="00866A41">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66A41">
        <w:rPr>
          <w:rFonts w:ascii="Palatino Linotype" w:hAnsi="Palatino Linotype"/>
          <w:b/>
          <w:bCs/>
          <w:color w:val="000000"/>
          <w:shd w:val="clear" w:color="auto" w:fill="FFFFFF"/>
        </w:rPr>
        <w:t>Constitución Política de los Estados Unidos Mexicanos</w:t>
      </w:r>
      <w:r w:rsidRPr="00866A41">
        <w:rPr>
          <w:rFonts w:ascii="Palatino Linotype" w:hAnsi="Palatino Linotype"/>
          <w:color w:val="000000"/>
          <w:shd w:val="clear" w:color="auto" w:fill="FFFFFF"/>
        </w:rPr>
        <w:t>; 5, párrafos trigésimo segundo, trigésimo tercero y trigésimo cuarto fracciones IV y V de la </w:t>
      </w:r>
      <w:r w:rsidRPr="00866A41">
        <w:rPr>
          <w:rFonts w:ascii="Palatino Linotype" w:hAnsi="Palatino Linotype"/>
          <w:b/>
          <w:bCs/>
          <w:color w:val="000000"/>
          <w:shd w:val="clear" w:color="auto" w:fill="FFFFFF"/>
        </w:rPr>
        <w:t>Constitución Política del Estado Libre y Soberano de México</w:t>
      </w:r>
      <w:r w:rsidRPr="00866A41">
        <w:rPr>
          <w:rFonts w:ascii="Palatino Linotype" w:hAnsi="Palatino Linotype"/>
          <w:color w:val="000000"/>
          <w:shd w:val="clear" w:color="auto" w:fill="FFFFFF"/>
        </w:rPr>
        <w:t>; artículos 1, 2 fracción II, 13, 29, 36 fracciones I y II, 176, 178, 179, 181 párrafo tercero y 185 de la </w:t>
      </w:r>
      <w:r w:rsidRPr="00866A41">
        <w:rPr>
          <w:rFonts w:ascii="Palatino Linotype" w:hAnsi="Palatino Linotype"/>
          <w:b/>
          <w:bCs/>
          <w:color w:val="000000"/>
          <w:shd w:val="clear" w:color="auto" w:fill="FFFFFF"/>
        </w:rPr>
        <w:t>Ley de Transparencia y Acceso a la Información Pública del Estado de México y Municipios</w:t>
      </w:r>
      <w:r w:rsidRPr="00866A41">
        <w:rPr>
          <w:rFonts w:ascii="Palatino Linotype" w:hAnsi="Palatino Linotype"/>
          <w:color w:val="000000"/>
          <w:shd w:val="clear" w:color="auto" w:fill="FFFFFF"/>
        </w:rPr>
        <w:t>; y 7, 9 fracciones I y XXIII, y 11 del </w:t>
      </w:r>
      <w:r w:rsidRPr="00866A41">
        <w:rPr>
          <w:rFonts w:ascii="Palatino Linotype" w:hAnsi="Palatino Linotype"/>
          <w:b/>
          <w:bCs/>
          <w:color w:val="000000"/>
          <w:shd w:val="clear" w:color="auto" w:fill="FFFFFF"/>
        </w:rPr>
        <w:t xml:space="preserve">Reglamento Interior del Instituto de </w:t>
      </w:r>
      <w:r w:rsidRPr="00866A41">
        <w:rPr>
          <w:rFonts w:ascii="Palatino Linotype" w:hAnsi="Palatino Linotype"/>
          <w:b/>
          <w:bCs/>
          <w:color w:val="000000"/>
          <w:shd w:val="clear" w:color="auto" w:fill="FFFFFF"/>
        </w:rPr>
        <w:lastRenderedPageBreak/>
        <w:t>Transparencia, Acceso a la Información Pública y Protección de Datos Personales del Estado de México y Municipios</w:t>
      </w:r>
      <w:r w:rsidRPr="00866A41">
        <w:rPr>
          <w:rFonts w:ascii="Palatino Linotype" w:hAnsi="Palatino Linotype"/>
          <w:color w:val="000000"/>
          <w:shd w:val="clear" w:color="auto" w:fill="FFFFFF"/>
        </w:rPr>
        <w:t>.</w:t>
      </w:r>
      <w:r w:rsidR="001E3125" w:rsidRPr="00866A41">
        <w:rPr>
          <w:rFonts w:ascii="Palatino Linotype" w:eastAsia="Palatino Linotype" w:hAnsi="Palatino Linotype" w:cs="Palatino Linotype"/>
          <w:b/>
        </w:rPr>
        <w:t>.</w:t>
      </w:r>
    </w:p>
    <w:p w:rsidR="00E94D86" w:rsidRPr="00866A41" w:rsidRDefault="00E94D86" w:rsidP="004414BC">
      <w:pPr>
        <w:ind w:right="1"/>
        <w:jc w:val="both"/>
        <w:rPr>
          <w:rFonts w:ascii="Palatino Linotype" w:eastAsia="Palatino Linotype" w:hAnsi="Palatino Linotype" w:cs="Palatino Linotype"/>
          <w:b/>
        </w:rPr>
      </w:pPr>
    </w:p>
    <w:p w:rsidR="00E94D86" w:rsidRPr="00866A41"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1" w:name="_heading=h.3dy6vkm" w:colFirst="0" w:colLast="0"/>
      <w:bookmarkEnd w:id="1"/>
      <w:r w:rsidRPr="00866A41">
        <w:rPr>
          <w:rFonts w:ascii="Palatino Linotype" w:eastAsia="Palatino Linotype" w:hAnsi="Palatino Linotype" w:cs="Palatino Linotype"/>
        </w:rPr>
        <w:t xml:space="preserve">El medio de impugnación fue presentado a través del </w:t>
      </w:r>
      <w:r w:rsidRPr="00866A41">
        <w:rPr>
          <w:rFonts w:ascii="Palatino Linotype" w:eastAsia="Palatino Linotype" w:hAnsi="Palatino Linotype" w:cs="Palatino Linotype"/>
          <w:b/>
        </w:rPr>
        <w:t>SAIMEX,</w:t>
      </w:r>
      <w:r w:rsidRPr="00866A41">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entregó respuesta el </w:t>
      </w:r>
      <w:r w:rsidR="00111EA4" w:rsidRPr="00866A41">
        <w:rPr>
          <w:rFonts w:ascii="Palatino Linotype" w:eastAsia="Palatino Linotype" w:hAnsi="Palatino Linotype" w:cs="Palatino Linotype"/>
          <w:b/>
        </w:rPr>
        <w:t xml:space="preserve">doce de agosto </w:t>
      </w:r>
      <w:r w:rsidR="00BD0386"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 xml:space="preserve">, de tal forma que el plazo para interponer el recurso de revisión transcurrió del </w:t>
      </w:r>
      <w:r w:rsidR="00866A41" w:rsidRPr="00866A41">
        <w:rPr>
          <w:rFonts w:ascii="Palatino Linotype" w:eastAsia="Palatino Linotype" w:hAnsi="Palatino Linotype" w:cs="Palatino Linotype"/>
          <w:b/>
        </w:rPr>
        <w:t>trece</w:t>
      </w:r>
      <w:r w:rsidR="00111EA4" w:rsidRPr="00866A41">
        <w:rPr>
          <w:rFonts w:ascii="Palatino Linotype" w:eastAsia="Palatino Linotype" w:hAnsi="Palatino Linotype" w:cs="Palatino Linotype"/>
          <w:b/>
        </w:rPr>
        <w:t xml:space="preserve"> de agosto al dos de septiembre </w:t>
      </w:r>
      <w:r w:rsidR="00A6501F"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 xml:space="preserve">; en consecuencia, presentó su inconformidad el </w:t>
      </w:r>
      <w:r w:rsidR="00111EA4" w:rsidRPr="00866A41">
        <w:rPr>
          <w:rFonts w:ascii="Palatino Linotype" w:eastAsia="Palatino Linotype" w:hAnsi="Palatino Linotype" w:cs="Palatino Linotype"/>
          <w:b/>
        </w:rPr>
        <w:t xml:space="preserve">veintiséis de agosto </w:t>
      </w:r>
      <w:r w:rsidR="00BD0386" w:rsidRPr="00866A41">
        <w:rPr>
          <w:rFonts w:ascii="Palatino Linotype" w:eastAsia="Palatino Linotype" w:hAnsi="Palatino Linotype" w:cs="Palatino Linotype"/>
          <w:b/>
        </w:rPr>
        <w:t>de dos mil veinticinco</w:t>
      </w:r>
      <w:r w:rsidRPr="00866A41">
        <w:rPr>
          <w:rFonts w:ascii="Palatino Linotype" w:eastAsia="Palatino Linotype" w:hAnsi="Palatino Linotype" w:cs="Palatino Linotype"/>
        </w:rPr>
        <w:t xml:space="preserve">, por lo que se encuentra dentro de los márgenes temporales previstos en el artículo 178 de la </w:t>
      </w:r>
      <w:r w:rsidRPr="00866A41">
        <w:rPr>
          <w:rFonts w:ascii="Palatino Linotype" w:eastAsia="Palatino Linotype" w:hAnsi="Palatino Linotype" w:cs="Palatino Linotype"/>
          <w:b/>
        </w:rPr>
        <w:t xml:space="preserve">Ley de Transparencia y Acceso a la Información Pública del Estado de México y Municipios </w:t>
      </w:r>
      <w:r w:rsidRPr="00866A41">
        <w:rPr>
          <w:rFonts w:ascii="Palatino Linotype" w:eastAsia="Palatino Linotype" w:hAnsi="Palatino Linotype" w:cs="Palatino Linotype"/>
        </w:rPr>
        <w:t>vigente.</w:t>
      </w:r>
    </w:p>
    <w:p w:rsidR="00AF2A58" w:rsidRPr="00866A41" w:rsidRDefault="00AF2A58" w:rsidP="00A30F8D">
      <w:pPr>
        <w:ind w:right="1"/>
        <w:jc w:val="both"/>
        <w:rPr>
          <w:rFonts w:ascii="Palatino Linotype" w:eastAsia="Palatino Linotype" w:hAnsi="Palatino Linotype" w:cs="Palatino Linotype"/>
          <w:b/>
        </w:rPr>
      </w:pPr>
    </w:p>
    <w:p w:rsidR="00E94D86" w:rsidRPr="00866A41" w:rsidRDefault="001E3125">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866A41" w:rsidRDefault="00E94D86" w:rsidP="00A30F8D">
      <w:pPr>
        <w:ind w:right="-592"/>
        <w:jc w:val="both"/>
        <w:rPr>
          <w:rFonts w:ascii="Palatino Linotype" w:eastAsia="Palatino Linotype" w:hAnsi="Palatino Linotype" w:cs="Palatino Linotype"/>
          <w:b/>
        </w:rPr>
      </w:pPr>
    </w:p>
    <w:p w:rsidR="00E94D86" w:rsidRPr="00866A41" w:rsidRDefault="001E3125">
      <w:pPr>
        <w:spacing w:line="360" w:lineRule="auto"/>
        <w:ind w:right="-592"/>
        <w:jc w:val="both"/>
        <w:rPr>
          <w:rFonts w:ascii="Palatino Linotype" w:eastAsia="Palatino Linotype" w:hAnsi="Palatino Linotype" w:cs="Palatino Linotype"/>
          <w:b/>
        </w:rPr>
      </w:pPr>
      <w:r w:rsidRPr="00866A41">
        <w:rPr>
          <w:rFonts w:ascii="Palatino Linotype" w:eastAsia="Palatino Linotype" w:hAnsi="Palatino Linotype" w:cs="Palatino Linotype"/>
          <w:b/>
        </w:rPr>
        <w:t xml:space="preserve">TERCERO. </w:t>
      </w:r>
      <w:r w:rsidR="00F01E50" w:rsidRPr="00866A41">
        <w:rPr>
          <w:rFonts w:ascii="Palatino Linotype" w:eastAsia="Palatino Linotype" w:hAnsi="Palatino Linotype" w:cs="Palatino Linotype"/>
          <w:b/>
          <w:color w:val="000000"/>
        </w:rPr>
        <w:t>De las causales del sobreseimiento.</w:t>
      </w:r>
    </w:p>
    <w:p w:rsidR="009A278E" w:rsidRPr="00866A41" w:rsidRDefault="00F01E50" w:rsidP="009A278E">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El </w:t>
      </w:r>
      <w:r w:rsidR="009A278E" w:rsidRPr="00866A41">
        <w:rPr>
          <w:rFonts w:ascii="Palatino Linotype" w:eastAsia="Palatino Linotype" w:hAnsi="Palatino Linotype" w:cs="Palatino Linotype"/>
          <w:color w:val="000000"/>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009A278E" w:rsidRPr="00866A41">
        <w:rPr>
          <w:rFonts w:ascii="Palatino Linotype" w:eastAsia="Palatino Linotype" w:hAnsi="Palatino Linotype" w:cs="Palatino Linotype"/>
          <w:b/>
          <w:color w:val="000000"/>
          <w:u w:val="single"/>
        </w:rPr>
        <w:t>sobreseimiento</w:t>
      </w:r>
      <w:r w:rsidR="009A278E" w:rsidRPr="00866A41">
        <w:rPr>
          <w:rFonts w:ascii="Palatino Linotype" w:eastAsia="Palatino Linotype" w:hAnsi="Palatino Linotype" w:cs="Palatino Linotype"/>
          <w:color w:val="000000"/>
        </w:rPr>
        <w:t xml:space="preserve">; y en su caso ordenar la entrega de la información con respecto a la respuesta emitida por el </w:t>
      </w:r>
      <w:r w:rsidR="009A278E" w:rsidRPr="00866A41">
        <w:rPr>
          <w:rFonts w:ascii="Palatino Linotype" w:eastAsia="Palatino Linotype" w:hAnsi="Palatino Linotype" w:cs="Palatino Linotype"/>
          <w:b/>
          <w:color w:val="000000"/>
        </w:rPr>
        <w:t>SUJETO</w:t>
      </w:r>
      <w:r w:rsidR="009A278E" w:rsidRPr="00866A41">
        <w:rPr>
          <w:rFonts w:ascii="Palatino Linotype" w:eastAsia="Palatino Linotype" w:hAnsi="Palatino Linotype" w:cs="Palatino Linotype"/>
          <w:color w:val="000000"/>
        </w:rPr>
        <w:t xml:space="preserve"> </w:t>
      </w:r>
      <w:r w:rsidR="009A278E" w:rsidRPr="00866A41">
        <w:rPr>
          <w:rFonts w:ascii="Palatino Linotype" w:eastAsia="Palatino Linotype" w:hAnsi="Palatino Linotype" w:cs="Palatino Linotype"/>
          <w:b/>
          <w:color w:val="000000"/>
        </w:rPr>
        <w:t>OBLIGADO</w:t>
      </w:r>
      <w:r w:rsidR="009A278E" w:rsidRPr="00866A41">
        <w:rPr>
          <w:rFonts w:ascii="Palatino Linotype" w:eastAsia="Palatino Linotype" w:hAnsi="Palatino Linotype" w:cs="Palatino Linotype"/>
          <w:color w:val="000000"/>
        </w:rPr>
        <w:t>.</w:t>
      </w:r>
    </w:p>
    <w:p w:rsidR="009A278E" w:rsidRPr="00866A41" w:rsidRDefault="009A278E" w:rsidP="00A30F8D">
      <w:pPr>
        <w:ind w:right="1"/>
        <w:jc w:val="both"/>
        <w:rPr>
          <w:rFonts w:ascii="Palatino Linotype" w:eastAsia="Palatino Linotype" w:hAnsi="Palatino Linotype" w:cs="Palatino Linotype"/>
          <w:b/>
        </w:rPr>
      </w:pPr>
    </w:p>
    <w:p w:rsidR="009A278E" w:rsidRPr="00866A41"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000000"/>
        </w:rPr>
        <w:lastRenderedPageBreak/>
        <w:t xml:space="preserve">De acuerdo al precepto legal contenido en la fracción III del artículo 192 de la </w:t>
      </w:r>
      <w:r w:rsidRPr="00866A41">
        <w:rPr>
          <w:rFonts w:ascii="Palatino Linotype" w:eastAsia="Palatino Linotype" w:hAnsi="Palatino Linotype" w:cs="Palatino Linotype"/>
          <w:b/>
          <w:color w:val="000000"/>
        </w:rPr>
        <w:t>Ley de Transparencia y Acceso a la Información Pública del Estado de México y Municipios</w:t>
      </w:r>
      <w:r w:rsidRPr="00866A41">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A278E" w:rsidRPr="00866A41" w:rsidRDefault="009A278E" w:rsidP="00A30F8D">
      <w:pPr>
        <w:rPr>
          <w:rFonts w:ascii="Palatino Linotype" w:eastAsia="Palatino Linotype" w:hAnsi="Palatino Linotype" w:cs="Palatino Linotype"/>
          <w:color w:val="000000"/>
        </w:rPr>
      </w:pPr>
    </w:p>
    <w:p w:rsidR="009A278E" w:rsidRPr="00866A41"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866A41">
        <w:rPr>
          <w:rFonts w:ascii="Palatino Linotype" w:eastAsia="Palatino Linotype" w:hAnsi="Palatino Linotype" w:cs="Palatino Linotype"/>
          <w:b/>
          <w:color w:val="000000"/>
        </w:rPr>
        <w:t>SUJETO OBLIGADO</w:t>
      </w:r>
      <w:r w:rsidRPr="00866A41">
        <w:rPr>
          <w:rFonts w:ascii="Palatino Linotype" w:eastAsia="Palatino Linotype" w:hAnsi="Palatino Linotype" w:cs="Palatino Linotype"/>
          <w:color w:val="000000"/>
        </w:rPr>
        <w:t>:</w:t>
      </w:r>
    </w:p>
    <w:p w:rsidR="009A278E" w:rsidRPr="00866A41" w:rsidRDefault="009A278E" w:rsidP="009A278E">
      <w:pPr>
        <w:numPr>
          <w:ilvl w:val="0"/>
          <w:numId w:val="31"/>
        </w:numPr>
        <w:ind w:left="567" w:right="565" w:firstLine="0"/>
        <w:jc w:val="both"/>
        <w:rPr>
          <w:rFonts w:ascii="Palatino Linotype" w:eastAsia="Palatino Linotype" w:hAnsi="Palatino Linotype" w:cs="Palatino Linotype"/>
        </w:rPr>
      </w:pPr>
      <w:r w:rsidRPr="00866A41">
        <w:rPr>
          <w:rFonts w:ascii="Palatino Linotype" w:eastAsia="Palatino Linotype" w:hAnsi="Palatino Linotype" w:cs="Palatino Linotype"/>
          <w:b/>
        </w:rPr>
        <w:t>Modifique el acto impugnado:</w:t>
      </w:r>
      <w:r w:rsidRPr="00866A41">
        <w:rPr>
          <w:rFonts w:ascii="Palatino Linotype" w:eastAsia="Palatino Linotype" w:hAnsi="Palatino Linotype" w:cs="Palatino Linotype"/>
        </w:rPr>
        <w:t xml:space="preserve"> Se actualiza cuando 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9A278E" w:rsidRPr="00866A41" w:rsidRDefault="009A278E" w:rsidP="009A278E">
      <w:pPr>
        <w:ind w:left="567" w:right="565"/>
        <w:jc w:val="both"/>
        <w:rPr>
          <w:rFonts w:ascii="Palatino Linotype" w:eastAsia="Palatino Linotype" w:hAnsi="Palatino Linotype" w:cs="Palatino Linotype"/>
        </w:rPr>
      </w:pPr>
    </w:p>
    <w:p w:rsidR="009A278E" w:rsidRPr="00866A41" w:rsidRDefault="009A278E" w:rsidP="009A278E">
      <w:pPr>
        <w:numPr>
          <w:ilvl w:val="0"/>
          <w:numId w:val="31"/>
        </w:numPr>
        <w:ind w:left="567" w:right="565" w:firstLine="0"/>
        <w:jc w:val="both"/>
        <w:rPr>
          <w:rFonts w:ascii="Palatino Linotype" w:eastAsia="Palatino Linotype" w:hAnsi="Palatino Linotype" w:cs="Palatino Linotype"/>
        </w:rPr>
      </w:pPr>
      <w:r w:rsidRPr="00866A41">
        <w:rPr>
          <w:rFonts w:ascii="Palatino Linotype" w:eastAsia="Palatino Linotype" w:hAnsi="Palatino Linotype" w:cs="Palatino Linotype"/>
          <w:b/>
        </w:rPr>
        <w:t>Revoque el acto impugnado:</w:t>
      </w:r>
      <w:r w:rsidRPr="00866A41">
        <w:rPr>
          <w:rFonts w:ascii="Palatino Linotype" w:eastAsia="Palatino Linotype" w:hAnsi="Palatino Linotype" w:cs="Palatino Linotype"/>
        </w:rPr>
        <w:t xml:space="preserve"> En este supuesto, 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9A278E" w:rsidRPr="00866A41" w:rsidRDefault="009A278E" w:rsidP="00A30F8D">
      <w:pPr>
        <w:ind w:right="1"/>
        <w:jc w:val="both"/>
        <w:rPr>
          <w:rFonts w:ascii="Palatino Linotype" w:eastAsia="Palatino Linotype" w:hAnsi="Palatino Linotype" w:cs="Palatino Linotype"/>
          <w:b/>
        </w:rPr>
      </w:pPr>
    </w:p>
    <w:p w:rsidR="009A278E" w:rsidRPr="00866A41" w:rsidRDefault="009A278E" w:rsidP="009A278E">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A278E" w:rsidRPr="00866A41" w:rsidRDefault="009A278E" w:rsidP="00A30F8D">
      <w:pPr>
        <w:ind w:right="1"/>
        <w:jc w:val="both"/>
        <w:rPr>
          <w:rFonts w:ascii="Palatino Linotype" w:eastAsia="Palatino Linotype" w:hAnsi="Palatino Linotype" w:cs="Palatino Linotype"/>
          <w:b/>
        </w:rPr>
      </w:pPr>
    </w:p>
    <w:p w:rsidR="00111EA4" w:rsidRPr="00866A41" w:rsidRDefault="009A278E" w:rsidP="000E2127">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En el presente caso, el </w:t>
      </w:r>
      <w:r w:rsidRPr="00866A41">
        <w:rPr>
          <w:rFonts w:ascii="Palatino Linotype" w:eastAsia="Palatino Linotype" w:hAnsi="Palatino Linotype" w:cs="Palatino Linotype"/>
          <w:b/>
        </w:rPr>
        <w:t xml:space="preserve">RECURRENTE </w:t>
      </w:r>
      <w:r w:rsidRPr="00866A41">
        <w:rPr>
          <w:rFonts w:ascii="Palatino Linotype" w:eastAsia="Palatino Linotype" w:hAnsi="Palatino Linotype" w:cs="Palatino Linotype"/>
        </w:rPr>
        <w:t xml:space="preserve">solicitó </w:t>
      </w:r>
      <w:r w:rsidR="00111EA4" w:rsidRPr="00866A41">
        <w:rPr>
          <w:rFonts w:ascii="Palatino Linotype" w:eastAsia="Palatino Linotype" w:hAnsi="Palatino Linotype" w:cs="Palatino Linotype"/>
          <w:b/>
        </w:rPr>
        <w:t xml:space="preserve">copia simple de cada uno de los documentos presentados por la Directora General del Sistema Municipal para el Desarrollo </w:t>
      </w:r>
      <w:r w:rsidR="00111EA4" w:rsidRPr="00866A41">
        <w:rPr>
          <w:rFonts w:ascii="Palatino Linotype" w:eastAsia="Palatino Linotype" w:hAnsi="Palatino Linotype" w:cs="Palatino Linotype"/>
          <w:b/>
        </w:rPr>
        <w:lastRenderedPageBreak/>
        <w:t>Integral de la Familia de Chicoloapan y que den cumplimiento a lo establecido en el artículo 32 de la Ley Orgánica Municipal del Estado de México</w:t>
      </w:r>
    </w:p>
    <w:p w:rsidR="00111EA4" w:rsidRPr="00866A41" w:rsidRDefault="00111EA4" w:rsidP="00111EA4">
      <w:pPr>
        <w:pStyle w:val="Prrafodelista"/>
        <w:rPr>
          <w:rFonts w:ascii="Palatino Linotype" w:eastAsia="Palatino Linotype" w:hAnsi="Palatino Linotype" w:cs="Palatino Linotype"/>
          <w:b/>
          <w:sz w:val="24"/>
        </w:rPr>
      </w:pPr>
    </w:p>
    <w:p w:rsidR="00200C1A" w:rsidRPr="00866A41" w:rsidRDefault="00D74408" w:rsidP="00200C1A">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En respuesta, </w:t>
      </w:r>
      <w:r w:rsidRPr="00866A41">
        <w:rPr>
          <w:rFonts w:ascii="Palatino Linotype" w:hAnsi="Palatino Linotype"/>
        </w:rPr>
        <w:t xml:space="preserve">el </w:t>
      </w:r>
      <w:r w:rsidR="00D831BA" w:rsidRPr="00866A41">
        <w:rPr>
          <w:rFonts w:ascii="Palatino Linotype" w:hAnsi="Palatino Linotype"/>
          <w:b/>
        </w:rPr>
        <w:t>SUJETO OBLIGADO</w:t>
      </w:r>
      <w:r w:rsidR="00D831BA" w:rsidRPr="00866A41">
        <w:rPr>
          <w:rFonts w:ascii="Palatino Linotype" w:hAnsi="Palatino Linotype"/>
        </w:rPr>
        <w:t xml:space="preserve"> </w:t>
      </w:r>
      <w:r w:rsidR="00D831BA" w:rsidRPr="00866A41">
        <w:rPr>
          <w:rFonts w:ascii="Palatino Linotype" w:eastAsia="Palatino Linotype" w:hAnsi="Palatino Linotype" w:cs="Palatino Linotype"/>
        </w:rPr>
        <w:t xml:space="preserve">por medio de </w:t>
      </w:r>
      <w:r w:rsidR="00CB0E45" w:rsidRPr="00866A41">
        <w:rPr>
          <w:rFonts w:ascii="Palatino Linotype" w:eastAsia="Palatino Linotype" w:hAnsi="Palatino Linotype" w:cs="Palatino Linotype"/>
        </w:rPr>
        <w:t xml:space="preserve">la </w:t>
      </w:r>
      <w:r w:rsidR="00111EA4" w:rsidRPr="00866A41">
        <w:rPr>
          <w:rFonts w:ascii="Palatino Linotype" w:eastAsia="Palatino Linotype" w:hAnsi="Palatino Linotype" w:cs="Palatino Linotype"/>
          <w:b/>
        </w:rPr>
        <w:t>Titular del Departamento de Recursos Humanos</w:t>
      </w:r>
      <w:r w:rsidR="00131575" w:rsidRPr="00866A41">
        <w:rPr>
          <w:rFonts w:ascii="Palatino Linotype" w:hAnsi="Palatino Linotype"/>
        </w:rPr>
        <w:t xml:space="preserve">, </w:t>
      </w:r>
      <w:r w:rsidR="00200C1A" w:rsidRPr="00866A41">
        <w:rPr>
          <w:rFonts w:ascii="Palatino Linotype" w:hAnsi="Palatino Linotype"/>
        </w:rPr>
        <w:t xml:space="preserve">remitió </w:t>
      </w:r>
      <w:r w:rsidR="00200C1A" w:rsidRPr="00866A41">
        <w:rPr>
          <w:rFonts w:ascii="Palatino Linotype" w:eastAsia="Palatino Linotype" w:hAnsi="Palatino Linotype" w:cs="Palatino Linotype"/>
        </w:rPr>
        <w:t>los siguientes documentos en versión pública.</w:t>
      </w:r>
    </w:p>
    <w:p w:rsidR="00200C1A" w:rsidRPr="00866A41" w:rsidRDefault="00200C1A" w:rsidP="00200C1A">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 xml:space="preserve">Currículum </w:t>
      </w:r>
    </w:p>
    <w:p w:rsidR="00200C1A" w:rsidRPr="00866A41" w:rsidRDefault="00200C1A" w:rsidP="00200C1A">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INE</w:t>
      </w:r>
    </w:p>
    <w:p w:rsidR="00200C1A" w:rsidRPr="00866A41" w:rsidRDefault="00200C1A" w:rsidP="00200C1A">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Constancia de no Inhabilitación</w:t>
      </w:r>
    </w:p>
    <w:p w:rsidR="00200C1A" w:rsidRPr="00866A41" w:rsidRDefault="00200C1A" w:rsidP="00200C1A">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Antecedentes no Penales</w:t>
      </w:r>
    </w:p>
    <w:p w:rsidR="00200C1A" w:rsidRPr="00866A41" w:rsidRDefault="00200C1A" w:rsidP="00200C1A">
      <w:pPr>
        <w:pStyle w:val="Prrafodelista"/>
        <w:numPr>
          <w:ilvl w:val="0"/>
          <w:numId w:val="40"/>
        </w:numPr>
        <w:ind w:right="257"/>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 xml:space="preserve">Certificado de no Deudos Alimentario Moroso </w:t>
      </w:r>
    </w:p>
    <w:p w:rsidR="00200C1A" w:rsidRPr="00866A41" w:rsidRDefault="00200C1A" w:rsidP="00200C1A">
      <w:pPr>
        <w:pStyle w:val="Prrafodelista"/>
        <w:rPr>
          <w:rFonts w:ascii="Palatino Linotype" w:hAnsi="Palatino Linotype"/>
          <w:sz w:val="24"/>
        </w:rPr>
      </w:pPr>
    </w:p>
    <w:p w:rsidR="00D74408" w:rsidRDefault="00041C32" w:rsidP="00D74408">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Al respecto, el </w:t>
      </w:r>
      <w:r w:rsidRPr="00866A41">
        <w:rPr>
          <w:rFonts w:ascii="Palatino Linotype" w:eastAsia="Palatino Linotype" w:hAnsi="Palatino Linotype" w:cs="Palatino Linotype"/>
          <w:b/>
        </w:rPr>
        <w:t xml:space="preserve">RECURRENTE </w:t>
      </w:r>
      <w:r w:rsidRPr="00866A41">
        <w:rPr>
          <w:rFonts w:ascii="Palatino Linotype" w:eastAsia="Palatino Linotype" w:hAnsi="Palatino Linotype" w:cs="Palatino Linotype"/>
        </w:rPr>
        <w:t>interpuso el recurso de revisión en contra de la respuesta, por medio del cual, manifestó que</w:t>
      </w:r>
      <w:r w:rsidR="00200C1A" w:rsidRPr="00866A41">
        <w:rPr>
          <w:rFonts w:ascii="Palatino Linotype" w:eastAsia="Palatino Linotype" w:hAnsi="Palatino Linotype" w:cs="Palatino Linotype"/>
          <w:b/>
        </w:rPr>
        <w:t xml:space="preserve"> no se exhibe el documento que avala la fracción IV del artículo 32 de la Ley Orgánica Municipal del Estado de México</w:t>
      </w:r>
      <w:r w:rsidR="00545592" w:rsidRPr="00866A41">
        <w:rPr>
          <w:rFonts w:ascii="Palatino Linotype" w:eastAsia="Palatino Linotype" w:hAnsi="Palatino Linotype" w:cs="Palatino Linotype"/>
          <w:b/>
        </w:rPr>
        <w:t>.</w:t>
      </w:r>
    </w:p>
    <w:p w:rsidR="00866A41" w:rsidRPr="00866A41" w:rsidRDefault="00866A41" w:rsidP="00866A41">
      <w:pPr>
        <w:spacing w:line="360" w:lineRule="auto"/>
        <w:ind w:right="1"/>
        <w:jc w:val="both"/>
        <w:rPr>
          <w:rFonts w:ascii="Palatino Linotype" w:eastAsia="Palatino Linotype" w:hAnsi="Palatino Linotype" w:cs="Palatino Linotype"/>
          <w:b/>
        </w:rPr>
      </w:pPr>
    </w:p>
    <w:p w:rsidR="00FA1A2D" w:rsidRPr="00866A41" w:rsidRDefault="00FA1A2D" w:rsidP="00FA1A2D">
      <w:pPr>
        <w:numPr>
          <w:ilvl w:val="0"/>
          <w:numId w:val="1"/>
        </w:numPr>
        <w:spacing w:line="360" w:lineRule="auto"/>
        <w:ind w:left="0" w:right="49" w:firstLine="0"/>
        <w:contextualSpacing/>
        <w:jc w:val="both"/>
        <w:rPr>
          <w:rFonts w:ascii="Palatino Linotype" w:hAnsi="Palatino Linotype"/>
          <w:color w:val="000000"/>
        </w:rPr>
      </w:pPr>
      <w:r w:rsidRPr="00866A41">
        <w:rPr>
          <w:rFonts w:ascii="Palatino Linotype" w:hAnsi="Palatino Linotype"/>
          <w:color w:val="000000"/>
        </w:rPr>
        <w:t>Ahora bien</w:t>
      </w:r>
      <w:r w:rsidRPr="00866A41">
        <w:rPr>
          <w:rFonts w:ascii="Palatino Linotype" w:eastAsia="MS Mincho" w:hAnsi="Palatino Linotype"/>
          <w:lang w:val="es-ES_tradnl" w:eastAsia="es-ES"/>
        </w:rPr>
        <w:t xml:space="preserve">, se advierte que hay </w:t>
      </w:r>
      <w:r w:rsidRPr="00866A41">
        <w:rPr>
          <w:rFonts w:ascii="Palatino Linotype" w:eastAsia="Palatino Linotype" w:hAnsi="Palatino Linotype" w:cs="Palatino Linotype"/>
        </w:rPr>
        <w:t xml:space="preserve">elementos entregados en respuesta por parte del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sobre los cuales </w:t>
      </w:r>
      <w:r w:rsidRPr="00866A41">
        <w:rPr>
          <w:rFonts w:ascii="Palatino Linotype" w:eastAsia="Palatino Linotype" w:hAnsi="Palatino Linotype" w:cs="Palatino Linotype"/>
          <w:bCs/>
        </w:rPr>
        <w:t xml:space="preserve">el </w:t>
      </w:r>
      <w:r w:rsidRPr="00866A41">
        <w:rPr>
          <w:rFonts w:ascii="Palatino Linotype" w:eastAsia="Palatino Linotype" w:hAnsi="Palatino Linotype" w:cs="Palatino Linotype"/>
          <w:b/>
        </w:rPr>
        <w:t>RECURRENTE</w:t>
      </w:r>
      <w:r w:rsidRPr="00866A41">
        <w:rPr>
          <w:rFonts w:ascii="Palatino Linotype" w:eastAsia="Palatino Linotype" w:hAnsi="Palatino Linotype" w:cs="Palatino Linotype"/>
          <w:bCs/>
        </w:rPr>
        <w:t xml:space="preserve"> no</w:t>
      </w:r>
      <w:r w:rsidRPr="00866A41">
        <w:rPr>
          <w:rFonts w:ascii="Palatino Linotype" w:eastAsia="Palatino Linotype" w:hAnsi="Palatino Linotype" w:cs="Palatino Linotype"/>
        </w:rPr>
        <w:t xml:space="preserve"> se inconformó.</w:t>
      </w:r>
    </w:p>
    <w:p w:rsidR="00FA1A2D" w:rsidRPr="00866A41" w:rsidRDefault="00FA1A2D" w:rsidP="00FA1A2D">
      <w:pPr>
        <w:spacing w:line="360" w:lineRule="auto"/>
        <w:rPr>
          <w:rFonts w:ascii="Palatino Linotype" w:hAnsi="Palatino Linotype"/>
          <w:color w:val="000000"/>
        </w:rPr>
      </w:pPr>
    </w:p>
    <w:p w:rsidR="00FA1A2D" w:rsidRPr="00866A41" w:rsidRDefault="00FA1A2D" w:rsidP="00FA1A2D">
      <w:pPr>
        <w:numPr>
          <w:ilvl w:val="0"/>
          <w:numId w:val="1"/>
        </w:numPr>
        <w:spacing w:line="360" w:lineRule="auto"/>
        <w:ind w:left="0" w:right="49" w:firstLine="0"/>
        <w:contextualSpacing/>
        <w:jc w:val="both"/>
        <w:rPr>
          <w:rFonts w:ascii="Palatino Linotype" w:hAnsi="Palatino Linotype"/>
          <w:color w:val="000000"/>
        </w:rPr>
      </w:pPr>
      <w:r w:rsidRPr="00866A41">
        <w:rPr>
          <w:rFonts w:ascii="Palatino Linotype" w:hAnsi="Palatino Linotype"/>
          <w:color w:val="000000"/>
        </w:rPr>
        <w:t xml:space="preserve">En </w:t>
      </w:r>
      <w:r w:rsidRPr="00866A41">
        <w:rPr>
          <w:rFonts w:ascii="Palatino Linotype" w:eastAsia="MS Mincho" w:hAnsi="Palatino Linotype"/>
          <w:lang w:val="es-ES_tradnl" w:eastAsia="es-ES"/>
        </w:rPr>
        <w:t xml:space="preserve">este sentido, </w:t>
      </w:r>
      <w:r w:rsidRPr="00866A41">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FA1A2D" w:rsidRPr="00866A41" w:rsidRDefault="00FA1A2D" w:rsidP="00FA1A2D">
      <w:pPr>
        <w:spacing w:line="360" w:lineRule="auto"/>
        <w:ind w:right="49"/>
        <w:contextualSpacing/>
        <w:jc w:val="both"/>
        <w:rPr>
          <w:rFonts w:ascii="Palatino Linotype" w:hAnsi="Palatino Linotype"/>
          <w:color w:val="000000"/>
        </w:rPr>
      </w:pPr>
    </w:p>
    <w:p w:rsidR="00FA1A2D" w:rsidRPr="00866A41" w:rsidRDefault="00FA1A2D" w:rsidP="00FA1A2D">
      <w:pPr>
        <w:numPr>
          <w:ilvl w:val="0"/>
          <w:numId w:val="1"/>
        </w:numPr>
        <w:spacing w:line="360" w:lineRule="auto"/>
        <w:ind w:left="0" w:right="49" w:firstLine="0"/>
        <w:contextualSpacing/>
        <w:jc w:val="both"/>
        <w:rPr>
          <w:rFonts w:ascii="Palatino Linotype" w:hAnsi="Palatino Linotype"/>
          <w:color w:val="000000"/>
        </w:rPr>
      </w:pPr>
      <w:r w:rsidRPr="00866A41">
        <w:rPr>
          <w:rFonts w:ascii="Palatino Linotype" w:hAnsi="Palatino Linotype"/>
          <w:color w:val="000000"/>
        </w:rPr>
        <w:t xml:space="preserve">Sirve </w:t>
      </w:r>
      <w:r w:rsidRPr="00866A41">
        <w:rPr>
          <w:rFonts w:ascii="Palatino Linotype" w:eastAsia="MS Mincho" w:hAnsi="Palatino Linotype"/>
          <w:lang w:val="es-ES_tradnl" w:eastAsia="es-ES"/>
        </w:rPr>
        <w:t xml:space="preserve">de sustento, </w:t>
      </w:r>
      <w:r w:rsidRPr="00866A41">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rsidR="00FA1A2D" w:rsidRPr="00866A41" w:rsidRDefault="00FA1A2D" w:rsidP="00FA1A2D">
      <w:pPr>
        <w:spacing w:line="360" w:lineRule="auto"/>
        <w:ind w:right="49"/>
        <w:contextualSpacing/>
        <w:jc w:val="both"/>
        <w:rPr>
          <w:rFonts w:ascii="Palatino Linotype" w:hAnsi="Palatino Linotype"/>
          <w:color w:val="000000"/>
        </w:rPr>
      </w:pPr>
    </w:p>
    <w:p w:rsidR="00FA1A2D" w:rsidRPr="00866A41" w:rsidRDefault="00FA1A2D" w:rsidP="00FA1A2D">
      <w:pPr>
        <w:tabs>
          <w:tab w:val="left" w:pos="851"/>
        </w:tabs>
        <w:ind w:left="567" w:right="616"/>
        <w:jc w:val="both"/>
        <w:rPr>
          <w:rFonts w:ascii="Palatino Linotype" w:eastAsia="Palatino Linotype" w:hAnsi="Palatino Linotype" w:cs="Palatino Linotype"/>
          <w:i/>
        </w:rPr>
      </w:pPr>
      <w:r w:rsidRPr="00866A41">
        <w:rPr>
          <w:rFonts w:ascii="Palatino Linotype" w:eastAsia="Palatino Linotype" w:hAnsi="Palatino Linotype" w:cs="Palatino Linotype"/>
          <w:b/>
          <w:i/>
        </w:rPr>
        <w:lastRenderedPageBreak/>
        <w:t xml:space="preserve">“ACTOS CONSENTIDOS. SON LOS QUE NO SE IMPUGNAN MEDIANTE EL RECURSO IDÓNEO. </w:t>
      </w:r>
      <w:r w:rsidRPr="00866A41">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A1A2D" w:rsidRPr="00866A41" w:rsidRDefault="00FA1A2D" w:rsidP="00FA1A2D">
      <w:pPr>
        <w:spacing w:line="360" w:lineRule="auto"/>
        <w:ind w:right="49"/>
        <w:contextualSpacing/>
        <w:jc w:val="both"/>
        <w:rPr>
          <w:rFonts w:ascii="Palatino Linotype" w:hAnsi="Palatino Linotype"/>
          <w:color w:val="000000"/>
        </w:rPr>
      </w:pPr>
    </w:p>
    <w:p w:rsidR="00FA1A2D" w:rsidRPr="00866A41" w:rsidRDefault="00FA1A2D" w:rsidP="00FA1A2D">
      <w:pPr>
        <w:numPr>
          <w:ilvl w:val="0"/>
          <w:numId w:val="1"/>
        </w:numPr>
        <w:spacing w:line="360" w:lineRule="auto"/>
        <w:ind w:left="0" w:right="49" w:firstLine="0"/>
        <w:contextualSpacing/>
        <w:jc w:val="both"/>
        <w:rPr>
          <w:rFonts w:ascii="Palatino Linotype" w:hAnsi="Palatino Linotype"/>
          <w:color w:val="000000"/>
        </w:rPr>
      </w:pPr>
      <w:r w:rsidRPr="00866A41">
        <w:rPr>
          <w:rFonts w:ascii="Palatino Linotype" w:hAnsi="Palatino Linotype"/>
          <w:color w:val="000000"/>
        </w:rPr>
        <w:t xml:space="preserve">De </w:t>
      </w:r>
      <w:r w:rsidRPr="00866A41">
        <w:rPr>
          <w:rFonts w:ascii="Palatino Linotype" w:eastAsia="MS Mincho" w:hAnsi="Palatino Linotype"/>
          <w:lang w:val="es-ES_tradnl" w:eastAsia="es-ES"/>
        </w:rPr>
        <w:t xml:space="preserve">la </w:t>
      </w:r>
      <w:r w:rsidRPr="00866A41">
        <w:rPr>
          <w:rFonts w:ascii="Palatino Linotype" w:eastAsia="Palatino Linotype" w:hAnsi="Palatino Linotype" w:cs="Palatino Linotype"/>
        </w:rPr>
        <w:t xml:space="preserve">interpretación del criterio antes citado, se advierte que cuando el Particular impugnó la respuesta del </w:t>
      </w:r>
      <w:r w:rsidRPr="00866A41">
        <w:rPr>
          <w:rFonts w:ascii="Palatino Linotype" w:eastAsia="Palatino Linotype" w:hAnsi="Palatino Linotype" w:cs="Palatino Linotype"/>
          <w:b/>
        </w:rPr>
        <w:t>SUJETO OBLIGADO</w:t>
      </w:r>
      <w:r w:rsidRPr="00866A41">
        <w:rPr>
          <w:rFonts w:ascii="Palatino Linotype" w:eastAsia="Palatino Linotype" w:hAnsi="Palatino Linotype" w:cs="Palatino Linotype"/>
        </w:rPr>
        <w:t xml:space="preserve">, no expresó razón o motivo de inconformidad en contra de los rubros solicitados, por tanto, estos deben declararse atendidos, pues se entiende que el </w:t>
      </w:r>
      <w:r w:rsidRPr="00866A41">
        <w:rPr>
          <w:rFonts w:ascii="Palatino Linotype" w:eastAsia="Palatino Linotype" w:hAnsi="Palatino Linotype" w:cs="Palatino Linotype"/>
          <w:b/>
          <w:bCs/>
        </w:rPr>
        <w:t>RECURRENTE</w:t>
      </w:r>
      <w:r w:rsidRPr="00866A41">
        <w:rPr>
          <w:rFonts w:ascii="Palatino Linotype" w:eastAsia="Palatino Linotype" w:hAnsi="Palatino Linotype" w:cs="Palatino Linotype"/>
        </w:rPr>
        <w:t xml:space="preserve"> está conforme con la respuesta proporcionada por el</w:t>
      </w:r>
      <w:r w:rsidRPr="00866A41">
        <w:rPr>
          <w:rFonts w:ascii="Palatino Linotype" w:eastAsia="Palatino Linotype" w:hAnsi="Palatino Linotype" w:cs="Palatino Linotype"/>
          <w:b/>
        </w:rPr>
        <w:t xml:space="preserve"> SUJETO OBLIGADO,</w:t>
      </w:r>
      <w:r w:rsidRPr="00866A41">
        <w:rPr>
          <w:rFonts w:ascii="Palatino Linotype" w:eastAsia="Palatino Linotype" w:hAnsi="Palatino Linotype" w:cs="Palatino Linotype"/>
        </w:rPr>
        <w:t xml:space="preserve"> al no contravenir la misma.</w:t>
      </w:r>
    </w:p>
    <w:p w:rsidR="00FA1A2D" w:rsidRPr="00866A41" w:rsidRDefault="00FA1A2D" w:rsidP="00FA1A2D">
      <w:pPr>
        <w:spacing w:line="360" w:lineRule="auto"/>
        <w:ind w:right="49"/>
        <w:contextualSpacing/>
        <w:jc w:val="both"/>
        <w:rPr>
          <w:rFonts w:ascii="Palatino Linotype" w:hAnsi="Palatino Linotype"/>
          <w:color w:val="000000"/>
        </w:rPr>
      </w:pPr>
    </w:p>
    <w:p w:rsidR="00FA1A2D" w:rsidRPr="00866A41" w:rsidRDefault="00FA1A2D" w:rsidP="00FA1A2D">
      <w:pPr>
        <w:numPr>
          <w:ilvl w:val="0"/>
          <w:numId w:val="1"/>
        </w:numPr>
        <w:spacing w:line="360" w:lineRule="auto"/>
        <w:ind w:left="0" w:right="49" w:firstLine="0"/>
        <w:contextualSpacing/>
        <w:jc w:val="both"/>
        <w:rPr>
          <w:rFonts w:ascii="Palatino Linotype" w:hAnsi="Palatino Linotype"/>
          <w:color w:val="000000"/>
        </w:rPr>
      </w:pPr>
      <w:r w:rsidRPr="00866A41">
        <w:rPr>
          <w:rFonts w:ascii="Palatino Linotype" w:hAnsi="Palatino Linotype"/>
          <w:color w:val="000000"/>
        </w:rPr>
        <w:t xml:space="preserve">Ante </w:t>
      </w:r>
      <w:r w:rsidRPr="00866A41">
        <w:rPr>
          <w:rFonts w:ascii="Palatino Linotype" w:eastAsia="MS Mincho" w:hAnsi="Palatino Linotype"/>
          <w:lang w:val="es-ES_tradnl" w:eastAsia="es-ES"/>
        </w:rPr>
        <w:t xml:space="preserve">ello, </w:t>
      </w:r>
      <w:r w:rsidRPr="00866A41">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rsidR="00FA1A2D" w:rsidRPr="00866A41" w:rsidRDefault="00FA1A2D" w:rsidP="00FA1A2D">
      <w:pPr>
        <w:tabs>
          <w:tab w:val="left" w:pos="7937"/>
          <w:tab w:val="left" w:pos="8222"/>
        </w:tabs>
        <w:ind w:left="851" w:right="901"/>
        <w:jc w:val="both"/>
        <w:rPr>
          <w:rFonts w:ascii="Palatino Linotype" w:eastAsia="Palatino Linotype" w:hAnsi="Palatino Linotype" w:cs="Palatino Linotype"/>
          <w:i/>
        </w:rPr>
      </w:pPr>
      <w:r w:rsidRPr="00866A41">
        <w:rPr>
          <w:rFonts w:ascii="Palatino Linotype" w:eastAsia="Palatino Linotype" w:hAnsi="Palatino Linotype" w:cs="Palatino Linotype"/>
          <w:b/>
          <w:i/>
        </w:rPr>
        <w:t xml:space="preserve">“REVISIÓN EN AMPARO. LOS RESOLUTIVOS NO COMBATIDOS DEBEN DECLARARSE FIRMES. </w:t>
      </w:r>
      <w:r w:rsidRPr="00866A4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A1A2D" w:rsidRPr="00866A41" w:rsidRDefault="00FA1A2D" w:rsidP="00FA1A2D">
      <w:pPr>
        <w:spacing w:line="360" w:lineRule="auto"/>
        <w:ind w:right="34"/>
        <w:contextualSpacing/>
        <w:jc w:val="both"/>
        <w:rPr>
          <w:rFonts w:ascii="Palatino Linotype" w:eastAsia="MS Mincho" w:hAnsi="Palatino Linotype"/>
          <w:lang w:val="es-ES_tradnl" w:eastAsia="es-ES"/>
        </w:rPr>
      </w:pPr>
    </w:p>
    <w:p w:rsidR="00200C1A" w:rsidRPr="00866A41" w:rsidRDefault="00A270A3" w:rsidP="00C226D0">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En consecuencia</w:t>
      </w:r>
      <w:r w:rsidR="00A30F8D" w:rsidRPr="00866A41">
        <w:rPr>
          <w:rFonts w:ascii="Palatino Linotype" w:eastAsia="Palatino Linotype" w:hAnsi="Palatino Linotype" w:cs="Palatino Linotype"/>
        </w:rPr>
        <w:t>,</w:t>
      </w:r>
      <w:r w:rsidR="00041C32" w:rsidRPr="00866A41">
        <w:rPr>
          <w:rFonts w:ascii="Palatino Linotype" w:eastAsia="Palatino Linotype" w:hAnsi="Palatino Linotype" w:cs="Palatino Linotype"/>
        </w:rPr>
        <w:t xml:space="preserve"> por medio de un acto jurídico posterior como lo es el informe justificado, el </w:t>
      </w:r>
      <w:r w:rsidR="00041C32" w:rsidRPr="00866A41">
        <w:rPr>
          <w:rFonts w:ascii="Palatino Linotype" w:eastAsia="Palatino Linotype" w:hAnsi="Palatino Linotype" w:cs="Palatino Linotype"/>
          <w:b/>
        </w:rPr>
        <w:t>SUJETO OBLIGADO</w:t>
      </w:r>
      <w:r w:rsidR="00BF2E1D" w:rsidRPr="00866A41">
        <w:rPr>
          <w:rFonts w:ascii="Palatino Linotype" w:eastAsia="Palatino Linotype" w:hAnsi="Palatino Linotype" w:cs="Palatino Linotype"/>
        </w:rPr>
        <w:t xml:space="preserve"> a través </w:t>
      </w:r>
      <w:r w:rsidR="00131575" w:rsidRPr="00866A41">
        <w:rPr>
          <w:rFonts w:ascii="Palatino Linotype" w:eastAsia="Palatino Linotype" w:hAnsi="Palatino Linotype" w:cs="Palatino Linotype"/>
        </w:rPr>
        <w:t>del</w:t>
      </w:r>
      <w:r w:rsidR="00200C1A" w:rsidRPr="00866A41">
        <w:rPr>
          <w:rFonts w:ascii="Palatino Linotype" w:eastAsia="Palatino Linotype" w:hAnsi="Palatino Linotype" w:cs="Palatino Linotype"/>
        </w:rPr>
        <w:t xml:space="preserve"> Responsable del Departamento de Transparencia, indicó que no existe disposición legal o reglamentaria que exija una </w:t>
      </w:r>
      <w:r w:rsidR="00200C1A" w:rsidRPr="00866A41">
        <w:rPr>
          <w:rFonts w:ascii="Palatino Linotype" w:eastAsia="Palatino Linotype" w:hAnsi="Palatino Linotype" w:cs="Palatino Linotype"/>
        </w:rPr>
        <w:lastRenderedPageBreak/>
        <w:t>certificación específica para el cargo de Directora General del Sistema Municipal DIF de Chicoloapan, toda vez que dicho nombramiento es de confianza y se realiza por designación directa del Ayuntamiento y de la Presidenta Honoraria, por tanto no obra en sus archivos documento alguno que acredite la certificación laboral, toda vez que no es un requisito exigible para el ejercicio del cargo.</w:t>
      </w:r>
    </w:p>
    <w:p w:rsidR="00200C1A" w:rsidRPr="00866A41" w:rsidRDefault="00200C1A" w:rsidP="00200C1A">
      <w:pPr>
        <w:pStyle w:val="Prrafodelista"/>
        <w:rPr>
          <w:rFonts w:ascii="Palatino Linotype" w:eastAsia="Palatino Linotype" w:hAnsi="Palatino Linotype" w:cs="Palatino Linotype"/>
          <w:sz w:val="24"/>
        </w:rPr>
      </w:pPr>
    </w:p>
    <w:p w:rsidR="00C8189A" w:rsidRPr="00866A41" w:rsidRDefault="00131575" w:rsidP="00D614FD">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 </w:t>
      </w:r>
      <w:r w:rsidR="00C8189A" w:rsidRPr="00866A41">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C8189A" w:rsidRPr="00866A41" w:rsidRDefault="00C8189A" w:rsidP="00C8189A">
      <w:pPr>
        <w:pStyle w:val="Prrafodelista"/>
        <w:rPr>
          <w:rFonts w:ascii="Palatino Linotype" w:eastAsia="Palatino Linotype" w:hAnsi="Palatino Linotype" w:cs="Palatino Linotype"/>
          <w:color w:val="000000"/>
          <w:sz w:val="24"/>
        </w:rPr>
      </w:pPr>
    </w:p>
    <w:p w:rsidR="00C8189A" w:rsidRPr="00866A41" w:rsidRDefault="00C8189A" w:rsidP="00C8189A">
      <w:pPr>
        <w:numPr>
          <w:ilvl w:val="0"/>
          <w:numId w:val="1"/>
        </w:numPr>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866A41">
        <w:rPr>
          <w:rFonts w:ascii="Palatino Linotype" w:eastAsia="Palatino Linotype" w:hAnsi="Palatino Linotype" w:cs="Palatino Linotype"/>
          <w:color w:val="000000"/>
          <w:vertAlign w:val="superscript"/>
        </w:rPr>
        <w:footnoteReference w:id="1"/>
      </w:r>
      <w:r w:rsidRPr="00866A41">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866A41">
        <w:rPr>
          <w:rFonts w:ascii="Palatino Linotype" w:eastAsia="Palatino Linotype" w:hAnsi="Palatino Linotype" w:cs="Palatino Linotype"/>
          <w:b/>
          <w:color w:val="000000"/>
        </w:rPr>
        <w:t xml:space="preserve"> </w:t>
      </w:r>
      <w:r w:rsidRPr="00866A41">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866A41">
        <w:rPr>
          <w:rFonts w:ascii="Palatino Linotype" w:eastAsia="Palatino Linotype" w:hAnsi="Palatino Linotype" w:cs="Palatino Linotype"/>
          <w:color w:val="000000"/>
          <w:vertAlign w:val="superscript"/>
        </w:rPr>
        <w:footnoteReference w:id="2"/>
      </w:r>
      <w:r w:rsidRPr="00866A41">
        <w:rPr>
          <w:rFonts w:ascii="Palatino Linotype" w:eastAsia="Palatino Linotype" w:hAnsi="Palatino Linotype" w:cs="Palatino Linotype"/>
          <w:color w:val="000000"/>
        </w:rPr>
        <w:t>.</w:t>
      </w:r>
    </w:p>
    <w:p w:rsidR="00C8189A" w:rsidRPr="00866A41" w:rsidRDefault="00C8189A" w:rsidP="00C8189A">
      <w:pPr>
        <w:ind w:right="-847"/>
        <w:rPr>
          <w:rFonts w:ascii="Palatino Linotype" w:eastAsia="Palatino Linotype" w:hAnsi="Palatino Linotype" w:cs="Palatino Linotype"/>
          <w:color w:val="000000"/>
        </w:rPr>
      </w:pPr>
    </w:p>
    <w:p w:rsidR="00C8189A" w:rsidRPr="00866A41" w:rsidRDefault="00C8189A" w:rsidP="00C8189A">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sz w:val="24"/>
        </w:rPr>
      </w:pPr>
      <w:r w:rsidRPr="00866A41">
        <w:rPr>
          <w:rFonts w:ascii="Palatino Linotype" w:eastAsia="Palatino Linotype" w:hAnsi="Palatino Linotype" w:cs="Palatino Linotype"/>
          <w:color w:val="000000"/>
          <w:sz w:val="24"/>
        </w:rPr>
        <w:lastRenderedPageBreak/>
        <w:t>De conformidad con lo dispuesto en la Ley de Transparencia y Acceso a la Información Pública del Estado de México y Municipios, las Unidades de Transparencia tendrán, entre sus atribuciones, las siguientes:</w:t>
      </w:r>
    </w:p>
    <w:p w:rsidR="00C8189A" w:rsidRPr="00866A41" w:rsidRDefault="00C8189A" w:rsidP="00C8189A">
      <w:pPr>
        <w:numPr>
          <w:ilvl w:val="1"/>
          <w:numId w:val="35"/>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Recibir, tramitar y dar respuesta a las solicitudes de acceso a la información;</w:t>
      </w:r>
    </w:p>
    <w:p w:rsidR="00C8189A" w:rsidRPr="00866A41" w:rsidRDefault="00C8189A" w:rsidP="00C8189A">
      <w:pPr>
        <w:numPr>
          <w:ilvl w:val="1"/>
          <w:numId w:val="35"/>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C8189A" w:rsidRPr="00866A41" w:rsidRDefault="00C8189A" w:rsidP="00C8189A">
      <w:pPr>
        <w:numPr>
          <w:ilvl w:val="1"/>
          <w:numId w:val="35"/>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 xml:space="preserve">Entregar, en su caso, a los particulares la información solicitada; y </w:t>
      </w:r>
    </w:p>
    <w:p w:rsidR="00C8189A" w:rsidRDefault="00C8189A" w:rsidP="00C8189A">
      <w:pPr>
        <w:numPr>
          <w:ilvl w:val="1"/>
          <w:numId w:val="35"/>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Efectuar las notificaciones a los solicitantes.</w:t>
      </w:r>
    </w:p>
    <w:p w:rsidR="00866A41" w:rsidRPr="00866A41" w:rsidRDefault="00866A41" w:rsidP="00866A41">
      <w:pPr>
        <w:pBdr>
          <w:top w:val="nil"/>
          <w:left w:val="nil"/>
          <w:bottom w:val="nil"/>
          <w:right w:val="nil"/>
          <w:between w:val="nil"/>
        </w:pBdr>
        <w:spacing w:after="240"/>
        <w:ind w:left="709" w:right="-280"/>
        <w:jc w:val="both"/>
        <w:rPr>
          <w:rFonts w:ascii="Palatino Linotype" w:eastAsia="Palatino Linotype" w:hAnsi="Palatino Linotype" w:cs="Palatino Linotype"/>
          <w:color w:val="000000"/>
        </w:rPr>
      </w:pPr>
    </w:p>
    <w:p w:rsidR="00C8189A" w:rsidRPr="00866A41" w:rsidRDefault="00C8189A" w:rsidP="00C8189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866A41">
        <w:rPr>
          <w:rFonts w:ascii="Palatino Linotype" w:eastAsia="Palatino Linotype" w:hAnsi="Palatino Linotype" w:cs="Palatino Linotype"/>
          <w:b/>
          <w:color w:val="000000"/>
        </w:rPr>
        <w:t xml:space="preserve">SUJETO OBLIGADO </w:t>
      </w:r>
      <w:r w:rsidRPr="00866A41">
        <w:rPr>
          <w:rFonts w:ascii="Palatino Linotype" w:eastAsia="Palatino Linotype" w:hAnsi="Palatino Linotype" w:cs="Palatino Linotype"/>
          <w:color w:val="000000"/>
        </w:rPr>
        <w:t>a propuesta del responsable de la Unidad de Transparencia</w:t>
      </w:r>
      <w:r w:rsidRPr="00866A41">
        <w:rPr>
          <w:rFonts w:ascii="Palatino Linotype" w:eastAsia="Palatino Linotype" w:hAnsi="Palatino Linotype" w:cs="Palatino Linotype"/>
          <w:color w:val="000000"/>
          <w:vertAlign w:val="superscript"/>
        </w:rPr>
        <w:footnoteReference w:id="3"/>
      </w:r>
      <w:r w:rsidRPr="00866A41">
        <w:rPr>
          <w:rFonts w:ascii="Palatino Linotype" w:eastAsia="Palatino Linotype" w:hAnsi="Palatino Linotype" w:cs="Palatino Linotype"/>
          <w:color w:val="000000"/>
        </w:rPr>
        <w:t xml:space="preserve"> y tendrán, entre sus atribuciones, las siguientes</w:t>
      </w:r>
      <w:r w:rsidRPr="00866A41">
        <w:rPr>
          <w:rFonts w:ascii="Palatino Linotype" w:eastAsia="Palatino Linotype" w:hAnsi="Palatino Linotype" w:cs="Palatino Linotype"/>
          <w:color w:val="000000"/>
          <w:vertAlign w:val="superscript"/>
        </w:rPr>
        <w:footnoteReference w:id="4"/>
      </w:r>
      <w:r w:rsidRPr="00866A41">
        <w:rPr>
          <w:rFonts w:ascii="Palatino Linotype" w:eastAsia="Palatino Linotype" w:hAnsi="Palatino Linotype" w:cs="Palatino Linotype"/>
          <w:color w:val="000000"/>
        </w:rPr>
        <w:t>:</w:t>
      </w:r>
    </w:p>
    <w:p w:rsidR="00C8189A" w:rsidRPr="00866A41" w:rsidRDefault="00C8189A" w:rsidP="00C8189A">
      <w:pPr>
        <w:numPr>
          <w:ilvl w:val="1"/>
          <w:numId w:val="36"/>
        </w:numPr>
        <w:pBdr>
          <w:top w:val="nil"/>
          <w:left w:val="nil"/>
          <w:bottom w:val="nil"/>
          <w:right w:val="nil"/>
          <w:between w:val="nil"/>
        </w:pBdr>
        <w:spacing w:before="240"/>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Localizar la información que le solicite la Unidad de Transparencia; y</w:t>
      </w:r>
    </w:p>
    <w:p w:rsidR="00C8189A" w:rsidRPr="00866A41" w:rsidRDefault="00C8189A" w:rsidP="00C8189A">
      <w:pPr>
        <w:numPr>
          <w:ilvl w:val="1"/>
          <w:numId w:val="36"/>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rPr>
      </w:pPr>
      <w:r w:rsidRPr="00866A41">
        <w:rPr>
          <w:rFonts w:ascii="Palatino Linotype" w:eastAsia="Palatino Linotype" w:hAnsi="Palatino Linotype" w:cs="Palatino Linotype"/>
          <w:color w:val="000000"/>
        </w:rPr>
        <w:t>Proporcionar la información que obre en los archivos y que le sea solicitada por la Unidad de Transparencia.</w:t>
      </w:r>
    </w:p>
    <w:p w:rsidR="00C8189A" w:rsidRPr="00866A41" w:rsidRDefault="00C8189A" w:rsidP="00C8189A">
      <w:pPr>
        <w:tabs>
          <w:tab w:val="left" w:pos="426"/>
          <w:tab w:val="left" w:pos="567"/>
        </w:tabs>
        <w:ind w:right="-847"/>
        <w:jc w:val="both"/>
        <w:rPr>
          <w:rFonts w:ascii="Palatino Linotype" w:eastAsia="Palatino Linotype" w:hAnsi="Palatino Linotype" w:cs="Palatino Linotype"/>
          <w:color w:val="000000"/>
        </w:rPr>
      </w:pPr>
    </w:p>
    <w:p w:rsidR="00C8189A" w:rsidRPr="00866A41" w:rsidRDefault="00C8189A" w:rsidP="00C8189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color w:val="000000"/>
        </w:rPr>
        <w:t xml:space="preserve">De tal manera que cada una de las áreas administrativas del </w:t>
      </w:r>
      <w:r w:rsidRPr="00866A41">
        <w:rPr>
          <w:rFonts w:ascii="Palatino Linotype" w:eastAsia="Palatino Linotype" w:hAnsi="Palatino Linotype" w:cs="Palatino Linotype"/>
          <w:b/>
          <w:color w:val="000000"/>
        </w:rPr>
        <w:t>SUJETO OBLIGADO</w:t>
      </w:r>
      <w:r w:rsidRPr="00866A41">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8189A" w:rsidRPr="00866A41" w:rsidRDefault="00C8189A" w:rsidP="00C8189A">
      <w:pPr>
        <w:ind w:right="-847"/>
        <w:rPr>
          <w:rFonts w:ascii="Palatino Linotype" w:eastAsia="Palatino Linotype" w:hAnsi="Palatino Linotype" w:cs="Palatino Linotype"/>
          <w:color w:val="000000"/>
        </w:rPr>
      </w:pPr>
    </w:p>
    <w:p w:rsidR="00C8189A" w:rsidRPr="00866A41" w:rsidRDefault="00C8189A" w:rsidP="00C8189A">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color w:val="000000"/>
        </w:rPr>
        <w:lastRenderedPageBreak/>
        <w:t>Aunado a lo anterior, la Ley de Transparencia y Acceso a la Información Pública del Estado de México y Municipios, en su artículo 53, establece las funciones correspondientes a esta Unidad; mismas que se inserta a continuación:</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b/>
          <w:i/>
          <w:color w:val="000000"/>
        </w:rPr>
        <w:t>“Artículo 53</w:t>
      </w:r>
      <w:r w:rsidRPr="00866A41">
        <w:rPr>
          <w:rFonts w:ascii="Palatino Linotype" w:eastAsia="Palatino Linotype" w:hAnsi="Palatino Linotype" w:cs="Palatino Linotype"/>
          <w:i/>
          <w:color w:val="000000"/>
        </w:rPr>
        <w:t xml:space="preserve">. Las Unidades de Transparencia tendrán las siguientes funciones: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866A41">
        <w:rPr>
          <w:rFonts w:ascii="Palatino Linotype" w:eastAsia="Palatino Linotype" w:hAnsi="Palatino Linotype" w:cs="Palatino Linotype"/>
          <w:b/>
          <w:i/>
          <w:color w:val="000000"/>
        </w:rPr>
        <w:t xml:space="preserve">II. Recibir, tramitar y dar respuesta a las solicitudes de acceso a la información;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866A41">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V. Entregar, en su caso, a los particulares la información solicitada;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VI. Efectuar las notificaciones a los solicitantes;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866A41">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X. Presentar ante el Comité, el proyecto de clasificación de información;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XI. Promover e implementar políticas de transparencia proactiva procurando su accesibilidad;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XII. Fomentar la transparencia y accesibilidad al interior del sujeto obligado; </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C8189A" w:rsidRPr="00866A41" w:rsidRDefault="00C8189A" w:rsidP="0040334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C8189A" w:rsidRPr="00866A41" w:rsidRDefault="00C8189A" w:rsidP="00403346">
      <w:pPr>
        <w:pBdr>
          <w:top w:val="nil"/>
          <w:left w:val="nil"/>
          <w:bottom w:val="nil"/>
          <w:right w:val="nil"/>
          <w:between w:val="nil"/>
        </w:pBdr>
        <w:tabs>
          <w:tab w:val="left" w:pos="426"/>
        </w:tabs>
        <w:spacing w:after="240"/>
        <w:ind w:left="567" w:right="567"/>
        <w:jc w:val="both"/>
        <w:rPr>
          <w:rFonts w:ascii="Palatino Linotype" w:eastAsia="Palatino Linotype" w:hAnsi="Palatino Linotype" w:cs="Palatino Linotype"/>
          <w:i/>
          <w:color w:val="000000"/>
        </w:rPr>
      </w:pPr>
      <w:r w:rsidRPr="00866A41">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w:t>
      </w:r>
      <w:r w:rsidRPr="00866A41">
        <w:rPr>
          <w:rFonts w:ascii="Palatino Linotype" w:eastAsia="Palatino Linotype" w:hAnsi="Palatino Linotype" w:cs="Palatino Linotype"/>
          <w:i/>
          <w:color w:val="000000"/>
        </w:rPr>
        <w:lastRenderedPageBreak/>
        <w:t xml:space="preserve">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866A41" w:rsidRPr="00866A41" w:rsidRDefault="00866A41" w:rsidP="00866A4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C8189A" w:rsidRPr="00866A41" w:rsidRDefault="00C8189A" w:rsidP="00F6168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866A41">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403346" w:rsidRPr="00866A41" w:rsidRDefault="00403346" w:rsidP="00F6168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083713" w:rsidRPr="00866A41" w:rsidRDefault="00083713" w:rsidP="00083713">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eastAsia="Palatino Linotype" w:hAnsi="Palatino Linotype" w:cs="Palatino Linotype"/>
        </w:rPr>
        <w:t xml:space="preserve">Ahora bien , resulta conveniente </w:t>
      </w:r>
      <w:r w:rsidR="00F130E0" w:rsidRPr="00866A41">
        <w:rPr>
          <w:rFonts w:ascii="Palatino Linotype" w:eastAsia="Palatino Linotype" w:hAnsi="Palatino Linotype" w:cs="Palatino Linotype"/>
        </w:rPr>
        <w:t xml:space="preserve">referir que el </w:t>
      </w:r>
      <w:r w:rsidR="009469E1" w:rsidRPr="00866A41">
        <w:rPr>
          <w:rFonts w:ascii="Palatino Linotype" w:eastAsia="Palatino Linotype" w:hAnsi="Palatino Linotype" w:cs="Palatino Linotype"/>
        </w:rPr>
        <w:t xml:space="preserve">Manual de Organización del </w:t>
      </w:r>
      <w:r w:rsidR="00200C1A" w:rsidRPr="00866A41">
        <w:rPr>
          <w:rFonts w:ascii="Palatino Linotype" w:eastAsia="Palatino Linotype" w:hAnsi="Palatino Linotype" w:cs="Palatino Linotype"/>
        </w:rPr>
        <w:t xml:space="preserve">Sistema Municipal para el Desarrollo Integral de la Familia </w:t>
      </w:r>
      <w:r w:rsidR="009469E1" w:rsidRPr="00866A41">
        <w:rPr>
          <w:rFonts w:ascii="Palatino Linotype" w:eastAsia="Palatino Linotype" w:hAnsi="Palatino Linotype" w:cs="Palatino Linotype"/>
        </w:rPr>
        <w:t>de Chicoloapan</w:t>
      </w:r>
      <w:r w:rsidR="00F130E0" w:rsidRPr="00866A41">
        <w:rPr>
          <w:rFonts w:ascii="Palatino Linotype" w:eastAsia="Palatino Linotype" w:hAnsi="Palatino Linotype" w:cs="Palatino Linotype"/>
        </w:rPr>
        <w:t xml:space="preserve">, nos establece </w:t>
      </w:r>
      <w:r w:rsidR="00200C1A" w:rsidRPr="00866A41">
        <w:rPr>
          <w:rFonts w:ascii="Palatino Linotype" w:eastAsia="Palatino Linotype" w:hAnsi="Palatino Linotype" w:cs="Palatino Linotype"/>
        </w:rPr>
        <w:t>el Objetivo y Funciones de la Dirección de Recursos Humanos</w:t>
      </w:r>
      <w:r w:rsidR="00F130E0" w:rsidRPr="00866A41">
        <w:rPr>
          <w:rFonts w:ascii="Palatino Linotype" w:eastAsia="Palatino Linotype" w:hAnsi="Palatino Linotype" w:cs="Palatino Linotype"/>
        </w:rPr>
        <w:t>:</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b/>
          <w:i/>
          <w:sz w:val="24"/>
          <w:szCs w:val="24"/>
        </w:rPr>
        <w:t>Objetivo:</w:t>
      </w:r>
      <w:r w:rsidRPr="00866A41">
        <w:rPr>
          <w:rFonts w:ascii="Palatino Linotype" w:hAnsi="Palatino Linotype"/>
          <w:i/>
          <w:sz w:val="24"/>
          <w:szCs w:val="24"/>
        </w:rPr>
        <w:t xml:space="preserve"> Desarrollar y establecer las políticas y lineamientos normativos, que comprendan el reclutamiento, selección y contratación del personal necesario; el pago de sueldos y otorgamiento de permisos, compensaciones, gratificaciones, incentivos у prestaciones, así como la actualización, desarrollo y formación del personal, que permita disponer de los recursos humanos eficaces que contribuyan al cumplimiento de las responsabilidades y al logro de los objetivos del sistema.</w:t>
      </w:r>
    </w:p>
    <w:p w:rsidR="00200C1A" w:rsidRPr="00866A41" w:rsidRDefault="00200C1A" w:rsidP="009469E1">
      <w:pPr>
        <w:pStyle w:val="Textoindependiente"/>
        <w:ind w:left="567" w:right="567"/>
        <w:jc w:val="both"/>
        <w:rPr>
          <w:rFonts w:ascii="Palatino Linotype" w:hAnsi="Palatino Linotype"/>
          <w:i/>
          <w:sz w:val="24"/>
          <w:szCs w:val="24"/>
        </w:rPr>
      </w:pPr>
    </w:p>
    <w:p w:rsidR="009469E1" w:rsidRPr="00866A41" w:rsidRDefault="009469E1" w:rsidP="009469E1">
      <w:pPr>
        <w:pStyle w:val="Textoindependiente"/>
        <w:ind w:left="567" w:right="567"/>
        <w:jc w:val="both"/>
        <w:rPr>
          <w:rFonts w:ascii="Palatino Linotype" w:hAnsi="Palatino Linotype"/>
          <w:b/>
          <w:i/>
          <w:sz w:val="24"/>
          <w:szCs w:val="24"/>
        </w:rPr>
      </w:pPr>
      <w:r w:rsidRPr="00866A41">
        <w:rPr>
          <w:rFonts w:ascii="Palatino Linotype" w:hAnsi="Palatino Linotype"/>
          <w:b/>
          <w:i/>
          <w:sz w:val="24"/>
          <w:szCs w:val="24"/>
        </w:rPr>
        <w:t>Funciones</w:t>
      </w:r>
    </w:p>
    <w:p w:rsidR="009469E1" w:rsidRPr="00866A41" w:rsidRDefault="009469E1" w:rsidP="009469E1">
      <w:pPr>
        <w:pStyle w:val="Textoindependiente"/>
        <w:ind w:left="567" w:right="567"/>
        <w:jc w:val="both"/>
        <w:rPr>
          <w:rFonts w:ascii="Palatino Linotype" w:hAnsi="Palatino Linotype"/>
          <w:b/>
          <w:i/>
          <w:sz w:val="24"/>
          <w:szCs w:val="24"/>
        </w:rPr>
      </w:pP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I. Crear políticas para reclutar, seleccionar y controlar al personal necesario para el Sistema Municipal DIF.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II. Cumplir con las políticas y normas en materia de selección, contratación capacitación y desarrollo según lo ordenado por la normatividad.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III. Mantener de manera segura, confidencial y ordenada la plantilla y el archivo de expedientes del personal que labora en el Sistema Municipal DIF.</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IV. Verificar que los expedientes contengan la documentación que indica la Contraloría.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V. Proponer y establecer la actualización de técnicas de evaluación a los aspirantes ingresar al Organismo.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VI. Analizar las contractuales del personal de nuevo ingreso en función de tiempo </w:t>
      </w:r>
      <w:r w:rsidRPr="00866A41">
        <w:rPr>
          <w:rFonts w:ascii="Palatino Linotype" w:hAnsi="Palatino Linotype"/>
          <w:i/>
          <w:sz w:val="24"/>
          <w:szCs w:val="24"/>
        </w:rPr>
        <w:lastRenderedPageBreak/>
        <w:t xml:space="preserve">retribución económica.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VII. a y Programar, Supervisar y controlar el oportuno procesamiento y emisión de la nómina.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VIII. Controlar la asistencia del personal.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IX. Establecer en coordinación con la tesorería las políticas y normas sobre admisión de personal, estímulos, recompensas, permisos, préstamos, licencias, control de nómina, interinatos, suplencias y control de personal. </w:t>
      </w:r>
    </w:p>
    <w:p w:rsidR="00200C1A" w:rsidRPr="00866A41" w:rsidRDefault="00200C1A"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X. Efectuar los movimientos del personal del organismo, así como el cálculo de estímulos, descuentos, préstamos, finiquitos, tiempo extra, pago de suplencias, finiquito por interinato.</w:t>
      </w:r>
    </w:p>
    <w:p w:rsidR="00D614FD" w:rsidRPr="00866A41" w:rsidRDefault="00D614FD" w:rsidP="009469E1">
      <w:pPr>
        <w:pStyle w:val="Textoindependiente"/>
        <w:ind w:left="567" w:right="567"/>
        <w:jc w:val="both"/>
        <w:rPr>
          <w:rFonts w:ascii="Palatino Linotype" w:hAnsi="Palatino Linotype"/>
          <w:i/>
          <w:sz w:val="24"/>
          <w:szCs w:val="24"/>
        </w:rPr>
      </w:pPr>
      <w:r w:rsidRPr="00866A41">
        <w:rPr>
          <w:rFonts w:ascii="Palatino Linotype" w:hAnsi="Palatino Linotype"/>
          <w:i/>
          <w:sz w:val="24"/>
          <w:szCs w:val="24"/>
        </w:rPr>
        <w:t xml:space="preserve">XI. Administrar, coordinar y vigilar el otorgamiento y actualización de prestaciones, compensaciones e incentivos otorgados al personal del Sistema Municipal DIF y sus áreas adscritas. </w:t>
      </w:r>
    </w:p>
    <w:p w:rsidR="00200C1A" w:rsidRPr="00866A41" w:rsidRDefault="00D614FD" w:rsidP="009469E1">
      <w:pPr>
        <w:pStyle w:val="Textoindependiente"/>
        <w:ind w:left="567" w:right="567"/>
        <w:jc w:val="both"/>
        <w:rPr>
          <w:rFonts w:ascii="Palatino Linotype" w:hAnsi="Palatino Linotype"/>
          <w:b/>
          <w:i/>
          <w:sz w:val="24"/>
          <w:szCs w:val="24"/>
        </w:rPr>
      </w:pPr>
      <w:r w:rsidRPr="00866A41">
        <w:rPr>
          <w:rFonts w:ascii="Palatino Linotype" w:hAnsi="Palatino Linotype"/>
          <w:i/>
          <w:sz w:val="24"/>
          <w:szCs w:val="24"/>
        </w:rPr>
        <w:t>XII. Las demás funciones inherentes al área de su competencia.</w:t>
      </w:r>
    </w:p>
    <w:p w:rsidR="00200C1A" w:rsidRPr="00866A41" w:rsidRDefault="00200C1A" w:rsidP="009469E1">
      <w:pPr>
        <w:pStyle w:val="Textoindependiente"/>
        <w:ind w:left="567" w:right="567"/>
        <w:jc w:val="both"/>
        <w:rPr>
          <w:rFonts w:ascii="Palatino Linotype" w:hAnsi="Palatino Linotype"/>
          <w:b/>
          <w:i/>
          <w:sz w:val="24"/>
          <w:szCs w:val="24"/>
        </w:rPr>
      </w:pPr>
    </w:p>
    <w:p w:rsidR="00200C1A" w:rsidRPr="00866A41" w:rsidRDefault="00200C1A" w:rsidP="009469E1">
      <w:pPr>
        <w:pStyle w:val="Textoindependiente"/>
        <w:ind w:left="567" w:right="567"/>
        <w:jc w:val="both"/>
        <w:rPr>
          <w:rFonts w:ascii="Palatino Linotype" w:hAnsi="Palatino Linotype"/>
          <w:b/>
          <w:i/>
          <w:sz w:val="24"/>
          <w:szCs w:val="24"/>
        </w:rPr>
      </w:pPr>
    </w:p>
    <w:p w:rsidR="002141B0" w:rsidRPr="00866A41" w:rsidRDefault="002141B0" w:rsidP="002141B0">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000000"/>
        </w:rPr>
        <w:t xml:space="preserve">En este sentido, se advierte que, el </w:t>
      </w:r>
      <w:r w:rsidRPr="00866A41">
        <w:rPr>
          <w:rFonts w:ascii="Palatino Linotype" w:eastAsia="Palatino Linotype" w:hAnsi="Palatino Linotype" w:cs="Palatino Linotype"/>
          <w:b/>
          <w:color w:val="000000"/>
        </w:rPr>
        <w:t>SUJETO OBLIGADO</w:t>
      </w:r>
      <w:r w:rsidRPr="00866A41">
        <w:rPr>
          <w:rFonts w:ascii="Palatino Linotype" w:eastAsia="Palatino Linotype" w:hAnsi="Palatino Linotype" w:cs="Palatino Linotype"/>
          <w:color w:val="000000"/>
        </w:rPr>
        <w:t xml:space="preserve"> cumplió con el procedimiento de búsqueda exhaustiva y razonable, pues gestionó la solicitud de información en la unidad administrativa en donde </w:t>
      </w:r>
      <w:r w:rsidRPr="00866A41">
        <w:rPr>
          <w:rFonts w:ascii="Palatino Linotype" w:eastAsia="Palatino Linotype" w:hAnsi="Palatino Linotype" w:cs="Palatino Linotype"/>
          <w:color w:val="000000"/>
          <w:u w:val="single"/>
        </w:rPr>
        <w:t>pudiera</w:t>
      </w:r>
      <w:r w:rsidRPr="00866A41">
        <w:rPr>
          <w:rFonts w:ascii="Palatino Linotype" w:eastAsia="Palatino Linotype" w:hAnsi="Palatino Linotype" w:cs="Palatino Linotype"/>
          <w:color w:val="000000"/>
        </w:rPr>
        <w:t xml:space="preserve"> obrar lo peticionado, siendo esta </w:t>
      </w:r>
      <w:r w:rsidRPr="00866A41">
        <w:rPr>
          <w:rFonts w:ascii="Palatino Linotype" w:eastAsia="Palatino Linotype" w:hAnsi="Palatino Linotype" w:cs="Palatino Linotype"/>
          <w:b/>
          <w:color w:val="000000"/>
        </w:rPr>
        <w:t xml:space="preserve">la </w:t>
      </w:r>
      <w:r w:rsidR="00C226D0" w:rsidRPr="00866A41">
        <w:rPr>
          <w:rFonts w:ascii="Palatino Linotype" w:eastAsia="Palatino Linotype" w:hAnsi="Palatino Linotype" w:cs="Palatino Linotype"/>
          <w:b/>
          <w:color w:val="000000"/>
        </w:rPr>
        <w:t xml:space="preserve">Directora de </w:t>
      </w:r>
      <w:r w:rsidR="00D614FD" w:rsidRPr="00866A41">
        <w:rPr>
          <w:rFonts w:ascii="Palatino Linotype" w:eastAsia="Palatino Linotype" w:hAnsi="Palatino Linotype" w:cs="Palatino Linotype"/>
          <w:b/>
          <w:color w:val="000000"/>
        </w:rPr>
        <w:t>Recursos Humanos</w:t>
      </w:r>
      <w:r w:rsidRPr="00866A41">
        <w:rPr>
          <w:rFonts w:ascii="Palatino Linotype" w:eastAsia="Palatino Linotype" w:hAnsi="Palatino Linotype" w:cs="Palatino Linotype"/>
          <w:b/>
          <w:color w:val="000000"/>
        </w:rPr>
        <w:t>.</w:t>
      </w:r>
    </w:p>
    <w:p w:rsidR="002141B0" w:rsidRPr="00866A41" w:rsidRDefault="002141B0" w:rsidP="00C90A2F">
      <w:pPr>
        <w:rPr>
          <w:rFonts w:ascii="Palatino Linotype" w:eastAsia="Palatino Linotype" w:hAnsi="Palatino Linotype" w:cs="Palatino Linotype"/>
        </w:rPr>
      </w:pPr>
    </w:p>
    <w:p w:rsidR="00D614FD" w:rsidRPr="00866A41" w:rsidRDefault="001A4969" w:rsidP="00C226D0">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000000"/>
        </w:rPr>
        <w:t xml:space="preserve">Ahora bien, conviene señalar que el </w:t>
      </w:r>
      <w:r w:rsidRPr="00866A41">
        <w:rPr>
          <w:rFonts w:ascii="Palatino Linotype" w:eastAsia="Palatino Linotype" w:hAnsi="Palatino Linotype" w:cs="Palatino Linotype"/>
          <w:b/>
          <w:color w:val="000000"/>
        </w:rPr>
        <w:t>SUJETO OBLIGADO</w:t>
      </w:r>
      <w:r w:rsidRPr="00866A41">
        <w:rPr>
          <w:rFonts w:ascii="Palatino Linotype" w:eastAsia="Palatino Linotype" w:hAnsi="Palatino Linotype" w:cs="Palatino Linotype"/>
          <w:color w:val="000000"/>
        </w:rPr>
        <w:t xml:space="preserve">, al informar </w:t>
      </w:r>
      <w:r w:rsidR="00D614FD" w:rsidRPr="00866A41">
        <w:rPr>
          <w:rFonts w:ascii="Palatino Linotype" w:eastAsia="Palatino Linotype" w:hAnsi="Palatino Linotype" w:cs="Palatino Linotype"/>
        </w:rPr>
        <w:t>que no existe disposición legal o reglamentaria que exija una certificación específica para el cargo de Directora General del Sistema Municipal DIF de Chicoloapan, toda vez que dicho nombramiento es de confianza y se realiza por designación directa del Ayuntamiento y de la Presidenta Honoraria, por tanto no obra en sus archivos documento alguno que acredite la certificación laboral, toda vez que no es un requisito exigible para el ejercicio del cargo.</w:t>
      </w:r>
    </w:p>
    <w:p w:rsidR="00D614FD" w:rsidRPr="00866A41" w:rsidRDefault="00D614FD" w:rsidP="00D614FD">
      <w:pPr>
        <w:pStyle w:val="Prrafodelista"/>
        <w:rPr>
          <w:rFonts w:ascii="Palatino Linotype" w:eastAsia="Palatino Linotype" w:hAnsi="Palatino Linotype" w:cs="Palatino Linotype"/>
          <w:color w:val="000000"/>
          <w:sz w:val="24"/>
        </w:rPr>
      </w:pPr>
    </w:p>
    <w:p w:rsidR="00702E47" w:rsidRPr="00866A41" w:rsidRDefault="00403346" w:rsidP="00702E47">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eastAsia="Calibri" w:hAnsi="Palatino Linotype" w:cs="Arial"/>
          <w:color w:val="000000" w:themeColor="text1"/>
          <w:lang w:val="es-ES"/>
        </w:rPr>
        <w:t>Por lo que</w:t>
      </w:r>
      <w:r w:rsidR="00702E47" w:rsidRPr="00866A41">
        <w:rPr>
          <w:rFonts w:ascii="Palatino Linotype" w:eastAsia="Calibri" w:hAnsi="Palatino Linotype" w:cs="Arial"/>
          <w:color w:val="000000" w:themeColor="text1"/>
          <w:lang w:val="es-ES"/>
        </w:rPr>
        <w:t xml:space="preserve">, </w:t>
      </w:r>
      <w:r w:rsidR="00702E47" w:rsidRPr="00866A41">
        <w:rPr>
          <w:rFonts w:ascii="Palatino Linotype" w:hAnsi="Palatino Linotype"/>
        </w:rPr>
        <w:t>es importante señalar que el artículo 4, párrafo segundo de la Ley de Transparencia y Acceso a la Información Pública del Estado de México y Municipios, dispone:</w:t>
      </w:r>
    </w:p>
    <w:p w:rsidR="00702E47" w:rsidRPr="00866A41" w:rsidRDefault="00702E47" w:rsidP="00702E47">
      <w:pPr>
        <w:spacing w:line="360" w:lineRule="auto"/>
        <w:ind w:right="-28"/>
        <w:jc w:val="both"/>
        <w:rPr>
          <w:rFonts w:ascii="Palatino Linotype" w:eastAsia="Calibri" w:hAnsi="Palatino Linotype" w:cs="Arial"/>
          <w:color w:val="000000" w:themeColor="text1"/>
          <w:lang w:val="es-ES"/>
        </w:rPr>
      </w:pPr>
    </w:p>
    <w:p w:rsidR="00702E47" w:rsidRPr="00866A41" w:rsidRDefault="00702E47" w:rsidP="00702E47">
      <w:pPr>
        <w:pStyle w:val="Prrafodelista"/>
        <w:tabs>
          <w:tab w:val="left" w:pos="426"/>
          <w:tab w:val="left" w:pos="567"/>
        </w:tabs>
        <w:ind w:left="567" w:right="565"/>
        <w:jc w:val="both"/>
        <w:rPr>
          <w:rFonts w:ascii="Palatino Linotype" w:hAnsi="Palatino Linotype"/>
          <w:i/>
          <w:sz w:val="24"/>
        </w:rPr>
      </w:pPr>
      <w:r w:rsidRPr="00866A41">
        <w:rPr>
          <w:rFonts w:ascii="Palatino Linotype" w:hAnsi="Palatino Linotype"/>
          <w:i/>
          <w:sz w:val="24"/>
        </w:rPr>
        <w:lastRenderedPageBreak/>
        <w:t>“</w:t>
      </w:r>
      <w:r w:rsidRPr="00866A41">
        <w:rPr>
          <w:rFonts w:ascii="Palatino Linotype" w:hAnsi="Palatino Linotype"/>
          <w:b/>
          <w:i/>
          <w:sz w:val="24"/>
        </w:rPr>
        <w:t>Artículo 4. …</w:t>
      </w:r>
    </w:p>
    <w:p w:rsidR="00702E47" w:rsidRPr="00866A41" w:rsidRDefault="00702E47" w:rsidP="00702E47">
      <w:pPr>
        <w:pStyle w:val="Prrafodelista"/>
        <w:tabs>
          <w:tab w:val="left" w:pos="426"/>
          <w:tab w:val="left" w:pos="567"/>
        </w:tabs>
        <w:ind w:left="567" w:right="565"/>
        <w:jc w:val="both"/>
        <w:rPr>
          <w:rFonts w:ascii="Palatino Linotype" w:hAnsi="Palatino Linotype"/>
          <w:i/>
          <w:sz w:val="24"/>
        </w:rPr>
      </w:pPr>
      <w:r w:rsidRPr="00866A41">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02E47" w:rsidRPr="00866A41" w:rsidRDefault="00702E47" w:rsidP="00702E47">
      <w:pPr>
        <w:spacing w:line="360" w:lineRule="auto"/>
        <w:ind w:right="-28"/>
        <w:jc w:val="both"/>
        <w:rPr>
          <w:rFonts w:ascii="Palatino Linotype" w:eastAsia="Calibri" w:hAnsi="Palatino Linotype" w:cs="Tahoma"/>
          <w:bCs/>
        </w:rPr>
      </w:pPr>
    </w:p>
    <w:p w:rsidR="00702E47" w:rsidRPr="00866A41" w:rsidRDefault="00702E47" w:rsidP="00702E47">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eastAsia="Calibri" w:hAnsi="Palatino Linotype" w:cs="Arial"/>
          <w:color w:val="000000" w:themeColor="text1"/>
          <w:lang w:val="es-ES"/>
        </w:rPr>
        <w:t xml:space="preserve">De lo anterior, se desprende </w:t>
      </w:r>
      <w:r w:rsidRPr="00866A41">
        <w:rPr>
          <w:rFonts w:ascii="Palatino Linotype" w:hAnsi="Palatino Linotype"/>
        </w:rPr>
        <w:t>que la información generada, obtenida, adquirida, transmitida, administrada o en posesión de los Sujetos Obligados, será accesible de manera permanente a cualquier persona, privilegiando el principio de máxima publicidad de la información.</w:t>
      </w:r>
    </w:p>
    <w:p w:rsidR="00702E47" w:rsidRPr="00866A41" w:rsidRDefault="00702E47" w:rsidP="00702E47">
      <w:pPr>
        <w:spacing w:line="360" w:lineRule="auto"/>
        <w:ind w:right="-28"/>
        <w:jc w:val="both"/>
        <w:rPr>
          <w:rFonts w:ascii="Palatino Linotype" w:eastAsia="Calibri" w:hAnsi="Palatino Linotype" w:cs="Tahoma"/>
          <w:bCs/>
        </w:rPr>
      </w:pPr>
    </w:p>
    <w:p w:rsidR="00702E47" w:rsidRPr="00866A41" w:rsidRDefault="00702E47" w:rsidP="00702E47">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02E47" w:rsidRPr="00866A41" w:rsidRDefault="00702E47" w:rsidP="00702E47">
      <w:pPr>
        <w:pStyle w:val="Prrafodelista"/>
        <w:tabs>
          <w:tab w:val="left" w:pos="1134"/>
        </w:tabs>
        <w:ind w:left="567" w:right="565"/>
        <w:jc w:val="both"/>
        <w:rPr>
          <w:rFonts w:ascii="Palatino Linotype" w:hAnsi="Palatino Linotype"/>
          <w:i/>
          <w:sz w:val="24"/>
        </w:rPr>
      </w:pPr>
      <w:r w:rsidRPr="00866A41">
        <w:rPr>
          <w:rFonts w:ascii="Palatino Linotype" w:hAnsi="Palatino Linotype"/>
          <w:i/>
          <w:sz w:val="24"/>
        </w:rPr>
        <w:t>“</w:t>
      </w:r>
      <w:r w:rsidRPr="00866A41">
        <w:rPr>
          <w:rFonts w:ascii="Palatino Linotype" w:hAnsi="Palatino Linotype"/>
          <w:b/>
          <w:i/>
          <w:sz w:val="24"/>
        </w:rPr>
        <w:t>Artículo 12.</w:t>
      </w:r>
      <w:r w:rsidRPr="00866A41">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702E47" w:rsidRPr="00866A41" w:rsidRDefault="00702E47" w:rsidP="00702E47">
      <w:pPr>
        <w:pStyle w:val="Prrafodelista"/>
        <w:tabs>
          <w:tab w:val="left" w:pos="1134"/>
        </w:tabs>
        <w:ind w:left="567" w:right="565"/>
        <w:jc w:val="both"/>
        <w:rPr>
          <w:rFonts w:ascii="Palatino Linotype" w:hAnsi="Palatino Linotype"/>
          <w:i/>
          <w:sz w:val="24"/>
        </w:rPr>
      </w:pPr>
    </w:p>
    <w:p w:rsidR="00702E47" w:rsidRPr="00866A41" w:rsidRDefault="00702E47" w:rsidP="00702E47">
      <w:pPr>
        <w:tabs>
          <w:tab w:val="left" w:pos="1134"/>
        </w:tabs>
        <w:ind w:left="567" w:right="565"/>
        <w:jc w:val="both"/>
        <w:rPr>
          <w:rFonts w:ascii="Palatino Linotype" w:hAnsi="Palatino Linotype"/>
          <w:i/>
        </w:rPr>
      </w:pPr>
      <w:r w:rsidRPr="00866A41">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2E47" w:rsidRPr="00866A41" w:rsidRDefault="00702E47" w:rsidP="00702E47">
      <w:pPr>
        <w:spacing w:line="360" w:lineRule="auto"/>
        <w:ind w:right="-28"/>
        <w:jc w:val="both"/>
        <w:rPr>
          <w:rFonts w:ascii="Palatino Linotype" w:eastAsia="Calibri" w:hAnsi="Palatino Linotype" w:cs="Tahoma"/>
          <w:bCs/>
        </w:rPr>
      </w:pPr>
    </w:p>
    <w:p w:rsidR="00702E47" w:rsidRPr="00866A41" w:rsidRDefault="00702E47" w:rsidP="00702E47">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eastAsia="Calibri" w:hAnsi="Palatino Linotype" w:cs="Arial"/>
          <w:color w:val="000000" w:themeColor="text1"/>
          <w:lang w:val="es-ES"/>
        </w:rPr>
        <w:lastRenderedPageBreak/>
        <w:t xml:space="preserve">En síntesis, </w:t>
      </w:r>
      <w:r w:rsidRPr="00866A41">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02E47" w:rsidRPr="00866A41" w:rsidRDefault="00702E47" w:rsidP="00702E47">
      <w:pPr>
        <w:spacing w:line="360" w:lineRule="auto"/>
        <w:ind w:right="-28"/>
        <w:jc w:val="both"/>
        <w:rPr>
          <w:rFonts w:ascii="Palatino Linotype" w:eastAsia="Calibri" w:hAnsi="Palatino Linotype" w:cs="Tahoma"/>
          <w:bCs/>
        </w:rPr>
      </w:pPr>
    </w:p>
    <w:p w:rsidR="00702E47" w:rsidRPr="00866A41" w:rsidRDefault="00702E47" w:rsidP="00702E47">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702E47" w:rsidRPr="00866A41" w:rsidRDefault="00702E47" w:rsidP="00702E47">
      <w:pPr>
        <w:pStyle w:val="Prrafodelista"/>
        <w:tabs>
          <w:tab w:val="left" w:pos="709"/>
          <w:tab w:val="left" w:pos="1985"/>
        </w:tabs>
        <w:ind w:left="567" w:right="565"/>
        <w:jc w:val="both"/>
        <w:rPr>
          <w:rFonts w:ascii="Palatino Linotype" w:hAnsi="Palatino Linotype"/>
          <w:i/>
          <w:sz w:val="24"/>
        </w:rPr>
      </w:pPr>
      <w:r w:rsidRPr="00866A41">
        <w:rPr>
          <w:rFonts w:ascii="Palatino Linotype" w:hAnsi="Palatino Linotype"/>
          <w:b/>
          <w:i/>
          <w:sz w:val="24"/>
        </w:rPr>
        <w:t>“No existe obligación de elaborar documentos ad hoc para atender las solicitudes de acceso a la información.</w:t>
      </w:r>
      <w:r w:rsidRPr="00866A41">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02E47" w:rsidRPr="00866A41" w:rsidRDefault="00702E47" w:rsidP="00702E47">
      <w:pPr>
        <w:pStyle w:val="Prrafodelista"/>
        <w:tabs>
          <w:tab w:val="left" w:pos="709"/>
          <w:tab w:val="left" w:pos="1985"/>
        </w:tabs>
        <w:ind w:left="567" w:right="565"/>
        <w:jc w:val="both"/>
        <w:rPr>
          <w:rFonts w:ascii="Palatino Linotype" w:hAnsi="Palatino Linotype"/>
          <w:i/>
          <w:sz w:val="24"/>
        </w:rPr>
      </w:pPr>
    </w:p>
    <w:p w:rsidR="00702E47" w:rsidRPr="00866A41" w:rsidRDefault="00702E47" w:rsidP="00702E47">
      <w:pPr>
        <w:pStyle w:val="Prrafodelista"/>
        <w:tabs>
          <w:tab w:val="left" w:pos="709"/>
          <w:tab w:val="left" w:pos="1985"/>
        </w:tabs>
        <w:ind w:left="567" w:right="565"/>
        <w:jc w:val="both"/>
        <w:rPr>
          <w:rFonts w:ascii="Palatino Linotype" w:hAnsi="Palatino Linotype"/>
          <w:i/>
          <w:sz w:val="24"/>
        </w:rPr>
      </w:pPr>
      <w:r w:rsidRPr="00866A41">
        <w:rPr>
          <w:rFonts w:ascii="Palatino Linotype" w:hAnsi="Palatino Linotype"/>
          <w:i/>
          <w:sz w:val="24"/>
        </w:rPr>
        <w:t xml:space="preserve">Resoluciones: </w:t>
      </w:r>
    </w:p>
    <w:p w:rsidR="00702E47" w:rsidRPr="00866A41" w:rsidRDefault="00702E47" w:rsidP="00702E47">
      <w:pPr>
        <w:pStyle w:val="Prrafodelista"/>
        <w:tabs>
          <w:tab w:val="left" w:pos="709"/>
          <w:tab w:val="left" w:pos="1985"/>
        </w:tabs>
        <w:ind w:left="567" w:right="565"/>
        <w:jc w:val="both"/>
        <w:rPr>
          <w:rFonts w:ascii="Palatino Linotype" w:hAnsi="Palatino Linotype"/>
          <w:i/>
          <w:sz w:val="24"/>
        </w:rPr>
      </w:pPr>
      <w:r w:rsidRPr="00866A41">
        <w:rPr>
          <w:rFonts w:ascii="Palatino Linotype" w:hAnsi="Palatino Linotype"/>
          <w:i/>
          <w:sz w:val="24"/>
        </w:rPr>
        <w:sym w:font="Symbol" w:char="F0B7"/>
      </w:r>
      <w:r w:rsidRPr="00866A41">
        <w:rPr>
          <w:rFonts w:ascii="Palatino Linotype" w:hAnsi="Palatino Linotype"/>
          <w:i/>
          <w:sz w:val="24"/>
        </w:rPr>
        <w:t xml:space="preserve"> RRA 0050/16. Instituto Nacional para la Evaluación de la Educación. 13 julio de 2016. Por unanimidad. Comisionado Ponente: Francisco Javier Acuña Llamas. </w:t>
      </w:r>
    </w:p>
    <w:p w:rsidR="00702E47" w:rsidRPr="00866A41" w:rsidRDefault="00702E47" w:rsidP="00702E47">
      <w:pPr>
        <w:pStyle w:val="Prrafodelista"/>
        <w:tabs>
          <w:tab w:val="left" w:pos="709"/>
          <w:tab w:val="left" w:pos="1985"/>
        </w:tabs>
        <w:ind w:left="567" w:right="565"/>
        <w:jc w:val="both"/>
        <w:rPr>
          <w:rFonts w:ascii="Palatino Linotype" w:hAnsi="Palatino Linotype"/>
          <w:i/>
          <w:sz w:val="24"/>
        </w:rPr>
      </w:pPr>
      <w:r w:rsidRPr="00866A41">
        <w:rPr>
          <w:rFonts w:ascii="Palatino Linotype" w:hAnsi="Palatino Linotype"/>
          <w:i/>
          <w:sz w:val="24"/>
        </w:rPr>
        <w:sym w:font="Symbol" w:char="F0B7"/>
      </w:r>
      <w:r w:rsidRPr="00866A41">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702E47" w:rsidRPr="00866A41" w:rsidRDefault="00702E47" w:rsidP="00702E47">
      <w:pPr>
        <w:tabs>
          <w:tab w:val="left" w:pos="709"/>
          <w:tab w:val="left" w:pos="1985"/>
        </w:tabs>
        <w:ind w:left="567" w:right="565"/>
        <w:jc w:val="both"/>
        <w:rPr>
          <w:rFonts w:ascii="Palatino Linotype" w:eastAsia="Calibri" w:hAnsi="Palatino Linotype" w:cs="Arial"/>
          <w:color w:val="000000" w:themeColor="text1"/>
          <w:lang w:val="es-ES"/>
        </w:rPr>
      </w:pPr>
      <w:r w:rsidRPr="00866A41">
        <w:rPr>
          <w:rFonts w:ascii="Palatino Linotype" w:hAnsi="Palatino Linotype"/>
          <w:i/>
        </w:rPr>
        <w:sym w:font="Symbol" w:char="F0B7"/>
      </w:r>
      <w:r w:rsidRPr="00866A41">
        <w:rPr>
          <w:rFonts w:ascii="Palatino Linotype" w:hAnsi="Palatino Linotype"/>
          <w:i/>
        </w:rPr>
        <w:t xml:space="preserve"> RRA 1889/16. Secretaría de Hacienda y Crédito Público. 05 de octubre de 2016. Por unanimidad. Comisionada Ponente. Ximena Puente de la Mora.”</w:t>
      </w:r>
    </w:p>
    <w:p w:rsidR="00702E47" w:rsidRPr="00866A41" w:rsidRDefault="00702E47" w:rsidP="00702E47">
      <w:pPr>
        <w:spacing w:line="360" w:lineRule="auto"/>
        <w:ind w:right="-28"/>
        <w:jc w:val="both"/>
        <w:rPr>
          <w:rFonts w:ascii="Palatino Linotype" w:eastAsia="Calibri" w:hAnsi="Palatino Linotype" w:cs="Tahoma"/>
          <w:bCs/>
        </w:rPr>
      </w:pPr>
    </w:p>
    <w:p w:rsidR="00702E47" w:rsidRPr="00866A41" w:rsidRDefault="00702E47" w:rsidP="00403346">
      <w:pPr>
        <w:numPr>
          <w:ilvl w:val="0"/>
          <w:numId w:val="1"/>
        </w:numPr>
        <w:spacing w:line="360" w:lineRule="auto"/>
        <w:ind w:left="0" w:right="-28" w:firstLine="0"/>
        <w:jc w:val="both"/>
        <w:rPr>
          <w:rFonts w:ascii="Palatino Linotype" w:eastAsia="Calibri" w:hAnsi="Palatino Linotype" w:cs="Tahoma"/>
          <w:bCs/>
        </w:rPr>
      </w:pPr>
      <w:r w:rsidRPr="00866A41">
        <w:rPr>
          <w:rFonts w:ascii="Palatino Linotype" w:eastAsia="Calibri" w:hAnsi="Palatino Linotype" w:cs="Arial"/>
          <w:color w:val="000000" w:themeColor="text1"/>
          <w:lang w:val="es-ES"/>
        </w:rPr>
        <w:t xml:space="preserve">Asimismo, </w:t>
      </w:r>
      <w:r w:rsidRPr="00866A41">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w:t>
      </w:r>
      <w:r w:rsidRPr="00866A41">
        <w:rPr>
          <w:rFonts w:ascii="Palatino Linotype" w:hAnsi="Palatino Linotype"/>
        </w:rPr>
        <w:lastRenderedPageBreak/>
        <w:t>cualquier persona, lo que implica que es deber de los Sujetos Obligados, garantizar el derecho de acceso a la información pública.</w:t>
      </w:r>
    </w:p>
    <w:p w:rsidR="00D614FD" w:rsidRPr="00866A41" w:rsidRDefault="00D614FD" w:rsidP="00D614FD">
      <w:pPr>
        <w:spacing w:line="360" w:lineRule="auto"/>
        <w:ind w:right="-28"/>
        <w:jc w:val="both"/>
        <w:rPr>
          <w:rFonts w:ascii="Palatino Linotype" w:eastAsia="Calibri" w:hAnsi="Palatino Linotype" w:cs="Arial"/>
          <w:color w:val="000000" w:themeColor="text1"/>
          <w:lang w:val="es-ES"/>
        </w:rPr>
      </w:pPr>
    </w:p>
    <w:p w:rsidR="00696FA3" w:rsidRPr="00866A41" w:rsidRDefault="00B932E5" w:rsidP="00696FA3">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hAnsi="Palatino Linotype" w:cs="Arial"/>
          <w:color w:val="000000" w:themeColor="text1"/>
          <w:lang w:val="es-ES_tradnl"/>
        </w:rPr>
        <w:t>Expuesto</w:t>
      </w:r>
      <w:r w:rsidR="00696FA3" w:rsidRPr="00866A41">
        <w:rPr>
          <w:rFonts w:ascii="Palatino Linotype" w:eastAsia="Calibri" w:hAnsi="Palatino Linotype" w:cs="Arial"/>
          <w:color w:val="000000" w:themeColor="text1"/>
        </w:rPr>
        <w:t xml:space="preserve"> lo anterior, se tiene que </w:t>
      </w:r>
      <w:r w:rsidR="00696FA3" w:rsidRPr="00866A41">
        <w:rPr>
          <w:rFonts w:ascii="Palatino Linotype" w:eastAsia="Calibri" w:hAnsi="Palatino Linotype" w:cs="Arial"/>
          <w:bCs/>
          <w:color w:val="000000" w:themeColor="text1"/>
        </w:rPr>
        <w:t>el</w:t>
      </w:r>
      <w:r w:rsidR="00696FA3" w:rsidRPr="00866A41">
        <w:rPr>
          <w:rFonts w:ascii="Palatino Linotype" w:eastAsia="Calibri" w:hAnsi="Palatino Linotype" w:cs="Arial"/>
          <w:b/>
          <w:color w:val="000000" w:themeColor="text1"/>
        </w:rPr>
        <w:t xml:space="preserve"> </w:t>
      </w:r>
      <w:r w:rsidR="00696FA3" w:rsidRPr="00866A41">
        <w:rPr>
          <w:rFonts w:ascii="Palatino Linotype" w:eastAsia="Calibri" w:hAnsi="Palatino Linotype" w:cs="Arial"/>
          <w:b/>
          <w:bCs/>
          <w:color w:val="000000" w:themeColor="text1"/>
        </w:rPr>
        <w:t>SUJETO OBLIGADO</w:t>
      </w:r>
      <w:r w:rsidR="00696FA3" w:rsidRPr="00866A41">
        <w:rPr>
          <w:rFonts w:ascii="Palatino Linotype" w:eastAsia="Calibri" w:hAnsi="Palatino Linotype" w:cs="Arial"/>
          <w:bCs/>
          <w:color w:val="000000" w:themeColor="text1"/>
        </w:rPr>
        <w:t xml:space="preserve"> </w:t>
      </w:r>
      <w:r w:rsidRPr="00866A41">
        <w:rPr>
          <w:rFonts w:ascii="Palatino Linotype" w:eastAsia="Calibri" w:hAnsi="Palatino Linotype" w:cs="Arial"/>
          <w:bCs/>
          <w:color w:val="000000" w:themeColor="text1"/>
        </w:rPr>
        <w:t>modificó la</w:t>
      </w:r>
      <w:r w:rsidR="00696FA3" w:rsidRPr="00866A41">
        <w:rPr>
          <w:rFonts w:ascii="Palatino Linotype" w:eastAsia="Calibri" w:hAnsi="Palatino Linotype" w:cs="Arial"/>
          <w:bCs/>
          <w:color w:val="000000" w:themeColor="text1"/>
        </w:rPr>
        <w:t xml:space="preserve"> respuesta inicial y aportó información novedosa.</w:t>
      </w:r>
    </w:p>
    <w:p w:rsidR="00696FA3" w:rsidRPr="00866A41" w:rsidRDefault="00696FA3" w:rsidP="00A30F8D">
      <w:pPr>
        <w:ind w:right="1"/>
        <w:jc w:val="both"/>
        <w:rPr>
          <w:rFonts w:ascii="Palatino Linotype" w:eastAsia="Palatino Linotype" w:hAnsi="Palatino Linotype" w:cs="Palatino Linotype"/>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rPr>
      </w:pPr>
      <w:r w:rsidRPr="00866A41">
        <w:rPr>
          <w:rFonts w:ascii="Palatino Linotype" w:hAnsi="Palatino Linotype" w:cs="Arial"/>
          <w:color w:val="000000" w:themeColor="text1"/>
          <w:lang w:val="es-ES_tradnl"/>
        </w:rPr>
        <w:t xml:space="preserve">En </w:t>
      </w:r>
      <w:r w:rsidRPr="00866A41">
        <w:rPr>
          <w:rFonts w:ascii="Palatino Linotype" w:eastAsia="Calibri" w:hAnsi="Palatino Linotype" w:cs="Arial"/>
          <w:color w:val="000000" w:themeColor="text1"/>
        </w:rPr>
        <w:t xml:space="preserve">este sentido, </w:t>
      </w:r>
      <w:r w:rsidRPr="00866A41">
        <w:rPr>
          <w:rFonts w:ascii="Palatino Linotype" w:hAnsi="Palatino Linotype" w:cs="Arial"/>
          <w:bCs/>
        </w:rPr>
        <w:t xml:space="preserve">es dable sostener que, al haber existido un pronunciamiento por parte del </w:t>
      </w:r>
      <w:r w:rsidRPr="00866A41">
        <w:rPr>
          <w:rFonts w:ascii="Palatino Linotype" w:hAnsi="Palatino Linotype" w:cs="Arial"/>
          <w:b/>
          <w:bCs/>
        </w:rPr>
        <w:t>SUJETO OBLIGADO</w:t>
      </w:r>
      <w:r w:rsidRPr="00866A41">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rsidR="00696FA3" w:rsidRPr="00866A41" w:rsidRDefault="00696FA3" w:rsidP="004414BC">
      <w:pPr>
        <w:ind w:right="1"/>
        <w:jc w:val="both"/>
        <w:rPr>
          <w:rFonts w:ascii="Palatino Linotype" w:eastAsia="Palatino Linotype" w:hAnsi="Palatino Linotype" w:cs="Palatino Linotype"/>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rPr>
        <w:t xml:space="preserve">Así, </w:t>
      </w:r>
      <w:r w:rsidRPr="00866A41">
        <w:rPr>
          <w:rFonts w:ascii="Palatino Linotype" w:eastAsia="Calibri" w:hAnsi="Palatino Linotype"/>
        </w:rPr>
        <w:t xml:space="preserve">este Pleno advierte que el </w:t>
      </w:r>
      <w:r w:rsidRPr="00866A41">
        <w:rPr>
          <w:rFonts w:ascii="Palatino Linotype" w:eastAsia="Calibri" w:hAnsi="Palatino Linotype"/>
          <w:b/>
        </w:rPr>
        <w:t>SUJETO OBLIGADO</w:t>
      </w:r>
      <w:r w:rsidRPr="00866A41">
        <w:rPr>
          <w:rFonts w:ascii="Palatino Linotype" w:eastAsia="Calibri" w:hAnsi="Palatino Linotype"/>
        </w:rPr>
        <w:t xml:space="preserve"> </w:t>
      </w:r>
      <w:r w:rsidRPr="00866A41">
        <w:rPr>
          <w:rFonts w:ascii="Palatino Linotype" w:eastAsia="Calibri" w:hAnsi="Palatino Linotype"/>
          <w:b/>
        </w:rPr>
        <w:t xml:space="preserve">modificó </w:t>
      </w:r>
      <w:r w:rsidRPr="00866A41">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rsidR="00696FA3" w:rsidRPr="00866A41" w:rsidRDefault="00696FA3" w:rsidP="00A30F8D">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De </w:t>
      </w:r>
      <w:r w:rsidRPr="00866A41">
        <w:rPr>
          <w:rFonts w:ascii="Palatino Linotype" w:eastAsia="Calibri" w:hAnsi="Palatino Linotype" w:cs="Arial"/>
          <w:color w:val="000000" w:themeColor="text1"/>
        </w:rPr>
        <w:t xml:space="preserve">bien, </w:t>
      </w:r>
      <w:r w:rsidRPr="00866A41">
        <w:rPr>
          <w:rFonts w:ascii="Palatino Linotype" w:eastAsia="Calibri"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66A41">
        <w:rPr>
          <w:rFonts w:ascii="Palatino Linotype" w:eastAsia="Calibri" w:hAnsi="Palatino Linotype"/>
          <w:b/>
        </w:rPr>
        <w:t>SUJETOS OBLIGADOS</w:t>
      </w:r>
      <w:r w:rsidRPr="00866A41">
        <w:rPr>
          <w:rFonts w:ascii="Palatino Linotype" w:eastAsia="Calibri" w:hAnsi="Palatino Linotype"/>
        </w:rPr>
        <w:t xml:space="preserve"> o la negativa de entrega de la misma, derivada de la solicitud de información pública.</w:t>
      </w:r>
    </w:p>
    <w:p w:rsidR="00A30F8D" w:rsidRPr="00866A41" w:rsidRDefault="00A30F8D" w:rsidP="00A30F8D">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De </w:t>
      </w:r>
      <w:r w:rsidRPr="00866A41">
        <w:rPr>
          <w:rFonts w:ascii="Palatino Linotype" w:eastAsia="Calibri" w:hAnsi="Palatino Linotype"/>
        </w:rPr>
        <w:t xml:space="preserve">este modo, cuando el </w:t>
      </w:r>
      <w:r w:rsidRPr="00866A41">
        <w:rPr>
          <w:rFonts w:ascii="Palatino Linotype" w:eastAsia="Calibri" w:hAnsi="Palatino Linotype"/>
          <w:b/>
        </w:rPr>
        <w:t xml:space="preserve">SUJETO OBLIGADO, </w:t>
      </w:r>
      <w:r w:rsidRPr="00866A41">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66A41">
        <w:rPr>
          <w:rFonts w:ascii="Palatino Linotype" w:eastAsia="Calibri" w:hAnsi="Palatino Linotype"/>
          <w:i/>
        </w:rPr>
        <w:t>litis</w:t>
      </w:r>
      <w:r w:rsidRPr="00866A41">
        <w:rPr>
          <w:rFonts w:ascii="Palatino Linotype" w:eastAsia="Calibri" w:hAnsi="Palatino Linotype"/>
        </w:rPr>
        <w:t xml:space="preserve"> </w:t>
      </w:r>
      <w:r w:rsidRPr="00866A41">
        <w:rPr>
          <w:rFonts w:ascii="Palatino Linotype" w:eastAsia="Calibri" w:hAnsi="Palatino Linotype"/>
        </w:rPr>
        <w:lastRenderedPageBreak/>
        <w:t>planteada, debido a que la afectación en su esfera de derechos fue restituida por la propia autoridad que emitió el acto motivo de impugnación.</w:t>
      </w:r>
    </w:p>
    <w:p w:rsidR="00696FA3" w:rsidRPr="00866A41" w:rsidRDefault="00696FA3" w:rsidP="00A30F8D">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Sirve </w:t>
      </w:r>
      <w:r w:rsidRPr="00866A41">
        <w:rPr>
          <w:rFonts w:ascii="Palatino Linotype" w:eastAsia="Calibri" w:hAnsi="Palatino Linotype"/>
        </w:rPr>
        <w:t>de sustento a lo anterior la siguiente jurisprudencia por contradicción, cuyo rubro, texto y datos de identificación son los siguientes:</w:t>
      </w:r>
    </w:p>
    <w:p w:rsidR="00696FA3" w:rsidRPr="00866A41" w:rsidRDefault="00696FA3" w:rsidP="00696FA3">
      <w:pPr>
        <w:ind w:left="567" w:right="567"/>
        <w:jc w:val="both"/>
        <w:rPr>
          <w:rFonts w:ascii="Palatino Linotype" w:eastAsia="Palatino Linotype" w:hAnsi="Palatino Linotype" w:cs="Palatino Linotype"/>
          <w:b/>
        </w:rPr>
      </w:pPr>
      <w:r w:rsidRPr="00866A41">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66A41">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96FA3" w:rsidRPr="00866A41" w:rsidRDefault="00696FA3" w:rsidP="004414BC">
      <w:pPr>
        <w:rPr>
          <w:rFonts w:ascii="Palatino Linotype" w:hAnsi="Palatino Linotype" w:cs="Arial"/>
          <w:color w:val="000000" w:themeColor="text1"/>
          <w:lang w:val="es-ES_tradnl"/>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La </w:t>
      </w:r>
      <w:r w:rsidRPr="00866A41">
        <w:rPr>
          <w:rFonts w:ascii="Palatino Linotype" w:eastAsia="Calibri" w:hAnsi="Palatino Linotype"/>
        </w:rPr>
        <w:t>anterior jurisprudencia resulta aplicable al presente asunto, en dos aspectos:</w:t>
      </w:r>
    </w:p>
    <w:p w:rsidR="00696FA3" w:rsidRPr="00866A41" w:rsidRDefault="00696FA3" w:rsidP="00696FA3">
      <w:pPr>
        <w:numPr>
          <w:ilvl w:val="0"/>
          <w:numId w:val="33"/>
        </w:numPr>
        <w:ind w:left="567" w:right="616" w:firstLine="0"/>
        <w:contextualSpacing/>
        <w:jc w:val="both"/>
        <w:rPr>
          <w:rFonts w:ascii="Palatino Linotype" w:eastAsia="Calibri" w:hAnsi="Palatino Linotype"/>
        </w:rPr>
      </w:pPr>
      <w:r w:rsidRPr="00866A41">
        <w:rPr>
          <w:rFonts w:ascii="Palatino Linotype" w:eastAsia="Calibri" w:hAnsi="Palatino Linotype"/>
          <w:b/>
        </w:rPr>
        <w:t>La cesación de los efectos perniciosos del acto de autoridad:</w:t>
      </w:r>
      <w:r w:rsidRPr="00866A41">
        <w:rPr>
          <w:rFonts w:ascii="Palatino Linotype" w:eastAsia="Calibri" w:hAnsi="Palatino Linotype"/>
        </w:rPr>
        <w:t xml:space="preserve"> Al respecto, la Ley de Transparencia contempla la figura jurídica del sobreseimiento cuando el </w:t>
      </w:r>
      <w:r w:rsidRPr="00866A41">
        <w:rPr>
          <w:rFonts w:ascii="Palatino Linotype" w:eastAsia="Calibri" w:hAnsi="Palatino Linotype"/>
          <w:b/>
        </w:rPr>
        <w:t>SUJETO OBLIGADO</w:t>
      </w:r>
      <w:r w:rsidRPr="00866A41">
        <w:rPr>
          <w:rFonts w:ascii="Palatino Linotype" w:eastAsia="Calibri" w:hAnsi="Palatino Linotype"/>
        </w:rPr>
        <w:t xml:space="preserve"> de </w:t>
      </w:r>
      <w:r w:rsidRPr="00866A41">
        <w:rPr>
          <w:rFonts w:ascii="Palatino Linotype" w:eastAsia="Calibri" w:hAnsi="Palatino Linotype"/>
          <w:i/>
        </w:rPr>
        <w:t>motu proprio</w:t>
      </w:r>
      <w:r w:rsidRPr="00866A41">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696FA3" w:rsidRPr="00866A41" w:rsidRDefault="00696FA3" w:rsidP="00696FA3">
      <w:pPr>
        <w:ind w:left="567" w:right="616"/>
        <w:contextualSpacing/>
        <w:rPr>
          <w:rFonts w:ascii="Palatino Linotype" w:eastAsia="Calibri" w:hAnsi="Palatino Linotype"/>
        </w:rPr>
      </w:pPr>
    </w:p>
    <w:p w:rsidR="00696FA3" w:rsidRPr="00866A41" w:rsidRDefault="00696FA3" w:rsidP="00696FA3">
      <w:pPr>
        <w:numPr>
          <w:ilvl w:val="0"/>
          <w:numId w:val="33"/>
        </w:numPr>
        <w:ind w:left="567" w:right="616" w:firstLine="0"/>
        <w:contextualSpacing/>
        <w:jc w:val="both"/>
        <w:rPr>
          <w:rFonts w:ascii="Palatino Linotype" w:eastAsia="Calibri" w:hAnsi="Palatino Linotype"/>
        </w:rPr>
      </w:pPr>
      <w:r w:rsidRPr="00866A41">
        <w:rPr>
          <w:rFonts w:ascii="Palatino Linotype" w:eastAsia="Calibri" w:hAnsi="Palatino Linotype"/>
          <w:b/>
        </w:rPr>
        <w:lastRenderedPageBreak/>
        <w:t>El momento procesal para modificar el acto impugnado:</w:t>
      </w:r>
      <w:r w:rsidRPr="00866A41">
        <w:rPr>
          <w:rFonts w:ascii="Palatino Linotype" w:eastAsia="Calibri" w:hAnsi="Palatino Linotype"/>
        </w:rPr>
        <w:t xml:space="preserve"> Para que se actualice el sobreseimiento de un recurso de revisión, el </w:t>
      </w:r>
      <w:r w:rsidRPr="00866A41">
        <w:rPr>
          <w:rFonts w:ascii="Palatino Linotype" w:eastAsia="Calibri" w:hAnsi="Palatino Linotype"/>
          <w:b/>
        </w:rPr>
        <w:t>SUJETO OBLIGADO</w:t>
      </w:r>
      <w:r w:rsidRPr="00866A41">
        <w:rPr>
          <w:rFonts w:ascii="Palatino Linotype" w:eastAsia="Calibri" w:hAnsi="Palatino Linotype"/>
        </w:rPr>
        <w:t xml:space="preserve"> puede entregar o completar la información al momento de rendir su informe de justificación o </w:t>
      </w:r>
      <w:r w:rsidRPr="00866A41">
        <w:rPr>
          <w:rFonts w:ascii="Palatino Linotype" w:eastAsia="Calibri" w:hAnsi="Palatino Linotype"/>
          <w:b/>
          <w:u w:val="single"/>
        </w:rPr>
        <w:t>posteriormente</w:t>
      </w:r>
      <w:r w:rsidRPr="00866A41">
        <w:rPr>
          <w:rFonts w:ascii="Palatino Linotype" w:eastAsia="Calibri" w:hAnsi="Palatino Linotype"/>
        </w:rPr>
        <w:t xml:space="preserve"> a éste, siempre y cuando el Pleno del Instituto no haya dictado resolución definitiva.</w:t>
      </w:r>
    </w:p>
    <w:p w:rsidR="00696FA3" w:rsidRPr="00866A41" w:rsidRDefault="00696FA3" w:rsidP="00A30F8D">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Eduardo </w:t>
      </w:r>
      <w:r w:rsidRPr="00866A41">
        <w:rPr>
          <w:rFonts w:ascii="Palatino Linotype" w:eastAsia="Calibri" w:hAnsi="Palatino Linotype" w:cs="Arial"/>
          <w:color w:val="000000" w:themeColor="text1"/>
        </w:rPr>
        <w:t xml:space="preserve">Pallares, </w:t>
      </w:r>
      <w:r w:rsidRPr="00866A41">
        <w:rPr>
          <w:rFonts w:ascii="Palatino Linotype" w:eastAsia="Calibri" w:hAnsi="Palatino Linotype"/>
        </w:rPr>
        <w:t xml:space="preserve">en su artículo </w:t>
      </w:r>
      <w:r w:rsidRPr="00866A41">
        <w:rPr>
          <w:rFonts w:ascii="Palatino Linotype" w:eastAsia="Calibri" w:hAnsi="Palatino Linotype"/>
          <w:i/>
        </w:rPr>
        <w:t>“La caducidad y el sobreseimiento en el amparo”</w:t>
      </w:r>
      <w:r w:rsidRPr="00866A41">
        <w:rPr>
          <w:rFonts w:ascii="Palatino Linotype" w:eastAsia="Calibri" w:hAnsi="Palatino Linotype"/>
        </w:rPr>
        <w:t xml:space="preserve">, cita la definición de Aguilera Paz, aduciendo que se </w:t>
      </w:r>
      <w:r w:rsidRPr="00866A41">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866A41">
        <w:rPr>
          <w:rFonts w:ascii="Palatino Linotype" w:eastAsia="Calibri" w:hAnsi="Palatino Linotype"/>
        </w:rPr>
        <w:t>. Asimismo, señala que existe el sobreseimiento provisional y el definitivo</w:t>
      </w:r>
      <w:r w:rsidRPr="00866A41">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696FA3" w:rsidRPr="00866A41" w:rsidRDefault="00696FA3" w:rsidP="00A30F8D">
      <w:pPr>
        <w:ind w:right="1"/>
        <w:jc w:val="both"/>
        <w:rPr>
          <w:rFonts w:ascii="Palatino Linotype" w:eastAsia="Palatino Linotype" w:hAnsi="Palatino Linotype" w:cs="Palatino Linotype"/>
          <w:b/>
        </w:rPr>
      </w:pPr>
    </w:p>
    <w:p w:rsidR="004414BC"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Así, </w:t>
      </w:r>
      <w:r w:rsidRPr="00866A41">
        <w:rPr>
          <w:rFonts w:ascii="Palatino Linotype" w:eastAsia="Calibri" w:hAnsi="Palatino Linotype"/>
        </w:rPr>
        <w:t xml:space="preserve">para la doctrina el sobreseimiento provoca que un procedimiento se suspenda o se resuelva en definitiva </w:t>
      </w:r>
      <w:r w:rsidRPr="00866A41">
        <w:rPr>
          <w:rFonts w:ascii="Palatino Linotype" w:eastAsia="Calibri" w:hAnsi="Palatino Linotype"/>
          <w:b/>
        </w:rPr>
        <w:t>sin que se entre al estudio de los agravios o motivos de inconformidad.</w:t>
      </w:r>
    </w:p>
    <w:p w:rsidR="004414BC" w:rsidRPr="00866A41" w:rsidRDefault="004414BC" w:rsidP="004414BC">
      <w:pPr>
        <w:pStyle w:val="Prrafodelista"/>
        <w:rPr>
          <w:rFonts w:ascii="Palatino Linotype" w:eastAsia="Calibri" w:hAnsi="Palatino Linotype"/>
          <w:sz w:val="24"/>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rsidR="00696FA3" w:rsidRPr="00866A41" w:rsidRDefault="00696FA3" w:rsidP="00696FA3">
      <w:pPr>
        <w:ind w:left="567" w:right="565"/>
        <w:contextualSpacing/>
        <w:jc w:val="both"/>
        <w:rPr>
          <w:rFonts w:ascii="Palatino Linotype" w:eastAsia="Calibri" w:hAnsi="Palatino Linotype"/>
          <w:i/>
          <w:lang w:val="es-AR"/>
        </w:rPr>
      </w:pPr>
      <w:r w:rsidRPr="00866A41">
        <w:rPr>
          <w:rFonts w:ascii="Palatino Linotype" w:eastAsia="Calibri" w:hAnsi="Palatino Linotype"/>
          <w:b/>
          <w:i/>
          <w:lang w:val="es-AR"/>
        </w:rPr>
        <w:t>SOBRESEIMIENTO EN EL JUICIO DE AMPARO DIRECTO. IMPIDE EL ESTUDIO DE LAS VIOLACIONES PROCESALES PLANTEADAS EN LOS CONCEPTOS DE VIOLACIÓN. El sobreseimiento</w:t>
      </w:r>
      <w:r w:rsidRPr="00866A41">
        <w:rPr>
          <w:rFonts w:ascii="Palatino Linotype" w:eastAsia="Calibri" w:hAnsi="Palatino Linotype"/>
          <w:i/>
          <w:lang w:val="es-AR"/>
        </w:rPr>
        <w:t xml:space="preserve"> en el juicio de amparo directo </w:t>
      </w:r>
      <w:r w:rsidRPr="00866A41">
        <w:rPr>
          <w:rFonts w:ascii="Palatino Linotype" w:eastAsia="Calibri" w:hAnsi="Palatino Linotype"/>
          <w:b/>
          <w:i/>
          <w:lang w:val="es-AR"/>
        </w:rPr>
        <w:t>provoca la terminación de la controversia planteada</w:t>
      </w:r>
      <w:r w:rsidRPr="00866A41">
        <w:rPr>
          <w:rFonts w:ascii="Palatino Linotype" w:eastAsia="Calibri" w:hAnsi="Palatino Linotype"/>
          <w:i/>
          <w:lang w:val="es-AR"/>
        </w:rPr>
        <w:t xml:space="preserve"> por el quejoso en la demanda de amparo</w:t>
      </w:r>
      <w:r w:rsidRPr="00866A41">
        <w:rPr>
          <w:rFonts w:ascii="Palatino Linotype" w:eastAsia="Calibri" w:hAnsi="Palatino Linotype"/>
          <w:b/>
          <w:i/>
          <w:lang w:val="es-AR"/>
        </w:rPr>
        <w:t>, sin hacer un pronunciamiento de fondo sobre la legalidad o ilegalidad de la sentencia reclamada</w:t>
      </w:r>
      <w:r w:rsidRPr="00866A41">
        <w:rPr>
          <w:rFonts w:ascii="Palatino Linotype" w:eastAsia="Calibri" w:hAnsi="Palatino Linotype"/>
          <w:i/>
          <w:lang w:val="es-AR"/>
        </w:rPr>
        <w:t xml:space="preserve">. </w:t>
      </w:r>
      <w:r w:rsidRPr="00866A41">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66A41">
        <w:rPr>
          <w:rFonts w:ascii="Palatino Linotype" w:eastAsia="Calibri" w:hAnsi="Palatino Linotype"/>
          <w:i/>
          <w:lang w:val="es-AR"/>
        </w:rPr>
        <w:t>.</w:t>
      </w:r>
    </w:p>
    <w:p w:rsidR="00696FA3" w:rsidRPr="00866A41" w:rsidRDefault="00696FA3" w:rsidP="00696FA3">
      <w:pPr>
        <w:ind w:left="567" w:right="565"/>
        <w:contextualSpacing/>
        <w:jc w:val="both"/>
        <w:rPr>
          <w:rFonts w:ascii="Palatino Linotype" w:eastAsia="Calibri" w:hAnsi="Palatino Linotype"/>
          <w:i/>
          <w:lang w:val="es-AR"/>
        </w:rPr>
      </w:pPr>
      <w:r w:rsidRPr="00866A41">
        <w:rPr>
          <w:rFonts w:ascii="Palatino Linotype" w:eastAsia="Calibri" w:hAnsi="Palatino Linotype"/>
          <w:i/>
          <w:lang w:val="es-AR"/>
        </w:rPr>
        <w:lastRenderedPageBreak/>
        <w:t>SÉPTIMO TRIBUNAL COLEGIADO EN MATERIA CIVIL DEL PRIMER CIRCUITO.</w:t>
      </w:r>
    </w:p>
    <w:p w:rsidR="00696FA3" w:rsidRPr="00866A41" w:rsidRDefault="00696FA3" w:rsidP="00696FA3">
      <w:pPr>
        <w:ind w:left="567" w:right="565"/>
        <w:contextualSpacing/>
        <w:jc w:val="both"/>
        <w:rPr>
          <w:rFonts w:ascii="Palatino Linotype" w:eastAsia="Calibri" w:hAnsi="Palatino Linotype"/>
          <w:b/>
          <w:i/>
          <w:lang w:val="es-AR"/>
        </w:rPr>
      </w:pPr>
      <w:r w:rsidRPr="00866A41">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696FA3" w:rsidRPr="00866A41" w:rsidRDefault="00696FA3" w:rsidP="004414BC">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Consecuentemente, </w:t>
      </w:r>
      <w:r w:rsidRPr="00866A41">
        <w:rPr>
          <w:rFonts w:ascii="Palatino Linotype" w:eastAsia="Calibri" w:hAnsi="Palatino Linotype"/>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96FA3" w:rsidRPr="00866A41" w:rsidRDefault="00696FA3" w:rsidP="004414BC">
      <w:pPr>
        <w:ind w:right="1"/>
        <w:jc w:val="both"/>
        <w:rPr>
          <w:rFonts w:ascii="Palatino Linotype" w:eastAsia="Palatino Linotype" w:hAnsi="Palatino Linotype" w:cs="Palatino Linotype"/>
          <w:b/>
        </w:rPr>
      </w:pPr>
    </w:p>
    <w:p w:rsidR="00696FA3" w:rsidRPr="00866A41" w:rsidRDefault="00696FA3" w:rsidP="00696FA3">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hAnsi="Palatino Linotype" w:cs="Arial"/>
          <w:color w:val="000000" w:themeColor="text1"/>
          <w:lang w:val="es-ES_tradnl"/>
        </w:rPr>
        <w:t xml:space="preserve">Bajo </w:t>
      </w:r>
      <w:r w:rsidRPr="00866A41">
        <w:rPr>
          <w:rFonts w:ascii="Palatino Linotype" w:eastAsia="Calibri" w:hAnsi="Palatino Linotype"/>
          <w:lang w:val="es-CO"/>
        </w:rPr>
        <w:t xml:space="preserve">ese tenor y en términos del artículo 186 fracción I este Pleno determina el </w:t>
      </w:r>
      <w:r w:rsidRPr="00866A41">
        <w:rPr>
          <w:rFonts w:ascii="Palatino Linotype" w:eastAsia="Calibri" w:hAnsi="Palatino Linotype"/>
          <w:b/>
          <w:lang w:val="es-CO"/>
        </w:rPr>
        <w:t xml:space="preserve">SOBRESEIMIENTO </w:t>
      </w:r>
      <w:r w:rsidRPr="00866A41">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r w:rsidR="006F4C9B" w:rsidRPr="00866A41">
        <w:rPr>
          <w:rFonts w:ascii="Palatino Linotype" w:eastAsia="Calibri" w:hAnsi="Palatino Linotype"/>
          <w:lang w:val="es-CO"/>
        </w:rPr>
        <w:t>.</w:t>
      </w:r>
    </w:p>
    <w:p w:rsidR="006F4C9B" w:rsidRPr="00866A41" w:rsidRDefault="006F4C9B" w:rsidP="006F4C9B">
      <w:pPr>
        <w:pStyle w:val="Prrafodelista"/>
        <w:rPr>
          <w:rFonts w:ascii="Palatino Linotype" w:eastAsia="Palatino Linotype" w:hAnsi="Palatino Linotype" w:cs="Palatino Linotype"/>
          <w:b/>
          <w:sz w:val="24"/>
        </w:rPr>
      </w:pPr>
    </w:p>
    <w:p w:rsidR="006F4C9B" w:rsidRPr="00866A41" w:rsidRDefault="006F4C9B" w:rsidP="006F4C9B">
      <w:pPr>
        <w:keepNext/>
        <w:keepLines/>
        <w:spacing w:line="360" w:lineRule="auto"/>
        <w:ind w:right="48"/>
        <w:outlineLvl w:val="0"/>
        <w:rPr>
          <w:rFonts w:ascii="Palatino Linotype" w:eastAsia="Palatino Linotype" w:hAnsi="Palatino Linotype" w:cs="Palatino Linotype"/>
          <w:b/>
        </w:rPr>
      </w:pPr>
      <w:r w:rsidRPr="00866A41">
        <w:rPr>
          <w:rFonts w:ascii="Palatino Linotype" w:eastAsia="Palatino Linotype" w:hAnsi="Palatino Linotype" w:cs="Palatino Linotype"/>
          <w:b/>
        </w:rPr>
        <w:t xml:space="preserve">CUARTO. </w:t>
      </w:r>
      <w:r w:rsidRPr="00866A41">
        <w:rPr>
          <w:rFonts w:ascii="Palatino Linotype" w:hAnsi="Palatino Linotype"/>
          <w:b/>
        </w:rPr>
        <w:t>Vista a la Dirección de Protección de Datos Personales.</w:t>
      </w:r>
    </w:p>
    <w:p w:rsidR="006F4C9B" w:rsidRPr="00866A41" w:rsidRDefault="006F4C9B" w:rsidP="006F4C9B">
      <w:pPr>
        <w:pStyle w:val="Prrafodelista"/>
        <w:numPr>
          <w:ilvl w:val="0"/>
          <w:numId w:val="1"/>
        </w:numPr>
        <w:spacing w:line="360" w:lineRule="auto"/>
        <w:ind w:left="0" w:right="-28" w:firstLine="0"/>
        <w:jc w:val="both"/>
        <w:rPr>
          <w:rFonts w:ascii="Palatino Linotype" w:eastAsia="Palatino Linotype" w:hAnsi="Palatino Linotype" w:cs="Palatino Linotype"/>
          <w:sz w:val="24"/>
        </w:rPr>
      </w:pPr>
      <w:r w:rsidRPr="00866A41">
        <w:rPr>
          <w:rFonts w:ascii="Palatino Linotype" w:eastAsia="Palatino Linotype" w:hAnsi="Palatino Linotype" w:cs="Palatino Linotype"/>
          <w:sz w:val="24"/>
        </w:rPr>
        <w:t xml:space="preserve">Ahora bien, es </w:t>
      </w:r>
      <w:r w:rsidRPr="00866A41">
        <w:rPr>
          <w:rFonts w:ascii="Palatino Linotype" w:hAnsi="Palatino Linotype"/>
          <w:sz w:val="24"/>
        </w:rPr>
        <w:t xml:space="preserve">necesario resaltar que el recurso de revisión previsto en la Ley de la materia no es el medio para investigar y, en su caso, sancionar a servidores públicos por la falta de cuidado de la protección de datos personales; es así que, </w:t>
      </w:r>
      <w:r w:rsidRPr="00866A41">
        <w:rPr>
          <w:rFonts w:ascii="Palatino Linotype" w:hAnsi="Palatino Linotype"/>
          <w:b/>
          <w:bCs/>
          <w:sz w:val="24"/>
        </w:rPr>
        <w:t>con el pronunciamiento realizado en respuesta a solicitud de información</w:t>
      </w:r>
      <w:r w:rsidRPr="00866A41">
        <w:rPr>
          <w:rFonts w:ascii="Palatino Linotype" w:hAnsi="Palatino Linotype"/>
          <w:sz w:val="24"/>
        </w:rPr>
        <w:t xml:space="preserve">, se aprecia que se vulneraron datos personales de un particular; por lo que, es necesario dar vista al área competente para que en ejercicio de sus atribuciones realice las investigaciones pertinentes por las omisiones detectadas atribuibles al </w:t>
      </w:r>
      <w:r w:rsidRPr="00866A41">
        <w:rPr>
          <w:rFonts w:ascii="Palatino Linotype" w:hAnsi="Palatino Linotype"/>
          <w:b/>
          <w:sz w:val="24"/>
        </w:rPr>
        <w:t>SUJETO OBLIGADO.</w:t>
      </w:r>
    </w:p>
    <w:p w:rsidR="006F4C9B" w:rsidRPr="00866A41" w:rsidRDefault="006F4C9B" w:rsidP="006F4C9B">
      <w:pPr>
        <w:spacing w:line="360" w:lineRule="auto"/>
        <w:ind w:right="-28"/>
        <w:jc w:val="both"/>
        <w:rPr>
          <w:rFonts w:ascii="Palatino Linotype" w:eastAsia="Palatino Linotype" w:hAnsi="Palatino Linotype" w:cs="Palatino Linotype"/>
          <w:i/>
        </w:rPr>
      </w:pPr>
    </w:p>
    <w:p w:rsidR="006F4C9B" w:rsidRPr="00866A41" w:rsidRDefault="006F4C9B" w:rsidP="006F4C9B">
      <w:pPr>
        <w:numPr>
          <w:ilvl w:val="0"/>
          <w:numId w:val="1"/>
        </w:numPr>
        <w:spacing w:line="360" w:lineRule="auto"/>
        <w:ind w:left="0" w:right="-28" w:firstLine="0"/>
        <w:jc w:val="both"/>
        <w:rPr>
          <w:rFonts w:ascii="Palatino Linotype" w:eastAsia="Palatino Linotype" w:hAnsi="Palatino Linotype" w:cs="Palatino Linotype"/>
          <w:i/>
        </w:rPr>
      </w:pPr>
      <w:r w:rsidRPr="00866A41">
        <w:rPr>
          <w:rFonts w:ascii="Palatino Linotype" w:hAnsi="Palatino Linotype"/>
          <w:color w:val="000000" w:themeColor="text1"/>
        </w:rPr>
        <w:t xml:space="preserve">Por </w:t>
      </w:r>
      <w:r w:rsidRPr="00866A41">
        <w:rPr>
          <w:rFonts w:ascii="Palatino Linotype" w:hAnsi="Palatino Linotype"/>
        </w:rPr>
        <w:t>ello, es conveniente señalar las fracciones XIV, XXII, XXIII y XXV, del artículo 82, de la Ley de Protección de Datos Personales en Posesión de Sujetos Obligados del Estado de México y Municipios, que establece:</w:t>
      </w:r>
    </w:p>
    <w:p w:rsidR="006F4C9B" w:rsidRPr="00866A41" w:rsidRDefault="006F4C9B" w:rsidP="006F4C9B">
      <w:pPr>
        <w:pStyle w:val="Prrafodelista"/>
        <w:tabs>
          <w:tab w:val="left" w:pos="426"/>
        </w:tabs>
        <w:spacing w:before="240" w:after="240"/>
        <w:ind w:left="567" w:right="539"/>
        <w:jc w:val="both"/>
        <w:rPr>
          <w:rFonts w:ascii="Palatino Linotype" w:hAnsi="Palatino Linotype"/>
          <w:b/>
          <w:i/>
          <w:sz w:val="24"/>
        </w:rPr>
      </w:pPr>
      <w:r w:rsidRPr="00866A41">
        <w:rPr>
          <w:rFonts w:ascii="Palatino Linotype" w:hAnsi="Palatino Linotype"/>
          <w:b/>
          <w:i/>
          <w:sz w:val="24"/>
        </w:rPr>
        <w:lastRenderedPageBreak/>
        <w:t xml:space="preserve">Atribuciones del Instituto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b/>
          <w:i/>
          <w:sz w:val="24"/>
        </w:rPr>
        <w:t>“Artículo 82.</w:t>
      </w:r>
      <w:r w:rsidRPr="00866A41">
        <w:rPr>
          <w:rFonts w:ascii="Palatino Linotype" w:hAnsi="Palatino Linotype"/>
          <w:i/>
          <w:sz w:val="24"/>
        </w:rPr>
        <w:t xml:space="preserve"> El Instituto, además de las atribuciones encomendadas por la Ley de Transparencia y normatividad aplicable, tendrá las atribuciones siguientes: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i/>
          <w:sz w:val="24"/>
        </w:rPr>
        <w:t xml:space="preserve">(…)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b/>
          <w:i/>
          <w:sz w:val="24"/>
        </w:rPr>
        <w:t>XIV. Formular observaciones y recomendaciones</w:t>
      </w:r>
      <w:r w:rsidRPr="00866A41">
        <w:rPr>
          <w:rFonts w:ascii="Palatino Linotype" w:hAnsi="Palatino Linotype"/>
          <w:i/>
          <w:sz w:val="24"/>
        </w:rPr>
        <w:t xml:space="preserve"> a los sujetos obligados que incumplan esta Ley.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i/>
          <w:sz w:val="24"/>
        </w:rPr>
        <w:t xml:space="preserve">(…)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b/>
          <w:i/>
          <w:sz w:val="24"/>
        </w:rPr>
        <w:t>XXII. Verificar el cumplimiento</w:t>
      </w:r>
      <w:r w:rsidRPr="00866A41">
        <w:rPr>
          <w:rFonts w:ascii="Palatino Linotype" w:hAnsi="Palatino Linotype"/>
          <w:i/>
          <w:sz w:val="24"/>
        </w:rPr>
        <w:t xml:space="preserve"> de las disposiciones previstas en esta Ley a través de los procedimientos de revisión que resulten compatibles con las disposiciones de esta Ley.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b/>
          <w:i/>
          <w:sz w:val="24"/>
        </w:rPr>
        <w:t>XXIII. Implementar los procedimientos</w:t>
      </w:r>
      <w:r w:rsidRPr="00866A41">
        <w:rPr>
          <w:rFonts w:ascii="Palatino Linotype" w:hAnsi="Palatino Linotype"/>
          <w:i/>
          <w:sz w:val="24"/>
        </w:rPr>
        <w:t xml:space="preserve"> que resulten necesarios para el cumplimiento de las disposiciones de esta Ley y para asegurar la protección de datos personales de los titulares.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i/>
          <w:sz w:val="24"/>
        </w:rPr>
        <w:t xml:space="preserve">(…)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b/>
          <w:i/>
          <w:sz w:val="24"/>
        </w:rPr>
        <w:t>XXV. Investigar las posibles violaciones</w:t>
      </w:r>
      <w:r w:rsidRPr="00866A41">
        <w:rPr>
          <w:rFonts w:ascii="Palatino Linotype" w:hAnsi="Palatino Linotype"/>
          <w:i/>
          <w:sz w:val="24"/>
        </w:rPr>
        <w:t xml:space="preserve"> a la seguridad de los datos personales a fin de determinar la práctica de verificaciones. </w:t>
      </w:r>
    </w:p>
    <w:p w:rsidR="006F4C9B" w:rsidRPr="00866A41" w:rsidRDefault="006F4C9B" w:rsidP="006F4C9B">
      <w:pPr>
        <w:pStyle w:val="Prrafodelista"/>
        <w:tabs>
          <w:tab w:val="left" w:pos="426"/>
        </w:tabs>
        <w:spacing w:before="240" w:after="240"/>
        <w:ind w:left="567" w:right="539"/>
        <w:jc w:val="both"/>
        <w:rPr>
          <w:rFonts w:ascii="Palatino Linotype" w:hAnsi="Palatino Linotype"/>
          <w:i/>
          <w:sz w:val="24"/>
        </w:rPr>
      </w:pPr>
      <w:r w:rsidRPr="00866A41">
        <w:rPr>
          <w:rFonts w:ascii="Palatino Linotype" w:hAnsi="Palatino Linotype"/>
          <w:i/>
          <w:sz w:val="24"/>
        </w:rPr>
        <w:t xml:space="preserve">(…)” </w:t>
      </w:r>
    </w:p>
    <w:p w:rsidR="006F4C9B" w:rsidRPr="00866A41" w:rsidRDefault="006F4C9B" w:rsidP="006F4C9B">
      <w:pPr>
        <w:spacing w:line="360" w:lineRule="auto"/>
        <w:ind w:right="-28"/>
        <w:jc w:val="both"/>
        <w:rPr>
          <w:rFonts w:ascii="Palatino Linotype" w:eastAsia="Palatino Linotype" w:hAnsi="Palatino Linotype" w:cs="Palatino Linotype"/>
          <w:i/>
        </w:rPr>
      </w:pPr>
    </w:p>
    <w:p w:rsidR="006F4C9B" w:rsidRPr="00866A41" w:rsidRDefault="006F4C9B" w:rsidP="006F4C9B">
      <w:pPr>
        <w:numPr>
          <w:ilvl w:val="0"/>
          <w:numId w:val="1"/>
        </w:numPr>
        <w:spacing w:line="360" w:lineRule="auto"/>
        <w:ind w:left="0" w:right="-28" w:firstLine="0"/>
        <w:jc w:val="both"/>
        <w:rPr>
          <w:rFonts w:ascii="Palatino Linotype" w:eastAsia="Palatino Linotype" w:hAnsi="Palatino Linotype" w:cs="Palatino Linotype"/>
          <w:i/>
        </w:rPr>
      </w:pPr>
      <w:r w:rsidRPr="00866A41">
        <w:rPr>
          <w:rFonts w:ascii="Palatino Linotype" w:eastAsia="MS Mincho" w:hAnsi="Palatino Linotype" w:cs="Arial"/>
          <w:lang w:eastAsia="es-ES"/>
        </w:rPr>
        <w:t>Por l</w:t>
      </w:r>
      <w:r w:rsidRPr="00866A41">
        <w:rPr>
          <w:rFonts w:ascii="Palatino Linotype" w:hAnsi="Palatino Linotype"/>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6F4C9B" w:rsidRPr="00866A41" w:rsidRDefault="006F4C9B" w:rsidP="006F4C9B">
      <w:pPr>
        <w:spacing w:line="360" w:lineRule="auto"/>
        <w:ind w:right="-28"/>
        <w:jc w:val="both"/>
        <w:rPr>
          <w:rFonts w:ascii="Palatino Linotype" w:eastAsia="Palatino Linotype" w:hAnsi="Palatino Linotype" w:cs="Palatino Linotype"/>
          <w:i/>
        </w:rPr>
      </w:pPr>
    </w:p>
    <w:p w:rsidR="006F4C9B" w:rsidRPr="00866A41" w:rsidRDefault="006F4C9B" w:rsidP="006F4C9B">
      <w:pPr>
        <w:numPr>
          <w:ilvl w:val="0"/>
          <w:numId w:val="1"/>
        </w:numPr>
        <w:spacing w:line="360" w:lineRule="auto"/>
        <w:ind w:left="0" w:right="-28" w:firstLine="0"/>
        <w:jc w:val="both"/>
        <w:rPr>
          <w:rFonts w:ascii="Palatino Linotype" w:eastAsia="Palatino Linotype" w:hAnsi="Palatino Linotype" w:cs="Palatino Linotype"/>
          <w:i/>
        </w:rPr>
      </w:pPr>
      <w:r w:rsidRPr="00866A41">
        <w:rPr>
          <w:rFonts w:ascii="Palatino Linotype" w:hAnsi="Palatino Linotype"/>
        </w:rPr>
        <w:t xml:space="preserve">Por último y no menos importante, se debe enfatizar que tal y como se mencionó en este considerando, el </w:t>
      </w:r>
      <w:r w:rsidRPr="00866A41">
        <w:rPr>
          <w:rFonts w:ascii="Palatino Linotype" w:hAnsi="Palatino Linotype"/>
          <w:b/>
        </w:rPr>
        <w:t>SUJETO OBLIGADO</w:t>
      </w:r>
      <w:r w:rsidRPr="00866A41">
        <w:rPr>
          <w:rFonts w:ascii="Palatino Linotype" w:hAnsi="Palatino Linotype"/>
        </w:rPr>
        <w:t xml:space="preserve"> remitió Credencial de Elector emitido por el Instituto Nacional Electoral, documento que debió ser clasificado en sus totalidad. Por dicha información, es menester hacer del conocimiento de la persona que solicitó la información, que ahora se encuentra sujeto a la </w:t>
      </w:r>
      <w:r w:rsidRPr="00866A41">
        <w:rPr>
          <w:rFonts w:ascii="Palatino Linotype" w:hAnsi="Palatino Linotype"/>
          <w:b/>
        </w:rPr>
        <w:t>LEY FEDERAL DE PROTECCIÓN DE DATOS PERSONALES EN POSESIÓN DE LOS PARTICULARES</w:t>
      </w:r>
      <w:r w:rsidRPr="00866A41">
        <w:rPr>
          <w:rFonts w:ascii="Palatino Linotype" w:hAnsi="Palatino Linotype"/>
        </w:rPr>
        <w:t xml:space="preserve"> que señala puntualmente en su artículo lo siguiente: </w:t>
      </w:r>
    </w:p>
    <w:p w:rsidR="006F4C9B" w:rsidRPr="00866A41" w:rsidRDefault="006F4C9B" w:rsidP="006F4C9B">
      <w:pPr>
        <w:ind w:left="567" w:right="539"/>
        <w:jc w:val="both"/>
        <w:rPr>
          <w:rFonts w:ascii="Palatino Linotype" w:eastAsia="Palatino Linotype" w:hAnsi="Palatino Linotype" w:cs="Palatino Linotype"/>
          <w:i/>
        </w:rPr>
      </w:pPr>
      <w:r w:rsidRPr="00866A41">
        <w:rPr>
          <w:rFonts w:ascii="Palatino Linotype" w:hAnsi="Palatino Linotype"/>
          <w:b/>
          <w:i/>
        </w:rPr>
        <w:lastRenderedPageBreak/>
        <w:t>“Artículo 1.-</w:t>
      </w:r>
      <w:r w:rsidRPr="00866A41">
        <w:rPr>
          <w:rFonts w:ascii="Palatino Linotype" w:hAnsi="Palatino Linotype"/>
          <w:i/>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6F4C9B" w:rsidRPr="00866A41" w:rsidRDefault="006F4C9B" w:rsidP="006F4C9B">
      <w:pPr>
        <w:pStyle w:val="Prrafodelista"/>
        <w:rPr>
          <w:rFonts w:ascii="Palatino Linotype" w:eastAsia="Palatino Linotype" w:hAnsi="Palatino Linotype" w:cs="Palatino Linotype"/>
          <w:b/>
          <w:sz w:val="24"/>
        </w:rPr>
      </w:pPr>
    </w:p>
    <w:p w:rsidR="00696FA3" w:rsidRPr="00866A41" w:rsidRDefault="00696FA3" w:rsidP="004414BC">
      <w:pPr>
        <w:ind w:right="1"/>
        <w:jc w:val="both"/>
        <w:rPr>
          <w:rFonts w:ascii="Palatino Linotype" w:eastAsia="Palatino Linotype" w:hAnsi="Palatino Linotype" w:cs="Palatino Linotype"/>
          <w:b/>
        </w:rPr>
      </w:pPr>
    </w:p>
    <w:p w:rsidR="00E94D86" w:rsidRPr="00866A41" w:rsidRDefault="001E3125" w:rsidP="00FD2459">
      <w:pPr>
        <w:numPr>
          <w:ilvl w:val="0"/>
          <w:numId w:val="1"/>
        </w:numPr>
        <w:spacing w:line="360" w:lineRule="auto"/>
        <w:ind w:left="0" w:right="1" w:firstLine="0"/>
        <w:jc w:val="both"/>
        <w:rPr>
          <w:rFonts w:ascii="Palatino Linotype" w:eastAsia="Palatino Linotype" w:hAnsi="Palatino Linotype" w:cs="Palatino Linotype"/>
          <w:b/>
        </w:rPr>
      </w:pPr>
      <w:r w:rsidRPr="00866A41">
        <w:rPr>
          <w:rFonts w:ascii="Palatino Linotype" w:eastAsia="Palatino Linotype" w:hAnsi="Palatino Linotype" w:cs="Palatino Linotype"/>
          <w:color w:val="222222"/>
        </w:rPr>
        <w:t xml:space="preserve">Por lo anteriormente expuesto y fundado, este </w:t>
      </w:r>
      <w:r w:rsidRPr="00866A41">
        <w:rPr>
          <w:rFonts w:ascii="Palatino Linotype" w:eastAsia="Palatino Linotype" w:hAnsi="Palatino Linotype" w:cs="Palatino Linotype"/>
          <w:b/>
          <w:color w:val="222222"/>
        </w:rPr>
        <w:t>ÓRGANO GARANTE</w:t>
      </w:r>
      <w:r w:rsidRPr="00866A41">
        <w:rPr>
          <w:rFonts w:ascii="Palatino Linotype" w:eastAsia="Palatino Linotype" w:hAnsi="Palatino Linotype" w:cs="Palatino Linotype"/>
          <w:color w:val="222222"/>
        </w:rPr>
        <w:t xml:space="preserve"> emite los siguientes:</w:t>
      </w:r>
    </w:p>
    <w:p w:rsidR="00A30F8D" w:rsidRPr="00866A41" w:rsidRDefault="00A30F8D" w:rsidP="00A30F8D">
      <w:pPr>
        <w:ind w:right="1"/>
        <w:jc w:val="both"/>
        <w:rPr>
          <w:rFonts w:ascii="Palatino Linotype" w:eastAsia="Palatino Linotype" w:hAnsi="Palatino Linotype" w:cs="Palatino Linotype"/>
          <w:b/>
        </w:rPr>
      </w:pPr>
    </w:p>
    <w:p w:rsidR="00E94D86" w:rsidRPr="00866A41" w:rsidRDefault="001E3125">
      <w:pPr>
        <w:keepNext/>
        <w:keepLines/>
        <w:spacing w:line="360" w:lineRule="auto"/>
        <w:ind w:right="-592"/>
        <w:jc w:val="center"/>
        <w:rPr>
          <w:rFonts w:ascii="Palatino Linotype" w:eastAsia="Palatino Linotype" w:hAnsi="Palatino Linotype" w:cs="Palatino Linotype"/>
          <w:b/>
          <w:color w:val="000000"/>
        </w:rPr>
      </w:pPr>
      <w:r w:rsidRPr="00866A41">
        <w:rPr>
          <w:rFonts w:ascii="Palatino Linotype" w:eastAsia="Palatino Linotype" w:hAnsi="Palatino Linotype" w:cs="Palatino Linotype"/>
          <w:b/>
          <w:color w:val="000000"/>
        </w:rPr>
        <w:t>R E S O L U T I V O S</w:t>
      </w:r>
    </w:p>
    <w:p w:rsidR="00A30F8D" w:rsidRPr="00866A41" w:rsidRDefault="00A30F8D" w:rsidP="004414BC">
      <w:pPr>
        <w:keepNext/>
        <w:keepLines/>
        <w:ind w:right="-592"/>
        <w:rPr>
          <w:rFonts w:ascii="Palatino Linotype" w:eastAsia="Palatino Linotype" w:hAnsi="Palatino Linotype" w:cs="Palatino Linotype"/>
          <w:b/>
          <w:color w:val="000000"/>
        </w:rPr>
      </w:pPr>
    </w:p>
    <w:p w:rsidR="00A30F8D" w:rsidRPr="00866A41" w:rsidRDefault="00A30F8D" w:rsidP="00A30F8D">
      <w:pPr>
        <w:spacing w:line="360" w:lineRule="auto"/>
        <w:jc w:val="both"/>
        <w:rPr>
          <w:rFonts w:ascii="Palatino Linotype" w:hAnsi="Palatino Linotype" w:cs="Arial"/>
          <w:b/>
          <w:color w:val="000000" w:themeColor="text1"/>
          <w:lang w:val="es-ES_tradnl"/>
        </w:rPr>
      </w:pPr>
      <w:r w:rsidRPr="00866A41">
        <w:rPr>
          <w:rFonts w:ascii="Palatino Linotype" w:hAnsi="Palatino Linotype" w:cs="Arial"/>
          <w:b/>
          <w:color w:val="000000" w:themeColor="text1"/>
          <w:lang w:val="es-ES_tradnl"/>
        </w:rPr>
        <w:t xml:space="preserve">PRIMERO. </w:t>
      </w:r>
      <w:r w:rsidRPr="00866A41">
        <w:rPr>
          <w:rFonts w:ascii="Palatino Linotype" w:hAnsi="Palatino Linotype"/>
        </w:rPr>
        <w:t xml:space="preserve">Se </w:t>
      </w:r>
      <w:r w:rsidRPr="00866A41">
        <w:rPr>
          <w:rFonts w:ascii="Palatino Linotype" w:hAnsi="Palatino Linotype"/>
          <w:b/>
        </w:rPr>
        <w:t>SOBRESEE</w:t>
      </w:r>
      <w:r w:rsidRPr="00866A41">
        <w:rPr>
          <w:rFonts w:ascii="Palatino Linotype" w:hAnsi="Palatino Linotype"/>
        </w:rPr>
        <w:t xml:space="preserve"> el recurso de revisión número </w:t>
      </w:r>
      <w:r w:rsidR="006F4C9B" w:rsidRPr="00866A41">
        <w:rPr>
          <w:rFonts w:ascii="Palatino Linotype" w:hAnsi="Palatino Linotype"/>
          <w:b/>
        </w:rPr>
        <w:t>10088</w:t>
      </w:r>
      <w:r w:rsidR="00887213" w:rsidRPr="00866A41">
        <w:rPr>
          <w:rFonts w:ascii="Palatino Linotype" w:hAnsi="Palatino Linotype"/>
          <w:b/>
        </w:rPr>
        <w:t>/INFOEM/IP/RR/2025</w:t>
      </w:r>
      <w:r w:rsidRPr="00866A41">
        <w:rPr>
          <w:rFonts w:ascii="Palatino Linotype" w:hAnsi="Palatino Linotype"/>
          <w:b/>
        </w:rPr>
        <w:t xml:space="preserve"> </w:t>
      </w:r>
      <w:r w:rsidRPr="00866A41">
        <w:rPr>
          <w:rFonts w:ascii="Palatino Linotype" w:hAnsi="Palatino Linotype"/>
          <w:bCs/>
        </w:rPr>
        <w:t>conforme al artículo 192</w:t>
      </w:r>
      <w:r w:rsidR="003C5918" w:rsidRPr="00866A41">
        <w:rPr>
          <w:rFonts w:ascii="Palatino Linotype" w:hAnsi="Palatino Linotype"/>
          <w:bCs/>
        </w:rPr>
        <w:t>,</w:t>
      </w:r>
      <w:r w:rsidRPr="00866A41">
        <w:rPr>
          <w:rFonts w:ascii="Palatino Linotype" w:hAnsi="Palatino Linotype"/>
          <w:bCs/>
        </w:rPr>
        <w:t xml:space="preserve"> fracción III</w:t>
      </w:r>
      <w:r w:rsidR="003C5918" w:rsidRPr="00866A41">
        <w:rPr>
          <w:rFonts w:ascii="Palatino Linotype" w:hAnsi="Palatino Linotype"/>
          <w:bCs/>
        </w:rPr>
        <w:t>,</w:t>
      </w:r>
      <w:r w:rsidRPr="00866A41">
        <w:rPr>
          <w:rFonts w:ascii="Palatino Linotype" w:hAnsi="Palatino Linotype"/>
          <w:bCs/>
        </w:rPr>
        <w:t xml:space="preserve"> de la Ley de Transparencia y Acceso a la Información Pública del Estado de México y Municipios,</w:t>
      </w:r>
      <w:r w:rsidRPr="00866A41">
        <w:rPr>
          <w:rFonts w:ascii="Palatino Linotype" w:hAnsi="Palatino Linotype"/>
        </w:rPr>
        <w:t xml:space="preserve"> porque al </w:t>
      </w:r>
      <w:r w:rsidRPr="00866A41">
        <w:rPr>
          <w:rFonts w:ascii="Palatino Linotype" w:hAnsi="Palatino Linotype"/>
          <w:b/>
          <w:bCs/>
        </w:rPr>
        <w:t>modificar la respuesta a través del informe justificado y atender lo solicitado</w:t>
      </w:r>
      <w:r w:rsidRPr="00866A41">
        <w:rPr>
          <w:rFonts w:ascii="Palatino Linotype" w:hAnsi="Palatino Linotype"/>
        </w:rPr>
        <w:t xml:space="preserve">, el recurso de revisión quedó sin materia en términos del Considerando </w:t>
      </w:r>
      <w:r w:rsidRPr="00866A41">
        <w:rPr>
          <w:rFonts w:ascii="Palatino Linotype" w:hAnsi="Palatino Linotype"/>
          <w:b/>
        </w:rPr>
        <w:t>TERCERO</w:t>
      </w:r>
      <w:r w:rsidRPr="00866A41">
        <w:rPr>
          <w:rFonts w:ascii="Palatino Linotype" w:hAnsi="Palatino Linotype"/>
        </w:rPr>
        <w:t xml:space="preserve"> de la presente resolución.</w:t>
      </w:r>
    </w:p>
    <w:p w:rsidR="00A30F8D" w:rsidRPr="00866A41" w:rsidRDefault="00A30F8D" w:rsidP="00A30F8D">
      <w:pPr>
        <w:spacing w:before="240" w:after="240" w:line="360" w:lineRule="auto"/>
        <w:ind w:right="48"/>
        <w:jc w:val="both"/>
        <w:rPr>
          <w:rFonts w:ascii="Palatino Linotype" w:eastAsia="DengXian Light" w:hAnsi="Palatino Linotype"/>
          <w:color w:val="000000" w:themeColor="text1"/>
        </w:rPr>
      </w:pPr>
      <w:r w:rsidRPr="00866A41">
        <w:rPr>
          <w:rFonts w:ascii="Palatino Linotype" w:hAnsi="Palatino Linotype"/>
          <w:b/>
          <w:color w:val="000000" w:themeColor="text1"/>
        </w:rPr>
        <w:t>SEGUNDO.</w:t>
      </w:r>
      <w:r w:rsidRPr="00866A41">
        <w:rPr>
          <w:rFonts w:ascii="Palatino Linotype" w:eastAsia="DengXian Light" w:hAnsi="Palatino Linotype"/>
          <w:color w:val="000000" w:themeColor="text1"/>
        </w:rPr>
        <w:t xml:space="preserve"> </w:t>
      </w:r>
      <w:r w:rsidR="003C5918" w:rsidRPr="00866A41">
        <w:rPr>
          <w:rFonts w:ascii="Palatino Linotype" w:eastAsia="Calibri" w:hAnsi="Palatino Linotype" w:cs="Arial"/>
          <w:b/>
          <w:bCs/>
        </w:rPr>
        <w:t>NOTIFIQUESE</w:t>
      </w:r>
      <w:r w:rsidRPr="00866A41">
        <w:rPr>
          <w:rFonts w:ascii="Palatino Linotype" w:eastAsia="Calibri" w:hAnsi="Palatino Linotype" w:cs="Arial"/>
          <w:b/>
          <w:bCs/>
        </w:rPr>
        <w:t xml:space="preserve"> </w:t>
      </w:r>
      <w:r w:rsidRPr="00866A41">
        <w:rPr>
          <w:rFonts w:ascii="Palatino Linotype" w:eastAsia="Calibri" w:hAnsi="Palatino Linotype" w:cs="Arial"/>
          <w:bCs/>
        </w:rPr>
        <w:t xml:space="preserve">a través del Sistema de Acceso a la Información Mexiquense </w:t>
      </w:r>
      <w:r w:rsidRPr="00866A41">
        <w:rPr>
          <w:rFonts w:ascii="Palatino Linotype" w:eastAsia="Calibri" w:hAnsi="Palatino Linotype" w:cs="Arial"/>
          <w:b/>
          <w:bCs/>
        </w:rPr>
        <w:t xml:space="preserve">(SAIMEX) </w:t>
      </w:r>
      <w:r w:rsidRPr="00866A41">
        <w:rPr>
          <w:rFonts w:ascii="Palatino Linotype" w:eastAsia="Calibri" w:hAnsi="Palatino Linotype" w:cs="Arial"/>
          <w:bCs/>
        </w:rPr>
        <w:t>la presente resolución al Titular de la Unidad de Transparencia del</w:t>
      </w:r>
      <w:r w:rsidRPr="00866A41">
        <w:rPr>
          <w:rFonts w:ascii="Palatino Linotype" w:eastAsia="Calibri" w:hAnsi="Palatino Linotype" w:cs="Arial"/>
          <w:b/>
          <w:bCs/>
        </w:rPr>
        <w:t xml:space="preserve"> SUJETO OBLIGADO.</w:t>
      </w:r>
    </w:p>
    <w:p w:rsidR="00A30F8D" w:rsidRPr="00866A41" w:rsidRDefault="00A30F8D" w:rsidP="00887213">
      <w:pPr>
        <w:shd w:val="clear" w:color="auto" w:fill="FFFFFF"/>
        <w:spacing w:before="240" w:line="360" w:lineRule="auto"/>
        <w:ind w:right="49"/>
        <w:jc w:val="both"/>
        <w:rPr>
          <w:rFonts w:ascii="Palatino Linotype" w:hAnsi="Palatino Linotype" w:cs="Arial"/>
          <w:b/>
          <w:bCs/>
          <w:color w:val="000000" w:themeColor="text1"/>
          <w:lang w:val="es-ES_tradnl"/>
        </w:rPr>
      </w:pPr>
      <w:r w:rsidRPr="00866A41">
        <w:rPr>
          <w:rFonts w:ascii="Palatino Linotype" w:hAnsi="Palatino Linotype" w:cs="Arial"/>
          <w:b/>
          <w:bCs/>
          <w:color w:val="000000" w:themeColor="text1"/>
          <w:lang w:val="es-ES_tradnl"/>
        </w:rPr>
        <w:t xml:space="preserve">TERCERO. </w:t>
      </w:r>
      <w:r w:rsidRPr="00866A41">
        <w:rPr>
          <w:rFonts w:ascii="Palatino Linotype" w:hAnsi="Palatino Linotype"/>
          <w:b/>
          <w:bCs/>
        </w:rPr>
        <w:t xml:space="preserve">Notifíquese </w:t>
      </w:r>
      <w:r w:rsidRPr="00866A41">
        <w:rPr>
          <w:rFonts w:ascii="Palatino Linotype" w:hAnsi="Palatino Linotype"/>
          <w:bCs/>
        </w:rPr>
        <w:t xml:space="preserve">al </w:t>
      </w:r>
      <w:r w:rsidRPr="00866A41">
        <w:rPr>
          <w:rFonts w:ascii="Palatino Linotype" w:hAnsi="Palatino Linotype"/>
          <w:b/>
          <w:bCs/>
        </w:rPr>
        <w:t>RECURRENTE</w:t>
      </w:r>
      <w:r w:rsidRPr="00866A41">
        <w:rPr>
          <w:rFonts w:ascii="Palatino Linotype" w:hAnsi="Palatino Linotype"/>
        </w:rPr>
        <w:t xml:space="preserve"> la presente resolución </w:t>
      </w:r>
      <w:r w:rsidRPr="00866A41">
        <w:rPr>
          <w:rFonts w:ascii="Palatino Linotype" w:eastAsia="Calibri" w:hAnsi="Palatino Linotype" w:cs="Arial"/>
          <w:bCs/>
        </w:rPr>
        <w:t xml:space="preserve">a través del Sistema de Acceso a la Información Mexiquense </w:t>
      </w:r>
      <w:r w:rsidRPr="00866A41">
        <w:rPr>
          <w:rFonts w:ascii="Palatino Linotype" w:eastAsia="Calibri" w:hAnsi="Palatino Linotype" w:cs="Arial"/>
          <w:b/>
          <w:bCs/>
        </w:rPr>
        <w:t>(SAIMEX).</w:t>
      </w:r>
    </w:p>
    <w:p w:rsidR="00887213" w:rsidRPr="00866A41" w:rsidRDefault="00887213" w:rsidP="00887213">
      <w:pPr>
        <w:shd w:val="clear" w:color="auto" w:fill="FFFFFF"/>
        <w:spacing w:before="240"/>
        <w:ind w:right="49"/>
        <w:jc w:val="both"/>
        <w:rPr>
          <w:rFonts w:ascii="Palatino Linotype" w:hAnsi="Palatino Linotype" w:cs="Arial"/>
          <w:b/>
          <w:bCs/>
          <w:color w:val="000000" w:themeColor="text1"/>
          <w:lang w:val="es-ES_tradnl"/>
        </w:rPr>
      </w:pPr>
    </w:p>
    <w:p w:rsidR="00F46C8E" w:rsidRPr="00866A41" w:rsidRDefault="00A30F8D" w:rsidP="00A30F8D">
      <w:pPr>
        <w:spacing w:line="360" w:lineRule="auto"/>
        <w:jc w:val="both"/>
        <w:rPr>
          <w:rFonts w:ascii="Palatino Linotype" w:eastAsia="MS Mincho" w:hAnsi="Palatino Linotype"/>
        </w:rPr>
      </w:pPr>
      <w:r w:rsidRPr="00866A41">
        <w:rPr>
          <w:rFonts w:ascii="Palatino Linotype" w:eastAsia="Calibri" w:hAnsi="Palatino Linotype" w:cs="Arial"/>
          <w:b/>
          <w:bCs/>
          <w:color w:val="000000" w:themeColor="text1"/>
          <w:lang w:eastAsia="en-US"/>
        </w:rPr>
        <w:t>CUARTO.</w:t>
      </w:r>
      <w:r w:rsidRPr="00866A41">
        <w:rPr>
          <w:rFonts w:ascii="Palatino Linotype" w:eastAsia="Calibri" w:hAnsi="Palatino Linotype" w:cs="Arial"/>
          <w:bCs/>
          <w:color w:val="000000" w:themeColor="text1"/>
          <w:lang w:eastAsia="en-US"/>
        </w:rPr>
        <w:t xml:space="preserve"> </w:t>
      </w:r>
      <w:r w:rsidRPr="00866A41">
        <w:rPr>
          <w:rFonts w:ascii="Palatino Linotype" w:eastAsia="MS Mincho" w:hAnsi="Palatino Linotype"/>
        </w:rPr>
        <w:t xml:space="preserve">Se hace del conocimiento del </w:t>
      </w:r>
      <w:r w:rsidRPr="00866A41">
        <w:rPr>
          <w:rFonts w:ascii="Palatino Linotype" w:hAnsi="Palatino Linotype"/>
          <w:b/>
          <w:bCs/>
        </w:rPr>
        <w:t>RECURRENTE</w:t>
      </w:r>
      <w:r w:rsidRPr="00866A41">
        <w:rPr>
          <w:rFonts w:ascii="Palatino Linotype" w:hAnsi="Palatino Linotype"/>
        </w:rPr>
        <w:t xml:space="preserve"> </w:t>
      </w:r>
      <w:r w:rsidRPr="00866A41">
        <w:rPr>
          <w:rFonts w:ascii="Palatino Linotype" w:eastAsia="MS Mincho" w:hAnsi="Palatino Linotype"/>
        </w:rPr>
        <w:t xml:space="preserve">que, de conformidad con lo establecido en el artículo 196 de la Ley de Transparencia y Acceso a la Información Pública del </w:t>
      </w:r>
      <w:r w:rsidRPr="00866A41">
        <w:rPr>
          <w:rFonts w:ascii="Palatino Linotype" w:eastAsia="MS Mincho" w:hAnsi="Palatino Linotype"/>
        </w:rPr>
        <w:lastRenderedPageBreak/>
        <w:t>Estado de México y Municipios, en caso de que considere que la resolución le cause algún perjuicio podrá impugnarla </w:t>
      </w:r>
      <w:r w:rsidRPr="00866A41">
        <w:rPr>
          <w:rFonts w:ascii="Palatino Linotype" w:eastAsia="MS Mincho" w:hAnsi="Palatino Linotype"/>
          <w:bCs/>
        </w:rPr>
        <w:t>vía juicio de amparo</w:t>
      </w:r>
      <w:r w:rsidRPr="00866A41">
        <w:rPr>
          <w:rFonts w:ascii="Palatino Linotype" w:eastAsia="MS Mincho" w:hAnsi="Palatino Linotype"/>
        </w:rPr>
        <w:t> en los términos de las leyes aplicables.</w:t>
      </w:r>
    </w:p>
    <w:p w:rsidR="006F4C9B" w:rsidRPr="00866A41" w:rsidRDefault="006F4C9B" w:rsidP="00A30F8D">
      <w:pPr>
        <w:spacing w:line="360" w:lineRule="auto"/>
        <w:jc w:val="both"/>
        <w:rPr>
          <w:rFonts w:ascii="Palatino Linotype" w:eastAsia="MS Mincho" w:hAnsi="Palatino Linotype"/>
        </w:rPr>
      </w:pPr>
    </w:p>
    <w:p w:rsidR="006F4C9B" w:rsidRPr="00866A41" w:rsidRDefault="006F4C9B" w:rsidP="006F4C9B">
      <w:pPr>
        <w:spacing w:line="360" w:lineRule="auto"/>
        <w:jc w:val="both"/>
        <w:rPr>
          <w:rFonts w:ascii="Palatino Linotype" w:eastAsiaTheme="minorHAnsi" w:hAnsi="Palatino Linotype" w:cstheme="minorBidi"/>
          <w:lang w:eastAsia="es-ES_tradnl"/>
        </w:rPr>
      </w:pPr>
      <w:r w:rsidRPr="00866A41">
        <w:rPr>
          <w:rFonts w:ascii="Palatino Linotype" w:eastAsia="MS Mincho" w:hAnsi="Palatino Linotype"/>
          <w:b/>
        </w:rPr>
        <w:t>QUINTO.</w:t>
      </w:r>
      <w:r w:rsidRPr="00866A41">
        <w:rPr>
          <w:rFonts w:ascii="Palatino Linotype" w:eastAsiaTheme="minorHAnsi" w:hAnsi="Palatino Linotype" w:cstheme="minorBidi"/>
          <w:b/>
          <w:lang w:eastAsia="es-ES_tradnl"/>
        </w:rPr>
        <w:t xml:space="preserve"> Gírese</w:t>
      </w:r>
      <w:r w:rsidRPr="00866A41">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866A41">
        <w:rPr>
          <w:rFonts w:ascii="Palatino Linotype" w:eastAsiaTheme="minorHAnsi" w:hAnsi="Palatino Linotype" w:cstheme="minorBidi"/>
          <w:b/>
          <w:bCs/>
          <w:lang w:eastAsia="es-ES_tradnl"/>
        </w:rPr>
        <w:t xml:space="preserve">Considerando CUARTO </w:t>
      </w:r>
      <w:r w:rsidRPr="00866A41">
        <w:rPr>
          <w:rFonts w:ascii="Palatino Linotype" w:eastAsiaTheme="minorHAnsi" w:hAnsi="Palatino Linotype" w:cstheme="minorBidi"/>
          <w:lang w:eastAsia="es-ES_tradnl"/>
        </w:rPr>
        <w:t>de la presente resolución.</w:t>
      </w:r>
    </w:p>
    <w:p w:rsidR="006F4C9B" w:rsidRPr="00866A41" w:rsidRDefault="006F4C9B" w:rsidP="00A30F8D">
      <w:pPr>
        <w:spacing w:line="360" w:lineRule="auto"/>
        <w:jc w:val="both"/>
        <w:rPr>
          <w:rFonts w:ascii="Palatino Linotype" w:eastAsiaTheme="minorHAnsi" w:hAnsi="Palatino Linotype" w:cstheme="minorBidi"/>
          <w:lang w:eastAsia="es-ES_tradnl"/>
        </w:rPr>
      </w:pPr>
    </w:p>
    <w:p w:rsidR="003C5918" w:rsidRPr="00866A41" w:rsidRDefault="003C5918" w:rsidP="003C5918">
      <w:pPr>
        <w:spacing w:before="240" w:after="240" w:line="360" w:lineRule="auto"/>
        <w:ind w:firstLine="1"/>
        <w:jc w:val="both"/>
        <w:rPr>
          <w:rFonts w:ascii="Palatino Linotype" w:hAnsi="Palatino Linotype"/>
        </w:rPr>
      </w:pPr>
      <w:bookmarkStart w:id="2" w:name="_Hlk99014733"/>
      <w:r w:rsidRPr="00866A41">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43E44" w:rsidRPr="00866A41">
        <w:rPr>
          <w:rFonts w:ascii="Palatino Linotype" w:hAnsi="Palatino Linotype" w:cs="Palatino Linotype"/>
        </w:rPr>
        <w:t xml:space="preserve"> EMITIENDO VOTO PARTICULAR CONCURRENTE</w:t>
      </w:r>
      <w:r w:rsidRPr="00866A41">
        <w:rPr>
          <w:rFonts w:ascii="Palatino Linotype" w:hAnsi="Palatino Linotype" w:cs="Palatino Linotype"/>
        </w:rPr>
        <w:t xml:space="preserve"> Y GUADALUPE RAMÍREZ PEÑA</w:t>
      </w:r>
      <w:r w:rsidR="00443E44" w:rsidRPr="00866A41">
        <w:rPr>
          <w:rFonts w:ascii="Palatino Linotype" w:hAnsi="Palatino Linotype" w:cs="Palatino Linotype"/>
        </w:rPr>
        <w:t xml:space="preserve"> EMITIENDO VOTO PARTICULAR CONCURRENTE</w:t>
      </w:r>
      <w:r w:rsidRPr="00866A41">
        <w:rPr>
          <w:rFonts w:ascii="Palatino Linotype" w:hAnsi="Palatino Linotype" w:cs="Palatino Linotype"/>
        </w:rPr>
        <w:t xml:space="preserve">; EN LA SEGUNDA SESIÓN ORDINARIA, CELEBRADA EL VEINTIUNO (21) DE ENERO DE DOS MIL VEINTISÉIS, ANTE EL SECRETARIO TÉCNICO DEL PLENO </w:t>
      </w:r>
      <w:r w:rsidRPr="00866A41">
        <w:rPr>
          <w:rFonts w:ascii="Palatino Linotype" w:hAnsi="Palatino Linotype" w:cs="Palatino Linotype"/>
          <w:color w:val="000000" w:themeColor="text1"/>
        </w:rPr>
        <w:t>ALEXIS TAPIA RAMÍREZ.</w:t>
      </w:r>
    </w:p>
    <w:bookmarkEnd w:id="2"/>
    <w:p w:rsidR="00E94D86" w:rsidRPr="00866A41" w:rsidRDefault="00E94D86">
      <w:pPr>
        <w:spacing w:line="360" w:lineRule="auto"/>
        <w:ind w:right="-592"/>
        <w:jc w:val="both"/>
        <w:rPr>
          <w:rFonts w:ascii="Palatino Linotype" w:eastAsia="Palatino Linotype" w:hAnsi="Palatino Linotype" w:cs="Palatino Linotype"/>
        </w:rPr>
      </w:pPr>
    </w:p>
    <w:p w:rsidR="00E94D86" w:rsidRPr="00866A41" w:rsidRDefault="00E94D86">
      <w:pPr>
        <w:spacing w:line="360" w:lineRule="auto"/>
        <w:ind w:right="-592"/>
        <w:jc w:val="both"/>
        <w:rPr>
          <w:rFonts w:ascii="Palatino Linotype" w:eastAsia="Palatino Linotype" w:hAnsi="Palatino Linotype" w:cs="Palatino Linotype"/>
        </w:rPr>
      </w:pPr>
    </w:p>
    <w:p w:rsidR="00E94D86" w:rsidRPr="00866A41" w:rsidRDefault="00E94D86">
      <w:pPr>
        <w:spacing w:line="360" w:lineRule="auto"/>
        <w:ind w:right="-592"/>
        <w:jc w:val="both"/>
        <w:rPr>
          <w:rFonts w:ascii="Palatino Linotype" w:eastAsia="Palatino Linotype" w:hAnsi="Palatino Linotype" w:cs="Palatino Linotype"/>
        </w:rPr>
      </w:pPr>
    </w:p>
    <w:p w:rsidR="00E94D86" w:rsidRPr="00866A41" w:rsidRDefault="00E94D86">
      <w:pPr>
        <w:spacing w:line="360" w:lineRule="auto"/>
        <w:ind w:right="-592"/>
        <w:jc w:val="both"/>
        <w:rPr>
          <w:rFonts w:ascii="Palatino Linotype" w:eastAsia="Palatino Linotype" w:hAnsi="Palatino Linotype" w:cs="Palatino Linotype"/>
        </w:rPr>
      </w:pPr>
    </w:p>
    <w:p w:rsidR="00E94D86" w:rsidRPr="00866A41" w:rsidRDefault="00E94D86">
      <w:pPr>
        <w:spacing w:line="360" w:lineRule="auto"/>
        <w:ind w:right="-592"/>
        <w:jc w:val="both"/>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spacing w:line="360" w:lineRule="auto"/>
        <w:ind w:right="-592"/>
        <w:rPr>
          <w:rFonts w:ascii="Palatino Linotype" w:eastAsia="Palatino Linotype" w:hAnsi="Palatino Linotype" w:cs="Palatino Linotype"/>
        </w:rPr>
      </w:pPr>
    </w:p>
    <w:p w:rsidR="00E94D86" w:rsidRPr="00866A41" w:rsidRDefault="00E94D86">
      <w:pPr>
        <w:ind w:right="-592"/>
        <w:rPr>
          <w:rFonts w:ascii="Palatino Linotype" w:eastAsia="Palatino Linotype" w:hAnsi="Palatino Linotype" w:cs="Palatino Linotype"/>
        </w:rPr>
      </w:pPr>
    </w:p>
    <w:p w:rsidR="00647AFA" w:rsidRPr="00866A41" w:rsidRDefault="00647AFA">
      <w:pPr>
        <w:ind w:right="-592"/>
        <w:rPr>
          <w:rFonts w:ascii="Palatino Linotype" w:eastAsia="Palatino Linotype" w:hAnsi="Palatino Linotype" w:cs="Palatino Linotype"/>
        </w:rPr>
      </w:pPr>
    </w:p>
    <w:p w:rsidR="001E3608" w:rsidRPr="00866A41" w:rsidRDefault="001E3608">
      <w:pPr>
        <w:ind w:right="-592"/>
        <w:rPr>
          <w:rFonts w:ascii="Palatino Linotype" w:eastAsia="Palatino Linotype" w:hAnsi="Palatino Linotype" w:cs="Palatino Linotype"/>
        </w:rPr>
      </w:pPr>
      <w:bookmarkStart w:id="3" w:name="_GoBack"/>
      <w:bookmarkEnd w:id="3"/>
    </w:p>
    <w:sectPr w:rsidR="001E3608" w:rsidRPr="00866A41" w:rsidSect="00866A41">
      <w:headerReference w:type="even" r:id="rId8"/>
      <w:headerReference w:type="default" r:id="rId9"/>
      <w:footerReference w:type="default" r:id="rId10"/>
      <w:headerReference w:type="first" r:id="rId11"/>
      <w:footerReference w:type="first" r:id="rId12"/>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76" w:rsidRDefault="009A4176">
      <w:r>
        <w:separator/>
      </w:r>
    </w:p>
  </w:endnote>
  <w:endnote w:type="continuationSeparator" w:id="0">
    <w:p w:rsidR="009A4176" w:rsidRDefault="009A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FD" w:rsidRPr="00866A41" w:rsidRDefault="00D614FD">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866A41">
      <w:rPr>
        <w:rFonts w:ascii="Palatino Linotype" w:hAnsi="Palatino Linotype"/>
        <w:color w:val="000000"/>
        <w:sz w:val="22"/>
      </w:rPr>
      <w:t xml:space="preserve">Página </w:t>
    </w:r>
    <w:r w:rsidRPr="00866A41">
      <w:rPr>
        <w:rFonts w:ascii="Palatino Linotype" w:hAnsi="Palatino Linotype"/>
        <w:b/>
        <w:color w:val="000000"/>
        <w:sz w:val="22"/>
      </w:rPr>
      <w:fldChar w:fldCharType="begin"/>
    </w:r>
    <w:r w:rsidRPr="00866A41">
      <w:rPr>
        <w:rFonts w:ascii="Palatino Linotype" w:hAnsi="Palatino Linotype"/>
        <w:b/>
        <w:color w:val="000000"/>
        <w:sz w:val="22"/>
      </w:rPr>
      <w:instrText>PAGE</w:instrText>
    </w:r>
    <w:r w:rsidRPr="00866A41">
      <w:rPr>
        <w:rFonts w:ascii="Palatino Linotype" w:hAnsi="Palatino Linotype"/>
        <w:b/>
        <w:color w:val="000000"/>
        <w:sz w:val="22"/>
      </w:rPr>
      <w:fldChar w:fldCharType="separate"/>
    </w:r>
    <w:r w:rsidR="008F68C2">
      <w:rPr>
        <w:rFonts w:ascii="Palatino Linotype" w:hAnsi="Palatino Linotype"/>
        <w:b/>
        <w:noProof/>
        <w:color w:val="000000"/>
        <w:sz w:val="22"/>
      </w:rPr>
      <w:t>22</w:t>
    </w:r>
    <w:r w:rsidRPr="00866A41">
      <w:rPr>
        <w:rFonts w:ascii="Palatino Linotype" w:hAnsi="Palatino Linotype"/>
        <w:b/>
        <w:color w:val="000000"/>
        <w:sz w:val="22"/>
      </w:rPr>
      <w:fldChar w:fldCharType="end"/>
    </w:r>
    <w:r w:rsidRPr="00866A41">
      <w:rPr>
        <w:rFonts w:ascii="Palatino Linotype" w:hAnsi="Palatino Linotype"/>
        <w:color w:val="000000"/>
        <w:sz w:val="22"/>
      </w:rPr>
      <w:t xml:space="preserve"> de </w:t>
    </w:r>
    <w:r w:rsidRPr="00866A41">
      <w:rPr>
        <w:rFonts w:ascii="Palatino Linotype" w:hAnsi="Palatino Linotype"/>
        <w:b/>
        <w:color w:val="000000"/>
        <w:sz w:val="22"/>
      </w:rPr>
      <w:fldChar w:fldCharType="begin"/>
    </w:r>
    <w:r w:rsidRPr="00866A41">
      <w:rPr>
        <w:rFonts w:ascii="Palatino Linotype" w:hAnsi="Palatino Linotype"/>
        <w:b/>
        <w:color w:val="000000"/>
        <w:sz w:val="22"/>
      </w:rPr>
      <w:instrText>NUMPAGES</w:instrText>
    </w:r>
    <w:r w:rsidRPr="00866A41">
      <w:rPr>
        <w:rFonts w:ascii="Palatino Linotype" w:hAnsi="Palatino Linotype"/>
        <w:b/>
        <w:color w:val="000000"/>
        <w:sz w:val="22"/>
      </w:rPr>
      <w:fldChar w:fldCharType="separate"/>
    </w:r>
    <w:r w:rsidR="008F68C2">
      <w:rPr>
        <w:rFonts w:ascii="Palatino Linotype" w:hAnsi="Palatino Linotype"/>
        <w:b/>
        <w:noProof/>
        <w:color w:val="000000"/>
        <w:sz w:val="22"/>
      </w:rPr>
      <w:t>23</w:t>
    </w:r>
    <w:r w:rsidRPr="00866A41">
      <w:rPr>
        <w:rFonts w:ascii="Palatino Linotype" w:hAnsi="Palatino Linotype"/>
        <w:b/>
        <w:color w:val="000000"/>
        <w:sz w:val="22"/>
      </w:rPr>
      <w:fldChar w:fldCharType="end"/>
    </w:r>
  </w:p>
  <w:p w:rsidR="00D614FD" w:rsidRPr="00866A41" w:rsidRDefault="00D614FD">
    <w:pPr>
      <w:pBdr>
        <w:top w:val="nil"/>
        <w:left w:val="nil"/>
        <w:bottom w:val="nil"/>
        <w:right w:val="nil"/>
        <w:between w:val="nil"/>
      </w:pBdr>
      <w:tabs>
        <w:tab w:val="center" w:pos="4419"/>
        <w:tab w:val="right" w:pos="8838"/>
      </w:tabs>
      <w:rPr>
        <w:rFonts w:ascii="Palatino Linotype" w:hAnsi="Palatino Linotype"/>
        <w:color w:val="00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FD" w:rsidRPr="00866A41" w:rsidRDefault="00D614FD">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866A41">
      <w:rPr>
        <w:rFonts w:ascii="Palatino Linotype" w:hAnsi="Palatino Linotype"/>
        <w:color w:val="000000"/>
        <w:sz w:val="22"/>
      </w:rPr>
      <w:t xml:space="preserve">Página </w:t>
    </w:r>
    <w:r w:rsidRPr="00866A41">
      <w:rPr>
        <w:rFonts w:ascii="Palatino Linotype" w:hAnsi="Palatino Linotype"/>
        <w:b/>
        <w:color w:val="000000"/>
        <w:sz w:val="22"/>
      </w:rPr>
      <w:fldChar w:fldCharType="begin"/>
    </w:r>
    <w:r w:rsidRPr="00866A41">
      <w:rPr>
        <w:rFonts w:ascii="Palatino Linotype" w:hAnsi="Palatino Linotype"/>
        <w:b/>
        <w:color w:val="000000"/>
        <w:sz w:val="22"/>
      </w:rPr>
      <w:instrText>PAGE</w:instrText>
    </w:r>
    <w:r w:rsidRPr="00866A41">
      <w:rPr>
        <w:rFonts w:ascii="Palatino Linotype" w:hAnsi="Palatino Linotype"/>
        <w:b/>
        <w:color w:val="000000"/>
        <w:sz w:val="22"/>
      </w:rPr>
      <w:fldChar w:fldCharType="separate"/>
    </w:r>
    <w:r w:rsidR="008F68C2">
      <w:rPr>
        <w:rFonts w:ascii="Palatino Linotype" w:hAnsi="Palatino Linotype"/>
        <w:b/>
        <w:noProof/>
        <w:color w:val="000000"/>
        <w:sz w:val="22"/>
      </w:rPr>
      <w:t>1</w:t>
    </w:r>
    <w:r w:rsidRPr="00866A41">
      <w:rPr>
        <w:rFonts w:ascii="Palatino Linotype" w:hAnsi="Palatino Linotype"/>
        <w:b/>
        <w:color w:val="000000"/>
        <w:sz w:val="22"/>
      </w:rPr>
      <w:fldChar w:fldCharType="end"/>
    </w:r>
    <w:r w:rsidRPr="00866A41">
      <w:rPr>
        <w:rFonts w:ascii="Palatino Linotype" w:hAnsi="Palatino Linotype"/>
        <w:color w:val="000000"/>
        <w:sz w:val="22"/>
      </w:rPr>
      <w:t xml:space="preserve"> de </w:t>
    </w:r>
    <w:r w:rsidRPr="00866A41">
      <w:rPr>
        <w:rFonts w:ascii="Palatino Linotype" w:hAnsi="Palatino Linotype"/>
        <w:b/>
        <w:color w:val="000000"/>
        <w:sz w:val="22"/>
      </w:rPr>
      <w:fldChar w:fldCharType="begin"/>
    </w:r>
    <w:r w:rsidRPr="00866A41">
      <w:rPr>
        <w:rFonts w:ascii="Palatino Linotype" w:hAnsi="Palatino Linotype"/>
        <w:b/>
        <w:color w:val="000000"/>
        <w:sz w:val="22"/>
      </w:rPr>
      <w:instrText>NUMPAGES</w:instrText>
    </w:r>
    <w:r w:rsidRPr="00866A41">
      <w:rPr>
        <w:rFonts w:ascii="Palatino Linotype" w:hAnsi="Palatino Linotype"/>
        <w:b/>
        <w:color w:val="000000"/>
        <w:sz w:val="22"/>
      </w:rPr>
      <w:fldChar w:fldCharType="separate"/>
    </w:r>
    <w:r w:rsidR="008F68C2">
      <w:rPr>
        <w:rFonts w:ascii="Palatino Linotype" w:hAnsi="Palatino Linotype"/>
        <w:b/>
        <w:noProof/>
        <w:color w:val="000000"/>
        <w:sz w:val="22"/>
      </w:rPr>
      <w:t>23</w:t>
    </w:r>
    <w:r w:rsidRPr="00866A41">
      <w:rPr>
        <w:rFonts w:ascii="Palatino Linotype" w:hAnsi="Palatino Linotype"/>
        <w:b/>
        <w:color w:val="000000"/>
        <w:sz w:val="22"/>
      </w:rPr>
      <w:fldChar w:fldCharType="end"/>
    </w:r>
  </w:p>
  <w:p w:rsidR="00D614FD" w:rsidRDefault="00D614F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76" w:rsidRDefault="009A4176">
      <w:r>
        <w:separator/>
      </w:r>
    </w:p>
  </w:footnote>
  <w:footnote w:type="continuationSeparator" w:id="0">
    <w:p w:rsidR="009A4176" w:rsidRDefault="009A4176">
      <w:r>
        <w:continuationSeparator/>
      </w:r>
    </w:p>
  </w:footnote>
  <w:footnote w:id="1">
    <w:p w:rsidR="00D614FD" w:rsidRDefault="00D614FD"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D614FD" w:rsidRDefault="00D614FD"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D614FD" w:rsidRDefault="00D614FD"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D614FD" w:rsidRDefault="00D614FD"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FD" w:rsidRDefault="009A417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Ind w:w="0" w:type="dxa"/>
      <w:tblLayout w:type="fixed"/>
      <w:tblLook w:val="0400" w:firstRow="0" w:lastRow="0" w:firstColumn="0" w:lastColumn="0" w:noHBand="0" w:noVBand="1"/>
    </w:tblPr>
    <w:tblGrid>
      <w:gridCol w:w="2268"/>
      <w:gridCol w:w="8080"/>
    </w:tblGrid>
    <w:tr w:rsidR="00D614FD" w:rsidRPr="004401C8" w:rsidTr="00866A41">
      <w:trPr>
        <w:trHeight w:val="1435"/>
      </w:trPr>
      <w:tc>
        <w:tcPr>
          <w:tcW w:w="2268" w:type="dxa"/>
          <w:shd w:val="clear" w:color="auto" w:fill="auto"/>
        </w:tcPr>
        <w:p w:rsidR="00D614FD" w:rsidRDefault="00D614FD">
          <w:pPr>
            <w:tabs>
              <w:tab w:val="right" w:pos="4273"/>
            </w:tabs>
            <w:rPr>
              <w:rFonts w:ascii="Garamond" w:eastAsia="Garamond" w:hAnsi="Garamond" w:cs="Garamond"/>
              <w:sz w:val="16"/>
              <w:szCs w:val="16"/>
            </w:rPr>
          </w:pPr>
        </w:p>
      </w:tc>
      <w:tc>
        <w:tcPr>
          <w:tcW w:w="8080" w:type="dxa"/>
          <w:shd w:val="clear" w:color="auto" w:fill="auto"/>
        </w:tcPr>
        <w:tbl>
          <w:tblPr>
            <w:tblStyle w:val="a6"/>
            <w:tblW w:w="7965" w:type="dxa"/>
            <w:tblInd w:w="0" w:type="dxa"/>
            <w:tblLayout w:type="fixed"/>
            <w:tblLook w:val="0400" w:firstRow="0" w:lastRow="0" w:firstColumn="0" w:lastColumn="0" w:noHBand="0" w:noVBand="1"/>
          </w:tblPr>
          <w:tblGrid>
            <w:gridCol w:w="3814"/>
            <w:gridCol w:w="4151"/>
          </w:tblGrid>
          <w:tr w:rsidR="00D614FD" w:rsidRPr="004401C8" w:rsidTr="00866A41">
            <w:trPr>
              <w:trHeight w:val="150"/>
            </w:trPr>
            <w:tc>
              <w:tcPr>
                <w:tcW w:w="3814" w:type="dxa"/>
                <w:shd w:val="clear" w:color="auto" w:fill="auto"/>
              </w:tcPr>
              <w:p w:rsidR="00D614FD" w:rsidRPr="00866A41" w:rsidRDefault="00D614FD" w:rsidP="004401C8">
                <w:pPr>
                  <w:tabs>
                    <w:tab w:val="right" w:pos="8838"/>
                  </w:tabs>
                  <w:ind w:left="850" w:right="-105"/>
                  <w:jc w:val="both"/>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Recurso de Revisión:</w:t>
                </w:r>
              </w:p>
            </w:tc>
            <w:tc>
              <w:tcPr>
                <w:tcW w:w="4151" w:type="dxa"/>
                <w:shd w:val="clear" w:color="auto" w:fill="auto"/>
              </w:tcPr>
              <w:p w:rsidR="00D614FD" w:rsidRPr="00866A41" w:rsidRDefault="00D614FD" w:rsidP="00866A41">
                <w:pPr>
                  <w:tabs>
                    <w:tab w:val="right" w:pos="8838"/>
                  </w:tabs>
                  <w:ind w:right="-256"/>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10088/INFOEM/IP/RR/2025</w:t>
                </w:r>
              </w:p>
            </w:tc>
          </w:tr>
          <w:tr w:rsidR="00D614FD" w:rsidRPr="004401C8" w:rsidTr="00866A41">
            <w:trPr>
              <w:trHeight w:val="295"/>
            </w:trPr>
            <w:tc>
              <w:tcPr>
                <w:tcW w:w="3814" w:type="dxa"/>
                <w:shd w:val="clear" w:color="auto" w:fill="auto"/>
              </w:tcPr>
              <w:p w:rsidR="00D614FD" w:rsidRPr="00866A41" w:rsidRDefault="00D614FD" w:rsidP="004401C8">
                <w:pPr>
                  <w:tabs>
                    <w:tab w:val="right" w:pos="8838"/>
                  </w:tabs>
                  <w:ind w:left="850" w:right="-105"/>
                  <w:jc w:val="both"/>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Sujeto Obligado:</w:t>
                </w:r>
              </w:p>
            </w:tc>
            <w:tc>
              <w:tcPr>
                <w:tcW w:w="4151" w:type="dxa"/>
                <w:shd w:val="clear" w:color="auto" w:fill="auto"/>
              </w:tcPr>
              <w:p w:rsidR="00D614FD" w:rsidRPr="00866A41" w:rsidRDefault="00D614FD" w:rsidP="00866A41">
                <w:pPr>
                  <w:tabs>
                    <w:tab w:val="left" w:pos="2834"/>
                    <w:tab w:val="right" w:pos="8838"/>
                  </w:tabs>
                  <w:ind w:right="-256"/>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Sistema Municipal para el Desarrollo Integral de la</w:t>
                </w:r>
                <w:r w:rsidR="00866A41">
                  <w:rPr>
                    <w:rFonts w:ascii="Palatino Linotype" w:eastAsia="Palatino Linotype" w:hAnsi="Palatino Linotype" w:cs="Palatino Linotype"/>
                    <w:szCs w:val="22"/>
                  </w:rPr>
                  <w:t xml:space="preserve"> </w:t>
                </w:r>
                <w:r w:rsidRPr="00866A41">
                  <w:rPr>
                    <w:rFonts w:ascii="Palatino Linotype" w:eastAsia="Palatino Linotype" w:hAnsi="Palatino Linotype" w:cs="Palatino Linotype"/>
                    <w:szCs w:val="22"/>
                  </w:rPr>
                  <w:t>Familia de Chicoloapan</w:t>
                </w:r>
              </w:p>
            </w:tc>
          </w:tr>
          <w:tr w:rsidR="00D614FD" w:rsidRPr="004401C8" w:rsidTr="00866A41">
            <w:trPr>
              <w:trHeight w:val="295"/>
            </w:trPr>
            <w:tc>
              <w:tcPr>
                <w:tcW w:w="3814" w:type="dxa"/>
                <w:shd w:val="clear" w:color="auto" w:fill="auto"/>
              </w:tcPr>
              <w:p w:rsidR="00D614FD" w:rsidRPr="00866A41" w:rsidRDefault="00D614FD" w:rsidP="004401C8">
                <w:pPr>
                  <w:tabs>
                    <w:tab w:val="right" w:pos="8838"/>
                  </w:tabs>
                  <w:ind w:left="850" w:right="-105"/>
                  <w:jc w:val="both"/>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Comisionada ponente:</w:t>
                </w:r>
              </w:p>
            </w:tc>
            <w:tc>
              <w:tcPr>
                <w:tcW w:w="4151" w:type="dxa"/>
                <w:shd w:val="clear" w:color="auto" w:fill="auto"/>
              </w:tcPr>
              <w:p w:rsidR="00D614FD" w:rsidRPr="00866A41" w:rsidRDefault="00D614FD" w:rsidP="00866A41">
                <w:pPr>
                  <w:tabs>
                    <w:tab w:val="right" w:pos="8838"/>
                  </w:tabs>
                  <w:ind w:right="-256"/>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María del Rosario Mejía Ayala</w:t>
                </w:r>
              </w:p>
              <w:p w:rsidR="00D614FD" w:rsidRPr="00866A41" w:rsidRDefault="00D614FD" w:rsidP="00866A41">
                <w:pPr>
                  <w:tabs>
                    <w:tab w:val="right" w:pos="8838"/>
                  </w:tabs>
                  <w:ind w:left="141" w:right="-256"/>
                  <w:rPr>
                    <w:rFonts w:ascii="Palatino Linotype" w:eastAsia="Palatino Linotype" w:hAnsi="Palatino Linotype" w:cs="Palatino Linotype"/>
                    <w:szCs w:val="22"/>
                  </w:rPr>
                </w:pPr>
              </w:p>
            </w:tc>
          </w:tr>
        </w:tbl>
        <w:p w:rsidR="00D614FD" w:rsidRPr="004401C8" w:rsidRDefault="00D614FD" w:rsidP="004401C8">
          <w:pPr>
            <w:tabs>
              <w:tab w:val="right" w:pos="8838"/>
            </w:tabs>
            <w:ind w:left="-28"/>
            <w:jc w:val="both"/>
            <w:rPr>
              <w:rFonts w:ascii="Arial" w:eastAsia="Arial" w:hAnsi="Arial" w:cs="Arial"/>
              <w:b/>
              <w:sz w:val="18"/>
              <w:szCs w:val="22"/>
            </w:rPr>
          </w:pPr>
        </w:p>
      </w:tc>
    </w:tr>
  </w:tbl>
  <w:p w:rsidR="00D614FD" w:rsidRDefault="009A417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2pt;margin-top:-125.9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D614FD">
      <w:trPr>
        <w:trHeight w:val="1435"/>
      </w:trPr>
      <w:tc>
        <w:tcPr>
          <w:tcW w:w="2265" w:type="dxa"/>
          <w:shd w:val="clear" w:color="auto" w:fill="auto"/>
        </w:tcPr>
        <w:p w:rsidR="00D614FD" w:rsidRDefault="00D614FD">
          <w:pPr>
            <w:tabs>
              <w:tab w:val="right" w:pos="4273"/>
            </w:tabs>
            <w:rPr>
              <w:rFonts w:ascii="Garamond" w:eastAsia="Garamond" w:hAnsi="Garamond" w:cs="Garamond"/>
              <w:sz w:val="22"/>
              <w:szCs w:val="22"/>
            </w:rPr>
          </w:pPr>
        </w:p>
      </w:tc>
      <w:tc>
        <w:tcPr>
          <w:tcW w:w="7800" w:type="dxa"/>
          <w:shd w:val="clear" w:color="auto" w:fill="auto"/>
        </w:tcPr>
        <w:tbl>
          <w:tblPr>
            <w:tblStyle w:val="a8"/>
            <w:tblW w:w="6804" w:type="dxa"/>
            <w:tblInd w:w="739" w:type="dxa"/>
            <w:tblLayout w:type="fixed"/>
            <w:tblLook w:val="0400" w:firstRow="0" w:lastRow="0" w:firstColumn="0" w:lastColumn="0" w:noHBand="0" w:noVBand="1"/>
          </w:tblPr>
          <w:tblGrid>
            <w:gridCol w:w="2723"/>
            <w:gridCol w:w="4081"/>
          </w:tblGrid>
          <w:tr w:rsidR="00D614FD" w:rsidTr="00866A41">
            <w:trPr>
              <w:trHeight w:val="144"/>
            </w:trPr>
            <w:tc>
              <w:tcPr>
                <w:tcW w:w="2723" w:type="dxa"/>
                <w:shd w:val="clear" w:color="auto" w:fill="auto"/>
              </w:tcPr>
              <w:p w:rsidR="00D614FD" w:rsidRPr="00866A41" w:rsidRDefault="00D614FD" w:rsidP="004401C8">
                <w:pPr>
                  <w:tabs>
                    <w:tab w:val="right" w:pos="8838"/>
                  </w:tabs>
                  <w:ind w:left="-264" w:right="-105" w:firstLine="195"/>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Recurso de Revisión:</w:t>
                </w:r>
              </w:p>
            </w:tc>
            <w:tc>
              <w:tcPr>
                <w:tcW w:w="4081" w:type="dxa"/>
                <w:shd w:val="clear" w:color="auto" w:fill="auto"/>
              </w:tcPr>
              <w:p w:rsidR="00D614FD" w:rsidRPr="00866A41" w:rsidRDefault="00D614FD" w:rsidP="00EC726C">
                <w:pPr>
                  <w:tabs>
                    <w:tab w:val="right" w:pos="8838"/>
                  </w:tabs>
                  <w:ind w:right="-1552"/>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10088/INFOEM/IP/RR/2025</w:t>
                </w:r>
              </w:p>
            </w:tc>
          </w:tr>
          <w:tr w:rsidR="00D614FD" w:rsidTr="00866A41">
            <w:trPr>
              <w:trHeight w:val="144"/>
            </w:trPr>
            <w:tc>
              <w:tcPr>
                <w:tcW w:w="2723" w:type="dxa"/>
                <w:shd w:val="clear" w:color="auto" w:fill="auto"/>
              </w:tcPr>
              <w:p w:rsidR="00D614FD" w:rsidRPr="00866A41" w:rsidRDefault="00D614FD" w:rsidP="004401C8">
                <w:pPr>
                  <w:tabs>
                    <w:tab w:val="right" w:pos="8838"/>
                  </w:tabs>
                  <w:ind w:left="-74" w:right="-105"/>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Recurrente:</w:t>
                </w:r>
              </w:p>
            </w:tc>
            <w:tc>
              <w:tcPr>
                <w:tcW w:w="4081" w:type="dxa"/>
                <w:shd w:val="clear" w:color="auto" w:fill="auto"/>
              </w:tcPr>
              <w:p w:rsidR="00D614FD" w:rsidRPr="00866A41" w:rsidRDefault="008F68C2" w:rsidP="004401C8">
                <w:pPr>
                  <w:tabs>
                    <w:tab w:val="left" w:pos="3122"/>
                    <w:tab w:val="right" w:pos="8838"/>
                  </w:tabs>
                  <w:ind w:right="-1552"/>
                  <w:rPr>
                    <w:rFonts w:ascii="Palatino Linotype" w:eastAsia="Palatino Linotype" w:hAnsi="Palatino Linotype" w:cs="Palatino Linotype"/>
                    <w:szCs w:val="22"/>
                  </w:rPr>
                </w:pPr>
                <w:r>
                  <w:rPr>
                    <w:rFonts w:ascii="Palatino Linotype" w:eastAsia="Palatino Linotype" w:hAnsi="Palatino Linotype" w:cs="Palatino Linotype"/>
                    <w:szCs w:val="22"/>
                  </w:rPr>
                  <w:t>XXXX</w:t>
                </w:r>
              </w:p>
            </w:tc>
          </w:tr>
          <w:tr w:rsidR="00D614FD" w:rsidTr="00866A41">
            <w:trPr>
              <w:trHeight w:val="80"/>
            </w:trPr>
            <w:tc>
              <w:tcPr>
                <w:tcW w:w="2723" w:type="dxa"/>
                <w:shd w:val="clear" w:color="auto" w:fill="auto"/>
              </w:tcPr>
              <w:p w:rsidR="00D614FD" w:rsidRPr="00866A41" w:rsidRDefault="00D614FD" w:rsidP="004401C8">
                <w:pPr>
                  <w:tabs>
                    <w:tab w:val="right" w:pos="8838"/>
                  </w:tabs>
                  <w:ind w:left="-74" w:right="-105"/>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Sujeto Obligado:</w:t>
                </w:r>
              </w:p>
            </w:tc>
            <w:tc>
              <w:tcPr>
                <w:tcW w:w="4081" w:type="dxa"/>
                <w:shd w:val="clear" w:color="auto" w:fill="auto"/>
              </w:tcPr>
              <w:p w:rsidR="00D614FD" w:rsidRPr="00866A41" w:rsidRDefault="00D614FD" w:rsidP="00866A41">
                <w:pPr>
                  <w:tabs>
                    <w:tab w:val="left" w:pos="2834"/>
                    <w:tab w:val="right" w:pos="8838"/>
                  </w:tabs>
                  <w:ind w:right="-398"/>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Sistema Municipal para el Desarrollo Integral de la Familia</w:t>
                </w:r>
                <w:r w:rsidR="003C5918" w:rsidRPr="00866A41">
                  <w:rPr>
                    <w:rFonts w:ascii="Palatino Linotype" w:eastAsia="Palatino Linotype" w:hAnsi="Palatino Linotype" w:cs="Palatino Linotype"/>
                    <w:szCs w:val="22"/>
                  </w:rPr>
                  <w:t xml:space="preserve"> </w:t>
                </w:r>
                <w:r w:rsidRPr="00866A41">
                  <w:rPr>
                    <w:rFonts w:ascii="Palatino Linotype" w:eastAsia="Palatino Linotype" w:hAnsi="Palatino Linotype" w:cs="Palatino Linotype"/>
                    <w:szCs w:val="22"/>
                  </w:rPr>
                  <w:t>de Chicoloapan</w:t>
                </w:r>
              </w:p>
            </w:tc>
          </w:tr>
          <w:tr w:rsidR="00D614FD" w:rsidTr="00866A41">
            <w:trPr>
              <w:trHeight w:val="283"/>
            </w:trPr>
            <w:tc>
              <w:tcPr>
                <w:tcW w:w="2723" w:type="dxa"/>
                <w:shd w:val="clear" w:color="auto" w:fill="auto"/>
              </w:tcPr>
              <w:p w:rsidR="00D614FD" w:rsidRPr="00866A41" w:rsidRDefault="00D614FD" w:rsidP="004401C8">
                <w:pPr>
                  <w:tabs>
                    <w:tab w:val="right" w:pos="8838"/>
                  </w:tabs>
                  <w:ind w:right="-105"/>
                  <w:rPr>
                    <w:rFonts w:ascii="Palatino Linotype" w:eastAsia="Palatino Linotype" w:hAnsi="Palatino Linotype" w:cs="Palatino Linotype"/>
                    <w:b/>
                    <w:szCs w:val="22"/>
                  </w:rPr>
                </w:pPr>
                <w:r w:rsidRPr="00866A41">
                  <w:rPr>
                    <w:rFonts w:ascii="Palatino Linotype" w:eastAsia="Palatino Linotype" w:hAnsi="Palatino Linotype" w:cs="Palatino Linotype"/>
                    <w:b/>
                    <w:szCs w:val="22"/>
                  </w:rPr>
                  <w:t>Comisionada ponente:</w:t>
                </w:r>
              </w:p>
            </w:tc>
            <w:tc>
              <w:tcPr>
                <w:tcW w:w="4081" w:type="dxa"/>
                <w:shd w:val="clear" w:color="auto" w:fill="auto"/>
              </w:tcPr>
              <w:p w:rsidR="00D614FD" w:rsidRPr="00866A41" w:rsidRDefault="00D614FD" w:rsidP="004401C8">
                <w:pPr>
                  <w:tabs>
                    <w:tab w:val="right" w:pos="8838"/>
                  </w:tabs>
                  <w:ind w:right="-1552"/>
                  <w:rPr>
                    <w:rFonts w:ascii="Palatino Linotype" w:eastAsia="Palatino Linotype" w:hAnsi="Palatino Linotype" w:cs="Palatino Linotype"/>
                    <w:szCs w:val="22"/>
                  </w:rPr>
                </w:pPr>
                <w:r w:rsidRPr="00866A41">
                  <w:rPr>
                    <w:rFonts w:ascii="Palatino Linotype" w:eastAsia="Palatino Linotype" w:hAnsi="Palatino Linotype" w:cs="Palatino Linotype"/>
                    <w:szCs w:val="22"/>
                  </w:rPr>
                  <w:t>María del Rosario Mejía Ayala</w:t>
                </w:r>
              </w:p>
              <w:p w:rsidR="00D614FD" w:rsidRPr="00866A41" w:rsidRDefault="00D614FD" w:rsidP="004401C8">
                <w:pPr>
                  <w:tabs>
                    <w:tab w:val="right" w:pos="8838"/>
                  </w:tabs>
                  <w:ind w:right="-1552"/>
                  <w:rPr>
                    <w:rFonts w:ascii="Palatino Linotype" w:eastAsia="Palatino Linotype" w:hAnsi="Palatino Linotype" w:cs="Palatino Linotype"/>
                    <w:szCs w:val="22"/>
                  </w:rPr>
                </w:pPr>
              </w:p>
            </w:tc>
          </w:tr>
        </w:tbl>
        <w:p w:rsidR="00D614FD" w:rsidRDefault="00D614FD">
          <w:pPr>
            <w:tabs>
              <w:tab w:val="right" w:pos="8838"/>
            </w:tabs>
            <w:ind w:left="-28"/>
            <w:jc w:val="both"/>
            <w:rPr>
              <w:rFonts w:ascii="Arial" w:eastAsia="Arial" w:hAnsi="Arial" w:cs="Arial"/>
              <w:b/>
              <w:sz w:val="22"/>
              <w:szCs w:val="22"/>
            </w:rPr>
          </w:pPr>
        </w:p>
      </w:tc>
    </w:tr>
  </w:tbl>
  <w:p w:rsidR="00D614FD" w:rsidRDefault="009A417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1pt;margin-top:-136.6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539"/>
    <w:multiLevelType w:val="multilevel"/>
    <w:tmpl w:val="19B4828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872BFA"/>
    <w:multiLevelType w:val="multilevel"/>
    <w:tmpl w:val="B1E2E2E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1274E"/>
    <w:multiLevelType w:val="multilevel"/>
    <w:tmpl w:val="1388BC6C"/>
    <w:lvl w:ilvl="0">
      <w:start w:val="1"/>
      <w:numFmt w:val="decimal"/>
      <w:lvlText w:val="%1."/>
      <w:lvlJc w:val="left"/>
      <w:pPr>
        <w:ind w:left="641"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4B1FAF"/>
    <w:multiLevelType w:val="hybridMultilevel"/>
    <w:tmpl w:val="F3328D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181802"/>
    <w:multiLevelType w:val="hybridMultilevel"/>
    <w:tmpl w:val="68040100"/>
    <w:lvl w:ilvl="0" w:tplc="97C85FF6">
      <w:start w:val="1"/>
      <w:numFmt w:val="decimal"/>
      <w:lvlText w:val="%1."/>
      <w:lvlJc w:val="left"/>
      <w:pPr>
        <w:ind w:left="829" w:hanging="360"/>
      </w:pPr>
      <w:rPr>
        <w:rFonts w:hint="default"/>
        <w:w w:val="100"/>
        <w:lang w:val="es-ES" w:eastAsia="en-US" w:bidi="ar-SA"/>
      </w:rPr>
    </w:lvl>
    <w:lvl w:ilvl="1" w:tplc="FA60FCF2">
      <w:numFmt w:val="bullet"/>
      <w:lvlText w:val="•"/>
      <w:lvlJc w:val="left"/>
      <w:pPr>
        <w:ind w:left="1774" w:hanging="360"/>
      </w:pPr>
      <w:rPr>
        <w:rFonts w:hint="default"/>
        <w:lang w:val="es-ES" w:eastAsia="en-US" w:bidi="ar-SA"/>
      </w:rPr>
    </w:lvl>
    <w:lvl w:ilvl="2" w:tplc="736A2516">
      <w:numFmt w:val="bullet"/>
      <w:lvlText w:val="•"/>
      <w:lvlJc w:val="left"/>
      <w:pPr>
        <w:ind w:left="2728" w:hanging="360"/>
      </w:pPr>
      <w:rPr>
        <w:rFonts w:hint="default"/>
        <w:lang w:val="es-ES" w:eastAsia="en-US" w:bidi="ar-SA"/>
      </w:rPr>
    </w:lvl>
    <w:lvl w:ilvl="3" w:tplc="27DC77AA">
      <w:numFmt w:val="bullet"/>
      <w:lvlText w:val="•"/>
      <w:lvlJc w:val="left"/>
      <w:pPr>
        <w:ind w:left="3682" w:hanging="360"/>
      </w:pPr>
      <w:rPr>
        <w:rFonts w:hint="default"/>
        <w:lang w:val="es-ES" w:eastAsia="en-US" w:bidi="ar-SA"/>
      </w:rPr>
    </w:lvl>
    <w:lvl w:ilvl="4" w:tplc="58449C06">
      <w:numFmt w:val="bullet"/>
      <w:lvlText w:val="•"/>
      <w:lvlJc w:val="left"/>
      <w:pPr>
        <w:ind w:left="4636" w:hanging="360"/>
      </w:pPr>
      <w:rPr>
        <w:rFonts w:hint="default"/>
        <w:lang w:val="es-ES" w:eastAsia="en-US" w:bidi="ar-SA"/>
      </w:rPr>
    </w:lvl>
    <w:lvl w:ilvl="5" w:tplc="16B46324">
      <w:numFmt w:val="bullet"/>
      <w:lvlText w:val="•"/>
      <w:lvlJc w:val="left"/>
      <w:pPr>
        <w:ind w:left="5590" w:hanging="360"/>
      </w:pPr>
      <w:rPr>
        <w:rFonts w:hint="default"/>
        <w:lang w:val="es-ES" w:eastAsia="en-US" w:bidi="ar-SA"/>
      </w:rPr>
    </w:lvl>
    <w:lvl w:ilvl="6" w:tplc="F14C9EA2">
      <w:numFmt w:val="bullet"/>
      <w:lvlText w:val="•"/>
      <w:lvlJc w:val="left"/>
      <w:pPr>
        <w:ind w:left="6544" w:hanging="360"/>
      </w:pPr>
      <w:rPr>
        <w:rFonts w:hint="default"/>
        <w:lang w:val="es-ES" w:eastAsia="en-US" w:bidi="ar-SA"/>
      </w:rPr>
    </w:lvl>
    <w:lvl w:ilvl="7" w:tplc="3348D61E">
      <w:numFmt w:val="bullet"/>
      <w:lvlText w:val="•"/>
      <w:lvlJc w:val="left"/>
      <w:pPr>
        <w:ind w:left="7498" w:hanging="360"/>
      </w:pPr>
      <w:rPr>
        <w:rFonts w:hint="default"/>
        <w:lang w:val="es-ES" w:eastAsia="en-US" w:bidi="ar-SA"/>
      </w:rPr>
    </w:lvl>
    <w:lvl w:ilvl="8" w:tplc="B86C9BA6">
      <w:numFmt w:val="bullet"/>
      <w:lvlText w:val="•"/>
      <w:lvlJc w:val="left"/>
      <w:pPr>
        <w:ind w:left="8452" w:hanging="360"/>
      </w:pPr>
      <w:rPr>
        <w:rFonts w:hint="default"/>
        <w:lang w:val="es-ES" w:eastAsia="en-US" w:bidi="ar-SA"/>
      </w:rPr>
    </w:lvl>
  </w:abstractNum>
  <w:abstractNum w:abstractNumId="3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9"/>
  </w:num>
  <w:num w:numId="3">
    <w:abstractNumId w:val="11"/>
  </w:num>
  <w:num w:numId="4">
    <w:abstractNumId w:val="24"/>
  </w:num>
  <w:num w:numId="5">
    <w:abstractNumId w:val="8"/>
  </w:num>
  <w:num w:numId="6">
    <w:abstractNumId w:val="38"/>
  </w:num>
  <w:num w:numId="7">
    <w:abstractNumId w:val="30"/>
  </w:num>
  <w:num w:numId="8">
    <w:abstractNumId w:val="26"/>
  </w:num>
  <w:num w:numId="9">
    <w:abstractNumId w:val="25"/>
  </w:num>
  <w:num w:numId="10">
    <w:abstractNumId w:val="10"/>
  </w:num>
  <w:num w:numId="11">
    <w:abstractNumId w:val="4"/>
  </w:num>
  <w:num w:numId="12">
    <w:abstractNumId w:val="32"/>
  </w:num>
  <w:num w:numId="13">
    <w:abstractNumId w:val="9"/>
  </w:num>
  <w:num w:numId="14">
    <w:abstractNumId w:val="6"/>
  </w:num>
  <w:num w:numId="15">
    <w:abstractNumId w:val="14"/>
  </w:num>
  <w:num w:numId="16">
    <w:abstractNumId w:val="27"/>
  </w:num>
  <w:num w:numId="17">
    <w:abstractNumId w:val="28"/>
  </w:num>
  <w:num w:numId="18">
    <w:abstractNumId w:val="13"/>
  </w:num>
  <w:num w:numId="19">
    <w:abstractNumId w:val="12"/>
  </w:num>
  <w:num w:numId="20">
    <w:abstractNumId w:val="15"/>
  </w:num>
  <w:num w:numId="21">
    <w:abstractNumId w:val="33"/>
  </w:num>
  <w:num w:numId="22">
    <w:abstractNumId w:val="19"/>
  </w:num>
  <w:num w:numId="23">
    <w:abstractNumId w:val="35"/>
  </w:num>
  <w:num w:numId="24">
    <w:abstractNumId w:val="31"/>
  </w:num>
  <w:num w:numId="25">
    <w:abstractNumId w:val="7"/>
  </w:num>
  <w:num w:numId="26">
    <w:abstractNumId w:val="36"/>
  </w:num>
  <w:num w:numId="27">
    <w:abstractNumId w:val="22"/>
  </w:num>
  <w:num w:numId="28">
    <w:abstractNumId w:val="1"/>
  </w:num>
  <w:num w:numId="29">
    <w:abstractNumId w:val="37"/>
  </w:num>
  <w:num w:numId="30">
    <w:abstractNumId w:val="16"/>
  </w:num>
  <w:num w:numId="31">
    <w:abstractNumId w:val="3"/>
  </w:num>
  <w:num w:numId="32">
    <w:abstractNumId w:val="17"/>
  </w:num>
  <w:num w:numId="33">
    <w:abstractNumId w:val="18"/>
  </w:num>
  <w:num w:numId="34">
    <w:abstractNumId w:val="34"/>
  </w:num>
  <w:num w:numId="35">
    <w:abstractNumId w:val="21"/>
  </w:num>
  <w:num w:numId="36">
    <w:abstractNumId w:val="20"/>
  </w:num>
  <w:num w:numId="37">
    <w:abstractNumId w:val="29"/>
  </w:num>
  <w:num w:numId="38">
    <w:abstractNumId w:val="0"/>
  </w:num>
  <w:num w:numId="39">
    <w:abstractNumId w:val="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067CB"/>
    <w:rsid w:val="00021087"/>
    <w:rsid w:val="00041C32"/>
    <w:rsid w:val="00042FAE"/>
    <w:rsid w:val="00055A1A"/>
    <w:rsid w:val="00060AE6"/>
    <w:rsid w:val="00071244"/>
    <w:rsid w:val="00073512"/>
    <w:rsid w:val="00083713"/>
    <w:rsid w:val="000A31EF"/>
    <w:rsid w:val="000A6B82"/>
    <w:rsid w:val="000C0976"/>
    <w:rsid w:val="000E2127"/>
    <w:rsid w:val="00105645"/>
    <w:rsid w:val="00111C7B"/>
    <w:rsid w:val="00111EA4"/>
    <w:rsid w:val="0011254F"/>
    <w:rsid w:val="00131575"/>
    <w:rsid w:val="00143950"/>
    <w:rsid w:val="00145D84"/>
    <w:rsid w:val="00154636"/>
    <w:rsid w:val="001A1015"/>
    <w:rsid w:val="001A4969"/>
    <w:rsid w:val="001B6FA3"/>
    <w:rsid w:val="001E0A15"/>
    <w:rsid w:val="001E3125"/>
    <w:rsid w:val="001E3608"/>
    <w:rsid w:val="00200C1A"/>
    <w:rsid w:val="002141B0"/>
    <w:rsid w:val="00233EC9"/>
    <w:rsid w:val="00244DA9"/>
    <w:rsid w:val="00246FC0"/>
    <w:rsid w:val="00251F21"/>
    <w:rsid w:val="002748F7"/>
    <w:rsid w:val="00286163"/>
    <w:rsid w:val="002B0131"/>
    <w:rsid w:val="002C3B1F"/>
    <w:rsid w:val="002C7271"/>
    <w:rsid w:val="002D2693"/>
    <w:rsid w:val="00302FE8"/>
    <w:rsid w:val="00305C25"/>
    <w:rsid w:val="00327CB5"/>
    <w:rsid w:val="00327D76"/>
    <w:rsid w:val="0033488B"/>
    <w:rsid w:val="00340E0F"/>
    <w:rsid w:val="00350878"/>
    <w:rsid w:val="003843C2"/>
    <w:rsid w:val="003A1F84"/>
    <w:rsid w:val="003A2DC2"/>
    <w:rsid w:val="003C5918"/>
    <w:rsid w:val="003D39FD"/>
    <w:rsid w:val="00403346"/>
    <w:rsid w:val="00406EF9"/>
    <w:rsid w:val="00415A07"/>
    <w:rsid w:val="004205B4"/>
    <w:rsid w:val="004401C8"/>
    <w:rsid w:val="004414BC"/>
    <w:rsid w:val="00443E44"/>
    <w:rsid w:val="004512E5"/>
    <w:rsid w:val="0045484A"/>
    <w:rsid w:val="00475288"/>
    <w:rsid w:val="00485FC7"/>
    <w:rsid w:val="00497527"/>
    <w:rsid w:val="004A1AE7"/>
    <w:rsid w:val="004B09C2"/>
    <w:rsid w:val="004C2409"/>
    <w:rsid w:val="004D20C3"/>
    <w:rsid w:val="004D4CAA"/>
    <w:rsid w:val="004E4ACB"/>
    <w:rsid w:val="004E66BD"/>
    <w:rsid w:val="004E7B76"/>
    <w:rsid w:val="004F5574"/>
    <w:rsid w:val="00503E63"/>
    <w:rsid w:val="0051644E"/>
    <w:rsid w:val="00545592"/>
    <w:rsid w:val="00556935"/>
    <w:rsid w:val="005626F4"/>
    <w:rsid w:val="00571F2A"/>
    <w:rsid w:val="00581411"/>
    <w:rsid w:val="005B7BED"/>
    <w:rsid w:val="005C232D"/>
    <w:rsid w:val="005C260A"/>
    <w:rsid w:val="005C361C"/>
    <w:rsid w:val="005D2D49"/>
    <w:rsid w:val="00600A77"/>
    <w:rsid w:val="00613DF7"/>
    <w:rsid w:val="00647AFA"/>
    <w:rsid w:val="00651426"/>
    <w:rsid w:val="00663C8A"/>
    <w:rsid w:val="0066562E"/>
    <w:rsid w:val="006769AF"/>
    <w:rsid w:val="006800B9"/>
    <w:rsid w:val="00681958"/>
    <w:rsid w:val="00683BF5"/>
    <w:rsid w:val="00696FA3"/>
    <w:rsid w:val="006977DF"/>
    <w:rsid w:val="006A7385"/>
    <w:rsid w:val="006B7FF0"/>
    <w:rsid w:val="006C7FB2"/>
    <w:rsid w:val="006D0C1D"/>
    <w:rsid w:val="006E5F99"/>
    <w:rsid w:val="006F4C9B"/>
    <w:rsid w:val="00702785"/>
    <w:rsid w:val="00702E47"/>
    <w:rsid w:val="007252E3"/>
    <w:rsid w:val="007322F6"/>
    <w:rsid w:val="00735470"/>
    <w:rsid w:val="00771438"/>
    <w:rsid w:val="007B4642"/>
    <w:rsid w:val="00827BFE"/>
    <w:rsid w:val="00831332"/>
    <w:rsid w:val="00845214"/>
    <w:rsid w:val="00850EB3"/>
    <w:rsid w:val="0086645D"/>
    <w:rsid w:val="00866A41"/>
    <w:rsid w:val="00887213"/>
    <w:rsid w:val="008A10CD"/>
    <w:rsid w:val="008A4128"/>
    <w:rsid w:val="008A7695"/>
    <w:rsid w:val="008B2665"/>
    <w:rsid w:val="008B68CE"/>
    <w:rsid w:val="008D5425"/>
    <w:rsid w:val="008D6B9E"/>
    <w:rsid w:val="008E514A"/>
    <w:rsid w:val="008F68C2"/>
    <w:rsid w:val="009036DA"/>
    <w:rsid w:val="009060A0"/>
    <w:rsid w:val="0090631B"/>
    <w:rsid w:val="009144F5"/>
    <w:rsid w:val="00933412"/>
    <w:rsid w:val="009469E1"/>
    <w:rsid w:val="00956C4F"/>
    <w:rsid w:val="009669CB"/>
    <w:rsid w:val="009A278E"/>
    <w:rsid w:val="009A316C"/>
    <w:rsid w:val="009A4176"/>
    <w:rsid w:val="009B7760"/>
    <w:rsid w:val="009C5E65"/>
    <w:rsid w:val="009D0506"/>
    <w:rsid w:val="00A17A80"/>
    <w:rsid w:val="00A22674"/>
    <w:rsid w:val="00A270A3"/>
    <w:rsid w:val="00A30F8D"/>
    <w:rsid w:val="00A41231"/>
    <w:rsid w:val="00A42556"/>
    <w:rsid w:val="00A54ACB"/>
    <w:rsid w:val="00A64061"/>
    <w:rsid w:val="00A6501F"/>
    <w:rsid w:val="00A807B4"/>
    <w:rsid w:val="00A83CED"/>
    <w:rsid w:val="00A90914"/>
    <w:rsid w:val="00A970EE"/>
    <w:rsid w:val="00AA0813"/>
    <w:rsid w:val="00AA23EF"/>
    <w:rsid w:val="00AA6962"/>
    <w:rsid w:val="00AB686B"/>
    <w:rsid w:val="00AC4D72"/>
    <w:rsid w:val="00AD7AF8"/>
    <w:rsid w:val="00AE262A"/>
    <w:rsid w:val="00AF2038"/>
    <w:rsid w:val="00AF2A58"/>
    <w:rsid w:val="00B06C82"/>
    <w:rsid w:val="00B620ED"/>
    <w:rsid w:val="00B81ACA"/>
    <w:rsid w:val="00B82092"/>
    <w:rsid w:val="00B932E5"/>
    <w:rsid w:val="00B9401A"/>
    <w:rsid w:val="00BA3F4E"/>
    <w:rsid w:val="00BD000C"/>
    <w:rsid w:val="00BD0386"/>
    <w:rsid w:val="00BE003B"/>
    <w:rsid w:val="00BE4003"/>
    <w:rsid w:val="00BF2E1D"/>
    <w:rsid w:val="00C07A2E"/>
    <w:rsid w:val="00C226D0"/>
    <w:rsid w:val="00C61F17"/>
    <w:rsid w:val="00C806D4"/>
    <w:rsid w:val="00C8189A"/>
    <w:rsid w:val="00C82ED1"/>
    <w:rsid w:val="00C90A2F"/>
    <w:rsid w:val="00CB0E45"/>
    <w:rsid w:val="00CB6ECF"/>
    <w:rsid w:val="00D03786"/>
    <w:rsid w:val="00D063C3"/>
    <w:rsid w:val="00D614FD"/>
    <w:rsid w:val="00D74408"/>
    <w:rsid w:val="00D77678"/>
    <w:rsid w:val="00D831BA"/>
    <w:rsid w:val="00D84840"/>
    <w:rsid w:val="00D850B4"/>
    <w:rsid w:val="00D857BB"/>
    <w:rsid w:val="00DE095B"/>
    <w:rsid w:val="00DE3D77"/>
    <w:rsid w:val="00E03B14"/>
    <w:rsid w:val="00E17201"/>
    <w:rsid w:val="00E5153F"/>
    <w:rsid w:val="00E94D86"/>
    <w:rsid w:val="00E94DFC"/>
    <w:rsid w:val="00EC45F6"/>
    <w:rsid w:val="00EC4928"/>
    <w:rsid w:val="00EC726C"/>
    <w:rsid w:val="00ED7B3F"/>
    <w:rsid w:val="00EE5302"/>
    <w:rsid w:val="00EF5C15"/>
    <w:rsid w:val="00F01E50"/>
    <w:rsid w:val="00F10800"/>
    <w:rsid w:val="00F130E0"/>
    <w:rsid w:val="00F32383"/>
    <w:rsid w:val="00F46C8E"/>
    <w:rsid w:val="00F51520"/>
    <w:rsid w:val="00F5723F"/>
    <w:rsid w:val="00F61686"/>
    <w:rsid w:val="00F703A3"/>
    <w:rsid w:val="00F725EE"/>
    <w:rsid w:val="00FA1A2D"/>
    <w:rsid w:val="00FA59C9"/>
    <w:rsid w:val="00FC50EC"/>
    <w:rsid w:val="00FC7F8F"/>
    <w:rsid w:val="00FD12F2"/>
    <w:rsid w:val="00FD2459"/>
    <w:rsid w:val="00FD7A52"/>
    <w:rsid w:val="00FE0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uiPriority w:val="1"/>
    <w:qFormat/>
    <w:rsid w:val="009469E1"/>
    <w:pPr>
      <w:widowControl w:val="0"/>
      <w:autoSpaceDE w:val="0"/>
      <w:autoSpaceDN w:val="0"/>
    </w:pPr>
    <w:rPr>
      <w:rFonts w:ascii="Cambria" w:eastAsia="Cambria" w:hAnsi="Cambria" w:cs="Cambria"/>
      <w:sz w:val="22"/>
      <w:szCs w:val="22"/>
      <w:lang w:val="es-ES" w:eastAsia="en-US"/>
    </w:rPr>
  </w:style>
  <w:style w:type="character" w:customStyle="1" w:styleId="TextoindependienteCar">
    <w:name w:val="Texto independiente Car"/>
    <w:basedOn w:val="Fuentedeprrafopredeter"/>
    <w:link w:val="Textoindependiente"/>
    <w:uiPriority w:val="1"/>
    <w:rsid w:val="009469E1"/>
    <w:rPr>
      <w:rFonts w:ascii="Cambria" w:eastAsia="Cambria" w:hAnsi="Cambria" w:cs="Cambri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6053</Words>
  <Characters>33293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dcterms:created xsi:type="dcterms:W3CDTF">2026-01-15T21:00:00Z</dcterms:created>
  <dcterms:modified xsi:type="dcterms:W3CDTF">2026-02-06T17:54:00Z</dcterms:modified>
</cp:coreProperties>
</file>