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D9F4C" w14:textId="48C77D6C" w:rsidR="00C877F6" w:rsidRPr="0057691B" w:rsidRDefault="00F36565">
      <w:pPr>
        <w:spacing w:line="360" w:lineRule="auto"/>
        <w:ind w:right="49" w:hanging="22"/>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074DEC" w:rsidRPr="0057691B">
        <w:rPr>
          <w:rFonts w:ascii="Palatino Linotype" w:eastAsia="Palatino Linotype" w:hAnsi="Palatino Linotype" w:cs="Palatino Linotype"/>
          <w:b/>
          <w:sz w:val="22"/>
          <w:szCs w:val="22"/>
        </w:rPr>
        <w:t>veinti</w:t>
      </w:r>
      <w:r w:rsidR="00CB68F3" w:rsidRPr="0057691B">
        <w:rPr>
          <w:rFonts w:ascii="Palatino Linotype" w:eastAsia="Palatino Linotype" w:hAnsi="Palatino Linotype" w:cs="Palatino Linotype"/>
          <w:b/>
          <w:sz w:val="22"/>
          <w:szCs w:val="22"/>
        </w:rPr>
        <w:t>cuatro</w:t>
      </w:r>
      <w:r w:rsidR="00074DEC" w:rsidRPr="0057691B">
        <w:rPr>
          <w:rFonts w:ascii="Palatino Linotype" w:eastAsia="Palatino Linotype" w:hAnsi="Palatino Linotype" w:cs="Palatino Linotype"/>
          <w:b/>
          <w:sz w:val="22"/>
          <w:szCs w:val="22"/>
        </w:rPr>
        <w:t xml:space="preserve"> de septiembre</w:t>
      </w:r>
      <w:r w:rsidRPr="0057691B">
        <w:rPr>
          <w:rFonts w:ascii="Palatino Linotype" w:eastAsia="Palatino Linotype" w:hAnsi="Palatino Linotype" w:cs="Palatino Linotype"/>
          <w:sz w:val="22"/>
          <w:szCs w:val="22"/>
        </w:rPr>
        <w:t xml:space="preserve"> </w:t>
      </w:r>
      <w:r w:rsidR="000C6DFE" w:rsidRPr="0057691B">
        <w:rPr>
          <w:rFonts w:ascii="Palatino Linotype" w:eastAsia="Palatino Linotype" w:hAnsi="Palatino Linotype" w:cs="Palatino Linotype"/>
          <w:b/>
          <w:sz w:val="22"/>
          <w:szCs w:val="22"/>
        </w:rPr>
        <w:t>de dos mil veintiséis.</w:t>
      </w:r>
    </w:p>
    <w:p w14:paraId="7F051BA5" w14:textId="77777777" w:rsidR="00C877F6" w:rsidRPr="0057691B" w:rsidRDefault="00C877F6">
      <w:pPr>
        <w:spacing w:line="360" w:lineRule="auto"/>
        <w:ind w:right="49"/>
        <w:jc w:val="both"/>
        <w:rPr>
          <w:rFonts w:ascii="Palatino Linotype" w:eastAsia="Palatino Linotype" w:hAnsi="Palatino Linotype" w:cs="Palatino Linotype"/>
          <w:sz w:val="22"/>
          <w:szCs w:val="22"/>
        </w:rPr>
      </w:pPr>
    </w:p>
    <w:p w14:paraId="02027E82" w14:textId="46F0A8B6" w:rsidR="00C877F6" w:rsidRPr="0057691B" w:rsidRDefault="00F36565">
      <w:pPr>
        <w:spacing w:line="360" w:lineRule="auto"/>
        <w:ind w:right="49"/>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 xml:space="preserve">VISTO </w:t>
      </w:r>
      <w:r w:rsidRPr="0057691B">
        <w:rPr>
          <w:rFonts w:ascii="Palatino Linotype" w:eastAsia="Palatino Linotype" w:hAnsi="Palatino Linotype" w:cs="Palatino Linotype"/>
          <w:sz w:val="22"/>
          <w:szCs w:val="22"/>
        </w:rPr>
        <w:t xml:space="preserve">el expediente relativo al recurso de revisión </w:t>
      </w:r>
      <w:r w:rsidR="00904EAB" w:rsidRPr="0057691B">
        <w:rPr>
          <w:rFonts w:ascii="Palatino Linotype" w:eastAsia="Palatino Linotype" w:hAnsi="Palatino Linotype" w:cs="Palatino Linotype"/>
          <w:b/>
          <w:sz w:val="22"/>
          <w:szCs w:val="22"/>
        </w:rPr>
        <w:t>0</w:t>
      </w:r>
      <w:r w:rsidR="00757F12" w:rsidRPr="0057691B">
        <w:rPr>
          <w:rFonts w:ascii="Palatino Linotype" w:eastAsia="Palatino Linotype" w:hAnsi="Palatino Linotype" w:cs="Palatino Linotype"/>
          <w:b/>
          <w:sz w:val="22"/>
          <w:szCs w:val="22"/>
        </w:rPr>
        <w:t>7694</w:t>
      </w:r>
      <w:r w:rsidR="00904EAB" w:rsidRPr="0057691B">
        <w:rPr>
          <w:rFonts w:ascii="Palatino Linotype" w:eastAsia="Palatino Linotype" w:hAnsi="Palatino Linotype" w:cs="Palatino Linotype"/>
          <w:b/>
          <w:sz w:val="22"/>
          <w:szCs w:val="22"/>
        </w:rPr>
        <w:t>/INFOEM/IP/RR/2026</w:t>
      </w:r>
      <w:r w:rsidRPr="0057691B">
        <w:rPr>
          <w:rFonts w:ascii="Palatino Linotype" w:eastAsia="Palatino Linotype" w:hAnsi="Palatino Linotype" w:cs="Palatino Linotype"/>
          <w:b/>
          <w:sz w:val="22"/>
          <w:szCs w:val="22"/>
        </w:rPr>
        <w:t xml:space="preserve">, </w:t>
      </w:r>
      <w:r w:rsidRPr="0057691B">
        <w:rPr>
          <w:rFonts w:ascii="Palatino Linotype" w:eastAsia="Palatino Linotype" w:hAnsi="Palatino Linotype" w:cs="Palatino Linotype"/>
          <w:sz w:val="22"/>
          <w:szCs w:val="22"/>
        </w:rPr>
        <w:t>interpuesto por</w:t>
      </w:r>
      <w:r w:rsidR="00737A90" w:rsidRPr="0057691B">
        <w:rPr>
          <w:rFonts w:ascii="Palatino Linotype" w:eastAsia="Palatino Linotype" w:hAnsi="Palatino Linotype" w:cs="Palatino Linotype"/>
          <w:sz w:val="22"/>
          <w:szCs w:val="22"/>
        </w:rPr>
        <w:t xml:space="preserve"> </w:t>
      </w:r>
      <w:r w:rsidR="007314C6" w:rsidRPr="007314C6">
        <w:rPr>
          <w:rFonts w:ascii="Palatino Linotype" w:eastAsia="Palatino Linotype" w:hAnsi="Palatino Linotype" w:cs="Palatino Linotype"/>
          <w:b/>
          <w:sz w:val="20"/>
          <w:szCs w:val="20"/>
        </w:rPr>
        <w:t>XXXXX XXX XXXXX</w:t>
      </w:r>
      <w:bookmarkStart w:id="0" w:name="_GoBack"/>
      <w:bookmarkEnd w:id="0"/>
      <w:r w:rsidR="00737A90" w:rsidRPr="0057691B">
        <w:rPr>
          <w:rFonts w:ascii="Palatino Linotype" w:eastAsia="Palatino Linotype" w:hAnsi="Palatino Linotype" w:cs="Palatino Linotype"/>
          <w:sz w:val="22"/>
          <w:szCs w:val="22"/>
        </w:rPr>
        <w:t xml:space="preserve">, </w:t>
      </w:r>
      <w:r w:rsidRPr="0057691B">
        <w:rPr>
          <w:rFonts w:ascii="Palatino Linotype" w:eastAsia="Palatino Linotype" w:hAnsi="Palatino Linotype" w:cs="Palatino Linotype"/>
          <w:sz w:val="22"/>
          <w:szCs w:val="22"/>
        </w:rPr>
        <w:t xml:space="preserve">en lo sucesivo la parte </w:t>
      </w:r>
      <w:r w:rsidRPr="0057691B">
        <w:rPr>
          <w:rFonts w:ascii="Palatino Linotype" w:eastAsia="Palatino Linotype" w:hAnsi="Palatino Linotype" w:cs="Palatino Linotype"/>
          <w:b/>
          <w:sz w:val="22"/>
          <w:szCs w:val="22"/>
        </w:rPr>
        <w:t>Recurrente</w:t>
      </w:r>
      <w:r w:rsidRPr="0057691B">
        <w:rPr>
          <w:rFonts w:ascii="Palatino Linotype" w:eastAsia="Palatino Linotype" w:hAnsi="Palatino Linotype" w:cs="Palatino Linotype"/>
          <w:sz w:val="22"/>
          <w:szCs w:val="22"/>
        </w:rPr>
        <w:t>, en contra de la respuesta a la solicitud de información por parte de</w:t>
      </w:r>
      <w:r w:rsidR="00904EAB" w:rsidRPr="0057691B">
        <w:rPr>
          <w:rFonts w:ascii="Palatino Linotype" w:eastAsia="Palatino Linotype" w:hAnsi="Palatino Linotype" w:cs="Palatino Linotype"/>
          <w:sz w:val="22"/>
          <w:szCs w:val="22"/>
        </w:rPr>
        <w:t xml:space="preserve"> </w:t>
      </w:r>
      <w:r w:rsidRPr="0057691B">
        <w:rPr>
          <w:rFonts w:ascii="Palatino Linotype" w:eastAsia="Palatino Linotype" w:hAnsi="Palatino Linotype" w:cs="Palatino Linotype"/>
          <w:sz w:val="22"/>
          <w:szCs w:val="22"/>
        </w:rPr>
        <w:t>l</w:t>
      </w:r>
      <w:r w:rsidR="00904EAB" w:rsidRPr="0057691B">
        <w:rPr>
          <w:rFonts w:ascii="Palatino Linotype" w:eastAsia="Palatino Linotype" w:hAnsi="Palatino Linotype" w:cs="Palatino Linotype"/>
          <w:sz w:val="22"/>
          <w:szCs w:val="22"/>
        </w:rPr>
        <w:t>a</w:t>
      </w:r>
      <w:r w:rsidRPr="0057691B">
        <w:rPr>
          <w:rFonts w:ascii="Palatino Linotype" w:eastAsia="Palatino Linotype" w:hAnsi="Palatino Linotype" w:cs="Palatino Linotype"/>
          <w:sz w:val="22"/>
          <w:szCs w:val="22"/>
        </w:rPr>
        <w:t xml:space="preserve"> </w:t>
      </w:r>
      <w:r w:rsidR="00FE3CAA" w:rsidRPr="0057691B">
        <w:rPr>
          <w:rFonts w:ascii="Palatino Linotype" w:eastAsia="Palatino Linotype" w:hAnsi="Palatino Linotype" w:cs="Palatino Linotype"/>
          <w:b/>
          <w:sz w:val="22"/>
          <w:szCs w:val="22"/>
        </w:rPr>
        <w:t>Secretaría de Cultura y Turismo</w:t>
      </w:r>
      <w:r w:rsidR="00BB141C" w:rsidRPr="0057691B">
        <w:rPr>
          <w:rFonts w:ascii="Palatino Linotype" w:eastAsia="Palatino Linotype" w:hAnsi="Palatino Linotype" w:cs="Palatino Linotype"/>
          <w:b/>
          <w:sz w:val="22"/>
          <w:szCs w:val="22"/>
        </w:rPr>
        <w:t>,</w:t>
      </w:r>
      <w:r w:rsidRPr="0057691B">
        <w:rPr>
          <w:rFonts w:ascii="Palatino Linotype" w:eastAsia="Palatino Linotype" w:hAnsi="Palatino Linotype" w:cs="Palatino Linotype"/>
          <w:sz w:val="22"/>
          <w:szCs w:val="22"/>
        </w:rPr>
        <w:t xml:space="preserve"> en lo sucesivo el </w:t>
      </w:r>
      <w:r w:rsidRPr="0057691B">
        <w:rPr>
          <w:rFonts w:ascii="Palatino Linotype" w:eastAsia="Palatino Linotype" w:hAnsi="Palatino Linotype" w:cs="Palatino Linotype"/>
          <w:b/>
          <w:sz w:val="22"/>
          <w:szCs w:val="22"/>
        </w:rPr>
        <w:t xml:space="preserve">Sujeto Obligado; </w:t>
      </w:r>
      <w:r w:rsidRPr="0057691B">
        <w:rPr>
          <w:rFonts w:ascii="Palatino Linotype" w:eastAsia="Palatino Linotype" w:hAnsi="Palatino Linotype" w:cs="Palatino Linotype"/>
          <w:sz w:val="22"/>
          <w:szCs w:val="22"/>
        </w:rPr>
        <w:t>se procede a dictar la presente resolución, con base en lo siguiente.</w:t>
      </w:r>
    </w:p>
    <w:p w14:paraId="34BBF48E" w14:textId="77777777" w:rsidR="00C877F6" w:rsidRPr="0057691B" w:rsidRDefault="00C877F6">
      <w:pPr>
        <w:spacing w:line="360" w:lineRule="auto"/>
        <w:ind w:right="49"/>
        <w:jc w:val="both"/>
        <w:rPr>
          <w:rFonts w:ascii="Palatino Linotype" w:eastAsia="Palatino Linotype" w:hAnsi="Palatino Linotype" w:cs="Palatino Linotype"/>
          <w:sz w:val="22"/>
          <w:szCs w:val="22"/>
        </w:rPr>
      </w:pPr>
    </w:p>
    <w:p w14:paraId="29A1AF53" w14:textId="5EB2DA70" w:rsidR="00C877F6" w:rsidRPr="0057691B" w:rsidRDefault="00F36565">
      <w:pPr>
        <w:spacing w:line="360" w:lineRule="auto"/>
        <w:ind w:right="49"/>
        <w:jc w:val="center"/>
        <w:rPr>
          <w:rFonts w:ascii="Palatino Linotype" w:eastAsia="Palatino Linotype" w:hAnsi="Palatino Linotype" w:cs="Palatino Linotype"/>
          <w:b/>
          <w:sz w:val="22"/>
          <w:szCs w:val="22"/>
        </w:rPr>
      </w:pPr>
      <w:r w:rsidRPr="0057691B">
        <w:rPr>
          <w:rFonts w:ascii="Palatino Linotype" w:eastAsia="Palatino Linotype" w:hAnsi="Palatino Linotype" w:cs="Palatino Linotype"/>
          <w:b/>
          <w:sz w:val="22"/>
          <w:szCs w:val="22"/>
        </w:rPr>
        <w:t>I.</w:t>
      </w:r>
      <w:r w:rsidRPr="0057691B">
        <w:rPr>
          <w:rFonts w:ascii="Palatino Linotype" w:eastAsia="Palatino Linotype" w:hAnsi="Palatino Linotype" w:cs="Palatino Linotype"/>
          <w:b/>
          <w:sz w:val="22"/>
          <w:szCs w:val="22"/>
        </w:rPr>
        <w:tab/>
        <w:t>A N T E C E D E N T E S</w:t>
      </w:r>
      <w:r w:rsidR="005C74CB" w:rsidRPr="0057691B">
        <w:rPr>
          <w:rFonts w:ascii="Palatino Linotype" w:eastAsia="Palatino Linotype" w:hAnsi="Palatino Linotype" w:cs="Palatino Linotype"/>
          <w:b/>
          <w:sz w:val="22"/>
          <w:szCs w:val="22"/>
        </w:rPr>
        <w:t xml:space="preserve"> </w:t>
      </w:r>
    </w:p>
    <w:p w14:paraId="3ACFD56D" w14:textId="77777777" w:rsidR="00C877F6" w:rsidRPr="0057691B" w:rsidRDefault="00C877F6">
      <w:pPr>
        <w:spacing w:line="360" w:lineRule="auto"/>
        <w:ind w:right="49"/>
        <w:jc w:val="both"/>
        <w:rPr>
          <w:rFonts w:ascii="Palatino Linotype" w:eastAsia="Palatino Linotype" w:hAnsi="Palatino Linotype" w:cs="Palatino Linotype"/>
          <w:sz w:val="22"/>
          <w:szCs w:val="22"/>
        </w:rPr>
      </w:pPr>
    </w:p>
    <w:p w14:paraId="523B7B02" w14:textId="58E19656" w:rsidR="00C877F6" w:rsidRPr="0057691B" w:rsidRDefault="00F36565">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1.</w:t>
      </w:r>
      <w:r w:rsidRPr="0057691B">
        <w:rPr>
          <w:rFonts w:ascii="Palatino Linotype" w:eastAsia="Palatino Linotype" w:hAnsi="Palatino Linotype" w:cs="Palatino Linotype"/>
          <w:sz w:val="22"/>
          <w:szCs w:val="22"/>
        </w:rPr>
        <w:t xml:space="preserve"> </w:t>
      </w:r>
      <w:r w:rsidRPr="0057691B">
        <w:rPr>
          <w:rFonts w:ascii="Palatino Linotype" w:eastAsia="Palatino Linotype" w:hAnsi="Palatino Linotype" w:cs="Palatino Linotype"/>
          <w:b/>
          <w:sz w:val="22"/>
          <w:szCs w:val="22"/>
        </w:rPr>
        <w:t xml:space="preserve">Solicitud </w:t>
      </w:r>
      <w:r w:rsidR="00D3382D" w:rsidRPr="0057691B">
        <w:rPr>
          <w:rFonts w:ascii="Palatino Linotype" w:eastAsia="Palatino Linotype" w:hAnsi="Palatino Linotype" w:cs="Palatino Linotype"/>
          <w:b/>
          <w:sz w:val="22"/>
          <w:szCs w:val="22"/>
        </w:rPr>
        <w:t xml:space="preserve">de </w:t>
      </w:r>
      <w:r w:rsidR="009456FA" w:rsidRPr="0057691B">
        <w:rPr>
          <w:rFonts w:ascii="Palatino Linotype" w:eastAsia="Palatino Linotype" w:hAnsi="Palatino Linotype" w:cs="Palatino Linotype"/>
          <w:b/>
          <w:sz w:val="22"/>
          <w:szCs w:val="22"/>
        </w:rPr>
        <w:t xml:space="preserve">Acceso a la Información. El </w:t>
      </w:r>
      <w:r w:rsidR="00757F12" w:rsidRPr="0057691B">
        <w:rPr>
          <w:rFonts w:ascii="Palatino Linotype" w:eastAsia="Palatino Linotype" w:hAnsi="Palatino Linotype" w:cs="Palatino Linotype"/>
          <w:b/>
          <w:sz w:val="22"/>
          <w:szCs w:val="22"/>
        </w:rPr>
        <w:t>dos</w:t>
      </w:r>
      <w:r w:rsidR="00A927BD" w:rsidRPr="0057691B">
        <w:rPr>
          <w:rFonts w:ascii="Palatino Linotype" w:eastAsia="Palatino Linotype" w:hAnsi="Palatino Linotype" w:cs="Palatino Linotype"/>
          <w:b/>
          <w:sz w:val="22"/>
          <w:szCs w:val="22"/>
        </w:rPr>
        <w:t xml:space="preserve"> de </w:t>
      </w:r>
      <w:r w:rsidR="00757F12" w:rsidRPr="0057691B">
        <w:rPr>
          <w:rFonts w:ascii="Palatino Linotype" w:eastAsia="Palatino Linotype" w:hAnsi="Palatino Linotype" w:cs="Palatino Linotype"/>
          <w:b/>
          <w:sz w:val="22"/>
          <w:szCs w:val="22"/>
        </w:rPr>
        <w:t>julio</w:t>
      </w:r>
      <w:r w:rsidRPr="0057691B">
        <w:rPr>
          <w:rFonts w:ascii="Palatino Linotype" w:eastAsia="Palatino Linotype" w:hAnsi="Palatino Linotype" w:cs="Palatino Linotype"/>
          <w:b/>
          <w:sz w:val="22"/>
          <w:szCs w:val="22"/>
        </w:rPr>
        <w:t xml:space="preserve"> de dos mil veinti</w:t>
      </w:r>
      <w:r w:rsidR="00D31D89" w:rsidRPr="0057691B">
        <w:rPr>
          <w:rFonts w:ascii="Palatino Linotype" w:eastAsia="Palatino Linotype" w:hAnsi="Palatino Linotype" w:cs="Palatino Linotype"/>
          <w:b/>
          <w:sz w:val="22"/>
          <w:szCs w:val="22"/>
        </w:rPr>
        <w:t>séis</w:t>
      </w:r>
      <w:r w:rsidRPr="0057691B">
        <w:rPr>
          <w:rFonts w:ascii="Palatino Linotype" w:eastAsia="Palatino Linotype" w:hAnsi="Palatino Linotype" w:cs="Palatino Linotype"/>
          <w:sz w:val="22"/>
          <w:szCs w:val="22"/>
        </w:rPr>
        <w:t xml:space="preserve">, </w:t>
      </w:r>
      <w:r w:rsidRPr="0057691B">
        <w:rPr>
          <w:rFonts w:ascii="Palatino Linotype" w:eastAsia="Palatino Linotype" w:hAnsi="Palatino Linotype" w:cs="Palatino Linotype"/>
          <w:b/>
          <w:sz w:val="22"/>
          <w:szCs w:val="22"/>
        </w:rPr>
        <w:t>LA PARTE</w:t>
      </w:r>
      <w:r w:rsidRPr="0057691B">
        <w:rPr>
          <w:rFonts w:ascii="Palatino Linotype" w:eastAsia="Palatino Linotype" w:hAnsi="Palatino Linotype" w:cs="Palatino Linotype"/>
          <w:sz w:val="22"/>
          <w:szCs w:val="22"/>
        </w:rPr>
        <w:t xml:space="preserve"> </w:t>
      </w:r>
      <w:r w:rsidRPr="0057691B">
        <w:rPr>
          <w:rFonts w:ascii="Palatino Linotype" w:eastAsia="Palatino Linotype" w:hAnsi="Palatino Linotype" w:cs="Palatino Linotype"/>
          <w:b/>
          <w:sz w:val="22"/>
          <w:szCs w:val="22"/>
        </w:rPr>
        <w:t>RECURRENTE</w:t>
      </w:r>
      <w:r w:rsidRPr="0057691B">
        <w:rPr>
          <w:rFonts w:ascii="Palatino Linotype" w:eastAsia="Palatino Linotype" w:hAnsi="Palatino Linotype" w:cs="Palatino Linotype"/>
          <w:sz w:val="22"/>
          <w:szCs w:val="22"/>
        </w:rPr>
        <w:t xml:space="preserve"> formuló solicitud de acceso a información pública a través del </w:t>
      </w:r>
      <w:r w:rsidRPr="0057691B">
        <w:rPr>
          <w:rFonts w:ascii="Palatino Linotype" w:eastAsia="Palatino Linotype" w:hAnsi="Palatino Linotype" w:cs="Palatino Linotype"/>
          <w:b/>
          <w:sz w:val="22"/>
          <w:szCs w:val="22"/>
        </w:rPr>
        <w:t>SAIMEX</w:t>
      </w:r>
      <w:r w:rsidR="00185461" w:rsidRPr="0057691B">
        <w:rPr>
          <w:rFonts w:ascii="Palatino Linotype" w:eastAsia="Palatino Linotype" w:hAnsi="Palatino Linotype" w:cs="Palatino Linotype"/>
          <w:sz w:val="22"/>
          <w:szCs w:val="22"/>
        </w:rPr>
        <w:t>; sin embargo, al ser día inhábil, se tuvo por presentado el diecisiete de marzo de dos mil veintiséis,</w:t>
      </w:r>
      <w:r w:rsidRPr="0057691B">
        <w:rPr>
          <w:rFonts w:ascii="Palatino Linotype" w:eastAsia="Palatino Linotype" w:hAnsi="Palatino Linotype" w:cs="Palatino Linotype"/>
          <w:sz w:val="22"/>
          <w:szCs w:val="22"/>
        </w:rPr>
        <w:t xml:space="preserve"> en la que requirió lo siguiente: </w:t>
      </w:r>
    </w:p>
    <w:p w14:paraId="4EEACF59" w14:textId="77777777" w:rsidR="00C877F6" w:rsidRPr="0057691B" w:rsidRDefault="00C877F6">
      <w:pPr>
        <w:spacing w:line="360" w:lineRule="auto"/>
        <w:jc w:val="both"/>
        <w:rPr>
          <w:rFonts w:ascii="Palatino Linotype" w:eastAsia="Palatino Linotype" w:hAnsi="Palatino Linotype" w:cs="Palatino Linotype"/>
          <w:sz w:val="22"/>
          <w:szCs w:val="22"/>
        </w:rPr>
      </w:pPr>
    </w:p>
    <w:p w14:paraId="21215815" w14:textId="6FD9DE14" w:rsidR="00C877F6" w:rsidRPr="0057691B" w:rsidRDefault="00185461" w:rsidP="00185461">
      <w:pPr>
        <w:numPr>
          <w:ilvl w:val="0"/>
          <w:numId w:val="2"/>
        </w:numPr>
        <w:pBdr>
          <w:top w:val="nil"/>
          <w:left w:val="nil"/>
          <w:bottom w:val="nil"/>
          <w:right w:val="nil"/>
          <w:between w:val="nil"/>
        </w:pBdr>
        <w:spacing w:line="360" w:lineRule="auto"/>
        <w:ind w:right="49"/>
        <w:jc w:val="both"/>
        <w:rPr>
          <w:rFonts w:ascii="Palatino Linotype" w:eastAsia="Palatino Linotype" w:hAnsi="Palatino Linotype" w:cs="Palatino Linotype"/>
          <w:b/>
          <w:sz w:val="22"/>
          <w:szCs w:val="22"/>
        </w:rPr>
      </w:pPr>
      <w:bookmarkStart w:id="1" w:name="_heading=h.3znysh7" w:colFirst="0" w:colLast="0"/>
      <w:bookmarkEnd w:id="1"/>
      <w:r w:rsidRPr="0057691B">
        <w:rPr>
          <w:rFonts w:ascii="Palatino Linotype" w:eastAsia="Palatino Linotype" w:hAnsi="Palatino Linotype" w:cs="Palatino Linotype"/>
          <w:b/>
          <w:sz w:val="22"/>
          <w:szCs w:val="22"/>
        </w:rPr>
        <w:t>000</w:t>
      </w:r>
      <w:r w:rsidR="00757F12" w:rsidRPr="0057691B">
        <w:rPr>
          <w:rFonts w:ascii="Palatino Linotype" w:eastAsia="Palatino Linotype" w:hAnsi="Palatino Linotype" w:cs="Palatino Linotype"/>
          <w:b/>
          <w:sz w:val="22"/>
          <w:szCs w:val="22"/>
        </w:rPr>
        <w:t>63</w:t>
      </w:r>
      <w:r w:rsidRPr="0057691B">
        <w:rPr>
          <w:rFonts w:ascii="Palatino Linotype" w:eastAsia="Palatino Linotype" w:hAnsi="Palatino Linotype" w:cs="Palatino Linotype"/>
          <w:b/>
          <w:sz w:val="22"/>
          <w:szCs w:val="22"/>
        </w:rPr>
        <w:t>/</w:t>
      </w:r>
      <w:r w:rsidR="00757F12" w:rsidRPr="0057691B">
        <w:rPr>
          <w:rFonts w:ascii="Palatino Linotype" w:eastAsia="Palatino Linotype" w:hAnsi="Palatino Linotype" w:cs="Palatino Linotype"/>
          <w:b/>
          <w:sz w:val="22"/>
          <w:szCs w:val="22"/>
        </w:rPr>
        <w:t>SCTUR</w:t>
      </w:r>
      <w:r w:rsidRPr="0057691B">
        <w:rPr>
          <w:rFonts w:ascii="Palatino Linotype" w:eastAsia="Palatino Linotype" w:hAnsi="Palatino Linotype" w:cs="Palatino Linotype"/>
          <w:b/>
          <w:sz w:val="22"/>
          <w:szCs w:val="22"/>
        </w:rPr>
        <w:t>/IP/2026</w:t>
      </w:r>
    </w:p>
    <w:p w14:paraId="173CF3CD" w14:textId="16FDF71F" w:rsidR="00C877F6" w:rsidRPr="0057691B" w:rsidRDefault="00F36565">
      <w:pPr>
        <w:spacing w:line="276" w:lineRule="auto"/>
        <w:ind w:left="567" w:right="843"/>
        <w:jc w:val="both"/>
        <w:rPr>
          <w:rFonts w:ascii="Palatino Linotype" w:eastAsia="Palatino Linotype" w:hAnsi="Palatino Linotype" w:cs="Palatino Linotype"/>
          <w:b/>
          <w:i/>
          <w:sz w:val="22"/>
          <w:szCs w:val="22"/>
        </w:rPr>
      </w:pPr>
      <w:r w:rsidRPr="0057691B">
        <w:rPr>
          <w:rFonts w:ascii="Palatino Linotype" w:eastAsia="Palatino Linotype" w:hAnsi="Palatino Linotype" w:cs="Palatino Linotype"/>
          <w:i/>
          <w:sz w:val="22"/>
          <w:szCs w:val="22"/>
        </w:rPr>
        <w:t>"</w:t>
      </w:r>
      <w:r w:rsidR="00757F12" w:rsidRPr="0057691B">
        <w:rPr>
          <w:rFonts w:ascii="Palatino Linotype" w:eastAsia="Palatino Linotype" w:hAnsi="Palatino Linotype" w:cs="Palatino Linotype"/>
          <w:i/>
          <w:sz w:val="22"/>
          <w:szCs w:val="22"/>
        </w:rPr>
        <w:t>Me gustaría saber que han echo al respecto Efrén Annuar García Pérez y Patsy Dennis Ramírez Castañeda, sobre Juan Pablo Lastiri Salazar, ya que está en el área de eventuales y también dedica tiempo para estar ayudando a sacar las nóminas del Instituto de Deporte del Estado de México. Tiene permitido estar trabajando en la secretaría de cultura y turismo y en el Instituto del Deporte del Estado de México</w:t>
      </w:r>
      <w:r w:rsidRPr="0057691B">
        <w:rPr>
          <w:rFonts w:ascii="Palatino Linotype" w:eastAsia="Palatino Linotype" w:hAnsi="Palatino Linotype" w:cs="Palatino Linotype"/>
          <w:b/>
          <w:i/>
          <w:sz w:val="22"/>
          <w:szCs w:val="22"/>
        </w:rPr>
        <w:t>” (Sic.)</w:t>
      </w:r>
    </w:p>
    <w:p w14:paraId="1861AE9B" w14:textId="77777777" w:rsidR="00C877F6" w:rsidRPr="0057691B" w:rsidRDefault="00C877F6">
      <w:pPr>
        <w:spacing w:line="360" w:lineRule="auto"/>
        <w:ind w:left="567" w:right="843"/>
        <w:jc w:val="both"/>
        <w:rPr>
          <w:rFonts w:ascii="Palatino Linotype" w:eastAsia="Palatino Linotype" w:hAnsi="Palatino Linotype" w:cs="Palatino Linotype"/>
          <w:i/>
          <w:sz w:val="22"/>
          <w:szCs w:val="22"/>
        </w:rPr>
      </w:pPr>
    </w:p>
    <w:p w14:paraId="76742D72" w14:textId="77777777" w:rsidR="00C877F6" w:rsidRPr="0057691B" w:rsidRDefault="00F36565">
      <w:pPr>
        <w:spacing w:line="360" w:lineRule="auto"/>
        <w:ind w:right="49"/>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Modalidad elegida para la entrega de la información:</w:t>
      </w:r>
      <w:r w:rsidRPr="0057691B">
        <w:rPr>
          <w:rFonts w:ascii="Palatino Linotype" w:eastAsia="Palatino Linotype" w:hAnsi="Palatino Linotype" w:cs="Palatino Linotype"/>
          <w:sz w:val="22"/>
          <w:szCs w:val="22"/>
        </w:rPr>
        <w:t xml:space="preserve"> a través del Sistema de Acceso a la Información Mexiquense (SAIMEX).</w:t>
      </w:r>
    </w:p>
    <w:p w14:paraId="05DE913F" w14:textId="77777777" w:rsidR="00BB141C" w:rsidRPr="0057691B" w:rsidRDefault="00BB141C">
      <w:pPr>
        <w:spacing w:line="360" w:lineRule="auto"/>
        <w:ind w:right="49"/>
        <w:jc w:val="both"/>
        <w:rPr>
          <w:rFonts w:ascii="Palatino Linotype" w:eastAsia="Palatino Linotype" w:hAnsi="Palatino Linotype" w:cs="Palatino Linotype"/>
          <w:sz w:val="22"/>
          <w:szCs w:val="22"/>
        </w:rPr>
      </w:pPr>
    </w:p>
    <w:p w14:paraId="46E266A9" w14:textId="71A343F2" w:rsidR="00C877F6" w:rsidRPr="0057691B" w:rsidRDefault="00D31D89">
      <w:pPr>
        <w:widowControl w:val="0"/>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lastRenderedPageBreak/>
        <w:t>2</w:t>
      </w:r>
      <w:r w:rsidR="00D12208" w:rsidRPr="0057691B">
        <w:rPr>
          <w:rFonts w:ascii="Palatino Linotype" w:eastAsia="Palatino Linotype" w:hAnsi="Palatino Linotype" w:cs="Palatino Linotype"/>
          <w:b/>
          <w:sz w:val="22"/>
          <w:szCs w:val="22"/>
        </w:rPr>
        <w:t xml:space="preserve">. </w:t>
      </w:r>
      <w:r w:rsidR="00F36565" w:rsidRPr="0057691B">
        <w:rPr>
          <w:rFonts w:ascii="Palatino Linotype" w:eastAsia="Palatino Linotype" w:hAnsi="Palatino Linotype" w:cs="Palatino Linotype"/>
          <w:b/>
          <w:sz w:val="22"/>
          <w:szCs w:val="22"/>
        </w:rPr>
        <w:t>Respuesta.</w:t>
      </w:r>
      <w:r w:rsidR="00F36565" w:rsidRPr="0057691B">
        <w:rPr>
          <w:rFonts w:ascii="Palatino Linotype" w:eastAsia="Palatino Linotype" w:hAnsi="Palatino Linotype" w:cs="Palatino Linotype"/>
          <w:sz w:val="22"/>
          <w:szCs w:val="22"/>
        </w:rPr>
        <w:t xml:space="preserve"> El </w:t>
      </w:r>
      <w:r w:rsidR="00FE3CAA" w:rsidRPr="0057691B">
        <w:rPr>
          <w:rFonts w:ascii="Palatino Linotype" w:eastAsia="Palatino Linotype" w:hAnsi="Palatino Linotype" w:cs="Palatino Linotype"/>
          <w:b/>
          <w:bCs/>
          <w:sz w:val="22"/>
          <w:szCs w:val="22"/>
        </w:rPr>
        <w:t xml:space="preserve">seis de agosto </w:t>
      </w:r>
      <w:r w:rsidR="00D12208" w:rsidRPr="0057691B">
        <w:rPr>
          <w:rFonts w:ascii="Palatino Linotype" w:eastAsia="Palatino Linotype" w:hAnsi="Palatino Linotype" w:cs="Palatino Linotype"/>
          <w:b/>
          <w:sz w:val="22"/>
          <w:szCs w:val="22"/>
        </w:rPr>
        <w:t xml:space="preserve">de dos mil </w:t>
      </w:r>
      <w:r w:rsidR="00951AC4" w:rsidRPr="0057691B">
        <w:rPr>
          <w:rFonts w:ascii="Palatino Linotype" w:eastAsia="Palatino Linotype" w:hAnsi="Palatino Linotype" w:cs="Palatino Linotype"/>
          <w:b/>
          <w:sz w:val="22"/>
          <w:szCs w:val="22"/>
        </w:rPr>
        <w:t>veintiséis</w:t>
      </w:r>
      <w:r w:rsidR="00D12208" w:rsidRPr="0057691B">
        <w:rPr>
          <w:rFonts w:ascii="Palatino Linotype" w:eastAsia="Palatino Linotype" w:hAnsi="Palatino Linotype" w:cs="Palatino Linotype"/>
          <w:sz w:val="22"/>
          <w:szCs w:val="22"/>
        </w:rPr>
        <w:t xml:space="preserve">, </w:t>
      </w:r>
      <w:r w:rsidR="00F36565" w:rsidRPr="0057691B">
        <w:rPr>
          <w:rFonts w:ascii="Palatino Linotype" w:eastAsia="Palatino Linotype" w:hAnsi="Palatino Linotype" w:cs="Palatino Linotype"/>
          <w:sz w:val="22"/>
          <w:szCs w:val="22"/>
        </w:rPr>
        <w:t>el Sujeto Obligado dio respuesta a la solicitud en los siguientes términos:</w:t>
      </w:r>
    </w:p>
    <w:p w14:paraId="7689408D" w14:textId="77777777" w:rsidR="00C877F6" w:rsidRPr="0057691B" w:rsidRDefault="00C877F6">
      <w:pPr>
        <w:widowControl w:val="0"/>
        <w:spacing w:line="360" w:lineRule="auto"/>
        <w:jc w:val="both"/>
        <w:rPr>
          <w:rFonts w:ascii="Palatino Linotype" w:eastAsia="Palatino Linotype" w:hAnsi="Palatino Linotype" w:cs="Palatino Linotype"/>
          <w:sz w:val="22"/>
          <w:szCs w:val="22"/>
        </w:rPr>
      </w:pPr>
    </w:p>
    <w:p w14:paraId="5A4F9BD2" w14:textId="77777777" w:rsidR="00FE3CAA" w:rsidRPr="0057691B" w:rsidRDefault="00F36565" w:rsidP="00FE3CAA">
      <w:pPr>
        <w:widowControl w:val="0"/>
        <w:spacing w:line="360" w:lineRule="auto"/>
        <w:ind w:left="567" w:right="843"/>
        <w:jc w:val="both"/>
        <w:rPr>
          <w:rFonts w:ascii="Palatino Linotype" w:eastAsia="Palatino Linotype" w:hAnsi="Palatino Linotype" w:cs="Palatino Linotype"/>
          <w:i/>
          <w:sz w:val="22"/>
          <w:szCs w:val="22"/>
        </w:rPr>
      </w:pPr>
      <w:r w:rsidRPr="0057691B">
        <w:rPr>
          <w:rFonts w:ascii="Palatino Linotype" w:eastAsia="Palatino Linotype" w:hAnsi="Palatino Linotype" w:cs="Palatino Linotype"/>
          <w:i/>
          <w:sz w:val="22"/>
          <w:szCs w:val="22"/>
        </w:rPr>
        <w:t>“</w:t>
      </w:r>
      <w:r w:rsidR="00FE3CAA" w:rsidRPr="0057691B">
        <w:rPr>
          <w:rFonts w:ascii="Palatino Linotype" w:eastAsia="Palatino Linotype" w:hAnsi="Palatino Linotype" w:cs="Palatino Linotype"/>
          <w:i/>
          <w:sz w:val="22"/>
          <w:szCs w:val="22"/>
        </w:rPr>
        <w:t>En atención a su solicitud de información identificada con el número de folio 00063/SCTUR/IP/2026; le informamos que su requerimiento representa un supuesto, que no se colma con la entrega de algún documento, toda vez que, el derecho de acceso a la información pública es la prerrogativa que tienen todas las personas para obtener, consultar y acceder a la información generada, recopilada, administrada, manejada, procesada, archivada y conservada en poder de los Entes Públicos. Este derecho abarca todo archivo, registro o dato contenido en cualquier medio, ya sea impreso, óptico, electrónico, magnético, químico, físico o biológico, siempre que dicha información no haya sido clasificada previamente como confidencial y/o reservada. Lo anterior con fundamento en el párrafo segundo del Artículo 12 de la Ley de Transparencia y Acceso a la Información Pública del Estado de México y Municipios; publicada en el Periódico Oficial “Gaceta del Gobierno” el día dos (2) de junio de dos mil dieciséis (2016), mismo que a la letra dice: “Los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(SIC)</w:t>
      </w:r>
    </w:p>
    <w:p w14:paraId="3B19B941" w14:textId="77777777" w:rsidR="00FE3CAA" w:rsidRPr="0057691B" w:rsidRDefault="00FE3CAA" w:rsidP="00FE3CAA">
      <w:pPr>
        <w:widowControl w:val="0"/>
        <w:spacing w:line="360" w:lineRule="auto"/>
        <w:ind w:left="567" w:right="843"/>
        <w:jc w:val="both"/>
        <w:rPr>
          <w:rFonts w:ascii="Palatino Linotype" w:eastAsia="Palatino Linotype" w:hAnsi="Palatino Linotype" w:cs="Palatino Linotype"/>
          <w:i/>
          <w:sz w:val="22"/>
          <w:szCs w:val="22"/>
        </w:rPr>
      </w:pPr>
      <w:r w:rsidRPr="0057691B">
        <w:rPr>
          <w:rFonts w:ascii="Palatino Linotype" w:eastAsia="Palatino Linotype" w:hAnsi="Palatino Linotype" w:cs="Palatino Linotype"/>
          <w:i/>
          <w:sz w:val="22"/>
          <w:szCs w:val="22"/>
        </w:rPr>
        <w:t>ATENTAMENTE</w:t>
      </w:r>
    </w:p>
    <w:p w14:paraId="7858BA1C" w14:textId="64E4D704" w:rsidR="00C877F6" w:rsidRPr="0057691B" w:rsidRDefault="00FE3CAA" w:rsidP="00FE3CAA">
      <w:pPr>
        <w:widowControl w:val="0"/>
        <w:spacing w:line="360" w:lineRule="auto"/>
        <w:ind w:left="567" w:right="843"/>
        <w:jc w:val="both"/>
        <w:rPr>
          <w:rFonts w:ascii="Palatino Linotype" w:eastAsia="Palatino Linotype" w:hAnsi="Palatino Linotype" w:cs="Palatino Linotype"/>
          <w:i/>
          <w:sz w:val="22"/>
          <w:szCs w:val="22"/>
        </w:rPr>
      </w:pPr>
      <w:r w:rsidRPr="0057691B">
        <w:rPr>
          <w:rFonts w:ascii="Palatino Linotype" w:eastAsia="Palatino Linotype" w:hAnsi="Palatino Linotype" w:cs="Palatino Linotype"/>
          <w:i/>
          <w:sz w:val="22"/>
          <w:szCs w:val="22"/>
        </w:rPr>
        <w:t>Lic. Efrén Annuar García Pérez</w:t>
      </w:r>
      <w:r w:rsidR="00287278" w:rsidRPr="0057691B">
        <w:rPr>
          <w:rFonts w:ascii="Palatino Linotype" w:eastAsia="Palatino Linotype" w:hAnsi="Palatino Linotype" w:cs="Palatino Linotype"/>
          <w:i/>
          <w:sz w:val="22"/>
          <w:szCs w:val="22"/>
        </w:rPr>
        <w:t>”</w:t>
      </w:r>
    </w:p>
    <w:p w14:paraId="04F5F75C" w14:textId="77777777" w:rsidR="00D31D89" w:rsidRPr="0057691B" w:rsidRDefault="00D31D89" w:rsidP="00D31D89">
      <w:pPr>
        <w:widowControl w:val="0"/>
        <w:spacing w:line="360" w:lineRule="auto"/>
        <w:ind w:left="567" w:right="843"/>
        <w:jc w:val="both"/>
        <w:rPr>
          <w:rFonts w:ascii="Palatino Linotype" w:eastAsia="Palatino Linotype" w:hAnsi="Palatino Linotype" w:cs="Palatino Linotype"/>
          <w:i/>
          <w:sz w:val="22"/>
          <w:szCs w:val="22"/>
        </w:rPr>
      </w:pPr>
    </w:p>
    <w:p w14:paraId="4DA0D391" w14:textId="2EBE54C4" w:rsidR="00C877F6" w:rsidRPr="0057691B" w:rsidRDefault="00D31D89">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lastRenderedPageBreak/>
        <w:t>3</w:t>
      </w:r>
      <w:r w:rsidR="00F36565" w:rsidRPr="0057691B">
        <w:rPr>
          <w:rFonts w:ascii="Palatino Linotype" w:eastAsia="Palatino Linotype" w:hAnsi="Palatino Linotype" w:cs="Palatino Linotype"/>
          <w:b/>
          <w:sz w:val="22"/>
          <w:szCs w:val="22"/>
        </w:rPr>
        <w:t xml:space="preserve">. Del Recurso de Revisión. </w:t>
      </w:r>
      <w:r w:rsidR="00F36565" w:rsidRPr="0057691B">
        <w:rPr>
          <w:rFonts w:ascii="Palatino Linotype" w:eastAsia="Palatino Linotype" w:hAnsi="Palatino Linotype" w:cs="Palatino Linotype"/>
          <w:sz w:val="22"/>
          <w:szCs w:val="22"/>
        </w:rPr>
        <w:t>Inconforme con la respuesta del</w:t>
      </w:r>
      <w:r w:rsidR="00F36565" w:rsidRPr="0057691B">
        <w:rPr>
          <w:rFonts w:ascii="Palatino Linotype" w:eastAsia="Palatino Linotype" w:hAnsi="Palatino Linotype" w:cs="Palatino Linotype"/>
          <w:b/>
          <w:sz w:val="22"/>
          <w:szCs w:val="22"/>
        </w:rPr>
        <w:t xml:space="preserve"> SUJETO OBLIGADO, </w:t>
      </w:r>
      <w:r w:rsidR="00F36565" w:rsidRPr="0057691B">
        <w:rPr>
          <w:rFonts w:ascii="Palatino Linotype" w:eastAsia="Palatino Linotype" w:hAnsi="Palatino Linotype" w:cs="Palatino Linotype"/>
          <w:sz w:val="22"/>
          <w:szCs w:val="22"/>
        </w:rPr>
        <w:t xml:space="preserve">el </w:t>
      </w:r>
      <w:r w:rsidR="00FE3CAA" w:rsidRPr="0057691B">
        <w:rPr>
          <w:rFonts w:ascii="Palatino Linotype" w:eastAsia="Palatino Linotype" w:hAnsi="Palatino Linotype" w:cs="Palatino Linotype"/>
          <w:b/>
          <w:sz w:val="22"/>
          <w:szCs w:val="22"/>
        </w:rPr>
        <w:t>doce de agosto</w:t>
      </w:r>
      <w:r w:rsidR="00F36565" w:rsidRPr="0057691B">
        <w:rPr>
          <w:rFonts w:ascii="Palatino Linotype" w:eastAsia="Palatino Linotype" w:hAnsi="Palatino Linotype" w:cs="Palatino Linotype"/>
          <w:b/>
          <w:sz w:val="22"/>
          <w:szCs w:val="22"/>
        </w:rPr>
        <w:t xml:space="preserve"> de dos mil veinti</w:t>
      </w:r>
      <w:r w:rsidR="00F411E7" w:rsidRPr="0057691B">
        <w:rPr>
          <w:rFonts w:ascii="Palatino Linotype" w:eastAsia="Palatino Linotype" w:hAnsi="Palatino Linotype" w:cs="Palatino Linotype"/>
          <w:b/>
          <w:sz w:val="22"/>
          <w:szCs w:val="22"/>
        </w:rPr>
        <w:t>séis</w:t>
      </w:r>
      <w:r w:rsidR="00F36565" w:rsidRPr="0057691B">
        <w:rPr>
          <w:rFonts w:ascii="Palatino Linotype" w:eastAsia="Palatino Linotype" w:hAnsi="Palatino Linotype" w:cs="Palatino Linotype"/>
          <w:b/>
          <w:sz w:val="22"/>
          <w:szCs w:val="22"/>
        </w:rPr>
        <w:t xml:space="preserve">, LA PARTE RECURRENTE </w:t>
      </w:r>
      <w:r w:rsidR="00F36565" w:rsidRPr="0057691B">
        <w:rPr>
          <w:rFonts w:ascii="Palatino Linotype" w:eastAsia="Palatino Linotype" w:hAnsi="Palatino Linotype" w:cs="Palatino Linotype"/>
          <w:sz w:val="22"/>
          <w:szCs w:val="22"/>
        </w:rPr>
        <w:t>i</w:t>
      </w:r>
      <w:r w:rsidR="0093354D" w:rsidRPr="0057691B">
        <w:rPr>
          <w:rFonts w:ascii="Palatino Linotype" w:eastAsia="Palatino Linotype" w:hAnsi="Palatino Linotype" w:cs="Palatino Linotype"/>
          <w:sz w:val="22"/>
          <w:szCs w:val="22"/>
        </w:rPr>
        <w:t>nterpuso el recurso de revisió</w:t>
      </w:r>
      <w:r w:rsidR="000275EA" w:rsidRPr="0057691B">
        <w:rPr>
          <w:rFonts w:ascii="Palatino Linotype" w:eastAsia="Palatino Linotype" w:hAnsi="Palatino Linotype" w:cs="Palatino Linotype"/>
          <w:sz w:val="22"/>
          <w:szCs w:val="22"/>
        </w:rPr>
        <w:t>n</w:t>
      </w:r>
      <w:r w:rsidR="00151505" w:rsidRPr="0057691B">
        <w:rPr>
          <w:rFonts w:ascii="Palatino Linotype" w:eastAsia="Palatino Linotype" w:hAnsi="Palatino Linotype" w:cs="Palatino Linotype"/>
          <w:sz w:val="22"/>
          <w:szCs w:val="22"/>
        </w:rPr>
        <w:t>,</w:t>
      </w:r>
      <w:r w:rsidR="00F36565" w:rsidRPr="0057691B">
        <w:rPr>
          <w:rFonts w:ascii="Palatino Linotype" w:eastAsia="Palatino Linotype" w:hAnsi="Palatino Linotype" w:cs="Palatino Linotype"/>
          <w:sz w:val="22"/>
          <w:szCs w:val="22"/>
        </w:rPr>
        <w:t xml:space="preserve"> mediante el cual y manifestó lo siguiente: </w:t>
      </w:r>
    </w:p>
    <w:p w14:paraId="03BF0A8A" w14:textId="77777777" w:rsidR="00FE3CAA" w:rsidRPr="0057691B" w:rsidRDefault="00FE3CAA">
      <w:pPr>
        <w:spacing w:line="360" w:lineRule="auto"/>
        <w:jc w:val="both"/>
        <w:rPr>
          <w:rFonts w:ascii="Palatino Linotype" w:eastAsia="Palatino Linotype" w:hAnsi="Palatino Linotype" w:cs="Palatino Linotype"/>
          <w:sz w:val="22"/>
          <w:szCs w:val="22"/>
        </w:rPr>
      </w:pPr>
    </w:p>
    <w:p w14:paraId="36671519" w14:textId="2241DA16" w:rsidR="00C877F6" w:rsidRPr="0057691B" w:rsidRDefault="00F36565" w:rsidP="00FE3CAA">
      <w:pPr>
        <w:pStyle w:val="Listaconvietas3"/>
        <w:numPr>
          <w:ilvl w:val="0"/>
          <w:numId w:val="42"/>
        </w:numPr>
        <w:ind w:left="709"/>
        <w:jc w:val="both"/>
        <w:rPr>
          <w:rFonts w:ascii="Palatino Linotype" w:eastAsia="Palatino Linotype" w:hAnsi="Palatino Linotype"/>
          <w:sz w:val="22"/>
          <w:szCs w:val="22"/>
        </w:rPr>
      </w:pPr>
      <w:r w:rsidRPr="0057691B">
        <w:rPr>
          <w:rFonts w:ascii="Palatino Linotype" w:eastAsia="Palatino Linotype" w:hAnsi="Palatino Linotype" w:cs="Palatino Linotype"/>
          <w:b/>
          <w:i/>
          <w:sz w:val="22"/>
          <w:szCs w:val="22"/>
        </w:rPr>
        <w:t>Acto Impugnado:</w:t>
      </w:r>
      <w:r w:rsidRPr="0057691B">
        <w:rPr>
          <w:rFonts w:ascii="Palatino Linotype" w:eastAsia="Palatino Linotype" w:hAnsi="Palatino Linotype" w:cs="Palatino Linotype"/>
          <w:i/>
          <w:sz w:val="22"/>
          <w:szCs w:val="22"/>
        </w:rPr>
        <w:t xml:space="preserve"> “</w:t>
      </w:r>
      <w:r w:rsidR="00FE3CAA" w:rsidRPr="0057691B">
        <w:rPr>
          <w:rFonts w:ascii="Palatino Linotype" w:eastAsia="Palatino Linotype" w:hAnsi="Palatino Linotype" w:cs="Palatino Linotype"/>
          <w:i/>
          <w:sz w:val="22"/>
          <w:szCs w:val="22"/>
        </w:rPr>
        <w:t>No describen que han echo al respecto sobre las acciones que toma Juan Pablo, referente a estar sacando la nómina del instituto del deporte.</w:t>
      </w:r>
      <w:r w:rsidRPr="0057691B">
        <w:rPr>
          <w:rFonts w:ascii="Palatino Linotype" w:eastAsia="Palatino Linotype" w:hAnsi="Palatino Linotype"/>
          <w:sz w:val="22"/>
          <w:szCs w:val="22"/>
        </w:rPr>
        <w:t>” (Sic.)</w:t>
      </w:r>
    </w:p>
    <w:p w14:paraId="2BA13102" w14:textId="77777777" w:rsidR="00C877F6" w:rsidRPr="0057691B" w:rsidRDefault="00C877F6" w:rsidP="000275EA">
      <w:pPr>
        <w:pBdr>
          <w:top w:val="nil"/>
          <w:left w:val="nil"/>
          <w:bottom w:val="nil"/>
          <w:right w:val="nil"/>
          <w:between w:val="nil"/>
        </w:pBdr>
        <w:spacing w:line="276" w:lineRule="auto"/>
        <w:ind w:left="720" w:right="560"/>
        <w:jc w:val="both"/>
        <w:rPr>
          <w:rFonts w:ascii="Palatino Linotype" w:eastAsia="Palatino Linotype" w:hAnsi="Palatino Linotype" w:cs="Palatino Linotype"/>
          <w:i/>
          <w:sz w:val="22"/>
          <w:szCs w:val="22"/>
        </w:rPr>
      </w:pPr>
    </w:p>
    <w:p w14:paraId="61E1D3CB" w14:textId="2F33B853" w:rsidR="00C877F6" w:rsidRPr="0057691B" w:rsidRDefault="00F36565" w:rsidP="00FE3CAA">
      <w:pPr>
        <w:pStyle w:val="Listaconvietas3"/>
        <w:rPr>
          <w:rFonts w:ascii="Palatino Linotype" w:eastAsia="Palatino Linotype" w:hAnsi="Palatino Linotype"/>
          <w:sz w:val="22"/>
          <w:szCs w:val="22"/>
        </w:rPr>
      </w:pPr>
      <w:r w:rsidRPr="0057691B">
        <w:rPr>
          <w:rFonts w:ascii="Palatino Linotype" w:eastAsia="Palatino Linotype" w:hAnsi="Palatino Linotype"/>
          <w:b/>
          <w:sz w:val="22"/>
          <w:szCs w:val="22"/>
        </w:rPr>
        <w:t>Motivo de inconformidad:</w:t>
      </w:r>
      <w:r w:rsidRPr="0057691B">
        <w:rPr>
          <w:rFonts w:ascii="Palatino Linotype" w:eastAsia="Palatino Linotype" w:hAnsi="Palatino Linotype"/>
          <w:sz w:val="22"/>
          <w:szCs w:val="22"/>
        </w:rPr>
        <w:t xml:space="preserve"> “</w:t>
      </w:r>
      <w:r w:rsidR="00FE3CAA" w:rsidRPr="0057691B">
        <w:rPr>
          <w:rFonts w:ascii="Palatino Linotype" w:eastAsia="Palatino Linotype" w:hAnsi="Palatino Linotype" w:cs="Palatino Linotype"/>
          <w:i/>
          <w:sz w:val="22"/>
          <w:szCs w:val="22"/>
        </w:rPr>
        <w:t>No me adjuntan documentación en la cual, solicitan a las unidades administrativas, o están ocultando alguna, información respecto a las funciones que tiene Juan Pablo. Requiero ver los oficios en los cuales turnan la solicitud.</w:t>
      </w:r>
      <w:r w:rsidRPr="0057691B">
        <w:rPr>
          <w:rFonts w:ascii="Palatino Linotype" w:eastAsia="Palatino Linotype" w:hAnsi="Palatino Linotype"/>
          <w:sz w:val="22"/>
          <w:szCs w:val="22"/>
        </w:rPr>
        <w:t>” (Sic.)</w:t>
      </w:r>
    </w:p>
    <w:p w14:paraId="03F2A5F4" w14:textId="77777777" w:rsidR="000275EA" w:rsidRPr="0057691B" w:rsidRDefault="000275EA" w:rsidP="000275EA">
      <w:pPr>
        <w:pStyle w:val="Listaconvietas3"/>
        <w:numPr>
          <w:ilvl w:val="0"/>
          <w:numId w:val="0"/>
        </w:numPr>
        <w:ind w:left="720"/>
        <w:jc w:val="both"/>
        <w:rPr>
          <w:rFonts w:ascii="Palatino Linotype" w:eastAsia="Palatino Linotype" w:hAnsi="Palatino Linotype"/>
          <w:sz w:val="22"/>
          <w:szCs w:val="22"/>
        </w:rPr>
      </w:pPr>
    </w:p>
    <w:p w14:paraId="6A9E7514" w14:textId="288DB776" w:rsidR="00C877F6" w:rsidRPr="0057691B" w:rsidRDefault="00D31D89">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4</w:t>
      </w:r>
      <w:r w:rsidR="00F36565" w:rsidRPr="0057691B">
        <w:rPr>
          <w:rFonts w:ascii="Palatino Linotype" w:eastAsia="Palatino Linotype" w:hAnsi="Palatino Linotype" w:cs="Palatino Linotype"/>
          <w:b/>
          <w:sz w:val="22"/>
          <w:szCs w:val="22"/>
        </w:rPr>
        <w:t xml:space="preserve">. Turno. </w:t>
      </w:r>
      <w:r w:rsidR="00F36565" w:rsidRPr="0057691B">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el recurso de revisión número </w:t>
      </w:r>
      <w:r w:rsidR="00757F12" w:rsidRPr="0057691B">
        <w:rPr>
          <w:rFonts w:ascii="Palatino Linotype" w:eastAsia="Palatino Linotype" w:hAnsi="Palatino Linotype" w:cs="Palatino Linotype"/>
          <w:b/>
          <w:sz w:val="22"/>
          <w:szCs w:val="22"/>
        </w:rPr>
        <w:t>07694/INFOEM/IP/RR/2026</w:t>
      </w:r>
      <w:r w:rsidR="00F36565" w:rsidRPr="0057691B">
        <w:rPr>
          <w:rFonts w:ascii="Palatino Linotype" w:eastAsia="Palatino Linotype" w:hAnsi="Palatino Linotype" w:cs="Palatino Linotype"/>
          <w:sz w:val="22"/>
          <w:szCs w:val="22"/>
        </w:rPr>
        <w:t xml:space="preserve">, se turnó por el sistema electrónico del Instituto de Transparencia, Acceso a la Información Pública y Protección de Datos Personales del Estado de México y Municipios, a la Comisionada </w:t>
      </w:r>
      <w:r w:rsidR="00F36565" w:rsidRPr="0057691B">
        <w:rPr>
          <w:rFonts w:ascii="Palatino Linotype" w:eastAsia="Palatino Linotype" w:hAnsi="Palatino Linotype" w:cs="Palatino Linotype"/>
          <w:b/>
          <w:sz w:val="22"/>
          <w:szCs w:val="22"/>
        </w:rPr>
        <w:t>Guadalupe Ramírez Peña</w:t>
      </w:r>
      <w:r w:rsidR="00F36565" w:rsidRPr="0057691B">
        <w:rPr>
          <w:rFonts w:ascii="Palatino Linotype" w:eastAsia="Palatino Linotype" w:hAnsi="Palatino Linotype" w:cs="Palatino Linotype"/>
          <w:sz w:val="22"/>
          <w:szCs w:val="22"/>
        </w:rPr>
        <w:t>, para su análisis, estudio, elaboración del proyecto y presentación ante el Pleno de este Instituto.</w:t>
      </w:r>
    </w:p>
    <w:p w14:paraId="5BFE6F75" w14:textId="77777777" w:rsidR="00C877F6" w:rsidRPr="0057691B" w:rsidRDefault="00C877F6">
      <w:pPr>
        <w:spacing w:line="360" w:lineRule="auto"/>
        <w:jc w:val="both"/>
        <w:rPr>
          <w:rFonts w:ascii="Palatino Linotype" w:eastAsia="Palatino Linotype" w:hAnsi="Palatino Linotype" w:cs="Palatino Linotype"/>
          <w:sz w:val="22"/>
          <w:szCs w:val="22"/>
        </w:rPr>
      </w:pPr>
    </w:p>
    <w:p w14:paraId="4B06CA9F" w14:textId="710A8210" w:rsidR="00C877F6" w:rsidRPr="0057691B" w:rsidRDefault="00D31D89">
      <w:pPr>
        <w:spacing w:line="360" w:lineRule="auto"/>
        <w:jc w:val="both"/>
        <w:rPr>
          <w:rFonts w:ascii="Palatino Linotype" w:eastAsia="Palatino Linotype" w:hAnsi="Palatino Linotype" w:cs="Palatino Linotype"/>
          <w:b/>
          <w:sz w:val="22"/>
          <w:szCs w:val="22"/>
        </w:rPr>
      </w:pPr>
      <w:r w:rsidRPr="0057691B">
        <w:rPr>
          <w:rFonts w:ascii="Palatino Linotype" w:eastAsia="Palatino Linotype" w:hAnsi="Palatino Linotype" w:cs="Palatino Linotype"/>
          <w:b/>
          <w:sz w:val="22"/>
          <w:szCs w:val="22"/>
        </w:rPr>
        <w:t>5</w:t>
      </w:r>
      <w:r w:rsidR="00F36565" w:rsidRPr="0057691B">
        <w:rPr>
          <w:rFonts w:ascii="Palatino Linotype" w:eastAsia="Palatino Linotype" w:hAnsi="Palatino Linotype" w:cs="Palatino Linotype"/>
          <w:b/>
          <w:sz w:val="22"/>
          <w:szCs w:val="22"/>
        </w:rPr>
        <w:t xml:space="preserve">. Admisión. </w:t>
      </w:r>
      <w:r w:rsidR="00F36565" w:rsidRPr="0057691B">
        <w:rPr>
          <w:rFonts w:ascii="Palatino Linotype" w:eastAsia="Palatino Linotype" w:hAnsi="Palatino Linotype" w:cs="Palatino Linotype"/>
          <w:sz w:val="22"/>
          <w:szCs w:val="22"/>
        </w:rPr>
        <w:t xml:space="preserve">El </w:t>
      </w:r>
      <w:r w:rsidR="00FE3CAA" w:rsidRPr="0057691B">
        <w:rPr>
          <w:rFonts w:ascii="Palatino Linotype" w:eastAsia="Palatino Linotype" w:hAnsi="Palatino Linotype" w:cs="Palatino Linotype"/>
          <w:b/>
          <w:bCs/>
          <w:sz w:val="22"/>
          <w:szCs w:val="22"/>
        </w:rPr>
        <w:t>trece de agosto</w:t>
      </w:r>
      <w:r w:rsidR="00B44028" w:rsidRPr="0057691B">
        <w:rPr>
          <w:rFonts w:ascii="Palatino Linotype" w:eastAsia="Palatino Linotype" w:hAnsi="Palatino Linotype" w:cs="Palatino Linotype"/>
          <w:b/>
          <w:sz w:val="22"/>
          <w:szCs w:val="22"/>
        </w:rPr>
        <w:t xml:space="preserve"> de dos mil veintiséis</w:t>
      </w:r>
      <w:r w:rsidR="00F36565" w:rsidRPr="0057691B">
        <w:rPr>
          <w:rFonts w:ascii="Palatino Linotype" w:eastAsia="Palatino Linotype" w:hAnsi="Palatino Linotype" w:cs="Palatino Linotype"/>
          <w:sz w:val="22"/>
          <w:szCs w:val="22"/>
        </w:rPr>
        <w:t>, en términos de lo dispuesto en el artículo 185 fracciones I, II y IV de la Ley de Transparencia y Acceso a la Información Pública del Estado de México y Municipios, se admitió a trámite el recurso de revisión</w:t>
      </w:r>
      <w:r w:rsidR="00F36565" w:rsidRPr="0057691B">
        <w:rPr>
          <w:rFonts w:ascii="Palatino Linotype" w:eastAsia="Palatino Linotype" w:hAnsi="Palatino Linotype" w:cs="Palatino Linotype"/>
          <w:b/>
          <w:sz w:val="22"/>
          <w:szCs w:val="22"/>
        </w:rPr>
        <w:t>.</w:t>
      </w:r>
      <w:r w:rsidR="005A668A" w:rsidRPr="0057691B">
        <w:rPr>
          <w:rFonts w:ascii="Palatino Linotype" w:eastAsia="Palatino Linotype" w:hAnsi="Palatino Linotype" w:cs="Palatino Linotype"/>
          <w:b/>
          <w:sz w:val="22"/>
          <w:szCs w:val="22"/>
        </w:rPr>
        <w:t xml:space="preserve"> </w:t>
      </w:r>
    </w:p>
    <w:p w14:paraId="5E981DE9" w14:textId="77777777" w:rsidR="00C877F6" w:rsidRPr="0057691B" w:rsidRDefault="00C877F6">
      <w:pPr>
        <w:spacing w:line="360" w:lineRule="auto"/>
        <w:jc w:val="both"/>
        <w:rPr>
          <w:rFonts w:ascii="Palatino Linotype" w:eastAsia="Palatino Linotype" w:hAnsi="Palatino Linotype" w:cs="Palatino Linotype"/>
          <w:b/>
          <w:sz w:val="22"/>
          <w:szCs w:val="22"/>
        </w:rPr>
      </w:pPr>
    </w:p>
    <w:p w14:paraId="6ECCF73C" w14:textId="752CC1F6" w:rsidR="00FE3CAA" w:rsidRPr="0057691B" w:rsidRDefault="00D31D89">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6</w:t>
      </w:r>
      <w:r w:rsidR="00F36565" w:rsidRPr="0057691B">
        <w:rPr>
          <w:rFonts w:ascii="Palatino Linotype" w:eastAsia="Palatino Linotype" w:hAnsi="Palatino Linotype" w:cs="Palatino Linotype"/>
          <w:b/>
          <w:sz w:val="22"/>
          <w:szCs w:val="22"/>
        </w:rPr>
        <w:t>. Manifestaciones.</w:t>
      </w:r>
      <w:r w:rsidR="00F36565" w:rsidRPr="0057691B">
        <w:rPr>
          <w:rFonts w:ascii="Palatino Linotype" w:eastAsia="Palatino Linotype" w:hAnsi="Palatino Linotype" w:cs="Palatino Linotype"/>
          <w:sz w:val="22"/>
          <w:szCs w:val="22"/>
        </w:rPr>
        <w:t xml:space="preserve"> De las constancias que obran en el expediente electrónico del SAIMEX, se advierte que</w:t>
      </w:r>
      <w:r w:rsidR="00FE3CAA" w:rsidRPr="0057691B">
        <w:rPr>
          <w:rFonts w:ascii="Palatino Linotype" w:eastAsia="Palatino Linotype" w:hAnsi="Palatino Linotype" w:cs="Palatino Linotype"/>
          <w:sz w:val="22"/>
          <w:szCs w:val="22"/>
        </w:rPr>
        <w:t xml:space="preserve"> tanto</w:t>
      </w:r>
      <w:r w:rsidR="00F36565" w:rsidRPr="0057691B">
        <w:rPr>
          <w:rFonts w:ascii="Palatino Linotype" w:eastAsia="Palatino Linotype" w:hAnsi="Palatino Linotype" w:cs="Palatino Linotype"/>
          <w:sz w:val="22"/>
          <w:szCs w:val="22"/>
        </w:rPr>
        <w:t xml:space="preserve"> el Sujeto Obligado </w:t>
      </w:r>
      <w:r w:rsidR="00FE3CAA" w:rsidRPr="0057691B">
        <w:rPr>
          <w:rFonts w:ascii="Palatino Linotype" w:eastAsia="Palatino Linotype" w:hAnsi="Palatino Linotype" w:cs="Palatino Linotype"/>
          <w:sz w:val="22"/>
          <w:szCs w:val="22"/>
        </w:rPr>
        <w:t>como el Recurrente fueron omisos en realizar manifestaciones, presentar alegatos o informe justificado, como se muestra a continuación:</w:t>
      </w:r>
    </w:p>
    <w:p w14:paraId="5119E417" w14:textId="77777777" w:rsidR="00FE3CAA" w:rsidRPr="0057691B" w:rsidRDefault="00FE3CAA">
      <w:pPr>
        <w:spacing w:line="360" w:lineRule="auto"/>
        <w:jc w:val="both"/>
        <w:rPr>
          <w:rFonts w:ascii="Palatino Linotype" w:eastAsia="Palatino Linotype" w:hAnsi="Palatino Linotype" w:cs="Palatino Linotype"/>
          <w:sz w:val="22"/>
          <w:szCs w:val="22"/>
        </w:rPr>
      </w:pPr>
    </w:p>
    <w:p w14:paraId="69502B95" w14:textId="2183255B" w:rsidR="00FE3CAA" w:rsidRPr="0057691B" w:rsidRDefault="00FE3CAA">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noProof/>
          <w:sz w:val="22"/>
          <w:szCs w:val="22"/>
        </w:rPr>
        <w:drawing>
          <wp:inline distT="0" distB="0" distL="0" distR="0" wp14:anchorId="3F3CCE6E" wp14:editId="24A8BA7F">
            <wp:extent cx="5756275" cy="15748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6275" cy="1574800"/>
                    </a:xfrm>
                    <a:prstGeom prst="rect">
                      <a:avLst/>
                    </a:prstGeom>
                  </pic:spPr>
                </pic:pic>
              </a:graphicData>
            </a:graphic>
          </wp:inline>
        </w:drawing>
      </w:r>
    </w:p>
    <w:p w14:paraId="31E83852" w14:textId="77777777" w:rsidR="008B4CE7" w:rsidRPr="0057691B" w:rsidRDefault="008B4CE7">
      <w:p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p>
    <w:p w14:paraId="646D2EDF" w14:textId="585ABB26" w:rsidR="00C877F6" w:rsidRPr="0057691B" w:rsidRDefault="00FE3CAA">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7</w:t>
      </w:r>
      <w:r w:rsidR="00F36565" w:rsidRPr="0057691B">
        <w:rPr>
          <w:rFonts w:ascii="Palatino Linotype" w:eastAsia="Palatino Linotype" w:hAnsi="Palatino Linotype" w:cs="Palatino Linotype"/>
          <w:b/>
          <w:sz w:val="22"/>
          <w:szCs w:val="22"/>
        </w:rPr>
        <w:t>. Cierre de instrucción</w:t>
      </w:r>
      <w:r w:rsidR="00F36565" w:rsidRPr="0057691B">
        <w:rPr>
          <w:rFonts w:ascii="Palatino Linotype" w:eastAsia="Palatino Linotype" w:hAnsi="Palatino Linotype" w:cs="Palatino Linotype"/>
          <w:sz w:val="22"/>
          <w:szCs w:val="22"/>
        </w:rPr>
        <w:t xml:space="preserve">. En fecha </w:t>
      </w:r>
      <w:r w:rsidRPr="0057691B">
        <w:rPr>
          <w:rFonts w:ascii="Palatino Linotype" w:eastAsia="Palatino Linotype" w:hAnsi="Palatino Linotype" w:cs="Palatino Linotype"/>
          <w:b/>
          <w:sz w:val="22"/>
          <w:szCs w:val="22"/>
        </w:rPr>
        <w:t>diecisiete de septiembre</w:t>
      </w:r>
      <w:r w:rsidR="00F36565" w:rsidRPr="0057691B">
        <w:rPr>
          <w:rFonts w:ascii="Palatino Linotype" w:eastAsia="Palatino Linotype" w:hAnsi="Palatino Linotype" w:cs="Palatino Linotype"/>
          <w:b/>
          <w:sz w:val="22"/>
          <w:szCs w:val="22"/>
        </w:rPr>
        <w:t xml:space="preserve"> de dos mil veinti</w:t>
      </w:r>
      <w:r w:rsidR="00E111DF" w:rsidRPr="0057691B">
        <w:rPr>
          <w:rFonts w:ascii="Palatino Linotype" w:eastAsia="Palatino Linotype" w:hAnsi="Palatino Linotype" w:cs="Palatino Linotype"/>
          <w:b/>
          <w:sz w:val="22"/>
          <w:szCs w:val="22"/>
        </w:rPr>
        <w:t>séis</w:t>
      </w:r>
      <w:r w:rsidR="00F36565" w:rsidRPr="0057691B">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4BAC11C7" w14:textId="77777777" w:rsidR="00C877F6" w:rsidRPr="0057691B" w:rsidRDefault="00C877F6">
      <w:pPr>
        <w:spacing w:line="360" w:lineRule="auto"/>
        <w:ind w:right="49"/>
        <w:jc w:val="both"/>
        <w:rPr>
          <w:rFonts w:ascii="Palatino Linotype" w:eastAsia="Palatino Linotype" w:hAnsi="Palatino Linotype" w:cs="Palatino Linotype"/>
          <w:sz w:val="22"/>
          <w:szCs w:val="22"/>
        </w:rPr>
      </w:pPr>
    </w:p>
    <w:p w14:paraId="2332E74C" w14:textId="1BEBEA7B" w:rsidR="00C877F6" w:rsidRPr="0057691B" w:rsidRDefault="00F36565">
      <w:pPr>
        <w:spacing w:line="360" w:lineRule="auto"/>
        <w:ind w:right="49"/>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Debido a que fue</w:t>
      </w:r>
      <w:r w:rsidR="008D5D61" w:rsidRPr="0057691B">
        <w:rPr>
          <w:rFonts w:ascii="Palatino Linotype" w:eastAsia="Palatino Linotype" w:hAnsi="Palatino Linotype" w:cs="Palatino Linotype"/>
          <w:sz w:val="22"/>
          <w:szCs w:val="22"/>
        </w:rPr>
        <w:t xml:space="preserve"> debidamente sustanciado</w:t>
      </w:r>
      <w:r w:rsidRPr="0057691B">
        <w:rPr>
          <w:rFonts w:ascii="Palatino Linotype" w:eastAsia="Palatino Linotype" w:hAnsi="Palatino Linotype" w:cs="Palatino Linotype"/>
          <w:sz w:val="22"/>
          <w:szCs w:val="22"/>
        </w:rPr>
        <w:t xml:space="preserve"> </w:t>
      </w:r>
      <w:r w:rsidR="008D5D61" w:rsidRPr="0057691B">
        <w:rPr>
          <w:rFonts w:ascii="Palatino Linotype" w:eastAsia="Palatino Linotype" w:hAnsi="Palatino Linotype" w:cs="Palatino Linotype"/>
          <w:sz w:val="22"/>
          <w:szCs w:val="22"/>
        </w:rPr>
        <w:tab/>
        <w:t>el</w:t>
      </w:r>
      <w:r w:rsidRPr="0057691B">
        <w:rPr>
          <w:rFonts w:ascii="Palatino Linotype" w:eastAsia="Palatino Linotype" w:hAnsi="Palatino Linotype" w:cs="Palatino Linotype"/>
          <w:sz w:val="22"/>
          <w:szCs w:val="22"/>
        </w:rPr>
        <w:t xml:space="preserve"> expediente electrónico y no existe diligencia pendiente de desahogo, se emite la Resolución que conforme a Derecho proceda, de acuerdo con los siguientes: </w:t>
      </w:r>
    </w:p>
    <w:p w14:paraId="76DFC1EA" w14:textId="77777777" w:rsidR="008360A2" w:rsidRPr="0057691B" w:rsidRDefault="008360A2">
      <w:pPr>
        <w:spacing w:line="360" w:lineRule="auto"/>
        <w:ind w:right="49"/>
        <w:jc w:val="both"/>
        <w:rPr>
          <w:rFonts w:ascii="Palatino Linotype" w:eastAsia="Palatino Linotype" w:hAnsi="Palatino Linotype" w:cs="Palatino Linotype"/>
          <w:sz w:val="22"/>
          <w:szCs w:val="22"/>
        </w:rPr>
      </w:pPr>
    </w:p>
    <w:p w14:paraId="17694FE8" w14:textId="549072A2" w:rsidR="00C877F6" w:rsidRPr="0057691B" w:rsidRDefault="00F36565" w:rsidP="009A113E">
      <w:pPr>
        <w:spacing w:line="360" w:lineRule="auto"/>
        <w:ind w:left="720" w:right="49" w:hanging="720"/>
        <w:jc w:val="center"/>
        <w:rPr>
          <w:rFonts w:ascii="Palatino Linotype" w:eastAsia="Palatino Linotype" w:hAnsi="Palatino Linotype" w:cs="Palatino Linotype"/>
          <w:b/>
          <w:sz w:val="22"/>
          <w:szCs w:val="22"/>
        </w:rPr>
      </w:pPr>
      <w:r w:rsidRPr="0057691B">
        <w:rPr>
          <w:rFonts w:ascii="Palatino Linotype" w:eastAsia="Palatino Linotype" w:hAnsi="Palatino Linotype" w:cs="Palatino Linotype"/>
          <w:b/>
          <w:sz w:val="22"/>
          <w:szCs w:val="22"/>
        </w:rPr>
        <w:t>II.</w:t>
      </w:r>
      <w:r w:rsidRPr="0057691B">
        <w:rPr>
          <w:rFonts w:ascii="Palatino Linotype" w:eastAsia="Palatino Linotype" w:hAnsi="Palatino Linotype" w:cs="Palatino Linotype"/>
          <w:b/>
          <w:sz w:val="22"/>
          <w:szCs w:val="22"/>
        </w:rPr>
        <w:tab/>
        <w:t>C O N S I D E R A N D O:</w:t>
      </w:r>
      <w:r w:rsidR="00351E01" w:rsidRPr="0057691B">
        <w:rPr>
          <w:rFonts w:ascii="Palatino Linotype" w:eastAsia="Palatino Linotype" w:hAnsi="Palatino Linotype" w:cs="Palatino Linotype"/>
          <w:b/>
          <w:sz w:val="22"/>
          <w:szCs w:val="22"/>
        </w:rPr>
        <w:t xml:space="preserve"> </w:t>
      </w:r>
    </w:p>
    <w:p w14:paraId="3E2B3FBD" w14:textId="77777777" w:rsidR="00C877F6" w:rsidRPr="0057691B" w:rsidRDefault="00C877F6">
      <w:pPr>
        <w:spacing w:line="360" w:lineRule="auto"/>
        <w:ind w:right="49"/>
        <w:jc w:val="both"/>
        <w:rPr>
          <w:rFonts w:ascii="Palatino Linotype" w:eastAsia="Palatino Linotype" w:hAnsi="Palatino Linotype" w:cs="Palatino Linotype"/>
          <w:sz w:val="22"/>
          <w:szCs w:val="22"/>
        </w:rPr>
      </w:pPr>
    </w:p>
    <w:p w14:paraId="1C3901F1" w14:textId="77777777" w:rsidR="00C877F6" w:rsidRPr="0057691B" w:rsidRDefault="00F36565">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Primero. Competencia.</w:t>
      </w:r>
      <w:r w:rsidRPr="0057691B">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520C2A94" w14:textId="77777777" w:rsidR="00C877F6" w:rsidRPr="0057691B" w:rsidRDefault="00F36565">
      <w:pPr>
        <w:spacing w:before="240" w:after="240"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 xml:space="preserve">Segundo. Oportunidad y Procedibilidad del Recurso de Revisión. </w:t>
      </w:r>
      <w:r w:rsidRPr="0057691B">
        <w:rPr>
          <w:rFonts w:ascii="Palatino Linotype" w:eastAsia="Palatino Linotype" w:hAnsi="Palatino Linotype" w:cs="Palatino Linotype"/>
          <w:sz w:val="22"/>
          <w:szCs w:val="22"/>
        </w:rPr>
        <w:t>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37CA5A2A" w14:textId="77777777" w:rsidR="00C877F6" w:rsidRPr="0057691B" w:rsidRDefault="00F36565">
      <w:pPr>
        <w:spacing w:before="240" w:after="240"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Al respecto la Ley de Transparencia y Acceso a la Información Pública del Estado de México y Municipios, establece lo siguiente:</w:t>
      </w:r>
    </w:p>
    <w:p w14:paraId="68F1D466" w14:textId="77777777" w:rsidR="00C877F6" w:rsidRPr="0057691B" w:rsidRDefault="00F36565">
      <w:pPr>
        <w:spacing w:line="360" w:lineRule="auto"/>
        <w:ind w:left="851" w:right="900"/>
        <w:jc w:val="both"/>
        <w:rPr>
          <w:rFonts w:ascii="Palatino Linotype" w:eastAsia="Palatino Linotype" w:hAnsi="Palatino Linotype" w:cs="Palatino Linotype"/>
          <w:i/>
          <w:sz w:val="22"/>
          <w:szCs w:val="22"/>
        </w:rPr>
      </w:pPr>
      <w:r w:rsidRPr="0057691B">
        <w:rPr>
          <w:rFonts w:ascii="Palatino Linotype" w:eastAsia="Palatino Linotype" w:hAnsi="Palatino Linotype" w:cs="Palatino Linotype"/>
          <w:b/>
          <w:i/>
          <w:sz w:val="22"/>
          <w:szCs w:val="22"/>
        </w:rPr>
        <w:t xml:space="preserve">“Artículo 178. </w:t>
      </w:r>
      <w:r w:rsidRPr="0057691B">
        <w:rPr>
          <w:rFonts w:ascii="Palatino Linotype" w:eastAsia="Palatino Linotype" w:hAnsi="Palatino Linotype" w:cs="Palatino Linotype"/>
          <w:i/>
          <w:sz w:val="22"/>
          <w:szCs w:val="22"/>
        </w:rPr>
        <w:t>El solicitante podrá interponer, por sí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w:t>
      </w:r>
    </w:p>
    <w:p w14:paraId="18CC521E" w14:textId="19CAFF43" w:rsidR="00B420A7" w:rsidRPr="0057691B" w:rsidRDefault="00F36565">
      <w:pPr>
        <w:spacing w:before="240" w:after="240" w:line="360" w:lineRule="auto"/>
        <w:ind w:right="49"/>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 xml:space="preserve">Del precepto legal transcrito, se desprende que cuando los solicitantes de información en el ejercicio del derecho de acceso a la información no se encuentren satisfechos con la información entregada por los sujetos obligados, podrán interponer recurso de revisión de manera directa o por medios electrónicos dentro de los quince días hábiles siguientes a la fecha de notificación de la respuesta, y, toda vez que el </w:t>
      </w:r>
      <w:r w:rsidRPr="0057691B">
        <w:rPr>
          <w:rFonts w:ascii="Palatino Linotype" w:eastAsia="Palatino Linotype" w:hAnsi="Palatino Linotype" w:cs="Palatino Linotype"/>
          <w:b/>
          <w:sz w:val="22"/>
          <w:szCs w:val="22"/>
        </w:rPr>
        <w:t>SUJETO OBLIGADO</w:t>
      </w:r>
      <w:r w:rsidRPr="0057691B">
        <w:rPr>
          <w:rFonts w:ascii="Palatino Linotype" w:eastAsia="Palatino Linotype" w:hAnsi="Palatino Linotype" w:cs="Palatino Linotype"/>
          <w:sz w:val="22"/>
          <w:szCs w:val="22"/>
        </w:rPr>
        <w:t xml:space="preserve"> remitió la respuesta a la solicitud de información el día </w:t>
      </w:r>
      <w:r w:rsidR="00A30797" w:rsidRPr="0057691B">
        <w:rPr>
          <w:rFonts w:ascii="Palatino Linotype" w:eastAsia="Palatino Linotype" w:hAnsi="Palatino Linotype" w:cs="Palatino Linotype"/>
          <w:b/>
          <w:sz w:val="22"/>
          <w:szCs w:val="22"/>
        </w:rPr>
        <w:t>seis</w:t>
      </w:r>
      <w:r w:rsidR="00E415ED" w:rsidRPr="0057691B">
        <w:rPr>
          <w:rFonts w:ascii="Palatino Linotype" w:eastAsia="Palatino Linotype" w:hAnsi="Palatino Linotype" w:cs="Palatino Linotype"/>
          <w:b/>
          <w:bCs/>
          <w:sz w:val="22"/>
          <w:szCs w:val="22"/>
        </w:rPr>
        <w:t xml:space="preserve"> de </w:t>
      </w:r>
      <w:r w:rsidR="00A30797" w:rsidRPr="0057691B">
        <w:rPr>
          <w:rFonts w:ascii="Palatino Linotype" w:eastAsia="Palatino Linotype" w:hAnsi="Palatino Linotype" w:cs="Palatino Linotype"/>
          <w:b/>
          <w:bCs/>
          <w:sz w:val="22"/>
          <w:szCs w:val="22"/>
        </w:rPr>
        <w:t>agosto</w:t>
      </w:r>
      <w:r w:rsidR="008E4A90" w:rsidRPr="0057691B">
        <w:rPr>
          <w:rFonts w:ascii="Palatino Linotype" w:eastAsia="Palatino Linotype" w:hAnsi="Palatino Linotype" w:cs="Palatino Linotype"/>
          <w:b/>
          <w:sz w:val="22"/>
          <w:szCs w:val="22"/>
        </w:rPr>
        <w:t xml:space="preserve"> </w:t>
      </w:r>
      <w:r w:rsidRPr="0057691B">
        <w:rPr>
          <w:rFonts w:ascii="Palatino Linotype" w:eastAsia="Palatino Linotype" w:hAnsi="Palatino Linotype" w:cs="Palatino Linotype"/>
          <w:b/>
          <w:sz w:val="22"/>
          <w:szCs w:val="22"/>
        </w:rPr>
        <w:t>de dos mil veinti</w:t>
      </w:r>
      <w:r w:rsidR="00F411E7" w:rsidRPr="0057691B">
        <w:rPr>
          <w:rFonts w:ascii="Palatino Linotype" w:eastAsia="Palatino Linotype" w:hAnsi="Palatino Linotype" w:cs="Palatino Linotype"/>
          <w:b/>
          <w:sz w:val="22"/>
          <w:szCs w:val="22"/>
        </w:rPr>
        <w:t>séis</w:t>
      </w:r>
      <w:r w:rsidRPr="0057691B">
        <w:rPr>
          <w:rFonts w:ascii="Palatino Linotype" w:eastAsia="Palatino Linotype" w:hAnsi="Palatino Linotype" w:cs="Palatino Linotype"/>
          <w:b/>
          <w:sz w:val="22"/>
          <w:szCs w:val="22"/>
        </w:rPr>
        <w:t xml:space="preserve">, </w:t>
      </w:r>
      <w:r w:rsidRPr="0057691B">
        <w:rPr>
          <w:rFonts w:ascii="Palatino Linotype" w:eastAsia="Palatino Linotype" w:hAnsi="Palatino Linotype" w:cs="Palatino Linotype"/>
          <w:sz w:val="22"/>
          <w:szCs w:val="22"/>
        </w:rPr>
        <w:t xml:space="preserve">mientras que el recurso de revisión interpuesto por la parte </w:t>
      </w:r>
      <w:r w:rsidRPr="0057691B">
        <w:rPr>
          <w:rFonts w:ascii="Palatino Linotype" w:eastAsia="Palatino Linotype" w:hAnsi="Palatino Linotype" w:cs="Palatino Linotype"/>
          <w:b/>
          <w:sz w:val="22"/>
          <w:szCs w:val="22"/>
        </w:rPr>
        <w:t>RECURRENTE</w:t>
      </w:r>
      <w:r w:rsidRPr="0057691B">
        <w:rPr>
          <w:rFonts w:ascii="Palatino Linotype" w:eastAsia="Palatino Linotype" w:hAnsi="Palatino Linotype" w:cs="Palatino Linotype"/>
          <w:sz w:val="22"/>
          <w:szCs w:val="22"/>
        </w:rPr>
        <w:t xml:space="preserve">, se tuvo por presentado el </w:t>
      </w:r>
      <w:r w:rsidR="00A30797" w:rsidRPr="0057691B">
        <w:rPr>
          <w:rFonts w:ascii="Palatino Linotype" w:eastAsia="Palatino Linotype" w:hAnsi="Palatino Linotype" w:cs="Palatino Linotype"/>
          <w:b/>
          <w:sz w:val="22"/>
          <w:szCs w:val="22"/>
        </w:rPr>
        <w:t>doce</w:t>
      </w:r>
      <w:r w:rsidR="00B420A7" w:rsidRPr="0057691B">
        <w:rPr>
          <w:rFonts w:ascii="Palatino Linotype" w:eastAsia="Palatino Linotype" w:hAnsi="Palatino Linotype" w:cs="Palatino Linotype"/>
          <w:b/>
          <w:bCs/>
          <w:sz w:val="22"/>
          <w:szCs w:val="22"/>
        </w:rPr>
        <w:t xml:space="preserve"> de </w:t>
      </w:r>
      <w:r w:rsidR="00A30797" w:rsidRPr="0057691B">
        <w:rPr>
          <w:rFonts w:ascii="Palatino Linotype" w:eastAsia="Palatino Linotype" w:hAnsi="Palatino Linotype" w:cs="Palatino Linotype"/>
          <w:b/>
          <w:bCs/>
          <w:sz w:val="22"/>
          <w:szCs w:val="22"/>
        </w:rPr>
        <w:t>agosto</w:t>
      </w:r>
      <w:r w:rsidR="00B420A7" w:rsidRPr="0057691B">
        <w:rPr>
          <w:rFonts w:ascii="Palatino Linotype" w:eastAsia="Palatino Linotype" w:hAnsi="Palatino Linotype" w:cs="Palatino Linotype"/>
          <w:b/>
          <w:sz w:val="22"/>
          <w:szCs w:val="22"/>
        </w:rPr>
        <w:t xml:space="preserve"> </w:t>
      </w:r>
      <w:r w:rsidRPr="0057691B">
        <w:rPr>
          <w:rFonts w:ascii="Palatino Linotype" w:eastAsia="Palatino Linotype" w:hAnsi="Palatino Linotype" w:cs="Palatino Linotype"/>
          <w:b/>
          <w:sz w:val="22"/>
          <w:szCs w:val="22"/>
        </w:rPr>
        <w:t>del año dos mil veinti</w:t>
      </w:r>
      <w:r w:rsidR="008B4CE7" w:rsidRPr="0057691B">
        <w:rPr>
          <w:rFonts w:ascii="Palatino Linotype" w:eastAsia="Palatino Linotype" w:hAnsi="Palatino Linotype" w:cs="Palatino Linotype"/>
          <w:b/>
          <w:sz w:val="22"/>
          <w:szCs w:val="22"/>
        </w:rPr>
        <w:t>séis</w:t>
      </w:r>
      <w:r w:rsidRPr="0057691B">
        <w:rPr>
          <w:rFonts w:ascii="Palatino Linotype" w:eastAsia="Palatino Linotype" w:hAnsi="Palatino Linotype" w:cs="Palatino Linotype"/>
          <w:sz w:val="22"/>
          <w:szCs w:val="22"/>
        </w:rPr>
        <w:t>; esto es,</w:t>
      </w:r>
      <w:r w:rsidR="00A30797" w:rsidRPr="0057691B">
        <w:rPr>
          <w:rFonts w:ascii="Palatino Linotype" w:eastAsia="Palatino Linotype" w:hAnsi="Palatino Linotype" w:cs="Palatino Linotype"/>
          <w:sz w:val="22"/>
          <w:szCs w:val="22"/>
        </w:rPr>
        <w:t xml:space="preserve"> al cuarto </w:t>
      </w:r>
      <w:r w:rsidR="00B420A7" w:rsidRPr="0057691B">
        <w:rPr>
          <w:rFonts w:ascii="Palatino Linotype" w:eastAsia="Palatino Linotype" w:hAnsi="Palatino Linotype" w:cs="Palatino Linotype"/>
          <w:sz w:val="22"/>
          <w:szCs w:val="22"/>
        </w:rPr>
        <w:t xml:space="preserve">día </w:t>
      </w:r>
      <w:r w:rsidRPr="0057691B">
        <w:rPr>
          <w:rFonts w:ascii="Palatino Linotype" w:eastAsia="Palatino Linotype" w:hAnsi="Palatino Linotype" w:cs="Palatino Linotype"/>
          <w:sz w:val="22"/>
          <w:szCs w:val="22"/>
        </w:rPr>
        <w:t>que se tuvo conocimiento de la respuesta</w:t>
      </w:r>
      <w:r w:rsidR="00B420A7" w:rsidRPr="0057691B">
        <w:rPr>
          <w:rFonts w:ascii="Palatino Linotype" w:eastAsia="Palatino Linotype" w:hAnsi="Palatino Linotype" w:cs="Palatino Linotype"/>
          <w:sz w:val="22"/>
          <w:szCs w:val="22"/>
        </w:rPr>
        <w:t>.</w:t>
      </w:r>
    </w:p>
    <w:p w14:paraId="3E440070" w14:textId="77777777" w:rsidR="00C877F6" w:rsidRPr="0057691B" w:rsidRDefault="00F36565">
      <w:pPr>
        <w:spacing w:before="240" w:after="240" w:line="360" w:lineRule="auto"/>
        <w:ind w:right="49"/>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Así también, por cuanto hace a la procedibilidad del recurso de revisión, una vez realizado el análisis de los formatos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7CD30A84" w14:textId="6670C63E" w:rsidR="00C877F6" w:rsidRPr="0057691B" w:rsidRDefault="00F36565">
      <w:pPr>
        <w:spacing w:before="240" w:after="240"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Asimismo, resulta procedente la interposición del recurso de revisión al rubro anotado, toda vez que se actualiza las hipótesis prevista</w:t>
      </w:r>
      <w:r w:rsidR="00923A7C" w:rsidRPr="0057691B">
        <w:rPr>
          <w:rFonts w:ascii="Palatino Linotype" w:eastAsia="Palatino Linotype" w:hAnsi="Palatino Linotype" w:cs="Palatino Linotype"/>
          <w:sz w:val="22"/>
          <w:szCs w:val="22"/>
        </w:rPr>
        <w:t xml:space="preserve">s en el artículo 179, fracción </w:t>
      </w:r>
      <w:r w:rsidR="00DE5222" w:rsidRPr="0057691B">
        <w:rPr>
          <w:rFonts w:ascii="Palatino Linotype" w:eastAsia="Palatino Linotype" w:hAnsi="Palatino Linotype" w:cs="Palatino Linotype"/>
          <w:sz w:val="22"/>
          <w:szCs w:val="22"/>
        </w:rPr>
        <w:t>I</w:t>
      </w:r>
      <w:r w:rsidRPr="0057691B">
        <w:rPr>
          <w:rFonts w:ascii="Palatino Linotype" w:eastAsia="Palatino Linotype" w:hAnsi="Palatino Linotype" w:cs="Palatino Linotype"/>
          <w:sz w:val="22"/>
          <w:szCs w:val="22"/>
        </w:rPr>
        <w:t xml:space="preserve"> de la ley de la materia, que a la letra dice:</w:t>
      </w:r>
    </w:p>
    <w:p w14:paraId="47475447" w14:textId="77777777" w:rsidR="00C877F6" w:rsidRPr="0057691B" w:rsidRDefault="00F36565">
      <w:pPr>
        <w:spacing w:line="360" w:lineRule="auto"/>
        <w:ind w:left="851" w:right="1041"/>
        <w:jc w:val="both"/>
        <w:rPr>
          <w:rFonts w:ascii="Palatino Linotype" w:eastAsia="Palatino Linotype" w:hAnsi="Palatino Linotype" w:cs="Palatino Linotype"/>
          <w:i/>
          <w:sz w:val="22"/>
          <w:szCs w:val="22"/>
        </w:rPr>
      </w:pPr>
      <w:r w:rsidRPr="0057691B">
        <w:rPr>
          <w:rFonts w:ascii="Palatino Linotype" w:eastAsia="Palatino Linotype" w:hAnsi="Palatino Linotype" w:cs="Palatino Linotype"/>
          <w:i/>
          <w:sz w:val="22"/>
          <w:szCs w:val="22"/>
        </w:rPr>
        <w:t>“</w:t>
      </w:r>
      <w:r w:rsidRPr="0057691B">
        <w:rPr>
          <w:rFonts w:ascii="Palatino Linotype" w:eastAsia="Palatino Linotype" w:hAnsi="Palatino Linotype" w:cs="Palatino Linotype"/>
          <w:b/>
          <w:i/>
          <w:sz w:val="22"/>
          <w:szCs w:val="22"/>
        </w:rPr>
        <w:t xml:space="preserve">Artículo 179. </w:t>
      </w:r>
      <w:r w:rsidRPr="0057691B">
        <w:rPr>
          <w:rFonts w:ascii="Palatino Linotype" w:eastAsia="Palatino Linotype" w:hAnsi="Palatino Linotype" w:cs="Palatino Linotype"/>
          <w:i/>
          <w:sz w:val="22"/>
          <w:szCs w:val="22"/>
        </w:rPr>
        <w:t>El recurso de revisión es un medio de protección que la Ley otorga a los particulares, para hacer valer su derecho de acceso a la información pública, y procederá en contra de las siguientes causas:</w:t>
      </w:r>
    </w:p>
    <w:p w14:paraId="3BF356AD" w14:textId="77777777" w:rsidR="00DE5222" w:rsidRPr="0057691B" w:rsidRDefault="00DE5222">
      <w:pPr>
        <w:spacing w:line="360" w:lineRule="auto"/>
        <w:ind w:left="851" w:right="1041"/>
        <w:jc w:val="both"/>
        <w:rPr>
          <w:rFonts w:ascii="Palatino Linotype" w:eastAsia="Palatino Linotype" w:hAnsi="Palatino Linotype" w:cs="Palatino Linotype"/>
          <w:i/>
          <w:sz w:val="22"/>
          <w:szCs w:val="22"/>
        </w:rPr>
      </w:pPr>
      <w:r w:rsidRPr="0057691B">
        <w:rPr>
          <w:rFonts w:ascii="Palatino Linotype" w:eastAsia="Palatino Linotype" w:hAnsi="Palatino Linotype" w:cs="Palatino Linotype"/>
          <w:i/>
          <w:sz w:val="22"/>
          <w:szCs w:val="22"/>
        </w:rPr>
        <w:t>I. La negativa a la información solicitada</w:t>
      </w:r>
    </w:p>
    <w:p w14:paraId="645316F6" w14:textId="77777777" w:rsidR="00EA240E" w:rsidRPr="0057691B" w:rsidRDefault="00EA240E" w:rsidP="00EA240E">
      <w:pPr>
        <w:pStyle w:val="NormalWeb"/>
        <w:spacing w:before="240" w:beforeAutospacing="0" w:after="240" w:afterAutospacing="0" w:line="360" w:lineRule="auto"/>
        <w:jc w:val="both"/>
        <w:rPr>
          <w:rFonts w:ascii="Palatino Linotype" w:hAnsi="Palatino Linotype"/>
          <w:sz w:val="22"/>
          <w:szCs w:val="22"/>
        </w:rPr>
      </w:pPr>
      <w:r w:rsidRPr="0057691B">
        <w:rPr>
          <w:rFonts w:ascii="Palatino Linotype" w:hAnsi="Palatino Linotype"/>
          <w:b/>
          <w:bCs/>
          <w:sz w:val="22"/>
          <w:szCs w:val="22"/>
        </w:rPr>
        <w:t>Tercero. Análisis de las causales de sobreseimiento del recurso de revisión.</w:t>
      </w:r>
      <w:r w:rsidRPr="0057691B">
        <w:rPr>
          <w:rFonts w:ascii="Palatino Linotype" w:hAnsi="Palatino Linotype"/>
          <w:sz w:val="22"/>
          <w:szCs w:val="22"/>
        </w:rPr>
        <w:t xml:space="preserve"> Es menester resaltar que en el procedimiento de acceso a la información pública y de los medios de impugnación de la materia, se advierten diversos supuestos de procedibilidad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62A4D832" w14:textId="77777777" w:rsidR="00EA240E" w:rsidRPr="0057691B" w:rsidRDefault="00EA240E" w:rsidP="00EA240E">
      <w:pPr>
        <w:pStyle w:val="NormalWeb"/>
        <w:spacing w:before="240" w:beforeAutospacing="0" w:after="240" w:afterAutospacing="0" w:line="360" w:lineRule="auto"/>
        <w:jc w:val="both"/>
        <w:rPr>
          <w:rFonts w:ascii="Palatino Linotype" w:hAnsi="Palatino Linotype"/>
          <w:sz w:val="22"/>
          <w:szCs w:val="22"/>
        </w:rPr>
      </w:pPr>
      <w:r w:rsidRPr="0057691B">
        <w:rPr>
          <w:rFonts w:ascii="Palatino Linotype" w:hAnsi="Palatino Linotype"/>
          <w:sz w:val="22"/>
          <w:szCs w:val="22"/>
        </w:rPr>
        <w:t>Es una facultad legal entrar al estudio de las causas de improcedencia que hagan valer las partes o que se adviertan de oficio por este Instituto; presupuestos procesales de inicio o trámite de un proceso que dotan de seguridad jurídica las resoluciones emitidas por este organismo colegiado, máxime que se trata de una figura procesal adoptada en la ley de la materia, la cual permite dilucidar alguna causal que impida el estudio y resolución de un asunto en su fondo, cuando una vez admitido el recurso de revisión se advierta una causa de improcedencia que permita sobreseerlo. Estudio de causales de improcedencia que no son incompatibles con el derecho de acceso a la justicia, ya que este no se coarta por regular causas de improcedencia y sobreseimiento con tales fines.</w:t>
      </w:r>
    </w:p>
    <w:p w14:paraId="6906E787" w14:textId="77777777" w:rsidR="00EA240E" w:rsidRPr="0057691B" w:rsidRDefault="00EA240E" w:rsidP="00EA240E">
      <w:pPr>
        <w:pStyle w:val="NormalWeb"/>
        <w:spacing w:before="240" w:beforeAutospacing="0" w:after="240" w:afterAutospacing="0" w:line="360" w:lineRule="auto"/>
        <w:ind w:right="51"/>
        <w:jc w:val="both"/>
        <w:rPr>
          <w:rFonts w:ascii="Palatino Linotype" w:hAnsi="Palatino Linotype"/>
          <w:sz w:val="22"/>
          <w:szCs w:val="22"/>
        </w:rPr>
      </w:pPr>
      <w:r w:rsidRPr="0057691B">
        <w:rPr>
          <w:rFonts w:ascii="Palatino Linotype" w:hAnsi="Palatino Linotype"/>
          <w:sz w:val="22"/>
          <w:szCs w:val="22"/>
        </w:rPr>
        <w:t>De manera preliminar en el caso concreto conviene analizar si se actualiza alguna de las causales de sobreseimiento del recurso de revisión.</w:t>
      </w:r>
    </w:p>
    <w:p w14:paraId="51F63B80" w14:textId="3CB884A6" w:rsidR="00DE5222" w:rsidRPr="0057691B" w:rsidRDefault="00EA240E" w:rsidP="002734DE">
      <w:pPr>
        <w:pStyle w:val="NormalWeb"/>
        <w:spacing w:before="240" w:beforeAutospacing="0" w:after="240" w:afterAutospacing="0" w:line="360" w:lineRule="auto"/>
        <w:ind w:right="51"/>
        <w:jc w:val="both"/>
        <w:rPr>
          <w:rFonts w:ascii="Palatino Linotype" w:eastAsia="Palatino Linotype" w:hAnsi="Palatino Linotype" w:cs="Palatino Linotype"/>
          <w:sz w:val="22"/>
          <w:szCs w:val="22"/>
        </w:rPr>
      </w:pPr>
      <w:r w:rsidRPr="0057691B">
        <w:rPr>
          <w:rFonts w:ascii="Palatino Linotype" w:hAnsi="Palatino Linotype"/>
          <w:sz w:val="22"/>
          <w:szCs w:val="22"/>
        </w:rPr>
        <w:t xml:space="preserve">En tal contexto, del análisis de la solicitud de información motivo del recurso de revisión que ahora se resuelve, se advierte que la persona solicitante requirió </w:t>
      </w:r>
      <w:r w:rsidR="002734DE" w:rsidRPr="0057691B">
        <w:rPr>
          <w:rFonts w:ascii="Palatino Linotype" w:hAnsi="Palatino Linotype"/>
          <w:sz w:val="22"/>
          <w:szCs w:val="22"/>
        </w:rPr>
        <w:t>a</w:t>
      </w:r>
      <w:r w:rsidR="00904EAB" w:rsidRPr="0057691B">
        <w:rPr>
          <w:rFonts w:ascii="Palatino Linotype" w:hAnsi="Palatino Linotype"/>
          <w:sz w:val="22"/>
          <w:szCs w:val="22"/>
        </w:rPr>
        <w:t xml:space="preserve"> </w:t>
      </w:r>
      <w:r w:rsidR="002734DE" w:rsidRPr="0057691B">
        <w:rPr>
          <w:rFonts w:ascii="Palatino Linotype" w:hAnsi="Palatino Linotype"/>
          <w:sz w:val="22"/>
          <w:szCs w:val="22"/>
        </w:rPr>
        <w:t>l</w:t>
      </w:r>
      <w:r w:rsidR="00904EAB" w:rsidRPr="0057691B">
        <w:rPr>
          <w:rFonts w:ascii="Palatino Linotype" w:hAnsi="Palatino Linotype"/>
          <w:sz w:val="22"/>
          <w:szCs w:val="22"/>
        </w:rPr>
        <w:t>a</w:t>
      </w:r>
      <w:r w:rsidR="002734DE" w:rsidRPr="0057691B">
        <w:rPr>
          <w:rFonts w:ascii="Palatino Linotype" w:hAnsi="Palatino Linotype"/>
          <w:sz w:val="22"/>
          <w:szCs w:val="22"/>
        </w:rPr>
        <w:t xml:space="preserve"> </w:t>
      </w:r>
      <w:r w:rsidR="00A30797" w:rsidRPr="0057691B">
        <w:rPr>
          <w:rFonts w:ascii="Palatino Linotype" w:eastAsia="Palatino Linotype" w:hAnsi="Palatino Linotype" w:cs="Palatino Linotype"/>
          <w:b/>
          <w:sz w:val="22"/>
          <w:szCs w:val="22"/>
        </w:rPr>
        <w:t>Secretaría de Cultura y Turismo</w:t>
      </w:r>
      <w:r w:rsidR="00697BED" w:rsidRPr="0057691B">
        <w:rPr>
          <w:rFonts w:ascii="Palatino Linotype" w:eastAsia="Palatino Linotype" w:hAnsi="Palatino Linotype" w:cs="Palatino Linotype"/>
          <w:sz w:val="22"/>
          <w:szCs w:val="22"/>
        </w:rPr>
        <w:t xml:space="preserve"> la siguiente información</w:t>
      </w:r>
      <w:r w:rsidR="00DE5222" w:rsidRPr="0057691B">
        <w:rPr>
          <w:rFonts w:ascii="Palatino Linotype" w:eastAsia="Palatino Linotype" w:hAnsi="Palatino Linotype" w:cs="Palatino Linotype"/>
          <w:sz w:val="22"/>
          <w:szCs w:val="22"/>
        </w:rPr>
        <w:t>:</w:t>
      </w:r>
    </w:p>
    <w:p w14:paraId="5E1E3490" w14:textId="5F09BE8B" w:rsidR="00A30797" w:rsidRPr="0057691B" w:rsidRDefault="00A30797" w:rsidP="00A30797">
      <w:pPr>
        <w:pStyle w:val="Prrafodelista"/>
        <w:numPr>
          <w:ilvl w:val="0"/>
          <w:numId w:val="42"/>
        </w:numPr>
        <w:spacing w:line="360" w:lineRule="auto"/>
        <w:ind w:left="709" w:right="-7"/>
        <w:jc w:val="both"/>
        <w:rPr>
          <w:rFonts w:ascii="Palatino Linotype" w:eastAsia="Palatino Linotype" w:hAnsi="Palatino Linotype" w:cs="Palatino Linotype"/>
          <w:b/>
          <w:bCs/>
          <w:sz w:val="22"/>
          <w:szCs w:val="22"/>
        </w:rPr>
      </w:pPr>
      <w:r w:rsidRPr="0057691B">
        <w:rPr>
          <w:rFonts w:ascii="Palatino Linotype" w:eastAsia="Palatino Linotype" w:hAnsi="Palatino Linotype" w:cs="Palatino Linotype"/>
          <w:b/>
          <w:bCs/>
          <w:sz w:val="22"/>
          <w:szCs w:val="22"/>
        </w:rPr>
        <w:t xml:space="preserve">Que han hecho al respecto Efrén Annuar García Pérez y Patsy Dennis Ramírez Castañeda, sobre Juan Pablo Lastiri Salazar, ya que está en el área de eventuales y también dedica tiempo para estar ayudando a sacar las nóminas del Instituto de Deporte del Estado de México. </w:t>
      </w:r>
    </w:p>
    <w:p w14:paraId="13003CF4" w14:textId="7EF3D458" w:rsidR="00A30797" w:rsidRPr="0057691B" w:rsidRDefault="00A30797" w:rsidP="00A30797">
      <w:pPr>
        <w:pStyle w:val="Prrafodelista"/>
        <w:numPr>
          <w:ilvl w:val="0"/>
          <w:numId w:val="42"/>
        </w:numPr>
        <w:spacing w:line="360" w:lineRule="auto"/>
        <w:ind w:left="709" w:right="-7"/>
        <w:jc w:val="both"/>
        <w:rPr>
          <w:rFonts w:ascii="Palatino Linotype" w:eastAsia="Palatino Linotype" w:hAnsi="Palatino Linotype" w:cs="Palatino Linotype"/>
          <w:b/>
          <w:bCs/>
          <w:sz w:val="22"/>
          <w:szCs w:val="22"/>
        </w:rPr>
      </w:pPr>
      <w:r w:rsidRPr="0057691B">
        <w:rPr>
          <w:rFonts w:ascii="Palatino Linotype" w:eastAsia="Palatino Linotype" w:hAnsi="Palatino Linotype" w:cs="Palatino Linotype"/>
          <w:b/>
          <w:bCs/>
          <w:sz w:val="22"/>
          <w:szCs w:val="22"/>
        </w:rPr>
        <w:t>Tiene permitido estar trabajando en la secretaría de cultura y turismo y en el Instituto del Deporte del Estado de México</w:t>
      </w:r>
    </w:p>
    <w:p w14:paraId="0B2F0F25" w14:textId="77777777" w:rsidR="00A30797" w:rsidRPr="0057691B" w:rsidRDefault="00A30797" w:rsidP="00DE5222">
      <w:pPr>
        <w:spacing w:line="360" w:lineRule="auto"/>
        <w:ind w:right="-7"/>
        <w:jc w:val="both"/>
        <w:rPr>
          <w:rFonts w:ascii="Palatino Linotype" w:eastAsia="Palatino Linotype" w:hAnsi="Palatino Linotype" w:cs="Palatino Linotype"/>
          <w:b/>
          <w:bCs/>
          <w:sz w:val="22"/>
          <w:szCs w:val="22"/>
        </w:rPr>
      </w:pPr>
    </w:p>
    <w:p w14:paraId="13DFCEB7" w14:textId="4F8C2795" w:rsidR="00A30797" w:rsidRPr="0057691B" w:rsidRDefault="00DE5222" w:rsidP="00DE5222">
      <w:pPr>
        <w:spacing w:line="360" w:lineRule="auto"/>
        <w:ind w:right="-7"/>
        <w:jc w:val="both"/>
        <w:rPr>
          <w:rFonts w:ascii="Palatino Linotype" w:hAnsi="Palatino Linotype"/>
          <w:bCs/>
          <w:sz w:val="22"/>
          <w:szCs w:val="22"/>
        </w:rPr>
      </w:pPr>
      <w:r w:rsidRPr="0057691B">
        <w:rPr>
          <w:rFonts w:ascii="Palatino Linotype" w:hAnsi="Palatino Linotype"/>
          <w:bCs/>
          <w:sz w:val="22"/>
          <w:szCs w:val="22"/>
        </w:rPr>
        <w:t>En</w:t>
      </w:r>
      <w:r w:rsidR="0031081A" w:rsidRPr="0057691B">
        <w:rPr>
          <w:rFonts w:ascii="Palatino Linotype" w:hAnsi="Palatino Linotype"/>
          <w:bCs/>
          <w:sz w:val="22"/>
          <w:szCs w:val="22"/>
        </w:rPr>
        <w:t xml:space="preserve"> respuesta, el Sujeto Obligado</w:t>
      </w:r>
      <w:r w:rsidR="00A30797" w:rsidRPr="0057691B">
        <w:rPr>
          <w:rFonts w:ascii="Palatino Linotype" w:hAnsi="Palatino Linotype"/>
          <w:bCs/>
          <w:sz w:val="22"/>
          <w:szCs w:val="22"/>
        </w:rPr>
        <w:t xml:space="preserve"> indicó que la información requerida no se colma con la entrega de algún documento, ya que no se cuenta con la obligación de generar la información conforme a los intereses de los Recurrentes. </w:t>
      </w:r>
    </w:p>
    <w:p w14:paraId="158E9D4C" w14:textId="77777777" w:rsidR="00874218" w:rsidRPr="0057691B" w:rsidRDefault="00874218" w:rsidP="00DE5222">
      <w:pPr>
        <w:spacing w:line="360" w:lineRule="auto"/>
        <w:ind w:right="-7"/>
        <w:jc w:val="both"/>
        <w:rPr>
          <w:rFonts w:ascii="Palatino Linotype" w:hAnsi="Palatino Linotype"/>
          <w:bCs/>
          <w:sz w:val="22"/>
          <w:szCs w:val="22"/>
        </w:rPr>
      </w:pPr>
    </w:p>
    <w:p w14:paraId="1B352D80" w14:textId="33BEB57A" w:rsidR="00874218" w:rsidRPr="0057691B" w:rsidRDefault="00874218" w:rsidP="00DE5222">
      <w:pPr>
        <w:spacing w:line="360" w:lineRule="auto"/>
        <w:ind w:right="-7"/>
        <w:jc w:val="both"/>
        <w:rPr>
          <w:rFonts w:ascii="Palatino Linotype" w:hAnsi="Palatino Linotype"/>
          <w:bCs/>
          <w:sz w:val="22"/>
          <w:szCs w:val="22"/>
        </w:rPr>
      </w:pPr>
      <w:r w:rsidRPr="0057691B">
        <w:rPr>
          <w:rFonts w:ascii="Palatino Linotype" w:hAnsi="Palatino Linotype"/>
          <w:bCs/>
          <w:sz w:val="22"/>
          <w:szCs w:val="22"/>
        </w:rPr>
        <w:t>Por su parte, el Recurrente se inconformó por la negativa de la información.</w:t>
      </w:r>
    </w:p>
    <w:p w14:paraId="7FA7A55F" w14:textId="4ED913AF" w:rsidR="00082066" w:rsidRPr="0057691B" w:rsidRDefault="00082066" w:rsidP="00082066">
      <w:pPr>
        <w:pBdr>
          <w:top w:val="nil"/>
          <w:left w:val="nil"/>
          <w:bottom w:val="nil"/>
          <w:right w:val="nil"/>
          <w:between w:val="nil"/>
        </w:pBdr>
        <w:spacing w:line="360" w:lineRule="auto"/>
        <w:ind w:right="134"/>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Dicho lo anterior, es necesario precisar que los Sujetos Obligados tienen el deber de entregar la información que obra en sus archivos, en el estado que se encuentra sin que exista la obligación de generar documentos ad hoc para la atención de las solicitudes de a</w:t>
      </w:r>
      <w:r w:rsidR="00EB4F4A" w:rsidRPr="0057691B">
        <w:rPr>
          <w:rFonts w:ascii="Palatino Linotype" w:eastAsia="Palatino Linotype" w:hAnsi="Palatino Linotype" w:cs="Palatino Linotype"/>
          <w:sz w:val="22"/>
          <w:szCs w:val="22"/>
        </w:rPr>
        <w:t>cceso a la información pública, ni presentarla conforme a los intereses de los Recurrentes.</w:t>
      </w:r>
    </w:p>
    <w:p w14:paraId="3EFEE8A7" w14:textId="77777777" w:rsidR="00082066" w:rsidRPr="0057691B" w:rsidRDefault="00082066" w:rsidP="00082066">
      <w:pPr>
        <w:pBdr>
          <w:top w:val="nil"/>
          <w:left w:val="nil"/>
          <w:bottom w:val="nil"/>
          <w:right w:val="nil"/>
          <w:between w:val="nil"/>
        </w:pBdr>
        <w:spacing w:line="360" w:lineRule="auto"/>
        <w:ind w:right="134"/>
        <w:jc w:val="both"/>
        <w:rPr>
          <w:rFonts w:ascii="Palatino Linotype" w:eastAsia="Palatino Linotype" w:hAnsi="Palatino Linotype" w:cs="Palatino Linotype"/>
          <w:sz w:val="22"/>
          <w:szCs w:val="22"/>
        </w:rPr>
      </w:pPr>
    </w:p>
    <w:p w14:paraId="5F556059" w14:textId="4222A8D5" w:rsidR="00E60A32" w:rsidRPr="0057691B" w:rsidRDefault="00082066" w:rsidP="00082066">
      <w:pPr>
        <w:pBdr>
          <w:top w:val="nil"/>
          <w:left w:val="nil"/>
          <w:bottom w:val="nil"/>
          <w:right w:val="nil"/>
          <w:between w:val="nil"/>
        </w:pBdr>
        <w:spacing w:line="360" w:lineRule="auto"/>
        <w:ind w:right="134"/>
        <w:jc w:val="both"/>
        <w:rPr>
          <w:rFonts w:ascii="Palatino Linotype" w:eastAsia="Palatino Linotype" w:hAnsi="Palatino Linotype" w:cs="Palatino Linotype"/>
          <w:b/>
          <w:sz w:val="22"/>
          <w:szCs w:val="22"/>
        </w:rPr>
      </w:pPr>
      <w:r w:rsidRPr="0057691B">
        <w:rPr>
          <w:rFonts w:ascii="Palatino Linotype" w:eastAsia="Palatino Linotype" w:hAnsi="Palatino Linotype" w:cs="Palatino Linotype"/>
          <w:sz w:val="22"/>
          <w:szCs w:val="22"/>
        </w:rPr>
        <w:t xml:space="preserve">Ahora bien, de los requerimientos del particular, se advierte que el solicitante a través de los mismos la persona solicitante pretende que el </w:t>
      </w:r>
      <w:r w:rsidRPr="0057691B">
        <w:rPr>
          <w:rFonts w:ascii="Palatino Linotype" w:eastAsia="Palatino Linotype" w:hAnsi="Palatino Linotype" w:cs="Palatino Linotype"/>
          <w:b/>
          <w:sz w:val="22"/>
          <w:szCs w:val="22"/>
        </w:rPr>
        <w:t>Sujeto Obligado</w:t>
      </w:r>
      <w:r w:rsidR="00E60A32" w:rsidRPr="0057691B">
        <w:rPr>
          <w:rFonts w:ascii="Palatino Linotype" w:eastAsia="Palatino Linotype" w:hAnsi="Palatino Linotype" w:cs="Palatino Linotype"/>
          <w:b/>
          <w:sz w:val="22"/>
          <w:szCs w:val="22"/>
        </w:rPr>
        <w:t xml:space="preserve"> </w:t>
      </w:r>
      <w:r w:rsidR="00893261" w:rsidRPr="0057691B">
        <w:rPr>
          <w:rFonts w:ascii="Palatino Linotype" w:eastAsia="Palatino Linotype" w:hAnsi="Palatino Linotype" w:cs="Palatino Linotype"/>
          <w:b/>
          <w:sz w:val="22"/>
          <w:szCs w:val="22"/>
        </w:rPr>
        <w:t>brinde respuesta a una serie de cuestionamientos.</w:t>
      </w:r>
      <w:r w:rsidR="00E60A32" w:rsidRPr="0057691B">
        <w:rPr>
          <w:rFonts w:ascii="Palatino Linotype" w:eastAsia="Palatino Linotype" w:hAnsi="Palatino Linotype" w:cs="Palatino Linotype"/>
          <w:b/>
          <w:sz w:val="22"/>
          <w:szCs w:val="22"/>
        </w:rPr>
        <w:t xml:space="preserve"> </w:t>
      </w:r>
    </w:p>
    <w:p w14:paraId="5C5C6E97" w14:textId="77777777" w:rsidR="00E60A32" w:rsidRPr="0057691B" w:rsidRDefault="00E60A32" w:rsidP="00082066">
      <w:pPr>
        <w:pBdr>
          <w:top w:val="nil"/>
          <w:left w:val="nil"/>
          <w:bottom w:val="nil"/>
          <w:right w:val="nil"/>
          <w:between w:val="nil"/>
        </w:pBdr>
        <w:spacing w:line="360" w:lineRule="auto"/>
        <w:ind w:right="134"/>
        <w:jc w:val="both"/>
        <w:rPr>
          <w:rFonts w:ascii="Palatino Linotype" w:eastAsia="Palatino Linotype" w:hAnsi="Palatino Linotype" w:cs="Palatino Linotype"/>
          <w:b/>
          <w:sz w:val="22"/>
          <w:szCs w:val="22"/>
        </w:rPr>
      </w:pPr>
    </w:p>
    <w:p w14:paraId="272FCEDC" w14:textId="654BC1BA" w:rsidR="00082066" w:rsidRPr="0057691B" w:rsidRDefault="00082066" w:rsidP="00082066">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 xml:space="preserve">Por lo anterior, del análisis realizado al expediente electrónico, se advierte que dichos requerimientos NO constituyen un derecho de acceso a la información y por lo tanto no son atendibles mediante una solicitud de acceso a la información pública, porque se trata de </w:t>
      </w:r>
      <w:r w:rsidR="002432DD" w:rsidRPr="0057691B">
        <w:rPr>
          <w:rFonts w:ascii="Palatino Linotype" w:eastAsia="Palatino Linotype" w:hAnsi="Palatino Linotype" w:cs="Palatino Linotype"/>
          <w:sz w:val="22"/>
          <w:szCs w:val="22"/>
        </w:rPr>
        <w:t>una petición a la autoridad</w:t>
      </w:r>
      <w:r w:rsidRPr="0057691B">
        <w:rPr>
          <w:rFonts w:ascii="Palatino Linotype" w:eastAsia="Palatino Linotype" w:hAnsi="Palatino Linotype" w:cs="Palatino Linotype"/>
          <w:sz w:val="22"/>
          <w:szCs w:val="22"/>
        </w:rPr>
        <w:t xml:space="preserve"> y en todo caso</w:t>
      </w:r>
      <w:r w:rsidR="002432DD" w:rsidRPr="0057691B">
        <w:rPr>
          <w:rFonts w:ascii="Palatino Linotype" w:eastAsia="Palatino Linotype" w:hAnsi="Palatino Linotype" w:cs="Palatino Linotype"/>
          <w:sz w:val="22"/>
          <w:szCs w:val="22"/>
        </w:rPr>
        <w:t xml:space="preserve"> estamos en presencia</w:t>
      </w:r>
      <w:r w:rsidRPr="0057691B">
        <w:rPr>
          <w:rFonts w:ascii="Palatino Linotype" w:eastAsia="Palatino Linotype" w:hAnsi="Palatino Linotype" w:cs="Palatino Linotype"/>
          <w:sz w:val="22"/>
          <w:szCs w:val="22"/>
        </w:rPr>
        <w:t xml:space="preserve"> a un derecho de petición.</w:t>
      </w:r>
      <w:r w:rsidR="00170B7D" w:rsidRPr="0057691B">
        <w:rPr>
          <w:rFonts w:ascii="Palatino Linotype" w:eastAsia="Palatino Linotype" w:hAnsi="Palatino Linotype" w:cs="Palatino Linotype"/>
          <w:sz w:val="22"/>
          <w:szCs w:val="22"/>
        </w:rPr>
        <w:t xml:space="preserve"> </w:t>
      </w:r>
    </w:p>
    <w:p w14:paraId="63C75713" w14:textId="77777777" w:rsidR="00082066" w:rsidRPr="0057691B" w:rsidRDefault="00082066" w:rsidP="00082066">
      <w:pPr>
        <w:spacing w:line="360" w:lineRule="auto"/>
        <w:jc w:val="both"/>
        <w:rPr>
          <w:rFonts w:ascii="Palatino Linotype" w:eastAsia="Palatino Linotype" w:hAnsi="Palatino Linotype" w:cs="Palatino Linotype"/>
          <w:sz w:val="22"/>
          <w:szCs w:val="22"/>
        </w:rPr>
      </w:pPr>
    </w:p>
    <w:p w14:paraId="701F9DDE" w14:textId="0CCA8F02"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i/>
          <w:sz w:val="22"/>
          <w:szCs w:val="22"/>
        </w:rPr>
      </w:pPr>
      <w:r w:rsidRPr="0057691B">
        <w:rPr>
          <w:rFonts w:ascii="Palatino Linotype" w:eastAsia="Palatino Linotype" w:hAnsi="Palatino Linotype" w:cs="Palatino Linotype"/>
          <w:sz w:val="22"/>
          <w:szCs w:val="22"/>
        </w:rPr>
        <w:t xml:space="preserve">A efecto de sustentar lo anterior, es preciso mencionar que David Cienfuegos Salgado, concibe al derecho de petición como </w:t>
      </w:r>
      <w:r w:rsidRPr="0057691B">
        <w:rPr>
          <w:rFonts w:ascii="Palatino Linotype" w:eastAsia="Palatino Linotype" w:hAnsi="Palatino Linotype" w:cs="Palatino Linotype"/>
          <w:i/>
          <w:sz w:val="22"/>
          <w:szCs w:val="22"/>
        </w:rPr>
        <w:t>“</w:t>
      </w:r>
      <w:r w:rsidRPr="0057691B">
        <w:rPr>
          <w:rFonts w:ascii="Palatino Linotype" w:eastAsia="Palatino Linotype" w:hAnsi="Palatino Linotype" w:cs="Palatino Linotype"/>
          <w:b/>
          <w:i/>
          <w:sz w:val="22"/>
          <w:szCs w:val="22"/>
          <w:u w:val="single"/>
        </w:rPr>
        <w:t>el derecho de toda persona a ser escuchado por quienes ejercen el poder públic</w:t>
      </w:r>
      <w:r w:rsidRPr="0057691B">
        <w:rPr>
          <w:rFonts w:ascii="Palatino Linotype" w:eastAsia="Palatino Linotype" w:hAnsi="Palatino Linotype" w:cs="Palatino Linotype"/>
          <w:i/>
          <w:sz w:val="22"/>
          <w:szCs w:val="22"/>
        </w:rPr>
        <w:t xml:space="preserve">o.”  </w:t>
      </w:r>
    </w:p>
    <w:p w14:paraId="246243F4"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i/>
          <w:sz w:val="22"/>
          <w:szCs w:val="22"/>
        </w:rPr>
      </w:pPr>
    </w:p>
    <w:p w14:paraId="07F84696"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 xml:space="preserve">De la misma manera, Miguel Carbonell en su libro </w:t>
      </w:r>
      <w:r w:rsidRPr="0057691B">
        <w:rPr>
          <w:rFonts w:ascii="Palatino Linotype" w:eastAsia="Palatino Linotype" w:hAnsi="Palatino Linotype" w:cs="Palatino Linotype"/>
          <w:i/>
          <w:sz w:val="22"/>
          <w:szCs w:val="22"/>
        </w:rPr>
        <w:t>“Los derechos fundamentales”</w:t>
      </w:r>
      <w:r w:rsidRPr="0057691B">
        <w:rPr>
          <w:rFonts w:ascii="Palatino Linotype" w:eastAsia="Palatino Linotype" w:hAnsi="Palatino Linotype" w:cs="Palatino Linotype"/>
          <w:sz w:val="22"/>
          <w:szCs w:val="22"/>
        </w:rPr>
        <w:t xml:space="preserve"> refiere que el </w:t>
      </w:r>
      <w:r w:rsidRPr="0057691B">
        <w:rPr>
          <w:rFonts w:ascii="Palatino Linotype" w:eastAsia="Palatino Linotype" w:hAnsi="Palatino Linotype" w:cs="Palatino Linotype"/>
          <w:sz w:val="22"/>
          <w:szCs w:val="22"/>
          <w:u w:val="single"/>
        </w:rPr>
        <w:t>derecho de petición se ha entendido de dos distintitas maneras</w:t>
      </w:r>
      <w:r w:rsidRPr="0057691B">
        <w:rPr>
          <w:rFonts w:ascii="Palatino Linotype" w:eastAsia="Palatino Linotype" w:hAnsi="Palatino Linotype" w:cs="Palatino Linotype"/>
          <w:sz w:val="22"/>
          <w:szCs w:val="22"/>
        </w:rPr>
        <w:t xml:space="preserve">, a saber: como un derecho fundamental de participación política ya que </w:t>
      </w:r>
      <w:r w:rsidRPr="0057691B">
        <w:rPr>
          <w:rFonts w:ascii="Palatino Linotype" w:eastAsia="Palatino Linotype" w:hAnsi="Palatino Linotype" w:cs="Palatino Linotype"/>
          <w:sz w:val="22"/>
          <w:szCs w:val="22"/>
          <w:u w:val="single"/>
        </w:rPr>
        <w:t xml:space="preserve">permite a los </w:t>
      </w:r>
      <w:r w:rsidRPr="0057691B">
        <w:rPr>
          <w:rFonts w:ascii="Palatino Linotype" w:eastAsia="Palatino Linotype" w:hAnsi="Palatino Linotype" w:cs="Palatino Linotype"/>
          <w:sz w:val="22"/>
          <w:szCs w:val="22"/>
        </w:rPr>
        <w:t xml:space="preserve">particulares trasladar a las autoridades sus </w:t>
      </w:r>
      <w:r w:rsidRPr="0057691B">
        <w:rPr>
          <w:rFonts w:ascii="Palatino Linotype" w:eastAsia="Palatino Linotype" w:hAnsi="Palatino Linotype" w:cs="Palatino Linotype"/>
          <w:b/>
          <w:sz w:val="22"/>
          <w:szCs w:val="22"/>
        </w:rPr>
        <w:t>inquietudes, quejas</w:t>
      </w:r>
      <w:r w:rsidRPr="0057691B">
        <w:rPr>
          <w:rFonts w:ascii="Palatino Linotype" w:eastAsia="Palatino Linotype" w:hAnsi="Palatino Linotype" w:cs="Palatino Linotype"/>
          <w:sz w:val="22"/>
          <w:szCs w:val="22"/>
        </w:rPr>
        <w:t xml:space="preserve">, sugerencias y requerimientos en cualquier materia o asunto; y como una </w:t>
      </w:r>
      <w:r w:rsidRPr="0057691B">
        <w:rPr>
          <w:rFonts w:ascii="Palatino Linotype" w:eastAsia="Palatino Linotype" w:hAnsi="Palatino Linotype" w:cs="Palatino Linotype"/>
          <w:b/>
          <w:sz w:val="22"/>
          <w:szCs w:val="22"/>
        </w:rPr>
        <w:t>forma específica de la libertad de expresión</w:t>
      </w:r>
      <w:r w:rsidRPr="0057691B">
        <w:rPr>
          <w:rFonts w:ascii="Palatino Linotype" w:eastAsia="Palatino Linotype" w:hAnsi="Palatino Linotype" w:cs="Palatino Linotype"/>
          <w:sz w:val="22"/>
          <w:szCs w:val="22"/>
        </w:rPr>
        <w:t xml:space="preserve">, en tanto que permite expresarse frente a las autoridades. </w:t>
      </w:r>
    </w:p>
    <w:p w14:paraId="1803CF18"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5AB8A269"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De igual forma, el derecho de petición se traduce en la obligación de todos los funcionarios y autoridades de permitir a los ciudadanos de dirigirse a ellos en demanda de lo que deseen expresar o solicitar y responder de dicha demanda por escrito, de forma congruente y en un plazo breve.</w:t>
      </w:r>
    </w:p>
    <w:p w14:paraId="783B7FA4"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1D9CAD31"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 xml:space="preserve">Por otro lado, el autor anteriormente citado, indica que el </w:t>
      </w:r>
      <w:r w:rsidRPr="0057691B">
        <w:rPr>
          <w:rFonts w:ascii="Palatino Linotype" w:eastAsia="Palatino Linotype" w:hAnsi="Palatino Linotype" w:cs="Palatino Linotype"/>
          <w:b/>
          <w:sz w:val="22"/>
          <w:szCs w:val="22"/>
        </w:rPr>
        <w:t>derecho de acceso a la información pública</w:t>
      </w:r>
      <w:r w:rsidRPr="0057691B">
        <w:rPr>
          <w:rFonts w:ascii="Palatino Linotype" w:eastAsia="Palatino Linotype" w:hAnsi="Palatino Linotype" w:cs="Palatino Linotype"/>
          <w:sz w:val="22"/>
          <w:szCs w:val="22"/>
        </w:rPr>
        <w:t xml:space="preserve"> es el derecho de conocer la </w:t>
      </w:r>
      <w:r w:rsidRPr="0057691B">
        <w:rPr>
          <w:rFonts w:ascii="Palatino Linotype" w:eastAsia="Palatino Linotype" w:hAnsi="Palatino Linotype" w:cs="Palatino Linotype"/>
          <w:sz w:val="22"/>
          <w:szCs w:val="22"/>
          <w:u w:val="single"/>
        </w:rPr>
        <w:t>información de carácter público que se genera o está en posesión de los órganos del poder público</w:t>
      </w:r>
      <w:r w:rsidRPr="0057691B">
        <w:rPr>
          <w:rFonts w:ascii="Palatino Linotype" w:eastAsia="Palatino Linotype" w:hAnsi="Palatino Linotype" w:cs="Palatino Linotype"/>
          <w:sz w:val="22"/>
          <w:szCs w:val="22"/>
        </w:rPr>
        <w:t xml:space="preserve"> o de los sujetos que utilizan o se benefician con recursos provenientes del Estado, es el derecho que tienen los ciudadanos para acceder a documentos y datos que obren en el poder del gobierno.</w:t>
      </w:r>
    </w:p>
    <w:p w14:paraId="1DB36BCD"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1EACF8F6"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Por su parte, Ernesto Villanueva define al derecho de acceso a la información pública como la prerrogativa de la persona para acceder a datos, registros y todo tipo de informaciones en poder de las entidades públicas y empresas privadas que ejercen gasto público o cumplen funciones de autoridad, con las excepciones taxativas que establezca la ley en una sociedad democrática.</w:t>
      </w:r>
    </w:p>
    <w:p w14:paraId="38AEB120"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p>
    <w:p w14:paraId="6CD7A5C5" w14:textId="77777777" w:rsidR="00082066" w:rsidRPr="0057691B" w:rsidRDefault="00082066" w:rsidP="00082066">
      <w:pPr>
        <w:pBdr>
          <w:top w:val="nil"/>
          <w:left w:val="nil"/>
          <w:bottom w:val="nil"/>
          <w:right w:val="nil"/>
          <w:between w:val="nil"/>
        </w:pBdr>
        <w:spacing w:line="360" w:lineRule="auto"/>
        <w:ind w:right="-150"/>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 xml:space="preserve">De lo anterior, se puede concluir que la distinción entre el </w:t>
      </w:r>
      <w:r w:rsidRPr="0057691B">
        <w:rPr>
          <w:rFonts w:ascii="Palatino Linotype" w:eastAsia="Palatino Linotype" w:hAnsi="Palatino Linotype" w:cs="Palatino Linotype"/>
          <w:b/>
          <w:sz w:val="22"/>
          <w:szCs w:val="22"/>
        </w:rPr>
        <w:t>derecho de petición</w:t>
      </w:r>
      <w:r w:rsidRPr="0057691B">
        <w:rPr>
          <w:rFonts w:ascii="Palatino Linotype" w:eastAsia="Palatino Linotype" w:hAnsi="Palatino Linotype" w:cs="Palatino Linotype"/>
          <w:sz w:val="22"/>
          <w:szCs w:val="22"/>
        </w:rPr>
        <w:t xml:space="preserve"> y el derecho de acceso a la información descansa, principalmente, en que </w:t>
      </w:r>
      <w:r w:rsidRPr="0057691B">
        <w:rPr>
          <w:rFonts w:ascii="Palatino Linotype" w:eastAsia="Palatino Linotype" w:hAnsi="Palatino Linotype" w:cs="Palatino Linotype"/>
          <w:b/>
          <w:sz w:val="22"/>
          <w:szCs w:val="22"/>
          <w:u w:val="single"/>
        </w:rPr>
        <w:t>la pretensión del peticionario consiste generalmente en obligar a la autoridad responsable a que actúe en el sentido de contestar lo solicitado</w:t>
      </w:r>
      <w:r w:rsidRPr="0057691B">
        <w:rPr>
          <w:rFonts w:ascii="Palatino Linotype" w:eastAsia="Palatino Linotype" w:hAnsi="Palatino Linotype" w:cs="Palatino Linotype"/>
          <w:sz w:val="22"/>
          <w:szCs w:val="22"/>
        </w:rPr>
        <w:t>, mientras que en el derecho de acceso a la información pública la pretensión radica en que se permita el acceso a datos y todo tipo de documentación que tenga el carácter de información pública, que sea generada, administrada o se encuentre en posesión de los considerados Sujetos Obligados por la Ley de la Materia.</w:t>
      </w:r>
    </w:p>
    <w:p w14:paraId="7BDA0E37" w14:textId="77777777" w:rsidR="00082066" w:rsidRPr="0057691B" w:rsidRDefault="00082066" w:rsidP="00DE5222">
      <w:pPr>
        <w:spacing w:line="360" w:lineRule="auto"/>
        <w:ind w:right="-7"/>
        <w:jc w:val="both"/>
        <w:rPr>
          <w:rFonts w:ascii="Palatino Linotype" w:hAnsi="Palatino Linotype"/>
          <w:bCs/>
          <w:sz w:val="22"/>
          <w:szCs w:val="22"/>
        </w:rPr>
      </w:pPr>
    </w:p>
    <w:p w14:paraId="4C348D99" w14:textId="77777777" w:rsidR="00082066" w:rsidRPr="0057691B" w:rsidRDefault="00082066" w:rsidP="00082066">
      <w:pPr>
        <w:spacing w:line="360" w:lineRule="auto"/>
        <w:jc w:val="both"/>
        <w:rPr>
          <w:rFonts w:ascii="Palatino Linotype" w:hAnsi="Palatino Linotype"/>
          <w:sz w:val="22"/>
          <w:szCs w:val="22"/>
          <w:lang w:val="es-ES" w:eastAsia="es-ES_tradnl"/>
        </w:rPr>
      </w:pPr>
      <w:r w:rsidRPr="0057691B">
        <w:rPr>
          <w:rFonts w:ascii="Palatino Linotype" w:hAnsi="Palatino Linotype"/>
          <w:bCs/>
          <w:sz w:val="22"/>
          <w:szCs w:val="22"/>
          <w:lang w:val="es-ES" w:eastAsia="es-ES_tradnl"/>
        </w:rPr>
        <w:t>En ese sentido, se tiene que, la solicitud de información se relaciona con el ejercicio del derecho de petición, situación que, no es factible atenderse vía acceso a la información pública. </w:t>
      </w:r>
    </w:p>
    <w:p w14:paraId="172903B9" w14:textId="77777777" w:rsidR="00082066" w:rsidRPr="0057691B" w:rsidRDefault="00082066" w:rsidP="00082066">
      <w:pPr>
        <w:spacing w:line="360" w:lineRule="auto"/>
        <w:rPr>
          <w:rFonts w:ascii="Palatino Linotype" w:hAnsi="Palatino Linotype"/>
          <w:sz w:val="22"/>
          <w:szCs w:val="22"/>
          <w:lang w:val="es-ES" w:eastAsia="es-ES_tradnl"/>
        </w:rPr>
      </w:pPr>
    </w:p>
    <w:p w14:paraId="1B807B38" w14:textId="77777777" w:rsidR="00082066" w:rsidRPr="0057691B" w:rsidRDefault="00082066" w:rsidP="00082066">
      <w:pPr>
        <w:spacing w:line="360" w:lineRule="auto"/>
        <w:jc w:val="both"/>
        <w:rPr>
          <w:rFonts w:ascii="Palatino Linotype" w:hAnsi="Palatino Linotype"/>
          <w:sz w:val="22"/>
          <w:szCs w:val="22"/>
          <w:lang w:val="es-ES" w:eastAsia="es-ES_tradnl"/>
        </w:rPr>
      </w:pPr>
      <w:r w:rsidRPr="0057691B">
        <w:rPr>
          <w:rFonts w:ascii="Palatino Linotype" w:hAnsi="Palatino Linotype"/>
          <w:sz w:val="22"/>
          <w:szCs w:val="22"/>
          <w:lang w:val="es-ES" w:eastAsia="es-ES_tradnl"/>
        </w:rPr>
        <w:t xml:space="preserve">Del mismo modo, no pasa inadvertido mencionar que, el Derecho de Acceso a la Información Pública se satisface en aquellos casos en que </w:t>
      </w:r>
      <w:r w:rsidRPr="0057691B">
        <w:rPr>
          <w:rFonts w:ascii="Palatino Linotype" w:hAnsi="Palatino Linotype"/>
          <w:b/>
          <w:bCs/>
          <w:sz w:val="22"/>
          <w:szCs w:val="22"/>
          <w:u w:val="single"/>
          <w:lang w:val="es-ES" w:eastAsia="es-ES_tradnl"/>
        </w:rPr>
        <w:t>se entregue el soporte documental en que conste la información pública</w:t>
      </w:r>
      <w:r w:rsidRPr="0057691B">
        <w:rPr>
          <w:rFonts w:ascii="Palatino Linotype" w:hAnsi="Palatino Linotype"/>
          <w:sz w:val="22"/>
          <w:szCs w:val="22"/>
          <w:lang w:val="es-ES" w:eastAsia="es-ES_tradnl"/>
        </w:rPr>
        <w:t xml:space="preserve">, toda vez que no se tiene el deber de generar un documento </w:t>
      </w:r>
      <w:r w:rsidRPr="0057691B">
        <w:rPr>
          <w:rFonts w:ascii="Palatino Linotype" w:hAnsi="Palatino Linotype"/>
          <w:i/>
          <w:iCs/>
          <w:sz w:val="22"/>
          <w:szCs w:val="22"/>
          <w:lang w:val="es-ES" w:eastAsia="es-ES_tradnl"/>
        </w:rPr>
        <w:t>ad hoc</w:t>
      </w:r>
      <w:r w:rsidRPr="0057691B">
        <w:rPr>
          <w:rFonts w:ascii="Palatino Linotype" w:hAnsi="Palatino Linotype"/>
          <w:sz w:val="22"/>
          <w:szCs w:val="22"/>
          <w:lang w:val="es-ES" w:eastAsia="es-ES_tradnl"/>
        </w:rPr>
        <w:t>, para satisfacer la solicitud.</w:t>
      </w:r>
    </w:p>
    <w:p w14:paraId="38C0817E" w14:textId="77777777" w:rsidR="00082066" w:rsidRPr="0057691B" w:rsidRDefault="00082066" w:rsidP="00DE5222">
      <w:pPr>
        <w:spacing w:line="360" w:lineRule="auto"/>
        <w:ind w:right="-7"/>
        <w:jc w:val="both"/>
        <w:rPr>
          <w:rFonts w:ascii="Palatino Linotype" w:hAnsi="Palatino Linotype"/>
          <w:bCs/>
          <w:sz w:val="22"/>
          <w:szCs w:val="22"/>
          <w:lang w:val="es-ES"/>
        </w:rPr>
      </w:pPr>
    </w:p>
    <w:p w14:paraId="7D909F87" w14:textId="77777777" w:rsidR="00082066" w:rsidRPr="0057691B" w:rsidRDefault="00082066" w:rsidP="00082066">
      <w:pPr>
        <w:spacing w:line="360" w:lineRule="auto"/>
        <w:ind w:right="96"/>
        <w:jc w:val="both"/>
        <w:rPr>
          <w:rFonts w:ascii="Palatino Linotype" w:hAnsi="Palatino Linotype"/>
          <w:sz w:val="22"/>
          <w:szCs w:val="22"/>
          <w:lang w:val="es-ES" w:eastAsia="es-ES_tradnl"/>
        </w:rPr>
      </w:pPr>
      <w:r w:rsidRPr="0057691B">
        <w:rPr>
          <w:rFonts w:ascii="Palatino Linotype" w:hAnsi="Palatino Linotype"/>
          <w:sz w:val="22"/>
          <w:szCs w:val="22"/>
          <w:lang w:val="es-ES" w:eastAsia="es-ES_tradnl"/>
        </w:rPr>
        <w:t>Por ello, en virtud de los argumentos expuestos con anterioridad así como del análisis realizado a las constancias que obran en el expediente electrónico del SAIMEX, se determina sobreseer el presente recurso de revisión por actualizarse la causal de sobreseimiento prevista en la fracción IV del artículo 192 de la Ley de Transparencia y Acceso a la Información Pública del Estado de México y Municipios en su correlación con las causales de improcedencia contempladas en las fracciones VI del artículo 191 del ordenamiento legal en cita, los que se transcriben a continuación, para un mejor entendimiento:</w:t>
      </w:r>
    </w:p>
    <w:p w14:paraId="304506A3" w14:textId="77777777" w:rsidR="00082066" w:rsidRPr="0057691B" w:rsidRDefault="00082066" w:rsidP="00082066">
      <w:pPr>
        <w:spacing w:line="360" w:lineRule="auto"/>
        <w:rPr>
          <w:rFonts w:ascii="Palatino Linotype" w:hAnsi="Palatino Linotype"/>
          <w:sz w:val="22"/>
          <w:szCs w:val="22"/>
          <w:lang w:val="es-ES" w:eastAsia="es-ES_tradnl"/>
        </w:rPr>
      </w:pPr>
    </w:p>
    <w:p w14:paraId="631C7A26"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i/>
          <w:iCs/>
          <w:sz w:val="22"/>
          <w:szCs w:val="22"/>
          <w:lang w:val="es-ES" w:eastAsia="es-ES_tradnl"/>
        </w:rPr>
        <w:t>“</w:t>
      </w:r>
      <w:r w:rsidRPr="0057691B">
        <w:rPr>
          <w:rFonts w:ascii="Palatino Linotype" w:hAnsi="Palatino Linotype"/>
          <w:b/>
          <w:bCs/>
          <w:i/>
          <w:iCs/>
          <w:sz w:val="22"/>
          <w:szCs w:val="22"/>
          <w:lang w:val="es-ES" w:eastAsia="es-ES_tradnl"/>
        </w:rPr>
        <w:t>Artículo 191</w:t>
      </w:r>
      <w:r w:rsidRPr="0057691B">
        <w:rPr>
          <w:rFonts w:ascii="Palatino Linotype" w:hAnsi="Palatino Linotype"/>
          <w:i/>
          <w:iCs/>
          <w:sz w:val="22"/>
          <w:szCs w:val="22"/>
          <w:lang w:val="es-ES" w:eastAsia="es-ES_tradnl"/>
        </w:rPr>
        <w:t xml:space="preserve">. </w:t>
      </w:r>
      <w:r w:rsidRPr="0057691B">
        <w:rPr>
          <w:rFonts w:ascii="Palatino Linotype" w:hAnsi="Palatino Linotype"/>
          <w:b/>
          <w:bCs/>
          <w:i/>
          <w:iCs/>
          <w:sz w:val="22"/>
          <w:szCs w:val="22"/>
          <w:lang w:val="es-ES" w:eastAsia="es-ES_tradnl"/>
        </w:rPr>
        <w:t>El recurso</w:t>
      </w:r>
      <w:r w:rsidRPr="0057691B">
        <w:rPr>
          <w:rFonts w:ascii="Palatino Linotype" w:hAnsi="Palatino Linotype"/>
          <w:i/>
          <w:iCs/>
          <w:sz w:val="22"/>
          <w:szCs w:val="22"/>
          <w:lang w:val="es-ES" w:eastAsia="es-ES_tradnl"/>
        </w:rPr>
        <w:t xml:space="preserve"> </w:t>
      </w:r>
      <w:r w:rsidRPr="0057691B">
        <w:rPr>
          <w:rFonts w:ascii="Palatino Linotype" w:hAnsi="Palatino Linotype"/>
          <w:b/>
          <w:bCs/>
          <w:i/>
          <w:iCs/>
          <w:sz w:val="22"/>
          <w:szCs w:val="22"/>
          <w:lang w:val="es-ES" w:eastAsia="es-ES_tradnl"/>
        </w:rPr>
        <w:t xml:space="preserve">será </w:t>
      </w:r>
      <w:r w:rsidRPr="0057691B">
        <w:rPr>
          <w:rFonts w:ascii="Palatino Linotype" w:hAnsi="Palatino Linotype"/>
          <w:i/>
          <w:iCs/>
          <w:sz w:val="22"/>
          <w:szCs w:val="22"/>
          <w:lang w:val="es-ES" w:eastAsia="es-ES_tradnl"/>
        </w:rPr>
        <w:t xml:space="preserve">desechado por </w:t>
      </w:r>
      <w:r w:rsidRPr="0057691B">
        <w:rPr>
          <w:rFonts w:ascii="Palatino Linotype" w:hAnsi="Palatino Linotype"/>
          <w:b/>
          <w:bCs/>
          <w:i/>
          <w:iCs/>
          <w:sz w:val="22"/>
          <w:szCs w:val="22"/>
          <w:lang w:val="es-ES" w:eastAsia="es-ES_tradnl"/>
        </w:rPr>
        <w:t>improcedente cuando</w:t>
      </w:r>
      <w:r w:rsidRPr="0057691B">
        <w:rPr>
          <w:rFonts w:ascii="Palatino Linotype" w:hAnsi="Palatino Linotype"/>
          <w:i/>
          <w:iCs/>
          <w:sz w:val="22"/>
          <w:szCs w:val="22"/>
          <w:lang w:val="es-ES" w:eastAsia="es-ES_tradnl"/>
        </w:rPr>
        <w:t>:</w:t>
      </w:r>
    </w:p>
    <w:p w14:paraId="5686E2F6"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i/>
          <w:iCs/>
          <w:sz w:val="22"/>
          <w:szCs w:val="22"/>
          <w:lang w:val="es-ES" w:eastAsia="es-ES_tradnl"/>
        </w:rPr>
        <w:t>…</w:t>
      </w:r>
    </w:p>
    <w:p w14:paraId="0FBDEB6F"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b/>
          <w:bCs/>
          <w:i/>
          <w:iCs/>
          <w:sz w:val="22"/>
          <w:szCs w:val="22"/>
          <w:lang w:val="es-ES" w:eastAsia="es-ES_tradnl"/>
        </w:rPr>
        <w:t>VI. Se trate de una consulta</w:t>
      </w:r>
      <w:r w:rsidRPr="0057691B">
        <w:rPr>
          <w:rFonts w:ascii="Palatino Linotype" w:hAnsi="Palatino Linotype"/>
          <w:b/>
          <w:i/>
          <w:iCs/>
          <w:sz w:val="22"/>
          <w:szCs w:val="22"/>
          <w:lang w:val="es-ES" w:eastAsia="es-ES_tradnl"/>
        </w:rPr>
        <w:t>, o trámite en específico</w:t>
      </w:r>
      <w:r w:rsidRPr="0057691B">
        <w:rPr>
          <w:rFonts w:ascii="Palatino Linotype" w:hAnsi="Palatino Linotype"/>
          <w:b/>
          <w:bCs/>
          <w:i/>
          <w:iCs/>
          <w:sz w:val="22"/>
          <w:szCs w:val="22"/>
          <w:lang w:val="es-ES" w:eastAsia="es-ES_tradnl"/>
        </w:rPr>
        <w:t>; </w:t>
      </w:r>
    </w:p>
    <w:p w14:paraId="03FDC2AA"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b/>
          <w:bCs/>
          <w:i/>
          <w:iCs/>
          <w:sz w:val="22"/>
          <w:szCs w:val="22"/>
          <w:lang w:val="es-ES" w:eastAsia="es-ES_tradnl"/>
        </w:rPr>
        <w:t>…</w:t>
      </w:r>
    </w:p>
    <w:p w14:paraId="3921B638"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b/>
          <w:bCs/>
          <w:i/>
          <w:iCs/>
          <w:sz w:val="22"/>
          <w:szCs w:val="22"/>
          <w:lang w:val="es-ES" w:eastAsia="es-ES_tradnl"/>
        </w:rPr>
        <w:t>Artículo 192.</w:t>
      </w:r>
      <w:r w:rsidRPr="0057691B">
        <w:rPr>
          <w:rFonts w:ascii="Palatino Linotype" w:hAnsi="Palatino Linotype"/>
          <w:i/>
          <w:iCs/>
          <w:sz w:val="22"/>
          <w:szCs w:val="22"/>
          <w:lang w:val="es-ES" w:eastAsia="es-ES_tradnl"/>
        </w:rPr>
        <w:t xml:space="preserve"> El recurso será sobreseído, en todo o en parte, cuando una vez admitido, se actualicen alguno de los siguientes supuestos:</w:t>
      </w:r>
    </w:p>
    <w:p w14:paraId="5D58609A"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i/>
          <w:iCs/>
          <w:sz w:val="22"/>
          <w:szCs w:val="22"/>
          <w:lang w:val="es-ES" w:eastAsia="es-ES_tradnl"/>
        </w:rPr>
        <w:t>…</w:t>
      </w:r>
    </w:p>
    <w:p w14:paraId="227EE11E"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b/>
          <w:bCs/>
          <w:i/>
          <w:iCs/>
          <w:sz w:val="22"/>
          <w:szCs w:val="22"/>
          <w:lang w:val="es-ES" w:eastAsia="es-ES_tradnl"/>
        </w:rPr>
        <w:t>IV</w:t>
      </w:r>
      <w:r w:rsidRPr="0057691B">
        <w:rPr>
          <w:rFonts w:ascii="Palatino Linotype" w:hAnsi="Palatino Linotype"/>
          <w:i/>
          <w:iCs/>
          <w:sz w:val="22"/>
          <w:szCs w:val="22"/>
          <w:lang w:val="es-ES" w:eastAsia="es-ES_tradnl"/>
        </w:rPr>
        <w:t xml:space="preserve">. Admitido el recurso de revisión, </w:t>
      </w:r>
      <w:r w:rsidRPr="0057691B">
        <w:rPr>
          <w:rFonts w:ascii="Palatino Linotype" w:hAnsi="Palatino Linotype"/>
          <w:b/>
          <w:bCs/>
          <w:i/>
          <w:iCs/>
          <w:sz w:val="22"/>
          <w:szCs w:val="22"/>
          <w:lang w:val="es-ES" w:eastAsia="es-ES_tradnl"/>
        </w:rPr>
        <w:t>aparezca alguna causal de improcedencia</w:t>
      </w:r>
      <w:r w:rsidRPr="0057691B">
        <w:rPr>
          <w:rFonts w:ascii="Palatino Linotype" w:hAnsi="Palatino Linotype"/>
          <w:i/>
          <w:iCs/>
          <w:sz w:val="22"/>
          <w:szCs w:val="22"/>
          <w:lang w:val="es-ES" w:eastAsia="es-ES_tradnl"/>
        </w:rPr>
        <w:t xml:space="preserve"> en los términos de la presente Ley. “</w:t>
      </w:r>
    </w:p>
    <w:p w14:paraId="788F0852" w14:textId="77777777" w:rsidR="00082066" w:rsidRPr="0057691B" w:rsidRDefault="00082066" w:rsidP="00082066">
      <w:pPr>
        <w:spacing w:line="360" w:lineRule="auto"/>
        <w:rPr>
          <w:rFonts w:ascii="Palatino Linotype" w:hAnsi="Palatino Linotype"/>
          <w:sz w:val="22"/>
          <w:szCs w:val="22"/>
          <w:lang w:val="es-ES" w:eastAsia="es-ES_tradnl"/>
        </w:rPr>
      </w:pPr>
    </w:p>
    <w:p w14:paraId="223F3C7C" w14:textId="77777777" w:rsidR="00082066" w:rsidRPr="0057691B" w:rsidRDefault="00082066" w:rsidP="00082066">
      <w:pPr>
        <w:spacing w:line="360" w:lineRule="auto"/>
        <w:jc w:val="both"/>
        <w:rPr>
          <w:rFonts w:ascii="Palatino Linotype" w:hAnsi="Palatino Linotype"/>
          <w:sz w:val="22"/>
          <w:szCs w:val="22"/>
          <w:lang w:val="es-ES" w:eastAsia="es-ES_tradnl"/>
        </w:rPr>
      </w:pPr>
      <w:r w:rsidRPr="0057691B">
        <w:rPr>
          <w:rFonts w:ascii="Palatino Linotype" w:hAnsi="Palatino Linotype"/>
          <w:sz w:val="22"/>
          <w:szCs w:val="22"/>
          <w:lang w:val="es-ES" w:eastAsia="es-ES_tradnl"/>
        </w:rPr>
        <w:t xml:space="preserve">Siendo el </w:t>
      </w:r>
      <w:r w:rsidRPr="0057691B">
        <w:rPr>
          <w:rFonts w:ascii="Palatino Linotype" w:hAnsi="Palatino Linotype"/>
          <w:b/>
          <w:bCs/>
          <w:i/>
          <w:iCs/>
          <w:sz w:val="22"/>
          <w:szCs w:val="22"/>
          <w:lang w:val="es-ES" w:eastAsia="es-ES_tradnl"/>
        </w:rPr>
        <w:t>sobreseimiento</w:t>
      </w:r>
      <w:r w:rsidRPr="0057691B">
        <w:rPr>
          <w:rFonts w:ascii="Palatino Linotype" w:hAnsi="Palatino Linotype"/>
          <w:b/>
          <w:bCs/>
          <w:sz w:val="22"/>
          <w:szCs w:val="22"/>
          <w:lang w:val="es-ES" w:eastAsia="es-ES_tradnl"/>
        </w:rPr>
        <w:t xml:space="preserve"> </w:t>
      </w:r>
      <w:r w:rsidRPr="0057691B">
        <w:rPr>
          <w:rFonts w:ascii="Palatino Linotype" w:hAnsi="Palatino Linotype"/>
          <w:sz w:val="22"/>
          <w:szCs w:val="22"/>
          <w:lang w:val="es-ES" w:eastAsia="es-ES_tradnl"/>
        </w:rPr>
        <w:t>un acto que da por terminado el procedimiento administrativo de impugnación sin resolver el fondo de la cuestión planteada, por presentarse causas que impiden a la autoridad referirse a lo sustancial de lo planteado por el recurrente, los efectos del sobreseimiento consisten en dar por concluido el recurso administrativo sin entrar al estudio de fondo del asunto de que se trate; lo anterior con apoyo en el criterio del Poder Judicial de la Federación con rubro:</w:t>
      </w:r>
    </w:p>
    <w:p w14:paraId="6F001CE9" w14:textId="77777777" w:rsidR="00082066" w:rsidRPr="0057691B" w:rsidRDefault="00082066" w:rsidP="00082066">
      <w:pPr>
        <w:spacing w:line="360" w:lineRule="auto"/>
        <w:rPr>
          <w:rFonts w:ascii="Palatino Linotype" w:hAnsi="Palatino Linotype"/>
          <w:sz w:val="22"/>
          <w:szCs w:val="22"/>
          <w:lang w:val="es-ES" w:eastAsia="es-ES_tradnl"/>
        </w:rPr>
      </w:pPr>
    </w:p>
    <w:p w14:paraId="72621BDD" w14:textId="77777777" w:rsidR="00082066" w:rsidRPr="0057691B" w:rsidRDefault="00082066" w:rsidP="00082066">
      <w:pPr>
        <w:ind w:left="567" w:right="902"/>
        <w:jc w:val="both"/>
        <w:rPr>
          <w:rFonts w:ascii="Palatino Linotype" w:hAnsi="Palatino Linotype"/>
          <w:sz w:val="22"/>
          <w:szCs w:val="22"/>
          <w:lang w:val="es-ES" w:eastAsia="es-ES_tradnl"/>
        </w:rPr>
      </w:pPr>
      <w:r w:rsidRPr="0057691B">
        <w:rPr>
          <w:rFonts w:ascii="Palatino Linotype" w:hAnsi="Palatino Linotype"/>
          <w:i/>
          <w:iCs/>
          <w:sz w:val="22"/>
          <w:szCs w:val="22"/>
          <w:lang w:val="es-ES" w:eastAsia="es-ES_tradnl"/>
        </w:rPr>
        <w:t>“</w:t>
      </w:r>
      <w:r w:rsidRPr="0057691B">
        <w:rPr>
          <w:rFonts w:ascii="Palatino Linotype" w:hAnsi="Palatino Linotype"/>
          <w:b/>
          <w:bCs/>
          <w:i/>
          <w:iCs/>
          <w:sz w:val="22"/>
          <w:szCs w:val="22"/>
          <w:lang w:val="es-ES" w:eastAsia="es-ES_tradnl"/>
        </w:rPr>
        <w:t xml:space="preserve">SOBRESEIMIENTO, NO PERMITE ENTRAR AL ESTUDIO DE LAS CUESTIONES DE FONDO. </w:t>
      </w:r>
      <w:r w:rsidRPr="0057691B">
        <w:rPr>
          <w:rFonts w:ascii="Palatino Linotype" w:hAnsi="Palatino Linotype"/>
          <w:i/>
          <w:iCs/>
          <w:sz w:val="22"/>
          <w:szCs w:val="22"/>
          <w:lang w:val="es-ES" w:eastAsia="es-ES_tradnl"/>
        </w:rPr>
        <w:t>No causa agravio la sentencia que no se ocupa de los razonamientos tendientes a demostrar la inconstitucionalidad de los actos reclamados de las autoridades responsables, que constituyen el problema de fondo, si se decreta el sobreseimiento del juicio.” </w:t>
      </w:r>
    </w:p>
    <w:p w14:paraId="38D3EBD7" w14:textId="77777777" w:rsidR="00082066" w:rsidRPr="0057691B" w:rsidRDefault="00082066" w:rsidP="00082066">
      <w:pPr>
        <w:spacing w:line="360" w:lineRule="auto"/>
        <w:rPr>
          <w:rFonts w:ascii="Palatino Linotype" w:hAnsi="Palatino Linotype"/>
          <w:sz w:val="22"/>
          <w:szCs w:val="22"/>
          <w:lang w:val="es-ES" w:eastAsia="es-ES_tradnl"/>
        </w:rPr>
      </w:pPr>
    </w:p>
    <w:p w14:paraId="350B6901" w14:textId="77777777" w:rsidR="00082066" w:rsidRPr="0057691B" w:rsidRDefault="00082066" w:rsidP="00082066">
      <w:pPr>
        <w:spacing w:line="360" w:lineRule="auto"/>
        <w:jc w:val="both"/>
        <w:rPr>
          <w:rFonts w:ascii="Palatino Linotype" w:hAnsi="Palatino Linotype"/>
          <w:sz w:val="22"/>
          <w:szCs w:val="22"/>
          <w:lang w:val="es-ES" w:eastAsia="es-ES_tradnl"/>
        </w:rPr>
      </w:pPr>
      <w:r w:rsidRPr="0057691B">
        <w:rPr>
          <w:rFonts w:ascii="Palatino Linotype" w:hAnsi="Palatino Linotype"/>
          <w:sz w:val="22"/>
          <w:szCs w:val="22"/>
          <w:lang w:val="es-ES" w:eastAsia="es-ES_tradnl"/>
        </w:rPr>
        <w:t>Cabe destacar que la decisión de este Organismo Colegiado de sobreseer el recurso de revisión no implica una limitación o negación a la justicia, según lo ha establecido el Poder Judicial Federal, en el criterio que es aplicable por analogía, con rubro:</w:t>
      </w:r>
    </w:p>
    <w:p w14:paraId="11C8134C" w14:textId="77777777" w:rsidR="00082066" w:rsidRPr="0057691B" w:rsidRDefault="00082066" w:rsidP="00082066">
      <w:pPr>
        <w:spacing w:line="360" w:lineRule="auto"/>
        <w:rPr>
          <w:rFonts w:ascii="Palatino Linotype" w:hAnsi="Palatino Linotype"/>
          <w:sz w:val="22"/>
          <w:szCs w:val="22"/>
          <w:lang w:val="es-ES" w:eastAsia="es-ES_tradnl"/>
        </w:rPr>
      </w:pPr>
    </w:p>
    <w:p w14:paraId="43990C79" w14:textId="77777777" w:rsidR="00082066" w:rsidRPr="0057691B" w:rsidRDefault="00082066" w:rsidP="00082066">
      <w:pPr>
        <w:ind w:left="567" w:right="567"/>
        <w:jc w:val="both"/>
        <w:rPr>
          <w:rFonts w:ascii="Palatino Linotype" w:hAnsi="Palatino Linotype"/>
          <w:sz w:val="22"/>
          <w:szCs w:val="22"/>
          <w:lang w:val="es-ES" w:eastAsia="es-ES_tradnl"/>
        </w:rPr>
      </w:pPr>
      <w:r w:rsidRPr="0057691B">
        <w:rPr>
          <w:rFonts w:ascii="Palatino Linotype" w:hAnsi="Palatino Linotype"/>
          <w:b/>
          <w:bCs/>
          <w:i/>
          <w:iCs/>
          <w:sz w:val="22"/>
          <w:szCs w:val="22"/>
          <w:lang w:val="es-ES" w:eastAsia="es-ES_tradnl"/>
        </w:rPr>
        <w:t xml:space="preserve">“DESECHAMIENTO O SOBRESEIMIENTO EN EL JUICIO DE AMPARO. NO IMPLICA DENEGACIÓN DE JUSTICIA NI GENERA INSEGURIDAD JURÍDICA” </w:t>
      </w:r>
      <w:r w:rsidRPr="0057691B">
        <w:rPr>
          <w:rFonts w:ascii="Palatino Linotype" w:hAnsi="Palatino Linotype"/>
          <w:i/>
          <w:iCs/>
          <w:sz w:val="22"/>
          <w:szCs w:val="22"/>
          <w:lang w:val="es-ES" w:eastAsia="es-ES_tradnl"/>
        </w:rPr>
        <w:t>Cuando se desecha una demanda de amparo o se sobresee en el juicio, ello no implica denegar justicia ni genera inseguridad jurídica, ya que la obligación de los tribunales no es tramitar y resolver en el fondo todos los asuntos sometidos a su consideración en forma favorable a los intereses del solicitante, sino que se circunscribe a la posibilidad que tiene cualquier individuo de acudir ante los órganos jurisdiccionales, con su promoción (demanda), a la cual debe darse el trámite acorde a las formalidades rectoras del procedimiento respectivo, dentro de las cuales el legislador previó las causales de improcedencia y sobreseimiento. Así, cuando el juzgador o tribunal de amparo se funda en una de ellas para desechar o sobreseer en un juicio, imparte justicia, puesto que el acceso a ella no se ve menoscabado, sino que es efectivo, ni se deja en estado de indefensión al promovente, no obstante sea desfavorable, al no poder negar que se da respuesta a la petición de amparo, con independencia de que no comparta el sentido de la resolución, dado que de esa forma quien imparte justicia se pronuncia sobre la acción, diciendo así el derecho y permitiendo que impere el orden jurídico.” </w:t>
      </w:r>
    </w:p>
    <w:p w14:paraId="61804AD5" w14:textId="77777777" w:rsidR="00082066" w:rsidRPr="0057691B" w:rsidRDefault="00082066" w:rsidP="00082066">
      <w:pPr>
        <w:pBdr>
          <w:top w:val="nil"/>
          <w:left w:val="nil"/>
          <w:bottom w:val="nil"/>
          <w:right w:val="nil"/>
          <w:between w:val="nil"/>
        </w:pBdr>
        <w:spacing w:line="360" w:lineRule="auto"/>
        <w:ind w:right="134"/>
        <w:jc w:val="both"/>
        <w:rPr>
          <w:rFonts w:ascii="Palatino Linotype" w:eastAsia="Palatino Linotype" w:hAnsi="Palatino Linotype" w:cs="Palatino Linotype"/>
          <w:sz w:val="22"/>
          <w:szCs w:val="22"/>
        </w:rPr>
      </w:pPr>
    </w:p>
    <w:p w14:paraId="11C3B528" w14:textId="77777777" w:rsidR="00082066" w:rsidRPr="0057691B" w:rsidRDefault="00082066" w:rsidP="00082066">
      <w:pPr>
        <w:spacing w:line="360" w:lineRule="auto"/>
        <w:ind w:right="49"/>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sz w:val="22"/>
          <w:szCs w:val="22"/>
        </w:rPr>
        <w:t xml:space="preserve">Así, con fundamento en lo prescrito en los artículos </w:t>
      </w:r>
      <w:r w:rsidRPr="0057691B">
        <w:rPr>
          <w:rFonts w:ascii="Palatino Linotype" w:hAnsi="Palatino Linotype"/>
          <w:sz w:val="22"/>
          <w:szCs w:val="22"/>
        </w:rPr>
        <w:t>5 párrafos cuadragésimo cuarto, cuadragésimo quinto, cuadragésimo sexto, fracciones IV y V de la Constitución Política del Estado Libre y Soberano de México; Transitorio Cuarto, párrafo segundo del Decreto número 198 de la “LXII” Legislatura del Estado de México</w:t>
      </w:r>
      <w:r w:rsidRPr="0057691B">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34D81F82" w14:textId="77777777" w:rsidR="00082066" w:rsidRPr="0057691B" w:rsidRDefault="00082066" w:rsidP="00082066">
      <w:pPr>
        <w:spacing w:line="360" w:lineRule="auto"/>
        <w:ind w:right="49"/>
        <w:jc w:val="center"/>
        <w:rPr>
          <w:rFonts w:ascii="Palatino Linotype" w:eastAsia="Palatino Linotype" w:hAnsi="Palatino Linotype" w:cs="Palatino Linotype"/>
          <w:b/>
          <w:sz w:val="22"/>
          <w:szCs w:val="22"/>
        </w:rPr>
      </w:pPr>
      <w:r w:rsidRPr="0057691B">
        <w:rPr>
          <w:rFonts w:ascii="Palatino Linotype" w:eastAsia="Palatino Linotype" w:hAnsi="Palatino Linotype" w:cs="Palatino Linotype"/>
          <w:b/>
          <w:sz w:val="22"/>
          <w:szCs w:val="22"/>
        </w:rPr>
        <w:t>III.</w:t>
      </w:r>
      <w:r w:rsidRPr="0057691B">
        <w:rPr>
          <w:rFonts w:ascii="Palatino Linotype" w:eastAsia="Palatino Linotype" w:hAnsi="Palatino Linotype" w:cs="Palatino Linotype"/>
          <w:b/>
          <w:sz w:val="22"/>
          <w:szCs w:val="22"/>
        </w:rPr>
        <w:tab/>
        <w:t>R E S U E L V E:</w:t>
      </w:r>
    </w:p>
    <w:p w14:paraId="623D8568" w14:textId="77777777" w:rsidR="00082066" w:rsidRPr="0057691B" w:rsidRDefault="00082066" w:rsidP="00082066">
      <w:pPr>
        <w:spacing w:line="360" w:lineRule="auto"/>
        <w:ind w:right="49"/>
        <w:jc w:val="both"/>
        <w:rPr>
          <w:rFonts w:ascii="Palatino Linotype" w:eastAsia="Palatino Linotype" w:hAnsi="Palatino Linotype" w:cs="Palatino Linotype"/>
          <w:sz w:val="22"/>
          <w:szCs w:val="22"/>
        </w:rPr>
      </w:pPr>
    </w:p>
    <w:p w14:paraId="6D33D60C" w14:textId="7C1FDBD2" w:rsidR="00082066" w:rsidRPr="0057691B" w:rsidRDefault="00082066" w:rsidP="00082066">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 xml:space="preserve">PRIMERO. </w:t>
      </w:r>
      <w:r w:rsidRPr="0057691B">
        <w:rPr>
          <w:rFonts w:ascii="Palatino Linotype" w:eastAsia="Palatino Linotype" w:hAnsi="Palatino Linotype" w:cs="Palatino Linotype"/>
          <w:sz w:val="22"/>
          <w:szCs w:val="22"/>
        </w:rPr>
        <w:t xml:space="preserve">Se </w:t>
      </w:r>
      <w:r w:rsidRPr="0057691B">
        <w:rPr>
          <w:rFonts w:ascii="Palatino Linotype" w:eastAsia="Palatino Linotype" w:hAnsi="Palatino Linotype" w:cs="Palatino Linotype"/>
          <w:b/>
          <w:bCs/>
          <w:sz w:val="22"/>
          <w:szCs w:val="22"/>
        </w:rPr>
        <w:t>SOBRESEE</w:t>
      </w:r>
      <w:r w:rsidRPr="0057691B">
        <w:rPr>
          <w:rFonts w:ascii="Palatino Linotype" w:eastAsia="Palatino Linotype" w:hAnsi="Palatino Linotype" w:cs="Palatino Linotype"/>
          <w:sz w:val="22"/>
          <w:szCs w:val="22"/>
        </w:rPr>
        <w:t xml:space="preserve"> el Recurso de Revisión número </w:t>
      </w:r>
      <w:r w:rsidR="00757F12" w:rsidRPr="0057691B">
        <w:rPr>
          <w:rFonts w:ascii="Palatino Linotype" w:eastAsia="Palatino Linotype" w:hAnsi="Palatino Linotype" w:cs="Palatino Linotype"/>
          <w:b/>
          <w:sz w:val="22"/>
          <w:szCs w:val="22"/>
        </w:rPr>
        <w:t>07694/INFOEM/IP/RR/2026</w:t>
      </w:r>
      <w:r w:rsidRPr="0057691B">
        <w:rPr>
          <w:rFonts w:ascii="Palatino Linotype" w:eastAsia="Palatino Linotype" w:hAnsi="Palatino Linotype" w:cs="Palatino Linotype"/>
          <w:sz w:val="22"/>
          <w:szCs w:val="22"/>
        </w:rPr>
        <w:t xml:space="preserve">, por actualizarse la causal de improcedencia prevista en la fracción IV del artículo 192, en relación con la fracción VI del artículo 191, ambos de la Ley de Transparencia y Acceso a la Información Pública del Estado de México y Municipio, en términos del Considerando </w:t>
      </w:r>
      <w:r w:rsidRPr="0057691B">
        <w:rPr>
          <w:rFonts w:ascii="Palatino Linotype" w:eastAsia="Palatino Linotype" w:hAnsi="Palatino Linotype" w:cs="Palatino Linotype"/>
          <w:b/>
          <w:bCs/>
          <w:sz w:val="22"/>
          <w:szCs w:val="22"/>
        </w:rPr>
        <w:t xml:space="preserve">TERCERO </w:t>
      </w:r>
      <w:r w:rsidRPr="0057691B">
        <w:rPr>
          <w:rFonts w:ascii="Palatino Linotype" w:eastAsia="Palatino Linotype" w:hAnsi="Palatino Linotype" w:cs="Palatino Linotype"/>
          <w:sz w:val="22"/>
          <w:szCs w:val="22"/>
        </w:rPr>
        <w:t>de la presente resolución.</w:t>
      </w:r>
    </w:p>
    <w:p w14:paraId="78A78071" w14:textId="77777777" w:rsidR="00082066" w:rsidRPr="0057691B" w:rsidRDefault="00082066" w:rsidP="00082066">
      <w:pPr>
        <w:spacing w:line="360" w:lineRule="auto"/>
        <w:jc w:val="both"/>
        <w:rPr>
          <w:rFonts w:ascii="Palatino Linotype" w:eastAsia="Palatino Linotype" w:hAnsi="Palatino Linotype" w:cs="Palatino Linotype"/>
          <w:sz w:val="22"/>
          <w:szCs w:val="22"/>
        </w:rPr>
      </w:pPr>
    </w:p>
    <w:p w14:paraId="4CF77971" w14:textId="77777777" w:rsidR="00082066" w:rsidRPr="0057691B" w:rsidRDefault="00082066" w:rsidP="00082066">
      <w:pPr>
        <w:spacing w:line="360" w:lineRule="auto"/>
        <w:jc w:val="both"/>
        <w:rPr>
          <w:rFonts w:ascii="Palatino Linotype" w:eastAsia="Palatino Linotype" w:hAnsi="Palatino Linotype" w:cs="Palatino Linotype"/>
          <w:b/>
          <w:sz w:val="22"/>
          <w:szCs w:val="22"/>
        </w:rPr>
      </w:pPr>
      <w:r w:rsidRPr="0057691B">
        <w:rPr>
          <w:rFonts w:ascii="Palatino Linotype" w:eastAsia="Palatino Linotype" w:hAnsi="Palatino Linotype" w:cs="Palatino Linotype"/>
          <w:b/>
          <w:sz w:val="22"/>
          <w:szCs w:val="22"/>
        </w:rPr>
        <w:t xml:space="preserve">SEGUNDO. Notifíquese </w:t>
      </w:r>
      <w:r w:rsidRPr="0057691B">
        <w:rPr>
          <w:rFonts w:ascii="Palatino Linotype" w:eastAsia="Palatino Linotype" w:hAnsi="Palatino Linotype" w:cs="Palatino Linotype"/>
          <w:sz w:val="22"/>
          <w:szCs w:val="22"/>
        </w:rPr>
        <w:t>a través del</w:t>
      </w:r>
      <w:r w:rsidRPr="0057691B">
        <w:rPr>
          <w:rFonts w:ascii="Palatino Linotype" w:eastAsia="Palatino Linotype" w:hAnsi="Palatino Linotype" w:cs="Palatino Linotype"/>
          <w:b/>
          <w:sz w:val="22"/>
          <w:szCs w:val="22"/>
        </w:rPr>
        <w:t xml:space="preserve"> Sistema de Acceso a la Información Mexiquense</w:t>
      </w:r>
      <w:r w:rsidRPr="0057691B">
        <w:rPr>
          <w:rFonts w:ascii="Palatino Linotype" w:eastAsia="Palatino Linotype" w:hAnsi="Palatino Linotype" w:cs="Palatino Linotype"/>
          <w:sz w:val="22"/>
          <w:szCs w:val="22"/>
        </w:rPr>
        <w:t xml:space="preserve"> </w:t>
      </w:r>
      <w:r w:rsidRPr="0057691B">
        <w:rPr>
          <w:rFonts w:ascii="Palatino Linotype" w:eastAsia="Palatino Linotype" w:hAnsi="Palatino Linotype" w:cs="Palatino Linotype"/>
          <w:b/>
          <w:sz w:val="22"/>
          <w:szCs w:val="22"/>
        </w:rPr>
        <w:t xml:space="preserve">(SAIMEX) </w:t>
      </w:r>
      <w:r w:rsidRPr="0057691B">
        <w:rPr>
          <w:rFonts w:ascii="Palatino Linotype" w:eastAsia="Palatino Linotype" w:hAnsi="Palatino Linotype" w:cs="Palatino Linotype"/>
          <w:sz w:val="22"/>
          <w:szCs w:val="22"/>
        </w:rPr>
        <w:t>la presente resolución a la Titular de la Unidad de Transparencia del</w:t>
      </w:r>
      <w:r w:rsidRPr="0057691B">
        <w:rPr>
          <w:rFonts w:ascii="Palatino Linotype" w:eastAsia="Palatino Linotype" w:hAnsi="Palatino Linotype" w:cs="Palatino Linotype"/>
          <w:b/>
          <w:sz w:val="22"/>
          <w:szCs w:val="22"/>
        </w:rPr>
        <w:t xml:space="preserve"> Sujeto Obligado. </w:t>
      </w:r>
    </w:p>
    <w:p w14:paraId="4CFAD0C5" w14:textId="77777777" w:rsidR="00082066" w:rsidRPr="0057691B" w:rsidRDefault="00082066" w:rsidP="00082066">
      <w:pPr>
        <w:spacing w:line="360" w:lineRule="auto"/>
        <w:jc w:val="both"/>
        <w:rPr>
          <w:rFonts w:ascii="Palatino Linotype" w:eastAsia="Palatino Linotype" w:hAnsi="Palatino Linotype" w:cs="Palatino Linotype"/>
          <w:b/>
          <w:sz w:val="22"/>
          <w:szCs w:val="22"/>
        </w:rPr>
      </w:pPr>
    </w:p>
    <w:p w14:paraId="4D2804E9" w14:textId="77777777" w:rsidR="00082066" w:rsidRPr="0057691B" w:rsidRDefault="00082066" w:rsidP="00082066">
      <w:pPr>
        <w:spacing w:line="360" w:lineRule="auto"/>
        <w:jc w:val="both"/>
        <w:rPr>
          <w:rFonts w:ascii="Palatino Linotype" w:eastAsia="Palatino Linotype" w:hAnsi="Palatino Linotype" w:cs="Palatino Linotype"/>
          <w:sz w:val="22"/>
          <w:szCs w:val="22"/>
        </w:rPr>
      </w:pPr>
      <w:r w:rsidRPr="0057691B">
        <w:rPr>
          <w:rFonts w:ascii="Palatino Linotype" w:eastAsia="Palatino Linotype" w:hAnsi="Palatino Linotype" w:cs="Palatino Linotype"/>
          <w:b/>
          <w:sz w:val="22"/>
          <w:szCs w:val="22"/>
        </w:rPr>
        <w:t xml:space="preserve">TERCERO. Notifíquese a través del Sistema de Acceso a la Información Mexiquense (SAIMEX) </w:t>
      </w:r>
      <w:r w:rsidRPr="0057691B">
        <w:rPr>
          <w:rFonts w:ascii="Palatino Linotype" w:eastAsia="Palatino Linotype" w:hAnsi="Palatino Linotype" w:cs="Palatino Linotype"/>
          <w:sz w:val="22"/>
          <w:szCs w:val="22"/>
        </w:rPr>
        <w:t xml:space="preserve">a la parte </w:t>
      </w:r>
      <w:r w:rsidRPr="0057691B">
        <w:rPr>
          <w:rFonts w:ascii="Palatino Linotype" w:eastAsia="Palatino Linotype" w:hAnsi="Palatino Linotype" w:cs="Palatino Linotype"/>
          <w:b/>
          <w:sz w:val="22"/>
          <w:szCs w:val="22"/>
        </w:rPr>
        <w:t>Recurrente,</w:t>
      </w:r>
      <w:r w:rsidRPr="0057691B">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podrá impugnarla en la vía Juicio de Amparo en los términos de las leyes aplicables.</w:t>
      </w:r>
    </w:p>
    <w:p w14:paraId="107286B5" w14:textId="77777777" w:rsidR="001778A6" w:rsidRPr="0057691B" w:rsidRDefault="001778A6" w:rsidP="006E19B5">
      <w:pPr>
        <w:spacing w:line="360" w:lineRule="auto"/>
        <w:jc w:val="both"/>
        <w:rPr>
          <w:rFonts w:ascii="Palatino Linotype" w:hAnsi="Palatino Linotype"/>
          <w:sz w:val="22"/>
          <w:szCs w:val="22"/>
        </w:rPr>
      </w:pPr>
    </w:p>
    <w:p w14:paraId="124DF890" w14:textId="72902B71" w:rsidR="00C877F6" w:rsidRPr="00CB68F3" w:rsidRDefault="00F36565">
      <w:pPr>
        <w:spacing w:line="360" w:lineRule="auto"/>
        <w:ind w:right="-93"/>
        <w:jc w:val="both"/>
        <w:rPr>
          <w:rFonts w:ascii="Palatino Linotype" w:eastAsia="Palatino Linotype" w:hAnsi="Palatino Linotype" w:cs="Palatino Linotype"/>
          <w:sz w:val="22"/>
          <w:szCs w:val="22"/>
        </w:rPr>
      </w:pPr>
      <w:bookmarkStart w:id="2" w:name="_heading=h.jl0dlasot4f" w:colFirst="0" w:colLast="0"/>
      <w:bookmarkEnd w:id="2"/>
      <w:r w:rsidRPr="0057691B">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w:t>
      </w:r>
      <w:r w:rsidR="00CB68F3" w:rsidRPr="0057691B">
        <w:rPr>
          <w:rFonts w:ascii="Palatino Linotype" w:eastAsia="Palatino Linotype" w:hAnsi="Palatino Linotype" w:cs="Palatino Linotype"/>
          <w:sz w:val="22"/>
          <w:szCs w:val="22"/>
        </w:rPr>
        <w:t xml:space="preserve"> </w:t>
      </w:r>
      <w:r w:rsidRPr="0057691B">
        <w:rPr>
          <w:rFonts w:ascii="Palatino Linotype" w:eastAsia="Palatino Linotype" w:hAnsi="Palatino Linotype" w:cs="Palatino Linotype"/>
          <w:sz w:val="22"/>
          <w:szCs w:val="22"/>
        </w:rPr>
        <w:t xml:space="preserve">Y GUADALUPE RAMÍREZ PEÑA; EN LA </w:t>
      </w:r>
      <w:r w:rsidR="00074DEC" w:rsidRPr="0057691B">
        <w:rPr>
          <w:rFonts w:ascii="Palatino Linotype" w:eastAsia="Palatino Linotype" w:hAnsi="Palatino Linotype" w:cs="Palatino Linotype"/>
          <w:sz w:val="22"/>
          <w:szCs w:val="22"/>
        </w:rPr>
        <w:t xml:space="preserve">TRIGÉSIMA CUARTA </w:t>
      </w:r>
      <w:r w:rsidRPr="0057691B">
        <w:rPr>
          <w:rFonts w:ascii="Palatino Linotype" w:eastAsia="Palatino Linotype" w:hAnsi="Palatino Linotype" w:cs="Palatino Linotype"/>
          <w:sz w:val="22"/>
          <w:szCs w:val="22"/>
        </w:rPr>
        <w:t>S</w:t>
      </w:r>
      <w:r w:rsidR="001244B6" w:rsidRPr="0057691B">
        <w:rPr>
          <w:rFonts w:ascii="Palatino Linotype" w:eastAsia="Palatino Linotype" w:hAnsi="Palatino Linotype" w:cs="Palatino Linotype"/>
          <w:sz w:val="22"/>
          <w:szCs w:val="22"/>
        </w:rPr>
        <w:t xml:space="preserve">ESIÓN ORDINARIA CELEBRADA EL </w:t>
      </w:r>
      <w:r w:rsidR="00074DEC" w:rsidRPr="0057691B">
        <w:rPr>
          <w:rFonts w:ascii="Palatino Linotype" w:eastAsia="Palatino Linotype" w:hAnsi="Palatino Linotype" w:cs="Palatino Linotype"/>
          <w:sz w:val="22"/>
          <w:szCs w:val="22"/>
        </w:rPr>
        <w:t>VEINTI</w:t>
      </w:r>
      <w:r w:rsidR="00CB68F3" w:rsidRPr="0057691B">
        <w:rPr>
          <w:rFonts w:ascii="Palatino Linotype" w:eastAsia="Palatino Linotype" w:hAnsi="Palatino Linotype" w:cs="Palatino Linotype"/>
          <w:sz w:val="22"/>
          <w:szCs w:val="22"/>
        </w:rPr>
        <w:t>UATRO</w:t>
      </w:r>
      <w:r w:rsidR="00074DEC" w:rsidRPr="0057691B">
        <w:rPr>
          <w:rFonts w:ascii="Palatino Linotype" w:eastAsia="Palatino Linotype" w:hAnsi="Palatino Linotype" w:cs="Palatino Linotype"/>
          <w:sz w:val="22"/>
          <w:szCs w:val="22"/>
        </w:rPr>
        <w:t xml:space="preserve"> DE SEPTIEMBRE</w:t>
      </w:r>
      <w:r w:rsidRPr="0057691B">
        <w:rPr>
          <w:rFonts w:ascii="Palatino Linotype" w:eastAsia="Palatino Linotype" w:hAnsi="Palatino Linotype" w:cs="Palatino Linotype"/>
          <w:sz w:val="22"/>
          <w:szCs w:val="22"/>
        </w:rPr>
        <w:t xml:space="preserve"> DE DOS MIL VEINTI</w:t>
      </w:r>
      <w:r w:rsidR="000C6DFE" w:rsidRPr="0057691B">
        <w:rPr>
          <w:rFonts w:ascii="Palatino Linotype" w:eastAsia="Palatino Linotype" w:hAnsi="Palatino Linotype" w:cs="Palatino Linotype"/>
          <w:sz w:val="22"/>
          <w:szCs w:val="22"/>
        </w:rPr>
        <w:t>SÉIS</w:t>
      </w:r>
      <w:r w:rsidRPr="0057691B">
        <w:rPr>
          <w:rFonts w:ascii="Palatino Linotype" w:eastAsia="Palatino Linotype" w:hAnsi="Palatino Linotype" w:cs="Palatino Linotype"/>
          <w:sz w:val="22"/>
          <w:szCs w:val="22"/>
        </w:rPr>
        <w:t>, ANTE EL SECRETARIO TÉCNICO DEL PLENO ALEXIS TAPIA RAMÍREZ.</w:t>
      </w:r>
    </w:p>
    <w:p w14:paraId="54455659" w14:textId="77777777" w:rsidR="00C877F6" w:rsidRPr="00CB68F3" w:rsidRDefault="00C877F6">
      <w:pPr>
        <w:spacing w:line="360" w:lineRule="auto"/>
        <w:ind w:right="-93"/>
        <w:jc w:val="both"/>
        <w:rPr>
          <w:rFonts w:ascii="Palatino Linotype" w:eastAsia="Palatino Linotype" w:hAnsi="Palatino Linotype" w:cs="Palatino Linotype"/>
          <w:sz w:val="22"/>
          <w:szCs w:val="22"/>
        </w:rPr>
      </w:pPr>
    </w:p>
    <w:p w14:paraId="030E6A5B" w14:textId="77777777" w:rsidR="00C877F6" w:rsidRPr="00CB68F3" w:rsidRDefault="00C877F6">
      <w:pPr>
        <w:spacing w:line="360" w:lineRule="auto"/>
        <w:ind w:right="-93"/>
        <w:jc w:val="both"/>
        <w:rPr>
          <w:rFonts w:ascii="Palatino Linotype" w:eastAsia="Palatino Linotype" w:hAnsi="Palatino Linotype" w:cs="Palatino Linotype"/>
          <w:sz w:val="22"/>
          <w:szCs w:val="22"/>
        </w:rPr>
      </w:pPr>
    </w:p>
    <w:p w14:paraId="5B12C640" w14:textId="77777777" w:rsidR="00C877F6" w:rsidRPr="00CB68F3" w:rsidRDefault="00C877F6">
      <w:pPr>
        <w:spacing w:line="360" w:lineRule="auto"/>
        <w:ind w:right="-93"/>
        <w:jc w:val="both"/>
        <w:rPr>
          <w:rFonts w:ascii="Palatino Linotype" w:eastAsia="Palatino Linotype" w:hAnsi="Palatino Linotype" w:cs="Palatino Linotype"/>
          <w:sz w:val="22"/>
          <w:szCs w:val="22"/>
        </w:rPr>
      </w:pPr>
    </w:p>
    <w:p w14:paraId="7A4C70FF" w14:textId="77777777" w:rsidR="00C877F6" w:rsidRPr="00CB68F3" w:rsidRDefault="00C877F6">
      <w:pPr>
        <w:spacing w:line="360" w:lineRule="auto"/>
        <w:ind w:right="-93"/>
        <w:jc w:val="both"/>
        <w:rPr>
          <w:rFonts w:ascii="Palatino Linotype" w:eastAsia="Palatino Linotype" w:hAnsi="Palatino Linotype" w:cs="Palatino Linotype"/>
          <w:sz w:val="22"/>
          <w:szCs w:val="22"/>
        </w:rPr>
      </w:pPr>
    </w:p>
    <w:p w14:paraId="6197DF1F" w14:textId="77777777" w:rsidR="00C877F6" w:rsidRPr="00CB68F3" w:rsidRDefault="00C877F6">
      <w:pPr>
        <w:spacing w:line="360" w:lineRule="auto"/>
        <w:ind w:right="-93"/>
        <w:jc w:val="both"/>
        <w:rPr>
          <w:rFonts w:ascii="Palatino Linotype" w:eastAsia="Palatino Linotype" w:hAnsi="Palatino Linotype" w:cs="Palatino Linotype"/>
          <w:sz w:val="22"/>
          <w:szCs w:val="22"/>
        </w:rPr>
      </w:pPr>
    </w:p>
    <w:p w14:paraId="1A57851A" w14:textId="331CA1C8" w:rsidR="00C877F6" w:rsidRPr="00CB68F3" w:rsidRDefault="00C877F6">
      <w:pPr>
        <w:spacing w:line="360" w:lineRule="auto"/>
        <w:ind w:right="49"/>
        <w:jc w:val="both"/>
        <w:rPr>
          <w:rFonts w:ascii="Palatino Linotype" w:eastAsia="Palatino Linotype" w:hAnsi="Palatino Linotype" w:cs="Palatino Linotype"/>
          <w:sz w:val="22"/>
          <w:szCs w:val="22"/>
        </w:rPr>
      </w:pPr>
    </w:p>
    <w:p w14:paraId="6C7736FE" w14:textId="34859719" w:rsidR="001C6F25" w:rsidRPr="00CB68F3" w:rsidRDefault="001C6F25">
      <w:pPr>
        <w:spacing w:line="360" w:lineRule="auto"/>
        <w:ind w:right="49"/>
        <w:jc w:val="both"/>
        <w:rPr>
          <w:rFonts w:ascii="Palatino Linotype" w:eastAsia="Palatino Linotype" w:hAnsi="Palatino Linotype" w:cs="Palatino Linotype"/>
          <w:sz w:val="22"/>
          <w:szCs w:val="22"/>
        </w:rPr>
      </w:pPr>
    </w:p>
    <w:p w14:paraId="0402786C" w14:textId="6DD26EA5" w:rsidR="001C6F25" w:rsidRPr="00CB68F3" w:rsidRDefault="001C6F25">
      <w:pPr>
        <w:spacing w:line="360" w:lineRule="auto"/>
        <w:ind w:right="49"/>
        <w:jc w:val="both"/>
        <w:rPr>
          <w:rFonts w:ascii="Palatino Linotype" w:eastAsia="Palatino Linotype" w:hAnsi="Palatino Linotype" w:cs="Palatino Linotype"/>
          <w:sz w:val="22"/>
          <w:szCs w:val="22"/>
        </w:rPr>
      </w:pPr>
    </w:p>
    <w:p w14:paraId="3CEB9E9C" w14:textId="3630AB74" w:rsidR="001C6F25" w:rsidRPr="00CB68F3" w:rsidRDefault="001C6F25">
      <w:pPr>
        <w:spacing w:line="360" w:lineRule="auto"/>
        <w:ind w:right="49"/>
        <w:jc w:val="both"/>
        <w:rPr>
          <w:rFonts w:ascii="Palatino Linotype" w:eastAsia="Palatino Linotype" w:hAnsi="Palatino Linotype" w:cs="Palatino Linotype"/>
          <w:sz w:val="22"/>
          <w:szCs w:val="22"/>
        </w:rPr>
      </w:pPr>
    </w:p>
    <w:p w14:paraId="042E4062" w14:textId="7D68AEC3" w:rsidR="001C6F25" w:rsidRPr="00CB68F3" w:rsidRDefault="001C6F25">
      <w:pPr>
        <w:spacing w:line="360" w:lineRule="auto"/>
        <w:ind w:right="49"/>
        <w:jc w:val="both"/>
        <w:rPr>
          <w:rFonts w:ascii="Palatino Linotype" w:eastAsia="Palatino Linotype" w:hAnsi="Palatino Linotype" w:cs="Palatino Linotype"/>
          <w:sz w:val="22"/>
          <w:szCs w:val="22"/>
        </w:rPr>
      </w:pPr>
    </w:p>
    <w:p w14:paraId="340573C4" w14:textId="5036E2AB" w:rsidR="001C6F25" w:rsidRPr="00CB68F3" w:rsidRDefault="001C6F25">
      <w:pPr>
        <w:spacing w:line="360" w:lineRule="auto"/>
        <w:ind w:right="49"/>
        <w:jc w:val="both"/>
        <w:rPr>
          <w:rFonts w:ascii="Palatino Linotype" w:eastAsia="Palatino Linotype" w:hAnsi="Palatino Linotype" w:cs="Palatino Linotype"/>
          <w:sz w:val="22"/>
          <w:szCs w:val="22"/>
        </w:rPr>
      </w:pPr>
    </w:p>
    <w:p w14:paraId="64A2AA5D" w14:textId="4F6E8F5F" w:rsidR="001C6F25" w:rsidRPr="00CB68F3" w:rsidRDefault="001C6F25">
      <w:pPr>
        <w:spacing w:line="360" w:lineRule="auto"/>
        <w:ind w:right="49"/>
        <w:jc w:val="both"/>
        <w:rPr>
          <w:rFonts w:ascii="Palatino Linotype" w:eastAsia="Palatino Linotype" w:hAnsi="Palatino Linotype" w:cs="Palatino Linotype"/>
          <w:sz w:val="22"/>
          <w:szCs w:val="22"/>
        </w:rPr>
      </w:pPr>
    </w:p>
    <w:p w14:paraId="5F7F0454" w14:textId="26D5FC09" w:rsidR="001C6F25" w:rsidRPr="00CB68F3" w:rsidRDefault="001C6F25">
      <w:pPr>
        <w:spacing w:line="360" w:lineRule="auto"/>
        <w:ind w:right="49"/>
        <w:jc w:val="both"/>
        <w:rPr>
          <w:rFonts w:ascii="Palatino Linotype" w:eastAsia="Palatino Linotype" w:hAnsi="Palatino Linotype" w:cs="Palatino Linotype"/>
          <w:sz w:val="22"/>
          <w:szCs w:val="22"/>
        </w:rPr>
      </w:pPr>
    </w:p>
    <w:p w14:paraId="7A329FDC" w14:textId="032BBCC7" w:rsidR="001C6F25" w:rsidRPr="00CB68F3" w:rsidRDefault="001C6F25">
      <w:pPr>
        <w:spacing w:line="360" w:lineRule="auto"/>
        <w:ind w:right="49"/>
        <w:jc w:val="both"/>
        <w:rPr>
          <w:rFonts w:ascii="Palatino Linotype" w:eastAsia="Palatino Linotype" w:hAnsi="Palatino Linotype" w:cs="Palatino Linotype"/>
          <w:sz w:val="22"/>
          <w:szCs w:val="22"/>
        </w:rPr>
      </w:pPr>
    </w:p>
    <w:p w14:paraId="3FF5C987" w14:textId="53411277" w:rsidR="001C6F25" w:rsidRPr="00CB68F3" w:rsidRDefault="001C6F25">
      <w:pPr>
        <w:spacing w:line="360" w:lineRule="auto"/>
        <w:ind w:right="49"/>
        <w:jc w:val="both"/>
        <w:rPr>
          <w:rFonts w:ascii="Palatino Linotype" w:eastAsia="Palatino Linotype" w:hAnsi="Palatino Linotype" w:cs="Palatino Linotype"/>
          <w:sz w:val="22"/>
          <w:szCs w:val="22"/>
        </w:rPr>
      </w:pPr>
    </w:p>
    <w:p w14:paraId="026E4895" w14:textId="5BE33E70" w:rsidR="001C6F25" w:rsidRPr="00CB68F3" w:rsidRDefault="001C6F25">
      <w:pPr>
        <w:spacing w:line="360" w:lineRule="auto"/>
        <w:ind w:right="49"/>
        <w:jc w:val="both"/>
        <w:rPr>
          <w:rFonts w:ascii="Palatino Linotype" w:eastAsia="Palatino Linotype" w:hAnsi="Palatino Linotype" w:cs="Palatino Linotype"/>
          <w:sz w:val="22"/>
          <w:szCs w:val="22"/>
        </w:rPr>
      </w:pPr>
    </w:p>
    <w:p w14:paraId="37DF4561" w14:textId="0B7559EE" w:rsidR="001C6F25" w:rsidRPr="00CB68F3" w:rsidRDefault="001C6F25">
      <w:pPr>
        <w:spacing w:line="360" w:lineRule="auto"/>
        <w:ind w:right="49"/>
        <w:jc w:val="both"/>
        <w:rPr>
          <w:rFonts w:ascii="Palatino Linotype" w:eastAsia="Palatino Linotype" w:hAnsi="Palatino Linotype" w:cs="Palatino Linotype"/>
          <w:sz w:val="22"/>
          <w:szCs w:val="22"/>
        </w:rPr>
      </w:pPr>
    </w:p>
    <w:p w14:paraId="3007C213" w14:textId="34AD18BD" w:rsidR="001C6F25" w:rsidRPr="00CB68F3" w:rsidRDefault="001C6F25">
      <w:pPr>
        <w:spacing w:line="360" w:lineRule="auto"/>
        <w:ind w:right="49"/>
        <w:jc w:val="both"/>
        <w:rPr>
          <w:rFonts w:ascii="Palatino Linotype" w:eastAsia="Palatino Linotype" w:hAnsi="Palatino Linotype" w:cs="Palatino Linotype"/>
          <w:sz w:val="22"/>
          <w:szCs w:val="22"/>
        </w:rPr>
      </w:pPr>
    </w:p>
    <w:p w14:paraId="6F9AC939" w14:textId="77777777" w:rsidR="001C6F25" w:rsidRPr="00CB68F3" w:rsidRDefault="001C6F25">
      <w:pPr>
        <w:spacing w:line="360" w:lineRule="auto"/>
        <w:ind w:right="49"/>
        <w:jc w:val="both"/>
        <w:rPr>
          <w:rFonts w:ascii="Palatino Linotype" w:eastAsia="Palatino Linotype" w:hAnsi="Palatino Linotype" w:cs="Palatino Linotype"/>
          <w:sz w:val="22"/>
          <w:szCs w:val="22"/>
        </w:rPr>
      </w:pPr>
    </w:p>
    <w:sectPr w:rsidR="001C6F25" w:rsidRPr="00CB68F3">
      <w:headerReference w:type="default" r:id="rId10"/>
      <w:footerReference w:type="default" r:id="rId11"/>
      <w:headerReference w:type="first" r:id="rId12"/>
      <w:footerReference w:type="first" r:id="rId13"/>
      <w:pgSz w:w="12240" w:h="15840"/>
      <w:pgMar w:top="2041" w:right="1474"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E99E1" w14:textId="77777777" w:rsidR="00A33A91" w:rsidRDefault="00A33A91">
      <w:r>
        <w:separator/>
      </w:r>
    </w:p>
  </w:endnote>
  <w:endnote w:type="continuationSeparator" w:id="0">
    <w:p w14:paraId="06CF5EA0" w14:textId="77777777" w:rsidR="00A33A91" w:rsidRDefault="00A33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embedRegular r:id="rId1" w:fontKey="{D681AB96-5642-473F-BA75-996C55ED6153}"/>
    <w:embedBold r:id="rId2" w:fontKey="{710AB4C9-696A-469D-B258-59802BC9863F}"/>
    <w:embedItalic r:id="rId3" w:fontKey="{D45B240F-1400-4745-9362-B5C34C1B1F60}"/>
    <w:embedBoldItalic r:id="rId4" w:fontKey="{E209B8A2-6CEA-4A1E-BEC0-15781FC5A20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embedRegular r:id="rId5" w:fontKey="{AD4D022D-0240-4271-A363-070CE09F7EB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AA0945A3-3E2D-452E-8403-D4F15999F386}"/>
    <w:embedBold r:id="rId7" w:fontKey="{814B5E6F-C12F-405D-8A9D-E8AFD84E5F4B}"/>
    <w:embedItalic r:id="rId8" w:fontKey="{0BEB336D-AD41-4CA6-BEC6-452535658EFC}"/>
  </w:font>
  <w:font w:name="Georgia">
    <w:panose1 w:val="02040502050405020303"/>
    <w:charset w:val="00"/>
    <w:family w:val="roman"/>
    <w:pitch w:val="variable"/>
    <w:sig w:usb0="00000287" w:usb1="00000000" w:usb2="00000000" w:usb3="00000000" w:csb0="0000009F" w:csb1="00000000"/>
    <w:embedRegular r:id="rId9" w:fontKey="{28B1E8EB-157C-49F9-8D01-F36F9877A5F2}"/>
    <w:embedItalic r:id="rId10" w:fontKey="{BE732861-0391-40C8-93BD-196CE5026B31}"/>
  </w:font>
  <w:font w:name="Helvetica">
    <w:panose1 w:val="020B0504020202020204"/>
    <w:charset w:val="00"/>
    <w:family w:val="swiss"/>
    <w:pitch w:val="variable"/>
    <w:sig w:usb0="E0002EFF" w:usb1="C000785B" w:usb2="00000009" w:usb3="00000000" w:csb0="000001FF" w:csb1="00000000"/>
    <w:embedRegular r:id="rId11" w:fontKey="{B4B11196-2880-440A-AE03-EE9122E14D9E}"/>
  </w:font>
  <w:font w:name="Calibri Light">
    <w:panose1 w:val="020F0302020204030204"/>
    <w:charset w:val="00"/>
    <w:family w:val="swiss"/>
    <w:pitch w:val="variable"/>
    <w:sig w:usb0="E4002EFF" w:usb1="C200247B" w:usb2="00000009" w:usb3="00000000" w:csb0="000001FF" w:csb1="00000000"/>
    <w:embedRegular r:id="rId12" w:fontKey="{839144EB-7683-40CC-A011-90747807A54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27024" w14:textId="6F75FA7B" w:rsidR="00893261" w:rsidRDefault="00893261">
    <w:pPr>
      <w:pBdr>
        <w:top w:val="nil"/>
        <w:left w:val="nil"/>
        <w:bottom w:val="nil"/>
        <w:right w:val="nil"/>
        <w:between w:val="nil"/>
      </w:pBdr>
      <w:tabs>
        <w:tab w:val="center" w:pos="4419"/>
        <w:tab w:val="right" w:pos="8838"/>
      </w:tabs>
      <w:jc w:val="right"/>
      <w:rPr>
        <w:color w:val="000000"/>
      </w:rPr>
    </w:pPr>
    <w:r>
      <w:rPr>
        <w:color w:val="000000"/>
      </w:rPr>
      <w:t xml:space="preserve">Página </w:t>
    </w:r>
    <w:r>
      <w:rPr>
        <w:b/>
        <w:color w:val="000000"/>
      </w:rPr>
      <w:fldChar w:fldCharType="begin"/>
    </w:r>
    <w:r>
      <w:rPr>
        <w:b/>
        <w:color w:val="000000"/>
      </w:rPr>
      <w:instrText>PAGE</w:instrText>
    </w:r>
    <w:r>
      <w:rPr>
        <w:b/>
        <w:color w:val="000000"/>
      </w:rPr>
      <w:fldChar w:fldCharType="separate"/>
    </w:r>
    <w:r w:rsidR="007314C6">
      <w:rPr>
        <w:b/>
        <w:noProof/>
        <w:color w:val="000000"/>
      </w:rPr>
      <w:t>6</w:t>
    </w:r>
    <w:r>
      <w:rPr>
        <w:b/>
        <w:color w:val="000000"/>
      </w:rPr>
      <w:fldChar w:fldCharType="end"/>
    </w:r>
    <w:r>
      <w:rPr>
        <w:color w:val="000000"/>
      </w:rPr>
      <w:t xml:space="preserve"> de </w:t>
    </w:r>
    <w:r>
      <w:rPr>
        <w:b/>
        <w:color w:val="000000"/>
      </w:rPr>
      <w:fldChar w:fldCharType="begin"/>
    </w:r>
    <w:r>
      <w:rPr>
        <w:b/>
        <w:color w:val="000000"/>
      </w:rPr>
      <w:instrText>NUMPAGES</w:instrText>
    </w:r>
    <w:r>
      <w:rPr>
        <w:b/>
        <w:color w:val="000000"/>
      </w:rPr>
      <w:fldChar w:fldCharType="separate"/>
    </w:r>
    <w:r w:rsidR="007314C6">
      <w:rPr>
        <w:b/>
        <w:noProof/>
        <w:color w:val="000000"/>
      </w:rPr>
      <w:t>14</w:t>
    </w:r>
    <w:r>
      <w:rPr>
        <w:b/>
        <w:color w:val="000000"/>
      </w:rPr>
      <w:fldChar w:fldCharType="end"/>
    </w:r>
  </w:p>
  <w:p w14:paraId="7AE4EEFD" w14:textId="77777777" w:rsidR="00893261" w:rsidRDefault="00893261">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E332" w14:textId="3A6C2688" w:rsidR="00893261" w:rsidRDefault="00893261">
    <w:pPr>
      <w:pBdr>
        <w:top w:val="nil"/>
        <w:left w:val="nil"/>
        <w:bottom w:val="nil"/>
        <w:right w:val="nil"/>
        <w:between w:val="nil"/>
      </w:pBdr>
      <w:tabs>
        <w:tab w:val="center" w:pos="4419"/>
        <w:tab w:val="right" w:pos="8838"/>
      </w:tabs>
      <w:jc w:val="right"/>
      <w:rPr>
        <w:color w:val="000000"/>
      </w:rPr>
    </w:pPr>
    <w:r>
      <w:rPr>
        <w:color w:val="000000"/>
      </w:rPr>
      <w:t xml:space="preserve">Página </w:t>
    </w:r>
    <w:r>
      <w:rPr>
        <w:b/>
        <w:color w:val="000000"/>
      </w:rPr>
      <w:fldChar w:fldCharType="begin"/>
    </w:r>
    <w:r>
      <w:rPr>
        <w:b/>
        <w:color w:val="000000"/>
      </w:rPr>
      <w:instrText>PAGE</w:instrText>
    </w:r>
    <w:r>
      <w:rPr>
        <w:b/>
        <w:color w:val="000000"/>
      </w:rPr>
      <w:fldChar w:fldCharType="separate"/>
    </w:r>
    <w:r w:rsidR="007314C6">
      <w:rPr>
        <w:b/>
        <w:noProof/>
        <w:color w:val="000000"/>
      </w:rPr>
      <w:t>1</w:t>
    </w:r>
    <w:r>
      <w:rPr>
        <w:b/>
        <w:color w:val="000000"/>
      </w:rPr>
      <w:fldChar w:fldCharType="end"/>
    </w:r>
    <w:r>
      <w:rPr>
        <w:color w:val="000000"/>
      </w:rPr>
      <w:t xml:space="preserve"> de </w:t>
    </w:r>
    <w:r>
      <w:rPr>
        <w:b/>
        <w:color w:val="000000"/>
      </w:rPr>
      <w:fldChar w:fldCharType="begin"/>
    </w:r>
    <w:r>
      <w:rPr>
        <w:b/>
        <w:color w:val="000000"/>
      </w:rPr>
      <w:instrText>NUMPAGES</w:instrText>
    </w:r>
    <w:r>
      <w:rPr>
        <w:b/>
        <w:color w:val="000000"/>
      </w:rPr>
      <w:fldChar w:fldCharType="separate"/>
    </w:r>
    <w:r w:rsidR="007314C6">
      <w:rPr>
        <w:b/>
        <w:noProof/>
        <w:color w:val="000000"/>
      </w:rPr>
      <w:t>14</w:t>
    </w:r>
    <w:r>
      <w:rPr>
        <w:b/>
        <w:color w:val="000000"/>
      </w:rPr>
      <w:fldChar w:fldCharType="end"/>
    </w:r>
  </w:p>
  <w:p w14:paraId="6675DA9D" w14:textId="77777777" w:rsidR="00893261" w:rsidRDefault="00893261">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0FD0D" w14:textId="77777777" w:rsidR="00A33A91" w:rsidRDefault="00A33A91">
      <w:r>
        <w:separator/>
      </w:r>
    </w:p>
  </w:footnote>
  <w:footnote w:type="continuationSeparator" w:id="0">
    <w:p w14:paraId="1C53C142" w14:textId="77777777" w:rsidR="00A33A91" w:rsidRDefault="00A33A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7457D" w14:textId="77777777" w:rsidR="00893261" w:rsidRDefault="00893261">
    <w:pPr>
      <w:widowControl w:val="0"/>
      <w:pBdr>
        <w:top w:val="nil"/>
        <w:left w:val="nil"/>
        <w:bottom w:val="nil"/>
        <w:right w:val="nil"/>
        <w:between w:val="nil"/>
      </w:pBdr>
      <w:rPr>
        <w:color w:val="000000"/>
      </w:rPr>
    </w:pPr>
    <w:r>
      <w:rPr>
        <w:noProof/>
      </w:rPr>
      <w:drawing>
        <wp:anchor distT="0" distB="0" distL="0" distR="0" simplePos="0" relativeHeight="251658240" behindDoc="1" locked="0" layoutInCell="1" hidden="0" allowOverlap="1" wp14:anchorId="093A9E0D" wp14:editId="66C4B57C">
          <wp:simplePos x="0" y="0"/>
          <wp:positionH relativeFrom="column">
            <wp:posOffset>-838200</wp:posOffset>
          </wp:positionH>
          <wp:positionV relativeFrom="paragraph">
            <wp:posOffset>-401320</wp:posOffset>
          </wp:positionV>
          <wp:extent cx="7809876" cy="10165823"/>
          <wp:effectExtent l="0" t="0" r="0" b="0"/>
          <wp:wrapNone/>
          <wp:docPr id="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76" cy="10165823"/>
                  </a:xfrm>
                  <a:prstGeom prst="rect">
                    <a:avLst/>
                  </a:prstGeom>
                  <a:ln/>
                </pic:spPr>
              </pic:pic>
            </a:graphicData>
          </a:graphic>
        </wp:anchor>
      </w:drawing>
    </w:r>
  </w:p>
  <w:tbl>
    <w:tblPr>
      <w:tblStyle w:val="af6"/>
      <w:tblW w:w="5603" w:type="dxa"/>
      <w:tblInd w:w="3611" w:type="dxa"/>
      <w:tblLayout w:type="fixed"/>
      <w:tblLook w:val="0400" w:firstRow="0" w:lastRow="0" w:firstColumn="0" w:lastColumn="0" w:noHBand="0" w:noVBand="1"/>
    </w:tblPr>
    <w:tblGrid>
      <w:gridCol w:w="2551"/>
      <w:gridCol w:w="3052"/>
    </w:tblGrid>
    <w:tr w:rsidR="00893261" w14:paraId="3DE1F927" w14:textId="77777777">
      <w:tc>
        <w:tcPr>
          <w:tcW w:w="2551" w:type="dxa"/>
          <w:vAlign w:val="center"/>
        </w:tcPr>
        <w:p w14:paraId="27218DF9"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Recurso de Revisión:</w:t>
          </w:r>
        </w:p>
        <w:p w14:paraId="4D5060D3"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p>
      </w:tc>
      <w:tc>
        <w:tcPr>
          <w:tcW w:w="3052" w:type="dxa"/>
          <w:vAlign w:val="center"/>
        </w:tcPr>
        <w:p w14:paraId="1F9F508D" w14:textId="06AD9567" w:rsidR="00893261" w:rsidRDefault="00893261" w:rsidP="00F94226">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sidRPr="001E2543">
            <w:rPr>
              <w:rFonts w:ascii="Palatino Linotype" w:eastAsia="Palatino Linotype" w:hAnsi="Palatino Linotype" w:cs="Palatino Linotype"/>
              <w:b/>
              <w:sz w:val="22"/>
              <w:szCs w:val="22"/>
            </w:rPr>
            <w:t>0</w:t>
          </w:r>
          <w:r>
            <w:rPr>
              <w:rFonts w:ascii="Palatino Linotype" w:eastAsia="Palatino Linotype" w:hAnsi="Palatino Linotype" w:cs="Palatino Linotype"/>
              <w:b/>
              <w:sz w:val="22"/>
              <w:szCs w:val="22"/>
            </w:rPr>
            <w:t>7694</w:t>
          </w:r>
          <w:r w:rsidRPr="001E2543">
            <w:rPr>
              <w:rFonts w:ascii="Palatino Linotype" w:eastAsia="Palatino Linotype" w:hAnsi="Palatino Linotype" w:cs="Palatino Linotype"/>
              <w:b/>
              <w:color w:val="000000"/>
              <w:sz w:val="22"/>
              <w:szCs w:val="22"/>
            </w:rPr>
            <w:t>/INFOEM/IP/RR/2026</w:t>
          </w:r>
        </w:p>
      </w:tc>
    </w:tr>
    <w:tr w:rsidR="00893261" w14:paraId="6E2D1273" w14:textId="77777777">
      <w:trPr>
        <w:trHeight w:val="217"/>
      </w:trPr>
      <w:tc>
        <w:tcPr>
          <w:tcW w:w="2551" w:type="dxa"/>
          <w:vAlign w:val="center"/>
        </w:tcPr>
        <w:p w14:paraId="21203565"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Sujeto obligado:</w:t>
          </w:r>
        </w:p>
      </w:tc>
      <w:tc>
        <w:tcPr>
          <w:tcW w:w="3052" w:type="dxa"/>
          <w:vAlign w:val="center"/>
        </w:tcPr>
        <w:p w14:paraId="6BAD3091" w14:textId="68E50838" w:rsidR="00893261" w:rsidRDefault="00893261" w:rsidP="00A065B4">
          <w:pPr>
            <w:pBdr>
              <w:top w:val="nil"/>
              <w:left w:val="nil"/>
              <w:bottom w:val="nil"/>
              <w:right w:val="nil"/>
              <w:between w:val="nil"/>
            </w:pBdr>
            <w:tabs>
              <w:tab w:val="center" w:pos="4419"/>
              <w:tab w:val="right" w:pos="8838"/>
            </w:tabs>
            <w:ind w:right="168"/>
            <w:jc w:val="both"/>
            <w:rPr>
              <w:rFonts w:ascii="Palatino Linotype" w:eastAsia="Palatino Linotype" w:hAnsi="Palatino Linotype" w:cs="Palatino Linotype"/>
              <w:b/>
              <w:color w:val="000000"/>
              <w:sz w:val="22"/>
              <w:szCs w:val="22"/>
            </w:rPr>
          </w:pPr>
          <w:r w:rsidRPr="00A30797">
            <w:rPr>
              <w:rFonts w:ascii="Palatino Linotype" w:eastAsia="Palatino Linotype" w:hAnsi="Palatino Linotype" w:cs="Palatino Linotype"/>
              <w:b/>
              <w:color w:val="000000"/>
              <w:sz w:val="22"/>
              <w:szCs w:val="22"/>
            </w:rPr>
            <w:t>Secretaría de Cultura y Turismo</w:t>
          </w:r>
        </w:p>
      </w:tc>
    </w:tr>
    <w:tr w:rsidR="00893261" w14:paraId="651D01A7" w14:textId="77777777">
      <w:tc>
        <w:tcPr>
          <w:tcW w:w="2551" w:type="dxa"/>
          <w:vAlign w:val="center"/>
        </w:tcPr>
        <w:p w14:paraId="5229B5A5"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Comisionada ponente:</w:t>
          </w:r>
        </w:p>
      </w:tc>
      <w:tc>
        <w:tcPr>
          <w:tcW w:w="3052" w:type="dxa"/>
          <w:vAlign w:val="center"/>
        </w:tcPr>
        <w:p w14:paraId="252A5C20"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Guadalupe Ramírez Peña</w:t>
          </w:r>
        </w:p>
      </w:tc>
    </w:tr>
  </w:tbl>
  <w:p w14:paraId="24D54F31" w14:textId="77777777" w:rsidR="00893261" w:rsidRDefault="00893261">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30C5A" w14:textId="77777777" w:rsidR="00893261" w:rsidRDefault="00893261">
    <w:pPr>
      <w:widowControl w:val="0"/>
      <w:pBdr>
        <w:top w:val="nil"/>
        <w:left w:val="nil"/>
        <w:bottom w:val="nil"/>
        <w:right w:val="nil"/>
        <w:between w:val="nil"/>
      </w:pBdr>
      <w:rPr>
        <w:rFonts w:ascii="Palatino Linotype" w:eastAsia="Palatino Linotype" w:hAnsi="Palatino Linotype" w:cs="Palatino Linotype"/>
        <w:sz w:val="22"/>
        <w:szCs w:val="22"/>
      </w:rPr>
    </w:pPr>
    <w:r>
      <w:rPr>
        <w:noProof/>
      </w:rPr>
      <w:drawing>
        <wp:anchor distT="0" distB="0" distL="0" distR="0" simplePos="0" relativeHeight="251659264" behindDoc="1" locked="0" layoutInCell="1" hidden="0" allowOverlap="1" wp14:anchorId="060CB74E" wp14:editId="30E0D12D">
          <wp:simplePos x="0" y="0"/>
          <wp:positionH relativeFrom="column">
            <wp:posOffset>-929004</wp:posOffset>
          </wp:positionH>
          <wp:positionV relativeFrom="paragraph">
            <wp:posOffset>-644524</wp:posOffset>
          </wp:positionV>
          <wp:extent cx="7809865" cy="10165715"/>
          <wp:effectExtent l="0" t="0" r="0" b="0"/>
          <wp:wrapNone/>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7"/>
      <w:tblW w:w="5461" w:type="dxa"/>
      <w:tblInd w:w="3611" w:type="dxa"/>
      <w:tblLayout w:type="fixed"/>
      <w:tblLook w:val="0400" w:firstRow="0" w:lastRow="0" w:firstColumn="0" w:lastColumn="0" w:noHBand="0" w:noVBand="1"/>
    </w:tblPr>
    <w:tblGrid>
      <w:gridCol w:w="2343"/>
      <w:gridCol w:w="3118"/>
    </w:tblGrid>
    <w:tr w:rsidR="00893261" w14:paraId="1419E4B9" w14:textId="77777777">
      <w:tc>
        <w:tcPr>
          <w:tcW w:w="2343" w:type="dxa"/>
          <w:vAlign w:val="center"/>
        </w:tcPr>
        <w:p w14:paraId="0A4DAE44"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Recurso de Revisión:</w:t>
          </w:r>
        </w:p>
        <w:p w14:paraId="61232AD0"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0"/>
              <w:szCs w:val="20"/>
            </w:rPr>
          </w:pPr>
        </w:p>
      </w:tc>
      <w:tc>
        <w:tcPr>
          <w:tcW w:w="3118" w:type="dxa"/>
          <w:vAlign w:val="center"/>
        </w:tcPr>
        <w:p w14:paraId="1D2E4BAD" w14:textId="346D7AF5" w:rsidR="00893261" w:rsidRDefault="00893261" w:rsidP="00904EAB">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0"/>
              <w:szCs w:val="20"/>
            </w:rPr>
          </w:pPr>
          <w:r w:rsidRPr="001E2543">
            <w:rPr>
              <w:rFonts w:ascii="Palatino Linotype" w:eastAsia="Palatino Linotype" w:hAnsi="Palatino Linotype" w:cs="Palatino Linotype"/>
              <w:b/>
              <w:sz w:val="22"/>
              <w:szCs w:val="22"/>
            </w:rPr>
            <w:t>0</w:t>
          </w:r>
          <w:r>
            <w:rPr>
              <w:rFonts w:ascii="Palatino Linotype" w:eastAsia="Palatino Linotype" w:hAnsi="Palatino Linotype" w:cs="Palatino Linotype"/>
              <w:b/>
              <w:sz w:val="22"/>
              <w:szCs w:val="22"/>
            </w:rPr>
            <w:t>7694</w:t>
          </w:r>
          <w:r w:rsidRPr="001E2543">
            <w:rPr>
              <w:rFonts w:ascii="Palatino Linotype" w:eastAsia="Palatino Linotype" w:hAnsi="Palatino Linotype" w:cs="Palatino Linotype"/>
              <w:b/>
              <w:color w:val="000000"/>
              <w:sz w:val="22"/>
              <w:szCs w:val="22"/>
            </w:rPr>
            <w:t>/INFOEM/IP/RR/2026</w:t>
          </w:r>
        </w:p>
      </w:tc>
    </w:tr>
    <w:tr w:rsidR="00893261" w14:paraId="5406FED2" w14:textId="77777777">
      <w:tc>
        <w:tcPr>
          <w:tcW w:w="2343" w:type="dxa"/>
          <w:vAlign w:val="center"/>
        </w:tcPr>
        <w:p w14:paraId="40683B83"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Recurrente:</w:t>
          </w:r>
        </w:p>
      </w:tc>
      <w:tc>
        <w:tcPr>
          <w:tcW w:w="3118" w:type="dxa"/>
          <w:vAlign w:val="center"/>
        </w:tcPr>
        <w:p w14:paraId="79BFF42B" w14:textId="76FACFD5" w:rsidR="00893261" w:rsidRDefault="007314C6" w:rsidP="007314C6">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0"/>
              <w:szCs w:val="20"/>
            </w:rPr>
          </w:pPr>
          <w:r w:rsidRPr="007314C6">
            <w:rPr>
              <w:rFonts w:ascii="Palatino Linotype" w:eastAsia="Palatino Linotype" w:hAnsi="Palatino Linotype" w:cs="Palatino Linotype"/>
              <w:b/>
              <w:color w:val="000000"/>
              <w:sz w:val="20"/>
              <w:szCs w:val="20"/>
            </w:rPr>
            <w:t>XXXXX XXX X</w:t>
          </w:r>
          <w:r>
            <w:rPr>
              <w:rFonts w:ascii="Palatino Linotype" w:eastAsia="Palatino Linotype" w:hAnsi="Palatino Linotype" w:cs="Palatino Linotype"/>
              <w:b/>
              <w:color w:val="000000"/>
              <w:sz w:val="20"/>
              <w:szCs w:val="20"/>
            </w:rPr>
            <w:t>X</w:t>
          </w:r>
          <w:r w:rsidRPr="007314C6">
            <w:rPr>
              <w:rFonts w:ascii="Palatino Linotype" w:eastAsia="Palatino Linotype" w:hAnsi="Palatino Linotype" w:cs="Palatino Linotype"/>
              <w:b/>
              <w:color w:val="000000"/>
              <w:sz w:val="20"/>
              <w:szCs w:val="20"/>
            </w:rPr>
            <w:t>XXX</w:t>
          </w:r>
        </w:p>
      </w:tc>
    </w:tr>
    <w:tr w:rsidR="00893261" w14:paraId="0CE2BEAE" w14:textId="77777777" w:rsidTr="00624147">
      <w:trPr>
        <w:trHeight w:val="680"/>
      </w:trPr>
      <w:tc>
        <w:tcPr>
          <w:tcW w:w="2343" w:type="dxa"/>
          <w:vAlign w:val="center"/>
        </w:tcPr>
        <w:p w14:paraId="2B6A9907" w14:textId="77777777" w:rsidR="00893261" w:rsidRDefault="00893261">
          <w:pPr>
            <w:tabs>
              <w:tab w:val="center" w:pos="4419"/>
              <w:tab w:val="right" w:pos="8838"/>
            </w:tabs>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Sujeto obligado:</w:t>
          </w:r>
        </w:p>
        <w:p w14:paraId="337D7A1C" w14:textId="77777777" w:rsidR="00893261" w:rsidRDefault="00893261">
          <w:pPr>
            <w:tabs>
              <w:tab w:val="center" w:pos="4419"/>
              <w:tab w:val="right" w:pos="8838"/>
            </w:tabs>
            <w:rPr>
              <w:rFonts w:ascii="Palatino Linotype" w:eastAsia="Palatino Linotype" w:hAnsi="Palatino Linotype" w:cs="Palatino Linotype"/>
              <w:b/>
              <w:color w:val="000000"/>
              <w:sz w:val="20"/>
              <w:szCs w:val="20"/>
            </w:rPr>
          </w:pPr>
        </w:p>
      </w:tc>
      <w:tc>
        <w:tcPr>
          <w:tcW w:w="3118" w:type="dxa"/>
          <w:vAlign w:val="center"/>
        </w:tcPr>
        <w:p w14:paraId="6FC25278" w14:textId="0CA47EB0" w:rsidR="00893261" w:rsidRDefault="00893261" w:rsidP="001A0A13">
          <w:pPr>
            <w:pBdr>
              <w:top w:val="nil"/>
              <w:left w:val="nil"/>
              <w:bottom w:val="nil"/>
              <w:right w:val="nil"/>
              <w:between w:val="nil"/>
            </w:pBdr>
            <w:tabs>
              <w:tab w:val="center" w:pos="4419"/>
              <w:tab w:val="right" w:pos="8838"/>
            </w:tabs>
            <w:jc w:val="both"/>
            <w:rPr>
              <w:rFonts w:ascii="Palatino Linotype" w:eastAsia="Palatino Linotype" w:hAnsi="Palatino Linotype" w:cs="Palatino Linotype"/>
              <w:b/>
              <w:color w:val="000000"/>
              <w:sz w:val="20"/>
              <w:szCs w:val="20"/>
            </w:rPr>
          </w:pPr>
          <w:r w:rsidRPr="00624147">
            <w:rPr>
              <w:rFonts w:ascii="Palatino Linotype" w:eastAsia="Palatino Linotype" w:hAnsi="Palatino Linotype" w:cs="Palatino Linotype"/>
              <w:b/>
              <w:color w:val="000000"/>
              <w:sz w:val="22"/>
              <w:szCs w:val="22"/>
            </w:rPr>
            <w:t>Secretaría de Cultura y Turismo</w:t>
          </w:r>
        </w:p>
      </w:tc>
    </w:tr>
    <w:tr w:rsidR="00893261" w14:paraId="1EF4B579" w14:textId="77777777">
      <w:tc>
        <w:tcPr>
          <w:tcW w:w="2343" w:type="dxa"/>
          <w:vAlign w:val="center"/>
        </w:tcPr>
        <w:p w14:paraId="71B9E111"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Comisionada ponente:</w:t>
          </w:r>
        </w:p>
      </w:tc>
      <w:tc>
        <w:tcPr>
          <w:tcW w:w="3118" w:type="dxa"/>
          <w:vAlign w:val="center"/>
        </w:tcPr>
        <w:p w14:paraId="02FC2A70" w14:textId="77777777" w:rsidR="00893261" w:rsidRDefault="00893261">
          <w:pPr>
            <w:pBdr>
              <w:top w:val="nil"/>
              <w:left w:val="nil"/>
              <w:bottom w:val="nil"/>
              <w:right w:val="nil"/>
              <w:between w:val="nil"/>
            </w:pBdr>
            <w:tabs>
              <w:tab w:val="center" w:pos="4419"/>
              <w:tab w:val="right" w:pos="8838"/>
            </w:tabs>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Guadalupe Ramírez Peña</w:t>
          </w:r>
        </w:p>
      </w:tc>
    </w:tr>
  </w:tbl>
  <w:p w14:paraId="2CE2B1EF" w14:textId="77777777" w:rsidR="00893261" w:rsidRDefault="00893261">
    <w:pPr>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52D9"/>
    <w:multiLevelType w:val="hybridMultilevel"/>
    <w:tmpl w:val="40626B42"/>
    <w:lvl w:ilvl="0" w:tplc="3C3C5B4E">
      <w:start w:val="2"/>
      <w:numFmt w:val="bullet"/>
      <w:lvlText w:val="-"/>
      <w:lvlJc w:val="left"/>
      <w:pPr>
        <w:ind w:left="720" w:hanging="360"/>
      </w:pPr>
      <w:rPr>
        <w:rFonts w:ascii="Palatino Linotype" w:eastAsia="Palatino Linotype" w:hAnsi="Palatino Linotype"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E428E9"/>
    <w:multiLevelType w:val="hybridMultilevel"/>
    <w:tmpl w:val="523082EA"/>
    <w:lvl w:ilvl="0" w:tplc="3C3C5B4E">
      <w:start w:val="2"/>
      <w:numFmt w:val="bullet"/>
      <w:lvlText w:val="-"/>
      <w:lvlJc w:val="left"/>
      <w:pPr>
        <w:ind w:left="720" w:hanging="360"/>
      </w:pPr>
      <w:rPr>
        <w:rFonts w:ascii="Palatino Linotype" w:eastAsia="Palatino Linotype" w:hAnsi="Palatino Linotype"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BD8054D"/>
    <w:multiLevelType w:val="multilevel"/>
    <w:tmpl w:val="F5348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2626B3"/>
    <w:multiLevelType w:val="hybridMultilevel"/>
    <w:tmpl w:val="2124DAB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D801CE9"/>
    <w:multiLevelType w:val="multilevel"/>
    <w:tmpl w:val="96B62F4E"/>
    <w:lvl w:ilvl="0">
      <w:start w:val="1"/>
      <w:numFmt w:val="lowerLetter"/>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123073EA"/>
    <w:multiLevelType w:val="hybridMultilevel"/>
    <w:tmpl w:val="50008DB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1A433EBA"/>
    <w:multiLevelType w:val="multilevel"/>
    <w:tmpl w:val="4D760B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B861DC7"/>
    <w:multiLevelType w:val="hybridMultilevel"/>
    <w:tmpl w:val="DD661264"/>
    <w:lvl w:ilvl="0" w:tplc="CB4498A8">
      <w:start w:val="1"/>
      <w:numFmt w:val="bullet"/>
      <w:lvlText w:val=""/>
      <w:lvlJc w:val="left"/>
      <w:pPr>
        <w:ind w:left="1287" w:hanging="360"/>
      </w:pPr>
      <w:rPr>
        <w:rFonts w:ascii="Wingdings" w:hAnsi="Wingdings" w:hint="default"/>
        <w:sz w:val="22"/>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8" w15:restartNumberingAfterBreak="0">
    <w:nsid w:val="1BA3748B"/>
    <w:multiLevelType w:val="hybridMultilevel"/>
    <w:tmpl w:val="94E003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1C1C17CE"/>
    <w:multiLevelType w:val="hybridMultilevel"/>
    <w:tmpl w:val="E3B29E8A"/>
    <w:lvl w:ilvl="0" w:tplc="AC00FD0C">
      <w:start w:val="1"/>
      <w:numFmt w:val="bullet"/>
      <w:lvlText w:val=""/>
      <w:lvlJc w:val="left"/>
      <w:pPr>
        <w:ind w:left="720" w:hanging="360"/>
      </w:pPr>
      <w:rPr>
        <w:rFonts w:ascii="Symbol" w:hAnsi="Symbol" w:hint="default"/>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0E1769"/>
    <w:multiLevelType w:val="hybridMultilevel"/>
    <w:tmpl w:val="7C1CCCF2"/>
    <w:lvl w:ilvl="0" w:tplc="CB4498A8">
      <w:start w:val="1"/>
      <w:numFmt w:val="bullet"/>
      <w:lvlText w:val=""/>
      <w:lvlJc w:val="left"/>
      <w:pPr>
        <w:ind w:left="1287" w:hanging="360"/>
      </w:pPr>
      <w:rPr>
        <w:rFonts w:ascii="Wingdings" w:hAnsi="Wingdings" w:hint="default"/>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FBA60E1"/>
    <w:multiLevelType w:val="hybridMultilevel"/>
    <w:tmpl w:val="833C01C6"/>
    <w:lvl w:ilvl="0" w:tplc="087AAEF6">
      <w:numFmt w:val="bullet"/>
      <w:lvlText w:val="-"/>
      <w:lvlJc w:val="left"/>
      <w:pPr>
        <w:ind w:left="720" w:hanging="360"/>
      </w:pPr>
      <w:rPr>
        <w:rFonts w:ascii="Palatino Linotype" w:eastAsia="Times New Roman" w:hAnsi="Palatino Linotype"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02B4D73"/>
    <w:multiLevelType w:val="multilevel"/>
    <w:tmpl w:val="17600E4A"/>
    <w:lvl w:ilvl="0">
      <w:start w:val="2"/>
      <w:numFmt w:val="bullet"/>
      <w:lvlText w:val="●"/>
      <w:lvlJc w:val="left"/>
      <w:pPr>
        <w:ind w:left="360" w:hanging="360"/>
      </w:pPr>
      <w:rPr>
        <w:rFonts w:ascii="Noto Sans Symbols" w:eastAsia="Noto Sans Symbols" w:hAnsi="Noto Sans Symbols" w:cs="Noto Sans Symbols"/>
        <w:b/>
        <w:i w:val="0"/>
        <w:color w:val="0D0D0D"/>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09C47EF"/>
    <w:multiLevelType w:val="hybridMultilevel"/>
    <w:tmpl w:val="F75E90E4"/>
    <w:lvl w:ilvl="0" w:tplc="080A000B">
      <w:start w:val="1"/>
      <w:numFmt w:val="bullet"/>
      <w:lvlText w:val=""/>
      <w:lvlJc w:val="left"/>
      <w:pPr>
        <w:ind w:left="1276" w:hanging="360"/>
      </w:pPr>
      <w:rPr>
        <w:rFonts w:ascii="Wingdings" w:hAnsi="Wingdings" w:hint="default"/>
      </w:rPr>
    </w:lvl>
    <w:lvl w:ilvl="1" w:tplc="080A0003" w:tentative="1">
      <w:start w:val="1"/>
      <w:numFmt w:val="bullet"/>
      <w:lvlText w:val="o"/>
      <w:lvlJc w:val="left"/>
      <w:pPr>
        <w:ind w:left="1996" w:hanging="360"/>
      </w:pPr>
      <w:rPr>
        <w:rFonts w:ascii="Courier New" w:hAnsi="Courier New" w:cs="Courier New" w:hint="default"/>
      </w:rPr>
    </w:lvl>
    <w:lvl w:ilvl="2" w:tplc="080A0005" w:tentative="1">
      <w:start w:val="1"/>
      <w:numFmt w:val="bullet"/>
      <w:lvlText w:val=""/>
      <w:lvlJc w:val="left"/>
      <w:pPr>
        <w:ind w:left="2716" w:hanging="360"/>
      </w:pPr>
      <w:rPr>
        <w:rFonts w:ascii="Wingdings" w:hAnsi="Wingdings" w:hint="default"/>
      </w:rPr>
    </w:lvl>
    <w:lvl w:ilvl="3" w:tplc="080A0001" w:tentative="1">
      <w:start w:val="1"/>
      <w:numFmt w:val="bullet"/>
      <w:lvlText w:val=""/>
      <w:lvlJc w:val="left"/>
      <w:pPr>
        <w:ind w:left="3436" w:hanging="360"/>
      </w:pPr>
      <w:rPr>
        <w:rFonts w:ascii="Symbol" w:hAnsi="Symbol" w:hint="default"/>
      </w:rPr>
    </w:lvl>
    <w:lvl w:ilvl="4" w:tplc="080A0003" w:tentative="1">
      <w:start w:val="1"/>
      <w:numFmt w:val="bullet"/>
      <w:lvlText w:val="o"/>
      <w:lvlJc w:val="left"/>
      <w:pPr>
        <w:ind w:left="4156" w:hanging="360"/>
      </w:pPr>
      <w:rPr>
        <w:rFonts w:ascii="Courier New" w:hAnsi="Courier New" w:cs="Courier New" w:hint="default"/>
      </w:rPr>
    </w:lvl>
    <w:lvl w:ilvl="5" w:tplc="080A0005" w:tentative="1">
      <w:start w:val="1"/>
      <w:numFmt w:val="bullet"/>
      <w:lvlText w:val=""/>
      <w:lvlJc w:val="left"/>
      <w:pPr>
        <w:ind w:left="4876" w:hanging="360"/>
      </w:pPr>
      <w:rPr>
        <w:rFonts w:ascii="Wingdings" w:hAnsi="Wingdings" w:hint="default"/>
      </w:rPr>
    </w:lvl>
    <w:lvl w:ilvl="6" w:tplc="080A0001" w:tentative="1">
      <w:start w:val="1"/>
      <w:numFmt w:val="bullet"/>
      <w:lvlText w:val=""/>
      <w:lvlJc w:val="left"/>
      <w:pPr>
        <w:ind w:left="5596" w:hanging="360"/>
      </w:pPr>
      <w:rPr>
        <w:rFonts w:ascii="Symbol" w:hAnsi="Symbol" w:hint="default"/>
      </w:rPr>
    </w:lvl>
    <w:lvl w:ilvl="7" w:tplc="080A0003" w:tentative="1">
      <w:start w:val="1"/>
      <w:numFmt w:val="bullet"/>
      <w:lvlText w:val="o"/>
      <w:lvlJc w:val="left"/>
      <w:pPr>
        <w:ind w:left="6316" w:hanging="360"/>
      </w:pPr>
      <w:rPr>
        <w:rFonts w:ascii="Courier New" w:hAnsi="Courier New" w:cs="Courier New" w:hint="default"/>
      </w:rPr>
    </w:lvl>
    <w:lvl w:ilvl="8" w:tplc="080A0005" w:tentative="1">
      <w:start w:val="1"/>
      <w:numFmt w:val="bullet"/>
      <w:lvlText w:val=""/>
      <w:lvlJc w:val="left"/>
      <w:pPr>
        <w:ind w:left="7036" w:hanging="360"/>
      </w:pPr>
      <w:rPr>
        <w:rFonts w:ascii="Wingdings" w:hAnsi="Wingdings" w:hint="default"/>
      </w:rPr>
    </w:lvl>
  </w:abstractNum>
  <w:abstractNum w:abstractNumId="14" w15:restartNumberingAfterBreak="0">
    <w:nsid w:val="20B21155"/>
    <w:multiLevelType w:val="hybridMultilevel"/>
    <w:tmpl w:val="D348068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28DC3080"/>
    <w:multiLevelType w:val="hybridMultilevel"/>
    <w:tmpl w:val="D64A683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3106734F"/>
    <w:multiLevelType w:val="hybridMultilevel"/>
    <w:tmpl w:val="E3327A7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3130A81"/>
    <w:multiLevelType w:val="multilevel"/>
    <w:tmpl w:val="6D7835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47E72E3"/>
    <w:multiLevelType w:val="hybridMultilevel"/>
    <w:tmpl w:val="9CECA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E74C6D"/>
    <w:multiLevelType w:val="multilevel"/>
    <w:tmpl w:val="61E029E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7DD64BD"/>
    <w:multiLevelType w:val="hybridMultilevel"/>
    <w:tmpl w:val="D1B48FD6"/>
    <w:lvl w:ilvl="0" w:tplc="70C24986">
      <w:start w:val="1"/>
      <w:numFmt w:val="lowerLetter"/>
      <w:lvlText w:val="%1)"/>
      <w:lvlJc w:val="left"/>
      <w:pPr>
        <w:ind w:left="720" w:hanging="360"/>
      </w:pPr>
      <w:rPr>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9164836"/>
    <w:multiLevelType w:val="hybridMultilevel"/>
    <w:tmpl w:val="0E009BD2"/>
    <w:lvl w:ilvl="0" w:tplc="3C3C5B4E">
      <w:start w:val="2"/>
      <w:numFmt w:val="bullet"/>
      <w:lvlText w:val="-"/>
      <w:lvlJc w:val="left"/>
      <w:pPr>
        <w:ind w:left="720" w:hanging="360"/>
      </w:pPr>
      <w:rPr>
        <w:rFonts w:ascii="Palatino Linotype" w:eastAsia="Palatino Linotype" w:hAnsi="Palatino Linotype"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11C1D29"/>
    <w:multiLevelType w:val="hybridMultilevel"/>
    <w:tmpl w:val="BE428A64"/>
    <w:lvl w:ilvl="0" w:tplc="040A0001">
      <w:start w:val="1"/>
      <w:numFmt w:val="bullet"/>
      <w:lvlText w:val=""/>
      <w:lvlJc w:val="left"/>
      <w:pPr>
        <w:ind w:left="1287" w:hanging="360"/>
      </w:pPr>
      <w:rPr>
        <w:rFonts w:ascii="Symbol" w:hAnsi="Symbol" w:hint="default"/>
      </w:rPr>
    </w:lvl>
    <w:lvl w:ilvl="1" w:tplc="040A0003" w:tentative="1">
      <w:start w:val="1"/>
      <w:numFmt w:val="bullet"/>
      <w:lvlText w:val="o"/>
      <w:lvlJc w:val="left"/>
      <w:pPr>
        <w:ind w:left="2007" w:hanging="360"/>
      </w:pPr>
      <w:rPr>
        <w:rFonts w:ascii="Courier New" w:hAnsi="Courier New" w:cs="Courier New" w:hint="default"/>
      </w:rPr>
    </w:lvl>
    <w:lvl w:ilvl="2" w:tplc="040A0005" w:tentative="1">
      <w:start w:val="1"/>
      <w:numFmt w:val="bullet"/>
      <w:lvlText w:val=""/>
      <w:lvlJc w:val="left"/>
      <w:pPr>
        <w:ind w:left="2727" w:hanging="360"/>
      </w:pPr>
      <w:rPr>
        <w:rFonts w:ascii="Wingdings" w:hAnsi="Wingdings" w:hint="default"/>
      </w:rPr>
    </w:lvl>
    <w:lvl w:ilvl="3" w:tplc="040A0001" w:tentative="1">
      <w:start w:val="1"/>
      <w:numFmt w:val="bullet"/>
      <w:lvlText w:val=""/>
      <w:lvlJc w:val="left"/>
      <w:pPr>
        <w:ind w:left="3447" w:hanging="360"/>
      </w:pPr>
      <w:rPr>
        <w:rFonts w:ascii="Symbol" w:hAnsi="Symbol" w:hint="default"/>
      </w:rPr>
    </w:lvl>
    <w:lvl w:ilvl="4" w:tplc="040A0003" w:tentative="1">
      <w:start w:val="1"/>
      <w:numFmt w:val="bullet"/>
      <w:lvlText w:val="o"/>
      <w:lvlJc w:val="left"/>
      <w:pPr>
        <w:ind w:left="4167" w:hanging="360"/>
      </w:pPr>
      <w:rPr>
        <w:rFonts w:ascii="Courier New" w:hAnsi="Courier New" w:cs="Courier New" w:hint="default"/>
      </w:rPr>
    </w:lvl>
    <w:lvl w:ilvl="5" w:tplc="040A0005" w:tentative="1">
      <w:start w:val="1"/>
      <w:numFmt w:val="bullet"/>
      <w:lvlText w:val=""/>
      <w:lvlJc w:val="left"/>
      <w:pPr>
        <w:ind w:left="4887" w:hanging="360"/>
      </w:pPr>
      <w:rPr>
        <w:rFonts w:ascii="Wingdings" w:hAnsi="Wingdings" w:hint="default"/>
      </w:rPr>
    </w:lvl>
    <w:lvl w:ilvl="6" w:tplc="040A0001" w:tentative="1">
      <w:start w:val="1"/>
      <w:numFmt w:val="bullet"/>
      <w:lvlText w:val=""/>
      <w:lvlJc w:val="left"/>
      <w:pPr>
        <w:ind w:left="5607" w:hanging="360"/>
      </w:pPr>
      <w:rPr>
        <w:rFonts w:ascii="Symbol" w:hAnsi="Symbol" w:hint="default"/>
      </w:rPr>
    </w:lvl>
    <w:lvl w:ilvl="7" w:tplc="040A0003" w:tentative="1">
      <w:start w:val="1"/>
      <w:numFmt w:val="bullet"/>
      <w:lvlText w:val="o"/>
      <w:lvlJc w:val="left"/>
      <w:pPr>
        <w:ind w:left="6327" w:hanging="360"/>
      </w:pPr>
      <w:rPr>
        <w:rFonts w:ascii="Courier New" w:hAnsi="Courier New" w:cs="Courier New" w:hint="default"/>
      </w:rPr>
    </w:lvl>
    <w:lvl w:ilvl="8" w:tplc="040A0005" w:tentative="1">
      <w:start w:val="1"/>
      <w:numFmt w:val="bullet"/>
      <w:lvlText w:val=""/>
      <w:lvlJc w:val="left"/>
      <w:pPr>
        <w:ind w:left="7047" w:hanging="360"/>
      </w:pPr>
      <w:rPr>
        <w:rFonts w:ascii="Wingdings" w:hAnsi="Wingdings" w:hint="default"/>
      </w:rPr>
    </w:lvl>
  </w:abstractNum>
  <w:abstractNum w:abstractNumId="23" w15:restartNumberingAfterBreak="0">
    <w:nsid w:val="45F05287"/>
    <w:multiLevelType w:val="hybridMultilevel"/>
    <w:tmpl w:val="883039D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6B12C71"/>
    <w:multiLevelType w:val="hybridMultilevel"/>
    <w:tmpl w:val="270EA234"/>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5" w15:restartNumberingAfterBreak="0">
    <w:nsid w:val="47B66197"/>
    <w:multiLevelType w:val="hybridMultilevel"/>
    <w:tmpl w:val="7592C3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8D6097B"/>
    <w:multiLevelType w:val="multilevel"/>
    <w:tmpl w:val="DF6CA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499D408D"/>
    <w:multiLevelType w:val="hybridMultilevel"/>
    <w:tmpl w:val="5372B9D2"/>
    <w:lvl w:ilvl="0" w:tplc="080A000F">
      <w:start w:val="1"/>
      <w:numFmt w:val="decimal"/>
      <w:lvlText w:val="%1."/>
      <w:lvlJc w:val="left"/>
      <w:pPr>
        <w:ind w:left="1287" w:hanging="360"/>
      </w:pPr>
      <w:rPr>
        <w:rFonts w:hint="default"/>
        <w:sz w:val="22"/>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8" w15:restartNumberingAfterBreak="0">
    <w:nsid w:val="49BE4305"/>
    <w:multiLevelType w:val="hybridMultilevel"/>
    <w:tmpl w:val="B762A352"/>
    <w:lvl w:ilvl="0" w:tplc="040A0001">
      <w:start w:val="1"/>
      <w:numFmt w:val="bullet"/>
      <w:lvlText w:val=""/>
      <w:lvlJc w:val="left"/>
      <w:pPr>
        <w:ind w:left="1287" w:hanging="360"/>
      </w:pPr>
      <w:rPr>
        <w:rFonts w:ascii="Symbol" w:hAnsi="Symbol" w:hint="default"/>
      </w:rPr>
    </w:lvl>
    <w:lvl w:ilvl="1" w:tplc="040A0003" w:tentative="1">
      <w:start w:val="1"/>
      <w:numFmt w:val="bullet"/>
      <w:lvlText w:val="o"/>
      <w:lvlJc w:val="left"/>
      <w:pPr>
        <w:ind w:left="2007" w:hanging="360"/>
      </w:pPr>
      <w:rPr>
        <w:rFonts w:ascii="Courier New" w:hAnsi="Courier New" w:cs="Courier New" w:hint="default"/>
      </w:rPr>
    </w:lvl>
    <w:lvl w:ilvl="2" w:tplc="040A0005" w:tentative="1">
      <w:start w:val="1"/>
      <w:numFmt w:val="bullet"/>
      <w:lvlText w:val=""/>
      <w:lvlJc w:val="left"/>
      <w:pPr>
        <w:ind w:left="2727" w:hanging="360"/>
      </w:pPr>
      <w:rPr>
        <w:rFonts w:ascii="Wingdings" w:hAnsi="Wingdings" w:hint="default"/>
      </w:rPr>
    </w:lvl>
    <w:lvl w:ilvl="3" w:tplc="040A0001" w:tentative="1">
      <w:start w:val="1"/>
      <w:numFmt w:val="bullet"/>
      <w:lvlText w:val=""/>
      <w:lvlJc w:val="left"/>
      <w:pPr>
        <w:ind w:left="3447" w:hanging="360"/>
      </w:pPr>
      <w:rPr>
        <w:rFonts w:ascii="Symbol" w:hAnsi="Symbol" w:hint="default"/>
      </w:rPr>
    </w:lvl>
    <w:lvl w:ilvl="4" w:tplc="040A0003" w:tentative="1">
      <w:start w:val="1"/>
      <w:numFmt w:val="bullet"/>
      <w:lvlText w:val="o"/>
      <w:lvlJc w:val="left"/>
      <w:pPr>
        <w:ind w:left="4167" w:hanging="360"/>
      </w:pPr>
      <w:rPr>
        <w:rFonts w:ascii="Courier New" w:hAnsi="Courier New" w:cs="Courier New" w:hint="default"/>
      </w:rPr>
    </w:lvl>
    <w:lvl w:ilvl="5" w:tplc="040A0005" w:tentative="1">
      <w:start w:val="1"/>
      <w:numFmt w:val="bullet"/>
      <w:lvlText w:val=""/>
      <w:lvlJc w:val="left"/>
      <w:pPr>
        <w:ind w:left="4887" w:hanging="360"/>
      </w:pPr>
      <w:rPr>
        <w:rFonts w:ascii="Wingdings" w:hAnsi="Wingdings" w:hint="default"/>
      </w:rPr>
    </w:lvl>
    <w:lvl w:ilvl="6" w:tplc="040A0001" w:tentative="1">
      <w:start w:val="1"/>
      <w:numFmt w:val="bullet"/>
      <w:lvlText w:val=""/>
      <w:lvlJc w:val="left"/>
      <w:pPr>
        <w:ind w:left="5607" w:hanging="360"/>
      </w:pPr>
      <w:rPr>
        <w:rFonts w:ascii="Symbol" w:hAnsi="Symbol" w:hint="default"/>
      </w:rPr>
    </w:lvl>
    <w:lvl w:ilvl="7" w:tplc="040A0003" w:tentative="1">
      <w:start w:val="1"/>
      <w:numFmt w:val="bullet"/>
      <w:lvlText w:val="o"/>
      <w:lvlJc w:val="left"/>
      <w:pPr>
        <w:ind w:left="6327" w:hanging="360"/>
      </w:pPr>
      <w:rPr>
        <w:rFonts w:ascii="Courier New" w:hAnsi="Courier New" w:cs="Courier New" w:hint="default"/>
      </w:rPr>
    </w:lvl>
    <w:lvl w:ilvl="8" w:tplc="040A0005" w:tentative="1">
      <w:start w:val="1"/>
      <w:numFmt w:val="bullet"/>
      <w:lvlText w:val=""/>
      <w:lvlJc w:val="left"/>
      <w:pPr>
        <w:ind w:left="7047" w:hanging="360"/>
      </w:pPr>
      <w:rPr>
        <w:rFonts w:ascii="Wingdings" w:hAnsi="Wingdings" w:hint="default"/>
      </w:rPr>
    </w:lvl>
  </w:abstractNum>
  <w:abstractNum w:abstractNumId="29" w15:restartNumberingAfterBreak="0">
    <w:nsid w:val="50691881"/>
    <w:multiLevelType w:val="multilevel"/>
    <w:tmpl w:val="9208DD3A"/>
    <w:lvl w:ilvl="0">
      <w:start w:val="1"/>
      <w:numFmt w:val="bullet"/>
      <w:pStyle w:val="Listaconvietas3"/>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2B53A72"/>
    <w:multiLevelType w:val="hybridMultilevel"/>
    <w:tmpl w:val="B0647A12"/>
    <w:lvl w:ilvl="0" w:tplc="080A0017">
      <w:start w:val="1"/>
      <w:numFmt w:val="lowerLetter"/>
      <w:lvlText w:val="%1)"/>
      <w:lvlJc w:val="left"/>
      <w:pPr>
        <w:ind w:left="1647" w:hanging="360"/>
      </w:p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31" w15:restartNumberingAfterBreak="0">
    <w:nsid w:val="555B515B"/>
    <w:multiLevelType w:val="hybridMultilevel"/>
    <w:tmpl w:val="7B58856C"/>
    <w:lvl w:ilvl="0" w:tplc="040A000F">
      <w:start w:val="1"/>
      <w:numFmt w:val="decimal"/>
      <w:lvlText w:val="%1."/>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55B5A8F"/>
    <w:multiLevelType w:val="hybridMultilevel"/>
    <w:tmpl w:val="D5BE9928"/>
    <w:lvl w:ilvl="0" w:tplc="3C3C5B4E">
      <w:start w:val="2"/>
      <w:numFmt w:val="bullet"/>
      <w:lvlText w:val="-"/>
      <w:lvlJc w:val="left"/>
      <w:pPr>
        <w:ind w:left="1440" w:hanging="360"/>
      </w:pPr>
      <w:rPr>
        <w:rFonts w:ascii="Palatino Linotype" w:eastAsia="Palatino Linotype" w:hAnsi="Palatino Linotype" w:cs="Palatino Linotype"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3" w15:restartNumberingAfterBreak="0">
    <w:nsid w:val="58A326DB"/>
    <w:multiLevelType w:val="hybridMultilevel"/>
    <w:tmpl w:val="C15C62E4"/>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34" w15:restartNumberingAfterBreak="0">
    <w:nsid w:val="5A7573AA"/>
    <w:multiLevelType w:val="hybridMultilevel"/>
    <w:tmpl w:val="2A2C282C"/>
    <w:lvl w:ilvl="0" w:tplc="080A0011">
      <w:start w:val="1"/>
      <w:numFmt w:val="decimal"/>
      <w:lvlText w:val="%1)"/>
      <w:lvlJc w:val="left"/>
      <w:pPr>
        <w:ind w:left="1287" w:hanging="360"/>
      </w:pPr>
      <w:rPr>
        <w:rFonts w:hint="default"/>
        <w:sz w:val="22"/>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5" w15:restartNumberingAfterBreak="0">
    <w:nsid w:val="65070C84"/>
    <w:multiLevelType w:val="multilevel"/>
    <w:tmpl w:val="8A2A19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7142C49"/>
    <w:multiLevelType w:val="multilevel"/>
    <w:tmpl w:val="30B4AF1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68717A16"/>
    <w:multiLevelType w:val="multilevel"/>
    <w:tmpl w:val="FE0A5F92"/>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6AD82989"/>
    <w:multiLevelType w:val="multilevel"/>
    <w:tmpl w:val="741E2F88"/>
    <w:lvl w:ilvl="0">
      <w:start w:val="1"/>
      <w:numFmt w:val="lowerLetter"/>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6F345B31"/>
    <w:multiLevelType w:val="multilevel"/>
    <w:tmpl w:val="6B2C040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9C01BB5"/>
    <w:multiLevelType w:val="multilevel"/>
    <w:tmpl w:val="5D2CB75E"/>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B083A9B"/>
    <w:multiLevelType w:val="multilevel"/>
    <w:tmpl w:val="01A0AE9C"/>
    <w:lvl w:ilvl="0">
      <w:start w:val="2"/>
      <w:numFmt w:val="bullet"/>
      <w:pStyle w:val="Listaconvietas"/>
      <w:lvlText w:val="-"/>
      <w:lvlJc w:val="left"/>
      <w:pPr>
        <w:ind w:left="927" w:hanging="360"/>
      </w:pPr>
      <w:rPr>
        <w:rFonts w:ascii="Palatino Linotype" w:eastAsia="Palatino Linotype" w:hAnsi="Palatino Linotype" w:cs="Palatino Linotype"/>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2" w15:restartNumberingAfterBreak="0">
    <w:nsid w:val="7B2C08A8"/>
    <w:multiLevelType w:val="hybridMultilevel"/>
    <w:tmpl w:val="708873F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CAF0B55"/>
    <w:multiLevelType w:val="hybridMultilevel"/>
    <w:tmpl w:val="2C0C132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29"/>
  </w:num>
  <w:num w:numId="2">
    <w:abstractNumId w:val="2"/>
  </w:num>
  <w:num w:numId="3">
    <w:abstractNumId w:val="41"/>
  </w:num>
  <w:num w:numId="4">
    <w:abstractNumId w:val="23"/>
  </w:num>
  <w:num w:numId="5">
    <w:abstractNumId w:val="9"/>
  </w:num>
  <w:num w:numId="6">
    <w:abstractNumId w:val="24"/>
  </w:num>
  <w:num w:numId="7">
    <w:abstractNumId w:val="4"/>
  </w:num>
  <w:num w:numId="8">
    <w:abstractNumId w:val="7"/>
  </w:num>
  <w:num w:numId="9">
    <w:abstractNumId w:val="10"/>
  </w:num>
  <w:num w:numId="10">
    <w:abstractNumId w:val="42"/>
  </w:num>
  <w:num w:numId="11">
    <w:abstractNumId w:val="12"/>
  </w:num>
  <w:num w:numId="12">
    <w:abstractNumId w:val="26"/>
  </w:num>
  <w:num w:numId="13">
    <w:abstractNumId w:val="20"/>
  </w:num>
  <w:num w:numId="14">
    <w:abstractNumId w:val="27"/>
  </w:num>
  <w:num w:numId="15">
    <w:abstractNumId w:val="34"/>
  </w:num>
  <w:num w:numId="16">
    <w:abstractNumId w:val="35"/>
  </w:num>
  <w:num w:numId="17">
    <w:abstractNumId w:val="6"/>
  </w:num>
  <w:num w:numId="18">
    <w:abstractNumId w:val="17"/>
  </w:num>
  <w:num w:numId="19">
    <w:abstractNumId w:val="40"/>
  </w:num>
  <w:num w:numId="20">
    <w:abstractNumId w:val="37"/>
  </w:num>
  <w:num w:numId="21">
    <w:abstractNumId w:val="19"/>
  </w:num>
  <w:num w:numId="22">
    <w:abstractNumId w:val="36"/>
  </w:num>
  <w:num w:numId="23">
    <w:abstractNumId w:val="0"/>
  </w:num>
  <w:num w:numId="24">
    <w:abstractNumId w:val="11"/>
  </w:num>
  <w:num w:numId="25">
    <w:abstractNumId w:val="30"/>
  </w:num>
  <w:num w:numId="26">
    <w:abstractNumId w:val="32"/>
  </w:num>
  <w:num w:numId="27">
    <w:abstractNumId w:val="1"/>
  </w:num>
  <w:num w:numId="28">
    <w:abstractNumId w:val="21"/>
  </w:num>
  <w:num w:numId="29">
    <w:abstractNumId w:val="18"/>
  </w:num>
  <w:num w:numId="30">
    <w:abstractNumId w:val="25"/>
  </w:num>
  <w:num w:numId="31">
    <w:abstractNumId w:val="28"/>
  </w:num>
  <w:num w:numId="32">
    <w:abstractNumId w:val="3"/>
  </w:num>
  <w:num w:numId="33">
    <w:abstractNumId w:val="22"/>
  </w:num>
  <w:num w:numId="34">
    <w:abstractNumId w:val="16"/>
  </w:num>
  <w:num w:numId="35">
    <w:abstractNumId w:val="5"/>
  </w:num>
  <w:num w:numId="36">
    <w:abstractNumId w:val="14"/>
  </w:num>
  <w:num w:numId="37">
    <w:abstractNumId w:val="31"/>
  </w:num>
  <w:num w:numId="38">
    <w:abstractNumId w:val="43"/>
  </w:num>
  <w:num w:numId="39">
    <w:abstractNumId w:val="39"/>
  </w:num>
  <w:num w:numId="40">
    <w:abstractNumId w:val="38"/>
  </w:num>
  <w:num w:numId="41">
    <w:abstractNumId w:val="8"/>
  </w:num>
  <w:num w:numId="42">
    <w:abstractNumId w:val="15"/>
  </w:num>
  <w:num w:numId="43">
    <w:abstractNumId w:val="13"/>
  </w:num>
  <w:num w:numId="44">
    <w:abstractNumId w:val="3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7F6"/>
    <w:rsid w:val="00003CC0"/>
    <w:rsid w:val="00011BB7"/>
    <w:rsid w:val="000140E9"/>
    <w:rsid w:val="0001587B"/>
    <w:rsid w:val="00020E27"/>
    <w:rsid w:val="00022FF0"/>
    <w:rsid w:val="000275EA"/>
    <w:rsid w:val="00035362"/>
    <w:rsid w:val="0004101C"/>
    <w:rsid w:val="000414EC"/>
    <w:rsid w:val="000472DB"/>
    <w:rsid w:val="000505A2"/>
    <w:rsid w:val="00050C84"/>
    <w:rsid w:val="000622E9"/>
    <w:rsid w:val="00074DEC"/>
    <w:rsid w:val="00082066"/>
    <w:rsid w:val="00085E1F"/>
    <w:rsid w:val="0009354C"/>
    <w:rsid w:val="00094B03"/>
    <w:rsid w:val="000979C5"/>
    <w:rsid w:val="000A2015"/>
    <w:rsid w:val="000A3BFE"/>
    <w:rsid w:val="000B6AE1"/>
    <w:rsid w:val="000C0072"/>
    <w:rsid w:val="000C2D35"/>
    <w:rsid w:val="000C6DFE"/>
    <w:rsid w:val="000D0009"/>
    <w:rsid w:val="000D62A4"/>
    <w:rsid w:val="000D6BF4"/>
    <w:rsid w:val="000E264E"/>
    <w:rsid w:val="000E7E83"/>
    <w:rsid w:val="000F3A18"/>
    <w:rsid w:val="000F461B"/>
    <w:rsid w:val="000F749A"/>
    <w:rsid w:val="00101F52"/>
    <w:rsid w:val="00102B00"/>
    <w:rsid w:val="00104A39"/>
    <w:rsid w:val="00106A63"/>
    <w:rsid w:val="00106CF0"/>
    <w:rsid w:val="0010766B"/>
    <w:rsid w:val="0011572F"/>
    <w:rsid w:val="00115C81"/>
    <w:rsid w:val="0012241A"/>
    <w:rsid w:val="001244B6"/>
    <w:rsid w:val="0012725B"/>
    <w:rsid w:val="00137C81"/>
    <w:rsid w:val="00146F7A"/>
    <w:rsid w:val="00151505"/>
    <w:rsid w:val="00167CFB"/>
    <w:rsid w:val="00170B7D"/>
    <w:rsid w:val="00171756"/>
    <w:rsid w:val="0017336F"/>
    <w:rsid w:val="00176F92"/>
    <w:rsid w:val="00177120"/>
    <w:rsid w:val="001775F5"/>
    <w:rsid w:val="001778A6"/>
    <w:rsid w:val="00185461"/>
    <w:rsid w:val="00195613"/>
    <w:rsid w:val="001A0A13"/>
    <w:rsid w:val="001A2C55"/>
    <w:rsid w:val="001B754F"/>
    <w:rsid w:val="001C133C"/>
    <w:rsid w:val="001C5C24"/>
    <w:rsid w:val="001C6F25"/>
    <w:rsid w:val="001E1DB3"/>
    <w:rsid w:val="001E2543"/>
    <w:rsid w:val="001F52E8"/>
    <w:rsid w:val="00205000"/>
    <w:rsid w:val="0021021B"/>
    <w:rsid w:val="00215433"/>
    <w:rsid w:val="00220962"/>
    <w:rsid w:val="0022312E"/>
    <w:rsid w:val="00227160"/>
    <w:rsid w:val="0023634A"/>
    <w:rsid w:val="00240A2A"/>
    <w:rsid w:val="00241C45"/>
    <w:rsid w:val="002432DD"/>
    <w:rsid w:val="00244C94"/>
    <w:rsid w:val="002460CA"/>
    <w:rsid w:val="00251415"/>
    <w:rsid w:val="00251552"/>
    <w:rsid w:val="00255A16"/>
    <w:rsid w:val="002566D6"/>
    <w:rsid w:val="0025775B"/>
    <w:rsid w:val="00261424"/>
    <w:rsid w:val="00271603"/>
    <w:rsid w:val="00272662"/>
    <w:rsid w:val="00272A31"/>
    <w:rsid w:val="002734DE"/>
    <w:rsid w:val="0027457C"/>
    <w:rsid w:val="00282A93"/>
    <w:rsid w:val="00285379"/>
    <w:rsid w:val="00287278"/>
    <w:rsid w:val="002911F2"/>
    <w:rsid w:val="00291E13"/>
    <w:rsid w:val="00294BBE"/>
    <w:rsid w:val="002A38A5"/>
    <w:rsid w:val="002A4A12"/>
    <w:rsid w:val="002A642E"/>
    <w:rsid w:val="002A76E9"/>
    <w:rsid w:val="002B0636"/>
    <w:rsid w:val="002B39AC"/>
    <w:rsid w:val="002C4916"/>
    <w:rsid w:val="002C63CA"/>
    <w:rsid w:val="002D25A9"/>
    <w:rsid w:val="002D4381"/>
    <w:rsid w:val="002E51A0"/>
    <w:rsid w:val="002F289C"/>
    <w:rsid w:val="00301A49"/>
    <w:rsid w:val="0031081A"/>
    <w:rsid w:val="00310AAA"/>
    <w:rsid w:val="00336C8D"/>
    <w:rsid w:val="003412FF"/>
    <w:rsid w:val="00351E01"/>
    <w:rsid w:val="003535F7"/>
    <w:rsid w:val="00357E62"/>
    <w:rsid w:val="003610C8"/>
    <w:rsid w:val="00363193"/>
    <w:rsid w:val="00374863"/>
    <w:rsid w:val="00375053"/>
    <w:rsid w:val="00381615"/>
    <w:rsid w:val="00382B63"/>
    <w:rsid w:val="00395674"/>
    <w:rsid w:val="003A539C"/>
    <w:rsid w:val="003B39B3"/>
    <w:rsid w:val="003B746B"/>
    <w:rsid w:val="003C0D60"/>
    <w:rsid w:val="003D17CE"/>
    <w:rsid w:val="003E151E"/>
    <w:rsid w:val="003E62A8"/>
    <w:rsid w:val="003F6A2A"/>
    <w:rsid w:val="00401114"/>
    <w:rsid w:val="00402094"/>
    <w:rsid w:val="00405804"/>
    <w:rsid w:val="004066C2"/>
    <w:rsid w:val="00407432"/>
    <w:rsid w:val="00413D80"/>
    <w:rsid w:val="00420E52"/>
    <w:rsid w:val="00421C3A"/>
    <w:rsid w:val="00422637"/>
    <w:rsid w:val="00430146"/>
    <w:rsid w:val="00431AFC"/>
    <w:rsid w:val="004413E6"/>
    <w:rsid w:val="004422C9"/>
    <w:rsid w:val="00443D93"/>
    <w:rsid w:val="0045016F"/>
    <w:rsid w:val="00454B9B"/>
    <w:rsid w:val="004621D1"/>
    <w:rsid w:val="00477E95"/>
    <w:rsid w:val="0049337B"/>
    <w:rsid w:val="004A4D59"/>
    <w:rsid w:val="004B37BF"/>
    <w:rsid w:val="004B699A"/>
    <w:rsid w:val="004C254B"/>
    <w:rsid w:val="004C6A5F"/>
    <w:rsid w:val="004D1E8F"/>
    <w:rsid w:val="004D3788"/>
    <w:rsid w:val="004D4EB7"/>
    <w:rsid w:val="004D64F1"/>
    <w:rsid w:val="004F40D3"/>
    <w:rsid w:val="00502F3A"/>
    <w:rsid w:val="00507CDE"/>
    <w:rsid w:val="00510789"/>
    <w:rsid w:val="005116B7"/>
    <w:rsid w:val="005125BC"/>
    <w:rsid w:val="00521904"/>
    <w:rsid w:val="005232A2"/>
    <w:rsid w:val="00524582"/>
    <w:rsid w:val="0053486A"/>
    <w:rsid w:val="00537A15"/>
    <w:rsid w:val="00541989"/>
    <w:rsid w:val="005509CC"/>
    <w:rsid w:val="005644E2"/>
    <w:rsid w:val="00571BF7"/>
    <w:rsid w:val="005764D6"/>
    <w:rsid w:val="0057691B"/>
    <w:rsid w:val="0058244A"/>
    <w:rsid w:val="00590594"/>
    <w:rsid w:val="005957F2"/>
    <w:rsid w:val="0059705D"/>
    <w:rsid w:val="005A4875"/>
    <w:rsid w:val="005A668A"/>
    <w:rsid w:val="005B15F7"/>
    <w:rsid w:val="005B4F46"/>
    <w:rsid w:val="005B6E1D"/>
    <w:rsid w:val="005B79A1"/>
    <w:rsid w:val="005C0A5D"/>
    <w:rsid w:val="005C2ED1"/>
    <w:rsid w:val="005C3FA2"/>
    <w:rsid w:val="005C74CB"/>
    <w:rsid w:val="005D08E7"/>
    <w:rsid w:val="005D28FA"/>
    <w:rsid w:val="005D2D77"/>
    <w:rsid w:val="005D4295"/>
    <w:rsid w:val="005D6395"/>
    <w:rsid w:val="005E009A"/>
    <w:rsid w:val="005E0AE6"/>
    <w:rsid w:val="005F460A"/>
    <w:rsid w:val="005F6923"/>
    <w:rsid w:val="005F7DED"/>
    <w:rsid w:val="006008B4"/>
    <w:rsid w:val="00602DB8"/>
    <w:rsid w:val="0060454F"/>
    <w:rsid w:val="00605693"/>
    <w:rsid w:val="00605991"/>
    <w:rsid w:val="00607DE9"/>
    <w:rsid w:val="00612CCA"/>
    <w:rsid w:val="00617B63"/>
    <w:rsid w:val="00624147"/>
    <w:rsid w:val="00641C48"/>
    <w:rsid w:val="00643B00"/>
    <w:rsid w:val="0065110C"/>
    <w:rsid w:val="0067251B"/>
    <w:rsid w:val="00674954"/>
    <w:rsid w:val="006949BC"/>
    <w:rsid w:val="00695950"/>
    <w:rsid w:val="00697BED"/>
    <w:rsid w:val="006B413C"/>
    <w:rsid w:val="006C5268"/>
    <w:rsid w:val="006D2F09"/>
    <w:rsid w:val="006D4025"/>
    <w:rsid w:val="006D4A7D"/>
    <w:rsid w:val="006E0510"/>
    <w:rsid w:val="006E19B5"/>
    <w:rsid w:val="006F7CCC"/>
    <w:rsid w:val="00707E5B"/>
    <w:rsid w:val="00713800"/>
    <w:rsid w:val="00716E60"/>
    <w:rsid w:val="0071796C"/>
    <w:rsid w:val="0072466E"/>
    <w:rsid w:val="00730751"/>
    <w:rsid w:val="007314C6"/>
    <w:rsid w:val="007321EB"/>
    <w:rsid w:val="00732598"/>
    <w:rsid w:val="00737A90"/>
    <w:rsid w:val="00740429"/>
    <w:rsid w:val="007425E8"/>
    <w:rsid w:val="00745DF3"/>
    <w:rsid w:val="007477F6"/>
    <w:rsid w:val="00757F12"/>
    <w:rsid w:val="007668BD"/>
    <w:rsid w:val="007671AC"/>
    <w:rsid w:val="00776154"/>
    <w:rsid w:val="00783979"/>
    <w:rsid w:val="007861D5"/>
    <w:rsid w:val="007A250C"/>
    <w:rsid w:val="007A2941"/>
    <w:rsid w:val="007A4352"/>
    <w:rsid w:val="007A6122"/>
    <w:rsid w:val="007A6765"/>
    <w:rsid w:val="007B023D"/>
    <w:rsid w:val="007C2210"/>
    <w:rsid w:val="007C365E"/>
    <w:rsid w:val="007E577A"/>
    <w:rsid w:val="007F2F4C"/>
    <w:rsid w:val="008012C6"/>
    <w:rsid w:val="008120F9"/>
    <w:rsid w:val="00816709"/>
    <w:rsid w:val="00822722"/>
    <w:rsid w:val="00822FC6"/>
    <w:rsid w:val="00824B71"/>
    <w:rsid w:val="0083209D"/>
    <w:rsid w:val="008360A2"/>
    <w:rsid w:val="00843597"/>
    <w:rsid w:val="00847CD8"/>
    <w:rsid w:val="00850987"/>
    <w:rsid w:val="0085476E"/>
    <w:rsid w:val="008626D6"/>
    <w:rsid w:val="008655BD"/>
    <w:rsid w:val="008741F1"/>
    <w:rsid w:val="00874218"/>
    <w:rsid w:val="00874AC1"/>
    <w:rsid w:val="00875B5A"/>
    <w:rsid w:val="00880AF9"/>
    <w:rsid w:val="008903B9"/>
    <w:rsid w:val="00893261"/>
    <w:rsid w:val="0089595B"/>
    <w:rsid w:val="008A3B54"/>
    <w:rsid w:val="008B4CE7"/>
    <w:rsid w:val="008D1422"/>
    <w:rsid w:val="008D57B1"/>
    <w:rsid w:val="008D5D61"/>
    <w:rsid w:val="008D6E2B"/>
    <w:rsid w:val="008E4A90"/>
    <w:rsid w:val="008E5996"/>
    <w:rsid w:val="008E5C4C"/>
    <w:rsid w:val="00904EAB"/>
    <w:rsid w:val="00923A7C"/>
    <w:rsid w:val="0092733C"/>
    <w:rsid w:val="0093354D"/>
    <w:rsid w:val="0093355F"/>
    <w:rsid w:val="00943813"/>
    <w:rsid w:val="00943908"/>
    <w:rsid w:val="00944A08"/>
    <w:rsid w:val="009456FA"/>
    <w:rsid w:val="00951AC4"/>
    <w:rsid w:val="009653D4"/>
    <w:rsid w:val="009713E6"/>
    <w:rsid w:val="00973D69"/>
    <w:rsid w:val="00980F4D"/>
    <w:rsid w:val="00984574"/>
    <w:rsid w:val="00992177"/>
    <w:rsid w:val="00992C9D"/>
    <w:rsid w:val="00995DD6"/>
    <w:rsid w:val="009A113E"/>
    <w:rsid w:val="009A3CFC"/>
    <w:rsid w:val="009C5423"/>
    <w:rsid w:val="009D0B8C"/>
    <w:rsid w:val="009D1375"/>
    <w:rsid w:val="009D625A"/>
    <w:rsid w:val="009D7455"/>
    <w:rsid w:val="009E3BCC"/>
    <w:rsid w:val="009E6D1D"/>
    <w:rsid w:val="00A04074"/>
    <w:rsid w:val="00A065B4"/>
    <w:rsid w:val="00A30797"/>
    <w:rsid w:val="00A330C2"/>
    <w:rsid w:val="00A33A91"/>
    <w:rsid w:val="00A51C01"/>
    <w:rsid w:val="00A63BCF"/>
    <w:rsid w:val="00A77F6E"/>
    <w:rsid w:val="00A91027"/>
    <w:rsid w:val="00A927BD"/>
    <w:rsid w:val="00A94E1B"/>
    <w:rsid w:val="00A97C82"/>
    <w:rsid w:val="00AA08AE"/>
    <w:rsid w:val="00AA5D5B"/>
    <w:rsid w:val="00AB4893"/>
    <w:rsid w:val="00AB5DB3"/>
    <w:rsid w:val="00AB6007"/>
    <w:rsid w:val="00AC3FEF"/>
    <w:rsid w:val="00AD189E"/>
    <w:rsid w:val="00AD35BC"/>
    <w:rsid w:val="00AD391C"/>
    <w:rsid w:val="00AE1500"/>
    <w:rsid w:val="00AE181D"/>
    <w:rsid w:val="00AE34F4"/>
    <w:rsid w:val="00AE4C99"/>
    <w:rsid w:val="00AE6C8D"/>
    <w:rsid w:val="00AF337D"/>
    <w:rsid w:val="00AF516B"/>
    <w:rsid w:val="00AF6459"/>
    <w:rsid w:val="00AF6A93"/>
    <w:rsid w:val="00B014C2"/>
    <w:rsid w:val="00B01B4E"/>
    <w:rsid w:val="00B01F31"/>
    <w:rsid w:val="00B05773"/>
    <w:rsid w:val="00B0784B"/>
    <w:rsid w:val="00B11D16"/>
    <w:rsid w:val="00B21479"/>
    <w:rsid w:val="00B230A4"/>
    <w:rsid w:val="00B27D30"/>
    <w:rsid w:val="00B36960"/>
    <w:rsid w:val="00B420A7"/>
    <w:rsid w:val="00B4317F"/>
    <w:rsid w:val="00B44028"/>
    <w:rsid w:val="00B50137"/>
    <w:rsid w:val="00B5111D"/>
    <w:rsid w:val="00B64821"/>
    <w:rsid w:val="00B652D4"/>
    <w:rsid w:val="00B67B0F"/>
    <w:rsid w:val="00B705EB"/>
    <w:rsid w:val="00B74835"/>
    <w:rsid w:val="00B8230E"/>
    <w:rsid w:val="00B9675D"/>
    <w:rsid w:val="00BA12AE"/>
    <w:rsid w:val="00BA7520"/>
    <w:rsid w:val="00BB141C"/>
    <w:rsid w:val="00BE144D"/>
    <w:rsid w:val="00BF4042"/>
    <w:rsid w:val="00BF7077"/>
    <w:rsid w:val="00C007C7"/>
    <w:rsid w:val="00C2497E"/>
    <w:rsid w:val="00C26595"/>
    <w:rsid w:val="00C36B10"/>
    <w:rsid w:val="00C37161"/>
    <w:rsid w:val="00C4295C"/>
    <w:rsid w:val="00C5418E"/>
    <w:rsid w:val="00C64701"/>
    <w:rsid w:val="00C73269"/>
    <w:rsid w:val="00C779B4"/>
    <w:rsid w:val="00C877F6"/>
    <w:rsid w:val="00C93CB2"/>
    <w:rsid w:val="00C94A83"/>
    <w:rsid w:val="00C975DF"/>
    <w:rsid w:val="00C9792E"/>
    <w:rsid w:val="00CA0CC9"/>
    <w:rsid w:val="00CA5CFB"/>
    <w:rsid w:val="00CB4251"/>
    <w:rsid w:val="00CB68F3"/>
    <w:rsid w:val="00CC330E"/>
    <w:rsid w:val="00CC5F38"/>
    <w:rsid w:val="00CC63A3"/>
    <w:rsid w:val="00CC7522"/>
    <w:rsid w:val="00CD4BE9"/>
    <w:rsid w:val="00CF2D4D"/>
    <w:rsid w:val="00CF57A2"/>
    <w:rsid w:val="00CF60BA"/>
    <w:rsid w:val="00CF6480"/>
    <w:rsid w:val="00CF7200"/>
    <w:rsid w:val="00D06EB7"/>
    <w:rsid w:val="00D12208"/>
    <w:rsid w:val="00D125A2"/>
    <w:rsid w:val="00D261B6"/>
    <w:rsid w:val="00D3014F"/>
    <w:rsid w:val="00D31D89"/>
    <w:rsid w:val="00D3382D"/>
    <w:rsid w:val="00D35935"/>
    <w:rsid w:val="00D42C47"/>
    <w:rsid w:val="00D47A86"/>
    <w:rsid w:val="00D501D9"/>
    <w:rsid w:val="00D503A7"/>
    <w:rsid w:val="00D5108C"/>
    <w:rsid w:val="00D52078"/>
    <w:rsid w:val="00D548D9"/>
    <w:rsid w:val="00D561F5"/>
    <w:rsid w:val="00D6116D"/>
    <w:rsid w:val="00D632AD"/>
    <w:rsid w:val="00D63364"/>
    <w:rsid w:val="00D6741F"/>
    <w:rsid w:val="00D71419"/>
    <w:rsid w:val="00D7671F"/>
    <w:rsid w:val="00D86E05"/>
    <w:rsid w:val="00D95379"/>
    <w:rsid w:val="00DA22DE"/>
    <w:rsid w:val="00DA2672"/>
    <w:rsid w:val="00DA4301"/>
    <w:rsid w:val="00DA6825"/>
    <w:rsid w:val="00DB08DD"/>
    <w:rsid w:val="00DB175B"/>
    <w:rsid w:val="00DB20F5"/>
    <w:rsid w:val="00DB2ED8"/>
    <w:rsid w:val="00DB3E69"/>
    <w:rsid w:val="00DC2CE2"/>
    <w:rsid w:val="00DC5349"/>
    <w:rsid w:val="00DC5898"/>
    <w:rsid w:val="00DE5222"/>
    <w:rsid w:val="00DF2ABD"/>
    <w:rsid w:val="00DF4BF2"/>
    <w:rsid w:val="00DF7C85"/>
    <w:rsid w:val="00E111DF"/>
    <w:rsid w:val="00E218CB"/>
    <w:rsid w:val="00E21C9B"/>
    <w:rsid w:val="00E26AFB"/>
    <w:rsid w:val="00E3411D"/>
    <w:rsid w:val="00E34B63"/>
    <w:rsid w:val="00E36FCB"/>
    <w:rsid w:val="00E40539"/>
    <w:rsid w:val="00E41166"/>
    <w:rsid w:val="00E415ED"/>
    <w:rsid w:val="00E4184F"/>
    <w:rsid w:val="00E45568"/>
    <w:rsid w:val="00E53604"/>
    <w:rsid w:val="00E53B00"/>
    <w:rsid w:val="00E542DD"/>
    <w:rsid w:val="00E56AE7"/>
    <w:rsid w:val="00E60A32"/>
    <w:rsid w:val="00E649BA"/>
    <w:rsid w:val="00E70735"/>
    <w:rsid w:val="00E70C81"/>
    <w:rsid w:val="00E90A7F"/>
    <w:rsid w:val="00E97AD5"/>
    <w:rsid w:val="00EA240E"/>
    <w:rsid w:val="00EA2D40"/>
    <w:rsid w:val="00EB1F6C"/>
    <w:rsid w:val="00EB4F4A"/>
    <w:rsid w:val="00EB6FCF"/>
    <w:rsid w:val="00EC1771"/>
    <w:rsid w:val="00EC1F60"/>
    <w:rsid w:val="00EC3DA1"/>
    <w:rsid w:val="00EC6C9B"/>
    <w:rsid w:val="00EC7027"/>
    <w:rsid w:val="00ED1F46"/>
    <w:rsid w:val="00EE30D8"/>
    <w:rsid w:val="00EE5678"/>
    <w:rsid w:val="00EE6872"/>
    <w:rsid w:val="00F0001E"/>
    <w:rsid w:val="00F0041B"/>
    <w:rsid w:val="00F0102D"/>
    <w:rsid w:val="00F11903"/>
    <w:rsid w:val="00F36565"/>
    <w:rsid w:val="00F411E7"/>
    <w:rsid w:val="00F45131"/>
    <w:rsid w:val="00F50538"/>
    <w:rsid w:val="00F51C36"/>
    <w:rsid w:val="00F60B31"/>
    <w:rsid w:val="00F63FA8"/>
    <w:rsid w:val="00F6784D"/>
    <w:rsid w:val="00F80CD2"/>
    <w:rsid w:val="00F90408"/>
    <w:rsid w:val="00F93216"/>
    <w:rsid w:val="00F94226"/>
    <w:rsid w:val="00F959E6"/>
    <w:rsid w:val="00FA6C9F"/>
    <w:rsid w:val="00FB1184"/>
    <w:rsid w:val="00FB389B"/>
    <w:rsid w:val="00FC5E3D"/>
    <w:rsid w:val="00FD3320"/>
    <w:rsid w:val="00FE3CAA"/>
    <w:rsid w:val="00FF48B2"/>
    <w:rsid w:val="00FF492B"/>
    <w:rsid w:val="00FF4F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03C616"/>
  <w15:docId w15:val="{9B6F5DC6-6478-4D7C-BEBD-2CE441658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Encabezado">
    <w:name w:val="header"/>
    <w:basedOn w:val="Normal"/>
    <w:link w:val="EncabezadoCar"/>
    <w:uiPriority w:val="99"/>
    <w:unhideWhenUsed/>
    <w:rsid w:val="00CD74AE"/>
    <w:pPr>
      <w:tabs>
        <w:tab w:val="center" w:pos="4419"/>
        <w:tab w:val="right" w:pos="8838"/>
      </w:tabs>
    </w:pPr>
  </w:style>
  <w:style w:type="character" w:customStyle="1" w:styleId="EncabezadoCar">
    <w:name w:val="Encabezado Car"/>
    <w:basedOn w:val="Fuentedeprrafopredeter"/>
    <w:link w:val="Encabezado"/>
    <w:uiPriority w:val="99"/>
    <w:rsid w:val="00CD74AE"/>
  </w:style>
  <w:style w:type="paragraph" w:styleId="Piedepgina">
    <w:name w:val="footer"/>
    <w:basedOn w:val="Normal"/>
    <w:link w:val="PiedepginaCar"/>
    <w:uiPriority w:val="99"/>
    <w:unhideWhenUsed/>
    <w:rsid w:val="00CD74AE"/>
    <w:pPr>
      <w:tabs>
        <w:tab w:val="center" w:pos="4419"/>
        <w:tab w:val="right" w:pos="8838"/>
      </w:tabs>
    </w:pPr>
  </w:style>
  <w:style w:type="character" w:customStyle="1" w:styleId="PiedepginaCar">
    <w:name w:val="Pie de página Car"/>
    <w:basedOn w:val="Fuentedeprrafopredeter"/>
    <w:link w:val="Piedepgina"/>
    <w:uiPriority w:val="99"/>
    <w:rsid w:val="00CD74AE"/>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1"/>
    <w:qFormat/>
    <w:rsid w:val="00CD74AE"/>
    <w:pPr>
      <w:ind w:left="720"/>
      <w:contextualSpacing/>
    </w:pPr>
  </w:style>
  <w:style w:type="character" w:styleId="Hipervnculo">
    <w:name w:val="Hyperlink"/>
    <w:aliases w:val="Hipervínculo1,Hipervínculo11,Hipervínculo12,Hipervínculo13,Hipervínculo14,Hipervínculo15"/>
    <w:basedOn w:val="Fuentedeprrafopredeter"/>
    <w:uiPriority w:val="99"/>
    <w:unhideWhenUsed/>
    <w:qFormat/>
    <w:rsid w:val="00CD74AE"/>
    <w:rPr>
      <w:color w:val="0563C1" w:themeColor="hyperlink"/>
      <w:u w:val="single"/>
    </w:rPr>
  </w:style>
  <w:style w:type="table" w:styleId="Tablaconcuadrcula">
    <w:name w:val="Table Grid"/>
    <w:basedOn w:val="Tablanormal"/>
    <w:uiPriority w:val="39"/>
    <w:rsid w:val="009C1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2AA5"/>
    <w:pPr>
      <w:spacing w:before="100" w:beforeAutospacing="1" w:after="100" w:afterAutospacing="1"/>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F3FE6"/>
  </w:style>
  <w:style w:type="table" w:customStyle="1" w:styleId="6">
    <w:name w:val="6"/>
    <w:basedOn w:val="TableNormal10"/>
    <w:tblPr>
      <w:tblStyleRowBandSize w:val="1"/>
      <w:tblStyleColBandSize w:val="1"/>
      <w:tblCellMar>
        <w:top w:w="15" w:type="dxa"/>
        <w:left w:w="15" w:type="dxa"/>
        <w:bottom w:w="15" w:type="dxa"/>
        <w:right w:w="15" w:type="dxa"/>
      </w:tblCellMar>
    </w:tblPr>
  </w:style>
  <w:style w:type="table" w:customStyle="1" w:styleId="5">
    <w:name w:val="5"/>
    <w:basedOn w:val="TableNormal10"/>
    <w:tblPr>
      <w:tblStyleRowBandSize w:val="1"/>
      <w:tblStyleColBandSize w:val="1"/>
      <w:tblCellMar>
        <w:left w:w="115" w:type="dxa"/>
        <w:right w:w="115" w:type="dxa"/>
      </w:tblCellMar>
    </w:tblPr>
  </w:style>
  <w:style w:type="table" w:customStyle="1" w:styleId="4">
    <w:name w:val="4"/>
    <w:basedOn w:val="TableNormal10"/>
    <w:tblPr>
      <w:tblStyleRowBandSize w:val="1"/>
      <w:tblStyleColBandSize w:val="1"/>
      <w:tblCellMar>
        <w:left w:w="115" w:type="dxa"/>
        <w:right w:w="115" w:type="dxa"/>
      </w:tblCellMar>
    </w:tblPr>
  </w:style>
  <w:style w:type="table" w:customStyle="1" w:styleId="3">
    <w:name w:val="3"/>
    <w:basedOn w:val="TableNormal10"/>
    <w:tblPr>
      <w:tblStyleRowBandSize w:val="1"/>
      <w:tblStyleColBandSize w:val="1"/>
      <w:tblCellMar>
        <w:top w:w="15" w:type="dxa"/>
        <w:left w:w="115" w:type="dxa"/>
        <w:bottom w:w="15" w:type="dxa"/>
        <w:right w:w="115" w:type="dxa"/>
      </w:tblCellMar>
    </w:tblPr>
  </w:style>
  <w:style w:type="table" w:customStyle="1" w:styleId="2">
    <w:name w:val="2"/>
    <w:basedOn w:val="TableNormal10"/>
    <w:tblPr>
      <w:tblStyleRowBandSize w:val="1"/>
      <w:tblStyleColBandSize w:val="1"/>
      <w:tblCellMar>
        <w:top w:w="15" w:type="dxa"/>
        <w:left w:w="115" w:type="dxa"/>
        <w:bottom w:w="15" w:type="dxa"/>
        <w:right w:w="115" w:type="dxa"/>
      </w:tblCellMar>
    </w:tblPr>
  </w:style>
  <w:style w:type="table" w:customStyle="1" w:styleId="1">
    <w:name w:val="1"/>
    <w:basedOn w:val="TableNormal10"/>
    <w:tblPr>
      <w:tblStyleRowBandSize w:val="1"/>
      <w:tblStyleColBandSize w:val="1"/>
      <w:tblCellMar>
        <w:top w:w="15" w:type="dxa"/>
        <w:left w:w="115" w:type="dxa"/>
        <w:bottom w:w="15" w:type="dxa"/>
        <w:right w:w="115" w:type="dxa"/>
      </w:tblCellMar>
    </w:tblPr>
  </w:style>
  <w:style w:type="character" w:customStyle="1" w:styleId="Mencinsinresolver1">
    <w:name w:val="Mención sin resolver1"/>
    <w:basedOn w:val="Fuentedeprrafopredeter"/>
    <w:uiPriority w:val="99"/>
    <w:semiHidden/>
    <w:unhideWhenUsed/>
    <w:rsid w:val="00B63FC6"/>
    <w:rPr>
      <w:color w:val="605E5C"/>
      <w:shd w:val="clear" w:color="auto" w:fill="E1DFDD"/>
    </w:rPr>
  </w:style>
  <w:style w:type="character" w:customStyle="1" w:styleId="Mencinsinresolver2">
    <w:name w:val="Mención sin resolver2"/>
    <w:basedOn w:val="Fuentedeprrafopredeter"/>
    <w:uiPriority w:val="99"/>
    <w:semiHidden/>
    <w:unhideWhenUsed/>
    <w:rsid w:val="00AC79ED"/>
    <w:rPr>
      <w:color w:val="605E5C"/>
      <w:shd w:val="clear" w:color="auto" w:fill="E1DFDD"/>
    </w:rPr>
  </w:style>
  <w:style w:type="paragraph" w:customStyle="1" w:styleId="Default">
    <w:name w:val="Default"/>
    <w:rsid w:val="00A27592"/>
    <w:pPr>
      <w:autoSpaceDE w:val="0"/>
      <w:autoSpaceDN w:val="0"/>
      <w:adjustRightInd w:val="0"/>
    </w:pPr>
    <w:rPr>
      <w:rFonts w:ascii="Arial" w:hAnsi="Arial" w:cs="Arial"/>
      <w:color w:val="000000"/>
    </w:rPr>
  </w:style>
  <w:style w:type="character" w:customStyle="1" w:styleId="normaltextrun">
    <w:name w:val="normaltextrun"/>
    <w:basedOn w:val="Fuentedeprrafopredeter"/>
    <w:rsid w:val="002F3C2D"/>
  </w:style>
  <w:style w:type="paragraph" w:styleId="Sinespaciado">
    <w:name w:val="No Spacing"/>
    <w:aliases w:val="Francesa,INAI"/>
    <w:link w:val="SinespaciadoCar"/>
    <w:uiPriority w:val="1"/>
    <w:qFormat/>
    <w:rsid w:val="00F01E4E"/>
    <w:rPr>
      <w:lang w:val="es-ES" w:eastAsia="es-ES"/>
    </w:rPr>
  </w:style>
  <w:style w:type="character" w:customStyle="1" w:styleId="SinespaciadoCar">
    <w:name w:val="Sin espaciado Car"/>
    <w:aliases w:val="Francesa Car,INAI Car"/>
    <w:link w:val="Sinespaciado"/>
    <w:uiPriority w:val="1"/>
    <w:locked/>
    <w:rsid w:val="00F01E4E"/>
    <w:rPr>
      <w:rFonts w:ascii="Times New Roman" w:eastAsia="Times New Roman" w:hAnsi="Times New Roman" w:cs="Times New Roman"/>
      <w:sz w:val="24"/>
      <w:szCs w:val="24"/>
      <w:lang w:val="es-ES" w:eastAsia="es-ES"/>
    </w:rPr>
  </w:style>
  <w:style w:type="table" w:customStyle="1" w:styleId="9">
    <w:name w:val="9"/>
    <w:basedOn w:val="TableNormal20"/>
    <w:tblPr>
      <w:tblStyleRowBandSize w:val="1"/>
      <w:tblStyleColBandSize w:val="1"/>
      <w:tblCellMar>
        <w:left w:w="108" w:type="dxa"/>
        <w:right w:w="108" w:type="dxa"/>
      </w:tblCellMar>
    </w:tblPr>
  </w:style>
  <w:style w:type="table" w:customStyle="1" w:styleId="8">
    <w:name w:val="8"/>
    <w:basedOn w:val="TableNormal20"/>
    <w:tblPr>
      <w:tblStyleRowBandSize w:val="1"/>
      <w:tblStyleColBandSize w:val="1"/>
      <w:tblCellMar>
        <w:top w:w="15" w:type="dxa"/>
        <w:left w:w="115" w:type="dxa"/>
        <w:bottom w:w="15" w:type="dxa"/>
        <w:right w:w="115" w:type="dxa"/>
      </w:tblCellMar>
    </w:tblPr>
  </w:style>
  <w:style w:type="table" w:customStyle="1" w:styleId="7">
    <w:name w:val="7"/>
    <w:basedOn w:val="TableNormal20"/>
    <w:tblPr>
      <w:tblStyleRowBandSize w:val="1"/>
      <w:tblStyleColBandSize w:val="1"/>
      <w:tblCellMar>
        <w:top w:w="15" w:type="dxa"/>
        <w:left w:w="115" w:type="dxa"/>
        <w:bottom w:w="15" w:type="dxa"/>
        <w:right w:w="115" w:type="dxa"/>
      </w:tblCellMar>
    </w:tblPr>
  </w:style>
  <w:style w:type="character" w:customStyle="1" w:styleId="Mencinsinresolver3">
    <w:name w:val="Mención sin resolver3"/>
    <w:basedOn w:val="Fuentedeprrafopredeter"/>
    <w:uiPriority w:val="99"/>
    <w:semiHidden/>
    <w:unhideWhenUsed/>
    <w:rsid w:val="00B91EC4"/>
    <w:rPr>
      <w:color w:val="605E5C"/>
      <w:shd w:val="clear" w:color="auto" w:fill="E1DFDD"/>
    </w:rPr>
  </w:style>
  <w:style w:type="character" w:styleId="Refdecomentario">
    <w:name w:val="annotation reference"/>
    <w:basedOn w:val="Fuentedeprrafopredeter"/>
    <w:uiPriority w:val="99"/>
    <w:semiHidden/>
    <w:unhideWhenUsed/>
    <w:rsid w:val="007266CA"/>
    <w:rPr>
      <w:sz w:val="16"/>
      <w:szCs w:val="16"/>
    </w:rPr>
  </w:style>
  <w:style w:type="paragraph" w:styleId="Textocomentario">
    <w:name w:val="annotation text"/>
    <w:basedOn w:val="Normal"/>
    <w:link w:val="TextocomentarioCar"/>
    <w:uiPriority w:val="99"/>
    <w:semiHidden/>
    <w:unhideWhenUsed/>
    <w:rsid w:val="007266CA"/>
    <w:rPr>
      <w:sz w:val="20"/>
      <w:szCs w:val="20"/>
    </w:rPr>
  </w:style>
  <w:style w:type="character" w:customStyle="1" w:styleId="TextocomentarioCar">
    <w:name w:val="Texto comentario Car"/>
    <w:basedOn w:val="Fuentedeprrafopredeter"/>
    <w:link w:val="Textocomentario"/>
    <w:uiPriority w:val="99"/>
    <w:semiHidden/>
    <w:rsid w:val="007266CA"/>
    <w:rPr>
      <w:rFonts w:eastAsia="Times New Roman" w:cs="Times New Roman"/>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7266CA"/>
    <w:rPr>
      <w:b/>
      <w:bCs/>
    </w:rPr>
  </w:style>
  <w:style w:type="character" w:customStyle="1" w:styleId="AsuntodelcomentarioCar">
    <w:name w:val="Asunto del comentario Car"/>
    <w:basedOn w:val="TextocomentarioCar"/>
    <w:link w:val="Asuntodelcomentario"/>
    <w:uiPriority w:val="99"/>
    <w:semiHidden/>
    <w:rsid w:val="007266CA"/>
    <w:rPr>
      <w:rFonts w:eastAsia="Times New Roman" w:cs="Times New Roman"/>
      <w:b/>
      <w:bCs/>
      <w:sz w:val="20"/>
      <w:szCs w:val="20"/>
      <w:lang w:eastAsia="en-US"/>
    </w:rPr>
  </w:style>
  <w:style w:type="character" w:styleId="Textodelmarcadordeposicin">
    <w:name w:val="Placeholder Text"/>
    <w:basedOn w:val="Fuentedeprrafopredeter"/>
    <w:uiPriority w:val="99"/>
    <w:semiHidden/>
    <w:rsid w:val="007266CA"/>
    <w:rPr>
      <w:color w:val="808080"/>
    </w:rPr>
  </w:style>
  <w:style w:type="character" w:styleId="Hipervnculovisitado">
    <w:name w:val="FollowedHyperlink"/>
    <w:basedOn w:val="Fuentedeprrafopredeter"/>
    <w:uiPriority w:val="99"/>
    <w:semiHidden/>
    <w:unhideWhenUsed/>
    <w:rsid w:val="00FC1F2B"/>
    <w:rPr>
      <w:color w:val="954F72" w:themeColor="followed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C1F2B"/>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FC1F2B"/>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FC1F2B"/>
    <w:rPr>
      <w:vertAlign w:val="superscript"/>
    </w:rPr>
  </w:style>
  <w:style w:type="character" w:customStyle="1" w:styleId="PuestoCar">
    <w:name w:val="Puesto Car"/>
    <w:aliases w:val="Cita textual Car"/>
    <w:basedOn w:val="Fuentedeprrafopredeter"/>
    <w:uiPriority w:val="10"/>
    <w:rsid w:val="00EC101D"/>
    <w:rPr>
      <w:rFonts w:eastAsia="Times New Roman" w:cs="Times New Roman"/>
      <w:b/>
      <w:sz w:val="72"/>
      <w:szCs w:val="72"/>
      <w:lang w:eastAsia="en-US"/>
    </w:rPr>
  </w:style>
  <w:style w:type="table" w:customStyle="1" w:styleId="Tablanormal11">
    <w:name w:val="Tabla normal 11"/>
    <w:basedOn w:val="Tablanormal"/>
    <w:uiPriority w:val="41"/>
    <w:rsid w:val="009A0A8D"/>
    <w:rPr>
      <w:rFonts w:asciiTheme="minorHAnsi" w:eastAsiaTheme="minorHAnsi"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4"/>
    <w:tblPr>
      <w:tblStyleRowBandSize w:val="1"/>
      <w:tblStyleColBandSize w:val="1"/>
      <w:tblCellMar>
        <w:left w:w="115" w:type="dxa"/>
        <w:right w:w="115" w:type="dxa"/>
      </w:tblCellMar>
    </w:tblPr>
  </w:style>
  <w:style w:type="table" w:customStyle="1" w:styleId="a0">
    <w:basedOn w:val="TableNormal4"/>
    <w:tblPr>
      <w:tblStyleRowBandSize w:val="1"/>
      <w:tblStyleColBandSize w:val="1"/>
      <w:tblCellMar>
        <w:left w:w="115" w:type="dxa"/>
        <w:right w:w="115" w:type="dxa"/>
      </w:tblCellMar>
    </w:tblPr>
  </w:style>
  <w:style w:type="table" w:customStyle="1" w:styleId="a1">
    <w:basedOn w:val="TableNormal4"/>
    <w:tblPr>
      <w:tblStyleRowBandSize w:val="1"/>
      <w:tblStyleColBandSize w:val="1"/>
      <w:tblCellMar>
        <w:left w:w="115" w:type="dxa"/>
        <w:right w:w="115" w:type="dxa"/>
      </w:tblCellMar>
    </w:tblPr>
  </w:style>
  <w:style w:type="table" w:customStyle="1" w:styleId="a2">
    <w:basedOn w:val="TableNormal4"/>
    <w:tblPr>
      <w:tblStyleRowBandSize w:val="1"/>
      <w:tblStyleColBandSize w:val="1"/>
      <w:tblCellMar>
        <w:left w:w="115" w:type="dxa"/>
        <w:right w:w="115" w:type="dxa"/>
      </w:tblCellMar>
    </w:tblPr>
  </w:style>
  <w:style w:type="table" w:customStyle="1" w:styleId="a3">
    <w:basedOn w:val="TableNormal4"/>
    <w:tblPr>
      <w:tblStyleRowBandSize w:val="1"/>
      <w:tblStyleColBandSize w:val="1"/>
      <w:tblCellMar>
        <w:top w:w="15" w:type="dxa"/>
        <w:left w:w="115" w:type="dxa"/>
        <w:bottom w:w="15" w:type="dxa"/>
        <w:right w:w="115" w:type="dxa"/>
      </w:tblCellMar>
    </w:tblPr>
  </w:style>
  <w:style w:type="table" w:customStyle="1" w:styleId="a4">
    <w:basedOn w:val="TableNormal4"/>
    <w:tblPr>
      <w:tblStyleRowBandSize w:val="1"/>
      <w:tblStyleColBandSize w:val="1"/>
      <w:tblCellMar>
        <w:top w:w="15" w:type="dxa"/>
        <w:left w:w="115" w:type="dxa"/>
        <w:bottom w:w="15" w:type="dxa"/>
        <w:right w:w="115" w:type="dxa"/>
      </w:tblCellMar>
    </w:tblPr>
  </w:style>
  <w:style w:type="table" w:customStyle="1" w:styleId="a5">
    <w:basedOn w:val="TableNormal3"/>
    <w:tblPr>
      <w:tblStyleRowBandSize w:val="1"/>
      <w:tblStyleColBandSize w:val="1"/>
      <w:tblCellMar>
        <w:left w:w="115" w:type="dxa"/>
        <w:right w:w="115" w:type="dxa"/>
      </w:tblCellMar>
    </w:tblPr>
  </w:style>
  <w:style w:type="table" w:customStyle="1" w:styleId="a6">
    <w:basedOn w:val="TableNormal3"/>
    <w:tblPr>
      <w:tblStyleRowBandSize w:val="1"/>
      <w:tblStyleColBandSize w:val="1"/>
      <w:tblCellMar>
        <w:left w:w="115" w:type="dxa"/>
        <w:right w:w="115" w:type="dxa"/>
      </w:tblCellMar>
    </w:tblPr>
  </w:style>
  <w:style w:type="table" w:customStyle="1" w:styleId="a7">
    <w:basedOn w:val="TableNormal3"/>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top w:w="15" w:type="dxa"/>
        <w:left w:w="115" w:type="dxa"/>
        <w:bottom w:w="15" w:type="dxa"/>
        <w:right w:w="115" w:type="dxa"/>
      </w:tblCellMar>
    </w:tblPr>
  </w:style>
  <w:style w:type="table" w:customStyle="1" w:styleId="aa">
    <w:basedOn w:val="TableNormal3"/>
    <w:tblPr>
      <w:tblStyleRowBandSize w:val="1"/>
      <w:tblStyleColBandSize w:val="1"/>
      <w:tblCellMar>
        <w:top w:w="15" w:type="dxa"/>
        <w:left w:w="115" w:type="dxa"/>
        <w:bottom w:w="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2"/>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top w:w="15" w:type="dxa"/>
        <w:left w:w="115" w:type="dxa"/>
        <w:bottom w:w="15" w:type="dxa"/>
        <w:right w:w="115" w:type="dxa"/>
      </w:tblCellMar>
    </w:tblPr>
  </w:style>
  <w:style w:type="table" w:customStyle="1" w:styleId="af2">
    <w:basedOn w:val="TableNormal2"/>
    <w:tblPr>
      <w:tblStyleRowBandSize w:val="1"/>
      <w:tblStyleColBandSize w:val="1"/>
      <w:tblCellMar>
        <w:top w:w="15" w:type="dxa"/>
        <w:left w:w="115" w:type="dxa"/>
        <w:bottom w:w="15" w:type="dxa"/>
        <w:right w:w="115" w:type="dxa"/>
      </w:tblCellMar>
    </w:tblPr>
  </w:style>
  <w:style w:type="character" w:styleId="Textoennegrita">
    <w:name w:val="Strong"/>
    <w:basedOn w:val="Fuentedeprrafopredeter"/>
    <w:uiPriority w:val="22"/>
    <w:qFormat/>
    <w:rsid w:val="00AC6527"/>
    <w:rPr>
      <w:b/>
      <w:bCs/>
    </w:rPr>
  </w:style>
  <w:style w:type="character" w:customStyle="1" w:styleId="apple-tab-span">
    <w:name w:val="apple-tab-span"/>
    <w:basedOn w:val="Fuentedeprrafopredeter"/>
    <w:rsid w:val="00EB58F7"/>
  </w:style>
  <w:style w:type="paragraph" w:styleId="Listaconvietas3">
    <w:name w:val="List Bullet 3"/>
    <w:basedOn w:val="Normal"/>
    <w:uiPriority w:val="99"/>
    <w:unhideWhenUsed/>
    <w:rsid w:val="00AF720B"/>
    <w:pPr>
      <w:numPr>
        <w:numId w:val="1"/>
      </w:numPr>
      <w:contextualSpacing/>
    </w:p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top w:w="15" w:type="dxa"/>
        <w:left w:w="115" w:type="dxa"/>
        <w:bottom w:w="15" w:type="dxa"/>
        <w:right w:w="115" w:type="dxa"/>
      </w:tblCellMar>
    </w:tblPr>
  </w:style>
  <w:style w:type="table" w:customStyle="1" w:styleId="af5">
    <w:basedOn w:val="TableNormal1"/>
    <w:tblPr>
      <w:tblStyleRowBandSize w:val="1"/>
      <w:tblStyleColBandSize w:val="1"/>
      <w:tblCellMar>
        <w:top w:w="15" w:type="dxa"/>
        <w:left w:w="115" w:type="dxa"/>
        <w:bottom w:w="15" w:type="dxa"/>
        <w:right w:w="115" w:type="dxa"/>
      </w:tblCellMar>
    </w:tblPr>
  </w:style>
  <w:style w:type="paragraph" w:styleId="Listaconvietas">
    <w:name w:val="List Bullet"/>
    <w:basedOn w:val="Normal"/>
    <w:uiPriority w:val="99"/>
    <w:unhideWhenUsed/>
    <w:rsid w:val="00E97D6F"/>
    <w:pPr>
      <w:numPr>
        <w:numId w:val="3"/>
      </w:numPr>
      <w:contextualSpacing/>
    </w:pPr>
    <w:rPr>
      <w:lang w:val="es-ES"/>
    </w:rPr>
  </w:style>
  <w:style w:type="character" w:customStyle="1" w:styleId="Mencinsinresolver4">
    <w:name w:val="Mención sin resolver4"/>
    <w:basedOn w:val="Fuentedeprrafopredeter"/>
    <w:uiPriority w:val="99"/>
    <w:semiHidden/>
    <w:unhideWhenUsed/>
    <w:rsid w:val="00E8288F"/>
    <w:rPr>
      <w:color w:val="605E5C"/>
      <w:shd w:val="clear" w:color="auto" w:fill="E1DFDD"/>
    </w:rPr>
  </w:style>
  <w:style w:type="paragraph" w:customStyle="1" w:styleId="xgmail-msonormal">
    <w:name w:val="x_gmail-msonormal"/>
    <w:basedOn w:val="Normal"/>
    <w:rsid w:val="009B2050"/>
    <w:pPr>
      <w:spacing w:before="100" w:beforeAutospacing="1" w:after="100" w:afterAutospacing="1"/>
    </w:pPr>
    <w:rPr>
      <w:lang w:val="en-US" w:eastAsia="en-US"/>
    </w:rPr>
  </w:style>
  <w:style w:type="table" w:customStyle="1" w:styleId="11">
    <w:name w:val="11"/>
    <w:basedOn w:val="Tablanormal"/>
    <w:rsid w:val="0087332C"/>
    <w:rPr>
      <w:lang w:val="es-ES"/>
    </w:rPr>
    <w:tblPr>
      <w:tblStyleRowBandSize w:val="1"/>
      <w:tblStyleColBandSize w:val="1"/>
      <w:tblInd w:w="0" w:type="nil"/>
      <w:tblCellMar>
        <w:left w:w="115" w:type="dxa"/>
        <w:right w:w="115" w:type="dxa"/>
      </w:tblCellMar>
    </w:tblPr>
  </w:style>
  <w:style w:type="table" w:customStyle="1" w:styleId="10">
    <w:name w:val="10"/>
    <w:basedOn w:val="Tablanormal"/>
    <w:rsid w:val="0087332C"/>
    <w:rPr>
      <w:lang w:val="es-ES"/>
    </w:rPr>
    <w:tblPr>
      <w:tblStyleRowBandSize w:val="1"/>
      <w:tblStyleColBandSize w:val="1"/>
      <w:tblInd w:w="0" w:type="nil"/>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6">
    <w:basedOn w:val="TableNormal0"/>
    <w:tblPr>
      <w:tblStyleRowBandSize w:val="1"/>
      <w:tblStyleColBandSize w:val="1"/>
      <w:tblCellMar>
        <w:top w:w="15" w:type="dxa"/>
        <w:left w:w="115" w:type="dxa"/>
        <w:bottom w:w="15" w:type="dxa"/>
        <w:right w:w="115" w:type="dxa"/>
      </w:tblCellMar>
    </w:tblPr>
  </w:style>
  <w:style w:type="table" w:customStyle="1" w:styleId="af7">
    <w:basedOn w:val="TableNormal0"/>
    <w:tblPr>
      <w:tblStyleRowBandSize w:val="1"/>
      <w:tblStyleColBandSize w:val="1"/>
      <w:tblCellMar>
        <w:top w:w="15" w:type="dxa"/>
        <w:left w:w="115" w:type="dxa"/>
        <w:bottom w:w="15" w:type="dxa"/>
        <w:right w:w="115" w:type="dxa"/>
      </w:tblCellMar>
    </w:tblPr>
  </w:style>
  <w:style w:type="paragraph" w:styleId="Textoindependiente">
    <w:name w:val="Body Text"/>
    <w:basedOn w:val="Normal"/>
    <w:link w:val="TextoindependienteCar"/>
    <w:uiPriority w:val="99"/>
    <w:unhideWhenUsed/>
    <w:rsid w:val="00FB389B"/>
    <w:pPr>
      <w:spacing w:after="120"/>
    </w:pPr>
    <w:rPr>
      <w:lang w:val="es-ES" w:eastAsia="es-ES"/>
    </w:rPr>
  </w:style>
  <w:style w:type="character" w:customStyle="1" w:styleId="TextoindependienteCar">
    <w:name w:val="Texto independiente Car"/>
    <w:basedOn w:val="Fuentedeprrafopredeter"/>
    <w:link w:val="Textoindependiente"/>
    <w:uiPriority w:val="99"/>
    <w:rsid w:val="00FB389B"/>
    <w:rPr>
      <w:lang w:val="es-ES" w:eastAsia="es-ES"/>
    </w:rPr>
  </w:style>
  <w:style w:type="paragraph" w:customStyle="1" w:styleId="INFOEM">
    <w:name w:val="INFOEM"/>
    <w:basedOn w:val="Normal"/>
    <w:qFormat/>
    <w:rsid w:val="00D5108C"/>
    <w:pPr>
      <w:spacing w:before="240" w:after="160" w:line="360" w:lineRule="auto"/>
      <w:ind w:left="851" w:right="851"/>
      <w:jc w:val="both"/>
    </w:pPr>
    <w:rPr>
      <w:rFonts w:ascii="Palatino Linotype" w:eastAsiaTheme="minorHAnsi" w:hAnsi="Palatino Linotype" w:cstheme="minorBidi"/>
      <w:i/>
      <w:sz w:val="22"/>
      <w:szCs w:val="14"/>
      <w:lang w:eastAsia="en-US"/>
    </w:rPr>
  </w:style>
  <w:style w:type="paragraph" w:customStyle="1" w:styleId="p1">
    <w:name w:val="p1"/>
    <w:basedOn w:val="Normal"/>
    <w:rsid w:val="00A51C01"/>
    <w:rPr>
      <w:rFonts w:ascii="Arial" w:hAnsi="Arial" w:cs="Arial"/>
      <w:color w:val="000000"/>
      <w:sz w:val="17"/>
      <w:szCs w:val="17"/>
      <w:lang w:val="es-ES" w:eastAsia="es-ES_tradnl"/>
    </w:rPr>
  </w:style>
  <w:style w:type="paragraph" w:customStyle="1" w:styleId="p2">
    <w:name w:val="p2"/>
    <w:basedOn w:val="Normal"/>
    <w:rsid w:val="00A51C01"/>
    <w:rPr>
      <w:rFonts w:ascii="Helvetica" w:hAnsi="Helvetica"/>
      <w:color w:val="000000"/>
      <w:sz w:val="17"/>
      <w:szCs w:val="17"/>
      <w:lang w:val="es-ES" w:eastAsia="es-ES_tradnl"/>
    </w:rPr>
  </w:style>
  <w:style w:type="character" w:customStyle="1" w:styleId="s1">
    <w:name w:val="s1"/>
    <w:basedOn w:val="Fuentedeprrafopredeter"/>
    <w:rsid w:val="00A51C01"/>
    <w:rPr>
      <w:rFonts w:ascii="Arial" w:hAnsi="Arial" w:cs="Arial"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055">
      <w:bodyDiv w:val="1"/>
      <w:marLeft w:val="0"/>
      <w:marRight w:val="0"/>
      <w:marTop w:val="0"/>
      <w:marBottom w:val="0"/>
      <w:divBdr>
        <w:top w:val="none" w:sz="0" w:space="0" w:color="auto"/>
        <w:left w:val="none" w:sz="0" w:space="0" w:color="auto"/>
        <w:bottom w:val="none" w:sz="0" w:space="0" w:color="auto"/>
        <w:right w:val="none" w:sz="0" w:space="0" w:color="auto"/>
      </w:divBdr>
    </w:div>
    <w:div w:id="30809859">
      <w:bodyDiv w:val="1"/>
      <w:marLeft w:val="0"/>
      <w:marRight w:val="0"/>
      <w:marTop w:val="0"/>
      <w:marBottom w:val="0"/>
      <w:divBdr>
        <w:top w:val="none" w:sz="0" w:space="0" w:color="auto"/>
        <w:left w:val="none" w:sz="0" w:space="0" w:color="auto"/>
        <w:bottom w:val="none" w:sz="0" w:space="0" w:color="auto"/>
        <w:right w:val="none" w:sz="0" w:space="0" w:color="auto"/>
      </w:divBdr>
    </w:div>
    <w:div w:id="65151976">
      <w:bodyDiv w:val="1"/>
      <w:marLeft w:val="0"/>
      <w:marRight w:val="0"/>
      <w:marTop w:val="0"/>
      <w:marBottom w:val="0"/>
      <w:divBdr>
        <w:top w:val="none" w:sz="0" w:space="0" w:color="auto"/>
        <w:left w:val="none" w:sz="0" w:space="0" w:color="auto"/>
        <w:bottom w:val="none" w:sz="0" w:space="0" w:color="auto"/>
        <w:right w:val="none" w:sz="0" w:space="0" w:color="auto"/>
      </w:divBdr>
    </w:div>
    <w:div w:id="85078891">
      <w:bodyDiv w:val="1"/>
      <w:marLeft w:val="0"/>
      <w:marRight w:val="0"/>
      <w:marTop w:val="0"/>
      <w:marBottom w:val="0"/>
      <w:divBdr>
        <w:top w:val="none" w:sz="0" w:space="0" w:color="auto"/>
        <w:left w:val="none" w:sz="0" w:space="0" w:color="auto"/>
        <w:bottom w:val="none" w:sz="0" w:space="0" w:color="auto"/>
        <w:right w:val="none" w:sz="0" w:space="0" w:color="auto"/>
      </w:divBdr>
    </w:div>
    <w:div w:id="107043024">
      <w:bodyDiv w:val="1"/>
      <w:marLeft w:val="0"/>
      <w:marRight w:val="0"/>
      <w:marTop w:val="0"/>
      <w:marBottom w:val="0"/>
      <w:divBdr>
        <w:top w:val="none" w:sz="0" w:space="0" w:color="auto"/>
        <w:left w:val="none" w:sz="0" w:space="0" w:color="auto"/>
        <w:bottom w:val="none" w:sz="0" w:space="0" w:color="auto"/>
        <w:right w:val="none" w:sz="0" w:space="0" w:color="auto"/>
      </w:divBdr>
    </w:div>
    <w:div w:id="155191324">
      <w:bodyDiv w:val="1"/>
      <w:marLeft w:val="0"/>
      <w:marRight w:val="0"/>
      <w:marTop w:val="0"/>
      <w:marBottom w:val="0"/>
      <w:divBdr>
        <w:top w:val="none" w:sz="0" w:space="0" w:color="auto"/>
        <w:left w:val="none" w:sz="0" w:space="0" w:color="auto"/>
        <w:bottom w:val="none" w:sz="0" w:space="0" w:color="auto"/>
        <w:right w:val="none" w:sz="0" w:space="0" w:color="auto"/>
      </w:divBdr>
    </w:div>
    <w:div w:id="177890315">
      <w:bodyDiv w:val="1"/>
      <w:marLeft w:val="0"/>
      <w:marRight w:val="0"/>
      <w:marTop w:val="0"/>
      <w:marBottom w:val="0"/>
      <w:divBdr>
        <w:top w:val="none" w:sz="0" w:space="0" w:color="auto"/>
        <w:left w:val="none" w:sz="0" w:space="0" w:color="auto"/>
        <w:bottom w:val="none" w:sz="0" w:space="0" w:color="auto"/>
        <w:right w:val="none" w:sz="0" w:space="0" w:color="auto"/>
      </w:divBdr>
    </w:div>
    <w:div w:id="202131205">
      <w:bodyDiv w:val="1"/>
      <w:marLeft w:val="0"/>
      <w:marRight w:val="0"/>
      <w:marTop w:val="0"/>
      <w:marBottom w:val="0"/>
      <w:divBdr>
        <w:top w:val="none" w:sz="0" w:space="0" w:color="auto"/>
        <w:left w:val="none" w:sz="0" w:space="0" w:color="auto"/>
        <w:bottom w:val="none" w:sz="0" w:space="0" w:color="auto"/>
        <w:right w:val="none" w:sz="0" w:space="0" w:color="auto"/>
      </w:divBdr>
    </w:div>
    <w:div w:id="205795205">
      <w:bodyDiv w:val="1"/>
      <w:marLeft w:val="0"/>
      <w:marRight w:val="0"/>
      <w:marTop w:val="0"/>
      <w:marBottom w:val="0"/>
      <w:divBdr>
        <w:top w:val="none" w:sz="0" w:space="0" w:color="auto"/>
        <w:left w:val="none" w:sz="0" w:space="0" w:color="auto"/>
        <w:bottom w:val="none" w:sz="0" w:space="0" w:color="auto"/>
        <w:right w:val="none" w:sz="0" w:space="0" w:color="auto"/>
      </w:divBdr>
    </w:div>
    <w:div w:id="289938426">
      <w:bodyDiv w:val="1"/>
      <w:marLeft w:val="0"/>
      <w:marRight w:val="0"/>
      <w:marTop w:val="0"/>
      <w:marBottom w:val="0"/>
      <w:divBdr>
        <w:top w:val="none" w:sz="0" w:space="0" w:color="auto"/>
        <w:left w:val="none" w:sz="0" w:space="0" w:color="auto"/>
        <w:bottom w:val="none" w:sz="0" w:space="0" w:color="auto"/>
        <w:right w:val="none" w:sz="0" w:space="0" w:color="auto"/>
      </w:divBdr>
    </w:div>
    <w:div w:id="325672825">
      <w:bodyDiv w:val="1"/>
      <w:marLeft w:val="0"/>
      <w:marRight w:val="0"/>
      <w:marTop w:val="0"/>
      <w:marBottom w:val="0"/>
      <w:divBdr>
        <w:top w:val="none" w:sz="0" w:space="0" w:color="auto"/>
        <w:left w:val="none" w:sz="0" w:space="0" w:color="auto"/>
        <w:bottom w:val="none" w:sz="0" w:space="0" w:color="auto"/>
        <w:right w:val="none" w:sz="0" w:space="0" w:color="auto"/>
      </w:divBdr>
    </w:div>
    <w:div w:id="349335976">
      <w:bodyDiv w:val="1"/>
      <w:marLeft w:val="0"/>
      <w:marRight w:val="0"/>
      <w:marTop w:val="0"/>
      <w:marBottom w:val="0"/>
      <w:divBdr>
        <w:top w:val="none" w:sz="0" w:space="0" w:color="auto"/>
        <w:left w:val="none" w:sz="0" w:space="0" w:color="auto"/>
        <w:bottom w:val="none" w:sz="0" w:space="0" w:color="auto"/>
        <w:right w:val="none" w:sz="0" w:space="0" w:color="auto"/>
      </w:divBdr>
    </w:div>
    <w:div w:id="372192082">
      <w:bodyDiv w:val="1"/>
      <w:marLeft w:val="0"/>
      <w:marRight w:val="0"/>
      <w:marTop w:val="0"/>
      <w:marBottom w:val="0"/>
      <w:divBdr>
        <w:top w:val="none" w:sz="0" w:space="0" w:color="auto"/>
        <w:left w:val="none" w:sz="0" w:space="0" w:color="auto"/>
        <w:bottom w:val="none" w:sz="0" w:space="0" w:color="auto"/>
        <w:right w:val="none" w:sz="0" w:space="0" w:color="auto"/>
      </w:divBdr>
    </w:div>
    <w:div w:id="387192999">
      <w:bodyDiv w:val="1"/>
      <w:marLeft w:val="0"/>
      <w:marRight w:val="0"/>
      <w:marTop w:val="0"/>
      <w:marBottom w:val="0"/>
      <w:divBdr>
        <w:top w:val="none" w:sz="0" w:space="0" w:color="auto"/>
        <w:left w:val="none" w:sz="0" w:space="0" w:color="auto"/>
        <w:bottom w:val="none" w:sz="0" w:space="0" w:color="auto"/>
        <w:right w:val="none" w:sz="0" w:space="0" w:color="auto"/>
      </w:divBdr>
    </w:div>
    <w:div w:id="389234685">
      <w:bodyDiv w:val="1"/>
      <w:marLeft w:val="0"/>
      <w:marRight w:val="0"/>
      <w:marTop w:val="0"/>
      <w:marBottom w:val="0"/>
      <w:divBdr>
        <w:top w:val="none" w:sz="0" w:space="0" w:color="auto"/>
        <w:left w:val="none" w:sz="0" w:space="0" w:color="auto"/>
        <w:bottom w:val="none" w:sz="0" w:space="0" w:color="auto"/>
        <w:right w:val="none" w:sz="0" w:space="0" w:color="auto"/>
      </w:divBdr>
    </w:div>
    <w:div w:id="423452016">
      <w:bodyDiv w:val="1"/>
      <w:marLeft w:val="0"/>
      <w:marRight w:val="0"/>
      <w:marTop w:val="0"/>
      <w:marBottom w:val="0"/>
      <w:divBdr>
        <w:top w:val="none" w:sz="0" w:space="0" w:color="auto"/>
        <w:left w:val="none" w:sz="0" w:space="0" w:color="auto"/>
        <w:bottom w:val="none" w:sz="0" w:space="0" w:color="auto"/>
        <w:right w:val="none" w:sz="0" w:space="0" w:color="auto"/>
      </w:divBdr>
    </w:div>
    <w:div w:id="424571006">
      <w:bodyDiv w:val="1"/>
      <w:marLeft w:val="0"/>
      <w:marRight w:val="0"/>
      <w:marTop w:val="0"/>
      <w:marBottom w:val="0"/>
      <w:divBdr>
        <w:top w:val="none" w:sz="0" w:space="0" w:color="auto"/>
        <w:left w:val="none" w:sz="0" w:space="0" w:color="auto"/>
        <w:bottom w:val="none" w:sz="0" w:space="0" w:color="auto"/>
        <w:right w:val="none" w:sz="0" w:space="0" w:color="auto"/>
      </w:divBdr>
    </w:div>
    <w:div w:id="435564847">
      <w:bodyDiv w:val="1"/>
      <w:marLeft w:val="0"/>
      <w:marRight w:val="0"/>
      <w:marTop w:val="0"/>
      <w:marBottom w:val="0"/>
      <w:divBdr>
        <w:top w:val="none" w:sz="0" w:space="0" w:color="auto"/>
        <w:left w:val="none" w:sz="0" w:space="0" w:color="auto"/>
        <w:bottom w:val="none" w:sz="0" w:space="0" w:color="auto"/>
        <w:right w:val="none" w:sz="0" w:space="0" w:color="auto"/>
      </w:divBdr>
    </w:div>
    <w:div w:id="453137758">
      <w:bodyDiv w:val="1"/>
      <w:marLeft w:val="0"/>
      <w:marRight w:val="0"/>
      <w:marTop w:val="0"/>
      <w:marBottom w:val="0"/>
      <w:divBdr>
        <w:top w:val="none" w:sz="0" w:space="0" w:color="auto"/>
        <w:left w:val="none" w:sz="0" w:space="0" w:color="auto"/>
        <w:bottom w:val="none" w:sz="0" w:space="0" w:color="auto"/>
        <w:right w:val="none" w:sz="0" w:space="0" w:color="auto"/>
      </w:divBdr>
    </w:div>
    <w:div w:id="453986697">
      <w:bodyDiv w:val="1"/>
      <w:marLeft w:val="0"/>
      <w:marRight w:val="0"/>
      <w:marTop w:val="0"/>
      <w:marBottom w:val="0"/>
      <w:divBdr>
        <w:top w:val="none" w:sz="0" w:space="0" w:color="auto"/>
        <w:left w:val="none" w:sz="0" w:space="0" w:color="auto"/>
        <w:bottom w:val="none" w:sz="0" w:space="0" w:color="auto"/>
        <w:right w:val="none" w:sz="0" w:space="0" w:color="auto"/>
      </w:divBdr>
    </w:div>
    <w:div w:id="474836707">
      <w:bodyDiv w:val="1"/>
      <w:marLeft w:val="0"/>
      <w:marRight w:val="0"/>
      <w:marTop w:val="0"/>
      <w:marBottom w:val="0"/>
      <w:divBdr>
        <w:top w:val="none" w:sz="0" w:space="0" w:color="auto"/>
        <w:left w:val="none" w:sz="0" w:space="0" w:color="auto"/>
        <w:bottom w:val="none" w:sz="0" w:space="0" w:color="auto"/>
        <w:right w:val="none" w:sz="0" w:space="0" w:color="auto"/>
      </w:divBdr>
    </w:div>
    <w:div w:id="475949336">
      <w:bodyDiv w:val="1"/>
      <w:marLeft w:val="0"/>
      <w:marRight w:val="0"/>
      <w:marTop w:val="0"/>
      <w:marBottom w:val="0"/>
      <w:divBdr>
        <w:top w:val="none" w:sz="0" w:space="0" w:color="auto"/>
        <w:left w:val="none" w:sz="0" w:space="0" w:color="auto"/>
        <w:bottom w:val="none" w:sz="0" w:space="0" w:color="auto"/>
        <w:right w:val="none" w:sz="0" w:space="0" w:color="auto"/>
      </w:divBdr>
    </w:div>
    <w:div w:id="493766585">
      <w:bodyDiv w:val="1"/>
      <w:marLeft w:val="0"/>
      <w:marRight w:val="0"/>
      <w:marTop w:val="0"/>
      <w:marBottom w:val="0"/>
      <w:divBdr>
        <w:top w:val="none" w:sz="0" w:space="0" w:color="auto"/>
        <w:left w:val="none" w:sz="0" w:space="0" w:color="auto"/>
        <w:bottom w:val="none" w:sz="0" w:space="0" w:color="auto"/>
        <w:right w:val="none" w:sz="0" w:space="0" w:color="auto"/>
      </w:divBdr>
    </w:div>
    <w:div w:id="502672679">
      <w:bodyDiv w:val="1"/>
      <w:marLeft w:val="0"/>
      <w:marRight w:val="0"/>
      <w:marTop w:val="0"/>
      <w:marBottom w:val="0"/>
      <w:divBdr>
        <w:top w:val="none" w:sz="0" w:space="0" w:color="auto"/>
        <w:left w:val="none" w:sz="0" w:space="0" w:color="auto"/>
        <w:bottom w:val="none" w:sz="0" w:space="0" w:color="auto"/>
        <w:right w:val="none" w:sz="0" w:space="0" w:color="auto"/>
      </w:divBdr>
    </w:div>
    <w:div w:id="508298919">
      <w:bodyDiv w:val="1"/>
      <w:marLeft w:val="0"/>
      <w:marRight w:val="0"/>
      <w:marTop w:val="0"/>
      <w:marBottom w:val="0"/>
      <w:divBdr>
        <w:top w:val="none" w:sz="0" w:space="0" w:color="auto"/>
        <w:left w:val="none" w:sz="0" w:space="0" w:color="auto"/>
        <w:bottom w:val="none" w:sz="0" w:space="0" w:color="auto"/>
        <w:right w:val="none" w:sz="0" w:space="0" w:color="auto"/>
      </w:divBdr>
    </w:div>
    <w:div w:id="536428436">
      <w:bodyDiv w:val="1"/>
      <w:marLeft w:val="0"/>
      <w:marRight w:val="0"/>
      <w:marTop w:val="0"/>
      <w:marBottom w:val="0"/>
      <w:divBdr>
        <w:top w:val="none" w:sz="0" w:space="0" w:color="auto"/>
        <w:left w:val="none" w:sz="0" w:space="0" w:color="auto"/>
        <w:bottom w:val="none" w:sz="0" w:space="0" w:color="auto"/>
        <w:right w:val="none" w:sz="0" w:space="0" w:color="auto"/>
      </w:divBdr>
    </w:div>
    <w:div w:id="544413487">
      <w:bodyDiv w:val="1"/>
      <w:marLeft w:val="0"/>
      <w:marRight w:val="0"/>
      <w:marTop w:val="0"/>
      <w:marBottom w:val="0"/>
      <w:divBdr>
        <w:top w:val="none" w:sz="0" w:space="0" w:color="auto"/>
        <w:left w:val="none" w:sz="0" w:space="0" w:color="auto"/>
        <w:bottom w:val="none" w:sz="0" w:space="0" w:color="auto"/>
        <w:right w:val="none" w:sz="0" w:space="0" w:color="auto"/>
      </w:divBdr>
    </w:div>
    <w:div w:id="649942428">
      <w:bodyDiv w:val="1"/>
      <w:marLeft w:val="0"/>
      <w:marRight w:val="0"/>
      <w:marTop w:val="0"/>
      <w:marBottom w:val="0"/>
      <w:divBdr>
        <w:top w:val="none" w:sz="0" w:space="0" w:color="auto"/>
        <w:left w:val="none" w:sz="0" w:space="0" w:color="auto"/>
        <w:bottom w:val="none" w:sz="0" w:space="0" w:color="auto"/>
        <w:right w:val="none" w:sz="0" w:space="0" w:color="auto"/>
      </w:divBdr>
    </w:div>
    <w:div w:id="652173721">
      <w:bodyDiv w:val="1"/>
      <w:marLeft w:val="0"/>
      <w:marRight w:val="0"/>
      <w:marTop w:val="0"/>
      <w:marBottom w:val="0"/>
      <w:divBdr>
        <w:top w:val="none" w:sz="0" w:space="0" w:color="auto"/>
        <w:left w:val="none" w:sz="0" w:space="0" w:color="auto"/>
        <w:bottom w:val="none" w:sz="0" w:space="0" w:color="auto"/>
        <w:right w:val="none" w:sz="0" w:space="0" w:color="auto"/>
      </w:divBdr>
    </w:div>
    <w:div w:id="690185658">
      <w:bodyDiv w:val="1"/>
      <w:marLeft w:val="0"/>
      <w:marRight w:val="0"/>
      <w:marTop w:val="0"/>
      <w:marBottom w:val="0"/>
      <w:divBdr>
        <w:top w:val="none" w:sz="0" w:space="0" w:color="auto"/>
        <w:left w:val="none" w:sz="0" w:space="0" w:color="auto"/>
        <w:bottom w:val="none" w:sz="0" w:space="0" w:color="auto"/>
        <w:right w:val="none" w:sz="0" w:space="0" w:color="auto"/>
      </w:divBdr>
    </w:div>
    <w:div w:id="718289741">
      <w:bodyDiv w:val="1"/>
      <w:marLeft w:val="0"/>
      <w:marRight w:val="0"/>
      <w:marTop w:val="0"/>
      <w:marBottom w:val="0"/>
      <w:divBdr>
        <w:top w:val="none" w:sz="0" w:space="0" w:color="auto"/>
        <w:left w:val="none" w:sz="0" w:space="0" w:color="auto"/>
        <w:bottom w:val="none" w:sz="0" w:space="0" w:color="auto"/>
        <w:right w:val="none" w:sz="0" w:space="0" w:color="auto"/>
      </w:divBdr>
    </w:div>
    <w:div w:id="775059820">
      <w:bodyDiv w:val="1"/>
      <w:marLeft w:val="0"/>
      <w:marRight w:val="0"/>
      <w:marTop w:val="0"/>
      <w:marBottom w:val="0"/>
      <w:divBdr>
        <w:top w:val="none" w:sz="0" w:space="0" w:color="auto"/>
        <w:left w:val="none" w:sz="0" w:space="0" w:color="auto"/>
        <w:bottom w:val="none" w:sz="0" w:space="0" w:color="auto"/>
        <w:right w:val="none" w:sz="0" w:space="0" w:color="auto"/>
      </w:divBdr>
    </w:div>
    <w:div w:id="787360933">
      <w:bodyDiv w:val="1"/>
      <w:marLeft w:val="0"/>
      <w:marRight w:val="0"/>
      <w:marTop w:val="0"/>
      <w:marBottom w:val="0"/>
      <w:divBdr>
        <w:top w:val="none" w:sz="0" w:space="0" w:color="auto"/>
        <w:left w:val="none" w:sz="0" w:space="0" w:color="auto"/>
        <w:bottom w:val="none" w:sz="0" w:space="0" w:color="auto"/>
        <w:right w:val="none" w:sz="0" w:space="0" w:color="auto"/>
      </w:divBdr>
    </w:div>
    <w:div w:id="791166650">
      <w:bodyDiv w:val="1"/>
      <w:marLeft w:val="0"/>
      <w:marRight w:val="0"/>
      <w:marTop w:val="0"/>
      <w:marBottom w:val="0"/>
      <w:divBdr>
        <w:top w:val="none" w:sz="0" w:space="0" w:color="auto"/>
        <w:left w:val="none" w:sz="0" w:space="0" w:color="auto"/>
        <w:bottom w:val="none" w:sz="0" w:space="0" w:color="auto"/>
        <w:right w:val="none" w:sz="0" w:space="0" w:color="auto"/>
      </w:divBdr>
    </w:div>
    <w:div w:id="873923322">
      <w:bodyDiv w:val="1"/>
      <w:marLeft w:val="0"/>
      <w:marRight w:val="0"/>
      <w:marTop w:val="0"/>
      <w:marBottom w:val="0"/>
      <w:divBdr>
        <w:top w:val="none" w:sz="0" w:space="0" w:color="auto"/>
        <w:left w:val="none" w:sz="0" w:space="0" w:color="auto"/>
        <w:bottom w:val="none" w:sz="0" w:space="0" w:color="auto"/>
        <w:right w:val="none" w:sz="0" w:space="0" w:color="auto"/>
      </w:divBdr>
    </w:div>
    <w:div w:id="876360155">
      <w:bodyDiv w:val="1"/>
      <w:marLeft w:val="0"/>
      <w:marRight w:val="0"/>
      <w:marTop w:val="0"/>
      <w:marBottom w:val="0"/>
      <w:divBdr>
        <w:top w:val="none" w:sz="0" w:space="0" w:color="auto"/>
        <w:left w:val="none" w:sz="0" w:space="0" w:color="auto"/>
        <w:bottom w:val="none" w:sz="0" w:space="0" w:color="auto"/>
        <w:right w:val="none" w:sz="0" w:space="0" w:color="auto"/>
      </w:divBdr>
    </w:div>
    <w:div w:id="920993389">
      <w:bodyDiv w:val="1"/>
      <w:marLeft w:val="0"/>
      <w:marRight w:val="0"/>
      <w:marTop w:val="0"/>
      <w:marBottom w:val="0"/>
      <w:divBdr>
        <w:top w:val="none" w:sz="0" w:space="0" w:color="auto"/>
        <w:left w:val="none" w:sz="0" w:space="0" w:color="auto"/>
        <w:bottom w:val="none" w:sz="0" w:space="0" w:color="auto"/>
        <w:right w:val="none" w:sz="0" w:space="0" w:color="auto"/>
      </w:divBdr>
    </w:div>
    <w:div w:id="942223247">
      <w:bodyDiv w:val="1"/>
      <w:marLeft w:val="0"/>
      <w:marRight w:val="0"/>
      <w:marTop w:val="0"/>
      <w:marBottom w:val="0"/>
      <w:divBdr>
        <w:top w:val="none" w:sz="0" w:space="0" w:color="auto"/>
        <w:left w:val="none" w:sz="0" w:space="0" w:color="auto"/>
        <w:bottom w:val="none" w:sz="0" w:space="0" w:color="auto"/>
        <w:right w:val="none" w:sz="0" w:space="0" w:color="auto"/>
      </w:divBdr>
    </w:div>
    <w:div w:id="957906660">
      <w:bodyDiv w:val="1"/>
      <w:marLeft w:val="0"/>
      <w:marRight w:val="0"/>
      <w:marTop w:val="0"/>
      <w:marBottom w:val="0"/>
      <w:divBdr>
        <w:top w:val="none" w:sz="0" w:space="0" w:color="auto"/>
        <w:left w:val="none" w:sz="0" w:space="0" w:color="auto"/>
        <w:bottom w:val="none" w:sz="0" w:space="0" w:color="auto"/>
        <w:right w:val="none" w:sz="0" w:space="0" w:color="auto"/>
      </w:divBdr>
    </w:div>
    <w:div w:id="999505319">
      <w:bodyDiv w:val="1"/>
      <w:marLeft w:val="0"/>
      <w:marRight w:val="0"/>
      <w:marTop w:val="0"/>
      <w:marBottom w:val="0"/>
      <w:divBdr>
        <w:top w:val="none" w:sz="0" w:space="0" w:color="auto"/>
        <w:left w:val="none" w:sz="0" w:space="0" w:color="auto"/>
        <w:bottom w:val="none" w:sz="0" w:space="0" w:color="auto"/>
        <w:right w:val="none" w:sz="0" w:space="0" w:color="auto"/>
      </w:divBdr>
    </w:div>
    <w:div w:id="1031340583">
      <w:bodyDiv w:val="1"/>
      <w:marLeft w:val="0"/>
      <w:marRight w:val="0"/>
      <w:marTop w:val="0"/>
      <w:marBottom w:val="0"/>
      <w:divBdr>
        <w:top w:val="none" w:sz="0" w:space="0" w:color="auto"/>
        <w:left w:val="none" w:sz="0" w:space="0" w:color="auto"/>
        <w:bottom w:val="none" w:sz="0" w:space="0" w:color="auto"/>
        <w:right w:val="none" w:sz="0" w:space="0" w:color="auto"/>
      </w:divBdr>
    </w:div>
    <w:div w:id="1051925407">
      <w:bodyDiv w:val="1"/>
      <w:marLeft w:val="0"/>
      <w:marRight w:val="0"/>
      <w:marTop w:val="0"/>
      <w:marBottom w:val="0"/>
      <w:divBdr>
        <w:top w:val="none" w:sz="0" w:space="0" w:color="auto"/>
        <w:left w:val="none" w:sz="0" w:space="0" w:color="auto"/>
        <w:bottom w:val="none" w:sz="0" w:space="0" w:color="auto"/>
        <w:right w:val="none" w:sz="0" w:space="0" w:color="auto"/>
      </w:divBdr>
    </w:div>
    <w:div w:id="1055548714">
      <w:bodyDiv w:val="1"/>
      <w:marLeft w:val="0"/>
      <w:marRight w:val="0"/>
      <w:marTop w:val="0"/>
      <w:marBottom w:val="0"/>
      <w:divBdr>
        <w:top w:val="none" w:sz="0" w:space="0" w:color="auto"/>
        <w:left w:val="none" w:sz="0" w:space="0" w:color="auto"/>
        <w:bottom w:val="none" w:sz="0" w:space="0" w:color="auto"/>
        <w:right w:val="none" w:sz="0" w:space="0" w:color="auto"/>
      </w:divBdr>
    </w:div>
    <w:div w:id="1057316751">
      <w:bodyDiv w:val="1"/>
      <w:marLeft w:val="0"/>
      <w:marRight w:val="0"/>
      <w:marTop w:val="0"/>
      <w:marBottom w:val="0"/>
      <w:divBdr>
        <w:top w:val="none" w:sz="0" w:space="0" w:color="auto"/>
        <w:left w:val="none" w:sz="0" w:space="0" w:color="auto"/>
        <w:bottom w:val="none" w:sz="0" w:space="0" w:color="auto"/>
        <w:right w:val="none" w:sz="0" w:space="0" w:color="auto"/>
      </w:divBdr>
    </w:div>
    <w:div w:id="1073239938">
      <w:bodyDiv w:val="1"/>
      <w:marLeft w:val="0"/>
      <w:marRight w:val="0"/>
      <w:marTop w:val="0"/>
      <w:marBottom w:val="0"/>
      <w:divBdr>
        <w:top w:val="none" w:sz="0" w:space="0" w:color="auto"/>
        <w:left w:val="none" w:sz="0" w:space="0" w:color="auto"/>
        <w:bottom w:val="none" w:sz="0" w:space="0" w:color="auto"/>
        <w:right w:val="none" w:sz="0" w:space="0" w:color="auto"/>
      </w:divBdr>
    </w:div>
    <w:div w:id="1115709891">
      <w:bodyDiv w:val="1"/>
      <w:marLeft w:val="0"/>
      <w:marRight w:val="0"/>
      <w:marTop w:val="0"/>
      <w:marBottom w:val="0"/>
      <w:divBdr>
        <w:top w:val="none" w:sz="0" w:space="0" w:color="auto"/>
        <w:left w:val="none" w:sz="0" w:space="0" w:color="auto"/>
        <w:bottom w:val="none" w:sz="0" w:space="0" w:color="auto"/>
        <w:right w:val="none" w:sz="0" w:space="0" w:color="auto"/>
      </w:divBdr>
    </w:div>
    <w:div w:id="1119957017">
      <w:bodyDiv w:val="1"/>
      <w:marLeft w:val="0"/>
      <w:marRight w:val="0"/>
      <w:marTop w:val="0"/>
      <w:marBottom w:val="0"/>
      <w:divBdr>
        <w:top w:val="none" w:sz="0" w:space="0" w:color="auto"/>
        <w:left w:val="none" w:sz="0" w:space="0" w:color="auto"/>
        <w:bottom w:val="none" w:sz="0" w:space="0" w:color="auto"/>
        <w:right w:val="none" w:sz="0" w:space="0" w:color="auto"/>
      </w:divBdr>
    </w:div>
    <w:div w:id="1159809554">
      <w:bodyDiv w:val="1"/>
      <w:marLeft w:val="0"/>
      <w:marRight w:val="0"/>
      <w:marTop w:val="0"/>
      <w:marBottom w:val="0"/>
      <w:divBdr>
        <w:top w:val="none" w:sz="0" w:space="0" w:color="auto"/>
        <w:left w:val="none" w:sz="0" w:space="0" w:color="auto"/>
        <w:bottom w:val="none" w:sz="0" w:space="0" w:color="auto"/>
        <w:right w:val="none" w:sz="0" w:space="0" w:color="auto"/>
      </w:divBdr>
    </w:div>
    <w:div w:id="1248926709">
      <w:bodyDiv w:val="1"/>
      <w:marLeft w:val="0"/>
      <w:marRight w:val="0"/>
      <w:marTop w:val="0"/>
      <w:marBottom w:val="0"/>
      <w:divBdr>
        <w:top w:val="none" w:sz="0" w:space="0" w:color="auto"/>
        <w:left w:val="none" w:sz="0" w:space="0" w:color="auto"/>
        <w:bottom w:val="none" w:sz="0" w:space="0" w:color="auto"/>
        <w:right w:val="none" w:sz="0" w:space="0" w:color="auto"/>
      </w:divBdr>
    </w:div>
    <w:div w:id="1253465719">
      <w:bodyDiv w:val="1"/>
      <w:marLeft w:val="0"/>
      <w:marRight w:val="0"/>
      <w:marTop w:val="0"/>
      <w:marBottom w:val="0"/>
      <w:divBdr>
        <w:top w:val="none" w:sz="0" w:space="0" w:color="auto"/>
        <w:left w:val="none" w:sz="0" w:space="0" w:color="auto"/>
        <w:bottom w:val="none" w:sz="0" w:space="0" w:color="auto"/>
        <w:right w:val="none" w:sz="0" w:space="0" w:color="auto"/>
      </w:divBdr>
    </w:div>
    <w:div w:id="1268462703">
      <w:bodyDiv w:val="1"/>
      <w:marLeft w:val="0"/>
      <w:marRight w:val="0"/>
      <w:marTop w:val="0"/>
      <w:marBottom w:val="0"/>
      <w:divBdr>
        <w:top w:val="none" w:sz="0" w:space="0" w:color="auto"/>
        <w:left w:val="none" w:sz="0" w:space="0" w:color="auto"/>
        <w:bottom w:val="none" w:sz="0" w:space="0" w:color="auto"/>
        <w:right w:val="none" w:sz="0" w:space="0" w:color="auto"/>
      </w:divBdr>
    </w:div>
    <w:div w:id="1271425973">
      <w:bodyDiv w:val="1"/>
      <w:marLeft w:val="0"/>
      <w:marRight w:val="0"/>
      <w:marTop w:val="0"/>
      <w:marBottom w:val="0"/>
      <w:divBdr>
        <w:top w:val="none" w:sz="0" w:space="0" w:color="auto"/>
        <w:left w:val="none" w:sz="0" w:space="0" w:color="auto"/>
        <w:bottom w:val="none" w:sz="0" w:space="0" w:color="auto"/>
        <w:right w:val="none" w:sz="0" w:space="0" w:color="auto"/>
      </w:divBdr>
    </w:div>
    <w:div w:id="1275212771">
      <w:bodyDiv w:val="1"/>
      <w:marLeft w:val="0"/>
      <w:marRight w:val="0"/>
      <w:marTop w:val="0"/>
      <w:marBottom w:val="0"/>
      <w:divBdr>
        <w:top w:val="none" w:sz="0" w:space="0" w:color="auto"/>
        <w:left w:val="none" w:sz="0" w:space="0" w:color="auto"/>
        <w:bottom w:val="none" w:sz="0" w:space="0" w:color="auto"/>
        <w:right w:val="none" w:sz="0" w:space="0" w:color="auto"/>
      </w:divBdr>
    </w:div>
    <w:div w:id="1276017816">
      <w:bodyDiv w:val="1"/>
      <w:marLeft w:val="0"/>
      <w:marRight w:val="0"/>
      <w:marTop w:val="0"/>
      <w:marBottom w:val="0"/>
      <w:divBdr>
        <w:top w:val="none" w:sz="0" w:space="0" w:color="auto"/>
        <w:left w:val="none" w:sz="0" w:space="0" w:color="auto"/>
        <w:bottom w:val="none" w:sz="0" w:space="0" w:color="auto"/>
        <w:right w:val="none" w:sz="0" w:space="0" w:color="auto"/>
      </w:divBdr>
    </w:div>
    <w:div w:id="1294407462">
      <w:bodyDiv w:val="1"/>
      <w:marLeft w:val="0"/>
      <w:marRight w:val="0"/>
      <w:marTop w:val="0"/>
      <w:marBottom w:val="0"/>
      <w:divBdr>
        <w:top w:val="none" w:sz="0" w:space="0" w:color="auto"/>
        <w:left w:val="none" w:sz="0" w:space="0" w:color="auto"/>
        <w:bottom w:val="none" w:sz="0" w:space="0" w:color="auto"/>
        <w:right w:val="none" w:sz="0" w:space="0" w:color="auto"/>
      </w:divBdr>
    </w:div>
    <w:div w:id="1325626746">
      <w:bodyDiv w:val="1"/>
      <w:marLeft w:val="0"/>
      <w:marRight w:val="0"/>
      <w:marTop w:val="0"/>
      <w:marBottom w:val="0"/>
      <w:divBdr>
        <w:top w:val="none" w:sz="0" w:space="0" w:color="auto"/>
        <w:left w:val="none" w:sz="0" w:space="0" w:color="auto"/>
        <w:bottom w:val="none" w:sz="0" w:space="0" w:color="auto"/>
        <w:right w:val="none" w:sz="0" w:space="0" w:color="auto"/>
      </w:divBdr>
    </w:div>
    <w:div w:id="1338843004">
      <w:bodyDiv w:val="1"/>
      <w:marLeft w:val="0"/>
      <w:marRight w:val="0"/>
      <w:marTop w:val="0"/>
      <w:marBottom w:val="0"/>
      <w:divBdr>
        <w:top w:val="none" w:sz="0" w:space="0" w:color="auto"/>
        <w:left w:val="none" w:sz="0" w:space="0" w:color="auto"/>
        <w:bottom w:val="none" w:sz="0" w:space="0" w:color="auto"/>
        <w:right w:val="none" w:sz="0" w:space="0" w:color="auto"/>
      </w:divBdr>
    </w:div>
    <w:div w:id="1416324621">
      <w:bodyDiv w:val="1"/>
      <w:marLeft w:val="0"/>
      <w:marRight w:val="0"/>
      <w:marTop w:val="0"/>
      <w:marBottom w:val="0"/>
      <w:divBdr>
        <w:top w:val="none" w:sz="0" w:space="0" w:color="auto"/>
        <w:left w:val="none" w:sz="0" w:space="0" w:color="auto"/>
        <w:bottom w:val="none" w:sz="0" w:space="0" w:color="auto"/>
        <w:right w:val="none" w:sz="0" w:space="0" w:color="auto"/>
      </w:divBdr>
    </w:div>
    <w:div w:id="1422606968">
      <w:bodyDiv w:val="1"/>
      <w:marLeft w:val="0"/>
      <w:marRight w:val="0"/>
      <w:marTop w:val="0"/>
      <w:marBottom w:val="0"/>
      <w:divBdr>
        <w:top w:val="none" w:sz="0" w:space="0" w:color="auto"/>
        <w:left w:val="none" w:sz="0" w:space="0" w:color="auto"/>
        <w:bottom w:val="none" w:sz="0" w:space="0" w:color="auto"/>
        <w:right w:val="none" w:sz="0" w:space="0" w:color="auto"/>
      </w:divBdr>
    </w:div>
    <w:div w:id="1461847975">
      <w:bodyDiv w:val="1"/>
      <w:marLeft w:val="0"/>
      <w:marRight w:val="0"/>
      <w:marTop w:val="0"/>
      <w:marBottom w:val="0"/>
      <w:divBdr>
        <w:top w:val="none" w:sz="0" w:space="0" w:color="auto"/>
        <w:left w:val="none" w:sz="0" w:space="0" w:color="auto"/>
        <w:bottom w:val="none" w:sz="0" w:space="0" w:color="auto"/>
        <w:right w:val="none" w:sz="0" w:space="0" w:color="auto"/>
      </w:divBdr>
    </w:div>
    <w:div w:id="1473593885">
      <w:bodyDiv w:val="1"/>
      <w:marLeft w:val="0"/>
      <w:marRight w:val="0"/>
      <w:marTop w:val="0"/>
      <w:marBottom w:val="0"/>
      <w:divBdr>
        <w:top w:val="none" w:sz="0" w:space="0" w:color="auto"/>
        <w:left w:val="none" w:sz="0" w:space="0" w:color="auto"/>
        <w:bottom w:val="none" w:sz="0" w:space="0" w:color="auto"/>
        <w:right w:val="none" w:sz="0" w:space="0" w:color="auto"/>
      </w:divBdr>
    </w:div>
    <w:div w:id="1513911030">
      <w:bodyDiv w:val="1"/>
      <w:marLeft w:val="0"/>
      <w:marRight w:val="0"/>
      <w:marTop w:val="0"/>
      <w:marBottom w:val="0"/>
      <w:divBdr>
        <w:top w:val="none" w:sz="0" w:space="0" w:color="auto"/>
        <w:left w:val="none" w:sz="0" w:space="0" w:color="auto"/>
        <w:bottom w:val="none" w:sz="0" w:space="0" w:color="auto"/>
        <w:right w:val="none" w:sz="0" w:space="0" w:color="auto"/>
      </w:divBdr>
    </w:div>
    <w:div w:id="1583446118">
      <w:bodyDiv w:val="1"/>
      <w:marLeft w:val="0"/>
      <w:marRight w:val="0"/>
      <w:marTop w:val="0"/>
      <w:marBottom w:val="0"/>
      <w:divBdr>
        <w:top w:val="none" w:sz="0" w:space="0" w:color="auto"/>
        <w:left w:val="none" w:sz="0" w:space="0" w:color="auto"/>
        <w:bottom w:val="none" w:sz="0" w:space="0" w:color="auto"/>
        <w:right w:val="none" w:sz="0" w:space="0" w:color="auto"/>
      </w:divBdr>
    </w:div>
    <w:div w:id="1597059607">
      <w:bodyDiv w:val="1"/>
      <w:marLeft w:val="0"/>
      <w:marRight w:val="0"/>
      <w:marTop w:val="0"/>
      <w:marBottom w:val="0"/>
      <w:divBdr>
        <w:top w:val="none" w:sz="0" w:space="0" w:color="auto"/>
        <w:left w:val="none" w:sz="0" w:space="0" w:color="auto"/>
        <w:bottom w:val="none" w:sz="0" w:space="0" w:color="auto"/>
        <w:right w:val="none" w:sz="0" w:space="0" w:color="auto"/>
      </w:divBdr>
    </w:div>
    <w:div w:id="1600870388">
      <w:bodyDiv w:val="1"/>
      <w:marLeft w:val="0"/>
      <w:marRight w:val="0"/>
      <w:marTop w:val="0"/>
      <w:marBottom w:val="0"/>
      <w:divBdr>
        <w:top w:val="none" w:sz="0" w:space="0" w:color="auto"/>
        <w:left w:val="none" w:sz="0" w:space="0" w:color="auto"/>
        <w:bottom w:val="none" w:sz="0" w:space="0" w:color="auto"/>
        <w:right w:val="none" w:sz="0" w:space="0" w:color="auto"/>
      </w:divBdr>
    </w:div>
    <w:div w:id="1631983733">
      <w:bodyDiv w:val="1"/>
      <w:marLeft w:val="0"/>
      <w:marRight w:val="0"/>
      <w:marTop w:val="0"/>
      <w:marBottom w:val="0"/>
      <w:divBdr>
        <w:top w:val="none" w:sz="0" w:space="0" w:color="auto"/>
        <w:left w:val="none" w:sz="0" w:space="0" w:color="auto"/>
        <w:bottom w:val="none" w:sz="0" w:space="0" w:color="auto"/>
        <w:right w:val="none" w:sz="0" w:space="0" w:color="auto"/>
      </w:divBdr>
    </w:div>
    <w:div w:id="1757701172">
      <w:bodyDiv w:val="1"/>
      <w:marLeft w:val="0"/>
      <w:marRight w:val="0"/>
      <w:marTop w:val="0"/>
      <w:marBottom w:val="0"/>
      <w:divBdr>
        <w:top w:val="none" w:sz="0" w:space="0" w:color="auto"/>
        <w:left w:val="none" w:sz="0" w:space="0" w:color="auto"/>
        <w:bottom w:val="none" w:sz="0" w:space="0" w:color="auto"/>
        <w:right w:val="none" w:sz="0" w:space="0" w:color="auto"/>
      </w:divBdr>
    </w:div>
    <w:div w:id="1832330758">
      <w:bodyDiv w:val="1"/>
      <w:marLeft w:val="0"/>
      <w:marRight w:val="0"/>
      <w:marTop w:val="0"/>
      <w:marBottom w:val="0"/>
      <w:divBdr>
        <w:top w:val="none" w:sz="0" w:space="0" w:color="auto"/>
        <w:left w:val="none" w:sz="0" w:space="0" w:color="auto"/>
        <w:bottom w:val="none" w:sz="0" w:space="0" w:color="auto"/>
        <w:right w:val="none" w:sz="0" w:space="0" w:color="auto"/>
      </w:divBdr>
    </w:div>
    <w:div w:id="1925145090">
      <w:bodyDiv w:val="1"/>
      <w:marLeft w:val="0"/>
      <w:marRight w:val="0"/>
      <w:marTop w:val="0"/>
      <w:marBottom w:val="0"/>
      <w:divBdr>
        <w:top w:val="none" w:sz="0" w:space="0" w:color="auto"/>
        <w:left w:val="none" w:sz="0" w:space="0" w:color="auto"/>
        <w:bottom w:val="none" w:sz="0" w:space="0" w:color="auto"/>
        <w:right w:val="none" w:sz="0" w:space="0" w:color="auto"/>
      </w:divBdr>
    </w:div>
    <w:div w:id="1927223176">
      <w:bodyDiv w:val="1"/>
      <w:marLeft w:val="0"/>
      <w:marRight w:val="0"/>
      <w:marTop w:val="0"/>
      <w:marBottom w:val="0"/>
      <w:divBdr>
        <w:top w:val="none" w:sz="0" w:space="0" w:color="auto"/>
        <w:left w:val="none" w:sz="0" w:space="0" w:color="auto"/>
        <w:bottom w:val="none" w:sz="0" w:space="0" w:color="auto"/>
        <w:right w:val="none" w:sz="0" w:space="0" w:color="auto"/>
      </w:divBdr>
    </w:div>
    <w:div w:id="1947302258">
      <w:bodyDiv w:val="1"/>
      <w:marLeft w:val="0"/>
      <w:marRight w:val="0"/>
      <w:marTop w:val="0"/>
      <w:marBottom w:val="0"/>
      <w:divBdr>
        <w:top w:val="none" w:sz="0" w:space="0" w:color="auto"/>
        <w:left w:val="none" w:sz="0" w:space="0" w:color="auto"/>
        <w:bottom w:val="none" w:sz="0" w:space="0" w:color="auto"/>
        <w:right w:val="none" w:sz="0" w:space="0" w:color="auto"/>
      </w:divBdr>
    </w:div>
    <w:div w:id="1957441510">
      <w:bodyDiv w:val="1"/>
      <w:marLeft w:val="0"/>
      <w:marRight w:val="0"/>
      <w:marTop w:val="0"/>
      <w:marBottom w:val="0"/>
      <w:divBdr>
        <w:top w:val="none" w:sz="0" w:space="0" w:color="auto"/>
        <w:left w:val="none" w:sz="0" w:space="0" w:color="auto"/>
        <w:bottom w:val="none" w:sz="0" w:space="0" w:color="auto"/>
        <w:right w:val="none" w:sz="0" w:space="0" w:color="auto"/>
      </w:divBdr>
    </w:div>
    <w:div w:id="1968580742">
      <w:bodyDiv w:val="1"/>
      <w:marLeft w:val="0"/>
      <w:marRight w:val="0"/>
      <w:marTop w:val="0"/>
      <w:marBottom w:val="0"/>
      <w:divBdr>
        <w:top w:val="none" w:sz="0" w:space="0" w:color="auto"/>
        <w:left w:val="none" w:sz="0" w:space="0" w:color="auto"/>
        <w:bottom w:val="none" w:sz="0" w:space="0" w:color="auto"/>
        <w:right w:val="none" w:sz="0" w:space="0" w:color="auto"/>
      </w:divBdr>
    </w:div>
    <w:div w:id="2013333216">
      <w:bodyDiv w:val="1"/>
      <w:marLeft w:val="0"/>
      <w:marRight w:val="0"/>
      <w:marTop w:val="0"/>
      <w:marBottom w:val="0"/>
      <w:divBdr>
        <w:top w:val="none" w:sz="0" w:space="0" w:color="auto"/>
        <w:left w:val="none" w:sz="0" w:space="0" w:color="auto"/>
        <w:bottom w:val="none" w:sz="0" w:space="0" w:color="auto"/>
        <w:right w:val="none" w:sz="0" w:space="0" w:color="auto"/>
      </w:divBdr>
    </w:div>
    <w:div w:id="2029284188">
      <w:bodyDiv w:val="1"/>
      <w:marLeft w:val="0"/>
      <w:marRight w:val="0"/>
      <w:marTop w:val="0"/>
      <w:marBottom w:val="0"/>
      <w:divBdr>
        <w:top w:val="none" w:sz="0" w:space="0" w:color="auto"/>
        <w:left w:val="none" w:sz="0" w:space="0" w:color="auto"/>
        <w:bottom w:val="none" w:sz="0" w:space="0" w:color="auto"/>
        <w:right w:val="none" w:sz="0" w:space="0" w:color="auto"/>
      </w:divBdr>
    </w:div>
    <w:div w:id="2047874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HBLDjWTp6p2cViPwAICSzCfqg==">CgMxLjAyCWguM3pueXNoNzIOaC55aGJmdjc1Njc2bXQyDmguajNwcHl4d2xiMXMyMghoLnR5amN3dDINaC5qbDBkbGFzb3Q0ZjgAciExT2VTcXNycWJ5dV9lUFpCNllQZmpuS1pnTFpXX0ZnbnM=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2E1A88-CF6E-4E9A-9C30-7B26A9A28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3132</Words>
  <Characters>17226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Cuenta Microsoft</dc:creator>
  <cp:lastModifiedBy>Maricela Villagómez Martínez</cp:lastModifiedBy>
  <cp:revision>2</cp:revision>
  <cp:lastPrinted>2026-09-25T18:38:00Z</cp:lastPrinted>
  <dcterms:created xsi:type="dcterms:W3CDTF">2026-09-28T16:41:00Z</dcterms:created>
  <dcterms:modified xsi:type="dcterms:W3CDTF">2026-09-28T16:41:00Z</dcterms:modified>
</cp:coreProperties>
</file>