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Palatino Linotype" w:cs="Palatino Linotype" w:eastAsia="Palatino Linotype" w:hAnsi="Palatino Linotype"/>
          <w:sz w:val="22"/>
          <w:szCs w:val="22"/>
        </w:rPr>
      </w:pPr>
      <w:bookmarkStart w:colFirst="0" w:colLast="0" w:name="_heading=h.3rdcrjn" w:id="0"/>
      <w:bookmarkEnd w:id="0"/>
      <w:r w:rsidDel="00000000" w:rsidR="00000000" w:rsidRPr="00000000">
        <w:rPr>
          <w:rFonts w:ascii="Palatino Linotype" w:cs="Palatino Linotype" w:eastAsia="Palatino Linotype" w:hAnsi="Palatino Linotype"/>
          <w:sz w:val="22"/>
          <w:szCs w:val="22"/>
          <w:rtl w:val="0"/>
        </w:rPr>
        <w:t xml:space="preserve">Resolución del Pleno del Instituto de Transparencia, Acceso a la Información Pública y Protección de Datos Personales del Estado de México y Municipios, con domicilio en Metepec, Estado de México, a </w:t>
      </w:r>
      <w:r w:rsidDel="00000000" w:rsidR="00000000" w:rsidRPr="00000000">
        <w:rPr>
          <w:rFonts w:ascii="Palatino Linotype" w:cs="Palatino Linotype" w:eastAsia="Palatino Linotype" w:hAnsi="Palatino Linotype"/>
          <w:b w:val="1"/>
          <w:bCs w:val="1"/>
          <w:sz w:val="22"/>
          <w:szCs w:val="22"/>
          <w:rtl w:val="0"/>
        </w:rPr>
        <w:t xml:space="preserve">veinticuatro de septiembre de dos mil veintiséis</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0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3">
      <w:pPr>
        <w:tabs>
          <w:tab w:val="left" w:leader="none" w:pos="5812"/>
        </w:tabs>
        <w:spacing w:line="360" w:lineRule="auto"/>
        <w:jc w:val="both"/>
        <w:rPr>
          <w:rFonts w:ascii="Palatino Linotype" w:cs="Palatino Linotype" w:eastAsia="Palatino Linotype" w:hAnsi="Palatino Linotype"/>
          <w:sz w:val="22"/>
          <w:szCs w:val="22"/>
        </w:rPr>
      </w:pPr>
      <w:bookmarkStart w:colFirst="0" w:colLast="0" w:name="_heading=h.daj3j2xo6q66" w:id="1"/>
      <w:bookmarkEnd w:id="1"/>
      <w:r w:rsidDel="00000000" w:rsidR="00000000" w:rsidRPr="00000000">
        <w:rPr>
          <w:rFonts w:ascii="Palatino Linotype" w:cs="Palatino Linotype" w:eastAsia="Palatino Linotype" w:hAnsi="Palatino Linotype"/>
          <w:b w:val="1"/>
          <w:bCs w:val="1"/>
          <w:sz w:val="22"/>
          <w:szCs w:val="22"/>
          <w:rtl w:val="0"/>
        </w:rPr>
        <w:t xml:space="preserve">VISTO</w:t>
      </w:r>
      <w:r w:rsidDel="00000000" w:rsidR="00000000" w:rsidRPr="00000000">
        <w:rPr>
          <w:rFonts w:ascii="Palatino Linotype" w:cs="Palatino Linotype" w:eastAsia="Palatino Linotype" w:hAnsi="Palatino Linotype"/>
          <w:sz w:val="22"/>
          <w:szCs w:val="22"/>
          <w:rtl w:val="0"/>
        </w:rPr>
        <w:t xml:space="preserve"> el expediente formado con motivo del recurso de revisión </w:t>
      </w:r>
      <w:r w:rsidDel="00000000" w:rsidR="00000000" w:rsidRPr="00000000">
        <w:rPr>
          <w:rFonts w:ascii="Palatino Linotype" w:cs="Palatino Linotype" w:eastAsia="Palatino Linotype" w:hAnsi="Palatino Linotype"/>
          <w:b w:val="1"/>
          <w:bCs w:val="1"/>
          <w:sz w:val="22"/>
          <w:szCs w:val="22"/>
          <w:rtl w:val="0"/>
        </w:rPr>
        <w:t xml:space="preserve">06919/INFOEM/IP/RR/2026</w:t>
      </w:r>
      <w:r w:rsidDel="00000000" w:rsidR="00000000" w:rsidRPr="00000000">
        <w:rPr>
          <w:rFonts w:ascii="Palatino Linotype" w:cs="Palatino Linotype" w:eastAsia="Palatino Linotype" w:hAnsi="Palatino Linotype"/>
          <w:sz w:val="22"/>
          <w:szCs w:val="22"/>
          <w:rtl w:val="0"/>
        </w:rPr>
        <w:t xml:space="preserve">, interpuesto </w:t>
      </w:r>
      <w:r w:rsidDel="00000000" w:rsidR="00000000" w:rsidRPr="00000000">
        <w:rPr>
          <w:rFonts w:ascii="Palatino Linotype" w:cs="Palatino Linotype" w:eastAsia="Palatino Linotype" w:hAnsi="Palatino Linotype"/>
          <w:b w:val="1"/>
          <w:bCs w:val="1"/>
          <w:sz w:val="22"/>
          <w:szCs w:val="22"/>
          <w:rtl w:val="0"/>
        </w:rPr>
        <w:t xml:space="preserve">XXXXXXXXXX,</w:t>
      </w:r>
      <w:r w:rsidDel="00000000" w:rsidR="00000000" w:rsidRPr="00000000">
        <w:rPr>
          <w:rFonts w:ascii="Palatino Linotype" w:cs="Palatino Linotype" w:eastAsia="Palatino Linotype" w:hAnsi="Palatino Linotype"/>
          <w:sz w:val="22"/>
          <w:szCs w:val="22"/>
          <w:rtl w:val="0"/>
        </w:rPr>
        <w:t xml:space="preserve"> en lo sucesivo</w:t>
      </w:r>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contra de la respuesta a la solicitud de información con número de folio </w:t>
      </w:r>
      <w:r w:rsidDel="00000000" w:rsidR="00000000" w:rsidRPr="00000000">
        <w:rPr>
          <w:rFonts w:ascii="Palatino Linotype" w:cs="Palatino Linotype" w:eastAsia="Palatino Linotype" w:hAnsi="Palatino Linotype"/>
          <w:b w:val="1"/>
          <w:bCs w:val="1"/>
          <w:sz w:val="22"/>
          <w:szCs w:val="22"/>
          <w:rtl w:val="0"/>
        </w:rPr>
        <w:t xml:space="preserve">00042/DIFTEOLOYU/IP/2026, </w:t>
      </w:r>
      <w:r w:rsidDel="00000000" w:rsidR="00000000" w:rsidRPr="00000000">
        <w:rPr>
          <w:rFonts w:ascii="Palatino Linotype" w:cs="Palatino Linotype" w:eastAsia="Palatino Linotype" w:hAnsi="Palatino Linotype"/>
          <w:sz w:val="22"/>
          <w:szCs w:val="22"/>
          <w:rtl w:val="0"/>
        </w:rPr>
        <w:t xml:space="preserve">por parte de la </w:t>
      </w:r>
      <w:r w:rsidDel="00000000" w:rsidR="00000000" w:rsidRPr="00000000">
        <w:rPr>
          <w:rFonts w:ascii="Palatino Linotype" w:cs="Palatino Linotype" w:eastAsia="Palatino Linotype" w:hAnsi="Palatino Linotype"/>
          <w:b w:val="1"/>
          <w:bCs w:val="1"/>
          <w:sz w:val="22"/>
          <w:szCs w:val="22"/>
          <w:rtl w:val="0"/>
        </w:rPr>
        <w:t xml:space="preserve">Sistema Municipal para el Desarrollo Integral de la Familia de Teoloyucan, </w:t>
      </w:r>
      <w:r w:rsidDel="00000000" w:rsidR="00000000" w:rsidRPr="00000000">
        <w:rPr>
          <w:rFonts w:ascii="Palatino Linotype" w:cs="Palatino Linotype" w:eastAsia="Palatino Linotype" w:hAnsi="Palatino Linotype"/>
          <w:sz w:val="22"/>
          <w:szCs w:val="22"/>
          <w:rtl w:val="0"/>
        </w:rPr>
        <w:t xml:space="preserve">en lo sucesivo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se procede a dictar la presente resolución con base en los siguientes:</w:t>
      </w:r>
    </w:p>
    <w:p w:rsidR="00000000" w:rsidDel="00000000" w:rsidP="00000000" w:rsidRDefault="00000000" w:rsidRPr="00000000" w14:paraId="00000004">
      <w:pPr>
        <w:tabs>
          <w:tab w:val="left" w:leader="none" w:pos="5812"/>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05">
      <w:pP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 A N T E C E D E N T E S</w:t>
      </w:r>
    </w:p>
    <w:p w:rsidR="00000000" w:rsidDel="00000000" w:rsidP="00000000" w:rsidRDefault="00000000" w:rsidRPr="00000000" w14:paraId="00000006">
      <w:pPr>
        <w:spacing w:line="360" w:lineRule="auto"/>
        <w:jc w:val="both"/>
        <w:rPr>
          <w:rFonts w:ascii="Palatino Linotype" w:cs="Palatino Linotype" w:eastAsia="Palatino Linotype" w:hAnsi="Palatino Linotype"/>
          <w:b w:val="1"/>
          <w:bCs w:val="1"/>
          <w:sz w:val="22"/>
          <w:szCs w:val="22"/>
        </w:rPr>
      </w:pPr>
      <w:bookmarkStart w:colFirst="0" w:colLast="0" w:name="_heading=h.gjdgxs" w:id="2"/>
      <w:bookmarkEnd w:id="2"/>
      <w:r w:rsidDel="00000000" w:rsidR="00000000" w:rsidRPr="00000000">
        <w:rPr>
          <w:rtl w:val="0"/>
        </w:rPr>
      </w:r>
    </w:p>
    <w:p w:rsidR="00000000" w:rsidDel="00000000" w:rsidP="00000000" w:rsidRDefault="00000000" w:rsidRPr="00000000" w14:paraId="00000007">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1. Solicitud de acceso a la información.</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dieciséis de junio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presentó la solicitud de acceso a la información pública ante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 través del Sistema de Acceso a la Información Mexiquense, en lo subsecuente el </w:t>
      </w:r>
      <w:r w:rsidDel="00000000" w:rsidR="00000000" w:rsidRPr="00000000">
        <w:rPr>
          <w:rFonts w:ascii="Palatino Linotype" w:cs="Palatino Linotype" w:eastAsia="Palatino Linotype" w:hAnsi="Palatino Linotype"/>
          <w:b w:val="1"/>
          <w:bCs w:val="1"/>
          <w:sz w:val="22"/>
          <w:szCs w:val="22"/>
          <w:rtl w:val="0"/>
        </w:rPr>
        <w:t xml:space="preserve">SAIMEX,</w:t>
      </w:r>
      <w:r w:rsidDel="00000000" w:rsidR="00000000" w:rsidRPr="00000000">
        <w:rPr>
          <w:rFonts w:ascii="Palatino Linotype" w:cs="Palatino Linotype" w:eastAsia="Palatino Linotype" w:hAnsi="Palatino Linotype"/>
          <w:sz w:val="22"/>
          <w:szCs w:val="22"/>
          <w:rtl w:val="0"/>
        </w:rPr>
        <w:t xml:space="preserve"> mediante la cual requirió lo siguiente:</w:t>
      </w:r>
    </w:p>
    <w:p w:rsidR="00000000" w:rsidDel="00000000" w:rsidP="00000000" w:rsidRDefault="00000000" w:rsidRPr="00000000" w14:paraId="00000008">
      <w:pPr>
        <w:tabs>
          <w:tab w:val="left" w:leader="none" w:pos="4678"/>
        </w:tabs>
        <w:ind w:left="851"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9">
      <w:pPr>
        <w:tabs>
          <w:tab w:val="left" w:leader="none" w:pos="4678"/>
        </w:tabs>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“QUIERO EL RECIVO DE NOMINA , EXPEDIENTE COMPLETO, CONTRATO, FUNCIONES, CARGO, ADSCRIPCION , SU CV, DE MARIA DE JESUS JIMENEZ ROJAS.” (sic) </w:t>
      </w:r>
      <w:r w:rsidDel="00000000" w:rsidR="00000000" w:rsidRPr="00000000">
        <w:rPr>
          <w:rtl w:val="0"/>
        </w:rPr>
      </w:r>
    </w:p>
    <w:p w:rsidR="00000000" w:rsidDel="00000000" w:rsidP="00000000" w:rsidRDefault="00000000" w:rsidRPr="00000000" w14:paraId="0000000A">
      <w:pPr>
        <w:spacing w:line="360" w:lineRule="auto"/>
        <w:jc w:val="both"/>
        <w:rPr>
          <w:rFonts w:ascii="Palatino Linotype" w:cs="Palatino Linotype" w:eastAsia="Palatino Linotype" w:hAnsi="Palatino Linotype"/>
          <w:b w:val="1"/>
          <w:bCs w:val="1"/>
          <w:sz w:val="22"/>
          <w:szCs w:val="22"/>
        </w:rPr>
      </w:pPr>
      <w:bookmarkStart w:colFirst="0" w:colLast="0" w:name="_heading=h.3dy6vkm" w:id="3"/>
      <w:bookmarkEnd w:id="3"/>
      <w:r w:rsidDel="00000000" w:rsidR="00000000" w:rsidRPr="00000000">
        <w:rPr>
          <w:rtl w:val="0"/>
        </w:rPr>
      </w:r>
    </w:p>
    <w:p w:rsidR="00000000" w:rsidDel="00000000" w:rsidP="00000000" w:rsidRDefault="00000000" w:rsidRPr="00000000" w14:paraId="0000000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Modalidad de Entrega:</w:t>
      </w:r>
      <w:r w:rsidDel="00000000" w:rsidR="00000000" w:rsidRPr="00000000">
        <w:rPr>
          <w:rFonts w:ascii="Palatino Linotype" w:cs="Palatino Linotype" w:eastAsia="Palatino Linotype" w:hAnsi="Palatino Linotype"/>
          <w:sz w:val="22"/>
          <w:szCs w:val="22"/>
          <w:rtl w:val="0"/>
        </w:rPr>
        <w:t xml:space="preserve"> a través del</w:t>
      </w:r>
      <w:r w:rsidDel="00000000" w:rsidR="00000000" w:rsidRPr="00000000">
        <w:rPr>
          <w:rFonts w:ascii="Palatino Linotype" w:cs="Palatino Linotype" w:eastAsia="Palatino Linotype" w:hAnsi="Palatino Linotype"/>
          <w:b w:val="1"/>
          <w:bCs w:val="1"/>
          <w:sz w:val="22"/>
          <w:szCs w:val="22"/>
          <w:rtl w:val="0"/>
        </w:rPr>
        <w:t xml:space="preserve"> SAIMEX.</w:t>
      </w:r>
      <w:r w:rsidDel="00000000" w:rsidR="00000000" w:rsidRPr="00000000">
        <w:rPr>
          <w:rtl w:val="0"/>
        </w:rPr>
      </w:r>
    </w:p>
    <w:p w:rsidR="00000000" w:rsidDel="00000000" w:rsidP="00000000" w:rsidRDefault="00000000" w:rsidRPr="00000000" w14:paraId="0000000C">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0D">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2.</w:t>
      </w:r>
      <w:r w:rsidDel="00000000" w:rsidR="00000000" w:rsidRPr="00000000">
        <w:rPr>
          <w:rFonts w:ascii="Palatino Linotype" w:cs="Palatino Linotype" w:eastAsia="Palatino Linotype" w:hAnsi="Palatino Linotype"/>
          <w:sz w:val="22"/>
          <w:szCs w:val="22"/>
          <w:rtl w:val="0"/>
        </w:rPr>
        <w:t xml:space="preserve"> </w:t>
      </w:r>
      <w:hyperlink r:id="rId7">
        <w:r w:rsidDel="00000000" w:rsidR="00000000" w:rsidRPr="00000000">
          <w:rPr>
            <w:rFonts w:ascii="Palatino Linotype" w:cs="Palatino Linotype" w:eastAsia="Palatino Linotype" w:hAnsi="Palatino Linotype"/>
            <w:b w:val="1"/>
            <w:bCs w:val="1"/>
            <w:sz w:val="22"/>
            <w:szCs w:val="22"/>
            <w:rtl w:val="0"/>
          </w:rPr>
          <w:t xml:space="preserve">Respuesta</w:t>
        </w:r>
      </w:hyperlink>
      <w:r w:rsidDel="00000000" w:rsidR="00000000" w:rsidRPr="00000000">
        <w:rPr>
          <w:rFonts w:ascii="Palatino Linotype" w:cs="Palatino Linotype" w:eastAsia="Palatino Linotype" w:hAnsi="Palatino Linotype"/>
          <w:b w:val="1"/>
          <w:bCs w:val="1"/>
          <w:sz w:val="22"/>
          <w:szCs w:val="22"/>
          <w:rtl w:val="0"/>
        </w:rPr>
        <w:t xml:space="preserve">.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treinta de junio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envió su respuesta a la solicitud de acceso a la información a través del SAIMEX, sustancialmente en los términos siguientes: </w:t>
      </w:r>
    </w:p>
    <w:p w:rsidR="00000000" w:rsidDel="00000000" w:rsidP="00000000" w:rsidRDefault="00000000" w:rsidRPr="00000000" w14:paraId="0000000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0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respuesta a la solicitud recibida, nos permitimos hacer de su conocimiento que con fundamento en el artículo 53, Fracciones: II, V y VI de la Ley de Transparencia y Acceso a la Información Pública del Estado de México y Municipios, le contestamos que:</w:t>
      </w:r>
    </w:p>
    <w:p w:rsidR="00000000" w:rsidDel="00000000" w:rsidP="00000000" w:rsidRDefault="00000000" w:rsidRPr="00000000" w14:paraId="0000001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SE ADJUNTA INFORMACIÓN</w:t>
      </w:r>
    </w:p>
    <w:p w:rsidR="00000000" w:rsidDel="00000000" w:rsidP="00000000" w:rsidRDefault="00000000" w:rsidRPr="00000000" w14:paraId="0000001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ATENTAMENTE.” (sic)</w:t>
      </w:r>
    </w:p>
    <w:p w:rsidR="00000000" w:rsidDel="00000000" w:rsidP="00000000" w:rsidRDefault="00000000" w:rsidRPr="00000000" w14:paraId="00000012">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3">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adjuntó los siguientes documentos:</w:t>
      </w:r>
    </w:p>
    <w:p w:rsidR="00000000" w:rsidDel="00000000" w:rsidP="00000000" w:rsidRDefault="00000000" w:rsidRPr="00000000" w14:paraId="00000014">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line="360" w:lineRule="auto"/>
        <w:ind w:left="567" w:right="616"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de fecha treinta de junio de dos mil veintiséis, signado por la Jefatura de Recursos Humanos, mediante el cual informa que el SMDIF no cuenta con el expediente laboral de la C. María de Jesús Jiménez Rojas, ya que no está adscrita a este organismo y se encuentra comisionada por el Ayuntamiento de Teoloyucan; por lo que anexa el oficio correspondiente a dicha comisión. </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line="360" w:lineRule="auto"/>
        <w:ind w:left="567" w:right="616"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número DA/SSC/789/2026 de fecha veinticuatro de junio de dos mil veintiséis, signado por la Directora de Administración del Ayuntamiento de Teoloyucan, mediante el cual informa al Jefe de Recursos Humanos del DIF de Teoloyucan que, la C. María de Jesús Rojas quien se desempeña como Asesor adscrito a la Dirección de Administración, ha sido comisionado al Sistema para el Desarrollo Integral de la Familia (DIF), para desempeñar las funciones que le sean asignadas en dicha institución. La presente comisión tendrá vigencia del 22 de noviembre de 2025, hasta nueva disposición de esta autoridad. </w:t>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line="360" w:lineRule="auto"/>
        <w:ind w:left="567" w:right="616"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número DIF/TEO/UT/OF-108/2026 suscrito por la Titular de la Unidad de Transparencia en el que informó que la información a que hace referencia es generada o se encuentra en posesión de un sujeto Obligado distinto, orientando al particular para presentar la solicitud de información al Ayuntamiento de Teoloyucan, a través del siguiente enlace: </w:t>
      </w:r>
      <w:hyperlink r:id="rId8">
        <w:r w:rsidDel="00000000" w:rsidR="00000000" w:rsidRPr="00000000">
          <w:rPr>
            <w:rFonts w:ascii="Palatino Linotype" w:cs="Palatino Linotype" w:eastAsia="Palatino Linotype" w:hAnsi="Palatino Linotype"/>
            <w:color w:val="000000"/>
            <w:sz w:val="22"/>
            <w:szCs w:val="22"/>
            <w:u w:val="single"/>
            <w:rtl w:val="0"/>
          </w:rPr>
          <w:t xml:space="preserve">https://saimex.org.mx/saimex/ciudadano/login.page</w:t>
        </w:r>
      </w:hyperlink>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line="276" w:lineRule="auto"/>
        <w:ind w:left="360" w:right="49"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9">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3. Interposición del recurso de revisión. </w:t>
      </w:r>
      <w:r w:rsidDel="00000000" w:rsidR="00000000" w:rsidRPr="00000000">
        <w:rPr>
          <w:rFonts w:ascii="Palatino Linotype" w:cs="Palatino Linotype" w:eastAsia="Palatino Linotype" w:hAnsi="Palatino Linotype"/>
          <w:sz w:val="22"/>
          <w:szCs w:val="22"/>
          <w:rtl w:val="0"/>
        </w:rPr>
        <w:t xml:space="preserve">Inconforme con los términos de la respuesta emitida por parte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tres de julio de dos mil veintiséis,</w:t>
      </w:r>
      <w:r w:rsidDel="00000000" w:rsidR="00000000" w:rsidRPr="00000000">
        <w:rPr>
          <w:rFonts w:ascii="Palatino Linotype" w:cs="Palatino Linotype" w:eastAsia="Palatino Linotype" w:hAnsi="Palatino Linotype"/>
          <w:sz w:val="22"/>
          <w:szCs w:val="22"/>
          <w:rtl w:val="0"/>
        </w:rPr>
        <w:t xml:space="preserv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interpuso el recurso de revisión a través de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en donde se manifestó de la siguiente manera:</w:t>
      </w:r>
    </w:p>
    <w:p w:rsidR="00000000" w:rsidDel="00000000" w:rsidP="00000000" w:rsidRDefault="00000000" w:rsidRPr="00000000" w14:paraId="0000001A">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1B">
      <w:pPr>
        <w:spacing w:line="360" w:lineRule="auto"/>
        <w:ind w:left="851" w:right="61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Acto impugnado: </w:t>
      </w:r>
    </w:p>
    <w:p w:rsidR="00000000" w:rsidDel="00000000" w:rsidP="00000000" w:rsidRDefault="00000000" w:rsidRPr="00000000" w14:paraId="0000001C">
      <w:pPr>
        <w:tabs>
          <w:tab w:val="left" w:leader="none" w:pos="2745"/>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"ENTONCES LA CARA DE SARPULLIDO NO ES NI DE UN LADO NI DE OTRO NI OTRO????" (sic)</w:t>
      </w:r>
    </w:p>
    <w:p w:rsidR="00000000" w:rsidDel="00000000" w:rsidP="00000000" w:rsidRDefault="00000000" w:rsidRPr="00000000" w14:paraId="0000001D">
      <w:pPr>
        <w:tabs>
          <w:tab w:val="left" w:leader="none" w:pos="2745"/>
        </w:tabs>
        <w:spacing w:line="360"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1E">
      <w:pPr>
        <w:spacing w:line="360" w:lineRule="auto"/>
        <w:ind w:left="851" w:right="616" w:firstLine="0"/>
        <w:jc w:val="both"/>
        <w:rPr>
          <w:rFonts w:ascii="Palatino Linotype" w:cs="Palatino Linotype" w:eastAsia="Palatino Linotype" w:hAnsi="Palatino Linotype"/>
          <w:sz w:val="22"/>
          <w:szCs w:val="22"/>
        </w:rPr>
      </w:pPr>
      <w:bookmarkStart w:colFirst="0" w:colLast="0" w:name="_heading=h.30j0zll" w:id="4"/>
      <w:bookmarkEnd w:id="4"/>
      <w:r w:rsidDel="00000000" w:rsidR="00000000" w:rsidRPr="00000000">
        <w:rPr>
          <w:rFonts w:ascii="Palatino Linotype" w:cs="Palatino Linotype" w:eastAsia="Palatino Linotype" w:hAnsi="Palatino Linotype"/>
          <w:b w:val="1"/>
          <w:bCs w:val="1"/>
          <w:sz w:val="22"/>
          <w:szCs w:val="22"/>
          <w:rtl w:val="0"/>
        </w:rPr>
        <w:t xml:space="preserve">Y, Razones o motivos de inconformidad</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1F">
      <w:pPr>
        <w:tabs>
          <w:tab w:val="left" w:leader="none" w:pos="2745"/>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“SI ME PROPORCIONA LA LIGA PARA SOLICITAR LA INFORMACIÓN.” (sic)</w:t>
      </w:r>
    </w:p>
    <w:p w:rsidR="00000000" w:rsidDel="00000000" w:rsidP="00000000" w:rsidRDefault="00000000" w:rsidRPr="00000000" w14:paraId="00000020">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1">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4. Turno. </w:t>
      </w:r>
      <w:r w:rsidDel="00000000" w:rsidR="00000000" w:rsidRPr="00000000">
        <w:rPr>
          <w:rFonts w:ascii="Palatino Linotype" w:cs="Palatino Linotype" w:eastAsia="Palatino Linotype" w:hAnsi="Palatino Linotype"/>
          <w:sz w:val="22"/>
          <w:szCs w:val="22"/>
          <w:rtl w:val="0"/>
        </w:rPr>
        <w:t xml:space="preserve">De conformidad con el artículo 185 fracción I de la Ley de Transparencia y Acceso a la Información Pública del Estado de México y Municipios vigente, el presente recurso de revisión se turnó por el sistema electrónico del Instituto de Transparencia, Acceso a la Información Pública y Protección de Datos Personales del Estado de México y Municipios, a la Comisionada </w:t>
      </w:r>
      <w:r w:rsidDel="00000000" w:rsidR="00000000" w:rsidRPr="00000000">
        <w:rPr>
          <w:rFonts w:ascii="Palatino Linotype" w:cs="Palatino Linotype" w:eastAsia="Palatino Linotype" w:hAnsi="Palatino Linotype"/>
          <w:b w:val="1"/>
          <w:bCs w:val="1"/>
          <w:sz w:val="22"/>
          <w:szCs w:val="22"/>
          <w:rtl w:val="0"/>
        </w:rPr>
        <w:t xml:space="preserve">Guadalupe Ramírez Peña, </w:t>
      </w:r>
      <w:r w:rsidDel="00000000" w:rsidR="00000000" w:rsidRPr="00000000">
        <w:rPr>
          <w:rFonts w:ascii="Palatino Linotype" w:cs="Palatino Linotype" w:eastAsia="Palatino Linotype" w:hAnsi="Palatino Linotype"/>
          <w:sz w:val="22"/>
          <w:szCs w:val="22"/>
          <w:rtl w:val="0"/>
        </w:rPr>
        <w:t xml:space="preserve">a efecto de que analizara sobre su admisión o su desechamiento.</w:t>
      </w:r>
    </w:p>
    <w:p w:rsidR="00000000" w:rsidDel="00000000" w:rsidP="00000000" w:rsidRDefault="00000000" w:rsidRPr="00000000" w14:paraId="0000002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3">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5. Admisión del Recurso de revisión.</w:t>
      </w:r>
      <w:r w:rsidDel="00000000" w:rsidR="00000000" w:rsidRPr="00000000">
        <w:rPr>
          <w:rFonts w:ascii="Palatino Linotype" w:cs="Palatino Linotype" w:eastAsia="Palatino Linotype" w:hAnsi="Palatino Linotype"/>
          <w:sz w:val="22"/>
          <w:szCs w:val="22"/>
          <w:rtl w:val="0"/>
        </w:rPr>
        <w:t xml:space="preserve"> El</w:t>
      </w:r>
      <w:r w:rsidDel="00000000" w:rsidR="00000000" w:rsidRPr="00000000">
        <w:rPr>
          <w:rFonts w:ascii="Palatino Linotype" w:cs="Palatino Linotype" w:eastAsia="Palatino Linotype" w:hAnsi="Palatino Linotype"/>
          <w:b w:val="1"/>
          <w:bCs w:val="1"/>
          <w:sz w:val="22"/>
          <w:szCs w:val="22"/>
          <w:rtl w:val="0"/>
        </w:rPr>
        <w:t xml:space="preserve"> seis de julio de dos mil veintiséis, </w:t>
      </w:r>
      <w:r w:rsidDel="00000000" w:rsidR="00000000" w:rsidRPr="00000000">
        <w:rPr>
          <w:rFonts w:ascii="Palatino Linotype" w:cs="Palatino Linotype" w:eastAsia="Palatino Linotype" w:hAnsi="Palatino Linotype"/>
          <w:sz w:val="22"/>
          <w:szCs w:val="22"/>
          <w:rtl w:val="0"/>
        </w:rPr>
        <w:t xml:space="preserve">este Instituto de Transparencia, Acceso a la Información Pública y Protección de Datos Personales del Estado de México y Municipios, admitió a trámite el recurso de revisión que ahora se resuelve, dando un plazo máximo de siete días hábiles para que las partes manifestaran lo que a su derecho resultara conveniente, ofrecieran pruebas, formularan alegatos y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presentara su informe justificado.</w:t>
      </w:r>
    </w:p>
    <w:p w:rsidR="00000000" w:rsidDel="00000000" w:rsidP="00000000" w:rsidRDefault="00000000" w:rsidRPr="00000000" w14:paraId="00000024">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25">
      <w:pPr>
        <w:spacing w:line="360" w:lineRule="auto"/>
        <w:jc w:val="both"/>
        <w:rPr>
          <w:rFonts w:ascii="Palatino Linotype" w:cs="Palatino Linotype" w:eastAsia="Palatino Linotype" w:hAnsi="Palatino Linotype"/>
          <w:sz w:val="22"/>
          <w:szCs w:val="22"/>
        </w:rPr>
      </w:pPr>
      <w:bookmarkStart w:colFirst="0" w:colLast="0" w:name="_heading=h.2s8eyo1" w:id="5"/>
      <w:bookmarkEnd w:id="5"/>
      <w:r w:rsidDel="00000000" w:rsidR="00000000" w:rsidRPr="00000000">
        <w:rPr>
          <w:rFonts w:ascii="Palatino Linotype" w:cs="Palatino Linotype" w:eastAsia="Palatino Linotype" w:hAnsi="Palatino Linotype"/>
          <w:b w:val="1"/>
          <w:bCs w:val="1"/>
          <w:sz w:val="22"/>
          <w:szCs w:val="22"/>
          <w:rtl w:val="0"/>
        </w:rPr>
        <w:t xml:space="preserve">6. Manifestaciones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siete de julio y dos de septiembre de dos mil veintiséis</w:t>
      </w:r>
      <w:r w:rsidDel="00000000" w:rsidR="00000000" w:rsidRPr="00000000">
        <w:rPr>
          <w:rFonts w:ascii="Palatino Linotype" w:cs="Palatino Linotype" w:eastAsia="Palatino Linotype" w:hAnsi="Palatino Linotype"/>
          <w:sz w:val="22"/>
          <w:szCs w:val="22"/>
          <w:rtl w:val="0"/>
        </w:rPr>
        <w:t xml:space="preserv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remitió, a través del SAIMEX, su informe justificado, a través de los archivos electrónicos “</w:t>
      </w:r>
      <w:r w:rsidDel="00000000" w:rsidR="00000000" w:rsidRPr="00000000">
        <w:rPr>
          <w:rFonts w:ascii="Palatino Linotype" w:cs="Palatino Linotype" w:eastAsia="Palatino Linotype" w:hAnsi="Palatino Linotype"/>
          <w:b w:val="1"/>
          <w:bCs w:val="1"/>
          <w:i w:val="1"/>
          <w:iCs w:val="1"/>
          <w:sz w:val="22"/>
          <w:szCs w:val="22"/>
          <w:rtl w:val="0"/>
        </w:rPr>
        <w:t xml:space="preserve">SOL 000422026.pdf y RR 069192026.pdf</w:t>
      </w:r>
      <w:r w:rsidDel="00000000" w:rsidR="00000000" w:rsidRPr="00000000">
        <w:rPr>
          <w:rFonts w:ascii="Palatino Linotype" w:cs="Palatino Linotype" w:eastAsia="Palatino Linotype" w:hAnsi="Palatino Linotype"/>
          <w:sz w:val="22"/>
          <w:szCs w:val="22"/>
          <w:rtl w:val="0"/>
        </w:rPr>
        <w:t xml:space="preserve">” los cuales contienen: </w:t>
      </w:r>
    </w:p>
    <w:p w:rsidR="00000000" w:rsidDel="00000000" w:rsidP="00000000" w:rsidRDefault="00000000" w:rsidRPr="00000000" w14:paraId="0000002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line="360" w:lineRule="auto"/>
        <w:ind w:left="567" w:right="616"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número DIF/TEO/UT/OF-108/2026 suscrito por la Titular de la Unidad de Transparencia en el que informó que la información a que hace referencia es generada o se encuentra en posesión de un sujeto Obligado distinto, orientando al particular para presentar la solicitud de información al Ayuntamiento de Teoloyucan, a través del siguiente enlace: </w:t>
      </w:r>
      <w:hyperlink r:id="rId9">
        <w:r w:rsidDel="00000000" w:rsidR="00000000" w:rsidRPr="00000000">
          <w:rPr>
            <w:rFonts w:ascii="Palatino Linotype" w:cs="Palatino Linotype" w:eastAsia="Palatino Linotype" w:hAnsi="Palatino Linotype"/>
            <w:color w:val="000000"/>
            <w:sz w:val="22"/>
            <w:szCs w:val="22"/>
            <w:u w:val="single"/>
            <w:rtl w:val="0"/>
          </w:rPr>
          <w:t xml:space="preserve">https://saimex.org.mx/saimex/ciudadano/login.page</w:t>
        </w:r>
      </w:hyperlink>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line="360" w:lineRule="auto"/>
        <w:ind w:left="567" w:right="616" w:hanging="360"/>
        <w:jc w:val="both"/>
        <w:rPr>
          <w:sz w:val="22"/>
          <w:szCs w:val="22"/>
        </w:rPr>
      </w:pPr>
      <w:r w:rsidDel="00000000" w:rsidR="00000000" w:rsidRPr="00000000">
        <w:rPr>
          <w:rFonts w:ascii="Palatino Linotype" w:cs="Palatino Linotype" w:eastAsia="Palatino Linotype" w:hAnsi="Palatino Linotype"/>
          <w:sz w:val="22"/>
          <w:szCs w:val="22"/>
          <w:rtl w:val="0"/>
        </w:rPr>
        <w:t xml:space="preserve">Oficio número DIF/TEO/UT/OF-145/2026 suscrito por la Titular de la Unidad de Transparencia, en el que informó que ratifico la incompetencia.</w:t>
      </w:r>
    </w:p>
    <w:p w:rsidR="00000000" w:rsidDel="00000000" w:rsidP="00000000" w:rsidRDefault="00000000" w:rsidRPr="00000000" w14:paraId="0000002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Una vez analizada la información, se hizo del conocimiento de la persona solicitante en fecha </w:t>
      </w:r>
      <w:r w:rsidDel="00000000" w:rsidR="00000000" w:rsidRPr="00000000">
        <w:rPr>
          <w:rFonts w:ascii="Palatino Linotype" w:cs="Palatino Linotype" w:eastAsia="Palatino Linotype" w:hAnsi="Palatino Linotype"/>
          <w:b w:val="1"/>
          <w:bCs w:val="1"/>
          <w:sz w:val="22"/>
          <w:szCs w:val="22"/>
          <w:rtl w:val="0"/>
        </w:rPr>
        <w:t xml:space="preserve">siete de septiembre de dos mil veintiséis</w:t>
      </w:r>
      <w:r w:rsidDel="00000000" w:rsidR="00000000" w:rsidRPr="00000000">
        <w:rPr>
          <w:rFonts w:ascii="Palatino Linotype" w:cs="Palatino Linotype" w:eastAsia="Palatino Linotype" w:hAnsi="Palatino Linotype"/>
          <w:sz w:val="22"/>
          <w:szCs w:val="22"/>
          <w:rtl w:val="0"/>
        </w:rPr>
        <w:t xml:space="preserve">, a efecto de que manifestara lo que a su derecho estimara conveniente, siendo omisa en ejercer dicha prerrogativa. </w:t>
      </w:r>
    </w:p>
    <w:p w:rsidR="00000000" w:rsidDel="00000000" w:rsidP="00000000" w:rsidRDefault="00000000" w:rsidRPr="00000000" w14:paraId="0000002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left" w:leader="none" w:pos="360"/>
        </w:tabs>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7. Ampliación del término para resolver. </w:t>
      </w:r>
      <w:r w:rsidDel="00000000" w:rsidR="00000000" w:rsidRPr="00000000">
        <w:rPr>
          <w:rFonts w:ascii="Palatino Linotype" w:cs="Palatino Linotype" w:eastAsia="Palatino Linotype" w:hAnsi="Palatino Linotype"/>
          <w:sz w:val="22"/>
          <w:szCs w:val="22"/>
          <w:rtl w:val="0"/>
        </w:rPr>
        <w:t xml:space="preserve">El </w:t>
      </w:r>
      <w:r w:rsidDel="00000000" w:rsidR="00000000" w:rsidRPr="00000000">
        <w:rPr>
          <w:rFonts w:ascii="Palatino Linotype" w:cs="Palatino Linotype" w:eastAsia="Palatino Linotype" w:hAnsi="Palatino Linotype"/>
          <w:b w:val="1"/>
          <w:bCs w:val="1"/>
          <w:sz w:val="22"/>
          <w:szCs w:val="22"/>
          <w:rtl w:val="0"/>
        </w:rPr>
        <w:t xml:space="preserve">siete de septiembre de dos mil veintiséis</w:t>
      </w:r>
      <w:r w:rsidDel="00000000" w:rsidR="00000000" w:rsidRPr="00000000">
        <w:rPr>
          <w:rFonts w:ascii="Palatino Linotype" w:cs="Palatino Linotype" w:eastAsia="Palatino Linotype" w:hAnsi="Palatino Linotype"/>
          <w:sz w:val="22"/>
          <w:szCs w:val="22"/>
          <w:rtl w:val="0"/>
        </w:rPr>
        <w:t xml:space="preserve">, con fundamento en el artículo 181, párrafo tercero de la Ley de Transparencia y Acceso a la Información Pública del Estado de México y Municipios, se acordó la ampliación del plazo para su resolución.</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2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rsidR="00000000" w:rsidDel="00000000" w:rsidP="00000000" w:rsidRDefault="00000000" w:rsidRPr="00000000" w14:paraId="0000002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ello, es menester precisar que, si bien se ha excedido el plazo para resolver el presente medio de impugnación, de conformidad con la ley de la materia, el plazo para emitir la resolución se encuentra justificado en los elementos para medir la razonabilidad de asuntos conforme a los parámetros establecidos por diversos órganos jurisdiccionales federales, aplicables también en procedimientos análogos, como el que nos ocupa.</w:t>
      </w:r>
    </w:p>
    <w:p w:rsidR="00000000" w:rsidDel="00000000" w:rsidP="00000000" w:rsidRDefault="00000000" w:rsidRPr="00000000" w14:paraId="0000003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rsidR="00000000" w:rsidDel="00000000" w:rsidP="00000000" w:rsidRDefault="00000000" w:rsidRPr="00000000" w14:paraId="0000003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rsidR="00000000" w:rsidDel="00000000" w:rsidP="00000000" w:rsidRDefault="00000000" w:rsidRPr="00000000" w14:paraId="0000003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6">
      <w:pPr>
        <w:spacing w:line="360" w:lineRule="auto"/>
        <w:jc w:val="both"/>
        <w:rPr>
          <w:rFonts w:ascii="Palatino Linotype" w:cs="Palatino Linotype" w:eastAsia="Palatino Linotype" w:hAnsi="Palatino Linotype"/>
          <w:strike w:val="1"/>
          <w:sz w:val="22"/>
          <w:szCs w:val="22"/>
        </w:rPr>
      </w:pPr>
      <w:r w:rsidDel="00000000" w:rsidR="00000000" w:rsidRPr="00000000">
        <w:rPr>
          <w:rFonts w:ascii="Palatino Linotype" w:cs="Palatino Linotype" w:eastAsia="Palatino Linotype" w:hAnsi="Palatino Linotype"/>
          <w:sz w:val="22"/>
          <w:szCs w:val="22"/>
          <w:rtl w:val="0"/>
        </w:rPr>
        <w:t xml:space="preserve">Por ello, excepcionalmente, si un asunto es resuelto con posterioridad a los plazos señalados por la norma debe analizarse la razonabilidad del tiempo necesario para su resolución, atentos a los siguientes criterios: </w:t>
      </w:r>
      <w:r w:rsidDel="00000000" w:rsidR="00000000" w:rsidRPr="00000000">
        <w:rPr>
          <w:rtl w:val="0"/>
        </w:rPr>
      </w:r>
    </w:p>
    <w:p w:rsidR="00000000" w:rsidDel="00000000" w:rsidP="00000000" w:rsidRDefault="00000000" w:rsidRPr="00000000" w14:paraId="0000003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8">
      <w:pPr>
        <w:numPr>
          <w:ilvl w:val="0"/>
          <w:numId w:val="5"/>
        </w:numPr>
        <w:spacing w:line="360" w:lineRule="auto"/>
        <w:ind w:left="927"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Complejidad del Asunto:</w:t>
      </w:r>
      <w:r w:rsidDel="00000000" w:rsidR="00000000" w:rsidRPr="00000000">
        <w:rPr>
          <w:rFonts w:ascii="Palatino Linotype" w:cs="Palatino Linotype" w:eastAsia="Palatino Linotype" w:hAnsi="Palatino Linotype"/>
          <w:sz w:val="22"/>
          <w:szCs w:val="22"/>
          <w:rtl w:val="0"/>
        </w:rPr>
        <w:t xml:space="preserve"> La complejidad de la prueba, la pluralidad de sujetos procesales, el tiempo transcurrido, las características y contexto del recurso. </w:t>
      </w:r>
    </w:p>
    <w:p w:rsidR="00000000" w:rsidDel="00000000" w:rsidP="00000000" w:rsidRDefault="00000000" w:rsidRPr="00000000" w14:paraId="00000039">
      <w:pPr>
        <w:spacing w:line="360" w:lineRule="auto"/>
        <w:ind w:left="927"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A">
      <w:pPr>
        <w:numPr>
          <w:ilvl w:val="0"/>
          <w:numId w:val="5"/>
        </w:numPr>
        <w:spacing w:line="360" w:lineRule="auto"/>
        <w:ind w:left="927"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Actividad Procesal del interesado.</w:t>
      </w:r>
      <w:r w:rsidDel="00000000" w:rsidR="00000000" w:rsidRPr="00000000">
        <w:rPr>
          <w:rFonts w:ascii="Palatino Linotype" w:cs="Palatino Linotype" w:eastAsia="Palatino Linotype" w:hAnsi="Palatino Linotype"/>
          <w:sz w:val="22"/>
          <w:szCs w:val="22"/>
          <w:rtl w:val="0"/>
        </w:rPr>
        <w:t xml:space="preserve"> Acciones u omisiones del interesado.</w:t>
      </w:r>
    </w:p>
    <w:p w:rsidR="00000000" w:rsidDel="00000000" w:rsidP="00000000" w:rsidRDefault="00000000" w:rsidRPr="00000000" w14:paraId="0000003B">
      <w:pPr>
        <w:spacing w:line="360" w:lineRule="auto"/>
        <w:ind w:left="927"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C">
      <w:pPr>
        <w:numPr>
          <w:ilvl w:val="0"/>
          <w:numId w:val="5"/>
        </w:numPr>
        <w:spacing w:line="360" w:lineRule="auto"/>
        <w:ind w:left="927"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Conducta de la Autoridad:</w:t>
      </w:r>
      <w:r w:rsidDel="00000000" w:rsidR="00000000" w:rsidRPr="00000000">
        <w:rPr>
          <w:rFonts w:ascii="Palatino Linotype" w:cs="Palatino Linotype" w:eastAsia="Palatino Linotype" w:hAnsi="Palatino Linotype"/>
          <w:sz w:val="22"/>
          <w:szCs w:val="22"/>
          <w:rtl w:val="0"/>
        </w:rPr>
        <w:t xml:space="preserve"> Las Acciones u omisiones realizadas en el procedimiento. Así como si la autoridad actuó con la debida diligencia.</w:t>
      </w:r>
    </w:p>
    <w:p w:rsidR="00000000" w:rsidDel="00000000" w:rsidP="00000000" w:rsidRDefault="00000000" w:rsidRPr="00000000" w14:paraId="0000003D">
      <w:pPr>
        <w:spacing w:line="360" w:lineRule="auto"/>
        <w:ind w:left="927"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3E">
      <w:pPr>
        <w:numPr>
          <w:ilvl w:val="0"/>
          <w:numId w:val="5"/>
        </w:numPr>
        <w:spacing w:line="360" w:lineRule="auto"/>
        <w:ind w:left="927" w:hanging="36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sz w:val="22"/>
          <w:szCs w:val="22"/>
          <w:rtl w:val="0"/>
        </w:rPr>
        <w:t xml:space="preserve">La afectación generada en la situación jurídica de la persona involucrada en el proceso: </w:t>
      </w:r>
      <w:r w:rsidDel="00000000" w:rsidR="00000000" w:rsidRPr="00000000">
        <w:rPr>
          <w:rFonts w:ascii="Palatino Linotype" w:cs="Palatino Linotype" w:eastAsia="Palatino Linotype" w:hAnsi="Palatino Linotype"/>
          <w:sz w:val="22"/>
          <w:szCs w:val="22"/>
          <w:rtl w:val="0"/>
        </w:rPr>
        <w:t xml:space="preserve">Violación a sus derechos humanos.</w:t>
      </w:r>
    </w:p>
    <w:p w:rsidR="00000000" w:rsidDel="00000000" w:rsidP="00000000" w:rsidRDefault="00000000" w:rsidRPr="00000000" w14:paraId="0000003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rsidR="00000000" w:rsidDel="00000000" w:rsidP="00000000" w:rsidRDefault="00000000" w:rsidRPr="00000000" w14:paraId="0000004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2">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Argumento que encuentra sustento en la jurisprudencia P./J. 32/92 emitida por el Pleno de la Suprema Corte de Justicia de la Nación de rubro </w:t>
      </w:r>
      <w:r w:rsidDel="00000000" w:rsidR="00000000" w:rsidRPr="00000000">
        <w:rPr>
          <w:rFonts w:ascii="Palatino Linotype" w:cs="Palatino Linotype" w:eastAsia="Palatino Linotype" w:hAnsi="Palatino Linotype"/>
          <w:i w:val="1"/>
          <w:iCs w:val="1"/>
          <w:sz w:val="22"/>
          <w:szCs w:val="22"/>
          <w:rtl w:val="0"/>
        </w:rPr>
        <w:t xml:space="preserve">“TÉRMINOS PROCESALES. PARA DETERMINAR SI UN FUNCIONARIO JUDICIAL ACTUÓ INDEBIDAMENTE POR NO RESPETARLOS SE DEBE ATENDER AL PRESUPUESTO QUE CONSIDERÓ EL LEGISLADOR AL FIJARLOS Y LAS CARACTERÍSTICAS DEL CASO.”</w:t>
      </w:r>
      <w:r w:rsidDel="00000000" w:rsidR="00000000" w:rsidRPr="00000000">
        <w:rPr>
          <w:rFonts w:ascii="Palatino Linotype" w:cs="Palatino Linotype" w:eastAsia="Palatino Linotype" w:hAnsi="Palatino Linotype"/>
          <w:sz w:val="22"/>
          <w:szCs w:val="22"/>
          <w:rtl w:val="0"/>
        </w:rPr>
        <w:t xml:space="preserve">, visible en la Gaceta del Seminario Judicial de la Federación con el registro digital 205635.</w:t>
      </w:r>
      <w:r w:rsidDel="00000000" w:rsidR="00000000" w:rsidRPr="00000000">
        <w:rPr>
          <w:rtl w:val="0"/>
        </w:rPr>
      </w:r>
    </w:p>
    <w:p w:rsidR="00000000" w:rsidDel="00000000" w:rsidP="00000000" w:rsidRDefault="00000000" w:rsidRPr="00000000" w14:paraId="0000004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rsidR="00000000" w:rsidDel="00000000" w:rsidP="00000000" w:rsidRDefault="00000000" w:rsidRPr="00000000" w14:paraId="0000004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Al respecto, también son de considerar los criterios sostenidos por el Cuarto Tribunal Colegiado en Materia Administrativa del Primer Circuito, cuyos rubros y datos de identificación son los siguientes:</w:t>
      </w:r>
    </w:p>
    <w:p w:rsidR="00000000" w:rsidDel="00000000" w:rsidP="00000000" w:rsidRDefault="00000000" w:rsidRPr="00000000" w14:paraId="0000004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8">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i w:val="1"/>
          <w:iCs w:val="1"/>
          <w:sz w:val="22"/>
          <w:szCs w:val="22"/>
          <w:rtl w:val="0"/>
        </w:rPr>
        <w:t xml:space="preserve">“PLAZO RAZONABLE PARA RESOLVER. DIMENSIÓN Y EFECTOS DE ESTE CONCEPTO CUANDO SE ADUCE EXCESIVA CARGA DE TRABAJO.”</w:t>
      </w:r>
      <w:r w:rsidDel="00000000" w:rsidR="00000000" w:rsidRPr="00000000">
        <w:rPr>
          <w:rFonts w:ascii="Palatino Linotype" w:cs="Palatino Linotype" w:eastAsia="Palatino Linotype" w:hAnsi="Palatino Linotype"/>
          <w:sz w:val="22"/>
          <w:szCs w:val="22"/>
          <w:rtl w:val="0"/>
        </w:rPr>
        <w:t xml:space="preserve"> consultable en el Seminario Judicial de la Federación y su gaceta, con el registro digital 2002351.</w:t>
      </w:r>
    </w:p>
    <w:p w:rsidR="00000000" w:rsidDel="00000000" w:rsidP="00000000" w:rsidRDefault="00000000" w:rsidRPr="00000000" w14:paraId="00000049">
      <w:pPr>
        <w:spacing w:line="360" w:lineRule="auto"/>
        <w:ind w:left="851" w:right="616"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4A">
      <w:pPr>
        <w:spacing w:line="360" w:lineRule="auto"/>
        <w:ind w:left="851" w:right="616" w:firstLine="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i w:val="1"/>
          <w:iCs w:val="1"/>
          <w:sz w:val="22"/>
          <w:szCs w:val="22"/>
          <w:rtl w:val="0"/>
        </w:rPr>
        <w:t xml:space="preserve">“PLAZO RAZONABLE PARA RESOLVER. CONCEPTO Y ELEMENTOS QUE LO INTEGRAN A LA LUZ DEL DERECHO INTERNACIONAL DE LOS DERECHOS HUMANOS.”</w:t>
      </w:r>
      <w:r w:rsidDel="00000000" w:rsidR="00000000" w:rsidRPr="00000000">
        <w:rPr>
          <w:rFonts w:ascii="Palatino Linotype" w:cs="Palatino Linotype" w:eastAsia="Palatino Linotype" w:hAnsi="Palatino Linotype"/>
          <w:sz w:val="22"/>
          <w:szCs w:val="22"/>
          <w:rtl w:val="0"/>
        </w:rPr>
        <w:t xml:space="preserve">, visible en el Seminario Judicial de la Federación y su gaceta, con el registro digital 2002350.</w:t>
      </w:r>
    </w:p>
    <w:p w:rsidR="00000000" w:rsidDel="00000000" w:rsidP="00000000" w:rsidRDefault="00000000" w:rsidRPr="00000000" w14:paraId="0000004B">
      <w:pPr>
        <w:spacing w:line="360" w:lineRule="auto"/>
        <w:ind w:left="567" w:right="616"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ello, este organismo garante comprometido con la tutela de los derechos humanos confiados, señala que este exceso de plazo legal para resolver el presente asunto, resulta de carácter excepcional.</w:t>
      </w:r>
    </w:p>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left" w:leader="none" w:pos="360"/>
        </w:tabs>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4E">
      <w:pPr>
        <w:spacing w:line="360" w:lineRule="auto"/>
        <w:jc w:val="both"/>
        <w:rPr>
          <w:rFonts w:ascii="Palatino Linotype" w:cs="Palatino Linotype" w:eastAsia="Palatino Linotype" w:hAnsi="Palatino Linotype"/>
          <w:sz w:val="22"/>
          <w:szCs w:val="22"/>
        </w:rPr>
      </w:pPr>
      <w:bookmarkStart w:colFirst="0" w:colLast="0" w:name="_heading=h.rlablwh5xn4f" w:id="6"/>
      <w:bookmarkEnd w:id="6"/>
      <w:r w:rsidDel="00000000" w:rsidR="00000000" w:rsidRPr="00000000">
        <w:rPr>
          <w:rFonts w:ascii="Palatino Linotype" w:cs="Palatino Linotype" w:eastAsia="Palatino Linotype" w:hAnsi="Palatino Linotype"/>
          <w:b w:val="1"/>
          <w:bCs w:val="1"/>
          <w:sz w:val="22"/>
          <w:szCs w:val="22"/>
          <w:rtl w:val="0"/>
        </w:rPr>
        <w:t xml:space="preserve">8. Cierre de instrucción. </w:t>
      </w:r>
      <w:r w:rsidDel="00000000" w:rsidR="00000000" w:rsidRPr="00000000">
        <w:rPr>
          <w:rFonts w:ascii="Palatino Linotype" w:cs="Palatino Linotype" w:eastAsia="Palatino Linotype" w:hAnsi="Palatino Linotype"/>
          <w:sz w:val="22"/>
          <w:szCs w:val="22"/>
          <w:rtl w:val="0"/>
        </w:rPr>
        <w:t xml:space="preserve">Una vez transcurrido el periodo otorgado a las partes para realizar sus manifestaciones y no habiendo documentos que integrar al expediente, el </w:t>
      </w:r>
      <w:r w:rsidDel="00000000" w:rsidR="00000000" w:rsidRPr="00000000">
        <w:rPr>
          <w:rFonts w:ascii="Palatino Linotype" w:cs="Palatino Linotype" w:eastAsia="Palatino Linotype" w:hAnsi="Palatino Linotype"/>
          <w:b w:val="1"/>
          <w:bCs w:val="1"/>
          <w:sz w:val="22"/>
          <w:szCs w:val="22"/>
          <w:rtl w:val="0"/>
        </w:rPr>
        <w:t xml:space="preserve">diecisiete de septiembre de dos mil veintiséis</w:t>
      </w:r>
      <w:r w:rsidDel="00000000" w:rsidR="00000000" w:rsidRPr="00000000">
        <w:rPr>
          <w:rFonts w:ascii="Palatino Linotype" w:cs="Palatino Linotype" w:eastAsia="Palatino Linotype" w:hAnsi="Palatino Linotype"/>
          <w:sz w:val="22"/>
          <w:szCs w:val="22"/>
          <w:rtl w:val="0"/>
        </w:rPr>
        <w:t xml:space="preserve">, la Comisionada Ponente determinó el cierre de instrucción en términos de la fracción VI del artículo 185 de la Ley de Transparencia y Acceso a la Información Pública del Estado de México y Municipios.</w:t>
      </w:r>
    </w:p>
    <w:p w:rsidR="00000000" w:rsidDel="00000000" w:rsidP="00000000" w:rsidRDefault="00000000" w:rsidRPr="00000000" w14:paraId="0000004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0">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razón de que fue debidamente sustanciado el expediente electrónico y no existe diligencia pendiente de desahogo, se emite la Resolución que conforme a Derecho proceda, de acuerdo con los siguientes: </w:t>
      </w:r>
    </w:p>
    <w:p w:rsidR="00000000" w:rsidDel="00000000" w:rsidP="00000000" w:rsidRDefault="00000000" w:rsidRPr="00000000" w14:paraId="0000005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2">
      <w:pPr>
        <w:widowControl w:val="0"/>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 C O N S I D E R A N D O S</w:t>
      </w:r>
    </w:p>
    <w:p w:rsidR="00000000" w:rsidDel="00000000" w:rsidP="00000000" w:rsidRDefault="00000000" w:rsidRPr="00000000" w14:paraId="00000053">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5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Competencia.</w:t>
      </w:r>
      <w:r w:rsidDel="00000000" w:rsidR="00000000" w:rsidRPr="00000000">
        <w:rPr>
          <w:rFonts w:ascii="Palatino Linotype" w:cs="Palatino Linotype" w:eastAsia="Palatino Linotype" w:hAnsi="Palatino Linotype"/>
          <w:sz w:val="22"/>
          <w:szCs w:val="22"/>
          <w:rtl w:val="0"/>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rsidR="00000000" w:rsidDel="00000000" w:rsidP="00000000" w:rsidRDefault="00000000" w:rsidRPr="00000000" w14:paraId="0000005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6">
      <w:pPr>
        <w:spacing w:line="360" w:lineRule="auto"/>
        <w:jc w:val="both"/>
        <w:rPr>
          <w:rFonts w:ascii="Palatino Linotype" w:cs="Palatino Linotype" w:eastAsia="Palatino Linotype" w:hAnsi="Palatino Linotype"/>
          <w:sz w:val="22"/>
          <w:szCs w:val="22"/>
        </w:rPr>
      </w:pPr>
      <w:bookmarkStart w:colFirst="0" w:colLast="0" w:name="_heading=h.tyjcwt" w:id="7"/>
      <w:bookmarkEnd w:id="7"/>
      <w:r w:rsidDel="00000000" w:rsidR="00000000" w:rsidRPr="00000000">
        <w:rPr>
          <w:rFonts w:ascii="Palatino Linotype" w:cs="Palatino Linotype" w:eastAsia="Palatino Linotype" w:hAnsi="Palatino Linotype"/>
          <w:b w:val="1"/>
          <w:bCs w:val="1"/>
          <w:sz w:val="22"/>
          <w:szCs w:val="22"/>
          <w:rtl w:val="0"/>
        </w:rPr>
        <w:t xml:space="preserve">Segundo. Oportunidad y Procedibilidad del Recurso de Revisión</w:t>
      </w:r>
      <w:r w:rsidDel="00000000" w:rsidR="00000000" w:rsidRPr="00000000">
        <w:rPr>
          <w:rFonts w:ascii="Palatino Linotype" w:cs="Palatino Linotype" w:eastAsia="Palatino Linotype" w:hAnsi="Palatino Linotype"/>
          <w:sz w:val="22"/>
          <w:szCs w:val="22"/>
          <w:rtl w:val="0"/>
        </w:rPr>
        <w:t xml:space="preserve">. 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rsidR="00000000" w:rsidDel="00000000" w:rsidP="00000000" w:rsidRDefault="00000000" w:rsidRPr="00000000" w14:paraId="0000005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El recurso de revisión fue interpuesto dentro del plazo de quince días hábiles, previsto en el artículo 178 de la Ley de Transparencia y Acceso a la Información Pública del Estado de México y Municipios, toda vez que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remitió la respuesta a la solicitud de información el día </w:t>
      </w:r>
      <w:r w:rsidDel="00000000" w:rsidR="00000000" w:rsidRPr="00000000">
        <w:rPr>
          <w:rFonts w:ascii="Palatino Linotype" w:cs="Palatino Linotype" w:eastAsia="Palatino Linotype" w:hAnsi="Palatino Linotype"/>
          <w:b w:val="1"/>
          <w:bCs w:val="1"/>
          <w:sz w:val="22"/>
          <w:szCs w:val="22"/>
          <w:rtl w:val="0"/>
        </w:rPr>
        <w:t xml:space="preserve">treinta de junio de dos mil veintiséis, </w:t>
      </w:r>
      <w:r w:rsidDel="00000000" w:rsidR="00000000" w:rsidRPr="00000000">
        <w:rPr>
          <w:rFonts w:ascii="Palatino Linotype" w:cs="Palatino Linotype" w:eastAsia="Palatino Linotype" w:hAnsi="Palatino Linotype"/>
          <w:sz w:val="22"/>
          <w:szCs w:val="22"/>
          <w:rtl w:val="0"/>
        </w:rPr>
        <w:t xml:space="preserve">mientras que el recurso de revisión interpuesto por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se tuvo por presentado el día</w:t>
      </w:r>
      <w:r w:rsidDel="00000000" w:rsidR="00000000" w:rsidRPr="00000000">
        <w:rPr>
          <w:rFonts w:ascii="Palatino Linotype" w:cs="Palatino Linotype" w:eastAsia="Palatino Linotype" w:hAnsi="Palatino Linotype"/>
          <w:b w:val="1"/>
          <w:bCs w:val="1"/>
          <w:sz w:val="22"/>
          <w:szCs w:val="22"/>
          <w:rtl w:val="0"/>
        </w:rPr>
        <w:t xml:space="preserve"> tres de julio de dos mil veintiséis, </w:t>
      </w:r>
      <w:r w:rsidDel="00000000" w:rsidR="00000000" w:rsidRPr="00000000">
        <w:rPr>
          <w:rFonts w:ascii="Palatino Linotype" w:cs="Palatino Linotype" w:eastAsia="Palatino Linotype" w:hAnsi="Palatino Linotype"/>
          <w:sz w:val="22"/>
          <w:szCs w:val="22"/>
          <w:rtl w:val="0"/>
        </w:rPr>
        <w:t xml:space="preserve">esto es, al tercer día hábil posterior a aquel en el que tuvo conocimiento de la respuesta impugnada. En este sentido, se concluye que el presente recurso de revisión se encuentra dentro de los márgenes temporales previstos en las disposiciones legales referidas.</w:t>
      </w:r>
    </w:p>
    <w:p w:rsidR="00000000" w:rsidDel="00000000" w:rsidP="00000000" w:rsidRDefault="00000000" w:rsidRPr="00000000" w14:paraId="0000005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A">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De acuerdo al análisis efectuado se advierte que resulta procedente la interposición del recurso y se concluye la acreditación plena de todos y cada uno de los elementos formales exigidos por el artículo 180 de la Ley de Transparencia y Acceso a la Información Pública del Estado de México y Municipios en vigor, en atención a que fue presentado mediante el formato visible en el</w:t>
      </w:r>
      <w:r w:rsidDel="00000000" w:rsidR="00000000" w:rsidRPr="00000000">
        <w:rPr>
          <w:rFonts w:ascii="Palatino Linotype" w:cs="Palatino Linotype" w:eastAsia="Palatino Linotype" w:hAnsi="Palatino Linotype"/>
          <w:b w:val="1"/>
          <w:bCs w:val="1"/>
          <w:sz w:val="22"/>
          <w:szCs w:val="22"/>
          <w:rtl w:val="0"/>
        </w:rPr>
        <w:t xml:space="preserve"> SAIMEX.</w:t>
      </w:r>
    </w:p>
    <w:p w:rsidR="00000000" w:rsidDel="00000000" w:rsidP="00000000" w:rsidRDefault="00000000" w:rsidRPr="00000000" w14:paraId="0000005B">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5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Finalmente, se advierte que resulta procedente la interposición del recurso, según lo manifestado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sus motivos de inconformidad, de acuerdo al artículo 179 fracción IV del ordenamiento legal citado, que a la letra dice:</w:t>
      </w:r>
    </w:p>
    <w:p w:rsidR="00000000" w:rsidDel="00000000" w:rsidP="00000000" w:rsidRDefault="00000000" w:rsidRPr="00000000" w14:paraId="0000005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5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179.</w:t>
      </w:r>
      <w:r w:rsidDel="00000000" w:rsidR="00000000" w:rsidRPr="00000000">
        <w:rPr>
          <w:rFonts w:ascii="Palatino Linotype" w:cs="Palatino Linotype" w:eastAsia="Palatino Linotype" w:hAnsi="Palatino Linotype"/>
          <w:i w:val="1"/>
          <w:iCs w:val="1"/>
          <w:sz w:val="22"/>
          <w:szCs w:val="22"/>
          <w:rtl w:val="0"/>
        </w:rPr>
        <w:t xml:space="preserve"> El recurso de revisión es un medio de protección que la Ley otorga a los particulares, para hacer valer su derecho de acceso a la información pública, y procederá en contra de las siguientes causas:</w:t>
      </w:r>
    </w:p>
    <w:p w:rsidR="00000000" w:rsidDel="00000000" w:rsidP="00000000" w:rsidRDefault="00000000" w:rsidRPr="00000000" w14:paraId="0000005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60">
      <w:pPr>
        <w:spacing w:line="276" w:lineRule="auto"/>
        <w:ind w:left="851" w:right="616" w:firstLine="0"/>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IV. La declaración de incompetencia por el sujeto obligado;”</w:t>
      </w:r>
    </w:p>
    <w:p w:rsidR="00000000" w:rsidDel="00000000" w:rsidP="00000000" w:rsidRDefault="00000000" w:rsidRPr="00000000" w14:paraId="00000061">
      <w:pPr>
        <w:ind w:left="851" w:right="616" w:firstLine="0"/>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6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Materia de la revisión. </w:t>
      </w:r>
      <w:r w:rsidDel="00000000" w:rsidR="00000000" w:rsidRPr="00000000">
        <w:rPr>
          <w:rFonts w:ascii="Palatino Linotype" w:cs="Palatino Linotype" w:eastAsia="Palatino Linotype" w:hAnsi="Palatino Linotype"/>
          <w:sz w:val="22"/>
          <w:szCs w:val="22"/>
          <w:rtl w:val="0"/>
        </w:rPr>
        <w:t xml:space="preserve">De la revisión a las constancias y documentos que obran en el expediente electrónico se advierte, que el tema sobre el que este Organismo Garante de Transparencia y Acceso a la Información se pronunciará será: </w:t>
      </w:r>
      <w:r w:rsidDel="00000000" w:rsidR="00000000" w:rsidRPr="00000000">
        <w:rPr>
          <w:rFonts w:ascii="Palatino Linotype" w:cs="Palatino Linotype" w:eastAsia="Palatino Linotype" w:hAnsi="Palatino Linotype"/>
          <w:b w:val="1"/>
          <w:bCs w:val="1"/>
          <w:sz w:val="22"/>
          <w:szCs w:val="22"/>
          <w:rtl w:val="0"/>
        </w:rPr>
        <w:t xml:space="preserve">verificar si la información proporcionada por el Sujeto Obligado es adecuada y suficiente para satisfacer el derecho de acceso a la información pública </w:t>
      </w:r>
      <w:r w:rsidDel="00000000" w:rsidR="00000000" w:rsidRPr="00000000">
        <w:rPr>
          <w:rFonts w:ascii="Palatino Linotype" w:cs="Palatino Linotype" w:eastAsia="Palatino Linotype" w:hAnsi="Palatino Linotype"/>
          <w:sz w:val="22"/>
          <w:szCs w:val="22"/>
          <w:rtl w:val="0"/>
        </w:rPr>
        <w:t xml:space="preserve">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o en su defecto, en caso de ser procedente, ordenar la entrega de información.</w:t>
      </w:r>
    </w:p>
    <w:p w:rsidR="00000000" w:rsidDel="00000000" w:rsidP="00000000" w:rsidRDefault="00000000" w:rsidRPr="00000000" w14:paraId="00000063">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64">
      <w:pPr>
        <w:spacing w:line="360" w:lineRule="auto"/>
        <w:jc w:val="both"/>
        <w:rPr>
          <w:rFonts w:ascii="Palatino Linotype" w:cs="Palatino Linotype" w:eastAsia="Palatino Linotype" w:hAnsi="Palatino Linotype"/>
          <w:sz w:val="22"/>
          <w:szCs w:val="22"/>
        </w:rPr>
      </w:pPr>
      <w:bookmarkStart w:colFirst="0" w:colLast="0" w:name="_heading=h.2et92p0" w:id="8"/>
      <w:bookmarkEnd w:id="8"/>
      <w:r w:rsidDel="00000000" w:rsidR="00000000" w:rsidRPr="00000000">
        <w:rPr>
          <w:rFonts w:ascii="Palatino Linotype" w:cs="Palatino Linotype" w:eastAsia="Palatino Linotype" w:hAnsi="Palatino Linotype"/>
          <w:b w:val="1"/>
          <w:bCs w:val="1"/>
          <w:sz w:val="22"/>
          <w:szCs w:val="22"/>
          <w:rtl w:val="0"/>
        </w:rPr>
        <w:t xml:space="preserve">Cuarto. Estudio del asunto. </w:t>
      </w:r>
      <w:r w:rsidDel="00000000" w:rsidR="00000000" w:rsidRPr="00000000">
        <w:rPr>
          <w:rFonts w:ascii="Palatino Linotype" w:cs="Palatino Linotype" w:eastAsia="Palatino Linotype" w:hAnsi="Palatino Linotype"/>
          <w:sz w:val="22"/>
          <w:szCs w:val="22"/>
          <w:rtl w:val="0"/>
        </w:rPr>
        <w:t xml:space="preserve">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rsidR="00000000" w:rsidDel="00000000" w:rsidP="00000000" w:rsidRDefault="00000000" w:rsidRPr="00000000" w14:paraId="00000065">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66">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w:t>
      </w:r>
      <w:r w:rsidDel="00000000" w:rsidR="00000000" w:rsidRPr="00000000">
        <w:rPr>
          <w:rFonts w:ascii="Palatino Linotype" w:cs="Palatino Linotype" w:eastAsia="Palatino Linotype" w:hAnsi="Palatino Linotype"/>
          <w:i w:val="1"/>
          <w:iCs w:val="1"/>
          <w:sz w:val="22"/>
          <w:szCs w:val="22"/>
          <w:rtl w:val="0"/>
        </w:rPr>
        <w:t xml:space="preserve">. El derecho humano de acceso a la información pública es la prerrogativa de las personas para buscar, difundir, investigar, recabar, recibir y solicitar información pública, sin necesidad de acreditar personalidad ni interés jurídico. </w:t>
      </w:r>
    </w:p>
    <w:p w:rsidR="00000000" w:rsidDel="00000000" w:rsidP="00000000" w:rsidRDefault="00000000" w:rsidRPr="00000000" w14:paraId="00000067">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Toda la información generada, obtenida, adquirida, transformada, administrada o en posesión de los sujetos obligados es pública y accesible de manera permanente a cualquier persona</w:t>
      </w:r>
      <w:r w:rsidDel="00000000" w:rsidR="00000000" w:rsidRPr="00000000">
        <w:rPr>
          <w:rFonts w:ascii="Palatino Linotype" w:cs="Palatino Linotype" w:eastAsia="Palatino Linotype" w:hAnsi="Palatino Linotype"/>
          <w:i w:val="1"/>
          <w:iCs w:val="1"/>
          <w:sz w:val="22"/>
          <w:szCs w:val="22"/>
          <w:rtl w:val="0"/>
        </w:rPr>
        <w:t xml:space="preserve">,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rsidR="00000000" w:rsidDel="00000000" w:rsidP="00000000" w:rsidRDefault="00000000" w:rsidRPr="00000000" w14:paraId="00000068">
      <w:pPr>
        <w:spacing w:line="276"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deben poner en práctica, políticas y programas de acceso a la información que se apeguen a criterios de publicidad, veracidad, oportunidad, precisión y suficiencia en beneficio de los solicitantes</w:t>
      </w: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6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rsidR="00000000" w:rsidDel="00000000" w:rsidP="00000000" w:rsidRDefault="00000000" w:rsidRPr="00000000" w14:paraId="0000006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6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12.-</w:t>
      </w:r>
      <w:r w:rsidDel="00000000" w:rsidR="00000000" w:rsidRPr="00000000">
        <w:rPr>
          <w:rFonts w:ascii="Palatino Linotype" w:cs="Palatino Linotype" w:eastAsia="Palatino Linotype" w:hAnsi="Palatino Linotype"/>
          <w:i w:val="1"/>
          <w:iCs w:val="1"/>
          <w:sz w:val="22"/>
          <w:szCs w:val="22"/>
          <w:rtl w:val="0"/>
        </w:rPr>
        <w:t xml:space="preserve"> Quienes generen, recopilen, administren, manejen, procesen, archiven o conserven información pública serán responsables de la misma en los términos de las disposiciones jurídicas aplicables. </w:t>
      </w:r>
    </w:p>
    <w:p w:rsidR="00000000" w:rsidDel="00000000" w:rsidP="00000000" w:rsidRDefault="00000000" w:rsidRPr="00000000" w14:paraId="0000006D">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6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Los sujetos obligados sólo proporcionarán la información pública que se les requiera y que obre en sus archivos y en el estado en que ésta se encuentre</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La obligación de proporcionar información no comprende el procesamiento de la misma, ni el presentarla conforme al interés del solicitante; no estarán obligados a generarla, resumirla, efectuar cálculos o practicar investigaciones.”</w:t>
      </w:r>
      <w:r w:rsidDel="00000000" w:rsidR="00000000" w:rsidRPr="00000000">
        <w:rPr>
          <w:rtl w:val="0"/>
        </w:rPr>
      </w:r>
    </w:p>
    <w:p w:rsidR="00000000" w:rsidDel="00000000" w:rsidP="00000000" w:rsidRDefault="00000000" w:rsidRPr="00000000" w14:paraId="0000006F">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0">
      <w:pPr>
        <w:spacing w:line="360" w:lineRule="auto"/>
        <w:ind w:right="-93"/>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sólo se concretaran a proporcionar la información solicitada que tengan en su poder en el estado que se encuentran, sin necesidad de concretarse al interés o términos específicos del solicitante.</w:t>
      </w:r>
    </w:p>
    <w:p w:rsidR="00000000" w:rsidDel="00000000" w:rsidP="00000000" w:rsidRDefault="00000000" w:rsidRPr="00000000" w14:paraId="00000071">
      <w:pPr>
        <w:spacing w:line="360" w:lineRule="auto"/>
        <w:ind w:right="-93"/>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2">
      <w:pPr>
        <w:spacing w:line="360" w:lineRule="auto"/>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Sirve de apoyo a lo anterior, el criterio orientador con clave de control SO/003/2017, emitido por el entonces Instituto Nacional de Transparencia, Acceso a la Información y Protección de Datos Personales, que por rubro y texto, dispone lo siguiente:</w:t>
      </w:r>
      <w:r w:rsidDel="00000000" w:rsidR="00000000" w:rsidRPr="00000000">
        <w:rPr>
          <w:rFonts w:ascii="Palatino Linotype" w:cs="Palatino Linotype" w:eastAsia="Palatino Linotype" w:hAnsi="Palatino Linotype"/>
          <w:b w:val="1"/>
          <w:bCs w:val="1"/>
          <w:sz w:val="22"/>
          <w:szCs w:val="22"/>
          <w:rtl w:val="0"/>
        </w:rPr>
        <w:t xml:space="preserve"> </w:t>
      </w:r>
    </w:p>
    <w:p w:rsidR="00000000" w:rsidDel="00000000" w:rsidP="00000000" w:rsidRDefault="00000000" w:rsidRPr="00000000" w14:paraId="00000073">
      <w:pPr>
        <w:spacing w:line="360" w:lineRule="auto"/>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74">
      <w:pPr>
        <w:spacing w:line="276" w:lineRule="auto"/>
        <w:ind w:left="1134" w:right="902"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No existe obligación de elaborar documentos ad hoc para atender las solicitudes de acceso a la información.</w:t>
      </w:r>
      <w:r w:rsidDel="00000000" w:rsidR="00000000" w:rsidRPr="00000000">
        <w:rPr>
          <w:rFonts w:ascii="Palatino Linotype" w:cs="Palatino Linotype" w:eastAsia="Palatino Linotype" w:hAnsi="Palatino Linotype"/>
          <w:i w:val="1"/>
          <w:iCs w:val="1"/>
          <w:sz w:val="22"/>
          <w:szCs w:val="22"/>
          <w:rtl w:val="0"/>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rsidR="00000000" w:rsidDel="00000000" w:rsidP="00000000" w:rsidRDefault="00000000" w:rsidRPr="00000000" w14:paraId="0000007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rsidR="00000000" w:rsidDel="00000000" w:rsidP="00000000" w:rsidRDefault="00000000" w:rsidRPr="00000000" w14:paraId="0000007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rsidR="00000000" w:rsidDel="00000000" w:rsidP="00000000" w:rsidRDefault="00000000" w:rsidRPr="00000000" w14:paraId="0000007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A">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3. </w:t>
      </w:r>
      <w:r w:rsidDel="00000000" w:rsidR="00000000" w:rsidRPr="00000000">
        <w:rPr>
          <w:rFonts w:ascii="Palatino Linotype" w:cs="Palatino Linotype" w:eastAsia="Palatino Linotype" w:hAnsi="Palatino Linotype"/>
          <w:i w:val="1"/>
          <w:iCs w:val="1"/>
          <w:sz w:val="22"/>
          <w:szCs w:val="22"/>
          <w:rtl w:val="0"/>
        </w:rPr>
        <w:t xml:space="preserve">Para los efectos de la presente Ley se entenderá por:</w:t>
      </w:r>
    </w:p>
    <w:p w:rsidR="00000000" w:rsidDel="00000000" w:rsidP="00000000" w:rsidRDefault="00000000" w:rsidRPr="00000000" w14:paraId="0000007B">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7C">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 Documento:</w:t>
      </w:r>
      <w:r w:rsidDel="00000000" w:rsidR="00000000" w:rsidRPr="00000000">
        <w:rPr>
          <w:rFonts w:ascii="Palatino Linotype" w:cs="Palatino Linotype" w:eastAsia="Palatino Linotype" w:hAnsi="Palatino Linotype"/>
          <w:i w:val="1"/>
          <w:iCs w:val="1"/>
          <w:sz w:val="22"/>
          <w:szCs w:val="22"/>
          <w:rtl w:val="0"/>
        </w:rPr>
        <w:t xml:space="preserve"> Los expedientes, reportes, estudios, actas</w:t>
      </w:r>
      <w:r w:rsidDel="00000000" w:rsidR="00000000" w:rsidRPr="00000000">
        <w:rPr>
          <w:rFonts w:ascii="Palatino Linotype" w:cs="Palatino Linotype" w:eastAsia="Palatino Linotype" w:hAnsi="Palatino Linotype"/>
          <w:b w:val="1"/>
          <w:bCs w:val="1"/>
          <w:i w:val="1"/>
          <w:iCs w:val="1"/>
          <w:sz w:val="22"/>
          <w:szCs w:val="22"/>
          <w:rtl w:val="0"/>
        </w:rPr>
        <w:t xml:space="preserve">,</w:t>
      </w:r>
      <w:r w:rsidDel="00000000" w:rsidR="00000000" w:rsidRPr="00000000">
        <w:rPr>
          <w:rFonts w:ascii="Palatino Linotype" w:cs="Palatino Linotype" w:eastAsia="Palatino Linotype" w:hAnsi="Palatino Linotype"/>
          <w:i w:val="1"/>
          <w:iCs w:val="1"/>
          <w:sz w:val="22"/>
          <w:szCs w:val="22"/>
          <w:rtl w:val="0"/>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rsidR="00000000" w:rsidDel="00000000" w:rsidP="00000000" w:rsidRDefault="00000000" w:rsidRPr="00000000" w14:paraId="0000007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7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rsidR="00000000" w:rsidDel="00000000" w:rsidP="00000000" w:rsidRDefault="00000000" w:rsidRPr="00000000" w14:paraId="0000007F">
      <w:pPr>
        <w:ind w:left="851" w:right="902" w:firstLine="0"/>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8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INFORMACIÓN PÚBLICA, CONCEPTO DE, EN MATERIA DE TRANSPARENCIA. INTERPRETACIÓN SISTEMÁTICA DE LOS ARTÍCULOS 2°, FRACCIÓN V, XV, Y XVI, 3°, 4°, 11 Y 41.</w:t>
      </w:r>
      <w:r w:rsidDel="00000000" w:rsidR="00000000" w:rsidRPr="00000000">
        <w:rPr>
          <w:rFonts w:ascii="Palatino Linotype" w:cs="Palatino Linotype" w:eastAsia="Palatino Linotype" w:hAnsi="Palatino Linotype"/>
          <w:i w:val="1"/>
          <w:iCs w:val="1"/>
          <w:sz w:val="22"/>
          <w:szCs w:val="22"/>
          <w:rtl w:val="0"/>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rsidR="00000000" w:rsidDel="00000000" w:rsidP="00000000" w:rsidRDefault="00000000" w:rsidRPr="00000000" w14:paraId="0000008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En consecuencia el acceso a la información se refiere a que se cumplan cualquiera de los siguientes tres supuestos:</w:t>
      </w:r>
    </w:p>
    <w:p w:rsidR="00000000" w:rsidDel="00000000" w:rsidP="00000000" w:rsidRDefault="00000000" w:rsidRPr="00000000" w14:paraId="0000008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 Que se trate de información registrada en cualquier soporte documental, que en ejercicio de las atribuciones conferidas, sea generada por los Sujetos Obligados;</w:t>
      </w:r>
    </w:p>
    <w:p w:rsidR="00000000" w:rsidDel="00000000" w:rsidP="00000000" w:rsidRDefault="00000000" w:rsidRPr="00000000" w14:paraId="00000083">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2) Que se trate de información registrada en cualquier soporte documental, que en ejercicio de las atribuciones conferidas, sea administrada por los Sujetos Obligados, y</w:t>
      </w:r>
    </w:p>
    <w:p w:rsidR="00000000" w:rsidDel="00000000" w:rsidP="00000000" w:rsidRDefault="00000000" w:rsidRPr="00000000" w14:paraId="00000084">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3) Que se trate de información registrada en cualquier soporte documental, que en ejercicio de las atribuciones conferidas, se encuentre en posesión de los Sujetos Obligados.”</w:t>
      </w:r>
    </w:p>
    <w:p w:rsidR="00000000" w:rsidDel="00000000" w:rsidP="00000000" w:rsidRDefault="00000000" w:rsidRPr="00000000" w14:paraId="00000085">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6">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siempre y cuando no se trate de información clasificada como reservada o confidencial, cuya difusión pueda lesionar el interés jurídicamente protegido por la Ley, producir un daño mayor que el interés de conocerse, o bien, generar un daño en los derechos de las personas,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rsidR="00000000" w:rsidDel="00000000" w:rsidP="00000000" w:rsidRDefault="00000000" w:rsidRPr="00000000" w14:paraId="00000087">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el mismo tenor, los artículos 6, apartado A, fracción I, de la Constitución Política de los Estados Unidos Mexicanos y 5, fracción I, de la Constitución Política del Estado Libre y Soberano de México, establecen que toda la información en posesión de cualquier autoridad, entidad, órgano y organismos de los Poderes Ejecutivo, Legislativo y Judicial, órganos autónomos, partidos políticos, fideicomisos y fondos públicos estatales y municipales, así como del gobierno y de la administración pública municipal y sus organismos descentralizados, asimismo de cualquier persona física, jurídica colectiva o sindicato que reciba y ejerza recursos públicos o realice actos de autoridad en el ámbito estatal y municipal, es pública y sólo podrá ser reservada temporalmente por las razones previstas en la Constitución Federal por interés público y seguridad, en los términos que fijen las leyes de la materia.</w:t>
      </w:r>
    </w:p>
    <w:p w:rsidR="00000000" w:rsidDel="00000000" w:rsidP="00000000" w:rsidRDefault="00000000" w:rsidRPr="00000000" w14:paraId="0000008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A">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del análisis de la solicitud de información, motivo del recurso de revisión que ahora se resuelve, se advierte que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requirió al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le proporcione, información consistente en lo siguiente:</w:t>
      </w:r>
    </w:p>
    <w:p w:rsidR="00000000" w:rsidDel="00000000" w:rsidP="00000000" w:rsidRDefault="00000000" w:rsidRPr="00000000" w14:paraId="0000008B">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8C">
      <w:pPr>
        <w:numPr>
          <w:ilvl w:val="0"/>
          <w:numId w:val="1"/>
        </w:numPr>
        <w:pBdr>
          <w:top w:space="0" w:sz="0" w:val="nil"/>
          <w:left w:space="0" w:sz="0" w:val="nil"/>
          <w:bottom w:space="0" w:sz="0" w:val="nil"/>
          <w:right w:space="0" w:sz="0" w:val="nil"/>
          <w:between w:space="0" w:sz="0" w:val="nil"/>
        </w:pBdr>
        <w:spacing w:line="360" w:lineRule="auto"/>
        <w:ind w:left="851" w:right="616"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 servidora pública María de Jesús Jiménez Rojas, la siguiente información: </w:t>
      </w: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134" w:right="616"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Recibo de nómina </w:t>
      </w:r>
      <w:r w:rsidDel="00000000" w:rsidR="00000000" w:rsidRPr="00000000">
        <w:rPr>
          <w:rtl w:val="0"/>
        </w:rPr>
      </w:r>
    </w:p>
    <w:p w:rsidR="00000000" w:rsidDel="00000000" w:rsidP="00000000" w:rsidRDefault="00000000" w:rsidRPr="00000000" w14:paraId="0000008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134" w:right="616"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Expediente laboral </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134" w:right="616"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Contrato</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134" w:right="616"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Funciones</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134" w:right="616"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Cargo</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134" w:right="616"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Adscripción </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360" w:lineRule="auto"/>
        <w:ind w:left="1134" w:right="616" w:hanging="360"/>
        <w:jc w:val="both"/>
        <w:rPr>
          <w:rFonts w:ascii="Palatino Linotype" w:cs="Palatino Linotype" w:eastAsia="Palatino Linotype" w:hAnsi="Palatino Linotype"/>
          <w:b w:val="0"/>
          <w:bCs w:val="0"/>
          <w:i w:val="0"/>
          <w:iCs w:val="0"/>
          <w:smallCaps w:val="0"/>
          <w:strike w:val="0"/>
          <w:color w:val="000000"/>
          <w:sz w:val="22"/>
          <w:szCs w:val="22"/>
          <w:u w:val="none"/>
          <w:shd w:fill="auto" w:val="clear"/>
          <w:vertAlign w:val="baseline"/>
        </w:rPr>
      </w:pPr>
      <w:r w:rsidDel="00000000" w:rsidR="00000000" w:rsidRPr="00000000">
        <w:rPr>
          <w:rFonts w:ascii="Palatino Linotype" w:cs="Palatino Linotype" w:eastAsia="Palatino Linotype" w:hAnsi="Palatino Linotype"/>
          <w:b w:val="1"/>
          <w:bCs w:val="1"/>
          <w:i w:val="0"/>
          <w:iCs w:val="0"/>
          <w:smallCaps w:val="0"/>
          <w:strike w:val="0"/>
          <w:color w:val="000000"/>
          <w:sz w:val="22"/>
          <w:szCs w:val="22"/>
          <w:u w:val="none"/>
          <w:shd w:fill="auto" w:val="clear"/>
          <w:vertAlign w:val="baseline"/>
          <w:rtl w:val="0"/>
        </w:rPr>
        <w:t xml:space="preserve">Currículum Vitae</w:t>
      </w:r>
      <w:r w:rsidDel="00000000" w:rsidR="00000000" w:rsidRPr="00000000">
        <w:rPr>
          <w:rtl w:val="0"/>
        </w:rPr>
      </w:r>
    </w:p>
    <w:p w:rsidR="00000000" w:rsidDel="00000000" w:rsidP="00000000" w:rsidRDefault="00000000" w:rsidRPr="00000000" w14:paraId="00000094">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5">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respuesta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a través de la Jefatura de Recursos Humanos informó que el Sistema Municipal DIF no cuenta con el expediente laboral de la C. María de Jesús Jiménez Rojas, ya que no está adscrita a este organismo y se encuentra comisionada por el Ayuntamiento de Teoloyucan; por lo que hace entrega del oficio en el que se le notifico dicha comisión.</w:t>
      </w:r>
    </w:p>
    <w:p w:rsidR="00000000" w:rsidDel="00000000" w:rsidP="00000000" w:rsidRDefault="00000000" w:rsidRPr="00000000" w14:paraId="00000096">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7">
      <w:pPr>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sz w:val="22"/>
          <w:szCs w:val="22"/>
          <w:rtl w:val="0"/>
        </w:rPr>
        <w:t xml:space="preserve">Consecuentemente, al no estar conforme con los términos de la respuesta emitida,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interpuso el recurso de revisión que nos ocupa, donde señaló como motivo de inconformidad: </w:t>
      </w:r>
      <w:r w:rsidDel="00000000" w:rsidR="00000000" w:rsidRPr="00000000">
        <w:rPr>
          <w:rFonts w:ascii="Palatino Linotype" w:cs="Palatino Linotype" w:eastAsia="Palatino Linotype" w:hAnsi="Palatino Linotype"/>
          <w:i w:val="1"/>
          <w:iCs w:val="1"/>
          <w:sz w:val="22"/>
          <w:szCs w:val="22"/>
          <w:rtl w:val="0"/>
        </w:rPr>
        <w:t xml:space="preserve">“SI ME PROPORCIONA LA LIGA PARA SOLICITAR LA INFORMACIÓN.”</w:t>
      </w:r>
      <w:r w:rsidDel="00000000" w:rsidR="00000000" w:rsidRPr="00000000">
        <w:rPr>
          <w:rFonts w:ascii="Palatino Linotype" w:cs="Palatino Linotype" w:eastAsia="Palatino Linotype" w:hAnsi="Palatino Linotype"/>
          <w:b w:val="1"/>
          <w:bCs w:val="1"/>
          <w:sz w:val="22"/>
          <w:szCs w:val="22"/>
          <w:rtl w:val="0"/>
        </w:rPr>
        <w:t xml:space="preserve">.</w:t>
      </w:r>
    </w:p>
    <w:p w:rsidR="00000000" w:rsidDel="00000000" w:rsidP="00000000" w:rsidRDefault="00000000" w:rsidRPr="00000000" w14:paraId="00000098">
      <w:pPr>
        <w:spacing w:line="360" w:lineRule="auto"/>
        <w:ind w:right="49"/>
        <w:jc w:val="both"/>
        <w:rPr>
          <w:rFonts w:ascii="Palatino Linotype" w:cs="Palatino Linotype" w:eastAsia="Palatino Linotype" w:hAnsi="Palatino Linotype"/>
          <w:b w:val="1"/>
          <w:bCs w:val="1"/>
          <w:sz w:val="22"/>
          <w:szCs w:val="22"/>
        </w:rPr>
      </w:pPr>
      <w:r w:rsidDel="00000000" w:rsidR="00000000" w:rsidRPr="00000000">
        <w:rPr>
          <w:rtl w:val="0"/>
        </w:rPr>
      </w:r>
    </w:p>
    <w:p w:rsidR="00000000" w:rsidDel="00000000" w:rsidP="00000000" w:rsidRDefault="00000000" w:rsidRPr="00000000" w14:paraId="00000099">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la etapa de manifestaciones el </w:t>
      </w:r>
      <w:r w:rsidDel="00000000" w:rsidR="00000000" w:rsidRPr="00000000">
        <w:rPr>
          <w:rFonts w:ascii="Palatino Linotype" w:cs="Palatino Linotype" w:eastAsia="Palatino Linotype" w:hAnsi="Palatino Linotype"/>
          <w:b w:val="1"/>
          <w:bCs w:val="1"/>
          <w:sz w:val="22"/>
          <w:szCs w:val="22"/>
          <w:rtl w:val="0"/>
        </w:rPr>
        <w:t xml:space="preserve">Sujeto Obligado </w:t>
      </w:r>
      <w:r w:rsidDel="00000000" w:rsidR="00000000" w:rsidRPr="00000000">
        <w:rPr>
          <w:rFonts w:ascii="Palatino Linotype" w:cs="Palatino Linotype" w:eastAsia="Palatino Linotype" w:hAnsi="Palatino Linotype"/>
          <w:sz w:val="22"/>
          <w:szCs w:val="22"/>
          <w:rtl w:val="0"/>
        </w:rPr>
        <w:t xml:space="preserve">ratificó en lo sustancial la respuesta proporcionada en primera instancia, precisando que se orientó al recurrente redirigir su solicitud al Ayuntamiento, en atención al oficio remitido en respuesta; mientras que la parte </w:t>
      </w:r>
      <w:r w:rsidDel="00000000" w:rsidR="00000000" w:rsidRPr="00000000">
        <w:rPr>
          <w:rFonts w:ascii="Palatino Linotype" w:cs="Palatino Linotype" w:eastAsia="Palatino Linotype" w:hAnsi="Palatino Linotype"/>
          <w:b w:val="1"/>
          <w:bCs w:val="1"/>
          <w:sz w:val="22"/>
          <w:szCs w:val="22"/>
          <w:rtl w:val="0"/>
        </w:rPr>
        <w:t xml:space="preserve">Recurrente </w:t>
      </w:r>
      <w:r w:rsidDel="00000000" w:rsidR="00000000" w:rsidRPr="00000000">
        <w:rPr>
          <w:rFonts w:ascii="Palatino Linotype" w:cs="Palatino Linotype" w:eastAsia="Palatino Linotype" w:hAnsi="Palatino Linotype"/>
          <w:sz w:val="22"/>
          <w:szCs w:val="22"/>
          <w:rtl w:val="0"/>
        </w:rPr>
        <w:t xml:space="preserve">fue omisa en hacer valer manifestaciones o rendir alegatos que conforme a derecho resultaran procedentes, por lo tanto, se tiene por precluido su derecho.</w:t>
      </w:r>
    </w:p>
    <w:p w:rsidR="00000000" w:rsidDel="00000000" w:rsidP="00000000" w:rsidRDefault="00000000" w:rsidRPr="00000000" w14:paraId="0000009A">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B">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Una vez establecidas las posturas de las partes, se procede a contextualizar la información solicitada, refiriendo que, se entiende como </w:t>
      </w:r>
      <w:r w:rsidDel="00000000" w:rsidR="00000000" w:rsidRPr="00000000">
        <w:rPr>
          <w:rFonts w:ascii="Palatino Linotype" w:cs="Palatino Linotype" w:eastAsia="Palatino Linotype" w:hAnsi="Palatino Linotype"/>
          <w:b w:val="1"/>
          <w:bCs w:val="1"/>
          <w:i w:val="1"/>
          <w:iCs w:val="1"/>
          <w:sz w:val="22"/>
          <w:szCs w:val="22"/>
          <w:rtl w:val="0"/>
        </w:rPr>
        <w:t xml:space="preserve">“servidor público”</w:t>
      </w:r>
      <w:r w:rsidDel="00000000" w:rsidR="00000000" w:rsidRPr="00000000">
        <w:rPr>
          <w:rFonts w:ascii="Palatino Linotype" w:cs="Palatino Linotype" w:eastAsia="Palatino Linotype" w:hAnsi="Palatino Linotype"/>
          <w:sz w:val="22"/>
          <w:szCs w:val="22"/>
          <w:rtl w:val="0"/>
        </w:rPr>
        <w:t xml:space="preserve"> a toda persona física que preste a una institución pública un trabajo personal subordinado de carácter material o intelectual, o de ambos géneros, mediante el pago de un sueldo, esto de conformidad con el artículo 4 fracción VI de la Ley de Trabajo de los Servidores Públicos del Estado y Municipios.</w:t>
      </w:r>
    </w:p>
    <w:p w:rsidR="00000000" w:rsidDel="00000000" w:rsidP="00000000" w:rsidRDefault="00000000" w:rsidRPr="00000000" w14:paraId="0000009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line="360" w:lineRule="auto"/>
        <w:ind w:right="-150"/>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Del mismo modo, la Ley de Trabajo de los Servidores Públicos del Estado y Municipios, en su cuerpo normativo precisa que: </w:t>
      </w:r>
    </w:p>
    <w:p w:rsidR="00000000" w:rsidDel="00000000" w:rsidP="00000000" w:rsidRDefault="00000000" w:rsidRPr="00000000" w14:paraId="0000009E">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9F">
      <w:pPr>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5.-</w:t>
      </w:r>
      <w:r w:rsidDel="00000000" w:rsidR="00000000" w:rsidRPr="00000000">
        <w:rPr>
          <w:rFonts w:ascii="Palatino Linotype" w:cs="Palatino Linotype" w:eastAsia="Palatino Linotype" w:hAnsi="Palatino Linotype"/>
          <w:i w:val="1"/>
          <w:iCs w:val="1"/>
          <w:sz w:val="22"/>
          <w:szCs w:val="22"/>
          <w:rtl w:val="0"/>
        </w:rPr>
        <w:t xml:space="preserve"> La </w:t>
      </w:r>
      <w:r w:rsidDel="00000000" w:rsidR="00000000" w:rsidRPr="00000000">
        <w:rPr>
          <w:rFonts w:ascii="Palatino Linotype" w:cs="Palatino Linotype" w:eastAsia="Palatino Linotype" w:hAnsi="Palatino Linotype"/>
          <w:b w:val="1"/>
          <w:bCs w:val="1"/>
          <w:i w:val="1"/>
          <w:iCs w:val="1"/>
          <w:sz w:val="22"/>
          <w:szCs w:val="22"/>
          <w:rtl w:val="0"/>
        </w:rPr>
        <w:t xml:space="preserve">relación de trabajo entre las instituciones públicas y sus servidores públicos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se entiende establecida mediante nombramiento, formato único de movimiento de personal, contrato o por cualquier otro acto que tenga como consecuencia la prestación personal subordinada del servicio y la percepción de un sueldo. </w:t>
      </w:r>
    </w:p>
    <w:p w:rsidR="00000000" w:rsidDel="00000000" w:rsidP="00000000" w:rsidRDefault="00000000" w:rsidRPr="00000000" w14:paraId="000000A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Para los efectos de esta ley, las instituciones públicas estarán representadas por sus titulares.</w:t>
      </w:r>
    </w:p>
    <w:p w:rsidR="00000000" w:rsidDel="00000000" w:rsidP="00000000" w:rsidRDefault="00000000" w:rsidRPr="00000000" w14:paraId="000000A1">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A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48.</w:t>
      </w:r>
      <w:r w:rsidDel="00000000" w:rsidR="00000000" w:rsidRPr="00000000">
        <w:rPr>
          <w:rFonts w:ascii="Palatino Linotype" w:cs="Palatino Linotype" w:eastAsia="Palatino Linotype" w:hAnsi="Palatino Linotype"/>
          <w:i w:val="1"/>
          <w:iCs w:val="1"/>
          <w:sz w:val="22"/>
          <w:szCs w:val="22"/>
          <w:rtl w:val="0"/>
        </w:rPr>
        <w:t xml:space="preserve"> Para iniciar la prestación de los servicios se requiere: </w:t>
      </w:r>
    </w:p>
    <w:p w:rsidR="00000000" w:rsidDel="00000000" w:rsidP="00000000" w:rsidRDefault="00000000" w:rsidRPr="00000000" w14:paraId="000000A3">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I. Tener conferido el nombramiento, contrato respectivo o formato único de Movimientos de Personal;</w:t>
      </w:r>
    </w:p>
    <w:p w:rsidR="00000000" w:rsidDel="00000000" w:rsidP="00000000" w:rsidRDefault="00000000" w:rsidRPr="00000000" w14:paraId="000000A4">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Los nombramientos, contratos </w:t>
      </w:r>
      <w:r w:rsidDel="00000000" w:rsidR="00000000" w:rsidRPr="00000000">
        <w:rPr>
          <w:rFonts w:ascii="Palatino Linotype" w:cs="Palatino Linotype" w:eastAsia="Palatino Linotype" w:hAnsi="Palatino Linotype"/>
          <w:b w:val="1"/>
          <w:bCs w:val="1"/>
          <w:i w:val="1"/>
          <w:iCs w:val="1"/>
          <w:sz w:val="22"/>
          <w:szCs w:val="22"/>
          <w:rtl w:val="0"/>
        </w:rPr>
        <w:t xml:space="preserve">o formato único de Movimientos de Personal</w:t>
      </w:r>
      <w:r w:rsidDel="00000000" w:rsidR="00000000" w:rsidRPr="00000000">
        <w:rPr>
          <w:rFonts w:ascii="Palatino Linotype" w:cs="Palatino Linotype" w:eastAsia="Palatino Linotype" w:hAnsi="Palatino Linotype"/>
          <w:b w:val="1"/>
          <w:bCs w:val="1"/>
          <w:i w:val="1"/>
          <w:iCs w:val="1"/>
          <w:sz w:val="22"/>
          <w:szCs w:val="22"/>
          <w:u w:val="single"/>
          <w:rtl w:val="0"/>
        </w:rPr>
        <w:t xml:space="preserve"> de los servidores públicos deberán contener:</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Nombre completo del servidor público;</w:t>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II. Cargo para el que es designado, fecha de inicio de sus servicios y lugar de adscripción</w:t>
      </w:r>
      <w:r w:rsidDel="00000000" w:rsidR="00000000" w:rsidRPr="00000000">
        <w:rPr>
          <w:rFonts w:ascii="Palatino Linotype" w:cs="Palatino Linotype" w:eastAsia="Palatino Linotype" w:hAnsi="Palatino Linotype"/>
          <w:b w:val="1"/>
          <w:bCs w:val="1"/>
          <w:i w:val="1"/>
          <w:iCs w:val="1"/>
          <w:sz w:val="22"/>
          <w:szCs w:val="22"/>
          <w:rtl w:val="0"/>
        </w:rPr>
        <w:t xml:space="preserve">; </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III. </w:t>
      </w:r>
      <w:r w:rsidDel="00000000" w:rsidR="00000000" w:rsidRPr="00000000">
        <w:rPr>
          <w:rFonts w:ascii="Palatino Linotype" w:cs="Palatino Linotype" w:eastAsia="Palatino Linotype" w:hAnsi="Palatino Linotype"/>
          <w:b w:val="1"/>
          <w:bCs w:val="1"/>
          <w:i w:val="1"/>
          <w:iCs w:val="1"/>
          <w:sz w:val="22"/>
          <w:szCs w:val="22"/>
          <w:rtl w:val="0"/>
        </w:rPr>
        <w:t xml:space="preserve">Carácter del nombramiento, ya sea de servidores públicos generales o de confianza</w:t>
      </w:r>
      <w:r w:rsidDel="00000000" w:rsidR="00000000" w:rsidRPr="00000000">
        <w:rPr>
          <w:rFonts w:ascii="Palatino Linotype" w:cs="Palatino Linotype" w:eastAsia="Palatino Linotype" w:hAnsi="Palatino Linotype"/>
          <w:i w:val="1"/>
          <w:iCs w:val="1"/>
          <w:sz w:val="22"/>
          <w:szCs w:val="22"/>
          <w:rtl w:val="0"/>
        </w:rPr>
        <w:t xml:space="preserve">, así como la temporalidad del mismo; </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IV. Remuneración correspondiente al puesto; </w:t>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 Jornada de trabajo; </w:t>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 Derogada; </w:t>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VII. Firma del servidor público autorizado para emitir el nombramiento, contrato o formato único de Movimientos de Personal, así como el fundamento legal de esa atribución.”</w:t>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(Énfasis Añadido)</w:t>
      </w:r>
    </w:p>
    <w:p w:rsidR="00000000" w:rsidDel="00000000" w:rsidP="00000000" w:rsidRDefault="00000000" w:rsidRPr="00000000" w14:paraId="000000A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Es así que, para que un servidor público entre en funciones debe tener un nombramiento, contrato o formato único de movimientos de personal, el cual debe obrar en el expediente correspondiente.</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Con base en lo anterior, se advierte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al establecer las relaciones laborales con los servidores públicos que se encuentran adscritos a su plantilla de personal, debe haberlo realizado por medio del nombramiento, contrato o formato único de movimiento de personal, por lo que, atendiendo a lo señalado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la presentación de la solicitud de información, este Organismo Garante localizó que el servidor público del que desea obtener información se encuentra adscrito a la Plantilla de Personal del Ayuntamiento de Teoloyucan, tal y como se advierte de la siguiente imagen ilustrativa: </w:t>
      </w:r>
    </w:p>
    <w:p w:rsidR="00000000" w:rsidDel="00000000" w:rsidP="00000000" w:rsidRDefault="00000000" w:rsidRPr="00000000" w14:paraId="000000B2">
      <w:pPr>
        <w:spacing w:line="360" w:lineRule="auto"/>
        <w:jc w:val="center"/>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258931" cy="2951380"/>
            <wp:effectExtent b="0" l="0" r="0" t="0"/>
            <wp:docPr id="2044601672"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5258931" cy="295138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1377315</wp:posOffset>
                </wp:positionH>
                <wp:positionV relativeFrom="paragraph">
                  <wp:posOffset>2180590</wp:posOffset>
                </wp:positionV>
                <wp:extent cx="3219450" cy="638175"/>
                <wp:effectExtent b="0" l="0" r="0" t="0"/>
                <wp:wrapNone/>
                <wp:docPr id="2044601667" name=""/>
                <a:graphic>
                  <a:graphicData uri="http://schemas.microsoft.com/office/word/2010/wordprocessingShape">
                    <wps:wsp>
                      <wps:cNvSpPr/>
                      <wps:cNvPr id="2" name="Shape 2"/>
                      <wps:spPr>
                        <a:xfrm>
                          <a:off x="3745800" y="3470438"/>
                          <a:ext cx="3200400" cy="619125"/>
                        </a:xfrm>
                        <a:prstGeom prst="rect">
                          <a:avLst/>
                        </a:prstGeom>
                        <a:noFill/>
                        <a:ln cap="flat" cmpd="sng" w="19050">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1377315</wp:posOffset>
                </wp:positionH>
                <wp:positionV relativeFrom="paragraph">
                  <wp:posOffset>2180590</wp:posOffset>
                </wp:positionV>
                <wp:extent cx="3219450" cy="638175"/>
                <wp:effectExtent b="0" l="0" r="0" t="0"/>
                <wp:wrapNone/>
                <wp:docPr id="2044601667" name="image4.png"/>
                <a:graphic>
                  <a:graphicData uri="http://schemas.openxmlformats.org/drawingml/2006/picture">
                    <pic:pic>
                      <pic:nvPicPr>
                        <pic:cNvPr id="0" name="image4.png"/>
                        <pic:cNvPicPr preferRelativeResize="0"/>
                      </pic:nvPicPr>
                      <pic:blipFill>
                        <a:blip r:embed="rId11"/>
                        <a:srcRect/>
                        <a:stretch>
                          <a:fillRect/>
                        </a:stretch>
                      </pic:blipFill>
                      <pic:spPr>
                        <a:xfrm>
                          <a:off x="0" y="0"/>
                          <a:ext cx="3219450" cy="638175"/>
                        </a:xfrm>
                        <a:prstGeom prst="rect"/>
                        <a:ln/>
                      </pic:spPr>
                    </pic:pic>
                  </a:graphicData>
                </a:graphic>
              </wp:anchor>
            </w:drawing>
          </mc:Fallback>
        </mc:AlternateContent>
      </w:r>
    </w:p>
    <w:p w:rsidR="00000000" w:rsidDel="00000000" w:rsidP="00000000" w:rsidRDefault="00000000" w:rsidRPr="00000000" w14:paraId="000000B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4">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se puede apreciar que la servidora pública se encuentra adscrita a la Dirección de Administración del Ayuntamiento de Teoloyucan; por lo que, la información consistente a dicha servidora pública es competencia del Ayuntamiento de Teoloyucan. </w:t>
      </w:r>
    </w:p>
    <w:p w:rsidR="00000000" w:rsidDel="00000000" w:rsidP="00000000" w:rsidRDefault="00000000" w:rsidRPr="00000000" w14:paraId="000000B5">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6">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Lo anterior toma relevancia con lo manifestado en respuesta por el propio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la que precisó que no cuenta con el expediente laboral de la servidora pública, toda vez que no está adscrita al Sistema Municipal para el Desarrollo Integral de la Familia de Teoloyucan, ya que únicamente se encuentra de comisión, adjuntando el oficio a través del cual la Directora de Administración del Ayuntamiento de Teoloyucan informó al Jefe de Recursos Humanos del DIF que, la C. María de Jesús Rojas quien se desempeña como Asesor adscrito a la Dirección de Administración, ha sido comisionado al Sistema para el Desarrollo Integral de la Familia (DIF), para desempeñar las funciones que le sean asignadas en dicha institución, tal y como se muestra a continuación: </w:t>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448628</wp:posOffset>
                </wp:positionH>
                <wp:positionV relativeFrom="paragraph">
                  <wp:posOffset>297498</wp:posOffset>
                </wp:positionV>
                <wp:extent cx="4876800" cy="2886075"/>
                <wp:effectExtent b="0" l="0" r="0" t="0"/>
                <wp:wrapNone/>
                <wp:docPr id="2044601670" name=""/>
                <a:graphic>
                  <a:graphicData uri="http://schemas.microsoft.com/office/word/2010/wordprocessingShape">
                    <wps:wsp>
                      <wps:cNvCnPr/>
                      <wps:spPr>
                        <a:xfrm>
                          <a:off x="2912363" y="2341725"/>
                          <a:ext cx="4867275" cy="2876550"/>
                        </a:xfrm>
                        <a:prstGeom prst="straightConnector1">
                          <a:avLst/>
                        </a:prstGeom>
                        <a:noFill/>
                        <a:ln cap="flat" cmpd="sng" w="9525">
                          <a:solidFill>
                            <a:schemeClr val="dk1"/>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448628</wp:posOffset>
                </wp:positionH>
                <wp:positionV relativeFrom="paragraph">
                  <wp:posOffset>297498</wp:posOffset>
                </wp:positionV>
                <wp:extent cx="4876800" cy="2886075"/>
                <wp:effectExtent b="0" l="0" r="0" t="0"/>
                <wp:wrapNone/>
                <wp:docPr id="2044601670"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4876800" cy="2886075"/>
                        </a:xfrm>
                        <a:prstGeom prst="rect"/>
                        <a:ln/>
                      </pic:spPr>
                    </pic:pic>
                  </a:graphicData>
                </a:graphic>
              </wp:anchor>
            </w:drawing>
          </mc:Fallback>
        </mc:AlternateContent>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Pr>
        <w:drawing>
          <wp:inline distB="0" distT="0" distL="0" distR="0">
            <wp:extent cx="5612130" cy="5537835"/>
            <wp:effectExtent b="0" l="0" r="0" t="0"/>
            <wp:docPr id="2044601673"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5612130" cy="553783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467678</wp:posOffset>
                </wp:positionH>
                <wp:positionV relativeFrom="paragraph">
                  <wp:posOffset>2582228</wp:posOffset>
                </wp:positionV>
                <wp:extent cx="4819650" cy="895350"/>
                <wp:effectExtent b="0" l="0" r="0" t="0"/>
                <wp:wrapNone/>
                <wp:docPr id="2044601668" name=""/>
                <a:graphic>
                  <a:graphicData uri="http://schemas.microsoft.com/office/word/2010/wordprocessingShape">
                    <wps:wsp>
                      <wps:cNvSpPr/>
                      <wps:cNvPr id="3" name="Shape 3"/>
                      <wps:spPr>
                        <a:xfrm>
                          <a:off x="2940938" y="3337088"/>
                          <a:ext cx="4810125" cy="885825"/>
                        </a:xfrm>
                        <a:prstGeom prst="rect">
                          <a:avLst/>
                        </a:prstGeom>
                        <a:noFill/>
                        <a:ln cap="flat" cmpd="sng" w="9525">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467678</wp:posOffset>
                </wp:positionH>
                <wp:positionV relativeFrom="paragraph">
                  <wp:posOffset>2582228</wp:posOffset>
                </wp:positionV>
                <wp:extent cx="4819650" cy="895350"/>
                <wp:effectExtent b="0" l="0" r="0" t="0"/>
                <wp:wrapNone/>
                <wp:docPr id="2044601668"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4819650" cy="8953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467678</wp:posOffset>
                </wp:positionH>
                <wp:positionV relativeFrom="paragraph">
                  <wp:posOffset>1648777</wp:posOffset>
                </wp:positionV>
                <wp:extent cx="1619250" cy="314325"/>
                <wp:effectExtent b="0" l="0" r="0" t="0"/>
                <wp:wrapNone/>
                <wp:docPr id="2044601669" name=""/>
                <a:graphic>
                  <a:graphicData uri="http://schemas.microsoft.com/office/word/2010/wordprocessingShape">
                    <wps:wsp>
                      <wps:cNvSpPr/>
                      <wps:cNvPr id="4" name="Shape 4"/>
                      <wps:spPr>
                        <a:xfrm>
                          <a:off x="4541138" y="3627600"/>
                          <a:ext cx="1609725" cy="304800"/>
                        </a:xfrm>
                        <a:prstGeom prst="rect">
                          <a:avLst/>
                        </a:prstGeom>
                        <a:noFill/>
                        <a:ln cap="flat" cmpd="sng" w="9525">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467678</wp:posOffset>
                </wp:positionH>
                <wp:positionV relativeFrom="paragraph">
                  <wp:posOffset>1648777</wp:posOffset>
                </wp:positionV>
                <wp:extent cx="1619250" cy="314325"/>
                <wp:effectExtent b="0" l="0" r="0" t="0"/>
                <wp:wrapNone/>
                <wp:docPr id="2044601669"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1619250" cy="314325"/>
                        </a:xfrm>
                        <a:prstGeom prst="rect"/>
                        <a:ln/>
                      </pic:spPr>
                    </pic:pic>
                  </a:graphicData>
                </a:graphic>
              </wp:anchor>
            </w:drawing>
          </mc:Fallback>
        </mc:AlternateContent>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este modo, resulta claro que, si bien es cierto que esta servidora pública desempeña labores dentro del Sistema Municipal, lo cierto es que únicamente se encuentra de comisión, ya que aún se encuentra adscrita al Ayuntamiento de Teoloyucan. </w:t>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Robusteciendo lo anterior, el Manual de Organización de la Dirección de Administración de Teoloyucan, señala que esta se auxiliará de una Subdirección de Recursos Humanos, el cual será el encargado de los siguientes asuntos:</w:t>
      </w:r>
    </w:p>
    <w:p w:rsidR="00000000" w:rsidDel="00000000" w:rsidP="00000000" w:rsidRDefault="00000000" w:rsidRPr="00000000" w14:paraId="000000BD">
      <w:pPr>
        <w:pBdr>
          <w:top w:space="0" w:sz="0" w:val="nil"/>
          <w:left w:space="0" w:sz="0" w:val="nil"/>
          <w:bottom w:space="0" w:sz="0" w:val="nil"/>
          <w:right w:space="0" w:sz="0" w:val="nil"/>
          <w:between w:space="0" w:sz="0" w:val="nil"/>
        </w:pBd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BE">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SUBDIRECCIÓN DE RECURSOS HUMANOS </w:t>
      </w:r>
    </w:p>
    <w:p w:rsidR="00000000" w:rsidDel="00000000" w:rsidP="00000000" w:rsidRDefault="00000000" w:rsidRPr="00000000" w14:paraId="000000BF">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1.6.- Corresponde al Titular de la Subdirección de Recursos Humanos, el despacho de los siguientes asuntos: </w:t>
      </w:r>
    </w:p>
    <w:p w:rsidR="00000000" w:rsidDel="00000000" w:rsidP="00000000" w:rsidRDefault="00000000" w:rsidRPr="00000000" w14:paraId="000000C0">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I. Administrar los recursos materiales, financieros, tecnológicos y humanos a su cargo. </w:t>
      </w:r>
    </w:p>
    <w:p w:rsidR="00000000" w:rsidDel="00000000" w:rsidP="00000000" w:rsidRDefault="00000000" w:rsidRPr="00000000" w14:paraId="000000C1">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C2">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XI. Supervisar los procesos de selección, contratación y capacitación para el personal que requieran las Dependencias, atendiendo las disposiciones de la normatividad aplicable. </w:t>
      </w:r>
    </w:p>
    <w:p w:rsidR="00000000" w:rsidDel="00000000" w:rsidP="00000000" w:rsidRDefault="00000000" w:rsidRPr="00000000" w14:paraId="000000C3">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XII. Intervenir en la elaboración de los perfiles de puestos que se requieran en las Dependencias, a efecto de optimizar los Recursos Humanos, de conformidad con la normatividad aplicable. </w:t>
      </w:r>
    </w:p>
    <w:p w:rsidR="00000000" w:rsidDel="00000000" w:rsidP="00000000" w:rsidRDefault="00000000" w:rsidRPr="00000000" w14:paraId="000000C4">
      <w:pPr>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XIII. Emitir las constancias laborales, de percepciones</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y retenciones aplicadas a los sueldos y salarios de los empleados que así́ lo requieran.</w:t>
      </w:r>
    </w:p>
    <w:p w:rsidR="00000000" w:rsidDel="00000000" w:rsidP="00000000" w:rsidRDefault="00000000" w:rsidRPr="00000000" w14:paraId="000000C5">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p>
    <w:p w:rsidR="00000000" w:rsidDel="00000000" w:rsidP="00000000" w:rsidRDefault="00000000" w:rsidRPr="00000000" w14:paraId="000000C6">
      <w:pPr>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b w:val="1"/>
          <w:bCs w:val="1"/>
          <w:i w:val="1"/>
          <w:iCs w:val="1"/>
          <w:sz w:val="22"/>
          <w:szCs w:val="22"/>
          <w:u w:val="single"/>
          <w:rtl w:val="0"/>
        </w:rPr>
        <w:t xml:space="preserve">XXVIII. Generar la correcta integración, resguardo y tener absoluto control de los expedientes personales, de la plantilla de trabajadores, actualización y verificación de documentos generados. </w:t>
      </w:r>
    </w:p>
    <w:p w:rsidR="00000000" w:rsidDel="00000000" w:rsidP="00000000" w:rsidRDefault="00000000" w:rsidRPr="00000000" w14:paraId="000000C7">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XXIX. Controlar el archivo de la documentación que ingresa y se genera en la Dirección de Recursos Humanos...”</w:t>
      </w:r>
    </w:p>
    <w:p w:rsidR="00000000" w:rsidDel="00000000" w:rsidP="00000000" w:rsidRDefault="00000000" w:rsidRPr="00000000" w14:paraId="000000C8">
      <w:pPr>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(Énfasis Añadido)</w:t>
      </w:r>
    </w:p>
    <w:p w:rsidR="00000000" w:rsidDel="00000000" w:rsidP="00000000" w:rsidRDefault="00000000" w:rsidRPr="00000000" w14:paraId="000000C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A">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Como se desprende de lo anterior, la Subdirección de Recursos Humanos dependiente de la Dirección de Administración de Teoloyucan, es el </w:t>
      </w:r>
      <w:r w:rsidDel="00000000" w:rsidR="00000000" w:rsidRPr="00000000">
        <w:rPr>
          <w:rFonts w:ascii="Palatino Linotype" w:cs="Palatino Linotype" w:eastAsia="Palatino Linotype" w:hAnsi="Palatino Linotype"/>
          <w:b w:val="1"/>
          <w:bCs w:val="1"/>
          <w:sz w:val="22"/>
          <w:szCs w:val="22"/>
          <w:rtl w:val="0"/>
        </w:rPr>
        <w:t xml:space="preserve">encargado del control y archivo de expedientes con documentación de cada empleado</w:t>
      </w:r>
      <w:r w:rsidDel="00000000" w:rsidR="00000000" w:rsidRPr="00000000">
        <w:rPr>
          <w:rFonts w:ascii="Palatino Linotype" w:cs="Palatino Linotype" w:eastAsia="Palatino Linotype" w:hAnsi="Palatino Linotype"/>
          <w:sz w:val="22"/>
          <w:szCs w:val="22"/>
          <w:rtl w:val="0"/>
        </w:rPr>
        <w:t xml:space="preserve">; por lo que se colige que la información a la que pretende acceder la hoy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se relaciona con atribuciones de la </w:t>
      </w:r>
      <w:r w:rsidDel="00000000" w:rsidR="00000000" w:rsidRPr="00000000">
        <w:rPr>
          <w:rFonts w:ascii="Palatino Linotype" w:cs="Palatino Linotype" w:eastAsia="Palatino Linotype" w:hAnsi="Palatino Linotype"/>
          <w:b w:val="1"/>
          <w:bCs w:val="1"/>
          <w:sz w:val="22"/>
          <w:szCs w:val="22"/>
          <w:rtl w:val="0"/>
        </w:rPr>
        <w:t xml:space="preserve">Dirección de Administración dependiente del Ayuntamiento de Teoloyucan</w:t>
      </w:r>
      <w:r w:rsidDel="00000000" w:rsidR="00000000" w:rsidRPr="00000000">
        <w:rPr>
          <w:rFonts w:ascii="Palatino Linotype" w:cs="Palatino Linotype" w:eastAsia="Palatino Linotype" w:hAnsi="Palatino Linotype"/>
          <w:sz w:val="22"/>
          <w:szCs w:val="22"/>
          <w:rtl w:val="0"/>
        </w:rPr>
        <w:t xml:space="preserve">, que resulta ser un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diferente, pues se insiste que </w:t>
      </w:r>
      <w:r w:rsidDel="00000000" w:rsidR="00000000" w:rsidRPr="00000000">
        <w:rPr>
          <w:rFonts w:ascii="Palatino Linotype" w:cs="Palatino Linotype" w:eastAsia="Palatino Linotype" w:hAnsi="Palatino Linotype"/>
          <w:b w:val="1"/>
          <w:bCs w:val="1"/>
          <w:sz w:val="22"/>
          <w:szCs w:val="22"/>
          <w:rtl w:val="0"/>
        </w:rPr>
        <w:t xml:space="preserve">dicha servidora pública no forma parte de la Plantilla del Sistema Municipal para el Desarrollo Integral de la Familia de Teoloyucan sino del Ayuntamiento de Teoloyucan</w:t>
      </w:r>
      <w:r w:rsidDel="00000000" w:rsidR="00000000" w:rsidRPr="00000000">
        <w:rPr>
          <w:rFonts w:ascii="Palatino Linotype" w:cs="Palatino Linotype" w:eastAsia="Palatino Linotype" w:hAnsi="Palatino Linotype"/>
          <w:sz w:val="22"/>
          <w:szCs w:val="22"/>
          <w:rtl w:val="0"/>
        </w:rPr>
        <w:t xml:space="preserve">, por lo que </w:t>
      </w:r>
      <w:r w:rsidDel="00000000" w:rsidR="00000000" w:rsidRPr="00000000">
        <w:rPr>
          <w:rFonts w:ascii="Palatino Linotype" w:cs="Palatino Linotype" w:eastAsia="Palatino Linotype" w:hAnsi="Palatino Linotype"/>
          <w:b w:val="1"/>
          <w:bCs w:val="1"/>
          <w:sz w:val="22"/>
          <w:szCs w:val="22"/>
          <w:rtl w:val="0"/>
        </w:rPr>
        <w:t xml:space="preserve">no </w:t>
      </w:r>
      <w:r w:rsidDel="00000000" w:rsidR="00000000" w:rsidRPr="00000000">
        <w:rPr>
          <w:rFonts w:ascii="Palatino Linotype" w:cs="Palatino Linotype" w:eastAsia="Palatino Linotype" w:hAnsi="Palatino Linotype"/>
          <w:sz w:val="22"/>
          <w:szCs w:val="22"/>
          <w:rtl w:val="0"/>
        </w:rPr>
        <w:t xml:space="preserve">es competente para conocer de la información requerida.</w:t>
      </w:r>
    </w:p>
    <w:p w:rsidR="00000000" w:rsidDel="00000000" w:rsidP="00000000" w:rsidRDefault="00000000" w:rsidRPr="00000000" w14:paraId="000000C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C">
      <w:pPr>
        <w:spacing w:line="360" w:lineRule="auto"/>
        <w:ind w:right="49"/>
        <w:jc w:val="both"/>
        <w:rPr>
          <w:rFonts w:ascii="Palatino Linotype" w:cs="Palatino Linotype" w:eastAsia="Palatino Linotype" w:hAnsi="Palatino Linotype"/>
          <w:b w:val="1"/>
          <w:bCs w:val="1"/>
          <w:sz w:val="22"/>
          <w:szCs w:val="22"/>
          <w:u w:val="single"/>
        </w:rPr>
      </w:pPr>
      <w:r w:rsidDel="00000000" w:rsidR="00000000" w:rsidRPr="00000000">
        <w:rPr>
          <w:rFonts w:ascii="Palatino Linotype" w:cs="Palatino Linotype" w:eastAsia="Palatino Linotype" w:hAnsi="Palatino Linotype"/>
          <w:b w:val="1"/>
          <w:bCs w:val="1"/>
          <w:sz w:val="22"/>
          <w:szCs w:val="22"/>
          <w:u w:val="single"/>
          <w:rtl w:val="0"/>
        </w:rPr>
        <w:t xml:space="preserve">En conclusión, a nada práctico conduciría ordenar al Sujeto Obligado una búsqueda exhaustiva y razonable de la información solicitada, si no cuenta con facultades, atribuciones ni competencia y, en consecuencia, la información no obrará en sus archivos. </w:t>
      </w:r>
    </w:p>
    <w:p w:rsidR="00000000" w:rsidDel="00000000" w:rsidP="00000000" w:rsidRDefault="00000000" w:rsidRPr="00000000" w14:paraId="000000CD">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CE">
      <w:pPr>
        <w:numPr>
          <w:ilvl w:val="0"/>
          <w:numId w:val="4"/>
        </w:numPr>
        <w:pBdr>
          <w:top w:space="0" w:sz="0" w:val="nil"/>
          <w:left w:space="0" w:sz="0" w:val="nil"/>
          <w:bottom w:space="0" w:sz="0" w:val="nil"/>
          <w:right w:space="0" w:sz="0" w:val="nil"/>
          <w:between w:space="0" w:sz="0" w:val="nil"/>
        </w:pBdr>
        <w:spacing w:line="360" w:lineRule="auto"/>
        <w:ind w:left="720" w:right="49"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De la Declaratoria de Incompetencia de los Sujetos Obligados. </w:t>
      </w:r>
      <w:r w:rsidDel="00000000" w:rsidR="00000000" w:rsidRPr="00000000">
        <w:rPr>
          <w:rtl w:val="0"/>
        </w:rPr>
      </w:r>
    </w:p>
    <w:p w:rsidR="00000000" w:rsidDel="00000000" w:rsidP="00000000" w:rsidRDefault="00000000" w:rsidRPr="00000000" w14:paraId="000000CF">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acuerdo con, Cabanellas, Guillermo (1993), en el </w:t>
      </w:r>
      <w:r w:rsidDel="00000000" w:rsidR="00000000" w:rsidRPr="00000000">
        <w:rPr>
          <w:rFonts w:ascii="Palatino Linotype" w:cs="Palatino Linotype" w:eastAsia="Palatino Linotype" w:hAnsi="Palatino Linotype"/>
          <w:i w:val="1"/>
          <w:iCs w:val="1"/>
          <w:sz w:val="22"/>
          <w:szCs w:val="22"/>
          <w:rtl w:val="0"/>
        </w:rPr>
        <w:t xml:space="preserve">“Diccionario Jurídico Elemental”</w:t>
      </w:r>
      <w:r w:rsidDel="00000000" w:rsidR="00000000" w:rsidRPr="00000000">
        <w:rPr>
          <w:rFonts w:ascii="Palatino Linotype" w:cs="Palatino Linotype" w:eastAsia="Palatino Linotype" w:hAnsi="Palatino Linotype"/>
          <w:sz w:val="22"/>
          <w:szCs w:val="22"/>
          <w:rtl w:val="0"/>
        </w:rPr>
        <w:t xml:space="preserve"> (p. 32 y 161) la competencia o bien, la incompetencia se refiere a:  </w:t>
      </w:r>
    </w:p>
    <w:p w:rsidR="00000000" w:rsidDel="00000000" w:rsidP="00000000" w:rsidRDefault="00000000" w:rsidRPr="00000000" w14:paraId="000000D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1">
      <w:pPr>
        <w:numPr>
          <w:ilvl w:val="0"/>
          <w:numId w:val="3"/>
        </w:numPr>
        <w:spacing w:line="360" w:lineRule="auto"/>
        <w:ind w:left="780"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Competencia: </w:t>
      </w:r>
      <w:r w:rsidDel="00000000" w:rsidR="00000000" w:rsidRPr="00000000">
        <w:rPr>
          <w:rFonts w:ascii="Palatino Linotype" w:cs="Palatino Linotype" w:eastAsia="Palatino Linotype" w:hAnsi="Palatino Linotype"/>
          <w:sz w:val="22"/>
          <w:szCs w:val="22"/>
          <w:rtl w:val="0"/>
        </w:rPr>
        <w:t xml:space="preserve">La capacidad de una autoridad para conocer sobre una materia o asunto.</w:t>
      </w:r>
    </w:p>
    <w:p w:rsidR="00000000" w:rsidDel="00000000" w:rsidP="00000000" w:rsidRDefault="00000000" w:rsidRPr="00000000" w14:paraId="000000D2">
      <w:pPr>
        <w:numPr>
          <w:ilvl w:val="0"/>
          <w:numId w:val="3"/>
        </w:numPr>
        <w:spacing w:line="360" w:lineRule="auto"/>
        <w:ind w:left="780" w:hanging="360"/>
        <w:jc w:val="both"/>
        <w:rPr>
          <w:sz w:val="22"/>
          <w:szCs w:val="22"/>
        </w:rPr>
      </w:pPr>
      <w:r w:rsidDel="00000000" w:rsidR="00000000" w:rsidRPr="00000000">
        <w:rPr>
          <w:rFonts w:ascii="Palatino Linotype" w:cs="Palatino Linotype" w:eastAsia="Palatino Linotype" w:hAnsi="Palatino Linotype"/>
          <w:b w:val="1"/>
          <w:bCs w:val="1"/>
          <w:sz w:val="22"/>
          <w:szCs w:val="22"/>
          <w:rtl w:val="0"/>
        </w:rPr>
        <w:t xml:space="preserve">Incompetencia:</w:t>
      </w:r>
      <w:r w:rsidDel="00000000" w:rsidR="00000000" w:rsidRPr="00000000">
        <w:rPr>
          <w:rFonts w:ascii="Palatino Linotype" w:cs="Palatino Linotype" w:eastAsia="Palatino Linotype" w:hAnsi="Palatino Linotype"/>
          <w:sz w:val="22"/>
          <w:szCs w:val="22"/>
          <w:rtl w:val="0"/>
        </w:rPr>
        <w:t xml:space="preserve"> Falta de Competencia.</w:t>
      </w:r>
    </w:p>
    <w:p w:rsidR="00000000" w:rsidDel="00000000" w:rsidP="00000000" w:rsidRDefault="00000000" w:rsidRPr="00000000" w14:paraId="000000D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4">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Por lo que, </w:t>
      </w:r>
      <w:r w:rsidDel="00000000" w:rsidR="00000000" w:rsidRPr="00000000">
        <w:rPr>
          <w:rFonts w:ascii="Palatino Linotype" w:cs="Palatino Linotype" w:eastAsia="Palatino Linotype" w:hAnsi="Palatino Linotype"/>
          <w:b w:val="1"/>
          <w:bCs w:val="1"/>
          <w:sz w:val="22"/>
          <w:szCs w:val="22"/>
          <w:rtl w:val="0"/>
        </w:rPr>
        <w:t xml:space="preserve">la incompetencia</w:t>
      </w:r>
      <w:r w:rsidDel="00000000" w:rsidR="00000000" w:rsidRPr="00000000">
        <w:rPr>
          <w:rFonts w:ascii="Palatino Linotype" w:cs="Palatino Linotype" w:eastAsia="Palatino Linotype" w:hAnsi="Palatino Linotype"/>
          <w:sz w:val="22"/>
          <w:szCs w:val="22"/>
          <w:rtl w:val="0"/>
        </w:rPr>
        <w:t xml:space="preserve">, radica en la incapacidad de una autoridad para conocer de un tema o asunto; en el mismo sentido, conviene traer a cuenta tesis aislada número III.2o.P.11 K, publicada en el Semanario Judicial de la Federación y su Gaceta, Novena Época, Tomo XV, Mayo de 2002, Pág. 1243, ya que precisa lo siguiente: </w:t>
      </w:r>
    </w:p>
    <w:p w:rsidR="00000000" w:rsidDel="00000000" w:rsidP="00000000" w:rsidRDefault="00000000" w:rsidRPr="00000000" w14:paraId="000000D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6">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“LEGITIMACIÓN DE FUNCIONARIOS PÚBLICOS. LOS TRIBUNALES DE AMPARO, POR ESTAR VINCULADOS CON EL CONCEPTO DE COMPETENCIA A QUE SE REFIERE EL ARTÍCULO 16 CONSTITUCIONAL, NO PUEDEN CONOCER DE AQUÉLLA. </w:t>
      </w:r>
      <w:r w:rsidDel="00000000" w:rsidR="00000000" w:rsidRPr="00000000">
        <w:rPr>
          <w:rFonts w:ascii="Palatino Linotype" w:cs="Palatino Linotype" w:eastAsia="Palatino Linotype" w:hAnsi="Palatino Linotype"/>
          <w:i w:val="1"/>
          <w:iCs w:val="1"/>
          <w:sz w:val="22"/>
          <w:szCs w:val="22"/>
          <w:rtl w:val="0"/>
        </w:rPr>
        <w:t xml:space="preserve">El artículo </w:t>
      </w:r>
      <w:hyperlink r:id="rId13">
        <w:r w:rsidDel="00000000" w:rsidR="00000000" w:rsidRPr="00000000">
          <w:rPr>
            <w:rFonts w:ascii="Palatino Linotype" w:cs="Palatino Linotype" w:eastAsia="Palatino Linotype" w:hAnsi="Palatino Linotype"/>
            <w:i w:val="1"/>
            <w:iCs w:val="1"/>
            <w:sz w:val="22"/>
            <w:szCs w:val="22"/>
            <w:u w:val="single"/>
            <w:rtl w:val="0"/>
          </w:rPr>
          <w:t xml:space="preserve">16 constitucional</w:t>
        </w:r>
      </w:hyperlink>
      <w:r w:rsidDel="00000000" w:rsidR="00000000" w:rsidRPr="00000000">
        <w:rPr>
          <w:rFonts w:ascii="Palatino Linotype" w:cs="Palatino Linotype" w:eastAsia="Palatino Linotype" w:hAnsi="Palatino Linotype"/>
          <w:i w:val="1"/>
          <w:iCs w:val="1"/>
          <w:sz w:val="22"/>
          <w:szCs w:val="22"/>
          <w:rtl w:val="0"/>
        </w:rPr>
        <w:t xml:space="preserve"> se refiere a la competencia que tienen las autoridades para conocer de determinadas conductas en particular, caso que corresponde a la esfera de atribuciones de las autoridades cuya competencia constituye el análisis del Poder Judicial de la Federación, mas no la forma en que una autoridad fue elegida o integrada, circunstancia que le compete estudiar a la autoridad individual o colegiada que otorgó el nombramiento o, en todo caso, el régimen establecido para ello, porque el precitado artículo constitucional no se refiere a la legitimación de un funcionario, ni a la manera como se incorpora a la función pública, sino a los límites fijados para la actuación del órgano frente a los particulares, ya que consagra una garantía individual y no un control interno de la organización administrativa.”</w:t>
      </w:r>
    </w:p>
    <w:p w:rsidR="00000000" w:rsidDel="00000000" w:rsidP="00000000" w:rsidRDefault="00000000" w:rsidRPr="00000000" w14:paraId="000000D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8">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la misma manera, resulta necesario traer a colación, el Criterio orientador 13/17, emitido por el entonces Instituto Nacional de Transparencia, Acceso a la Información y Protección de Datos Personales, que dispone lo siguiente: </w:t>
      </w:r>
    </w:p>
    <w:p w:rsidR="00000000" w:rsidDel="00000000" w:rsidP="00000000" w:rsidRDefault="00000000" w:rsidRPr="00000000" w14:paraId="000000D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A">
      <w:pPr>
        <w:spacing w:line="276" w:lineRule="auto"/>
        <w:ind w:left="851" w:right="567"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Incompetencia. </w:t>
      </w:r>
      <w:r w:rsidDel="00000000" w:rsidR="00000000" w:rsidRPr="00000000">
        <w:rPr>
          <w:rFonts w:ascii="Palatino Linotype" w:cs="Palatino Linotype" w:eastAsia="Palatino Linotype" w:hAnsi="Palatino Linotype"/>
          <w:i w:val="1"/>
          <w:iCs w:val="1"/>
          <w:sz w:val="22"/>
          <w:szCs w:val="22"/>
          <w:rtl w:val="0"/>
        </w:rPr>
        <w:t xml:space="preserve">La incompetencia implica la ausencia de atribuciones del sujeto obligado para poseer la información solicitada; es decir, se trata de una cuestión de derecho, en tanto que no existan facultades para contar con lo requerido; por lo que la incompetencia es una cualidad atribuida al sujeto obligado que la declara.”</w:t>
      </w:r>
    </w:p>
    <w:p w:rsidR="00000000" w:rsidDel="00000000" w:rsidP="00000000" w:rsidRDefault="00000000" w:rsidRPr="00000000" w14:paraId="000000D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C">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tal virtud, la </w:t>
      </w:r>
      <w:r w:rsidDel="00000000" w:rsidR="00000000" w:rsidRPr="00000000">
        <w:rPr>
          <w:rFonts w:ascii="Palatino Linotype" w:cs="Palatino Linotype" w:eastAsia="Palatino Linotype" w:hAnsi="Palatino Linotype"/>
          <w:b w:val="1"/>
          <w:bCs w:val="1"/>
          <w:sz w:val="22"/>
          <w:szCs w:val="22"/>
          <w:rtl w:val="0"/>
        </w:rPr>
        <w:t xml:space="preserve">incompetencia </w:t>
      </w:r>
      <w:r w:rsidDel="00000000" w:rsidR="00000000" w:rsidRPr="00000000">
        <w:rPr>
          <w:rFonts w:ascii="Palatino Linotype" w:cs="Palatino Linotype" w:eastAsia="Palatino Linotype" w:hAnsi="Palatino Linotype"/>
          <w:sz w:val="22"/>
          <w:szCs w:val="22"/>
          <w:rtl w:val="0"/>
        </w:rPr>
        <w:t xml:space="preserve">implica que, de conformidad con las atribuciones conferidas al sujeto obligado, no habría razón por la cual este deba contar con la información solicitada, en cuyo caso, tendría que orientar al particular para que acuda a la instancia competente.</w:t>
      </w:r>
    </w:p>
    <w:p w:rsidR="00000000" w:rsidDel="00000000" w:rsidP="00000000" w:rsidRDefault="00000000" w:rsidRPr="00000000" w14:paraId="000000D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DE">
      <w:pPr>
        <w:tabs>
          <w:tab w:val="left" w:leader="none" w:pos="142"/>
          <w:tab w:val="left" w:leader="none" w:pos="284"/>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en cuanto hace a la Declaración de Incompetencia la Ley de Transparencia y Acceso a la Información Pública del Estado de México, establece, en los artículos 49, fracción II y 167, lo siguiente: </w:t>
      </w:r>
    </w:p>
    <w:p w:rsidR="00000000" w:rsidDel="00000000" w:rsidP="00000000" w:rsidRDefault="00000000" w:rsidRPr="00000000" w14:paraId="000000DF">
      <w:pPr>
        <w:tabs>
          <w:tab w:val="left" w:leader="none" w:pos="142"/>
          <w:tab w:val="left" w:leader="none" w:pos="284"/>
        </w:tabs>
        <w:spacing w:line="360" w:lineRule="auto"/>
        <w:ind w:left="851" w:right="902" w:firstLine="0"/>
        <w:jc w:val="both"/>
        <w:rPr>
          <w:rFonts w:ascii="Palatino Linotype" w:cs="Palatino Linotype" w:eastAsia="Palatino Linotype" w:hAnsi="Palatino Linotype"/>
          <w:i w:val="1"/>
          <w:iCs w:val="1"/>
          <w:sz w:val="22"/>
          <w:szCs w:val="22"/>
        </w:rPr>
      </w:pPr>
      <w:r w:rsidDel="00000000" w:rsidR="00000000" w:rsidRPr="00000000">
        <w:rPr>
          <w:rtl w:val="0"/>
        </w:rPr>
      </w:r>
    </w:p>
    <w:p w:rsidR="00000000" w:rsidDel="00000000" w:rsidP="00000000" w:rsidRDefault="00000000" w:rsidRPr="00000000" w14:paraId="000000E0">
      <w:pPr>
        <w:tabs>
          <w:tab w:val="left" w:leader="none" w:pos="142"/>
          <w:tab w:val="left" w:leader="none" w:pos="284"/>
        </w:tabs>
        <w:spacing w:line="276" w:lineRule="auto"/>
        <w:ind w:left="851" w:right="616" w:firstLine="0"/>
        <w:jc w:val="both"/>
        <w:rPr>
          <w:rFonts w:ascii="Palatino Linotype" w:cs="Palatino Linotype" w:eastAsia="Palatino Linotype" w:hAnsi="Palatino Linotype"/>
          <w:i w:val="1"/>
          <w:iCs w:val="1"/>
          <w:sz w:val="22"/>
          <w:szCs w:val="22"/>
        </w:rPr>
      </w:pP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Fonts w:ascii="Palatino Linotype" w:cs="Palatino Linotype" w:eastAsia="Palatino Linotype" w:hAnsi="Palatino Linotype"/>
          <w:b w:val="1"/>
          <w:bCs w:val="1"/>
          <w:i w:val="1"/>
          <w:iCs w:val="1"/>
          <w:sz w:val="22"/>
          <w:szCs w:val="22"/>
          <w:rtl w:val="0"/>
        </w:rPr>
        <w:t xml:space="preserve">Artículo 49.</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Los Comités de Transparencia</w:t>
      </w:r>
      <w:r w:rsidDel="00000000" w:rsidR="00000000" w:rsidRPr="00000000">
        <w:rPr>
          <w:rFonts w:ascii="Palatino Linotype" w:cs="Palatino Linotype" w:eastAsia="Palatino Linotype" w:hAnsi="Palatino Linotype"/>
          <w:i w:val="1"/>
          <w:iCs w:val="1"/>
          <w:sz w:val="22"/>
          <w:szCs w:val="22"/>
          <w:rtl w:val="0"/>
        </w:rPr>
        <w:t xml:space="preserve"> tendrán las siguientes atribuciones:</w:t>
      </w:r>
    </w:p>
    <w:p w:rsidR="00000000" w:rsidDel="00000000" w:rsidP="00000000" w:rsidRDefault="00000000" w:rsidRPr="00000000" w14:paraId="000000E1">
      <w:pPr>
        <w:tabs>
          <w:tab w:val="left" w:leader="none" w:pos="142"/>
          <w:tab w:val="left" w:leader="none" w:pos="284"/>
        </w:tabs>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E2">
      <w:pPr>
        <w:tabs>
          <w:tab w:val="left" w:leader="none" w:pos="142"/>
          <w:tab w:val="left" w:leader="none" w:pos="284"/>
        </w:tabs>
        <w:spacing w:line="276" w:lineRule="auto"/>
        <w:ind w:left="851" w:right="616" w:firstLine="0"/>
        <w:jc w:val="both"/>
        <w:rPr>
          <w:rFonts w:ascii="Palatino Linotype" w:cs="Palatino Linotype" w:eastAsia="Palatino Linotype" w:hAnsi="Palatino Linotype"/>
          <w:b w:val="1"/>
          <w:bCs w:val="1"/>
          <w:i w:val="1"/>
          <w:iCs w:val="1"/>
          <w:sz w:val="22"/>
          <w:szCs w:val="22"/>
          <w:u w:val="single"/>
        </w:rPr>
      </w:pPr>
      <w:r w:rsidDel="00000000" w:rsidR="00000000" w:rsidRPr="00000000">
        <w:rPr>
          <w:rFonts w:ascii="Palatino Linotype" w:cs="Palatino Linotype" w:eastAsia="Palatino Linotype" w:hAnsi="Palatino Linotype"/>
          <w:b w:val="1"/>
          <w:bCs w:val="1"/>
          <w:i w:val="1"/>
          <w:iCs w:val="1"/>
          <w:sz w:val="22"/>
          <w:szCs w:val="22"/>
          <w:rtl w:val="0"/>
        </w:rPr>
        <w:t xml:space="preserve">II.</w:t>
      </w:r>
      <w:r w:rsidDel="00000000" w:rsidR="00000000" w:rsidRPr="00000000">
        <w:rPr>
          <w:rFonts w:ascii="Palatino Linotype" w:cs="Palatino Linotype" w:eastAsia="Palatino Linotype" w:hAnsi="Palatino Linotype"/>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Confirmar, modificar o revocar</w:t>
      </w:r>
      <w:r w:rsidDel="00000000" w:rsidR="00000000" w:rsidRPr="00000000">
        <w:rPr>
          <w:rFonts w:ascii="Palatino Linotype" w:cs="Palatino Linotype" w:eastAsia="Palatino Linotype" w:hAnsi="Palatino Linotype"/>
          <w:i w:val="1"/>
          <w:iCs w:val="1"/>
          <w:sz w:val="22"/>
          <w:szCs w:val="22"/>
          <w:rtl w:val="0"/>
        </w:rPr>
        <w:t xml:space="preserve"> las determinaciones que en materia de ampliación del plazo de respuesta, clasificación de la información </w:t>
      </w:r>
      <w:r w:rsidDel="00000000" w:rsidR="00000000" w:rsidRPr="00000000">
        <w:rPr>
          <w:rFonts w:ascii="Palatino Linotype" w:cs="Palatino Linotype" w:eastAsia="Palatino Linotype" w:hAnsi="Palatino Linotype"/>
          <w:b w:val="1"/>
          <w:bCs w:val="1"/>
          <w:i w:val="1"/>
          <w:iCs w:val="1"/>
          <w:sz w:val="22"/>
          <w:szCs w:val="22"/>
          <w:rtl w:val="0"/>
        </w:rPr>
        <w:t xml:space="preserve">y declaración</w:t>
      </w:r>
      <w:r w:rsidDel="00000000" w:rsidR="00000000" w:rsidRPr="00000000">
        <w:rPr>
          <w:rFonts w:ascii="Palatino Linotype" w:cs="Palatino Linotype" w:eastAsia="Palatino Linotype" w:hAnsi="Palatino Linotype"/>
          <w:i w:val="1"/>
          <w:iCs w:val="1"/>
          <w:sz w:val="22"/>
          <w:szCs w:val="22"/>
          <w:rtl w:val="0"/>
        </w:rPr>
        <w:t xml:space="preserve"> de inexistencia o </w:t>
      </w:r>
      <w:r w:rsidDel="00000000" w:rsidR="00000000" w:rsidRPr="00000000">
        <w:rPr>
          <w:rFonts w:ascii="Palatino Linotype" w:cs="Palatino Linotype" w:eastAsia="Palatino Linotype" w:hAnsi="Palatino Linotype"/>
          <w:b w:val="1"/>
          <w:bCs w:val="1"/>
          <w:i w:val="1"/>
          <w:iCs w:val="1"/>
          <w:sz w:val="22"/>
          <w:szCs w:val="22"/>
          <w:rtl w:val="0"/>
        </w:rPr>
        <w:t xml:space="preserve">de incompetencia realicen los titulares de las áreas de los sujetos obligados;</w:t>
      </w:r>
      <w:r w:rsidDel="00000000" w:rsidR="00000000" w:rsidRPr="00000000">
        <w:rPr>
          <w:rtl w:val="0"/>
        </w:rPr>
      </w:r>
    </w:p>
    <w:p w:rsidR="00000000" w:rsidDel="00000000" w:rsidP="00000000" w:rsidRDefault="00000000" w:rsidRPr="00000000" w14:paraId="000000E3">
      <w:pPr>
        <w:tabs>
          <w:tab w:val="left" w:leader="none" w:pos="142"/>
          <w:tab w:val="left" w:leader="none" w:pos="284"/>
        </w:tabs>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w:t>
      </w:r>
    </w:p>
    <w:p w:rsidR="00000000" w:rsidDel="00000000" w:rsidP="00000000" w:rsidRDefault="00000000" w:rsidRPr="00000000" w14:paraId="000000E4">
      <w:pPr>
        <w:tabs>
          <w:tab w:val="left" w:leader="none" w:pos="142"/>
          <w:tab w:val="left" w:leader="none" w:pos="284"/>
        </w:tabs>
        <w:spacing w:line="276" w:lineRule="auto"/>
        <w:ind w:left="851" w:right="616" w:firstLine="0"/>
        <w:jc w:val="both"/>
        <w:rPr>
          <w:rFonts w:ascii="Palatino Linotype" w:cs="Palatino Linotype" w:eastAsia="Palatino Linotype" w:hAnsi="Palatino Linotype"/>
          <w:b w:val="1"/>
          <w:bCs w:val="1"/>
          <w:i w:val="1"/>
          <w:iCs w:val="1"/>
          <w:sz w:val="22"/>
          <w:szCs w:val="22"/>
        </w:rPr>
      </w:pPr>
      <w:r w:rsidDel="00000000" w:rsidR="00000000" w:rsidRPr="00000000">
        <w:rPr>
          <w:rFonts w:ascii="Palatino Linotype" w:cs="Palatino Linotype" w:eastAsia="Palatino Linotype" w:hAnsi="Palatino Linotype"/>
          <w:b w:val="1"/>
          <w:bCs w:val="1"/>
          <w:i w:val="1"/>
          <w:iCs w:val="1"/>
          <w:sz w:val="22"/>
          <w:szCs w:val="22"/>
          <w:rtl w:val="0"/>
        </w:rPr>
        <w:t xml:space="preserve">Artículo 167</w:t>
      </w:r>
      <w:r w:rsidDel="00000000" w:rsidR="00000000" w:rsidRPr="00000000">
        <w:rPr>
          <w:rFonts w:ascii="Palatino Linotype" w:cs="Palatino Linotype" w:eastAsia="Palatino Linotype" w:hAnsi="Palatino Linotype"/>
          <w:i w:val="1"/>
          <w:iCs w:val="1"/>
          <w:sz w:val="22"/>
          <w:szCs w:val="22"/>
          <w:rtl w:val="0"/>
        </w:rPr>
        <w:t xml:space="preserve">. </w:t>
      </w:r>
      <w:r w:rsidDel="00000000" w:rsidR="00000000" w:rsidRPr="00000000">
        <w:rPr>
          <w:rFonts w:ascii="Palatino Linotype" w:cs="Palatino Linotype" w:eastAsia="Palatino Linotype" w:hAnsi="Palatino Linotype"/>
          <w:b w:val="1"/>
          <w:bCs w:val="1"/>
          <w:i w:val="1"/>
          <w:iCs w:val="1"/>
          <w:sz w:val="22"/>
          <w:szCs w:val="22"/>
          <w:rtl w:val="0"/>
        </w:rPr>
        <w:t xml:space="preserve">Cuando las unidades de transparencia determinen la notoria incompetencia</w:t>
      </w:r>
      <w:r w:rsidDel="00000000" w:rsidR="00000000" w:rsidRPr="00000000">
        <w:rPr>
          <w:rFonts w:ascii="Palatino Linotype" w:cs="Palatino Linotype" w:eastAsia="Palatino Linotype" w:hAnsi="Palatino Linotype"/>
          <w:i w:val="1"/>
          <w:iCs w:val="1"/>
          <w:sz w:val="22"/>
          <w:szCs w:val="22"/>
          <w:rtl w:val="0"/>
        </w:rPr>
        <w:t xml:space="preserve"> por parte de los sujetos obligados, dentro del ámbito de aplicación, para atender la solicitud de acceso a la información, </w:t>
      </w:r>
      <w:r w:rsidDel="00000000" w:rsidR="00000000" w:rsidRPr="00000000">
        <w:rPr>
          <w:rFonts w:ascii="Palatino Linotype" w:cs="Palatino Linotype" w:eastAsia="Palatino Linotype" w:hAnsi="Palatino Linotype"/>
          <w:b w:val="1"/>
          <w:bCs w:val="1"/>
          <w:i w:val="1"/>
          <w:iCs w:val="1"/>
          <w:sz w:val="22"/>
          <w:szCs w:val="22"/>
          <w:rtl w:val="0"/>
        </w:rPr>
        <w:t xml:space="preserve">deberán comunicarlo al solicitante, dentro de los tres días hábiles posteriores a la recepción de la solicitud</w:t>
      </w:r>
      <w:r w:rsidDel="00000000" w:rsidR="00000000" w:rsidRPr="00000000">
        <w:rPr>
          <w:rFonts w:ascii="Palatino Linotype" w:cs="Palatino Linotype" w:eastAsia="Palatino Linotype" w:hAnsi="Palatino Linotype"/>
          <w:i w:val="1"/>
          <w:iCs w:val="1"/>
          <w:sz w:val="22"/>
          <w:szCs w:val="22"/>
          <w:rtl w:val="0"/>
        </w:rPr>
        <w:t xml:space="preserve"> y, </w:t>
      </w:r>
      <w:r w:rsidDel="00000000" w:rsidR="00000000" w:rsidRPr="00000000">
        <w:rPr>
          <w:rFonts w:ascii="Palatino Linotype" w:cs="Palatino Linotype" w:eastAsia="Palatino Linotype" w:hAnsi="Palatino Linotype"/>
          <w:b w:val="1"/>
          <w:bCs w:val="1"/>
          <w:i w:val="1"/>
          <w:iCs w:val="1"/>
          <w:sz w:val="22"/>
          <w:szCs w:val="22"/>
          <w:rtl w:val="0"/>
        </w:rPr>
        <w:t xml:space="preserve">en su caso orientar al solicitante, el o los sujetos obligados competentes</w:t>
      </w:r>
      <w:r w:rsidDel="00000000" w:rsidR="00000000" w:rsidRPr="00000000">
        <w:rPr>
          <w:rFonts w:ascii="Palatino Linotype" w:cs="Palatino Linotype" w:eastAsia="Palatino Linotype" w:hAnsi="Palatino Linotype"/>
          <w:i w:val="1"/>
          <w:iCs w:val="1"/>
          <w:sz w:val="22"/>
          <w:szCs w:val="22"/>
          <w:rtl w:val="0"/>
        </w:rPr>
        <w:t xml:space="preserve">.”</w:t>
      </w:r>
      <w:r w:rsidDel="00000000" w:rsidR="00000000" w:rsidRPr="00000000">
        <w:rPr>
          <w:rtl w:val="0"/>
        </w:rPr>
      </w:r>
    </w:p>
    <w:p w:rsidR="00000000" w:rsidDel="00000000" w:rsidP="00000000" w:rsidRDefault="00000000" w:rsidRPr="00000000" w14:paraId="000000E5">
      <w:pPr>
        <w:spacing w:line="360" w:lineRule="auto"/>
        <w:ind w:left="851" w:right="902" w:firstLine="0"/>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6">
      <w:pPr>
        <w:tabs>
          <w:tab w:val="left" w:leader="none" w:pos="142"/>
          <w:tab w:val="left" w:leader="none" w:pos="284"/>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De los preceptos citados se desprende que es atribución del Comité de Transparencia confirmar, modificar o revocar, en su caso, la declaración de incompetencia, en aquellos casos en los que </w:t>
      </w:r>
      <w:r w:rsidDel="00000000" w:rsidR="00000000" w:rsidRPr="00000000">
        <w:rPr>
          <w:rFonts w:ascii="Palatino Linotype" w:cs="Palatino Linotype" w:eastAsia="Palatino Linotype" w:hAnsi="Palatino Linotype"/>
          <w:b w:val="1"/>
          <w:bCs w:val="1"/>
          <w:sz w:val="22"/>
          <w:szCs w:val="22"/>
          <w:u w:val="single"/>
          <w:rtl w:val="0"/>
        </w:rPr>
        <w:t xml:space="preserve">no se trate de una notoria incompetencia</w:t>
      </w:r>
      <w:r w:rsidDel="00000000" w:rsidR="00000000" w:rsidRPr="00000000">
        <w:rPr>
          <w:rFonts w:ascii="Palatino Linotype" w:cs="Palatino Linotype" w:eastAsia="Palatino Linotype" w:hAnsi="Palatino Linotype"/>
          <w:sz w:val="22"/>
          <w:szCs w:val="22"/>
          <w:rtl w:val="0"/>
        </w:rPr>
        <w:t xml:space="preserve">, para lo cual deberán comunicarlo dentro de los tres días hábiles posteriores a la recepción de la solicitud y, en su caso,</w:t>
      </w:r>
      <w:r w:rsidDel="00000000" w:rsidR="00000000" w:rsidRPr="00000000">
        <w:rPr>
          <w:rFonts w:ascii="Palatino Linotype" w:cs="Palatino Linotype" w:eastAsia="Palatino Linotype" w:hAnsi="Palatino Linotype"/>
          <w:b w:val="1"/>
          <w:bCs w:val="1"/>
          <w:sz w:val="22"/>
          <w:szCs w:val="22"/>
          <w:u w:val="single"/>
          <w:rtl w:val="0"/>
        </w:rPr>
        <w:t xml:space="preserve"> orientar al solicitante respecto de los sujetos obligados</w:t>
      </w:r>
      <w:r w:rsidDel="00000000" w:rsidR="00000000" w:rsidRPr="00000000">
        <w:rPr>
          <w:rFonts w:ascii="Palatino Linotype" w:cs="Palatino Linotype" w:eastAsia="Palatino Linotype" w:hAnsi="Palatino Linotype"/>
          <w:sz w:val="22"/>
          <w:szCs w:val="22"/>
          <w:rtl w:val="0"/>
        </w:rPr>
        <w:t xml:space="preserve"> competentes.</w:t>
      </w:r>
    </w:p>
    <w:p w:rsidR="00000000" w:rsidDel="00000000" w:rsidP="00000000" w:rsidRDefault="00000000" w:rsidRPr="00000000" w14:paraId="000000E7">
      <w:pPr>
        <w:tabs>
          <w:tab w:val="left" w:leader="none" w:pos="142"/>
          <w:tab w:val="left" w:leader="none" w:pos="284"/>
        </w:tabs>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8">
      <w:pPr>
        <w:spacing w:line="360" w:lineRule="auto"/>
        <w:ind w:right="49"/>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En lo que respecta al presente asunto se tiene que, si bien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no declinó su competencia dentro del plazo establecido por la Ley en la materia, lo cierto es que a través de este estudio se concluyó que no cuenta con atribuciones y competencia para generar y administrar la información solicitada. </w:t>
      </w:r>
    </w:p>
    <w:p w:rsidR="00000000" w:rsidDel="00000000" w:rsidP="00000000" w:rsidRDefault="00000000" w:rsidRPr="00000000" w14:paraId="000000E9">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A">
      <w:pPr>
        <w:tabs>
          <w:tab w:val="left" w:leader="none" w:pos="142"/>
          <w:tab w:val="left" w:leader="none" w:pos="284"/>
        </w:tabs>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Ahora bien, respecto al motivo de inconformidad de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consistente en </w:t>
      </w:r>
      <w:r w:rsidDel="00000000" w:rsidR="00000000" w:rsidRPr="00000000">
        <w:rPr>
          <w:rFonts w:ascii="Palatino Linotype" w:cs="Palatino Linotype" w:eastAsia="Palatino Linotype" w:hAnsi="Palatino Linotype"/>
          <w:i w:val="1"/>
          <w:iCs w:val="1"/>
          <w:sz w:val="22"/>
          <w:szCs w:val="22"/>
          <w:rtl w:val="0"/>
        </w:rPr>
        <w:t xml:space="preserve">la liga para solicitar la información</w:t>
      </w:r>
      <w:r w:rsidDel="00000000" w:rsidR="00000000" w:rsidRPr="00000000">
        <w:rPr>
          <w:rFonts w:ascii="Palatino Linotype" w:cs="Palatino Linotype" w:eastAsia="Palatino Linotype" w:hAnsi="Palatino Linotype"/>
          <w:sz w:val="22"/>
          <w:szCs w:val="22"/>
          <w:rtl w:val="0"/>
        </w:rPr>
        <w:t xml:space="preserve">, este Instituto advierte que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orientó desde respuesta al particular a presentar la solicitud ante el Sujeto Obligado competente, otorgado la liga electrónica y los pasos a seguir, por lo que, los agravios hechos valer por la parte Recurrente devienen </w:t>
      </w:r>
      <w:r w:rsidDel="00000000" w:rsidR="00000000" w:rsidRPr="00000000">
        <w:rPr>
          <w:rFonts w:ascii="Palatino Linotype" w:cs="Palatino Linotype" w:eastAsia="Palatino Linotype" w:hAnsi="Palatino Linotype"/>
          <w:b w:val="1"/>
          <w:bCs w:val="1"/>
          <w:sz w:val="22"/>
          <w:szCs w:val="22"/>
          <w:rtl w:val="0"/>
        </w:rPr>
        <w:t xml:space="preserve">infundados </w:t>
      </w:r>
      <w:r w:rsidDel="00000000" w:rsidR="00000000" w:rsidRPr="00000000">
        <w:rPr>
          <w:rFonts w:ascii="Palatino Linotype" w:cs="Palatino Linotype" w:eastAsia="Palatino Linotype" w:hAnsi="Palatino Linotype"/>
          <w:sz w:val="22"/>
          <w:szCs w:val="22"/>
          <w:rtl w:val="0"/>
        </w:rPr>
        <w:t xml:space="preserve">y, por lo tanto, resulta procedente </w:t>
      </w:r>
      <w:r w:rsidDel="00000000" w:rsidR="00000000" w:rsidRPr="00000000">
        <w:rPr>
          <w:rFonts w:ascii="Palatino Linotype" w:cs="Palatino Linotype" w:eastAsia="Palatino Linotype" w:hAnsi="Palatino Linotype"/>
          <w:b w:val="1"/>
          <w:bCs w:val="1"/>
          <w:sz w:val="22"/>
          <w:szCs w:val="22"/>
          <w:rtl w:val="0"/>
        </w:rPr>
        <w:t xml:space="preserve">Confirmar </w:t>
      </w:r>
      <w:r w:rsidDel="00000000" w:rsidR="00000000" w:rsidRPr="00000000">
        <w:rPr>
          <w:rFonts w:ascii="Palatino Linotype" w:cs="Palatino Linotype" w:eastAsia="Palatino Linotype" w:hAnsi="Palatino Linotype"/>
          <w:sz w:val="22"/>
          <w:szCs w:val="22"/>
          <w:rtl w:val="0"/>
        </w:rPr>
        <w:t xml:space="preserve">la respuesta emitida por 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en términos de la fracción II del artículo 186 de la Ley de Transparencia y Acceso a la Información Pública del Estado de México y Municipios. </w:t>
      </w:r>
    </w:p>
    <w:p w:rsidR="00000000" w:rsidDel="00000000" w:rsidP="00000000" w:rsidRDefault="00000000" w:rsidRPr="00000000" w14:paraId="000000EB">
      <w:pPr>
        <w:spacing w:line="360" w:lineRule="auto"/>
        <w:ind w:right="49"/>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C">
      <w:pPr>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No obstante, se dejan a salvo sus derechos, para que, en caso de así considerarlo conveniente a sus intereses, pueda formular una solicitud ante el Sujeto Obligado competente, es decir, el </w:t>
      </w:r>
      <w:r w:rsidDel="00000000" w:rsidR="00000000" w:rsidRPr="00000000">
        <w:rPr>
          <w:rFonts w:ascii="Palatino Linotype" w:cs="Palatino Linotype" w:eastAsia="Palatino Linotype" w:hAnsi="Palatino Linotype"/>
          <w:b w:val="1"/>
          <w:bCs w:val="1"/>
          <w:sz w:val="22"/>
          <w:szCs w:val="22"/>
          <w:rtl w:val="0"/>
        </w:rPr>
        <w:t xml:space="preserve">Ayuntamiento de Teoloyucan</w:t>
      </w:r>
      <w:r w:rsidDel="00000000" w:rsidR="00000000" w:rsidRPr="00000000">
        <w:rPr>
          <w:rFonts w:ascii="Palatino Linotype" w:cs="Palatino Linotype" w:eastAsia="Palatino Linotype" w:hAnsi="Palatino Linotype"/>
          <w:sz w:val="22"/>
          <w:szCs w:val="22"/>
          <w:rtl w:val="0"/>
        </w:rPr>
        <w:t xml:space="preserve">. </w:t>
      </w:r>
    </w:p>
    <w:p w:rsidR="00000000" w:rsidDel="00000000" w:rsidP="00000000" w:rsidRDefault="00000000" w:rsidRPr="00000000" w14:paraId="000000ED">
      <w:pPr>
        <w:spacing w:line="360" w:lineRule="auto"/>
        <w:ind w:right="51"/>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EE">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con fundamento en lo prescrito en los artículos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y 186 fracción II de la Ley de Transparencia y Acceso a la Información Pública del Estado de México y Municipios, este Pleno:</w:t>
      </w:r>
    </w:p>
    <w:p w:rsidR="00000000" w:rsidDel="00000000" w:rsidP="00000000" w:rsidRDefault="00000000" w:rsidRPr="00000000" w14:paraId="000000E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line="360" w:lineRule="auto"/>
        <w:jc w:val="cente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III. R E S U E L V E</w:t>
      </w:r>
    </w:p>
    <w:p w:rsidR="00000000" w:rsidDel="00000000" w:rsidP="00000000" w:rsidRDefault="00000000" w:rsidRPr="00000000" w14:paraId="000000F1">
      <w:pPr>
        <w:spacing w:line="360" w:lineRule="auto"/>
        <w:jc w:val="both"/>
        <w:rPr>
          <w:rFonts w:ascii="Palatino Linotype" w:cs="Palatino Linotype" w:eastAsia="Palatino Linotype" w:hAnsi="Palatino Linotype"/>
          <w:b w:val="1"/>
          <w:bCs w:val="1"/>
          <w:sz w:val="22"/>
          <w:szCs w:val="22"/>
        </w:rPr>
      </w:pPr>
      <w:bookmarkStart w:colFirst="0" w:colLast="0" w:name="_heading=h.1t3h5sf" w:id="9"/>
      <w:bookmarkEnd w:id="9"/>
      <w:r w:rsidDel="00000000" w:rsidR="00000000" w:rsidRPr="00000000">
        <w:rPr>
          <w:rtl w:val="0"/>
        </w:rPr>
      </w:r>
    </w:p>
    <w:p w:rsidR="00000000" w:rsidDel="00000000" w:rsidP="00000000" w:rsidRDefault="00000000" w:rsidRPr="00000000" w14:paraId="000000F2">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Primero. </w:t>
      </w:r>
      <w:r w:rsidDel="00000000" w:rsidR="00000000" w:rsidRPr="00000000">
        <w:rPr>
          <w:rFonts w:ascii="Palatino Linotype" w:cs="Palatino Linotype" w:eastAsia="Palatino Linotype" w:hAnsi="Palatino Linotype"/>
          <w:sz w:val="22"/>
          <w:szCs w:val="22"/>
          <w:rtl w:val="0"/>
        </w:rPr>
        <w:t xml:space="preserve">Son </w:t>
      </w:r>
      <w:r w:rsidDel="00000000" w:rsidR="00000000" w:rsidRPr="00000000">
        <w:rPr>
          <w:rFonts w:ascii="Palatino Linotype" w:cs="Palatino Linotype" w:eastAsia="Palatino Linotype" w:hAnsi="Palatino Linotype"/>
          <w:b w:val="1"/>
          <w:bCs w:val="1"/>
          <w:sz w:val="22"/>
          <w:szCs w:val="22"/>
          <w:rtl w:val="0"/>
        </w:rPr>
        <w:t xml:space="preserve">infundadas</w:t>
      </w:r>
      <w:r w:rsidDel="00000000" w:rsidR="00000000" w:rsidRPr="00000000">
        <w:rPr>
          <w:rFonts w:ascii="Palatino Linotype" w:cs="Palatino Linotype" w:eastAsia="Palatino Linotype" w:hAnsi="Palatino Linotype"/>
          <w:sz w:val="22"/>
          <w:szCs w:val="22"/>
          <w:rtl w:val="0"/>
        </w:rPr>
        <w:t xml:space="preserve"> las razones o motivos de inconformidad hechos valer por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en el recurso de revisión </w:t>
      </w:r>
      <w:r w:rsidDel="00000000" w:rsidR="00000000" w:rsidRPr="00000000">
        <w:rPr>
          <w:rFonts w:ascii="Palatino Linotype" w:cs="Palatino Linotype" w:eastAsia="Palatino Linotype" w:hAnsi="Palatino Linotype"/>
          <w:b w:val="1"/>
          <w:bCs w:val="1"/>
          <w:sz w:val="22"/>
          <w:szCs w:val="22"/>
          <w:rtl w:val="0"/>
        </w:rPr>
        <w:t xml:space="preserve">06919/INFOEM/IP/RR/2026</w:t>
      </w:r>
      <w:r w:rsidDel="00000000" w:rsidR="00000000" w:rsidRPr="00000000">
        <w:rPr>
          <w:rFonts w:ascii="Palatino Linotype" w:cs="Palatino Linotype" w:eastAsia="Palatino Linotype" w:hAnsi="Palatino Linotype"/>
          <w:sz w:val="22"/>
          <w:szCs w:val="22"/>
          <w:rtl w:val="0"/>
        </w:rPr>
        <w:t xml:space="preserve">, por lo que, en términos de los argumentos de derecho señalados en el considerando </w:t>
      </w:r>
      <w:r w:rsidDel="00000000" w:rsidR="00000000" w:rsidRPr="00000000">
        <w:rPr>
          <w:rFonts w:ascii="Palatino Linotype" w:cs="Palatino Linotype" w:eastAsia="Palatino Linotype" w:hAnsi="Palatino Linotype"/>
          <w:b w:val="1"/>
          <w:bCs w:val="1"/>
          <w:sz w:val="22"/>
          <w:szCs w:val="22"/>
          <w:rtl w:val="0"/>
        </w:rPr>
        <w:t xml:space="preserve">Cuarto</w:t>
      </w:r>
      <w:r w:rsidDel="00000000" w:rsidR="00000000" w:rsidRPr="00000000">
        <w:rPr>
          <w:rFonts w:ascii="Palatino Linotype" w:cs="Palatino Linotype" w:eastAsia="Palatino Linotype" w:hAnsi="Palatino Linotype"/>
          <w:sz w:val="22"/>
          <w:szCs w:val="22"/>
          <w:rtl w:val="0"/>
        </w:rPr>
        <w:t xml:space="preserve">, se</w:t>
      </w:r>
      <w:r w:rsidDel="00000000" w:rsidR="00000000" w:rsidRPr="00000000">
        <w:rPr>
          <w:rFonts w:ascii="Palatino Linotype" w:cs="Palatino Linotype" w:eastAsia="Palatino Linotype" w:hAnsi="Palatino Linotype"/>
          <w:b w:val="1"/>
          <w:bCs w:val="1"/>
          <w:sz w:val="22"/>
          <w:szCs w:val="22"/>
          <w:rtl w:val="0"/>
        </w:rPr>
        <w:t xml:space="preserve"> Confirma </w:t>
      </w:r>
      <w:r w:rsidDel="00000000" w:rsidR="00000000" w:rsidRPr="00000000">
        <w:rPr>
          <w:rFonts w:ascii="Palatino Linotype" w:cs="Palatino Linotype" w:eastAsia="Palatino Linotype" w:hAnsi="Palatino Linotype"/>
          <w:sz w:val="22"/>
          <w:szCs w:val="22"/>
          <w:rtl w:val="0"/>
        </w:rPr>
        <w:t xml:space="preserve">la respuesta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w:t>
      </w:r>
    </w:p>
    <w:p w:rsidR="00000000" w:rsidDel="00000000" w:rsidP="00000000" w:rsidRDefault="00000000" w:rsidRPr="00000000" w14:paraId="000000F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4">
      <w:pPr>
        <w:spacing w:line="360" w:lineRule="auto"/>
        <w:jc w:val="both"/>
        <w:rPr>
          <w:rFonts w:ascii="Palatino Linotype" w:cs="Palatino Linotype" w:eastAsia="Palatino Linotype" w:hAnsi="Palatino Linotype"/>
          <w:sz w:val="22"/>
          <w:szCs w:val="22"/>
        </w:rPr>
      </w:pPr>
      <w:bookmarkStart w:colFirst="0" w:colLast="0" w:name="_heading=h.lnxbz9" w:id="10"/>
      <w:bookmarkEnd w:id="10"/>
      <w:r w:rsidDel="00000000" w:rsidR="00000000" w:rsidRPr="00000000">
        <w:rPr>
          <w:rFonts w:ascii="Palatino Linotype" w:cs="Palatino Linotype" w:eastAsia="Palatino Linotype" w:hAnsi="Palatino Linotype"/>
          <w:b w:val="1"/>
          <w:bCs w:val="1"/>
          <w:sz w:val="22"/>
          <w:szCs w:val="22"/>
          <w:rtl w:val="0"/>
        </w:rPr>
        <w:t xml:space="preserve">Segundo.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al Titular de la Unidad de Transparencia del </w:t>
      </w:r>
      <w:r w:rsidDel="00000000" w:rsidR="00000000" w:rsidRPr="00000000">
        <w:rPr>
          <w:rFonts w:ascii="Palatino Linotype" w:cs="Palatino Linotype" w:eastAsia="Palatino Linotype" w:hAnsi="Palatino Linotype"/>
          <w:b w:val="1"/>
          <w:bCs w:val="1"/>
          <w:sz w:val="22"/>
          <w:szCs w:val="22"/>
          <w:rtl w:val="0"/>
        </w:rPr>
        <w:t xml:space="preserve">Sujeto Obligado</w:t>
      </w:r>
      <w:r w:rsidDel="00000000" w:rsidR="00000000" w:rsidRPr="00000000">
        <w:rPr>
          <w:rFonts w:ascii="Palatino Linotype" w:cs="Palatino Linotype" w:eastAsia="Palatino Linotype" w:hAnsi="Palatino Linotype"/>
          <w:sz w:val="22"/>
          <w:szCs w:val="22"/>
          <w:rtl w:val="0"/>
        </w:rPr>
        <w:t xml:space="preserve"> para su conocimiento, la presente resolución.</w:t>
      </w:r>
    </w:p>
    <w:p w:rsidR="00000000" w:rsidDel="00000000" w:rsidP="00000000" w:rsidRDefault="00000000" w:rsidRPr="00000000" w14:paraId="000000F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6">
      <w:pPr>
        <w:spacing w:line="360" w:lineRule="auto"/>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b w:val="1"/>
          <w:bCs w:val="1"/>
          <w:sz w:val="22"/>
          <w:szCs w:val="22"/>
          <w:rtl w:val="0"/>
        </w:rPr>
        <w:t xml:space="preserve">Tercero.  Notifíquese, </w:t>
      </w:r>
      <w:r w:rsidDel="00000000" w:rsidR="00000000" w:rsidRPr="00000000">
        <w:rPr>
          <w:rFonts w:ascii="Palatino Linotype" w:cs="Palatino Linotype" w:eastAsia="Palatino Linotype" w:hAnsi="Palatino Linotype"/>
          <w:sz w:val="22"/>
          <w:szCs w:val="22"/>
          <w:rtl w:val="0"/>
        </w:rPr>
        <w:t xml:space="preserve">vía </w:t>
      </w:r>
      <w:r w:rsidDel="00000000" w:rsidR="00000000" w:rsidRPr="00000000">
        <w:rPr>
          <w:rFonts w:ascii="Palatino Linotype" w:cs="Palatino Linotype" w:eastAsia="Palatino Linotype" w:hAnsi="Palatino Linotype"/>
          <w:b w:val="1"/>
          <w:bCs w:val="1"/>
          <w:sz w:val="22"/>
          <w:szCs w:val="22"/>
          <w:rtl w:val="0"/>
        </w:rPr>
        <w:t xml:space="preserve">SAIMEX, </w:t>
      </w:r>
      <w:r w:rsidDel="00000000" w:rsidR="00000000" w:rsidRPr="00000000">
        <w:rPr>
          <w:rFonts w:ascii="Palatino Linotype" w:cs="Palatino Linotype" w:eastAsia="Palatino Linotype" w:hAnsi="Palatino Linotype"/>
          <w:sz w:val="22"/>
          <w:szCs w:val="22"/>
          <w:rtl w:val="0"/>
        </w:rPr>
        <w:t xml:space="preserve">a la parte </w:t>
      </w:r>
      <w:r w:rsidDel="00000000" w:rsidR="00000000" w:rsidRPr="00000000">
        <w:rPr>
          <w:rFonts w:ascii="Palatino Linotype" w:cs="Palatino Linotype" w:eastAsia="Palatino Linotype" w:hAnsi="Palatino Linotype"/>
          <w:b w:val="1"/>
          <w:bCs w:val="1"/>
          <w:sz w:val="22"/>
          <w:szCs w:val="22"/>
          <w:rtl w:val="0"/>
        </w:rPr>
        <w:t xml:space="preserve">Recurrente</w:t>
      </w:r>
      <w:r w:rsidDel="00000000" w:rsidR="00000000" w:rsidRPr="00000000">
        <w:rPr>
          <w:rFonts w:ascii="Palatino Linotype" w:cs="Palatino Linotype" w:eastAsia="Palatino Linotype" w:hAnsi="Palatino Linotype"/>
          <w:sz w:val="22"/>
          <w:szCs w:val="22"/>
          <w:rtl w:val="0"/>
        </w:rPr>
        <w:t xml:space="preserve"> 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rsidR="00000000" w:rsidDel="00000000" w:rsidP="00000000" w:rsidRDefault="00000000" w:rsidRPr="00000000" w14:paraId="000000F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8">
      <w:pPr>
        <w:tabs>
          <w:tab w:val="left" w:leader="none" w:pos="8647"/>
        </w:tabs>
        <w:spacing w:line="360" w:lineRule="auto"/>
        <w:ind w:right="51"/>
        <w:jc w:val="both"/>
        <w:rPr>
          <w:rFonts w:ascii="Palatino Linotype" w:cs="Palatino Linotype" w:eastAsia="Palatino Linotype" w:hAnsi="Palatino Linotype"/>
          <w:sz w:val="22"/>
          <w:szCs w:val="22"/>
        </w:rPr>
      </w:pPr>
      <w:r w:rsidDel="00000000" w:rsidR="00000000" w:rsidRPr="00000000">
        <w:rPr>
          <w:rFonts w:ascii="Palatino Linotype" w:cs="Palatino Linotype" w:eastAsia="Palatino Linotype" w:hAnsi="Palatino Linotype"/>
          <w:sz w:val="22"/>
          <w:szCs w:val="22"/>
          <w:rtl w:val="0"/>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MEJÍA AYALA Y GUADALUPE RAMÍREZ PEÑA, EN LA TRIGÉSIMA CUARTA SESIÓN ORDINARIA CELEBRADA EL VEINTICUATRO DE SEPTIEMBRE DE DOS MIL VEINTISÉIS, ANTE EL SECRETARIO TÉCNICO DEL PLENO ALEXIS TAPIA RAMÍREZ.</w:t>
      </w:r>
    </w:p>
    <w:p w:rsidR="00000000" w:rsidDel="00000000" w:rsidP="00000000" w:rsidRDefault="00000000" w:rsidRPr="00000000" w14:paraId="000000F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A">
      <w:pPr>
        <w:spacing w:line="360" w:lineRule="auto"/>
        <w:jc w:val="center"/>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C">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D">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E">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0FF">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0">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1">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2">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3">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4">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5">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6">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7">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8">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9">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A">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B">
      <w:pPr>
        <w:spacing w:line="360" w:lineRule="auto"/>
        <w:jc w:val="both"/>
        <w:rPr>
          <w:rFonts w:ascii="Palatino Linotype" w:cs="Palatino Linotype" w:eastAsia="Palatino Linotype" w:hAnsi="Palatino Linotype"/>
          <w:sz w:val="22"/>
          <w:szCs w:val="22"/>
        </w:rPr>
      </w:pPr>
      <w:r w:rsidDel="00000000" w:rsidR="00000000" w:rsidRPr="00000000">
        <w:rPr>
          <w:rtl w:val="0"/>
        </w:rPr>
      </w:r>
    </w:p>
    <w:p w:rsidR="00000000" w:rsidDel="00000000" w:rsidP="00000000" w:rsidRDefault="00000000" w:rsidRPr="00000000" w14:paraId="0000010C">
      <w:pPr>
        <w:spacing w:line="360" w:lineRule="auto"/>
        <w:jc w:val="both"/>
        <w:rPr>
          <w:rFonts w:ascii="Palatino Linotype" w:cs="Palatino Linotype" w:eastAsia="Palatino Linotype" w:hAnsi="Palatino Linotype"/>
          <w:sz w:val="22"/>
          <w:szCs w:val="22"/>
        </w:rPr>
      </w:pPr>
      <w:r w:rsidDel="00000000" w:rsidR="00000000" w:rsidRPr="00000000">
        <w:rPr>
          <w:rtl w:val="0"/>
        </w:rPr>
      </w:r>
    </w:p>
    <w:sectPr>
      <w:headerReference r:id="rId14" w:type="default"/>
      <w:headerReference r:id="rId15" w:type="first"/>
      <w:footerReference r:id="rId16" w:type="default"/>
      <w:footerReference r:id="rId17" w:type="first"/>
      <w:pgSz w:h="15840" w:w="12240" w:orient="portrait"/>
      <w:pgMar w:bottom="1701" w:top="1985" w:left="1701" w:right="1701" w:header="709"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0">
    <w:pPr>
      <w:pBdr>
        <w:top w:space="0" w:sz="0" w:val="nil"/>
        <w:left w:space="0" w:sz="0" w:val="nil"/>
        <w:bottom w:space="0" w:sz="0" w:val="nil"/>
        <w:right w:space="0" w:sz="0" w:val="nil"/>
        <w:between w:space="0" w:sz="0" w:val="nil"/>
      </w:pBdr>
      <w:tabs>
        <w:tab w:val="center" w:leader="none" w:pos="4252"/>
        <w:tab w:val="right" w:leader="none" w:pos="8504"/>
      </w:tabs>
      <w:ind w:firstLine="708"/>
      <w:rPr>
        <w:rFonts w:ascii="Cambria" w:cs="Cambria" w:eastAsia="Cambria" w:hAnsi="Cambria"/>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pBdr>
        <w:top w:space="0" w:sz="0" w:val="nil"/>
        <w:left w:space="0" w:sz="0" w:val="nil"/>
        <w:bottom w:space="0" w:sz="0" w:val="nil"/>
        <w:right w:space="0" w:sz="0" w:val="nil"/>
        <w:between w:space="0" w:sz="0" w:val="nil"/>
      </w:pBdr>
      <w:tabs>
        <w:tab w:val="center" w:leader="none" w:pos="4252"/>
        <w:tab w:val="right" w:leader="none" w:pos="8504"/>
      </w:tabs>
      <w:jc w:val="right"/>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b w:val="1"/>
        <w:bCs w:val="1"/>
        <w:color w:val="000000"/>
        <w:sz w:val="20"/>
        <w:szCs w:val="20"/>
        <w:rtl w:val="0"/>
      </w:rPr>
      <w:t xml:space="preserve">Página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PAGE</w:instrText>
      <w:fldChar w:fldCharType="separate"/>
      <w:fldChar w:fldCharType="end"/>
    </w:r>
    <w:r w:rsidDel="00000000" w:rsidR="00000000" w:rsidRPr="00000000">
      <w:rPr>
        <w:rFonts w:ascii="Palatino Linotype" w:cs="Palatino Linotype" w:eastAsia="Palatino Linotype" w:hAnsi="Palatino Linotype"/>
        <w:color w:val="000000"/>
        <w:sz w:val="20"/>
        <w:szCs w:val="20"/>
        <w:rtl w:val="0"/>
      </w:rPr>
      <w:t xml:space="preserve"> de </w:t>
    </w:r>
    <w:r w:rsidDel="00000000" w:rsidR="00000000" w:rsidRPr="00000000">
      <w:rPr>
        <w:rFonts w:ascii="Palatino Linotype" w:cs="Palatino Linotype" w:eastAsia="Palatino Linotype" w:hAnsi="Palatino Linotype"/>
        <w:b w:val="1"/>
        <w:bCs w:val="1"/>
        <w:color w:val="000000"/>
        <w:sz w:val="20"/>
        <w:szCs w:val="20"/>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tabs>
        <w:tab w:val="center" w:leader="none" w:pos="4252"/>
        <w:tab w:val="right" w:leader="none" w:pos="8504"/>
      </w:tabs>
      <w:rPr>
        <w:rFonts w:ascii="Cambria" w:cs="Cambria" w:eastAsia="Cambria" w:hAnsi="Cambria"/>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rPr>
        <w:rFonts w:ascii="Cambria" w:cs="Cambria" w:eastAsia="Cambria" w:hAnsi="Cambria"/>
        <w:color w:val="00000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-1080089</wp:posOffset>
          </wp:positionH>
          <wp:positionV relativeFrom="paragraph">
            <wp:posOffset>-488259</wp:posOffset>
          </wp:positionV>
          <wp:extent cx="7809865" cy="10165715"/>
          <wp:effectExtent b="0" l="0" r="0" t="0"/>
          <wp:wrapNone/>
          <wp:docPr id="204460167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bl>
    <w:tblPr>
      <w:tblStyle w:val="Table1"/>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10E">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10F">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06919/INFOEM/IP/RR/2026</w:t>
          </w:r>
        </w:p>
      </w:tc>
    </w:tr>
    <w:tr>
      <w:trPr>
        <w:cantSplit w:val="0"/>
        <w:trHeight w:val="228" w:hRule="atLeast"/>
        <w:tblHeader w:val="0"/>
      </w:trPr>
      <w:tc>
        <w:tcPr>
          <w:vAlign w:val="center"/>
        </w:tcPr>
        <w:p w:rsidR="00000000" w:rsidDel="00000000" w:rsidP="00000000" w:rsidRDefault="00000000" w:rsidRPr="00000000" w14:paraId="00000110">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111">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Sistema Municipal para el Desarrollo Integral de la Familia de Teoloyucan</w:t>
          </w:r>
        </w:p>
      </w:tc>
    </w:tr>
    <w:tr>
      <w:trPr>
        <w:cantSplit w:val="0"/>
        <w:tblHeader w:val="0"/>
      </w:trPr>
      <w:tc>
        <w:tcPr>
          <w:vAlign w:val="center"/>
        </w:tcPr>
        <w:p w:rsidR="00000000" w:rsidDel="00000000" w:rsidP="00000000" w:rsidRDefault="00000000" w:rsidRPr="00000000" w14:paraId="00000112">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113">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14">
    <w:pPr>
      <w:rPr>
        <w:rFonts w:ascii="Cambria" w:cs="Cambria" w:eastAsia="Cambria" w:hAnsi="Cambria"/>
        <w:color w:val="000000"/>
      </w:rPr>
    </w:pPr>
    <w:r w:rsidDel="00000000" w:rsidR="00000000" w:rsidRPr="00000000">
      <w:rPr>
        <w:rFonts w:ascii="Cambria" w:cs="Cambria" w:eastAsia="Cambria" w:hAnsi="Cambria"/>
        <w:color w:val="000000"/>
        <w:rtl w:val="0"/>
      </w:rPr>
      <w:tab/>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pacing w:line="276" w:lineRule="auto"/>
      <w:rPr>
        <w:rFonts w:ascii="Palatino Linotype" w:cs="Palatino Linotype" w:eastAsia="Palatino Linotype" w:hAnsi="Palatino Linotype"/>
        <w:sz w:val="16"/>
        <w:szCs w:val="16"/>
      </w:rPr>
    </w:pPr>
    <w:r w:rsidDel="00000000" w:rsidR="00000000" w:rsidRPr="00000000">
      <w:rPr>
        <w:rtl w:val="0"/>
      </w:rPr>
    </w:r>
  </w:p>
  <w:tbl>
    <w:tblPr>
      <w:tblStyle w:val="Table2"/>
      <w:tblW w:w="5953.0" w:type="dxa"/>
      <w:jc w:val="left"/>
      <w:tblInd w:w="3261.0" w:type="dxa"/>
      <w:tblLayout w:type="fixed"/>
      <w:tblLook w:val="0400"/>
    </w:tblPr>
    <w:tblGrid>
      <w:gridCol w:w="2489"/>
      <w:gridCol w:w="3464"/>
      <w:tblGridChange w:id="0">
        <w:tblGrid>
          <w:gridCol w:w="2489"/>
          <w:gridCol w:w="3464"/>
        </w:tblGrid>
      </w:tblGridChange>
    </w:tblGrid>
    <w:tr>
      <w:trPr>
        <w:cantSplit w:val="0"/>
        <w:tblHeader w:val="0"/>
      </w:trPr>
      <w:tc>
        <w:tcPr/>
        <w:p w:rsidR="00000000" w:rsidDel="00000000" w:rsidP="00000000" w:rsidRDefault="00000000" w:rsidRPr="00000000" w14:paraId="00000116">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Recurso de Revisión:</w:t>
          </w:r>
        </w:p>
      </w:tc>
      <w:tc>
        <w:tcPr>
          <w:vAlign w:val="center"/>
        </w:tcPr>
        <w:p w:rsidR="00000000" w:rsidDel="00000000" w:rsidP="00000000" w:rsidRDefault="00000000" w:rsidRPr="00000000" w14:paraId="00000117">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06919/INFOEM/IP/RR/2026</w:t>
          </w:r>
        </w:p>
      </w:tc>
    </w:tr>
    <w:tr>
      <w:trPr>
        <w:cantSplit w:val="0"/>
        <w:tblHeader w:val="0"/>
      </w:trPr>
      <w:tc>
        <w:tcPr/>
        <w:p w:rsidR="00000000" w:rsidDel="00000000" w:rsidP="00000000" w:rsidRDefault="00000000" w:rsidRPr="00000000" w14:paraId="00000118">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Recurrente</w:t>
          </w:r>
        </w:p>
      </w:tc>
      <w:tc>
        <w:tcPr>
          <w:vAlign w:val="center"/>
        </w:tcPr>
        <w:p w:rsidR="00000000" w:rsidDel="00000000" w:rsidP="00000000" w:rsidRDefault="00000000" w:rsidRPr="00000000" w14:paraId="00000119">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XXXXXXXXXX</w:t>
          </w:r>
          <w:r w:rsidDel="00000000" w:rsidR="00000000" w:rsidRPr="00000000">
            <w:drawing>
              <wp:anchor allowOverlap="1" behindDoc="1" distB="0" distT="0" distL="0" distR="0" hidden="0" layoutInCell="1" locked="0" relativeHeight="0" simplePos="0">
                <wp:simplePos x="0" y="0"/>
                <wp:positionH relativeFrom="column">
                  <wp:posOffset>-3596639</wp:posOffset>
                </wp:positionH>
                <wp:positionV relativeFrom="paragraph">
                  <wp:posOffset>-717549</wp:posOffset>
                </wp:positionV>
                <wp:extent cx="7809865" cy="10165715"/>
                <wp:effectExtent b="0" l="0" r="0" t="0"/>
                <wp:wrapNone/>
                <wp:docPr id="204460167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09865" cy="10165715"/>
                        </a:xfrm>
                        <a:prstGeom prst="rect"/>
                        <a:ln/>
                      </pic:spPr>
                    </pic:pic>
                  </a:graphicData>
                </a:graphic>
              </wp:anchor>
            </w:drawing>
          </w:r>
        </w:p>
      </w:tc>
    </w:tr>
    <w:tr>
      <w:trPr>
        <w:cantSplit w:val="0"/>
        <w:trHeight w:val="228" w:hRule="atLeast"/>
        <w:tblHeader w:val="0"/>
      </w:trPr>
      <w:tc>
        <w:tcPr>
          <w:vAlign w:val="center"/>
        </w:tcPr>
        <w:p w:rsidR="00000000" w:rsidDel="00000000" w:rsidP="00000000" w:rsidRDefault="00000000" w:rsidRPr="00000000" w14:paraId="0000011A">
          <w:pPr>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Sujeto Obligado:</w:t>
          </w:r>
        </w:p>
      </w:tc>
      <w:tc>
        <w:tcPr>
          <w:vAlign w:val="center"/>
        </w:tcPr>
        <w:p w:rsidR="00000000" w:rsidDel="00000000" w:rsidP="00000000" w:rsidRDefault="00000000" w:rsidRPr="00000000" w14:paraId="0000011B">
          <w:pPr>
            <w:ind w:left="-45" w:right="176" w:firstLine="0"/>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Sistema Municipal para el Desarrollo Integral de la Familia de Teoloyucan</w:t>
          </w:r>
        </w:p>
      </w:tc>
    </w:tr>
    <w:tr>
      <w:trPr>
        <w:cantSplit w:val="0"/>
        <w:tblHeader w:val="0"/>
      </w:trPr>
      <w:tc>
        <w:tcPr>
          <w:vAlign w:val="center"/>
        </w:tcPr>
        <w:p w:rsidR="00000000" w:rsidDel="00000000" w:rsidP="00000000" w:rsidRDefault="00000000" w:rsidRPr="00000000" w14:paraId="0000011C">
          <w:pPr>
            <w:ind w:right="-108"/>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Comisionada ponente:</w:t>
          </w:r>
        </w:p>
      </w:tc>
      <w:tc>
        <w:tcPr>
          <w:vAlign w:val="center"/>
        </w:tcPr>
        <w:p w:rsidR="00000000" w:rsidDel="00000000" w:rsidP="00000000" w:rsidRDefault="00000000" w:rsidRPr="00000000" w14:paraId="0000011D">
          <w:pPr>
            <w:ind w:right="175"/>
            <w:jc w:val="both"/>
            <w:rPr>
              <w:rFonts w:ascii="Palatino Linotype" w:cs="Palatino Linotype" w:eastAsia="Palatino Linotype" w:hAnsi="Palatino Linotype"/>
              <w:b w:val="1"/>
              <w:bCs w:val="1"/>
              <w:sz w:val="22"/>
              <w:szCs w:val="22"/>
            </w:rPr>
          </w:pPr>
          <w:r w:rsidDel="00000000" w:rsidR="00000000" w:rsidRPr="00000000">
            <w:rPr>
              <w:rFonts w:ascii="Palatino Linotype" w:cs="Palatino Linotype" w:eastAsia="Palatino Linotype" w:hAnsi="Palatino Linotype"/>
              <w:b w:val="1"/>
              <w:bCs w:val="1"/>
              <w:sz w:val="22"/>
              <w:szCs w:val="22"/>
              <w:rtl w:val="0"/>
            </w:rPr>
            <w:t xml:space="preserve">Guadalupe Ramírez Peña</w:t>
          </w:r>
        </w:p>
      </w:tc>
    </w:tr>
  </w:tbl>
  <w:p w:rsidR="00000000" w:rsidDel="00000000" w:rsidP="00000000" w:rsidRDefault="00000000" w:rsidRPr="00000000" w14:paraId="0000011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bullet"/>
      <w:lvlText w:val="●"/>
      <w:lvlJc w:val="left"/>
      <w:pPr>
        <w:ind w:left="780" w:hanging="360"/>
      </w:pPr>
      <w:rPr>
        <w:rFonts w:ascii="Noto Sans Symbols" w:cs="Noto Sans Symbols" w:eastAsia="Noto Sans Symbols" w:hAnsi="Noto Sans Symbols"/>
      </w:rPr>
    </w:lvl>
    <w:lvl w:ilvl="1">
      <w:start w:val="1"/>
      <w:numFmt w:val="bullet"/>
      <w:lvlText w:val="o"/>
      <w:lvlJc w:val="left"/>
      <w:pPr>
        <w:ind w:left="1500" w:hanging="360"/>
      </w:pPr>
      <w:rPr>
        <w:rFonts w:ascii="Courier New" w:cs="Courier New" w:eastAsia="Courier New" w:hAnsi="Courier New"/>
      </w:rPr>
    </w:lvl>
    <w:lvl w:ilvl="2">
      <w:start w:val="1"/>
      <w:numFmt w:val="bullet"/>
      <w:lvlText w:val="▪"/>
      <w:lvlJc w:val="left"/>
      <w:pPr>
        <w:ind w:left="2220" w:hanging="360"/>
      </w:pPr>
      <w:rPr>
        <w:rFonts w:ascii="Noto Sans Symbols" w:cs="Noto Sans Symbols" w:eastAsia="Noto Sans Symbols" w:hAnsi="Noto Sans Symbols"/>
      </w:rPr>
    </w:lvl>
    <w:lvl w:ilvl="3">
      <w:start w:val="1"/>
      <w:numFmt w:val="bullet"/>
      <w:lvlText w:val="●"/>
      <w:lvlJc w:val="left"/>
      <w:pPr>
        <w:ind w:left="2940" w:hanging="360"/>
      </w:pPr>
      <w:rPr>
        <w:rFonts w:ascii="Noto Sans Symbols" w:cs="Noto Sans Symbols" w:eastAsia="Noto Sans Symbols" w:hAnsi="Noto Sans Symbols"/>
      </w:rPr>
    </w:lvl>
    <w:lvl w:ilvl="4">
      <w:start w:val="1"/>
      <w:numFmt w:val="bullet"/>
      <w:lvlText w:val="o"/>
      <w:lvlJc w:val="left"/>
      <w:pPr>
        <w:ind w:left="3660" w:hanging="360"/>
      </w:pPr>
      <w:rPr>
        <w:rFonts w:ascii="Courier New" w:cs="Courier New" w:eastAsia="Courier New" w:hAnsi="Courier New"/>
      </w:rPr>
    </w:lvl>
    <w:lvl w:ilvl="5">
      <w:start w:val="1"/>
      <w:numFmt w:val="bullet"/>
      <w:lvlText w:val="▪"/>
      <w:lvlJc w:val="left"/>
      <w:pPr>
        <w:ind w:left="4380" w:hanging="360"/>
      </w:pPr>
      <w:rPr>
        <w:rFonts w:ascii="Noto Sans Symbols" w:cs="Noto Sans Symbols" w:eastAsia="Noto Sans Symbols" w:hAnsi="Noto Sans Symbols"/>
      </w:rPr>
    </w:lvl>
    <w:lvl w:ilvl="6">
      <w:start w:val="1"/>
      <w:numFmt w:val="bullet"/>
      <w:lvlText w:val="●"/>
      <w:lvlJc w:val="left"/>
      <w:pPr>
        <w:ind w:left="5100" w:hanging="360"/>
      </w:pPr>
      <w:rPr>
        <w:rFonts w:ascii="Noto Sans Symbols" w:cs="Noto Sans Symbols" w:eastAsia="Noto Sans Symbols" w:hAnsi="Noto Sans Symbols"/>
      </w:rPr>
    </w:lvl>
    <w:lvl w:ilvl="7">
      <w:start w:val="1"/>
      <w:numFmt w:val="bullet"/>
      <w:lvlText w:val="o"/>
      <w:lvlJc w:val="left"/>
      <w:pPr>
        <w:ind w:left="5820" w:hanging="360"/>
      </w:pPr>
      <w:rPr>
        <w:rFonts w:ascii="Courier New" w:cs="Courier New" w:eastAsia="Courier New" w:hAnsi="Courier New"/>
      </w:rPr>
    </w:lvl>
    <w:lvl w:ilvl="8">
      <w:start w:val="1"/>
      <w:numFmt w:val="bullet"/>
      <w:lvlText w:val="▪"/>
      <w:lvlJc w:val="left"/>
      <w:pPr>
        <w:ind w:left="654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lowerLetter"/>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MX"/>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366091"/>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366091"/>
      <w:sz w:val="26"/>
      <w:szCs w:val="26"/>
    </w:rPr>
  </w:style>
  <w:style w:type="paragraph" w:styleId="Heading3">
    <w:name w:val="heading 3"/>
    <w:basedOn w:val="Normal"/>
    <w:next w:val="Normal"/>
    <w:pPr>
      <w:keepNext w:val="1"/>
      <w:spacing w:after="60" w:before="240" w:lineRule="auto"/>
      <w:ind w:left="2160" w:hanging="720"/>
    </w:pPr>
    <w:rPr>
      <w:rFonts w:ascii="Calibri" w:cs="Calibri" w:eastAsia="Calibri" w:hAnsi="Calibri"/>
      <w:b w:val="1"/>
      <w:bCs w:val="1"/>
      <w:sz w:val="26"/>
      <w:szCs w:val="26"/>
    </w:rPr>
  </w:style>
  <w:style w:type="paragraph" w:styleId="Heading4">
    <w:name w:val="heading 4"/>
    <w:basedOn w:val="Normal"/>
    <w:next w:val="Normal"/>
    <w:pPr>
      <w:keepNext w:val="1"/>
      <w:spacing w:after="60" w:before="240" w:lineRule="auto"/>
      <w:ind w:left="2880" w:hanging="720"/>
    </w:pPr>
    <w:rPr>
      <w:rFonts w:ascii="Cambria" w:cs="Cambria" w:eastAsia="Cambria" w:hAnsi="Cambria"/>
      <w:b w:val="1"/>
      <w:bCs w:val="1"/>
      <w:sz w:val="28"/>
      <w:szCs w:val="28"/>
    </w:rPr>
  </w:style>
  <w:style w:type="paragraph" w:styleId="Heading5">
    <w:name w:val="heading 5"/>
    <w:basedOn w:val="Normal"/>
    <w:next w:val="Normal"/>
    <w:pPr>
      <w:spacing w:after="60" w:before="240" w:lineRule="auto"/>
      <w:ind w:left="3600" w:hanging="720"/>
    </w:pPr>
    <w:rPr>
      <w:rFonts w:ascii="Cambria" w:cs="Cambria" w:eastAsia="Cambria" w:hAnsi="Cambria"/>
      <w:b w:val="1"/>
      <w:bCs w:val="1"/>
      <w:i w:val="1"/>
      <w:iCs w:val="1"/>
      <w:sz w:val="26"/>
      <w:szCs w:val="26"/>
    </w:rPr>
  </w:style>
  <w:style w:type="paragraph" w:styleId="Heading6">
    <w:name w:val="heading 6"/>
    <w:basedOn w:val="Normal"/>
    <w:next w:val="Normal"/>
    <w:pPr>
      <w:spacing w:after="60" w:before="240" w:lineRule="auto"/>
      <w:ind w:left="4320" w:hanging="720"/>
    </w:pPr>
    <w:rPr>
      <w:b w:val="1"/>
      <w:bCs w:val="1"/>
      <w:sz w:val="22"/>
      <w:szCs w:val="22"/>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0.0" w:type="dxa"/>
        <w:left w:w="0.0" w:type="dxa"/>
        <w:bottom w:w="0.0" w:type="dxa"/>
        <w:right w:w="0.0" w:type="dxa"/>
      </w:tblCellMar>
    </w:tblPr>
  </w:style>
  <w:style w:type="table" w:styleId="TableNormal1" w:customStyle="1">
    <w:name w:val="TableNormal"/>
    <w:tblPr>
      <w:tblCellMar>
        <w:top w:w="0.0" w:type="dxa"/>
        <w:left w:w="0.0" w:type="dxa"/>
        <w:bottom w:w="0.0" w:type="dxa"/>
        <w:right w:w="0.0" w:type="dxa"/>
      </w:tblCellMar>
    </w:tblPr>
  </w:style>
  <w:style w:type="table" w:styleId="TableNormal2" w:customStyle="1">
    <w:name w:val="Table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table" w:styleId="TableNormal7" w:customStyle="1">
    <w:name w:val="Table Normal"/>
    <w:tblPr>
      <w:tblCellMar>
        <w:top w:w="0.0" w:type="dxa"/>
        <w:left w:w="0.0" w:type="dxa"/>
        <w:bottom w:w="0.0" w:type="dxa"/>
        <w:right w:w="0.0" w:type="dxa"/>
      </w:tblCellMar>
    </w:tblPr>
  </w:style>
  <w:style w:type="table" w:styleId="TableNormal8" w:customStyle="1">
    <w:name w:val="Table Normal"/>
    <w:tblPr>
      <w:tblCellMar>
        <w:top w:w="0.0" w:type="dxa"/>
        <w:left w:w="0.0" w:type="dxa"/>
        <w:bottom w:w="0.0" w:type="dxa"/>
        <w:right w:w="0.0" w:type="dxa"/>
      </w:tblCellMar>
    </w:tblPr>
  </w:style>
  <w:style w:type="table" w:styleId="TableNormal9" w:customStyle="1">
    <w:name w:val="Table Normal"/>
    <w:tblPr>
      <w:tblCellMar>
        <w:top w:w="0.0" w:type="dxa"/>
        <w:left w:w="0.0" w:type="dxa"/>
        <w:bottom w:w="0.0" w:type="dxa"/>
        <w:right w:w="0.0" w:type="dxa"/>
      </w:tblCellMar>
    </w:tblPr>
  </w:style>
  <w:style w:type="table" w:styleId="TableNormala" w:customStyle="1">
    <w:name w:val="Table Normal"/>
    <w:tblPr>
      <w:tblCellMar>
        <w:top w:w="0.0" w:type="dxa"/>
        <w:left w:w="0.0" w:type="dxa"/>
        <w:bottom w:w="0.0" w:type="dxa"/>
        <w:right w:w="0.0" w:type="dxa"/>
      </w:tblCellMar>
    </w:tblPr>
  </w:style>
  <w:style w:type="table" w:styleId="TableNormalb" w:customStyle="1">
    <w:name w:val="Table Normal"/>
    <w:tblPr>
      <w:tblCellMar>
        <w:top w:w="0.0" w:type="dxa"/>
        <w:left w:w="0.0" w:type="dxa"/>
        <w:bottom w:w="0.0" w:type="dxa"/>
        <w:right w:w="0.0" w:type="dxa"/>
      </w:tblCellMar>
    </w:tblPr>
  </w:style>
  <w:style w:type="table" w:styleId="TableNormalc" w:customStyle="1">
    <w:name w:val="Table Normal"/>
    <w:tblPr>
      <w:tblCellMar>
        <w:top w:w="0.0" w:type="dxa"/>
        <w:left w:w="0.0" w:type="dxa"/>
        <w:bottom w:w="0.0" w:type="dxa"/>
        <w:right w:w="0.0" w:type="dxa"/>
      </w:tblCellMar>
    </w:tblPr>
  </w:style>
  <w:style w:type="table" w:styleId="TableNormald" w:customStyle="1">
    <w:name w:val="Table Normal"/>
    <w:tblPr>
      <w:tblCellMar>
        <w:top w:w="0.0" w:type="dxa"/>
        <w:left w:w="0.0" w:type="dxa"/>
        <w:bottom w:w="0.0" w:type="dxa"/>
        <w:right w:w="0.0" w:type="dxa"/>
      </w:tblCellMar>
    </w:tblPr>
  </w:style>
  <w:style w:type="table" w:styleId="TableNormale" w:customStyle="1">
    <w:name w:val="Table Normal"/>
    <w:tblPr>
      <w:tblCellMar>
        <w:top w:w="0.0" w:type="dxa"/>
        <w:left w:w="0.0" w:type="dxa"/>
        <w:bottom w:w="0.0" w:type="dxa"/>
        <w:right w:w="0.0" w:type="dxa"/>
      </w:tblCellMar>
    </w:tblPr>
  </w:style>
  <w:style w:type="table" w:styleId="TableNormalf" w:customStyle="1">
    <w:name w:val="Table Normal"/>
    <w:tblPr>
      <w:tblCellMar>
        <w:top w:w="0.0" w:type="dxa"/>
        <w:left w:w="0.0" w:type="dxa"/>
        <w:bottom w:w="0.0" w:type="dxa"/>
        <w:right w:w="0.0" w:type="dxa"/>
      </w:tblCellMar>
    </w:tblPr>
  </w:style>
  <w:style w:type="table" w:styleId="TableNormalf0" w:customStyle="1">
    <w:name w:val="Table Normal"/>
    <w:tblPr>
      <w:tblCellMar>
        <w:top w:w="0.0" w:type="dxa"/>
        <w:left w:w="0.0" w:type="dxa"/>
        <w:bottom w:w="0.0" w:type="dxa"/>
        <w:right w:w="0.0" w:type="dxa"/>
      </w:tblCellMar>
    </w:tblPr>
  </w:style>
  <w:style w:type="table" w:styleId="TableNormalf1" w:customStyle="1">
    <w:name w:val="Table Normal"/>
    <w:tblPr>
      <w:tblCellMar>
        <w:top w:w="0.0" w:type="dxa"/>
        <w:left w:w="0.0" w:type="dxa"/>
        <w:bottom w:w="0.0" w:type="dxa"/>
        <w:right w:w="0.0" w:type="dxa"/>
      </w:tblCellMar>
    </w:tblPr>
  </w:style>
  <w:style w:type="table" w:styleId="TableNormalf2" w:customStyle="1">
    <w:name w:val="Table Normal"/>
    <w:tblPr>
      <w:tblCellMar>
        <w:top w:w="0.0" w:type="dxa"/>
        <w:left w:w="0.0" w:type="dxa"/>
        <w:bottom w:w="0.0" w:type="dxa"/>
        <w:right w:w="0.0" w:type="dxa"/>
      </w:tblCellMar>
    </w:tblPr>
  </w:style>
  <w:style w:type="table" w:styleId="a" w:customStyle="1">
    <w:basedOn w:val="TableNormalf2"/>
    <w:tblPr>
      <w:tblStyleRowBandSize w:val="1"/>
      <w:tblStyleColBandSize w:val="1"/>
      <w:tblCellMar>
        <w:left w:w="115.0" w:type="dxa"/>
        <w:right w:w="115.0" w:type="dxa"/>
      </w:tblCellMar>
    </w:tblPr>
  </w:style>
  <w:style w:type="table" w:styleId="a0" w:customStyle="1">
    <w:basedOn w:val="TableNormalf2"/>
    <w:tblPr>
      <w:tblStyleRowBandSize w:val="1"/>
      <w:tblStyleColBandSize w:val="1"/>
      <w:tblCellMar>
        <w:left w:w="115.0" w:type="dxa"/>
        <w:right w:w="115.0" w:type="dxa"/>
      </w:tblCellMar>
    </w:tblPr>
  </w:style>
  <w:style w:type="paragraph" w:styleId="Encabezado">
    <w:name w:val="header"/>
    <w:basedOn w:val="Normal"/>
    <w:link w:val="EncabezadoCar"/>
    <w:uiPriority w:val="99"/>
    <w:unhideWhenUsed w:val="1"/>
    <w:rsid w:val="000D197B"/>
    <w:pPr>
      <w:tabs>
        <w:tab w:val="center" w:pos="4419"/>
        <w:tab w:val="right" w:pos="8838"/>
      </w:tabs>
    </w:pPr>
  </w:style>
  <w:style w:type="character" w:styleId="EncabezadoCar" w:customStyle="1">
    <w:name w:val="Encabezado Car"/>
    <w:basedOn w:val="Fuentedeprrafopredeter"/>
    <w:link w:val="Encabezado"/>
    <w:uiPriority w:val="99"/>
    <w:rsid w:val="000D197B"/>
  </w:style>
  <w:style w:type="paragraph" w:styleId="Piedepgina">
    <w:name w:val="footer"/>
    <w:basedOn w:val="Normal"/>
    <w:link w:val="PiedepginaCar"/>
    <w:uiPriority w:val="99"/>
    <w:unhideWhenUsed w:val="1"/>
    <w:rsid w:val="000D197B"/>
    <w:pPr>
      <w:tabs>
        <w:tab w:val="center" w:pos="4419"/>
        <w:tab w:val="right" w:pos="8838"/>
      </w:tabs>
    </w:pPr>
  </w:style>
  <w:style w:type="character" w:styleId="PiedepginaCar" w:customStyle="1">
    <w:name w:val="Pie de página Car"/>
    <w:basedOn w:val="Fuentedeprrafopredeter"/>
    <w:link w:val="Piedepgina"/>
    <w:uiPriority w:val="99"/>
    <w:rsid w:val="000D197B"/>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72"/>
    <w:qFormat w:val="1"/>
    <w:rsid w:val="00C43334"/>
    <w:pPr>
      <w:ind w:left="720"/>
      <w:contextualSpacing w:val="1"/>
    </w:pPr>
  </w:style>
  <w:style w:type="paragraph" w:styleId="NormalWeb">
    <w:name w:val="Normal (Web)"/>
    <w:basedOn w:val="Normal"/>
    <w:uiPriority w:val="99"/>
    <w:semiHidden w:val="1"/>
    <w:unhideWhenUsed w:val="1"/>
    <w:rsid w:val="00476335"/>
    <w:pPr>
      <w:spacing w:after="100" w:afterAutospacing="1" w:before="100" w:beforeAutospacing="1"/>
    </w:p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val="1"/>
    <w:qFormat w:val="1"/>
    <w:rsid w:val="00806B5C"/>
    <w:rPr>
      <w:rFonts w:asciiTheme="minorHAnsi" w:cstheme="minorBidi" w:eastAsiaTheme="minorHAnsi" w:hAnsiTheme="minorHAnsi"/>
      <w:sz w:val="20"/>
      <w:szCs w:val="20"/>
      <w:lang w:eastAsia="en-US"/>
    </w:rPr>
  </w:style>
  <w:style w:type="character" w:styleId="TextonotapieCar" w:customStyle="1">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val="1"/>
    <w:rsid w:val="00806B5C"/>
    <w:rPr>
      <w:rFonts w:asciiTheme="minorHAnsi" w:cstheme="minorBidi" w:eastAsiaTheme="minorHAnsi" w:hAnsiTheme="minorHAnsi"/>
      <w:sz w:val="20"/>
      <w:szCs w:val="20"/>
      <w:lang w:eastAsia="en-US"/>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
    <w:basedOn w:val="Fuentedeprrafopredeter"/>
    <w:uiPriority w:val="99"/>
    <w:unhideWhenUsed w:val="1"/>
    <w:qFormat w:val="1"/>
    <w:rsid w:val="00806B5C"/>
    <w:rPr>
      <w:vertAlign w:val="superscript"/>
    </w:rPr>
  </w:style>
  <w:style w:type="table" w:styleId="a1" w:customStyle="1">
    <w:basedOn w:val="TableNormalf2"/>
    <w:tblPr>
      <w:tblStyleRowBandSize w:val="1"/>
      <w:tblStyleColBandSize w:val="1"/>
      <w:tblCellMar>
        <w:left w:w="115.0" w:type="dxa"/>
        <w:right w:w="115.0" w:type="dxa"/>
      </w:tblCellMar>
    </w:tblPr>
  </w:style>
  <w:style w:type="table" w:styleId="a2" w:customStyle="1">
    <w:basedOn w:val="TableNormalf2"/>
    <w:tblPr>
      <w:tblStyleRowBandSize w:val="1"/>
      <w:tblStyleColBandSize w:val="1"/>
      <w:tblCellMar>
        <w:left w:w="115.0" w:type="dxa"/>
        <w:right w:w="115.0" w:type="dxa"/>
      </w:tblCellMar>
    </w:tblPr>
  </w:style>
  <w:style w:type="character" w:styleId="Hipervnculo">
    <w:name w:val="Hyperlink"/>
    <w:basedOn w:val="Fuentedeprrafopredeter"/>
    <w:uiPriority w:val="99"/>
    <w:unhideWhenUsed w:val="1"/>
    <w:rsid w:val="00504D6C"/>
    <w:rPr>
      <w:color w:val="0000ff" w:themeColor="hyperlink"/>
      <w:u w:val="single"/>
    </w:rPr>
  </w:style>
  <w:style w:type="character" w:styleId="Hipervnculovisitado">
    <w:name w:val="FollowedHyperlink"/>
    <w:basedOn w:val="Fuentedeprrafopredeter"/>
    <w:uiPriority w:val="99"/>
    <w:semiHidden w:val="1"/>
    <w:unhideWhenUsed w:val="1"/>
    <w:rsid w:val="00504D6C"/>
    <w:rPr>
      <w:color w:val="800080" w:themeColor="followedHyperlink"/>
      <w:u w:val="single"/>
    </w:rPr>
  </w:style>
  <w:style w:type="table" w:styleId="Tablaconcuadrcula">
    <w:name w:val="Table Grid"/>
    <w:basedOn w:val="Tablanormal"/>
    <w:uiPriority w:val="39"/>
    <w:rsid w:val="00134AD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3" w:customStyle="1">
    <w:basedOn w:val="TableNormalf1"/>
    <w:tblPr>
      <w:tblStyleRowBandSize w:val="1"/>
      <w:tblStyleColBandSize w:val="1"/>
      <w:tblCellMar>
        <w:left w:w="115.0" w:type="dxa"/>
        <w:right w:w="115.0" w:type="dxa"/>
      </w:tblCellMar>
    </w:tblPr>
  </w:style>
  <w:style w:type="table" w:styleId="a4" w:customStyle="1">
    <w:basedOn w:val="TableNormalf1"/>
    <w:tblPr>
      <w:tblStyleRowBandSize w:val="1"/>
      <w:tblStyleColBandSize w:val="1"/>
      <w:tblCellMar>
        <w:left w:w="115.0" w:type="dxa"/>
        <w:right w:w="115.0" w:type="dxa"/>
      </w:tblCellMar>
    </w:tblPr>
  </w:style>
  <w:style w:type="paragraph" w:styleId="Listaconvietas3">
    <w:name w:val="List Bullet 3"/>
    <w:basedOn w:val="Normal"/>
    <w:uiPriority w:val="99"/>
    <w:unhideWhenUsed w:val="1"/>
    <w:rsid w:val="005E017B"/>
    <w:pPr>
      <w:numPr>
        <w:numId w:val="1"/>
      </w:numPr>
      <w:contextualSpacing w:val="1"/>
    </w:pPr>
  </w:style>
  <w:style w:type="character" w:styleId="yt-core-attributed-string--link-inherit-color" w:customStyle="1">
    <w:name w:val="yt-core-attributed-string--link-inherit-color"/>
    <w:basedOn w:val="Fuentedeprrafopredeter"/>
    <w:rsid w:val="00EA0BEF"/>
  </w:style>
  <w:style w:type="character" w:styleId="PrrafodelistaCar" w:customStyle="1">
    <w:name w:val="Párrafo de lista Car"/>
    <w:aliases w:val="lp1 Car,List Paragraph1 Car,Lista de nivel 1 Car,4 Párrafo de lista Car,Figuras Car,Dot pt Car,No Spacing1 Car,List Paragraph Char Char Char Car,Indicator Text Car,Numbered Para 1 Car,DH1 Car,Listas Car,Light Grid - Accent 31 Car"/>
    <w:basedOn w:val="Fuentedeprrafopredeter"/>
    <w:link w:val="Prrafodelista"/>
    <w:uiPriority w:val="72"/>
    <w:qFormat w:val="1"/>
    <w:locked w:val="1"/>
    <w:rsid w:val="00452086"/>
  </w:style>
  <w:style w:type="character" w:styleId="Mencinsinresolver1" w:customStyle="1">
    <w:name w:val="Mención sin resolver1"/>
    <w:basedOn w:val="Fuentedeprrafopredeter"/>
    <w:uiPriority w:val="99"/>
    <w:semiHidden w:val="1"/>
    <w:unhideWhenUsed w:val="1"/>
    <w:rsid w:val="00C64B15"/>
    <w:rPr>
      <w:color w:val="605e5c"/>
      <w:shd w:color="auto" w:fill="e1dfdd" w:val="clear"/>
    </w:rPr>
  </w:style>
  <w:style w:type="paragraph" w:styleId="Default" w:customStyle="1">
    <w:name w:val="Default"/>
    <w:rsid w:val="00B92077"/>
    <w:pPr>
      <w:autoSpaceDE w:val="0"/>
      <w:autoSpaceDN w:val="0"/>
      <w:adjustRightInd w:val="0"/>
    </w:pPr>
    <w:rPr>
      <w:rFonts w:ascii="Arial" w:cs="Arial" w:hAnsi="Arial"/>
      <w:color w:val="000000"/>
    </w:rPr>
  </w:style>
  <w:style w:type="character" w:styleId="Mencinsinresolver2" w:customStyle="1">
    <w:name w:val="Mención sin resolver2"/>
    <w:basedOn w:val="Fuentedeprrafopredeter"/>
    <w:uiPriority w:val="99"/>
    <w:semiHidden w:val="1"/>
    <w:unhideWhenUsed w:val="1"/>
    <w:rsid w:val="00251B93"/>
    <w:rPr>
      <w:color w:val="605e5c"/>
      <w:shd w:color="auto" w:fill="e1dfdd" w:val="clear"/>
    </w:rPr>
  </w:style>
  <w:style w:type="paragraph" w:styleId="Textodeglobo">
    <w:name w:val="Balloon Text"/>
    <w:basedOn w:val="Normal"/>
    <w:link w:val="TextodegloboCar"/>
    <w:uiPriority w:val="99"/>
    <w:semiHidden w:val="1"/>
    <w:unhideWhenUsed w:val="1"/>
    <w:rsid w:val="00DD0D64"/>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DD0D64"/>
    <w:rPr>
      <w:rFonts w:ascii="Segoe UI" w:cs="Segoe UI" w:hAnsi="Segoe UI"/>
      <w:sz w:val="18"/>
      <w:szCs w:val="18"/>
    </w:rPr>
  </w:style>
  <w:style w:type="paragraph" w:styleId="Sinespaciado">
    <w:name w:val="No Spacing"/>
    <w:aliases w:val="Francesa"/>
    <w:link w:val="SinespaciadoCar"/>
    <w:uiPriority w:val="1"/>
    <w:qFormat w:val="1"/>
    <w:rsid w:val="000D0148"/>
    <w:rPr>
      <w:rFonts w:asciiTheme="minorHAnsi" w:cstheme="minorBidi" w:eastAsiaTheme="minorHAnsi" w:hAnsiTheme="minorHAnsi"/>
      <w:sz w:val="22"/>
      <w:szCs w:val="22"/>
      <w:lang w:eastAsia="en-US"/>
    </w:rPr>
  </w:style>
  <w:style w:type="character" w:styleId="SinespaciadoCar" w:customStyle="1">
    <w:name w:val="Sin espaciado Car"/>
    <w:aliases w:val="Francesa Car"/>
    <w:link w:val="Sinespaciado"/>
    <w:uiPriority w:val="1"/>
    <w:locked w:val="1"/>
    <w:rsid w:val="000D0148"/>
    <w:rPr>
      <w:rFonts w:asciiTheme="minorHAnsi" w:cstheme="minorBidi" w:eastAsiaTheme="minorHAnsi" w:hAnsiTheme="minorHAnsi"/>
      <w:sz w:val="22"/>
      <w:szCs w:val="22"/>
      <w:lang w:eastAsia="en-US"/>
    </w:rPr>
  </w:style>
  <w:style w:type="paragraph" w:styleId="rtejustify" w:customStyle="1">
    <w:name w:val="rtejustify"/>
    <w:basedOn w:val="Normal"/>
    <w:rsid w:val="00876EB7"/>
    <w:pPr>
      <w:spacing w:after="100" w:afterAutospacing="1" w:before="100" w:beforeAutospacing="1"/>
    </w:pPr>
  </w:style>
  <w:style w:type="table" w:styleId="a5" w:customStyle="1">
    <w:basedOn w:val="TableNormalf0"/>
    <w:tblPr>
      <w:tblStyleRowBandSize w:val="1"/>
      <w:tblStyleColBandSize w:val="1"/>
      <w:tblCellMar>
        <w:left w:w="108.0" w:type="dxa"/>
        <w:right w:w="108.0" w:type="dxa"/>
      </w:tblCellMar>
    </w:tblPr>
  </w:style>
  <w:style w:type="table" w:styleId="a6" w:customStyle="1">
    <w:basedOn w:val="TableNormalf0"/>
    <w:tblPr>
      <w:tblStyleRowBandSize w:val="1"/>
      <w:tblStyleColBandSize w:val="1"/>
      <w:tblCellMar>
        <w:left w:w="108.0" w:type="dxa"/>
        <w:right w:w="108.0" w:type="dxa"/>
      </w:tblCellMar>
    </w:tblPr>
  </w:style>
  <w:style w:type="table" w:styleId="a7" w:customStyle="1">
    <w:basedOn w:val="TableNormalf0"/>
    <w:tblPr>
      <w:tblStyleRowBandSize w:val="1"/>
      <w:tblStyleColBandSize w:val="1"/>
      <w:tblCellMar>
        <w:left w:w="108.0" w:type="dxa"/>
        <w:right w:w="108.0" w:type="dxa"/>
      </w:tblCellMar>
    </w:tblPr>
  </w:style>
  <w:style w:type="table" w:styleId="a8" w:customStyle="1">
    <w:basedOn w:val="TableNormalf0"/>
    <w:tblPr>
      <w:tblStyleRowBandSize w:val="1"/>
      <w:tblStyleColBandSize w:val="1"/>
      <w:tblCellMar>
        <w:left w:w="108.0" w:type="dxa"/>
        <w:right w:w="108.0" w:type="dxa"/>
      </w:tblCellMar>
    </w:tblPr>
  </w:style>
  <w:style w:type="table" w:styleId="a9" w:customStyle="1">
    <w:basedOn w:val="TableNormalf0"/>
    <w:tblPr>
      <w:tblStyleRowBandSize w:val="1"/>
      <w:tblStyleColBandSize w:val="1"/>
      <w:tblCellMar>
        <w:left w:w="108.0" w:type="dxa"/>
        <w:right w:w="108.0" w:type="dxa"/>
      </w:tblCellMar>
    </w:tblPr>
  </w:style>
  <w:style w:type="table" w:styleId="aa" w:customStyle="1">
    <w:basedOn w:val="TableNormalf0"/>
    <w:tblPr>
      <w:tblStyleRowBandSize w:val="1"/>
      <w:tblStyleColBandSize w:val="1"/>
      <w:tblCellMar>
        <w:left w:w="115.0" w:type="dxa"/>
        <w:right w:w="115.0" w:type="dxa"/>
      </w:tblCellMar>
    </w:tblPr>
  </w:style>
  <w:style w:type="table" w:styleId="ab" w:customStyle="1">
    <w:basedOn w:val="TableNormalf0"/>
    <w:tblPr>
      <w:tblStyleRowBandSize w:val="1"/>
      <w:tblStyleColBandSize w:val="1"/>
      <w:tblCellMar>
        <w:left w:w="115.0" w:type="dxa"/>
        <w:right w:w="115.0" w:type="dxa"/>
      </w:tblCellMar>
    </w:tblPr>
  </w:style>
  <w:style w:type="table" w:styleId="ac" w:customStyle="1">
    <w:basedOn w:val="TableNormalf"/>
    <w:tblPr>
      <w:tblStyleRowBandSize w:val="1"/>
      <w:tblStyleColBandSize w:val="1"/>
      <w:tblCellMar>
        <w:left w:w="108.0" w:type="dxa"/>
        <w:right w:w="108.0" w:type="dxa"/>
      </w:tblCellMar>
    </w:tblPr>
  </w:style>
  <w:style w:type="table" w:styleId="ad" w:customStyle="1">
    <w:basedOn w:val="TableNormalf"/>
    <w:tblPr>
      <w:tblStyleRowBandSize w:val="1"/>
      <w:tblStyleColBandSize w:val="1"/>
      <w:tblCellMar>
        <w:left w:w="115.0" w:type="dxa"/>
        <w:right w:w="115.0" w:type="dxa"/>
      </w:tblCellMar>
    </w:tblPr>
  </w:style>
  <w:style w:type="table" w:styleId="ae" w:customStyle="1">
    <w:basedOn w:val="TableNormalf"/>
    <w:tblPr>
      <w:tblStyleRowBandSize w:val="1"/>
      <w:tblStyleColBandSize w:val="1"/>
      <w:tblCellMar>
        <w:left w:w="115.0" w:type="dxa"/>
        <w:right w:w="115.0" w:type="dxa"/>
      </w:tblCellMar>
    </w:tblPr>
  </w:style>
  <w:style w:type="table" w:styleId="af" w:customStyle="1">
    <w:basedOn w:val="TableNormale"/>
    <w:tblPr>
      <w:tblStyleRowBandSize w:val="1"/>
      <w:tblStyleColBandSize w:val="1"/>
      <w:tblCellMar>
        <w:left w:w="115.0" w:type="dxa"/>
        <w:right w:w="115.0" w:type="dxa"/>
      </w:tblCellMar>
    </w:tblPr>
  </w:style>
  <w:style w:type="table" w:styleId="af0" w:customStyle="1">
    <w:basedOn w:val="TableNormale"/>
    <w:tblPr>
      <w:tblStyleRowBandSize w:val="1"/>
      <w:tblStyleColBandSize w:val="1"/>
      <w:tblCellMar>
        <w:left w:w="115.0" w:type="dxa"/>
        <w:right w:w="115.0" w:type="dxa"/>
      </w:tblCellMar>
    </w:tblPr>
  </w:style>
  <w:style w:type="table" w:styleId="af1" w:customStyle="1">
    <w:basedOn w:val="TableNormale"/>
    <w:tblPr>
      <w:tblStyleRowBandSize w:val="1"/>
      <w:tblStyleColBandSize w:val="1"/>
      <w:tblCellMar>
        <w:left w:w="115.0" w:type="dxa"/>
        <w:right w:w="115.0" w:type="dxa"/>
      </w:tblCellMar>
    </w:tblPr>
  </w:style>
  <w:style w:type="table" w:styleId="af2" w:customStyle="1">
    <w:basedOn w:val="TableNormald"/>
    <w:tblPr>
      <w:tblStyleRowBandSize w:val="1"/>
      <w:tblStyleColBandSize w:val="1"/>
      <w:tblCellMar>
        <w:left w:w="115.0" w:type="dxa"/>
        <w:right w:w="115.0" w:type="dxa"/>
      </w:tblCellMar>
    </w:tblPr>
  </w:style>
  <w:style w:type="table" w:styleId="af3" w:customStyle="1">
    <w:basedOn w:val="TableNormald"/>
    <w:tblPr>
      <w:tblStyleRowBandSize w:val="1"/>
      <w:tblStyleColBandSize w:val="1"/>
      <w:tblCellMar>
        <w:left w:w="115.0" w:type="dxa"/>
        <w:right w:w="115.0" w:type="dxa"/>
      </w:tblCellMar>
    </w:tblPr>
  </w:style>
  <w:style w:type="table" w:styleId="af4" w:customStyle="1">
    <w:basedOn w:val="TableNormalc"/>
    <w:tblPr>
      <w:tblStyleRowBandSize w:val="1"/>
      <w:tblStyleColBandSize w:val="1"/>
      <w:tblCellMar>
        <w:left w:w="115.0" w:type="dxa"/>
        <w:right w:w="115.0" w:type="dxa"/>
      </w:tblCellMar>
    </w:tblPr>
  </w:style>
  <w:style w:type="table" w:styleId="af5" w:customStyle="1">
    <w:basedOn w:val="TableNormalc"/>
    <w:tblPr>
      <w:tblStyleRowBandSize w:val="1"/>
      <w:tblStyleColBandSize w:val="1"/>
      <w:tblCellMar>
        <w:left w:w="115.0" w:type="dxa"/>
        <w:right w:w="115.0" w:type="dxa"/>
      </w:tblCellMar>
    </w:tblPr>
  </w:style>
  <w:style w:type="table" w:styleId="af6" w:customStyle="1">
    <w:basedOn w:val="TableNormalb"/>
    <w:tblPr>
      <w:tblStyleRowBandSize w:val="1"/>
      <w:tblStyleColBandSize w:val="1"/>
      <w:tblCellMar>
        <w:left w:w="115.0" w:type="dxa"/>
        <w:right w:w="115.0" w:type="dxa"/>
      </w:tblCellMar>
    </w:tblPr>
  </w:style>
  <w:style w:type="table" w:styleId="af7" w:customStyle="1">
    <w:basedOn w:val="TableNormalb"/>
    <w:tblPr>
      <w:tblStyleRowBandSize w:val="1"/>
      <w:tblStyleColBandSize w:val="1"/>
      <w:tblCellMar>
        <w:left w:w="115.0" w:type="dxa"/>
        <w:right w:w="115.0" w:type="dxa"/>
      </w:tblCellMar>
    </w:tblPr>
  </w:style>
  <w:style w:type="character" w:styleId="Textoennegrita">
    <w:name w:val="Strong"/>
    <w:basedOn w:val="Fuentedeprrafopredeter"/>
    <w:uiPriority w:val="22"/>
    <w:qFormat w:val="1"/>
    <w:rsid w:val="002C02D7"/>
    <w:rPr>
      <w:b w:val="1"/>
      <w:bCs w:val="1"/>
    </w:rPr>
  </w:style>
  <w:style w:type="character" w:styleId="object" w:customStyle="1">
    <w:name w:val="object"/>
    <w:basedOn w:val="Fuentedeprrafopredeter"/>
    <w:rsid w:val="002C02D7"/>
  </w:style>
  <w:style w:type="table" w:styleId="af8" w:customStyle="1">
    <w:basedOn w:val="TableNormala"/>
    <w:tblPr>
      <w:tblStyleRowBandSize w:val="1"/>
      <w:tblStyleColBandSize w:val="1"/>
      <w:tblCellMar>
        <w:left w:w="115.0" w:type="dxa"/>
        <w:right w:w="115.0" w:type="dxa"/>
      </w:tblCellMar>
    </w:tblPr>
  </w:style>
  <w:style w:type="table" w:styleId="af9" w:customStyle="1">
    <w:basedOn w:val="TableNormala"/>
    <w:tblPr>
      <w:tblStyleRowBandSize w:val="1"/>
      <w:tblStyleColBandSize w:val="1"/>
      <w:tblCellMar>
        <w:left w:w="115.0" w:type="dxa"/>
        <w:right w:w="115.0" w:type="dxa"/>
      </w:tblCellMar>
    </w:tblPr>
  </w:style>
  <w:style w:type="table" w:styleId="afa" w:customStyle="1">
    <w:basedOn w:val="TableNormal9"/>
    <w:tblPr>
      <w:tblStyleRowBandSize w:val="1"/>
      <w:tblStyleColBandSize w:val="1"/>
      <w:tblCellMar>
        <w:left w:w="115.0" w:type="dxa"/>
        <w:right w:w="115.0" w:type="dxa"/>
      </w:tblCellMar>
    </w:tblPr>
  </w:style>
  <w:style w:type="table" w:styleId="afb" w:customStyle="1">
    <w:basedOn w:val="TableNormal9"/>
    <w:tblPr>
      <w:tblStyleRowBandSize w:val="1"/>
      <w:tblStyleColBandSize w:val="1"/>
      <w:tblCellMar>
        <w:left w:w="115.0" w:type="dxa"/>
        <w:right w:w="115.0" w:type="dxa"/>
      </w:tblCellMar>
    </w:tblPr>
  </w:style>
  <w:style w:type="table" w:styleId="afc" w:customStyle="1">
    <w:basedOn w:val="TableNormal8"/>
    <w:tblPr>
      <w:tblStyleRowBandSize w:val="1"/>
      <w:tblStyleColBandSize w:val="1"/>
      <w:tblCellMar>
        <w:left w:w="115.0" w:type="dxa"/>
        <w:right w:w="115.0" w:type="dxa"/>
      </w:tblCellMar>
    </w:tblPr>
  </w:style>
  <w:style w:type="table" w:styleId="afd" w:customStyle="1">
    <w:basedOn w:val="TableNormal8"/>
    <w:tblPr>
      <w:tblStyleRowBandSize w:val="1"/>
      <w:tblStyleColBandSize w:val="1"/>
      <w:tblCellMar>
        <w:left w:w="115.0" w:type="dxa"/>
        <w:right w:w="115.0" w:type="dxa"/>
      </w:tblCellMar>
    </w:tblPr>
  </w:style>
  <w:style w:type="table" w:styleId="afe" w:customStyle="1">
    <w:basedOn w:val="TableNormal7"/>
    <w:tblPr>
      <w:tblStyleRowBandSize w:val="1"/>
      <w:tblStyleColBandSize w:val="1"/>
      <w:tblCellMar>
        <w:left w:w="115.0" w:type="dxa"/>
        <w:right w:w="115.0" w:type="dxa"/>
      </w:tblCellMar>
    </w:tblPr>
  </w:style>
  <w:style w:type="table" w:styleId="aff" w:customStyle="1">
    <w:basedOn w:val="TableNormal7"/>
    <w:tblPr>
      <w:tblStyleRowBandSize w:val="1"/>
      <w:tblStyleColBandSize w:val="1"/>
      <w:tblCellMar>
        <w:left w:w="115.0" w:type="dxa"/>
        <w:right w:w="115.0" w:type="dxa"/>
      </w:tblCellMar>
    </w:tblPr>
  </w:style>
  <w:style w:type="table" w:styleId="aff0" w:customStyle="1">
    <w:basedOn w:val="TableNormal6"/>
    <w:tblPr>
      <w:tblStyleRowBandSize w:val="1"/>
      <w:tblStyleColBandSize w:val="1"/>
      <w:tblCellMar>
        <w:left w:w="115.0" w:type="dxa"/>
        <w:right w:w="115.0" w:type="dxa"/>
      </w:tblCellMar>
    </w:tblPr>
  </w:style>
  <w:style w:type="table" w:styleId="aff1" w:customStyle="1">
    <w:basedOn w:val="TableNormal6"/>
    <w:tblPr>
      <w:tblStyleRowBandSize w:val="1"/>
      <w:tblStyleColBandSize w:val="1"/>
      <w:tblCellMar>
        <w:left w:w="115.0" w:type="dxa"/>
        <w:right w:w="115.0" w:type="dxa"/>
      </w:tblCellMar>
    </w:tblPr>
  </w:style>
  <w:style w:type="table" w:styleId="aff2" w:customStyle="1">
    <w:basedOn w:val="TableNormal5"/>
    <w:tblPr>
      <w:tblStyleRowBandSize w:val="1"/>
      <w:tblStyleColBandSize w:val="1"/>
      <w:tblCellMar>
        <w:left w:w="115.0" w:type="dxa"/>
        <w:right w:w="115.0" w:type="dxa"/>
      </w:tblCellMar>
    </w:tblPr>
  </w:style>
  <w:style w:type="table" w:styleId="aff3" w:customStyle="1">
    <w:basedOn w:val="TableNormal5"/>
    <w:tblPr>
      <w:tblStyleRowBandSize w:val="1"/>
      <w:tblStyleColBandSize w:val="1"/>
      <w:tblCellMar>
        <w:left w:w="115.0" w:type="dxa"/>
        <w:right w:w="115.0" w:type="dxa"/>
      </w:tblCellMar>
    </w:tblPr>
  </w:style>
  <w:style w:type="table" w:styleId="aff4" w:customStyle="1">
    <w:basedOn w:val="TableNormal4"/>
    <w:tblPr>
      <w:tblStyleRowBandSize w:val="1"/>
      <w:tblStyleColBandSize w:val="1"/>
      <w:tblCellMar>
        <w:left w:w="115.0" w:type="dxa"/>
        <w:right w:w="115.0" w:type="dxa"/>
      </w:tblCellMar>
    </w:tblPr>
  </w:style>
  <w:style w:type="table" w:styleId="aff5" w:customStyle="1">
    <w:basedOn w:val="TableNormal4"/>
    <w:tblPr>
      <w:tblStyleRowBandSize w:val="1"/>
      <w:tblStyleColBandSize w:val="1"/>
      <w:tblCellMar>
        <w:left w:w="115.0" w:type="dxa"/>
        <w:right w:w="115.0" w:type="dxa"/>
      </w:tblCellMar>
    </w:tblPr>
  </w:style>
  <w:style w:type="table" w:styleId="aff6" w:customStyle="1">
    <w:basedOn w:val="TableNormal3"/>
    <w:tblPr>
      <w:tblStyleRowBandSize w:val="1"/>
      <w:tblStyleColBandSize w:val="1"/>
      <w:tblCellMar>
        <w:left w:w="115.0" w:type="dxa"/>
        <w:right w:w="115.0" w:type="dxa"/>
      </w:tblCellMar>
    </w:tblPr>
  </w:style>
  <w:style w:type="table" w:styleId="aff7" w:customStyle="1">
    <w:basedOn w:val="TableNormal3"/>
    <w:tblPr>
      <w:tblStyleRowBandSize w:val="1"/>
      <w:tblStyleColBandSize w:val="1"/>
      <w:tblCellMar>
        <w:left w:w="115.0" w:type="dxa"/>
        <w:right w:w="115.0" w:type="dxa"/>
      </w:tblCellMar>
    </w:tblPr>
  </w:style>
  <w:style w:type="table" w:styleId="aff8" w:customStyle="1">
    <w:basedOn w:val="TableNormal2"/>
    <w:tblPr>
      <w:tblStyleRowBandSize w:val="1"/>
      <w:tblStyleColBandSize w:val="1"/>
      <w:tblCellMar>
        <w:left w:w="115.0" w:type="dxa"/>
        <w:right w:w="115.0" w:type="dxa"/>
      </w:tblCellMar>
    </w:tblPr>
  </w:style>
  <w:style w:type="table" w:styleId="aff9" w:customStyle="1">
    <w:basedOn w:val="TableNormal2"/>
    <w:tblPr>
      <w:tblStyleRowBandSize w:val="1"/>
      <w:tblStyleColBandSize w:val="1"/>
      <w:tblCellMar>
        <w:left w:w="115.0" w:type="dxa"/>
        <w:right w:w="115.0" w:type="dxa"/>
      </w:tblCellMar>
    </w:tblPr>
  </w:style>
  <w:style w:type="table" w:styleId="affa" w:customStyle="1">
    <w:basedOn w:val="TableNormal1"/>
    <w:tblPr>
      <w:tblStyleRowBandSize w:val="1"/>
      <w:tblStyleColBandSize w:val="1"/>
      <w:tblCellMar>
        <w:left w:w="115.0" w:type="dxa"/>
        <w:right w:w="115.0" w:type="dxa"/>
      </w:tblCellMar>
    </w:tblPr>
  </w:style>
  <w:style w:type="table" w:styleId="affb" w:customStyle="1">
    <w:basedOn w:val="TableNormal1"/>
    <w:tblPr>
      <w:tblStyleRowBandSize w:val="1"/>
      <w:tblStyleColBandSize w:val="1"/>
      <w:tblCellMar>
        <w:left w:w="115.0" w:type="dxa"/>
        <w:right w:w="115.0" w:type="dxa"/>
      </w:tblCellMar>
    </w:tblPr>
  </w:style>
  <w:style w:type="table" w:styleId="affc" w:customStyle="1">
    <w:basedOn w:val="TableNormal0"/>
    <w:tblPr>
      <w:tblStyleRowBandSize w:val="1"/>
      <w:tblStyleColBandSize w:val="1"/>
      <w:tblCellMar>
        <w:left w:w="115.0" w:type="dxa"/>
        <w:right w:w="115.0" w:type="dxa"/>
      </w:tblCellMar>
    </w:tblPr>
  </w:style>
  <w:style w:type="table" w:styleId="affd" w:customStyle="1">
    <w:basedOn w:val="TableNormal0"/>
    <w:tblPr>
      <w:tblStyleRowBandSize w:val="1"/>
      <w:tblStyleColBandSize w:val="1"/>
      <w:tblCellMar>
        <w:left w:w="115.0" w:type="dxa"/>
        <w:right w:w="115.0" w:type="dxa"/>
      </w:tblCellMar>
    </w:tblPr>
  </w:style>
  <w:style w:type="character" w:styleId="UnresolvedMention" w:customStyle="1">
    <w:name w:val="Unresolved Mention"/>
    <w:basedOn w:val="Fuentedeprrafopredeter"/>
    <w:uiPriority w:val="99"/>
    <w:semiHidden w:val="1"/>
    <w:unhideWhenUsed w:val="1"/>
    <w:rsid w:val="000E2003"/>
    <w:rPr>
      <w:color w:val="605e5c"/>
      <w:shd w:color="auto" w:fill="e1dfdd" w:val="clear"/>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3.png"/><Relationship Id="rId13" Type="http://schemas.openxmlformats.org/officeDocument/2006/relationships/hyperlink" Target="about:blank" TargetMode="External"/><Relationship Id="rId12"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saimex.org.mx/saimex/ciudadano/login.page" TargetMode="External"/><Relationship Id="rId15" Type="http://schemas.openxmlformats.org/officeDocument/2006/relationships/header" Target="header2.xml"/><Relationship Id="rId14" Type="http://schemas.openxmlformats.org/officeDocument/2006/relationships/header" Target="header1.xml"/><Relationship Id="rId17" Type="http://schemas.openxmlformats.org/officeDocument/2006/relationships/footer" Target="footer2.xm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about:blank" TargetMode="External"/><Relationship Id="rId8" Type="http://schemas.openxmlformats.org/officeDocument/2006/relationships/hyperlink" Target="https://saimex.org.mx/saimex/ciudadano/login.pa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jJYRY1+F9AAVft52ETju9CVJA==">CgMxLjAyCWguM3JkY3JqbjIOaC5kYWozajJ4bzZxNjYyCGguZ2pkZ3hzMgloLjNkeTZ2a20yCWguMzBqMHpsbDIJaC4yczhleW8xMg5oLnJsYWJsd2g1eG40ZjIIaC50eWpjd3QyCWguMmV0OTJwMDIJaC4xdDNoNXNmMghoLmxueGJ6OTgAciExQ2NlXzgzeFFWaWRMVEVYZ1VqMjBDVm5KTHdQM2VWRDk=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2026-09-28T16:08:00Z</dcterms:created>
  <dc:creator>USUARIO</dc:creator>
</cp:coreProperties>
</file>