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5F1" w:rsidRDefault="00870FAF">
      <w:pPr>
        <w:spacing w:line="360" w:lineRule="auto"/>
        <w:ind w:right="-876"/>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AD59DC">
        <w:rPr>
          <w:rFonts w:ascii="Palatino Linotype" w:eastAsia="Palatino Linotype" w:hAnsi="Palatino Linotype" w:cs="Palatino Linotype"/>
          <w:b/>
          <w:bCs/>
        </w:rPr>
        <w:t xml:space="preserve">de fecha veinte </w:t>
      </w:r>
      <w:r>
        <w:rPr>
          <w:rFonts w:ascii="Palatino Linotype" w:eastAsia="Palatino Linotype" w:hAnsi="Palatino Linotype" w:cs="Palatino Linotype"/>
          <w:b/>
          <w:bCs/>
        </w:rPr>
        <w:t>(20) de mayo de dos mil veintiséis.</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pBdr>
          <w:top w:val="nil"/>
          <w:left w:val="nil"/>
          <w:bottom w:val="nil"/>
          <w:right w:val="nil"/>
          <w:between w:val="nil"/>
        </w:pBdr>
        <w:tabs>
          <w:tab w:val="center" w:pos="4419"/>
          <w:tab w:val="right" w:pos="8838"/>
        </w:tabs>
        <w:spacing w:line="360" w:lineRule="auto"/>
        <w:ind w:right="-876"/>
        <w:jc w:val="both"/>
        <w:rPr>
          <w:rFonts w:ascii="Palatino Linotype" w:eastAsia="Palatino Linotype" w:hAnsi="Palatino Linotype" w:cs="Palatino Linotype"/>
          <w:color w:val="000000"/>
        </w:rPr>
      </w:pPr>
      <w:bookmarkStart w:id="0" w:name="_heading=h.gjdgxs" w:colFirst="0" w:colLast="0"/>
      <w:bookmarkEnd w:id="0"/>
      <w:r>
        <w:rPr>
          <w:rFonts w:ascii="Palatino Linotype" w:eastAsia="Palatino Linotype" w:hAnsi="Palatino Linotype" w:cs="Palatino Linotype"/>
          <w:b/>
          <w:bCs/>
          <w:color w:val="000000"/>
        </w:rPr>
        <w:t xml:space="preserve">VISTOS </w:t>
      </w:r>
      <w:r>
        <w:rPr>
          <w:rFonts w:ascii="Palatino Linotype" w:eastAsia="Palatino Linotype" w:hAnsi="Palatino Linotype" w:cs="Palatino Linotype"/>
          <w:color w:val="000000"/>
        </w:rPr>
        <w:t xml:space="preserve">los expedientes electrónicos formados con motivo de los recursos de revisión </w:t>
      </w:r>
      <w:r>
        <w:rPr>
          <w:rFonts w:ascii="Palatino Linotype" w:eastAsia="Palatino Linotype" w:hAnsi="Palatino Linotype" w:cs="Palatino Linotype"/>
          <w:b/>
          <w:bCs/>
        </w:rPr>
        <w:t>14213/INFOEM/IP/RR/2025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color w:val="000000"/>
        </w:rPr>
        <w:t xml:space="preserve">promovidos por </w:t>
      </w:r>
      <w:r w:rsidR="0080672A">
        <w:rPr>
          <w:rFonts w:ascii="Palatino Linotype" w:eastAsia="Palatino Linotype" w:hAnsi="Palatino Linotype" w:cs="Palatino Linotype"/>
          <w:b/>
          <w:bCs/>
          <w:color w:val="000000"/>
        </w:rPr>
        <w:t>XXXX</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 quien en lo sucesivo se le identificara como </w:t>
      </w:r>
      <w:r>
        <w:rPr>
          <w:rFonts w:ascii="Palatino Linotype" w:eastAsia="Palatino Linotype" w:hAnsi="Palatino Linotype" w:cs="Palatino Linotype"/>
          <w:b/>
          <w:bCs/>
          <w:color w:val="000000"/>
        </w:rPr>
        <w:t>LA RECURRENTE</w:t>
      </w:r>
      <w:r>
        <w:rPr>
          <w:rFonts w:ascii="Palatino Linotype" w:eastAsia="Palatino Linotype" w:hAnsi="Palatino Linotype" w:cs="Palatino Linotype"/>
          <w:color w:val="000000"/>
        </w:rPr>
        <w:t xml:space="preserve">, en contra de la falta de respuesta del </w:t>
      </w:r>
      <w:r>
        <w:rPr>
          <w:rFonts w:ascii="Palatino Linotype" w:eastAsia="Palatino Linotype" w:hAnsi="Palatino Linotype" w:cs="Palatino Linotype"/>
          <w:b/>
          <w:bCs/>
          <w:color w:val="000000"/>
        </w:rPr>
        <w:t>Ayuntamiento de Tepotzotlán</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 xml:space="preserve">adelante </w:t>
      </w: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w:t>
      </w:r>
      <w:bookmarkStart w:id="1" w:name="_GoBack"/>
      <w:bookmarkEnd w:id="1"/>
      <w:r>
        <w:rPr>
          <w:rFonts w:ascii="Palatino Linotype" w:eastAsia="Palatino Linotype" w:hAnsi="Palatino Linotype" w:cs="Palatino Linotype"/>
          <w:color w:val="000000"/>
        </w:rPr>
        <w:t>ede a dictar la presente Resolución, con base en los siguientes:</w:t>
      </w:r>
    </w:p>
    <w:p w:rsidR="00A675F1" w:rsidRDefault="00A675F1">
      <w:pPr>
        <w:pBdr>
          <w:top w:val="nil"/>
          <w:left w:val="nil"/>
          <w:bottom w:val="nil"/>
          <w:right w:val="nil"/>
          <w:between w:val="nil"/>
        </w:pBdr>
        <w:tabs>
          <w:tab w:val="center" w:pos="4419"/>
          <w:tab w:val="right" w:pos="8838"/>
        </w:tabs>
        <w:spacing w:line="360" w:lineRule="auto"/>
        <w:ind w:right="-876"/>
        <w:jc w:val="both"/>
        <w:rPr>
          <w:rFonts w:ascii="Palatino Linotype" w:eastAsia="Palatino Linotype" w:hAnsi="Palatino Linotype" w:cs="Palatino Linotype"/>
          <w:color w:val="000000"/>
        </w:rPr>
      </w:pPr>
    </w:p>
    <w:p w:rsidR="00A675F1" w:rsidRDefault="00870FAF">
      <w:pPr>
        <w:pStyle w:val="Ttulo1"/>
        <w:spacing w:before="0" w:line="360" w:lineRule="auto"/>
        <w:ind w:right="-876"/>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 N T E C E D E N T E S</w:t>
      </w:r>
    </w:p>
    <w:p w:rsidR="00A675F1" w:rsidRDefault="00A675F1">
      <w:pPr>
        <w:spacing w:line="360" w:lineRule="auto"/>
        <w:ind w:right="-876"/>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dieciocho de noviembre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LA RECURRENTE </w:t>
      </w:r>
      <w:r>
        <w:rPr>
          <w:rFonts w:ascii="Palatino Linotype" w:eastAsia="Palatino Linotype" w:hAnsi="Palatino Linotype" w:cs="Palatino Linotype"/>
          <w:color w:val="000000"/>
        </w:rPr>
        <w:t>presentó</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Pr>
          <w:rFonts w:ascii="Palatino Linotype" w:eastAsia="Palatino Linotype" w:hAnsi="Palatino Linotype" w:cs="Palatino Linotype"/>
          <w:b/>
          <w:bCs/>
          <w:color w:val="000000"/>
        </w:rPr>
        <w:t xml:space="preserve">1184/TEPOTZOT/IP/2025, </w:t>
      </w:r>
      <w:r>
        <w:rPr>
          <w:rFonts w:ascii="Palatino Linotype" w:eastAsia="Palatino Linotype" w:hAnsi="Palatino Linotype" w:cs="Palatino Linotype"/>
        </w:rPr>
        <w:t xml:space="preserve">en la que se </w:t>
      </w:r>
      <w:r>
        <w:rPr>
          <w:rFonts w:ascii="Palatino Linotype" w:eastAsia="Palatino Linotype" w:hAnsi="Palatino Linotype" w:cs="Palatino Linotype"/>
          <w:color w:val="000000"/>
        </w:rPr>
        <w:t>solicitó lo siguiente:</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left="720"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“Modificaciones presupuestales realizadas durante 2025, con fecha, motivo y montos.”</w:t>
      </w:r>
    </w:p>
    <w:p w:rsidR="00A675F1" w:rsidRDefault="00A675F1">
      <w:pPr>
        <w:pBdr>
          <w:top w:val="nil"/>
          <w:left w:val="nil"/>
          <w:bottom w:val="nil"/>
          <w:right w:val="nil"/>
          <w:between w:val="nil"/>
        </w:pBdr>
        <w:spacing w:line="360" w:lineRule="auto"/>
        <w:ind w:left="720" w:right="-876"/>
        <w:jc w:val="both"/>
        <w:rPr>
          <w:rFonts w:ascii="Palatino Linotype" w:eastAsia="Palatino Linotype" w:hAnsi="Palatino Linotype" w:cs="Palatino Linotype"/>
        </w:rPr>
      </w:pPr>
    </w:p>
    <w:p w:rsidR="00A675F1" w:rsidRPr="004E319C" w:rsidRDefault="00870FAF">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Señaló como </w:t>
      </w:r>
      <w:r>
        <w:rPr>
          <w:rFonts w:ascii="Palatino Linotype" w:eastAsia="Palatino Linotype" w:hAnsi="Palatino Linotype" w:cs="Palatino Linotype"/>
          <w:color w:val="000000"/>
        </w:rPr>
        <w:t>modalidad</w:t>
      </w:r>
      <w:r>
        <w:rPr>
          <w:rFonts w:ascii="Palatino Linotype" w:eastAsia="Palatino Linotype" w:hAnsi="Palatino Linotype" w:cs="Palatino Linotype"/>
        </w:rPr>
        <w:t xml:space="preserve"> de entrega de la información a través del </w:t>
      </w:r>
      <w:r>
        <w:rPr>
          <w:rFonts w:ascii="Palatino Linotype" w:eastAsia="Palatino Linotype" w:hAnsi="Palatino Linotype" w:cs="Palatino Linotype"/>
          <w:b/>
          <w:bCs/>
        </w:rPr>
        <w:t>SAIMEX</w:t>
      </w:r>
    </w:p>
    <w:p w:rsidR="004E319C" w:rsidRDefault="004E319C" w:rsidP="004E319C">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fue omiso en atender la so</w:t>
      </w:r>
      <w:r>
        <w:rPr>
          <w:rFonts w:ascii="Palatino Linotype" w:eastAsia="Palatino Linotype" w:hAnsi="Palatino Linotype" w:cs="Palatino Linotype"/>
          <w:color w:val="000000"/>
        </w:rPr>
        <w:t>l</w:t>
      </w:r>
      <w:r>
        <w:rPr>
          <w:rFonts w:ascii="Palatino Linotype" w:eastAsia="Palatino Linotype" w:hAnsi="Palatino Linotype" w:cs="Palatino Linotype"/>
        </w:rPr>
        <w:t xml:space="preserve">icitud de información. Ante la falta de respuesta, el </w:t>
      </w:r>
      <w:r>
        <w:rPr>
          <w:rFonts w:ascii="Palatino Linotype" w:eastAsia="Palatino Linotype" w:hAnsi="Palatino Linotype" w:cs="Palatino Linotype"/>
          <w:b/>
          <w:bCs/>
        </w:rPr>
        <w:t>doce de diciembre dos mil veinticinco</w:t>
      </w:r>
      <w:r>
        <w:rPr>
          <w:rFonts w:ascii="Palatino Linotype" w:eastAsia="Palatino Linotype" w:hAnsi="Palatino Linotype" w:cs="Palatino Linotype"/>
        </w:rPr>
        <w:t>, La particular interpuso recurso de revisión  en el cual hacen valer los siguientes motivos de inconformidad:</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A675F1" w:rsidRDefault="00870FAF">
      <w:pPr>
        <w:numPr>
          <w:ilvl w:val="0"/>
          <w:numId w:val="1"/>
        </w:num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b/>
          <w:bCs/>
          <w:color w:val="000000"/>
        </w:rPr>
        <w:tab/>
      </w:r>
    </w:p>
    <w:p w:rsidR="00A675F1" w:rsidRDefault="00870FAF">
      <w:pPr>
        <w:pBdr>
          <w:top w:val="nil"/>
          <w:left w:val="nil"/>
          <w:bottom w:val="nil"/>
          <w:right w:val="nil"/>
          <w:between w:val="nil"/>
        </w:pBdr>
        <w:tabs>
          <w:tab w:val="left" w:pos="426"/>
        </w:tabs>
        <w:spacing w:line="360" w:lineRule="auto"/>
        <w:ind w:left="709"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“Modificaciones presupuestales realizadas durante 2025, con fecha, motivo y montos.”</w:t>
      </w:r>
    </w:p>
    <w:p w:rsidR="00A675F1" w:rsidRDefault="00A675F1">
      <w:pPr>
        <w:pBdr>
          <w:top w:val="nil"/>
          <w:left w:val="nil"/>
          <w:bottom w:val="nil"/>
          <w:right w:val="nil"/>
          <w:between w:val="nil"/>
        </w:pBdr>
        <w:tabs>
          <w:tab w:val="left" w:pos="426"/>
        </w:tabs>
        <w:spacing w:line="360" w:lineRule="auto"/>
        <w:ind w:left="709" w:right="-876"/>
        <w:jc w:val="both"/>
        <w:rPr>
          <w:rFonts w:ascii="Palatino Linotype" w:eastAsia="Palatino Linotype" w:hAnsi="Palatino Linotype" w:cs="Palatino Linotype"/>
          <w:color w:val="000000"/>
        </w:rPr>
      </w:pPr>
    </w:p>
    <w:p w:rsidR="00A675F1" w:rsidRDefault="00870FAF">
      <w:pPr>
        <w:numPr>
          <w:ilvl w:val="0"/>
          <w:numId w:val="7"/>
        </w:num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r>
        <w:rPr>
          <w:rFonts w:ascii="Palatino Linotype" w:eastAsia="Palatino Linotype" w:hAnsi="Palatino Linotype" w:cs="Palatino Linotype"/>
          <w:b/>
          <w:bCs/>
          <w:color w:val="000000"/>
        </w:rPr>
        <w:tab/>
      </w:r>
    </w:p>
    <w:p w:rsidR="00A675F1" w:rsidRDefault="00870FAF">
      <w:pPr>
        <w:pBdr>
          <w:top w:val="nil"/>
          <w:left w:val="nil"/>
          <w:bottom w:val="nil"/>
          <w:right w:val="nil"/>
          <w:between w:val="nil"/>
        </w:pBdr>
        <w:tabs>
          <w:tab w:val="left" w:pos="426"/>
        </w:tabs>
        <w:spacing w:line="360" w:lineRule="auto"/>
        <w:ind w:left="709"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w:t>
      </w:r>
      <w:r>
        <w:rPr>
          <w:rFonts w:ascii="Palatino Linotype" w:eastAsia="Palatino Linotype" w:hAnsi="Palatino Linotype" w:cs="Palatino Linotype"/>
          <w:i/>
          <w:iCs/>
          <w:color w:val="000000"/>
        </w:rPr>
        <w:lastRenderedPageBreak/>
        <w:t>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p>
    <w:p w:rsidR="00A675F1" w:rsidRDefault="00A675F1">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 día </w:t>
      </w:r>
      <w:r>
        <w:rPr>
          <w:rFonts w:ascii="Palatino Linotype" w:eastAsia="Palatino Linotype" w:hAnsi="Palatino Linotype" w:cs="Palatino Linotype"/>
          <w:b/>
          <w:bCs/>
        </w:rPr>
        <w:t>dieciséis de diciembre de dos mil veinticinco</w:t>
      </w:r>
      <w:r>
        <w:rPr>
          <w:rFonts w:ascii="Palatino Linotype" w:eastAsia="Palatino Linotype" w:hAnsi="Palatino Linotype" w:cs="Palatino Linotype"/>
        </w:rPr>
        <w:t xml:space="preserve">, puso a disposición de las partes los expedientes electrónicos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w:t>
      </w:r>
      <w:r>
        <w:rPr>
          <w:rFonts w:ascii="Palatino Linotype" w:eastAsia="Palatino Linotype" w:hAnsi="Palatino Linotype" w:cs="Palatino Linotype"/>
        </w:rPr>
        <w:lastRenderedPageBreak/>
        <w:t xml:space="preserve">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w:t>
      </w:r>
    </w:p>
    <w:p w:rsidR="00A675F1" w:rsidRDefault="00A675F1">
      <w:pPr>
        <w:pBdr>
          <w:top w:val="nil"/>
          <w:left w:val="nil"/>
          <w:bottom w:val="nil"/>
          <w:right w:val="nil"/>
          <w:between w:val="nil"/>
        </w:pBdr>
        <w:tabs>
          <w:tab w:val="left" w:pos="284"/>
          <w:tab w:val="left" w:pos="426"/>
        </w:tabs>
        <w:spacing w:line="360" w:lineRule="auto"/>
        <w:ind w:right="-876"/>
        <w:jc w:val="both"/>
        <w:rPr>
          <w:rFonts w:ascii="Palatino Linotype" w:eastAsia="Palatino Linotype" w:hAnsi="Palatino Linotype" w:cs="Palatino Linotype"/>
          <w:i/>
          <w:iCs/>
          <w:color w:val="000000"/>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 xml:space="preserve">La particular fue omisa en realizar manifestaciones que a su derecho conviniera y </w:t>
      </w:r>
      <w:r>
        <w:rPr>
          <w:rFonts w:ascii="Palatino Linotype" w:eastAsia="Palatino Linotype" w:hAnsi="Palatino Linotype" w:cs="Palatino Linotype"/>
        </w:rPr>
        <w:t>asistiera</w:t>
      </w:r>
      <w:r>
        <w:rPr>
          <w:rFonts w:ascii="Palatino Linotype" w:eastAsia="Palatino Linotype" w:hAnsi="Palatino Linotype" w:cs="Palatino Linotype"/>
          <w:color w:val="000000"/>
        </w:rPr>
        <w:t xml:space="preserve">. Por su parte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diecisiete de enero de dos mil veinticinco</w:t>
      </w:r>
      <w:r>
        <w:rPr>
          <w:rFonts w:ascii="Palatino Linotype" w:eastAsia="Palatino Linotype" w:hAnsi="Palatino Linotype" w:cs="Palatino Linotype"/>
          <w:color w:val="000000"/>
        </w:rPr>
        <w:t xml:space="preserve">, rindió informe justificado al recurso de revisión a través del archivo denominado </w:t>
      </w:r>
      <w:r>
        <w:rPr>
          <w:rFonts w:ascii="Palatino Linotype" w:eastAsia="Palatino Linotype" w:hAnsi="Palatino Linotype" w:cs="Palatino Linotype"/>
          <w:b/>
          <w:bCs/>
          <w:i/>
          <w:iCs/>
          <w:color w:val="000000"/>
        </w:rPr>
        <w:t>DAYF-676-2025.pdf</w:t>
      </w:r>
      <w:r>
        <w:rPr>
          <w:rFonts w:ascii="Palatino Linotype" w:eastAsia="Palatino Linotype" w:hAnsi="Palatino Linotype" w:cs="Palatino Linotype"/>
          <w:color w:val="000000"/>
        </w:rPr>
        <w:t xml:space="preserve">, corresponde a un oficio signado por el Director de Administración y Finanzas, mediante el cual remite un anexo con la relación de modificaciones presupuestales realizadas en el Ejercicio Fiscal 2025. </w:t>
      </w:r>
      <w:r>
        <w:rPr>
          <w:rFonts w:ascii="Palatino Linotype" w:eastAsia="Palatino Linotype" w:hAnsi="Palatino Linotype" w:cs="Palatino Linotype"/>
        </w:rPr>
        <w:t>Adjuntando</w:t>
      </w:r>
      <w:r>
        <w:rPr>
          <w:rFonts w:ascii="Palatino Linotype" w:eastAsia="Palatino Linotype" w:hAnsi="Palatino Linotype" w:cs="Palatino Linotype"/>
          <w:color w:val="000000"/>
        </w:rPr>
        <w:t xml:space="preserve"> para tal efecto, el Acuerdo mediante el cual se aprobó los traspasos internos y externos al presupuesto de egresos del ejercicio fiscal 2025, siendo un total de 93 solicitudes provenientes de 44 unidades administrativas, que afectan a 31 programas presupuestarios.</w:t>
      </w:r>
    </w:p>
    <w:p w:rsidR="00A675F1" w:rsidRDefault="00A675F1">
      <w:pPr>
        <w:spacing w:line="360" w:lineRule="auto"/>
        <w:ind w:right="-876"/>
        <w:rPr>
          <w:rFonts w:ascii="Palatino Linotype" w:eastAsia="Palatino Linotype" w:hAnsi="Palatino Linotype" w:cs="Palatino Linotype"/>
          <w:color w:val="000000"/>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 xml:space="preserve">Seguidamente, mediante acuerdo de fecha </w:t>
      </w:r>
      <w:r>
        <w:rPr>
          <w:rFonts w:ascii="Palatino Linotype" w:eastAsia="Palatino Linotype" w:hAnsi="Palatino Linotype" w:cs="Palatino Linotype"/>
          <w:b/>
          <w:bCs/>
          <w:color w:val="000000"/>
        </w:rPr>
        <w:t>once de mayo</w:t>
      </w:r>
      <w:r>
        <w:rPr>
          <w:rFonts w:ascii="Palatino Linotype" w:eastAsia="Palatino Linotype" w:hAnsi="Palatino Linotype" w:cs="Palatino Linotype"/>
          <w:b/>
          <w:bCs/>
        </w:rPr>
        <w:t xml:space="preserve"> de dos mil veintiséis</w:t>
      </w:r>
      <w:r>
        <w:rPr>
          <w:rFonts w:ascii="Palatino Linotype" w:eastAsia="Palatino Linotype" w:hAnsi="Palatino Linotype" w:cs="Palatino Linotype"/>
          <w:color w:val="000000"/>
        </w:rPr>
        <w:t>, se amplió el término para resolver; asimismo al no existir pendiente o diligencia por desahogar, se decretó el cierre de instrucción, por lo que no habiendo más que hacer constar, y</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A675F1" w:rsidRDefault="00870FAF">
      <w:pPr>
        <w:pStyle w:val="Ttulo1"/>
        <w:spacing w:before="0" w:line="360" w:lineRule="auto"/>
        <w:ind w:right="-876"/>
        <w:jc w:val="center"/>
        <w:rPr>
          <w:rFonts w:ascii="Palatino Linotype" w:eastAsia="Palatino Linotype" w:hAnsi="Palatino Linotype" w:cs="Palatino Linotype"/>
          <w:b/>
          <w:bCs/>
          <w:color w:val="000000"/>
          <w:sz w:val="24"/>
          <w:szCs w:val="24"/>
        </w:rPr>
      </w:pPr>
      <w:bookmarkStart w:id="2" w:name="_heading=h.3znysh7" w:colFirst="0" w:colLast="0"/>
      <w:bookmarkEnd w:id="2"/>
      <w:r>
        <w:rPr>
          <w:rFonts w:ascii="Palatino Linotype" w:eastAsia="Palatino Linotype" w:hAnsi="Palatino Linotype" w:cs="Palatino Linotype"/>
          <w:b/>
          <w:bCs/>
          <w:color w:val="000000"/>
          <w:sz w:val="24"/>
          <w:szCs w:val="24"/>
        </w:rPr>
        <w:t xml:space="preserve">C O N S I D E R A N D O </w:t>
      </w:r>
    </w:p>
    <w:p w:rsidR="00A675F1" w:rsidRDefault="00A675F1">
      <w:pPr>
        <w:spacing w:line="360" w:lineRule="auto"/>
        <w:ind w:right="-876"/>
        <w:rPr>
          <w:rFonts w:ascii="Palatino Linotype" w:eastAsia="Palatino Linotype" w:hAnsi="Palatino Linotype" w:cs="Palatino Linotype"/>
        </w:rPr>
      </w:pPr>
    </w:p>
    <w:p w:rsidR="00A675F1" w:rsidRDefault="00870FAF">
      <w:pPr>
        <w:pStyle w:val="Ttulo2"/>
        <w:spacing w:before="0" w:line="360" w:lineRule="auto"/>
        <w:ind w:right="-876"/>
        <w:rPr>
          <w:rFonts w:ascii="Palatino Linotype" w:eastAsia="Palatino Linotype" w:hAnsi="Palatino Linotype" w:cs="Palatino Linotype"/>
          <w:b/>
          <w:bCs/>
          <w:color w:val="000000"/>
          <w:sz w:val="24"/>
          <w:szCs w:val="24"/>
        </w:rPr>
      </w:pPr>
      <w:bookmarkStart w:id="3" w:name="_heading=h.2et92p0" w:colFirst="0" w:colLast="0"/>
      <w:bookmarkEnd w:id="3"/>
      <w:r>
        <w:rPr>
          <w:rFonts w:ascii="Palatino Linotype" w:eastAsia="Palatino Linotype" w:hAnsi="Palatino Linotype" w:cs="Palatino Linotype"/>
          <w:b/>
          <w:bCs/>
          <w:color w:val="000000"/>
          <w:sz w:val="24"/>
          <w:szCs w:val="24"/>
        </w:rPr>
        <w:t>PRIMERO. De la competencia</w:t>
      </w: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bookmarkStart w:id="4" w:name="_heading=h.tyjcwt" w:colFirst="0" w:colLast="0"/>
      <w:bookmarkEnd w:id="4"/>
      <w:r>
        <w:rPr>
          <w:rFonts w:ascii="Palatino Linotype" w:eastAsia="Palatino Linotype" w:hAnsi="Palatino Linotype" w:cs="Palatino Linotype"/>
        </w:rPr>
        <w:t xml:space="preserve">El Instituto de Transparencia, Acceso a la Información Pública y Protección de Datos Personales del Estado de México y Municipios, es competente para conocer y resolver el </w:t>
      </w:r>
      <w:r>
        <w:rPr>
          <w:rFonts w:ascii="Palatino Linotype" w:eastAsia="Palatino Linotype" w:hAnsi="Palatino Linotype" w:cs="Palatino Linotype"/>
        </w:rPr>
        <w:lastRenderedPageBreak/>
        <w:t>presente recurso de revisión interpuesto por la parte recurrente,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A675F1" w:rsidRDefault="00870FAF">
      <w:pPr>
        <w:pStyle w:val="Ttulo2"/>
        <w:spacing w:before="0" w:line="360" w:lineRule="auto"/>
        <w:ind w:right="-876"/>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SEGUNDO. De la oportunidad y procedencia.</w:t>
      </w: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bookmarkStart w:id="5" w:name="_heading=h.3dy6vkm" w:colFirst="0" w:colLast="0"/>
      <w:bookmarkEnd w:id="5"/>
      <w:r>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entregar la respuesta a una solicitud de información pública, es de 15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A675F1" w:rsidRDefault="00A675F1">
      <w:pPr>
        <w:tabs>
          <w:tab w:val="left" w:pos="426"/>
        </w:tabs>
        <w:spacing w:line="360" w:lineRule="auto"/>
        <w:ind w:right="-876"/>
        <w:jc w:val="both"/>
        <w:rPr>
          <w:rFonts w:ascii="Palatino Linotype" w:eastAsia="Palatino Linotype" w:hAnsi="Palatino Linotype" w:cs="Palatino Linotype"/>
          <w:color w:val="000000"/>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rPr>
        <w:t xml:space="preserve">Por ende, se constituye la figura jurídica de la </w:t>
      </w:r>
      <w:r>
        <w:rPr>
          <w:rFonts w:ascii="Palatino Linotype" w:eastAsia="Palatino Linotype" w:hAnsi="Palatino Linotype" w:cs="Palatino Linotype"/>
          <w:i/>
          <w:iCs/>
        </w:rPr>
        <w:t>negativa ficta</w:t>
      </w:r>
      <w:r>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Pr>
          <w:rFonts w:ascii="Palatino Linotype" w:eastAsia="Palatino Linotype" w:hAnsi="Palatino Linotype" w:cs="Palatino Linotype"/>
          <w:b/>
          <w:bCs/>
        </w:rPr>
        <w:t>178</w:t>
      </w:r>
      <w:r>
        <w:rPr>
          <w:rFonts w:ascii="Palatino Linotype" w:eastAsia="Palatino Linotype" w:hAnsi="Palatino Linotype" w:cs="Palatino Linotype"/>
        </w:rPr>
        <w:t xml:space="preserve"> segundo párrafo de </w:t>
      </w:r>
      <w:r>
        <w:rPr>
          <w:rFonts w:ascii="Palatino Linotype" w:eastAsia="Palatino Linotype" w:hAnsi="Palatino Linotype" w:cs="Palatino Linotype"/>
          <w:b/>
          <w:bCs/>
        </w:rPr>
        <w:t xml:space="preserve">Ley de Transparencia y Acceso a la Información Pública del Estado de </w:t>
      </w:r>
      <w:r>
        <w:rPr>
          <w:rFonts w:ascii="Palatino Linotype" w:eastAsia="Palatino Linotype" w:hAnsi="Palatino Linotype" w:cs="Palatino Linotype"/>
          <w:b/>
          <w:bCs/>
        </w:rPr>
        <w:lastRenderedPageBreak/>
        <w:t>México y Municipios</w:t>
      </w:r>
      <w:r>
        <w:rPr>
          <w:rFonts w:ascii="Palatino Linotype" w:eastAsia="Palatino Linotype" w:hAnsi="Palatino Linotype" w:cs="Palatino Linotype"/>
          <w:color w:val="000000"/>
          <w:highlight w:val="white"/>
        </w:rPr>
        <w:t xml:space="preserve">, que dispone; ante la falta de respuesta del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Pr>
          <w:rFonts w:ascii="Palatino Linotype" w:eastAsia="Palatino Linotype" w:hAnsi="Palatino Linotype" w:cs="Palatino Linotype"/>
          <w:b/>
          <w:bCs/>
          <w:color w:val="000000"/>
          <w:highlight w:val="white"/>
        </w:rPr>
        <w:t xml:space="preserve">podrá ser interpuesto en cualquier momento. </w:t>
      </w:r>
    </w:p>
    <w:p w:rsidR="00A675F1" w:rsidRDefault="00A675F1">
      <w:pPr>
        <w:tabs>
          <w:tab w:val="left" w:pos="426"/>
        </w:tabs>
        <w:spacing w:line="360" w:lineRule="auto"/>
        <w:ind w:right="-876"/>
        <w:rPr>
          <w:rFonts w:ascii="Palatino Linotype" w:eastAsia="Palatino Linotype" w:hAnsi="Palatino Linotype" w:cs="Palatino Linotype"/>
          <w:color w:val="000000"/>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rPr>
        <w:t xml:space="preserve">Por lo que, tratándose de la </w:t>
      </w:r>
      <w:r>
        <w:rPr>
          <w:rFonts w:ascii="Palatino Linotype" w:eastAsia="Palatino Linotype" w:hAnsi="Palatino Linotype" w:cs="Palatino Linotype"/>
          <w:i/>
          <w:iCs/>
        </w:rPr>
        <w:t>negativa ficta</w:t>
      </w:r>
      <w:r>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veinticinco de abril de dos mil quince, relativo a la interposición del recurso de revisión en cualquier tiempo cuando exista </w:t>
      </w:r>
      <w:r>
        <w:rPr>
          <w:rFonts w:ascii="Palatino Linotype" w:eastAsia="Palatino Linotype" w:hAnsi="Palatino Linotype" w:cs="Palatino Linotype"/>
          <w:i/>
          <w:iCs/>
        </w:rPr>
        <w:t>negativa ficta</w:t>
      </w:r>
      <w:r>
        <w:rPr>
          <w:rFonts w:ascii="Palatino Linotype" w:eastAsia="Palatino Linotype" w:hAnsi="Palatino Linotype" w:cs="Palatino Linotype"/>
        </w:rPr>
        <w:t>, que señala:</w:t>
      </w:r>
    </w:p>
    <w:p w:rsidR="00A675F1" w:rsidRDefault="00870FAF">
      <w:pPr>
        <w:tabs>
          <w:tab w:val="left" w:pos="284"/>
          <w:tab w:val="left" w:pos="7655"/>
        </w:tabs>
        <w:spacing w:line="360" w:lineRule="auto"/>
        <w:ind w:left="567" w:right="-876"/>
        <w:jc w:val="center"/>
        <w:rPr>
          <w:rFonts w:ascii="Palatino Linotype" w:eastAsia="Palatino Linotype" w:hAnsi="Palatino Linotype" w:cs="Palatino Linotype"/>
          <w:b/>
          <w:bCs/>
        </w:rPr>
      </w:pPr>
      <w:r>
        <w:rPr>
          <w:rFonts w:ascii="Palatino Linotype" w:eastAsia="Palatino Linotype" w:hAnsi="Palatino Linotype" w:cs="Palatino Linotype"/>
          <w:b/>
          <w:bCs/>
        </w:rPr>
        <w:t>Criterio 0001-15</w:t>
      </w:r>
    </w:p>
    <w:p w:rsidR="00A675F1" w:rsidRDefault="00870FAF">
      <w:pPr>
        <w:tabs>
          <w:tab w:val="left" w:pos="284"/>
          <w:tab w:val="left" w:pos="7655"/>
        </w:tabs>
        <w:spacing w:line="360" w:lineRule="auto"/>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NEGATIVA FICTA. PLAZO PARA INTERPONER EL RECURSO DE REVISIÓN TRATÁNDOSE DE.</w:t>
      </w:r>
      <w:r>
        <w:rPr>
          <w:rFonts w:ascii="Palatino Linotype" w:eastAsia="Palatino Linotype" w:hAnsi="Palatino Linotype" w:cs="Palatino Linotype"/>
          <w:i/>
          <w:iC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w:t>
      </w:r>
      <w:r>
        <w:rPr>
          <w:rFonts w:ascii="Palatino Linotype" w:eastAsia="Palatino Linotype" w:hAnsi="Palatino Linotype" w:cs="Palatino Linotype"/>
          <w:i/>
          <w:iCs/>
        </w:rPr>
        <w:lastRenderedPageBreak/>
        <w:t>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A675F1" w:rsidRDefault="00A675F1">
      <w:pPr>
        <w:tabs>
          <w:tab w:val="left" w:pos="284"/>
          <w:tab w:val="left" w:pos="7655"/>
        </w:tabs>
        <w:spacing w:line="360" w:lineRule="auto"/>
        <w:ind w:left="567" w:right="-876"/>
        <w:jc w:val="both"/>
        <w:rPr>
          <w:rFonts w:ascii="Palatino Linotype" w:eastAsia="Palatino Linotype" w:hAnsi="Palatino Linotype" w:cs="Palatino Linotype"/>
          <w:i/>
          <w:iCs/>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 xml:space="preserve">Lo anterior, se explica porque la </w:t>
      </w:r>
      <w:r>
        <w:rPr>
          <w:rFonts w:ascii="Palatino Linotype" w:eastAsia="Palatino Linotype" w:hAnsi="Palatino Linotype" w:cs="Palatino Linotype"/>
          <w:b/>
          <w:bCs/>
          <w:color w:val="000000"/>
          <w:u w:val="single"/>
        </w:rPr>
        <w:t>posible ausencia</w:t>
      </w:r>
      <w:r>
        <w:rPr>
          <w:rFonts w:ascii="Palatino Linotype" w:eastAsia="Palatino Linotype" w:hAnsi="Palatino Linotype" w:cs="Palatino Linotype"/>
          <w:color w:val="000000"/>
        </w:rPr>
        <w:t xml:space="preserve"> de una respuesta en la solicitud </w:t>
      </w:r>
      <w:r>
        <w:rPr>
          <w:rFonts w:ascii="Palatino Linotype" w:eastAsia="Palatino Linotype" w:hAnsi="Palatino Linotype" w:cs="Palatino Linotype"/>
        </w:rPr>
        <w:t>constituye</w:t>
      </w:r>
      <w:r>
        <w:rPr>
          <w:rFonts w:ascii="Palatino Linotype" w:eastAsia="Palatino Linotype" w:hAnsi="Palatino Linotype" w:cs="Palatino Linotype"/>
          <w:color w:val="000000"/>
        </w:rPr>
        <w:t xml:space="preserve"> un acto que vulnera el derecho de manera continua y actualizable cada día, en tanto no se emita la respuesta a la que esté impuesto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A675F1" w:rsidRDefault="00A675F1">
      <w:pPr>
        <w:tabs>
          <w:tab w:val="left" w:pos="426"/>
        </w:tabs>
        <w:spacing w:line="360" w:lineRule="auto"/>
        <w:ind w:right="-876"/>
        <w:jc w:val="both"/>
        <w:rPr>
          <w:rFonts w:ascii="Palatino Linotype" w:eastAsia="Palatino Linotype" w:hAnsi="Palatino Linotype" w:cs="Palatino Linotype"/>
          <w:color w:val="000000"/>
        </w:rPr>
      </w:pPr>
    </w:p>
    <w:p w:rsidR="00A675F1" w:rsidRDefault="00870FAF">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675F1" w:rsidRDefault="00870FAF">
      <w:pPr>
        <w:pStyle w:val="Ttulo1"/>
        <w:spacing w:before="0" w:line="360" w:lineRule="auto"/>
        <w:ind w:right="-876"/>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TERCERO. Planteamiento de la</w:t>
      </w:r>
      <w:r>
        <w:rPr>
          <w:rFonts w:ascii="Palatino Linotype" w:eastAsia="Palatino Linotype" w:hAnsi="Palatino Linotype" w:cs="Palatino Linotype"/>
          <w:b/>
          <w:bCs/>
          <w:i/>
          <w:iCs/>
          <w:color w:val="000000"/>
          <w:sz w:val="24"/>
          <w:szCs w:val="24"/>
        </w:rPr>
        <w:t xml:space="preserve"> Litis</w:t>
      </w:r>
      <w:r>
        <w:rPr>
          <w:rFonts w:ascii="Palatino Linotype" w:eastAsia="Palatino Linotype" w:hAnsi="Palatino Linotype" w:cs="Palatino Linotype"/>
          <w:b/>
          <w:bCs/>
          <w:color w:val="000000"/>
          <w:sz w:val="24"/>
          <w:szCs w:val="24"/>
        </w:rPr>
        <w:t xml:space="preserve"> </w:t>
      </w:r>
    </w:p>
    <w:p w:rsidR="00A675F1" w:rsidRDefault="00A675F1">
      <w:pPr>
        <w:spacing w:line="360" w:lineRule="auto"/>
        <w:ind w:right="-876"/>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 xml:space="preserve">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 la siguiente información que se desagrega:</w:t>
      </w:r>
    </w:p>
    <w:p w:rsidR="00A675F1" w:rsidRDefault="00870FAF">
      <w:pPr>
        <w:numPr>
          <w:ilvl w:val="0"/>
          <w:numId w:val="4"/>
        </w:numPr>
        <w:pBdr>
          <w:top w:val="nil"/>
          <w:left w:val="nil"/>
          <w:bottom w:val="nil"/>
          <w:right w:val="nil"/>
          <w:between w:val="nil"/>
        </w:pBdr>
        <w:spacing w:line="360" w:lineRule="auto"/>
        <w:ind w:left="1134"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Modificaciones presupuestales realizadas durante el Ejercicio Fiscal 2025, que contenga: fecha, motivo y montos.</w:t>
      </w:r>
    </w:p>
    <w:p w:rsidR="00A675F1" w:rsidRDefault="00A675F1">
      <w:pPr>
        <w:spacing w:line="360" w:lineRule="auto"/>
        <w:ind w:left="709" w:right="-876"/>
        <w:rPr>
          <w:rFonts w:ascii="Palatino Linotype" w:eastAsia="Palatino Linotype" w:hAnsi="Palatino Linotype" w:cs="Palatino Linotype"/>
          <w:b/>
          <w:bCs/>
          <w:color w:val="222222"/>
          <w:highlight w:val="white"/>
        </w:rPr>
      </w:pPr>
    </w:p>
    <w:p w:rsidR="00A675F1" w:rsidRDefault="00870FAF">
      <w:pPr>
        <w:numPr>
          <w:ilvl w:val="0"/>
          <w:numId w:val="5"/>
        </w:numPr>
        <w:pBdr>
          <w:top w:val="nil"/>
          <w:left w:val="nil"/>
          <w:bottom w:val="nil"/>
          <w:right w:val="nil"/>
          <w:between w:val="nil"/>
        </w:pBdr>
        <w:tabs>
          <w:tab w:val="left" w:pos="284"/>
        </w:tabs>
        <w:spacing w:line="360" w:lineRule="auto"/>
        <w:ind w:left="0" w:right="-876" w:firstLine="0"/>
        <w:jc w:val="both"/>
        <w:rPr>
          <w:color w:val="000000"/>
        </w:rPr>
      </w:pPr>
      <w:r>
        <w:rPr>
          <w:rFonts w:ascii="Palatino Linotype" w:eastAsia="Palatino Linotype" w:hAnsi="Palatino Linotype" w:cs="Palatino Linotype"/>
          <w:color w:val="000000"/>
        </w:rPr>
        <w:t xml:space="preserve">Al respecto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fue omiso en emitir una respuesta. Atento a lo anterior, la particular interpuso el recurso de revisión, mediante al cual se adolece por la falta </w:t>
      </w:r>
      <w:r>
        <w:rPr>
          <w:rFonts w:ascii="Palatino Linotype" w:eastAsia="Palatino Linotype" w:hAnsi="Palatino Linotype" w:cs="Palatino Linotype"/>
          <w:color w:val="000000"/>
        </w:rPr>
        <w:lastRenderedPageBreak/>
        <w:t>de respuesta. Por lo tanto, el presente recurso de revisión se circunscribe en determinar si se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contenida en el artículo 179 fracción VII,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relativa a la </w:t>
      </w:r>
      <w:r>
        <w:rPr>
          <w:rFonts w:ascii="Palatino Linotype" w:eastAsia="Palatino Linotype" w:hAnsi="Palatino Linotype" w:cs="Palatino Linotype"/>
        </w:rPr>
        <w:t>falta de respuesta a una solicitud de acceso a la información</w:t>
      </w:r>
      <w:r>
        <w:rPr>
          <w:rFonts w:ascii="Palatino Linotype" w:eastAsia="Palatino Linotype" w:hAnsi="Palatino Linotype" w:cs="Palatino Linotype"/>
          <w:color w:val="000000"/>
        </w:rPr>
        <w:t>.</w:t>
      </w:r>
    </w:p>
    <w:p w:rsidR="00A675F1" w:rsidRDefault="00A675F1">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A675F1" w:rsidRDefault="00870FAF">
      <w:pPr>
        <w:pStyle w:val="Ttulo1"/>
        <w:spacing w:before="0" w:line="360" w:lineRule="auto"/>
        <w:ind w:right="-876"/>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Estudio y resolución</w:t>
      </w:r>
    </w:p>
    <w:p w:rsidR="00A675F1" w:rsidRDefault="00870FAF">
      <w:pPr>
        <w:numPr>
          <w:ilvl w:val="0"/>
          <w:numId w:val="5"/>
        </w:numPr>
        <w:spacing w:line="360" w:lineRule="auto"/>
        <w:ind w:left="0" w:right="-876" w:firstLine="0"/>
        <w:jc w:val="both"/>
        <w:rPr>
          <w:color w:val="000000"/>
        </w:rPr>
      </w:pPr>
      <w:bookmarkStart w:id="6" w:name="_heading=h.1t3h5sf" w:colFirst="0" w:colLast="0"/>
      <w:bookmarkEnd w:id="6"/>
      <w:r>
        <w:rPr>
          <w:rFonts w:ascii="Palatino Linotype" w:eastAsia="Palatino Linotype" w:hAnsi="Palatino Linotype" w:cs="Palatino Linotype"/>
        </w:rPr>
        <w:t xml:space="preserve">Primeramente, es necesario señalar que el derecho de acceso a la información pública es un </w:t>
      </w:r>
      <w:r>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fue omiso en dar respuesta a las solicitudes de información dentro de los plazos establecidos en la Ley de Transparencia Local.</w:t>
      </w: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lastRenderedPageBreak/>
        <w:t xml:space="preserve">Asimismo, los motivos o razones de inconformidad expuestos por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se adolece de la falta de respuesta a la solicitud de acceso a la información formulada, por lo que se actualiza la causal de procedencia establecida </w:t>
      </w:r>
      <w:r>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y</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por tanto, procedente la interposición del recurso de revisión.</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En consecuencia, las razones o motivos de inconformidad hechos valer, resultan </w:t>
      </w:r>
      <w:r>
        <w:rPr>
          <w:rFonts w:ascii="Palatino Linotype" w:eastAsia="Palatino Linotype" w:hAnsi="Palatino Linotype" w:cs="Palatino Linotype"/>
          <w:b/>
          <w:bCs/>
        </w:rPr>
        <w:t>fundadas y procedentes</w:t>
      </w:r>
      <w:r>
        <w:rPr>
          <w:rFonts w:ascii="Palatino Linotype" w:eastAsia="Palatino Linotype" w:hAnsi="Palatino Linotype" w:cs="Palatino Linotype"/>
        </w:rPr>
        <w:t xml:space="preserve">, en virtud de las constancias que obran en el expediente electrónico SAIMEX, se acredita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fue omiso en responder la solicitud de información hecha por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es decir, incumplió las obligaciones que se le imponen como </w:t>
      </w:r>
      <w:r>
        <w:rPr>
          <w:rFonts w:ascii="Palatino Linotype" w:eastAsia="Palatino Linotype" w:hAnsi="Palatino Linotype" w:cs="Palatino Linotype"/>
          <w:b/>
          <w:bCs/>
        </w:rPr>
        <w:t>SUJETO OBLIGADO</w:t>
      </w:r>
      <w:r>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lastRenderedPageBreak/>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A675F1" w:rsidRDefault="00A675F1">
      <w:pPr>
        <w:widowControl w:val="0"/>
        <w:tabs>
          <w:tab w:val="left" w:pos="1276"/>
        </w:tabs>
        <w:spacing w:line="360" w:lineRule="auto"/>
        <w:ind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 la particular. Por lo tanto, la falta de respuesta a una solicitud de acceso a la información constituye un incumplimiento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su deber de garantizar el derecho, lo que constituye una vulneración al mismo.</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No obstante lo anterior, en un hecho posterior a la interposición del recurso de revisión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revocó su falta de respuesta, al emitir un pronunciamiento en calidad de informe justificado a través de un oficio signado por el Director de Administración y Finanzas, mediante el cual remite un anexo con la relación de modificaciones presupuestales </w:t>
      </w:r>
      <w:r>
        <w:rPr>
          <w:rFonts w:ascii="Palatino Linotype" w:eastAsia="Palatino Linotype" w:hAnsi="Palatino Linotype" w:cs="Palatino Linotype"/>
        </w:rPr>
        <w:lastRenderedPageBreak/>
        <w:t>realizadas en el Ejercicio Fiscal 2025. Adjuntando para tal efecto, el Acuerdo mediante el cual se aprobó los traspasos internos y externos al presupuesto de egresos del ejercicio fiscal 2025, siendo un total de 93 solicitudes provenientes de 44 unidades administrativas, que afectan a 31 programas presupuestarios.</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En esa tesitura, al haberse asumido expresamente que si se genera, posee y administra lo solicitado, resulta innecesario un estudio pormenorizado de las atribuciones del Ayuntamiento al respecto, para determinar que se entregue la información; no obstante es necesario señalar las siguientes consideraciones derivado, que lo entregado se advierte incompleto.</w:t>
      </w:r>
    </w:p>
    <w:p w:rsidR="00A675F1" w:rsidRDefault="00A675F1">
      <w:pPr>
        <w:pBdr>
          <w:top w:val="nil"/>
          <w:left w:val="nil"/>
          <w:bottom w:val="nil"/>
          <w:right w:val="nil"/>
          <w:between w:val="nil"/>
        </w:pBdr>
        <w:ind w:left="720" w:right="-876"/>
        <w:rPr>
          <w:rFonts w:ascii="Palatino Linotype" w:eastAsia="Palatino Linotype" w:hAnsi="Palatino Linotype" w:cs="Palatino Linotype"/>
          <w:color w:val="000000"/>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Como bien ya se señaló, lo entregado es coincidente con lo solicitado y, si bien se hace mención corresponde a lo generado, poseído y administrado en el Ejercicio Fiscal 2025; también lo que se advierte que no colma la temporalidad. Al respecto es de recordar que la solicitud de información ingreso el día dieciocho de noviembre de dos mil veinticinco; luego entonces los extremos temporales deben comprender del día 1 de enero al dieciocho de noviembre de dos mil veinticinco, no pudiendo corresponder a todo el Ejercicio, pues se estaría dando observancia  a hechos futuros, lo que resulta improcedente para el ejercicio del derecho a la información, que versa sobre documentos que hayan sido generados, poseídos o administrados previo a la interposición de una solicitud de información.</w:t>
      </w:r>
    </w:p>
    <w:p w:rsidR="00A675F1" w:rsidRDefault="00A675F1">
      <w:pPr>
        <w:pBdr>
          <w:top w:val="nil"/>
          <w:left w:val="nil"/>
          <w:bottom w:val="nil"/>
          <w:right w:val="nil"/>
          <w:between w:val="nil"/>
        </w:pBdr>
        <w:ind w:left="720" w:right="-876"/>
        <w:rPr>
          <w:rFonts w:ascii="Palatino Linotype" w:eastAsia="Palatino Linotype" w:hAnsi="Palatino Linotype" w:cs="Palatino Linotype"/>
          <w:color w:val="000000"/>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Expuesto lo anterior, el documento remitido no colma dicho lapso temporal; toda vez que de su lectura, corresponde al Acuerdo por el cual se aprobaron traspasos internos y </w:t>
      </w:r>
      <w:r>
        <w:rPr>
          <w:rFonts w:ascii="Palatino Linotype" w:eastAsia="Palatino Linotype" w:hAnsi="Palatino Linotype" w:cs="Palatino Linotype"/>
        </w:rPr>
        <w:lastRenderedPageBreak/>
        <w:t>externos al presupuesto, al mes de agosto de dos mil veinticinco, en razón que se continúa con operación de más traspasos.</w:t>
      </w:r>
    </w:p>
    <w:p w:rsidR="00A675F1" w:rsidRDefault="00A675F1">
      <w:pPr>
        <w:pBdr>
          <w:top w:val="nil"/>
          <w:left w:val="nil"/>
          <w:bottom w:val="nil"/>
          <w:right w:val="nil"/>
          <w:between w:val="nil"/>
        </w:pBdr>
        <w:ind w:left="720" w:right="-876"/>
        <w:rPr>
          <w:rFonts w:ascii="Palatino Linotype" w:eastAsia="Palatino Linotype" w:hAnsi="Palatino Linotype" w:cs="Palatino Linotype"/>
          <w:color w:val="000000"/>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Un segundo aspecto que no contempla lo entregado, corresponde a las fechas, mismas que ciertamente debe conocer el </w:t>
      </w:r>
      <w:r>
        <w:rPr>
          <w:rFonts w:ascii="Palatino Linotype" w:eastAsia="Palatino Linotype" w:hAnsi="Palatino Linotype" w:cs="Palatino Linotype"/>
          <w:b/>
          <w:bCs/>
        </w:rPr>
        <w:t>SUJETO OBLIGADO</w:t>
      </w:r>
      <w:r>
        <w:rPr>
          <w:rFonts w:ascii="Palatino Linotype" w:eastAsia="Palatino Linotype" w:hAnsi="Palatino Linotype" w:cs="Palatino Linotype"/>
        </w:rPr>
        <w:t>, pues dichas modificaciones, deben realizarse conforme a la ley y mediante autorización del cabildo, tesorería o área competente; posteriormente la fecha permite verificar que el cambio se hizo dentro del periodo legal y con el procedimiento correcto por el Órgano Superior de Fiscalización del Estado de México (OSFEM).</w:t>
      </w:r>
    </w:p>
    <w:p w:rsidR="00A675F1" w:rsidRDefault="00A675F1">
      <w:pPr>
        <w:pBdr>
          <w:top w:val="nil"/>
          <w:left w:val="nil"/>
          <w:bottom w:val="nil"/>
          <w:right w:val="nil"/>
          <w:between w:val="nil"/>
        </w:pBdr>
        <w:ind w:left="720" w:right="-876"/>
        <w:rPr>
          <w:rFonts w:ascii="Palatino Linotype" w:eastAsia="Palatino Linotype" w:hAnsi="Palatino Linotype" w:cs="Palatino Linotype"/>
          <w:color w:val="000000"/>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Así como para el cumplimiento de las metas del Plan de Desarrollo Municipal y de los programas presupuestarios que dependen de los recursos autorizados, pues la fecha de modificación indica desde cuándo cambian las condiciones financieras para cumplir esas metas.</w:t>
      </w:r>
    </w:p>
    <w:p w:rsidR="00A675F1" w:rsidRDefault="00A675F1">
      <w:pPr>
        <w:pBdr>
          <w:top w:val="nil"/>
          <w:left w:val="nil"/>
          <w:bottom w:val="nil"/>
          <w:right w:val="nil"/>
          <w:between w:val="nil"/>
        </w:pBdr>
        <w:ind w:left="720" w:right="-876"/>
        <w:rPr>
          <w:rFonts w:ascii="Palatino Linotype" w:eastAsia="Palatino Linotype" w:hAnsi="Palatino Linotype" w:cs="Palatino Linotype"/>
          <w:color w:val="000000"/>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Finalmente, un tercer rubro que se deja de cumplir es el tocante a los motivos. Al respecto, como se desprende de la documental entregada, al mes de mayo se recibieron 93 solicitudes provenientes de 44 unidades administrativas que afectan 31 programas presupuestarios; luego entonces, esa 44 unidades administrativas al realizar la solicitud de modificación presupuestal, necesariamente deben realizar una exposición de motivos en razón de que toda variación al presupuesto debe estar debidamente fundada y motivada, a efecto de poder acreditar que el cambio responde a necesidades reales del servicio público y no a decisiones arbitrarias.</w:t>
      </w: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lastRenderedPageBreak/>
        <w:t>Información que deberá obrar en el denominado Dictamen de reconducción y actualización programática- presupuestal, que corresponde al instrumento normativo que apoya los procesos de adecuación del presupuesto y de las acciones de los Programas presupuestarios, de acuerdo a lo que establecido en los artículos 317 Bis, 318 y 319 del Código Financiero del Estado de México y Municipios; mismo que deberá presentarse cuando exista modificación de metas, cancelación de proyectos o reasignación a otros proyectos prioritarios, ampliación o cancelación de recursos,</w:t>
      </w:r>
      <w:r>
        <w:rPr>
          <w:rFonts w:ascii="Palatino Linotype" w:eastAsia="Palatino Linotype" w:hAnsi="Palatino Linotype" w:cs="Palatino Linotype"/>
          <w:b/>
          <w:bCs/>
        </w:rPr>
        <w:t xml:space="preserve"> </w:t>
      </w:r>
      <w:r>
        <w:rPr>
          <w:rFonts w:ascii="Palatino Linotype" w:eastAsia="Palatino Linotype" w:hAnsi="Palatino Linotype" w:cs="Palatino Linotype"/>
        </w:rPr>
        <w:t>como a continuación se muestra:</w:t>
      </w:r>
    </w:p>
    <w:p w:rsidR="00A675F1" w:rsidRDefault="00870FAF">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Dictamen de reconducción y actualización programática – presupuestal.</w:t>
      </w:r>
      <w:r>
        <w:rPr>
          <w:rFonts w:ascii="Palatino Linotype" w:eastAsia="Palatino Linotype" w:hAnsi="Palatino Linotype" w:cs="Palatino Linotype"/>
          <w:i/>
          <w:iCs/>
        </w:rPr>
        <w:t xml:space="preserve"> </w:t>
      </w:r>
    </w:p>
    <w:p w:rsidR="00A675F1" w:rsidRDefault="00A675F1">
      <w:pPr>
        <w:ind w:left="567" w:right="-876"/>
        <w:jc w:val="both"/>
        <w:rPr>
          <w:rFonts w:ascii="Palatino Linotype" w:eastAsia="Palatino Linotype" w:hAnsi="Palatino Linotype" w:cs="Palatino Linotype"/>
          <w:i/>
          <w:iCs/>
        </w:rPr>
      </w:pPr>
    </w:p>
    <w:p w:rsidR="00A675F1" w:rsidRDefault="00870FAF">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dictamen de reconducción y actualización programático-presupuestal, es el instrumento normativo que apoya los procesos de adecuación del presupuesto y de las acciones de los Programas presupuestarios, de acuerdo a lo que establecido en los artículos 317 Bis, 318 y 319 del Código Financiero del Estado de México y Municipios; que deberá presentarse cuando exista modificación de metas, cancelación de proyectos o reasignación a otros proyectos prioritarios, ampliación o cancelación de recursos; por lo que en el ámbito presupuestal éste solo aplica para traspasos externos, cancelaciones o ampliaciones de recursos a nivel de proyecto de la Clasificación Funcional Programática Municipal vigente. </w:t>
      </w:r>
    </w:p>
    <w:p w:rsidR="00A675F1" w:rsidRDefault="00A675F1">
      <w:pPr>
        <w:ind w:left="567" w:right="-876"/>
        <w:jc w:val="both"/>
        <w:rPr>
          <w:rFonts w:ascii="Palatino Linotype" w:eastAsia="Palatino Linotype" w:hAnsi="Palatino Linotype" w:cs="Palatino Linotype"/>
          <w:i/>
          <w:iCs/>
        </w:rPr>
      </w:pPr>
    </w:p>
    <w:p w:rsidR="00A675F1" w:rsidRDefault="00870FAF">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Es importante referir que las adecuaciones que impliquen una disminución de recursos serán viables siempre y cuando las metas hayan sido cumplidas y se registren ahorros presupuestarios. </w:t>
      </w:r>
    </w:p>
    <w:p w:rsidR="00A675F1" w:rsidRDefault="00A675F1">
      <w:pPr>
        <w:ind w:left="567" w:right="-876"/>
        <w:jc w:val="both"/>
        <w:rPr>
          <w:rFonts w:ascii="Palatino Linotype" w:eastAsia="Palatino Linotype" w:hAnsi="Palatino Linotype" w:cs="Palatino Linotype"/>
          <w:i/>
          <w:iCs/>
        </w:rPr>
      </w:pPr>
    </w:p>
    <w:p w:rsidR="00A675F1" w:rsidRDefault="00870FAF">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u w:val="single"/>
        </w:rPr>
        <w:t>A la Tesorería</w:t>
      </w:r>
      <w:r>
        <w:rPr>
          <w:rFonts w:ascii="Palatino Linotype" w:eastAsia="Palatino Linotype" w:hAnsi="Palatino Linotype" w:cs="Palatino Linotype"/>
          <w:i/>
          <w:iCs/>
        </w:rPr>
        <w:t xml:space="preserve">, le corresponderá dar el visto bueno y en el caso de la </w:t>
      </w:r>
      <w:r>
        <w:rPr>
          <w:rFonts w:ascii="Palatino Linotype" w:eastAsia="Palatino Linotype" w:hAnsi="Palatino Linotype" w:cs="Palatino Linotype"/>
          <w:b/>
          <w:bCs/>
          <w:i/>
          <w:iCs/>
          <w:u w:val="single"/>
        </w:rPr>
        <w:t>UIPPE</w:t>
      </w:r>
      <w:r>
        <w:rPr>
          <w:rFonts w:ascii="Palatino Linotype" w:eastAsia="Palatino Linotype" w:hAnsi="Palatino Linotype" w:cs="Palatino Linotype"/>
          <w:i/>
          <w:iCs/>
        </w:rPr>
        <w:t xml:space="preserve"> municipal o equivalente, después de analizar el impacto programático que tiene el movimiento presupuestal, autorizará la procedencia del dictamen de reconducción y actualización programática –presupuestal. </w:t>
      </w:r>
    </w:p>
    <w:p w:rsidR="00A675F1" w:rsidRDefault="00A675F1">
      <w:pPr>
        <w:ind w:left="567" w:right="-876"/>
        <w:jc w:val="both"/>
        <w:rPr>
          <w:rFonts w:ascii="Palatino Linotype" w:eastAsia="Palatino Linotype" w:hAnsi="Palatino Linotype" w:cs="Palatino Linotype"/>
          <w:i/>
          <w:iCs/>
        </w:rPr>
      </w:pPr>
    </w:p>
    <w:p w:rsidR="00A675F1" w:rsidRDefault="00870FAF">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Por otra parte y de acuerdo al artículo 24 de la Ley de Planeación del Estado de México y Municipios, se establece que se elaborará un dictamen de reconducción y actualización cuando las estrategias contenidas en los planes de desarrollo municipales y sus programas sean modificados, </w:t>
      </w:r>
      <w:r>
        <w:rPr>
          <w:rFonts w:ascii="Palatino Linotype" w:eastAsia="Palatino Linotype" w:hAnsi="Palatino Linotype" w:cs="Palatino Linotype"/>
          <w:i/>
          <w:iCs/>
        </w:rPr>
        <w:lastRenderedPageBreak/>
        <w:t xml:space="preserve">situación que se detecta al término de las etapas de evaluación de los resultados y como consecuencia del fortalecimiento de los objetivos de desarrollo. </w:t>
      </w:r>
    </w:p>
    <w:p w:rsidR="00A675F1" w:rsidRDefault="00A675F1">
      <w:pPr>
        <w:ind w:left="567" w:right="-876"/>
        <w:jc w:val="both"/>
        <w:rPr>
          <w:rFonts w:ascii="Palatino Linotype" w:eastAsia="Palatino Linotype" w:hAnsi="Palatino Linotype" w:cs="Palatino Linotype"/>
          <w:i/>
          <w:iCs/>
        </w:rPr>
      </w:pPr>
    </w:p>
    <w:p w:rsidR="00A675F1" w:rsidRDefault="00870FAF">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Asimismo, de conformidad con lo que establecen los artículos 56, 57 y 58 del Reglamento de la Ley de Planeación del Estado de México y Municipios, los dictámenes de reconducción y actualización, deberán ser validados por la UIPPE, elaborados por las dependencias generales, autorizados por la tesorería municipal y por los Ayuntamientos, debiendo sustentar la justificación en el cumplimiento de los objetivos establecidos en el Plan de Desarrollo Municipal vigente y sus Programas.”</w:t>
      </w:r>
    </w:p>
    <w:p w:rsidR="00A675F1" w:rsidRDefault="00A675F1">
      <w:pPr>
        <w:ind w:left="567" w:right="-876"/>
        <w:jc w:val="both"/>
        <w:rPr>
          <w:rFonts w:ascii="Palatino Linotype" w:eastAsia="Palatino Linotype" w:hAnsi="Palatino Linotype" w:cs="Palatino Linotype"/>
          <w:i/>
          <w:iCs/>
        </w:rPr>
      </w:pPr>
    </w:p>
    <w:p w:rsidR="00A675F1" w:rsidRDefault="00870FAF">
      <w:pPr>
        <w:ind w:left="567" w:right="-876"/>
        <w:jc w:val="both"/>
        <w:rPr>
          <w:rFonts w:ascii="Palatino Linotype" w:eastAsia="Palatino Linotype" w:hAnsi="Palatino Linotype" w:cs="Palatino Linotype"/>
        </w:rPr>
      </w:pPr>
      <w:r>
        <w:rPr>
          <w:rFonts w:ascii="Palatino Linotype" w:eastAsia="Palatino Linotype" w:hAnsi="Palatino Linotype" w:cs="Palatino Linotype"/>
        </w:rPr>
        <w:t>Énfasis propio</w:t>
      </w:r>
    </w:p>
    <w:p w:rsidR="00A675F1" w:rsidRDefault="00A675F1">
      <w:pPr>
        <w:ind w:left="567"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Lo anterior permite que el Cabildo conozca por qué el presupuesto original ya no es suficiente o requiere ajustes, caso contrario una modificación sin justificación podría interpretarse como manejo indebido de recursos públicos o falta de control presupuestal.</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Asimismo, para que el supuesto que en las partidas presupuestales sea necesaria una modificación, los entes fiscalizables deberán realizar las modificaciones necesarias, a través de un Dictamen de Reconducción el cual debe incluir el tipo de movimiento y el folio de la solicitud de adecuación presupuestaria, asimismo debe determinar el nivel de capítulo y partida específica, y dicho documento deberá presentarse al OSFEM y la justificación deberá identificar prioridad, objetivo, impacto y/o resultado que propicia el cambio.</w:t>
      </w:r>
    </w:p>
    <w:p w:rsidR="00A675F1" w:rsidRDefault="00A675F1">
      <w:pPr>
        <w:pBdr>
          <w:top w:val="nil"/>
          <w:left w:val="nil"/>
          <w:bottom w:val="nil"/>
          <w:right w:val="nil"/>
          <w:between w:val="nil"/>
        </w:pBdr>
        <w:ind w:left="720" w:right="-876"/>
        <w:rPr>
          <w:rFonts w:ascii="Palatino Linotype" w:eastAsia="Palatino Linotype" w:hAnsi="Palatino Linotype" w:cs="Palatino Linotype"/>
          <w:color w:val="000000"/>
        </w:rPr>
      </w:pPr>
    </w:p>
    <w:p w:rsidR="00A675F1" w:rsidRDefault="00870FAF">
      <w:pPr>
        <w:numPr>
          <w:ilvl w:val="0"/>
          <w:numId w:val="5"/>
        </w:numPr>
        <w:spacing w:line="360" w:lineRule="auto"/>
        <w:ind w:left="0" w:right="-876" w:firstLine="0"/>
        <w:jc w:val="both"/>
      </w:pPr>
      <w:r>
        <w:rPr>
          <w:rFonts w:ascii="Palatino Linotype" w:eastAsia="Palatino Linotype" w:hAnsi="Palatino Linotype" w:cs="Palatino Linotype"/>
        </w:rPr>
        <w:t xml:space="preserve">Por tanto, se insiste que si bien lo entregado en calidad de informe justificado se encuentra relacionado con lo solicitado; también lo es que resulta incompleto de conformidad a las características que ostenta la solicitud de información de mérito. En razón de lo anterior, es dable modificar la respuesta a efecto de que se realice una nueva búsqueda exhaustiva y </w:t>
      </w:r>
      <w:r>
        <w:rPr>
          <w:rFonts w:ascii="Palatino Linotype" w:eastAsia="Palatino Linotype" w:hAnsi="Palatino Linotype" w:cs="Palatino Linotype"/>
        </w:rPr>
        <w:lastRenderedPageBreak/>
        <w:t>razonable de lo solicitado de la información estadística solicitada, y cumplir con lo expresado en el artículo 162 de la Ley de Transparencia y Acceso a la Información Pública del Estado de México y Municipios, el cual menciona lo siguiente:</w:t>
      </w:r>
    </w:p>
    <w:p w:rsidR="00A675F1" w:rsidRDefault="00870FAF">
      <w:pPr>
        <w:pBdr>
          <w:top w:val="nil"/>
          <w:left w:val="nil"/>
          <w:bottom w:val="nil"/>
          <w:right w:val="nil"/>
          <w:between w:val="nil"/>
        </w:pBdr>
        <w:spacing w:line="360" w:lineRule="auto"/>
        <w:ind w:left="864" w:right="-876"/>
        <w:jc w:val="both"/>
        <w:rPr>
          <w:rFonts w:ascii="Palatino Linotype" w:eastAsia="Palatino Linotype" w:hAnsi="Palatino Linotype" w:cs="Palatino Linotype"/>
        </w:rPr>
      </w:pPr>
      <w:r>
        <w:rPr>
          <w:rFonts w:ascii="Palatino Linotype" w:eastAsia="Palatino Linotype" w:hAnsi="Palatino Linotype" w:cs="Palatino Linotype"/>
          <w:i/>
          <w:iCs/>
        </w:rPr>
        <w:t xml:space="preserve">“Artículo 162. Las unidades de transparencia deberán garantizar que las solicitudes </w:t>
      </w:r>
      <w:r>
        <w:rPr>
          <w:rFonts w:ascii="Palatino Linotype" w:eastAsia="Palatino Linotype" w:hAnsi="Palatino Linotype" w:cs="Palatino Linotype"/>
          <w:b/>
          <w:bCs/>
          <w:i/>
          <w:iCs/>
        </w:rPr>
        <w:t xml:space="preserve">se turnen a todas las Áreas competentes </w:t>
      </w:r>
      <w:r>
        <w:rPr>
          <w:rFonts w:ascii="Palatino Linotype" w:eastAsia="Palatino Linotype" w:hAnsi="Palatino Linotype" w:cs="Palatino Linotype"/>
          <w:i/>
          <w:iCs/>
        </w:rPr>
        <w:t>que cuenten con la información o deban tenerla de acuerdo a sus facultades, competencias y funciones, con el objeto de que realicen una búsqueda exhaustiva y razonable de la información solicitada.”</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rPr>
        <w:t>Asimismo, resultando aplicable el Criterio 02/17 emitido por el Pleno del entonces Instituto Nacional de Transparencia y Acceso a la Información y Protección de Datos Personales, de título y texto siguientes:</w:t>
      </w:r>
    </w:p>
    <w:p w:rsidR="00A675F1" w:rsidRDefault="00870FAF">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xml:space="preserve">. Por lo anterior, los sujetos obligados cumplirán con los principios de congruencia y exhaustividad, cuando las respuestas que emitan guarden una </w:t>
      </w:r>
      <w:r>
        <w:rPr>
          <w:rFonts w:ascii="Palatino Linotype" w:eastAsia="Palatino Linotype" w:hAnsi="Palatino Linotype" w:cs="Palatino Linotype"/>
          <w:i/>
          <w:iCs/>
        </w:rPr>
        <w:lastRenderedPageBreak/>
        <w:t>relación lógica con lo solicitado y atiendan de manera puntual y expresa, cada uno de los contenidos de información.”</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rPr>
        <w:t xml:space="preserve">Búsqueda que deberá realizarse como bien obra en el informe justificado y de manera enunciativa más no limitativa en la Dirección Administración y Finanzas, derivado de sus funciones y atribuciones que de acuerdo al vigente Bando Municipal del año 2025, tiene funciones de Tesorería y, adicionalmente en dependencias como la Unidad de Información, Planeación, Programación y Evaluación (UIPPE), quien de acuerdo al Bando Municipal de Tepotzotlán 2025, es encargada de reglamentos del proyecto de presupuesto de cada ejercicio fiscal, así como el verificar la congruencia de estos con el Plan de Desarrollo del Estado, el Plan Nacional de Desarrollo y Agenda 2030. </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keepNext/>
        <w:keepLines/>
        <w:numPr>
          <w:ilvl w:val="0"/>
          <w:numId w:val="6"/>
        </w:num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b/>
          <w:bCs/>
          <w:color w:val="000000"/>
        </w:rPr>
      </w:pPr>
      <w:bookmarkStart w:id="7" w:name="_heading=h.h1sjo6mngdsk" w:colFirst="0" w:colLast="0"/>
      <w:bookmarkEnd w:id="7"/>
      <w:r>
        <w:rPr>
          <w:rFonts w:ascii="Palatino Linotype" w:eastAsia="Palatino Linotype" w:hAnsi="Palatino Linotype" w:cs="Palatino Linotype"/>
          <w:b/>
          <w:bCs/>
          <w:color w:val="000000"/>
        </w:rPr>
        <w:t>Vista al órgano de control interno competente.</w:t>
      </w: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Finalmente mencionar, que la Ley de Transparencia y Acceso a la Información Pública del Estado de México y Municipios en los artículos 222 fracción I y II, 162 y 59 fracción I y II establecen los siguiente:</w:t>
      </w: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Artículo 222. Son causas de responsabilidad administrativa de los servidores públicos de los sujetos obligados, por incumplimiento de las obligaciones establecidas en la materia de la presente Ley, las siguientes:</w:t>
      </w: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Cualquier acto u omisión que provoque la suspensión o deficiencia en la atención de las solicitudes de información; </w:t>
      </w: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II. La falta de respuesta a las solicitudes de información en los plazos señalados en la normatividad aplicable;</w:t>
      </w: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III. a XXI. …</w:t>
      </w: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A675F1" w:rsidRDefault="00A675F1">
      <w:pPr>
        <w:tabs>
          <w:tab w:val="left" w:pos="284"/>
        </w:tabs>
        <w:spacing w:line="360" w:lineRule="auto"/>
        <w:ind w:left="1134" w:right="-876"/>
        <w:jc w:val="both"/>
        <w:rPr>
          <w:rFonts w:ascii="Palatino Linotype" w:eastAsia="Palatino Linotype" w:hAnsi="Palatino Linotype" w:cs="Palatino Linotype"/>
          <w:i/>
          <w:iCs/>
        </w:rPr>
      </w:pP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Artículo 59. Los servidores públicos habilitados tendrán las funciones siguientes:</w:t>
      </w:r>
    </w:p>
    <w:p w:rsidR="00A675F1" w:rsidRDefault="00A675F1">
      <w:pPr>
        <w:tabs>
          <w:tab w:val="left" w:pos="284"/>
        </w:tabs>
        <w:spacing w:line="360" w:lineRule="auto"/>
        <w:ind w:left="1134" w:right="-876"/>
        <w:jc w:val="both"/>
        <w:rPr>
          <w:rFonts w:ascii="Palatino Linotype" w:eastAsia="Palatino Linotype" w:hAnsi="Palatino Linotype" w:cs="Palatino Linotype"/>
          <w:i/>
          <w:iCs/>
        </w:rPr>
      </w:pP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Localizar la información que le solicite la Unidad de Transparencia; </w:t>
      </w: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II. Proporcionar la información que obre en los archivos y que le sea solicitada por la Unidad de Transparencia;</w:t>
      </w:r>
    </w:p>
    <w:p w:rsidR="00A675F1" w:rsidRDefault="00870FAF">
      <w:pPr>
        <w:tabs>
          <w:tab w:val="left" w:pos="284"/>
        </w:tabs>
        <w:spacing w:line="360" w:lineRule="auto"/>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III. a VII. …”</w:t>
      </w:r>
    </w:p>
    <w:p w:rsidR="00A675F1" w:rsidRDefault="00A675F1">
      <w:pPr>
        <w:tabs>
          <w:tab w:val="left" w:pos="284"/>
        </w:tabs>
        <w:spacing w:line="360" w:lineRule="auto"/>
        <w:ind w:left="567" w:right="-876"/>
        <w:jc w:val="both"/>
        <w:rPr>
          <w:rFonts w:ascii="Palatino Linotype" w:eastAsia="Palatino Linotype" w:hAnsi="Palatino Linotype" w:cs="Palatino Linotype"/>
          <w:i/>
          <w:iCs/>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 xml:space="preserve">Las Unidades de Transparencia cuando reciben solicitudes deben identificar la información solicitada, a efecto de realizar el turno a las áreas que de acuerdo a sus atribuciones, facultades y competencias deban generar, administrar y/o poseer lo requerido; para que, a su vez, realicen la búsqueda exhaustiva y razonable y entreguen los documentos necesarios para generar la respuesta y </w:t>
      </w:r>
      <w:r>
        <w:rPr>
          <w:rFonts w:ascii="Palatino Linotype" w:eastAsia="Palatino Linotype" w:hAnsi="Palatino Linotype" w:cs="Palatino Linotype"/>
        </w:rPr>
        <w:t>proporcionar al</w:t>
      </w:r>
      <w:r>
        <w:rPr>
          <w:rFonts w:ascii="Palatino Linotype" w:eastAsia="Palatino Linotype" w:hAnsi="Palatino Linotype" w:cs="Palatino Linotype"/>
          <w:color w:val="000000"/>
        </w:rPr>
        <w:t xml:space="preserve"> recurrente.</w:t>
      </w:r>
    </w:p>
    <w:p w:rsidR="00A675F1" w:rsidRDefault="00A675F1">
      <w:pPr>
        <w:tabs>
          <w:tab w:val="left" w:pos="284"/>
        </w:tabs>
        <w:spacing w:line="360" w:lineRule="auto"/>
        <w:ind w:right="-876"/>
        <w:jc w:val="both"/>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lastRenderedPageBreak/>
        <w:t>La omisión a las obligaciones, tanto del Titular de la Unidad de Transparencia como de los servidores públicos habilitados puede causar la suspensión, deficiencia o la falta de respuesta a las solicitudes de acceso a la información que formulen los particulares, siendo esto una causa de responsabilidad.</w:t>
      </w:r>
    </w:p>
    <w:p w:rsidR="00A675F1" w:rsidRDefault="00A675F1">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En el presente asunto en particular, se tiene que el Titular de la Unidad de Transparencia no turnó la solicitud al Servidor Público Habilitado.</w:t>
      </w:r>
    </w:p>
    <w:p w:rsidR="00A675F1" w:rsidRDefault="00A675F1">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Se tiene que el Titular de la Unidad de Transparencia incumplió con sus funciones, atribuciones y competencias, al no dar trámite a la solicitud, lo cual tuvo como consecuencia la falta de respuesta a ambas solicitudes.</w:t>
      </w:r>
    </w:p>
    <w:p w:rsidR="00A675F1" w:rsidRDefault="00A675F1">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rPr>
      </w:pPr>
    </w:p>
    <w:p w:rsidR="00A675F1" w:rsidRDefault="00870FAF">
      <w:pPr>
        <w:numPr>
          <w:ilvl w:val="0"/>
          <w:numId w:val="5"/>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 xml:space="preserve">Entonces, la falta de respuesta a las solicitudes de acceso a la información pública por parte del Sujeto Obligado actualiza una causa de responsabilidad, por lo que, de acuerdo a los artículos 190 y 36 fracción X, de la Ley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y Acceso a la Información Pública del Estado de México y Municipios, la Secretaría Técnica del Pleno hará del conocimiento del órgano interno de control competente, para que inicie, en su caso, el procedimiento de responsabilidad respectivo.</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40.</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Con la determinación anterior, se estima </w:t>
      </w:r>
      <w:r>
        <w:rPr>
          <w:rFonts w:ascii="Palatino Linotype" w:eastAsia="Palatino Linotype" w:hAnsi="Palatino Linotype" w:cs="Palatino Linotype"/>
        </w:rPr>
        <w:t>quedará</w:t>
      </w:r>
      <w:r>
        <w:rPr>
          <w:rFonts w:ascii="Palatino Linotype" w:eastAsia="Palatino Linotype" w:hAnsi="Palatino Linotype" w:cs="Palatino Linotype"/>
          <w:color w:val="000000"/>
        </w:rPr>
        <w:t xml:space="preserve"> por colmado el derecho de acceso a la información del ahora Recurrente; toda vez que el Derecho que tutela este Órgano Garante </w:t>
      </w:r>
      <w:r>
        <w:rPr>
          <w:rFonts w:ascii="Palatino Linotype" w:eastAsia="Palatino Linotype" w:hAnsi="Palatino Linotype" w:cs="Palatino Linotype"/>
          <w:color w:val="000000"/>
        </w:rPr>
        <w:lastRenderedPageBreak/>
        <w:t xml:space="preserve">corresponde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w:t>
      </w:r>
      <w:r>
        <w:rPr>
          <w:rFonts w:ascii="Palatino Linotype" w:eastAsia="Palatino Linotype" w:hAnsi="Palatino Linotype" w:cs="Palatino Linotype"/>
          <w:color w:val="000000"/>
        </w:rPr>
        <w:t>fideicomisos</w:t>
      </w:r>
      <w:r>
        <w:rPr>
          <w:rFonts w:ascii="Palatino Linotype" w:eastAsia="Palatino Linotype" w:hAnsi="Palatino Linotype" w:cs="Palatino Linotype"/>
          <w:i/>
          <w:iCs/>
          <w:color w:val="000000"/>
        </w:rPr>
        <w:t>,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color w:val="000000"/>
        </w:rPr>
        <w:t xml:space="preserve"> ” </w:t>
      </w: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41. </w:t>
      </w: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A675F1" w:rsidRDefault="00870FAF">
      <w:pPr>
        <w:spacing w:line="360" w:lineRule="auto"/>
        <w:ind w:left="426"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“CRITERIO 0002-11</w:t>
      </w:r>
    </w:p>
    <w:p w:rsidR="00A675F1" w:rsidRDefault="00870FAF">
      <w:pPr>
        <w:spacing w:line="360" w:lineRule="auto"/>
        <w:ind w:left="425"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A675F1" w:rsidRDefault="00870FAF">
      <w:pPr>
        <w:spacing w:line="360" w:lineRule="auto"/>
        <w:ind w:left="425"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A675F1" w:rsidRDefault="00870FAF">
      <w:pPr>
        <w:spacing w:line="360" w:lineRule="auto"/>
        <w:ind w:left="425"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A675F1" w:rsidRDefault="00870FAF">
      <w:pPr>
        <w:spacing w:line="360" w:lineRule="auto"/>
        <w:ind w:left="425"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A675F1" w:rsidRDefault="00870FAF">
      <w:pPr>
        <w:spacing w:line="360" w:lineRule="auto"/>
        <w:ind w:left="425"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A675F1" w:rsidRDefault="00A675F1">
      <w:pPr>
        <w:spacing w:line="360" w:lineRule="auto"/>
        <w:ind w:right="-876"/>
        <w:jc w:val="both"/>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42. </w:t>
      </w: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w:t>
      </w:r>
      <w:r>
        <w:rPr>
          <w:rFonts w:ascii="Palatino Linotype" w:eastAsia="Palatino Linotype" w:hAnsi="Palatino Linotype" w:cs="Palatino Linotype"/>
          <w:color w:val="000000"/>
        </w:rPr>
        <w:t>estar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43.</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A675F1" w:rsidRDefault="00870FAF">
      <w:pPr>
        <w:spacing w:line="360" w:lineRule="auto"/>
        <w:ind w:left="425"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A675F1" w:rsidRDefault="00870FAF">
      <w:pPr>
        <w:spacing w:line="360" w:lineRule="auto"/>
        <w:ind w:left="426"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675F1" w:rsidRDefault="00870FAF">
      <w:pPr>
        <w:spacing w:line="360" w:lineRule="auto"/>
        <w:ind w:left="426"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A675F1" w:rsidRDefault="00A675F1">
      <w:pPr>
        <w:spacing w:line="360" w:lineRule="auto"/>
        <w:ind w:right="-876"/>
        <w:jc w:val="both"/>
        <w:rPr>
          <w:rFonts w:ascii="Palatino Linotype" w:eastAsia="Palatino Linotype" w:hAnsi="Palatino Linotype" w:cs="Palatino Linotype"/>
          <w:b/>
          <w:bCs/>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44. </w:t>
      </w: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 xml:space="preserve"> y máxima publicidad, sobre éste </w:t>
      </w:r>
      <w:r>
        <w:rPr>
          <w:rFonts w:ascii="Palatino Linotype" w:eastAsia="Palatino Linotype" w:hAnsi="Palatino Linotype" w:cs="Palatino Linotype"/>
          <w:color w:val="000000"/>
        </w:rPr>
        <w:lastRenderedPageBreak/>
        <w:t>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A675F1" w:rsidRDefault="00A675F1">
      <w:pPr>
        <w:spacing w:line="360" w:lineRule="auto"/>
        <w:ind w:right="-876"/>
        <w:jc w:val="both"/>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45. </w:t>
      </w: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A675F1" w:rsidRDefault="00870FAF">
      <w:pPr>
        <w:pBdr>
          <w:top w:val="nil"/>
          <w:left w:val="nil"/>
          <w:bottom w:val="nil"/>
          <w:right w:val="nil"/>
          <w:between w:val="nil"/>
        </w:pBdr>
        <w:tabs>
          <w:tab w:val="left" w:pos="851"/>
        </w:tabs>
        <w:spacing w:line="360" w:lineRule="auto"/>
        <w:ind w:left="425"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w:t>
      </w:r>
      <w:r>
        <w:rPr>
          <w:rFonts w:ascii="Palatino Linotype" w:eastAsia="Palatino Linotype" w:hAnsi="Palatino Linotype" w:cs="Palatino Linotype"/>
          <w:i/>
          <w:iCs/>
          <w:color w:val="000000"/>
        </w:rPr>
        <w:lastRenderedPageBreak/>
        <w:t>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A675F1" w:rsidRDefault="00A675F1">
      <w:pPr>
        <w:spacing w:line="360" w:lineRule="auto"/>
        <w:ind w:right="-876"/>
        <w:rPr>
          <w:rFonts w:ascii="Palatino Linotype" w:eastAsia="Palatino Linotype" w:hAnsi="Palatino Linotype" w:cs="Palatino Linotype"/>
          <w:b/>
          <w:bCs/>
        </w:rPr>
      </w:pPr>
    </w:p>
    <w:p w:rsidR="00A675F1" w:rsidRDefault="00870FAF">
      <w:pPr>
        <w:pBdr>
          <w:top w:val="nil"/>
          <w:left w:val="nil"/>
          <w:bottom w:val="nil"/>
          <w:right w:val="nil"/>
          <w:between w:val="nil"/>
        </w:pBdr>
        <w:tabs>
          <w:tab w:val="left" w:pos="284"/>
          <w:tab w:val="left" w:pos="426"/>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46. </w:t>
      </w:r>
      <w:r>
        <w:rPr>
          <w:rFonts w:ascii="Palatino Linotype" w:eastAsia="Palatino Linotype" w:hAnsi="Palatino Linotype" w:cs="Palatino Linotype"/>
          <w:color w:val="000000"/>
        </w:rPr>
        <w:t xml:space="preserve">Finalmente, debe señalarse que dada la propia y especial naturaleza de lo solicitado, eventualmente pudiera contener datos personales que deberán ser protegidos como ya quedó asentado en el Considerando anterior del presente proveído. Para dar cumplimiento a la presente resolución, contengan datos que deban ser clasificados,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47. </w:t>
      </w:r>
      <w:r>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A675F1" w:rsidRDefault="00870FAF">
      <w:pPr>
        <w:spacing w:line="360" w:lineRule="auto"/>
        <w:ind w:left="993"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“Artículo 3. Para los efectos de la presente Ley se entenderá por:</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IX. Datos personales: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información concerniente a una persona, identificada o identificable</w:t>
      </w:r>
      <w:r>
        <w:rPr>
          <w:rFonts w:ascii="Palatino Linotype" w:eastAsia="Palatino Linotype" w:hAnsi="Palatino Linotype" w:cs="Palatino Linotype"/>
          <w:i/>
          <w:iCs/>
        </w:rPr>
        <w:t xml:space="preserve"> según lo dispuesto por la Ley de Protección de Datos Personales del Estado de México;</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xml:space="preserve"> Aquella considerada por la presente Ley como reservada o confidencial;</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XXXII. Protección de Datos Personales:</w:t>
      </w:r>
      <w:r>
        <w:rPr>
          <w:rFonts w:ascii="Palatino Linotype" w:eastAsia="Palatino Linotype" w:hAnsi="Palatino Linotype" w:cs="Palatino Linotype"/>
          <w:i/>
          <w:iCs/>
        </w:rPr>
        <w:t xml:space="preserve"> Derecho humano que tutela la privacidad de datos personales en poder de los sujetos obligados y sujetos particulares;</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Documento en el que se elimine, suprime o borra la información clasificada como reservada o confidencial para permitir su acceso.”</w:t>
      </w:r>
    </w:p>
    <w:p w:rsidR="00A675F1" w:rsidRDefault="00A675F1">
      <w:pPr>
        <w:spacing w:line="360" w:lineRule="auto"/>
        <w:ind w:left="993" w:right="-876"/>
        <w:jc w:val="both"/>
        <w:rPr>
          <w:rFonts w:ascii="Palatino Linotype" w:eastAsia="Palatino Linotype" w:hAnsi="Palatino Linotype" w:cs="Palatino Linotype"/>
          <w:i/>
          <w:iCs/>
        </w:rPr>
      </w:pP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A675F1" w:rsidRDefault="00A675F1">
      <w:pPr>
        <w:spacing w:line="360" w:lineRule="auto"/>
        <w:ind w:left="993" w:right="-876"/>
        <w:jc w:val="both"/>
        <w:rPr>
          <w:rFonts w:ascii="Palatino Linotype" w:eastAsia="Palatino Linotype" w:hAnsi="Palatino Linotype" w:cs="Palatino Linotype"/>
          <w:i/>
          <w:iCs/>
        </w:rPr>
      </w:pP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i/>
          <w:iCs/>
        </w:rPr>
        <w:t> </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Comités de Transparencia tendrán las siguientes atribuciones:</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Aprobar, modificar o revocar la clasificación de la información;</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Artículo 91. </w:t>
      </w:r>
      <w:r>
        <w:rPr>
          <w:rFonts w:ascii="Palatino Linotype" w:eastAsia="Palatino Linotype" w:hAnsi="Palatino Linotype" w:cs="Palatino Linotype"/>
          <w:i/>
          <w:iCs/>
        </w:rPr>
        <w:t>El acceso a la información pública será restringido excepcionalmente, cuando ésta sea clasificada como reservada o confidencial.</w:t>
      </w:r>
    </w:p>
    <w:p w:rsidR="00A675F1" w:rsidRDefault="00A675F1">
      <w:pPr>
        <w:spacing w:line="360" w:lineRule="auto"/>
        <w:ind w:left="993" w:right="-876"/>
        <w:jc w:val="both"/>
        <w:rPr>
          <w:rFonts w:ascii="Palatino Linotype" w:eastAsia="Palatino Linotype" w:hAnsi="Palatino Linotype" w:cs="Palatino Linotype"/>
          <w:i/>
          <w:iCs/>
        </w:rPr>
      </w:pPr>
    </w:p>
    <w:p w:rsidR="00A675F1" w:rsidRDefault="00870FAF">
      <w:pPr>
        <w:spacing w:line="360" w:lineRule="auto"/>
        <w:ind w:left="993"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137.</w:t>
      </w:r>
      <w:r>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A675F1" w:rsidRDefault="00A675F1">
      <w:pPr>
        <w:spacing w:line="360" w:lineRule="auto"/>
        <w:ind w:left="993" w:right="-876"/>
        <w:jc w:val="both"/>
        <w:rPr>
          <w:rFonts w:ascii="Palatino Linotype" w:eastAsia="Palatino Linotype" w:hAnsi="Palatino Linotype" w:cs="Palatino Linotype"/>
          <w:b/>
          <w:bCs/>
          <w:i/>
          <w:iCs/>
        </w:rPr>
      </w:pP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A675F1" w:rsidRDefault="00A675F1">
      <w:pPr>
        <w:spacing w:line="360" w:lineRule="auto"/>
        <w:ind w:left="993" w:right="-876"/>
        <w:jc w:val="both"/>
        <w:rPr>
          <w:rFonts w:ascii="Palatino Linotype" w:eastAsia="Palatino Linotype" w:hAnsi="Palatino Linotype" w:cs="Palatino Linotype"/>
          <w:i/>
          <w:iCs/>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48. </w:t>
      </w:r>
      <w:r>
        <w:rPr>
          <w:rFonts w:ascii="Palatino Linotype" w:eastAsia="Palatino Linotype" w:hAnsi="Palatino Linotype" w:cs="Palatino Linotype"/>
          <w:color w:val="000000"/>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w:t>
      </w:r>
      <w:r>
        <w:rPr>
          <w:rFonts w:ascii="Palatino Linotype" w:eastAsia="Palatino Linotype" w:hAnsi="Palatino Linotype" w:cs="Palatino Linotype"/>
          <w:color w:val="000000"/>
        </w:rPr>
        <w:lastRenderedPageBreak/>
        <w:t>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49. </w:t>
      </w:r>
      <w:r>
        <w:rPr>
          <w:rFonts w:ascii="Palatino Linotype" w:eastAsia="Palatino Linotype" w:hAnsi="Palatino Linotype" w:cs="Palatino Linotype"/>
          <w:color w:val="000000"/>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50. </w:t>
      </w:r>
      <w:r>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Comités de Transparencia</w:t>
      </w:r>
      <w:r>
        <w:rPr>
          <w:rFonts w:ascii="Palatino Linotype" w:eastAsia="Palatino Linotype" w:hAnsi="Palatino Linotype" w:cs="Palatino Linotype"/>
          <w:i/>
          <w:iCs/>
        </w:rPr>
        <w:t xml:space="preserve"> tendrán las siguientes atribuciones:</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Aprobar, modificar o revocar la clasificación de la información</w:t>
      </w:r>
      <w:r>
        <w:rPr>
          <w:rFonts w:ascii="Palatino Linotype" w:eastAsia="Palatino Linotype" w:hAnsi="Palatino Linotype" w:cs="Palatino Linotype"/>
          <w:i/>
          <w:iCs/>
        </w:rPr>
        <w:t>…”</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w:t>
      </w:r>
      <w:r>
        <w:rPr>
          <w:rFonts w:ascii="Palatino Linotype" w:eastAsia="Palatino Linotype" w:hAnsi="Palatino Linotype" w:cs="Palatino Linotype"/>
          <w:b/>
          <w:bCs/>
          <w:i/>
          <w:iCs/>
        </w:rPr>
        <w:t>Unidades de Transparencia</w:t>
      </w:r>
      <w:r>
        <w:rPr>
          <w:rFonts w:ascii="Palatino Linotype" w:eastAsia="Palatino Linotype" w:hAnsi="Palatino Linotype" w:cs="Palatino Linotype"/>
          <w:i/>
          <w:iCs/>
        </w:rPr>
        <w:t xml:space="preserve"> tendrán las siguientes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X. Presentar ante el Comité, el proyecto de clasificación de información</w:t>
      </w:r>
      <w:r>
        <w:rPr>
          <w:rFonts w:ascii="Palatino Linotype" w:eastAsia="Palatino Linotype" w:hAnsi="Palatino Linotype" w:cs="Palatino Linotype"/>
          <w:i/>
          <w:iCs/>
        </w:rPr>
        <w:t xml:space="preserve">…” </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59.</w:t>
      </w:r>
      <w:r>
        <w:rPr>
          <w:rFonts w:ascii="Palatino Linotype" w:eastAsia="Palatino Linotype" w:hAnsi="Palatino Linotype" w:cs="Palatino Linotype"/>
          <w:i/>
          <w:iCs/>
        </w:rPr>
        <w:t xml:space="preserve"> Los </w:t>
      </w:r>
      <w:r>
        <w:rPr>
          <w:rFonts w:ascii="Palatino Linotype" w:eastAsia="Palatino Linotype" w:hAnsi="Palatino Linotype" w:cs="Palatino Linotype"/>
          <w:b/>
          <w:bCs/>
          <w:i/>
          <w:iCs/>
        </w:rPr>
        <w:t>servidores públicos habilitados</w:t>
      </w:r>
      <w:r>
        <w:rPr>
          <w:rFonts w:ascii="Palatino Linotype" w:eastAsia="Palatino Linotype" w:hAnsi="Palatino Linotype" w:cs="Palatino Linotype"/>
          <w:i/>
          <w:iCs/>
        </w:rPr>
        <w:t xml:space="preserve"> tendrán las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 xml:space="preserve"> siguientes:</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V. Integrar y presentar al responsable de la Unidad de Transparencia la propuesta de clasificación de información</w:t>
      </w:r>
      <w:r>
        <w:rPr>
          <w:rFonts w:ascii="Palatino Linotype" w:eastAsia="Palatino Linotype" w:hAnsi="Palatino Linotype" w:cs="Palatino Linotype"/>
          <w:i/>
          <w:iCs/>
        </w:rPr>
        <w:t>, la cual tendrá los fundamentos y argumentos en que se basa dicha propuesta…”</w:t>
      </w:r>
    </w:p>
    <w:p w:rsidR="00A675F1" w:rsidRDefault="00A675F1">
      <w:pPr>
        <w:spacing w:line="360" w:lineRule="auto"/>
        <w:ind w:left="851" w:right="-876"/>
        <w:jc w:val="both"/>
        <w:rPr>
          <w:rFonts w:ascii="Palatino Linotype" w:eastAsia="Palatino Linotype" w:hAnsi="Palatino Linotype" w:cs="Palatino Linotype"/>
          <w:i/>
          <w:iCs/>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51.</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52. </w:t>
      </w:r>
      <w:r>
        <w:rPr>
          <w:rFonts w:ascii="Palatino Linotype" w:eastAsia="Palatino Linotype" w:hAnsi="Palatino Linotype" w:cs="Palatino Linotype"/>
          <w:color w:val="000000"/>
        </w:rPr>
        <w:t>Para lo cual, a su vez en el caso de información de carácter confidencial, se debe atender a lo que señala el artículo 149 de la Ley de Transparencia Local vigente, que se lee como sigue:</w:t>
      </w:r>
    </w:p>
    <w:p w:rsidR="00A675F1" w:rsidRDefault="00870FAF">
      <w:pPr>
        <w:spacing w:line="360" w:lineRule="auto"/>
        <w:ind w:left="993"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149.</w:t>
      </w:r>
      <w:r>
        <w:rPr>
          <w:rFonts w:ascii="Palatino Linotype" w:eastAsia="Palatino Linotype" w:hAnsi="Palatino Linotype" w:cs="Palatino Linotype"/>
          <w:i/>
          <w:iCs/>
        </w:rPr>
        <w:t xml:space="preserve"> El </w:t>
      </w:r>
      <w:r>
        <w:rPr>
          <w:rFonts w:ascii="Palatino Linotype" w:eastAsia="Palatino Linotype" w:hAnsi="Palatino Linotype" w:cs="Palatino Linotype"/>
          <w:b/>
          <w:bCs/>
          <w:i/>
          <w:iCs/>
        </w:rPr>
        <w:t>acuerdo que clasifique la información como confidencial</w:t>
      </w:r>
      <w:r>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A675F1" w:rsidRDefault="00A675F1">
      <w:pPr>
        <w:spacing w:line="360" w:lineRule="auto"/>
        <w:ind w:left="993" w:right="-876"/>
        <w:jc w:val="both"/>
        <w:rPr>
          <w:rFonts w:ascii="Palatino Linotype" w:eastAsia="Palatino Linotype" w:hAnsi="Palatino Linotype" w:cs="Palatino Linotype"/>
          <w:i/>
          <w:iCs/>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53.</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hipótesis que </w:t>
      </w:r>
      <w:r>
        <w:rPr>
          <w:rFonts w:ascii="Palatino Linotype" w:eastAsia="Palatino Linotype" w:hAnsi="Palatino Linotype" w:cs="Palatino Linotype"/>
          <w:color w:val="000000"/>
        </w:rPr>
        <w:lastRenderedPageBreak/>
        <w:t>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r>
        <w:rPr>
          <w:rFonts w:ascii="Palatino Linotype" w:eastAsia="Palatino Linotype" w:hAnsi="Palatino Linotype" w:cs="Palatino Linotype"/>
        </w:rPr>
        <w:t>.</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54. </w:t>
      </w:r>
      <w:r>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Pr>
          <w:rFonts w:ascii="Palatino Linotype" w:eastAsia="Palatino Linotype" w:hAnsi="Palatino Linotype" w:cs="Palatino Linotype"/>
          <w:b/>
          <w:bCs/>
          <w:color w:val="000000"/>
        </w:rPr>
        <w:t>RECURRENTE.</w:t>
      </w:r>
    </w:p>
    <w:p w:rsidR="00A675F1" w:rsidRDefault="00A675F1">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55. </w:t>
      </w:r>
      <w:r>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w:t>
      </w:r>
      <w:r>
        <w:rPr>
          <w:rFonts w:ascii="Palatino Linotype" w:eastAsia="Palatino Linotype" w:hAnsi="Palatino Linotype" w:cs="Palatino Linotype"/>
          <w:color w:val="000000"/>
        </w:rPr>
        <w:lastRenderedPageBreak/>
        <w:t xml:space="preserve">permite la elaboración de versiones públicas en las que se suprima aquella información relacionada con la vida privada de los servidores públicos. </w:t>
      </w:r>
    </w:p>
    <w:p w:rsidR="00A675F1" w:rsidRDefault="00A675F1">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56. </w:t>
      </w:r>
      <w:r>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w:t>
      </w:r>
      <w:r>
        <w:rPr>
          <w:rFonts w:ascii="Palatino Linotype" w:eastAsia="Palatino Linotype" w:hAnsi="Palatino Linotype" w:cs="Palatino Linotype"/>
        </w:rPr>
        <w:t>clasificará</w:t>
      </w:r>
      <w:r>
        <w:rPr>
          <w:rFonts w:ascii="Palatino Linotype" w:eastAsia="Palatino Linotype" w:hAnsi="Palatino Linotype" w:cs="Palatino Linotype"/>
          <w:color w:val="000000"/>
        </w:rPr>
        <w:t xml:space="preserve"> como reservada o confidencial la información que posean, desclasificarán y generarán, en su caso, versiones públicas de expedientes o documentos que contengan partes o secciones clasificadas.</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57. </w:t>
      </w:r>
      <w:r>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sexto</w:t>
      </w:r>
      <w:r>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II. El nombre de los servidores públicos en los documentos, y sus firmas autógrafas, cuando sean utilizados en el ejercicio de las facultades conferidas para el desempeño del servicio público, y </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A675F1" w:rsidRDefault="00870FAF">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A675F1" w:rsidRDefault="00A675F1">
      <w:pPr>
        <w:spacing w:line="360" w:lineRule="auto"/>
        <w:ind w:left="851" w:right="-876"/>
        <w:jc w:val="both"/>
        <w:rPr>
          <w:rFonts w:ascii="Palatino Linotype" w:eastAsia="Palatino Linotype" w:hAnsi="Palatino Linotype" w:cs="Palatino Linotype"/>
          <w:i/>
          <w:iCs/>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58. </w:t>
      </w:r>
      <w:r>
        <w:rPr>
          <w:rFonts w:ascii="Palatino Linotype" w:eastAsia="Palatino Linotype" w:hAnsi="Palatino Linotype" w:cs="Palatino Linotype"/>
          <w:color w:val="000000"/>
        </w:rPr>
        <w:t xml:space="preserve">Por lo tanto, </w:t>
      </w:r>
      <w:r>
        <w:rPr>
          <w:rFonts w:ascii="Palatino Linotype" w:eastAsia="Palatino Linotype" w:hAnsi="Palatino Linotype" w:cs="Palatino Linotype"/>
          <w:b/>
          <w:bCs/>
          <w:color w:val="000000"/>
        </w:rPr>
        <w:t xml:space="preserve">la entrega de documentos en su versión pública debe </w:t>
      </w:r>
      <w:r>
        <w:rPr>
          <w:rFonts w:ascii="Palatino Linotype" w:eastAsia="Palatino Linotype" w:hAnsi="Palatino Linotype" w:cs="Palatino Linotype"/>
          <w:color w:val="000000"/>
        </w:rPr>
        <w:t>acompañarse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A675F1" w:rsidRDefault="00A675F1">
      <w:pPr>
        <w:pBdr>
          <w:top w:val="nil"/>
          <w:left w:val="nil"/>
          <w:bottom w:val="nil"/>
          <w:right w:val="nil"/>
          <w:between w:val="nil"/>
        </w:pBdr>
        <w:tabs>
          <w:tab w:val="left" w:pos="284"/>
          <w:tab w:val="left" w:pos="426"/>
        </w:tabs>
        <w:spacing w:line="360" w:lineRule="auto"/>
        <w:ind w:right="-876"/>
        <w:jc w:val="both"/>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59. </w:t>
      </w:r>
      <w:r>
        <w:rPr>
          <w:rFonts w:ascii="Palatino Linotype" w:eastAsia="Palatino Linotype" w:hAnsi="Palatino Linotype" w:cs="Palatino Linotype"/>
          <w:color w:val="000000"/>
        </w:rPr>
        <w:t>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rPr>
      </w:pPr>
    </w:p>
    <w:tbl>
      <w:tblPr>
        <w:tblStyle w:val="a"/>
        <w:tblW w:w="972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50"/>
        <w:gridCol w:w="6570"/>
      </w:tblGrid>
      <w:tr w:rsidR="00A675F1">
        <w:tc>
          <w:tcPr>
            <w:tcW w:w="3150" w:type="dxa"/>
          </w:tcPr>
          <w:p w:rsidR="00A675F1" w:rsidRDefault="00870FAF">
            <w:pPr>
              <w:tabs>
                <w:tab w:val="left" w:pos="284"/>
              </w:tabs>
              <w:ind w:right="-6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570" w:type="dxa"/>
          </w:tcPr>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A675F1" w:rsidRDefault="00A675F1">
            <w:pPr>
              <w:tabs>
                <w:tab w:val="left" w:pos="284"/>
              </w:tabs>
              <w:ind w:right="-66"/>
              <w:jc w:val="both"/>
              <w:rPr>
                <w:rFonts w:ascii="Palatino Linotype" w:eastAsia="Palatino Linotype" w:hAnsi="Palatino Linotype" w:cs="Palatino Linotype"/>
              </w:rPr>
            </w:pPr>
          </w:p>
        </w:tc>
      </w:tr>
      <w:tr w:rsidR="00A675F1">
        <w:tc>
          <w:tcPr>
            <w:tcW w:w="3150" w:type="dxa"/>
          </w:tcPr>
          <w:p w:rsidR="00A675F1" w:rsidRDefault="00870FAF">
            <w:pPr>
              <w:tabs>
                <w:tab w:val="left" w:pos="284"/>
              </w:tabs>
              <w:ind w:right="-66"/>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570" w:type="dxa"/>
          </w:tcPr>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A675F1" w:rsidRDefault="00A675F1">
            <w:pPr>
              <w:tabs>
                <w:tab w:val="left" w:pos="284"/>
              </w:tabs>
              <w:ind w:right="-66"/>
              <w:jc w:val="both"/>
              <w:rPr>
                <w:rFonts w:ascii="Palatino Linotype" w:eastAsia="Palatino Linotype" w:hAnsi="Palatino Linotype" w:cs="Palatino Linotype"/>
              </w:rPr>
            </w:pPr>
          </w:p>
        </w:tc>
      </w:tr>
      <w:tr w:rsidR="00A675F1">
        <w:tc>
          <w:tcPr>
            <w:tcW w:w="3150" w:type="dxa"/>
          </w:tcPr>
          <w:p w:rsidR="00A675F1" w:rsidRDefault="00870FAF">
            <w:pPr>
              <w:tabs>
                <w:tab w:val="left" w:pos="284"/>
              </w:tabs>
              <w:ind w:right="-6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570" w:type="dxa"/>
          </w:tcPr>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A675F1" w:rsidRDefault="00A675F1">
            <w:pPr>
              <w:tabs>
                <w:tab w:val="left" w:pos="284"/>
              </w:tabs>
              <w:ind w:right="-66"/>
              <w:jc w:val="both"/>
              <w:rPr>
                <w:rFonts w:ascii="Palatino Linotype" w:eastAsia="Palatino Linotype" w:hAnsi="Palatino Linotype" w:cs="Palatino Linotype"/>
              </w:rPr>
            </w:pPr>
          </w:p>
        </w:tc>
      </w:tr>
      <w:tr w:rsidR="00A675F1">
        <w:tc>
          <w:tcPr>
            <w:tcW w:w="3150" w:type="dxa"/>
          </w:tcPr>
          <w:p w:rsidR="00A675F1" w:rsidRDefault="00A675F1">
            <w:pPr>
              <w:tabs>
                <w:tab w:val="left" w:pos="284"/>
              </w:tabs>
              <w:ind w:right="-66"/>
              <w:rPr>
                <w:rFonts w:ascii="Palatino Linotype" w:eastAsia="Palatino Linotype" w:hAnsi="Palatino Linotype" w:cs="Palatino Linotype"/>
              </w:rPr>
            </w:pPr>
          </w:p>
          <w:p w:rsidR="00A675F1" w:rsidRDefault="00870FAF">
            <w:pPr>
              <w:tabs>
                <w:tab w:val="left" w:pos="284"/>
              </w:tabs>
              <w:ind w:right="-6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570" w:type="dxa"/>
          </w:tcPr>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w:t>
            </w:r>
            <w:r>
              <w:rPr>
                <w:rFonts w:ascii="Palatino Linotype" w:eastAsia="Palatino Linotype" w:hAnsi="Palatino Linotype" w:cs="Palatino Linotype"/>
                <w:color w:val="000000"/>
              </w:rPr>
              <w:lastRenderedPageBreak/>
              <w:t>Registro Federal de Contribuyentes (R.F.C.), claves de seguros, préstamos o descuentos personales, secretos bancario, fiduciario, industrial, comercial, fiscal, bursátil y postal, cuya titularidad corresponda a particulares, entre otros.</w:t>
            </w:r>
          </w:p>
          <w:p w:rsidR="00A675F1" w:rsidRDefault="00A675F1">
            <w:pPr>
              <w:tabs>
                <w:tab w:val="left" w:pos="284"/>
              </w:tabs>
              <w:ind w:right="-66"/>
              <w:jc w:val="both"/>
              <w:rPr>
                <w:rFonts w:ascii="Palatino Linotype" w:eastAsia="Palatino Linotype" w:hAnsi="Palatino Linotype" w:cs="Palatino Linotype"/>
                <w:color w:val="000000"/>
              </w:rPr>
            </w:pPr>
          </w:p>
        </w:tc>
      </w:tr>
      <w:tr w:rsidR="00A675F1">
        <w:tc>
          <w:tcPr>
            <w:tcW w:w="3150" w:type="dxa"/>
          </w:tcPr>
          <w:p w:rsidR="00A675F1" w:rsidRDefault="00870FAF">
            <w:pPr>
              <w:tabs>
                <w:tab w:val="left" w:pos="284"/>
              </w:tabs>
              <w:ind w:right="-6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570" w:type="dxa"/>
          </w:tcPr>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A675F1" w:rsidRDefault="00870FAF">
            <w:pPr>
              <w:tabs>
                <w:tab w:val="left" w:pos="284"/>
              </w:tabs>
              <w:ind w:right="-6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675F1" w:rsidRDefault="00870FAF">
            <w:pPr>
              <w:tabs>
                <w:tab w:val="left" w:pos="284"/>
              </w:tabs>
              <w:ind w:right="-66"/>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A675F1" w:rsidRDefault="00A675F1">
            <w:pPr>
              <w:tabs>
                <w:tab w:val="left" w:pos="284"/>
              </w:tabs>
              <w:ind w:right="-66"/>
              <w:rPr>
                <w:rFonts w:ascii="Palatino Linotype" w:eastAsia="Palatino Linotype" w:hAnsi="Palatino Linotype" w:cs="Palatino Linotype"/>
              </w:rPr>
            </w:pPr>
          </w:p>
        </w:tc>
      </w:tr>
    </w:tbl>
    <w:p w:rsidR="00A675F1" w:rsidRDefault="00A675F1">
      <w:pPr>
        <w:tabs>
          <w:tab w:val="left" w:pos="284"/>
        </w:tabs>
        <w:spacing w:line="360" w:lineRule="auto"/>
        <w:ind w:right="-876"/>
        <w:rPr>
          <w:rFonts w:ascii="Palatino Linotype" w:eastAsia="Palatino Linotype" w:hAnsi="Palatino Linotype" w:cs="Palatino Linotype"/>
          <w:color w:val="000000"/>
        </w:rPr>
      </w:pPr>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60. </w:t>
      </w: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bookmarkStart w:id="8" w:name="_heading=h.lge2uojt7osa" w:colFirst="0" w:colLast="0"/>
      <w:bookmarkEnd w:id="8"/>
    </w:p>
    <w:p w:rsidR="00A675F1" w:rsidRDefault="00870FAF">
      <w:pPr>
        <w:pBdr>
          <w:top w:val="nil"/>
          <w:left w:val="nil"/>
          <w:bottom w:val="nil"/>
          <w:right w:val="nil"/>
          <w:between w:val="nil"/>
        </w:pBdr>
        <w:spacing w:line="360" w:lineRule="auto"/>
        <w:ind w:right="-876"/>
        <w:jc w:val="both"/>
        <w:rPr>
          <w:rFonts w:ascii="Palatino Linotype" w:eastAsia="Palatino Linotype" w:hAnsi="Palatino Linotype" w:cs="Palatino Linotype"/>
          <w:color w:val="222222"/>
        </w:rPr>
      </w:pPr>
      <w:bookmarkStart w:id="9" w:name="_heading=h.4d34og8" w:colFirst="0" w:colLast="0"/>
      <w:bookmarkEnd w:id="9"/>
      <w:r>
        <w:rPr>
          <w:rFonts w:ascii="Palatino Linotype" w:eastAsia="Palatino Linotype" w:hAnsi="Palatino Linotype" w:cs="Palatino Linotype"/>
          <w:b/>
          <w:bCs/>
          <w:color w:val="222222"/>
        </w:rPr>
        <w:t xml:space="preserve">61. </w:t>
      </w:r>
      <w:r>
        <w:rPr>
          <w:rFonts w:ascii="Palatino Linotype" w:eastAsia="Palatino Linotype" w:hAnsi="Palatino Linotype" w:cs="Palatino Linotype"/>
          <w:color w:val="222222"/>
        </w:rPr>
        <w:t xml:space="preserve">Por 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 </w:t>
      </w:r>
    </w:p>
    <w:p w:rsidR="00A675F1" w:rsidRDefault="00870FAF">
      <w:pPr>
        <w:pStyle w:val="Ttulo1"/>
        <w:spacing w:before="0" w:line="360" w:lineRule="auto"/>
        <w:ind w:right="-876"/>
        <w:jc w:val="center"/>
        <w:rPr>
          <w:rFonts w:ascii="Palatino Linotype" w:eastAsia="Palatino Linotype" w:hAnsi="Palatino Linotype" w:cs="Palatino Linotype"/>
          <w:b/>
          <w:bCs/>
          <w:color w:val="000000"/>
          <w:sz w:val="24"/>
          <w:szCs w:val="24"/>
        </w:rPr>
      </w:pPr>
      <w:bookmarkStart w:id="10" w:name="_heading=h.r2b1jkru4927" w:colFirst="0" w:colLast="0"/>
      <w:bookmarkStart w:id="11" w:name="_heading=h.wjjijq5i0h2h" w:colFirst="0" w:colLast="0"/>
      <w:bookmarkStart w:id="12" w:name="_heading=h.gaxjr2dki9rr" w:colFirst="0" w:colLast="0"/>
      <w:bookmarkEnd w:id="10"/>
      <w:bookmarkEnd w:id="11"/>
      <w:bookmarkEnd w:id="12"/>
      <w:r>
        <w:rPr>
          <w:rFonts w:ascii="Palatino Linotype" w:eastAsia="Palatino Linotype" w:hAnsi="Palatino Linotype" w:cs="Palatino Linotype"/>
          <w:b/>
          <w:bCs/>
          <w:color w:val="000000"/>
          <w:sz w:val="24"/>
          <w:szCs w:val="24"/>
        </w:rPr>
        <w:lastRenderedPageBreak/>
        <w:t>R E S O L U T I V O S</w:t>
      </w:r>
    </w:p>
    <w:p w:rsidR="00A675F1" w:rsidRDefault="00A675F1">
      <w:pPr>
        <w:spacing w:line="360" w:lineRule="auto"/>
        <w:ind w:right="-876"/>
        <w:jc w:val="both"/>
        <w:rPr>
          <w:rFonts w:ascii="Palatino Linotype" w:eastAsia="Palatino Linotype" w:hAnsi="Palatino Linotype" w:cs="Palatino Linotype"/>
          <w:b/>
          <w:bCs/>
        </w:rPr>
      </w:pPr>
    </w:p>
    <w:p w:rsidR="00A675F1" w:rsidRDefault="00870FAF">
      <w:pPr>
        <w:spacing w:line="360" w:lineRule="auto"/>
        <w:ind w:right="-876"/>
        <w:jc w:val="both"/>
        <w:rPr>
          <w:rFonts w:ascii="Palatino Linotype" w:eastAsia="Palatino Linotype" w:hAnsi="Palatino Linotype" w:cs="Palatino Linotype"/>
        </w:rPr>
      </w:pPr>
      <w:bookmarkStart w:id="13" w:name="_heading=h.30j0zll" w:colFirst="0" w:colLast="0"/>
      <w:bookmarkEnd w:id="13"/>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14213/INFOEM/IP/RR/2025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en términos de los</w:t>
      </w:r>
      <w:r>
        <w:rPr>
          <w:rFonts w:ascii="Palatino Linotype" w:eastAsia="Palatino Linotype" w:hAnsi="Palatino Linotype" w:cs="Palatino Linotype"/>
          <w:b/>
          <w:bCs/>
        </w:rPr>
        <w:t xml:space="preserve"> 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ORDENA </w:t>
      </w:r>
      <w:r>
        <w:rPr>
          <w:rFonts w:ascii="Palatino Linotype" w:eastAsia="Palatino Linotype" w:hAnsi="Palatino Linotype" w:cs="Palatino Linotype"/>
        </w:rPr>
        <w:t xml:space="preserve">al </w:t>
      </w:r>
      <w:r>
        <w:rPr>
          <w:rFonts w:ascii="Palatino Linotype" w:eastAsia="Palatino Linotype" w:hAnsi="Palatino Linotype" w:cs="Palatino Linotype"/>
          <w:b/>
          <w:bCs/>
        </w:rPr>
        <w:t>Ayuntamiento de Tepotzotlán</w:t>
      </w:r>
      <w:r>
        <w:rPr>
          <w:rFonts w:ascii="Palatino Linotype" w:eastAsia="Palatino Linotype" w:hAnsi="Palatino Linotype" w:cs="Palatino Linotype"/>
        </w:rPr>
        <w:t xml:space="preserve"> entregar vía Sistema de Accesos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previa búsqueda exhaustiva y razonable,</w:t>
      </w:r>
      <w:r>
        <w:rPr>
          <w:rFonts w:ascii="Palatino Linotype" w:eastAsia="Palatino Linotype" w:hAnsi="Palatino Linotype" w:cs="Palatino Linotype"/>
          <w:b/>
          <w:bCs/>
        </w:rPr>
        <w:t xml:space="preserve"> </w:t>
      </w:r>
      <w:r>
        <w:rPr>
          <w:rFonts w:ascii="Palatino Linotype" w:eastAsia="Palatino Linotype" w:hAnsi="Palatino Linotype" w:cs="Palatino Linotype"/>
        </w:rPr>
        <w:t>de ser el caso en versión pública, la siguiente información</w:t>
      </w:r>
      <w:r>
        <w:rPr>
          <w:rFonts w:ascii="Palatino Linotype" w:eastAsia="Palatino Linotype" w:hAnsi="Palatino Linotype" w:cs="Palatino Linotype"/>
          <w:color w:val="000000"/>
        </w:rPr>
        <w:t>:</w:t>
      </w:r>
    </w:p>
    <w:p w:rsidR="00A675F1" w:rsidRDefault="00A675F1">
      <w:pPr>
        <w:spacing w:line="360" w:lineRule="auto"/>
        <w:ind w:right="-876"/>
        <w:jc w:val="both"/>
        <w:rPr>
          <w:rFonts w:ascii="Palatino Linotype" w:eastAsia="Palatino Linotype" w:hAnsi="Palatino Linotype" w:cs="Palatino Linotype"/>
          <w:b/>
          <w:bCs/>
          <w:color w:val="000000"/>
        </w:rPr>
      </w:pPr>
    </w:p>
    <w:p w:rsidR="00A675F1" w:rsidRDefault="00870FAF">
      <w:pPr>
        <w:numPr>
          <w:ilvl w:val="0"/>
          <w:numId w:val="3"/>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Soporte documental en que consten las adecuaciones al presupuesto, así como las fechas, la motivación y los montos de ampliación o reconducción, del 1 de enero al 18 de noviembre de 2025.</w:t>
      </w:r>
    </w:p>
    <w:p w:rsidR="00A675F1" w:rsidRDefault="00A675F1">
      <w:pPr>
        <w:pBdr>
          <w:top w:val="nil"/>
          <w:left w:val="nil"/>
          <w:bottom w:val="nil"/>
          <w:right w:val="nil"/>
          <w:between w:val="nil"/>
        </w:pBdr>
        <w:spacing w:line="360" w:lineRule="auto"/>
        <w:ind w:left="720" w:right="-876"/>
        <w:jc w:val="both"/>
        <w:rPr>
          <w:rFonts w:ascii="Palatino Linotype" w:eastAsia="Palatino Linotype" w:hAnsi="Palatino Linotype" w:cs="Palatino Linotype"/>
          <w:b/>
          <w:bCs/>
        </w:rPr>
      </w:pPr>
    </w:p>
    <w:p w:rsidR="00A675F1" w:rsidRDefault="00870FAF">
      <w:pPr>
        <w:tabs>
          <w:tab w:val="left" w:pos="8080"/>
        </w:tabs>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 </w:t>
      </w:r>
      <w:r>
        <w:rPr>
          <w:rFonts w:ascii="Palatino Linotype" w:eastAsia="Palatino Linotype" w:hAnsi="Palatino Linotype" w:cs="Palatino Linotype"/>
          <w:b/>
          <w:bCs/>
        </w:rPr>
        <w:t>LA RECURRENTE.</w:t>
      </w:r>
    </w:p>
    <w:p w:rsidR="00A675F1" w:rsidRDefault="00A675F1">
      <w:p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p>
    <w:p w:rsidR="00A675F1" w:rsidRDefault="00870FAF">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675F1" w:rsidRDefault="00A675F1">
      <w:pPr>
        <w:spacing w:line="360" w:lineRule="auto"/>
        <w:ind w:right="-876"/>
        <w:jc w:val="both"/>
        <w:rPr>
          <w:rFonts w:ascii="Palatino Linotype" w:eastAsia="Palatino Linotype" w:hAnsi="Palatino Linotype" w:cs="Palatino Linotype"/>
        </w:rPr>
      </w:pPr>
    </w:p>
    <w:p w:rsidR="00A675F1" w:rsidRDefault="00870FAF">
      <w:pPr>
        <w:tabs>
          <w:tab w:val="left" w:pos="2756"/>
        </w:tabs>
        <w:spacing w:line="360" w:lineRule="auto"/>
        <w:ind w:right="-876"/>
        <w:jc w:val="both"/>
        <w:rPr>
          <w:rFonts w:ascii="Palatino Linotype" w:eastAsia="Palatino Linotype" w:hAnsi="Palatino Linotype" w:cs="Palatino Linotype"/>
        </w:rPr>
      </w:pPr>
      <w:bookmarkStart w:id="14" w:name="_heading=h.1ksv4uv" w:colFirst="0" w:colLast="0"/>
      <w:bookmarkEnd w:id="14"/>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A675F1" w:rsidRDefault="00A675F1">
      <w:pPr>
        <w:tabs>
          <w:tab w:val="left" w:pos="8080"/>
        </w:tabs>
        <w:spacing w:line="360" w:lineRule="auto"/>
        <w:ind w:right="-876"/>
        <w:jc w:val="both"/>
        <w:rPr>
          <w:rFonts w:ascii="Palatino Linotype" w:eastAsia="Palatino Linotype" w:hAnsi="Palatino Linotype" w:cs="Palatino Linotype"/>
        </w:rPr>
      </w:pPr>
    </w:p>
    <w:p w:rsidR="00A675F1" w:rsidRDefault="00870FAF">
      <w:pPr>
        <w:shd w:val="clear" w:color="auto" w:fill="FFFFFF"/>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Se hace del conocimiento de </w:t>
      </w:r>
      <w:r>
        <w:rPr>
          <w:rFonts w:ascii="Palatino Linotype" w:eastAsia="Palatino Linotype" w:hAnsi="Palatino Linotype" w:cs="Palatino Linotype"/>
          <w:b/>
          <w:bCs/>
        </w:rPr>
        <w:t xml:space="preserve">LA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A675F1" w:rsidRDefault="00A675F1">
      <w:pPr>
        <w:shd w:val="clear" w:color="auto" w:fill="FFFFFF"/>
        <w:spacing w:line="360" w:lineRule="auto"/>
        <w:ind w:right="-876"/>
        <w:jc w:val="both"/>
        <w:rPr>
          <w:rFonts w:ascii="Palatino Linotype" w:eastAsia="Palatino Linotype" w:hAnsi="Palatino Linotype" w:cs="Palatino Linotype"/>
        </w:rPr>
      </w:pPr>
    </w:p>
    <w:p w:rsidR="00A675F1" w:rsidRDefault="00870FAF">
      <w:pPr>
        <w:shd w:val="clear" w:color="auto" w:fill="FFFFFF"/>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Hágase del conocimiento de </w:t>
      </w:r>
      <w:r>
        <w:rPr>
          <w:rFonts w:ascii="Palatino Linotype" w:eastAsia="Palatino Linotype" w:hAnsi="Palatino Linotype" w:cs="Palatino Linotype"/>
          <w:b/>
          <w:bCs/>
        </w:rPr>
        <w:t>LA RECURRENTE</w:t>
      </w:r>
      <w:r>
        <w:rPr>
          <w:rFonts w:ascii="Palatino Linotype" w:eastAsia="Palatino Linotype" w:hAnsi="Palatino Linotype" w:cs="Palatino Linotype"/>
        </w:rPr>
        <w:t xml:space="preserve"> que la respuesta que dé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Pr>
          <w:rFonts w:ascii="Palatino Linotype" w:eastAsia="Palatino Linotype" w:hAnsi="Palatino Linotype" w:cs="Palatino Linotype"/>
        </w:rPr>
        <w:tab/>
      </w:r>
    </w:p>
    <w:p w:rsidR="00A675F1" w:rsidRDefault="00870FAF">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SÉPTIMO. Gírese </w:t>
      </w:r>
      <w:r>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A675F1" w:rsidRDefault="00A675F1">
      <w:pPr>
        <w:shd w:val="clear" w:color="auto" w:fill="FFFFFF"/>
        <w:spacing w:line="360" w:lineRule="auto"/>
        <w:ind w:right="-876"/>
        <w:jc w:val="both"/>
        <w:rPr>
          <w:rFonts w:ascii="Palatino Linotype" w:eastAsia="Palatino Linotype" w:hAnsi="Palatino Linotype" w:cs="Palatino Linotype"/>
        </w:rPr>
      </w:pPr>
    </w:p>
    <w:p w:rsidR="00AD59DC" w:rsidRPr="003E2295" w:rsidRDefault="00AD59DC" w:rsidP="00AD59DC">
      <w:pPr>
        <w:spacing w:before="240" w:after="240" w:line="360" w:lineRule="auto"/>
        <w:ind w:right="-879" w:firstLine="1"/>
        <w:jc w:val="both"/>
        <w:rPr>
          <w:rFonts w:ascii="Palatino Linotype" w:hAnsi="Palatino Linotype"/>
        </w:rPr>
      </w:pPr>
      <w:bookmarkStart w:id="15"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5"/>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044626" w:rsidRDefault="00044626">
      <w:pPr>
        <w:spacing w:line="360" w:lineRule="auto"/>
        <w:ind w:right="-876"/>
        <w:rPr>
          <w:rFonts w:ascii="Palatino Linotype" w:eastAsia="Palatino Linotype" w:hAnsi="Palatino Linotype" w:cs="Palatino Linotype"/>
        </w:rPr>
      </w:pPr>
    </w:p>
    <w:p w:rsidR="00044626" w:rsidRDefault="00044626">
      <w:pPr>
        <w:spacing w:line="360" w:lineRule="auto"/>
        <w:ind w:right="-876"/>
        <w:rPr>
          <w:rFonts w:ascii="Palatino Linotype" w:eastAsia="Palatino Linotype" w:hAnsi="Palatino Linotype" w:cs="Palatino Linotype"/>
        </w:rPr>
      </w:pPr>
    </w:p>
    <w:p w:rsidR="00044626" w:rsidRDefault="00044626">
      <w:pPr>
        <w:spacing w:line="360" w:lineRule="auto"/>
        <w:ind w:right="-876"/>
        <w:rPr>
          <w:rFonts w:ascii="Palatino Linotype" w:eastAsia="Palatino Linotype" w:hAnsi="Palatino Linotype" w:cs="Palatino Linotype"/>
        </w:rPr>
      </w:pPr>
    </w:p>
    <w:p w:rsidR="00044626" w:rsidRDefault="00044626">
      <w:pPr>
        <w:spacing w:line="360" w:lineRule="auto"/>
        <w:ind w:right="-876"/>
        <w:rPr>
          <w:rFonts w:ascii="Palatino Linotype" w:eastAsia="Palatino Linotype" w:hAnsi="Palatino Linotype" w:cs="Palatino Linotype"/>
        </w:rPr>
      </w:pPr>
    </w:p>
    <w:p w:rsidR="00044626" w:rsidRDefault="00044626">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p w:rsidR="00A675F1" w:rsidRDefault="00A675F1">
      <w:pPr>
        <w:spacing w:line="360" w:lineRule="auto"/>
        <w:ind w:right="-876"/>
        <w:rPr>
          <w:rFonts w:ascii="Palatino Linotype" w:eastAsia="Palatino Linotype" w:hAnsi="Palatino Linotype" w:cs="Palatino Linotype"/>
        </w:rPr>
      </w:pPr>
    </w:p>
    <w:sectPr w:rsidR="00A675F1">
      <w:headerReference w:type="even" r:id="rId8"/>
      <w:headerReference w:type="default" r:id="rId9"/>
      <w:footerReference w:type="default" r:id="rId10"/>
      <w:headerReference w:type="first" r:id="rId11"/>
      <w:footerReference w:type="first" r:id="rId12"/>
      <w:pgSz w:w="12240" w:h="15840"/>
      <w:pgMar w:top="80" w:right="1608" w:bottom="2269"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949" w:rsidRDefault="00D12949">
      <w:r>
        <w:separator/>
      </w:r>
    </w:p>
  </w:endnote>
  <w:endnote w:type="continuationSeparator" w:id="0">
    <w:p w:rsidR="00D12949" w:rsidRDefault="00D1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2E468142-F2AF-414A-9E65-B4498EEF5E3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8BDFD548-CBC6-4662-AF58-74196E694589}"/>
    <w:embedBold r:id="rId3" w:fontKey="{DCACB8F1-B3E2-4695-97B8-0FDC3077348E}"/>
    <w:embedItalic r:id="rId4" w:fontKey="{0BD01D88-EF3C-4887-A073-949B00EEE8B2}"/>
    <w:embedBoldItalic r:id="rId5" w:fontKey="{42A8F89D-F6DB-4482-B461-FCE422E3EEC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110683D5-4EFF-4454-BF82-3914C66A822D}"/>
  </w:font>
  <w:font w:name="Georgia">
    <w:panose1 w:val="02040502050405020303"/>
    <w:charset w:val="00"/>
    <w:family w:val="roman"/>
    <w:pitch w:val="variable"/>
    <w:sig w:usb0="00000287" w:usb1="00000000" w:usb2="00000000" w:usb3="00000000" w:csb0="0000009F" w:csb1="00000000"/>
    <w:embedItalic r:id="rId7" w:fontKey="{B546A3BD-CFF0-47D8-AB60-35270A218731}"/>
  </w:font>
  <w:font w:name="Garamond">
    <w:panose1 w:val="02020404030301010803"/>
    <w:charset w:val="00"/>
    <w:family w:val="roman"/>
    <w:pitch w:val="variable"/>
    <w:sig w:usb0="00000287" w:usb1="00000000" w:usb2="00000000" w:usb3="00000000" w:csb0="0000009F" w:csb1="00000000"/>
    <w:embedRegular r:id="rId8" w:fontKey="{3001EEB1-EA9A-4BFA-AA27-2C4ED6BE7C5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E7860413-E4C7-44B6-BC0D-205A7E45DC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5F1" w:rsidRDefault="00A675F1">
    <w:pPr>
      <w:pBdr>
        <w:top w:val="nil"/>
        <w:left w:val="nil"/>
        <w:bottom w:val="nil"/>
        <w:right w:val="nil"/>
        <w:between w:val="nil"/>
      </w:pBdr>
      <w:tabs>
        <w:tab w:val="center" w:pos="4419"/>
        <w:tab w:val="right" w:pos="8838"/>
      </w:tabs>
      <w:jc w:val="right"/>
      <w:rPr>
        <w:color w:val="000000"/>
      </w:rPr>
    </w:pPr>
  </w:p>
  <w:p w:rsidR="00A675F1" w:rsidRDefault="00870FA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0672A">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0672A">
      <w:rPr>
        <w:rFonts w:ascii="Palatino Linotype" w:eastAsia="Palatino Linotype" w:hAnsi="Palatino Linotype" w:cs="Palatino Linotype"/>
        <w:b/>
        <w:bCs/>
        <w:noProof/>
        <w:color w:val="000000"/>
        <w:sz w:val="22"/>
        <w:szCs w:val="22"/>
      </w:rPr>
      <w:t>38</w:t>
    </w:r>
    <w:r>
      <w:rPr>
        <w:rFonts w:ascii="Palatino Linotype" w:eastAsia="Palatino Linotype" w:hAnsi="Palatino Linotype" w:cs="Palatino Linotype"/>
        <w:b/>
        <w:bCs/>
        <w:color w:val="000000"/>
        <w:sz w:val="22"/>
        <w:szCs w:val="22"/>
      </w:rPr>
      <w:fldChar w:fldCharType="end"/>
    </w:r>
  </w:p>
  <w:p w:rsidR="00A675F1" w:rsidRDefault="00A675F1">
    <w:pPr>
      <w:pBdr>
        <w:top w:val="nil"/>
        <w:left w:val="nil"/>
        <w:bottom w:val="nil"/>
        <w:right w:val="nil"/>
        <w:between w:val="nil"/>
      </w:pBdr>
      <w:tabs>
        <w:tab w:val="center" w:pos="4419"/>
        <w:tab w:val="right" w:pos="8838"/>
      </w:tabs>
      <w:rPr>
        <w:color w:val="000000"/>
      </w:rPr>
    </w:pPr>
  </w:p>
  <w:p w:rsidR="00A675F1" w:rsidRDefault="00A675F1"/>
  <w:p w:rsidR="00A675F1" w:rsidRDefault="00A675F1"/>
  <w:p w:rsidR="00A675F1" w:rsidRDefault="00A675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5F1" w:rsidRDefault="00870FA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0672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0672A">
      <w:rPr>
        <w:rFonts w:ascii="Palatino Linotype" w:eastAsia="Palatino Linotype" w:hAnsi="Palatino Linotype" w:cs="Palatino Linotype"/>
        <w:b/>
        <w:bCs/>
        <w:noProof/>
        <w:color w:val="000000"/>
        <w:sz w:val="22"/>
        <w:szCs w:val="22"/>
      </w:rPr>
      <w:t>38</w:t>
    </w:r>
    <w:r>
      <w:rPr>
        <w:rFonts w:ascii="Palatino Linotype" w:eastAsia="Palatino Linotype" w:hAnsi="Palatino Linotype" w:cs="Palatino Linotype"/>
        <w:b/>
        <w:bCs/>
        <w:color w:val="000000"/>
        <w:sz w:val="22"/>
        <w:szCs w:val="22"/>
      </w:rPr>
      <w:fldChar w:fldCharType="end"/>
    </w:r>
  </w:p>
  <w:p w:rsidR="00A675F1" w:rsidRDefault="00A675F1">
    <w:pPr>
      <w:pBdr>
        <w:top w:val="nil"/>
        <w:left w:val="nil"/>
        <w:bottom w:val="nil"/>
        <w:right w:val="nil"/>
        <w:between w:val="nil"/>
      </w:pBdr>
      <w:tabs>
        <w:tab w:val="center" w:pos="4419"/>
        <w:tab w:val="right" w:pos="8838"/>
      </w:tabs>
      <w:rPr>
        <w:color w:val="000000"/>
      </w:rPr>
    </w:pPr>
  </w:p>
  <w:p w:rsidR="00A675F1" w:rsidRDefault="00A675F1"/>
  <w:p w:rsidR="00A675F1" w:rsidRDefault="00A675F1"/>
  <w:p w:rsidR="00A675F1" w:rsidRDefault="00A675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949" w:rsidRDefault="00D12949">
      <w:r>
        <w:separator/>
      </w:r>
    </w:p>
  </w:footnote>
  <w:footnote w:type="continuationSeparator" w:id="0">
    <w:p w:rsidR="00D12949" w:rsidRDefault="00D12949">
      <w:r>
        <w:continuationSeparator/>
      </w:r>
    </w:p>
  </w:footnote>
  <w:footnote w:id="1">
    <w:p w:rsidR="00A675F1" w:rsidRDefault="00870FAF">
      <w:pPr>
        <w:pBdr>
          <w:top w:val="nil"/>
          <w:left w:val="nil"/>
          <w:bottom w:val="nil"/>
          <w:right w:val="nil"/>
          <w:between w:val="nil"/>
        </w:pBdr>
        <w:rPr>
          <w:rFonts w:ascii="Palatino Linotype" w:eastAsia="Palatino Linotype" w:hAnsi="Palatino Linotype" w:cs="Palatino Linotype"/>
          <w:color w:val="000000"/>
          <w:sz w:val="22"/>
          <w:szCs w:val="22"/>
        </w:rPr>
      </w:pPr>
      <w:r>
        <w:rPr>
          <w:vertAlign w:val="superscript"/>
        </w:rPr>
        <w:footnoteRef/>
      </w:r>
      <w:r>
        <w:rPr>
          <w:rFonts w:ascii="Palatino Linotype" w:eastAsia="Palatino Linotype" w:hAnsi="Palatino Linotype" w:cs="Palatino Linotype"/>
          <w:color w:val="000000"/>
          <w:sz w:val="22"/>
          <w:szCs w:val="22"/>
        </w:rPr>
        <w:t xml:space="preserve"> Convención Americana sobre Derechos Humanos. Artículo 13.</w:t>
      </w:r>
    </w:p>
  </w:footnote>
  <w:footnote w:id="2">
    <w:p w:rsidR="00A675F1" w:rsidRDefault="00870FAF">
      <w:pPr>
        <w:pBdr>
          <w:top w:val="nil"/>
          <w:left w:val="nil"/>
          <w:bottom w:val="nil"/>
          <w:right w:val="nil"/>
          <w:between w:val="nil"/>
        </w:pBdr>
        <w:rPr>
          <w:rFonts w:ascii="Palatino Linotype" w:eastAsia="Palatino Linotype" w:hAnsi="Palatino Linotype" w:cs="Palatino Linotype"/>
          <w:color w:val="000000"/>
          <w:sz w:val="22"/>
          <w:szCs w:val="22"/>
        </w:rPr>
      </w:pPr>
      <w:r>
        <w:rPr>
          <w:vertAlign w:val="superscript"/>
        </w:rPr>
        <w:footnoteRef/>
      </w:r>
      <w:r>
        <w:rPr>
          <w:rFonts w:ascii="Palatino Linotype" w:eastAsia="Palatino Linotype" w:hAnsi="Palatino Linotype" w:cs="Palatino Linotype"/>
          <w:color w:val="000000"/>
          <w:sz w:val="22"/>
          <w:szCs w:val="22"/>
        </w:rPr>
        <w:t xml:space="preserve"> Constitución Política de los Estados Unidos Mexicanos. Artículo sexto, sección A, Fracción I.</w:t>
      </w:r>
    </w:p>
  </w:footnote>
  <w:footnote w:id="3">
    <w:p w:rsidR="00A675F1" w:rsidRDefault="00870FAF">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A675F1" w:rsidRDefault="00870FAF">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A675F1" w:rsidRDefault="00870FAF">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A675F1" w:rsidRDefault="00870FAF">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A675F1" w:rsidRDefault="00870FAF">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A675F1" w:rsidRDefault="00870FAF">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5F1" w:rsidRDefault="00D1294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A675F1" w:rsidRDefault="00A675F1"/>
  <w:p w:rsidR="00A675F1" w:rsidRDefault="00A675F1"/>
  <w:p w:rsidR="00A675F1" w:rsidRDefault="00A675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48" w:type="dxa"/>
      <w:tblInd w:w="0" w:type="dxa"/>
      <w:tblLayout w:type="fixed"/>
      <w:tblLook w:val="0400" w:firstRow="0" w:lastRow="0" w:firstColumn="0" w:lastColumn="0" w:noHBand="0" w:noVBand="1"/>
    </w:tblPr>
    <w:tblGrid>
      <w:gridCol w:w="1843"/>
      <w:gridCol w:w="8505"/>
    </w:tblGrid>
    <w:tr w:rsidR="00A675F1" w:rsidTr="004E319C">
      <w:trPr>
        <w:trHeight w:val="1435"/>
      </w:trPr>
      <w:tc>
        <w:tcPr>
          <w:tcW w:w="1843" w:type="dxa"/>
          <w:shd w:val="clear" w:color="auto" w:fill="auto"/>
        </w:tcPr>
        <w:p w:rsidR="00A675F1" w:rsidRDefault="00870FAF">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505" w:type="dxa"/>
          <w:shd w:val="clear" w:color="auto" w:fill="auto"/>
        </w:tcPr>
        <w:tbl>
          <w:tblPr>
            <w:tblStyle w:val="a1"/>
            <w:tblW w:w="7095" w:type="dxa"/>
            <w:tblInd w:w="1161" w:type="dxa"/>
            <w:tblBorders>
              <w:top w:val="nil"/>
              <w:left w:val="nil"/>
              <w:bottom w:val="nil"/>
              <w:right w:val="nil"/>
              <w:insideH w:val="nil"/>
              <w:insideV w:val="nil"/>
            </w:tblBorders>
            <w:tblLayout w:type="fixed"/>
            <w:tblLook w:val="0400" w:firstRow="0" w:lastRow="0" w:firstColumn="0" w:lastColumn="0" w:noHBand="0" w:noVBand="1"/>
          </w:tblPr>
          <w:tblGrid>
            <w:gridCol w:w="3227"/>
            <w:gridCol w:w="3868"/>
          </w:tblGrid>
          <w:tr w:rsidR="00A675F1" w:rsidTr="004E319C">
            <w:trPr>
              <w:trHeight w:val="338"/>
            </w:trPr>
            <w:tc>
              <w:tcPr>
                <w:tcW w:w="3227" w:type="dxa"/>
              </w:tcPr>
              <w:p w:rsidR="00A675F1" w:rsidRDefault="00870FAF">
                <w:pPr>
                  <w:tabs>
                    <w:tab w:val="right" w:pos="8838"/>
                  </w:tabs>
                  <w:ind w:left="566"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868" w:type="dxa"/>
              </w:tcPr>
              <w:p w:rsidR="00A675F1" w:rsidRDefault="00870FAF">
                <w:pPr>
                  <w:tabs>
                    <w:tab w:val="right" w:pos="8838"/>
                  </w:tabs>
                  <w:ind w:right="-493"/>
                  <w:rPr>
                    <w:rFonts w:ascii="Palatino Linotype" w:eastAsia="Palatino Linotype" w:hAnsi="Palatino Linotype" w:cs="Palatino Linotype"/>
                  </w:rPr>
                </w:pPr>
                <w:r>
                  <w:rPr>
                    <w:rFonts w:ascii="Palatino Linotype" w:eastAsia="Palatino Linotype" w:hAnsi="Palatino Linotype" w:cs="Palatino Linotype"/>
                  </w:rPr>
                  <w:t xml:space="preserve">14213/INFOEM/IP/RR/2025 </w:t>
                </w:r>
              </w:p>
            </w:tc>
          </w:tr>
          <w:tr w:rsidR="00A675F1" w:rsidTr="004E319C">
            <w:trPr>
              <w:trHeight w:val="283"/>
            </w:trPr>
            <w:tc>
              <w:tcPr>
                <w:tcW w:w="3227" w:type="dxa"/>
              </w:tcPr>
              <w:p w:rsidR="00A675F1" w:rsidRDefault="00870FAF">
                <w:pPr>
                  <w:tabs>
                    <w:tab w:val="right" w:pos="8838"/>
                  </w:tabs>
                  <w:ind w:left="566" w:right="-105"/>
                  <w:rPr>
                    <w:rFonts w:ascii="Palatino Linotype" w:eastAsia="Palatino Linotype" w:hAnsi="Palatino Linotype" w:cs="Palatino Linotype"/>
                    <w:b/>
                    <w:bCs/>
                  </w:rPr>
                </w:pPr>
                <w:bookmarkStart w:id="16" w:name="_heading=h.2s8eyo1" w:colFirst="0" w:colLast="0"/>
                <w:bookmarkEnd w:id="16"/>
                <w:r>
                  <w:rPr>
                    <w:rFonts w:ascii="Palatino Linotype" w:eastAsia="Palatino Linotype" w:hAnsi="Palatino Linotype" w:cs="Palatino Linotype"/>
                    <w:b/>
                    <w:bCs/>
                  </w:rPr>
                  <w:t>Sujeto Obligado:</w:t>
                </w:r>
              </w:p>
            </w:tc>
            <w:tc>
              <w:tcPr>
                <w:tcW w:w="3868" w:type="dxa"/>
              </w:tcPr>
              <w:p w:rsidR="00A675F1" w:rsidRDefault="00870FAF">
                <w:pPr>
                  <w:ind w:right="-17"/>
                  <w:jc w:val="both"/>
                  <w:rPr>
                    <w:rFonts w:ascii="Palatino Linotype" w:eastAsia="Palatino Linotype" w:hAnsi="Palatino Linotype" w:cs="Palatino Linotype"/>
                  </w:rPr>
                </w:pPr>
                <w:r>
                  <w:rPr>
                    <w:rFonts w:ascii="Palatino Linotype" w:eastAsia="Palatino Linotype" w:hAnsi="Palatino Linotype" w:cs="Palatino Linotype"/>
                  </w:rPr>
                  <w:t>Ayuntamiento de Tepotzotlán</w:t>
                </w:r>
              </w:p>
            </w:tc>
          </w:tr>
          <w:tr w:rsidR="00A675F1" w:rsidTr="004E319C">
            <w:trPr>
              <w:trHeight w:val="283"/>
            </w:trPr>
            <w:tc>
              <w:tcPr>
                <w:tcW w:w="3227" w:type="dxa"/>
              </w:tcPr>
              <w:p w:rsidR="00A675F1" w:rsidRDefault="00870FAF">
                <w:pPr>
                  <w:tabs>
                    <w:tab w:val="right" w:pos="8838"/>
                  </w:tabs>
                  <w:ind w:left="566"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68" w:type="dxa"/>
              </w:tcPr>
              <w:p w:rsidR="00A675F1" w:rsidRDefault="00870FAF">
                <w:pPr>
                  <w:ind w:right="-1545"/>
                  <w:rPr>
                    <w:rFonts w:ascii="Palatino Linotype" w:eastAsia="Palatino Linotype" w:hAnsi="Palatino Linotype" w:cs="Palatino Linotype"/>
                    <w:b/>
                    <w:bCs/>
                  </w:rPr>
                </w:pPr>
                <w:r>
                  <w:rPr>
                    <w:rFonts w:ascii="Palatino Linotype" w:eastAsia="Palatino Linotype" w:hAnsi="Palatino Linotype" w:cs="Palatino Linotype"/>
                  </w:rPr>
                  <w:t>María del Rosario Mejía Ayala</w:t>
                </w:r>
              </w:p>
            </w:tc>
          </w:tr>
        </w:tbl>
        <w:p w:rsidR="00A675F1" w:rsidRDefault="00A675F1">
          <w:pPr>
            <w:tabs>
              <w:tab w:val="right" w:pos="8838"/>
            </w:tabs>
            <w:ind w:left="-28"/>
            <w:jc w:val="both"/>
            <w:rPr>
              <w:rFonts w:ascii="Arial" w:eastAsia="Arial" w:hAnsi="Arial" w:cs="Arial"/>
              <w:b/>
              <w:bCs/>
              <w:sz w:val="22"/>
              <w:szCs w:val="22"/>
            </w:rPr>
          </w:pPr>
        </w:p>
      </w:tc>
    </w:tr>
  </w:tbl>
  <w:p w:rsidR="00A675F1" w:rsidRDefault="00D12949">
    <w:pPr>
      <w:pBdr>
        <w:top w:val="nil"/>
        <w:left w:val="nil"/>
        <w:bottom w:val="nil"/>
        <w:right w:val="nil"/>
        <w:between w:val="nil"/>
      </w:pBdr>
      <w:tabs>
        <w:tab w:val="center" w:pos="4419"/>
        <w:tab w:val="right" w:pos="8838"/>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4.25pt;margin-top:-135.8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560" w:type="dxa"/>
      <w:tblInd w:w="0" w:type="dxa"/>
      <w:tblLayout w:type="fixed"/>
      <w:tblLook w:val="0400" w:firstRow="0" w:lastRow="0" w:firstColumn="0" w:lastColumn="0" w:noHBand="0" w:noVBand="1"/>
    </w:tblPr>
    <w:tblGrid>
      <w:gridCol w:w="1560"/>
      <w:gridCol w:w="9000"/>
    </w:tblGrid>
    <w:tr w:rsidR="00A675F1">
      <w:trPr>
        <w:trHeight w:val="1435"/>
      </w:trPr>
      <w:tc>
        <w:tcPr>
          <w:tcW w:w="1560" w:type="dxa"/>
          <w:shd w:val="clear" w:color="auto" w:fill="auto"/>
        </w:tcPr>
        <w:p w:rsidR="00A675F1" w:rsidRDefault="00A675F1">
          <w:pPr>
            <w:tabs>
              <w:tab w:val="right" w:pos="4273"/>
            </w:tabs>
            <w:rPr>
              <w:rFonts w:ascii="Garamond" w:eastAsia="Garamond" w:hAnsi="Garamond" w:cs="Garamond"/>
              <w:sz w:val="22"/>
              <w:szCs w:val="22"/>
            </w:rPr>
          </w:pPr>
        </w:p>
      </w:tc>
      <w:tc>
        <w:tcPr>
          <w:tcW w:w="9000" w:type="dxa"/>
          <w:shd w:val="clear" w:color="auto" w:fill="auto"/>
        </w:tcPr>
        <w:tbl>
          <w:tblPr>
            <w:tblStyle w:val="a3"/>
            <w:tblW w:w="8940"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942"/>
            <w:gridCol w:w="3868"/>
            <w:gridCol w:w="2130"/>
          </w:tblGrid>
          <w:tr w:rsidR="00A675F1">
            <w:trPr>
              <w:trHeight w:val="144"/>
            </w:trPr>
            <w:tc>
              <w:tcPr>
                <w:tcW w:w="2942" w:type="dxa"/>
              </w:tcPr>
              <w:p w:rsidR="00A675F1" w:rsidRDefault="00870FAF">
                <w:pPr>
                  <w:tabs>
                    <w:tab w:val="right" w:pos="8838"/>
                  </w:tabs>
                  <w:ind w:left="-74" w:right="-105"/>
                  <w:rPr>
                    <w:rFonts w:ascii="Palatino Linotype" w:eastAsia="Palatino Linotype" w:hAnsi="Palatino Linotype" w:cs="Palatino Linotype"/>
                    <w:b/>
                    <w:bCs/>
                  </w:rPr>
                </w:pPr>
                <w:bookmarkStart w:id="17" w:name="_heading=h.17dp8vu" w:colFirst="0" w:colLast="0"/>
                <w:bookmarkEnd w:id="17"/>
                <w:r>
                  <w:rPr>
                    <w:rFonts w:ascii="Palatino Linotype" w:eastAsia="Palatino Linotype" w:hAnsi="Palatino Linotype" w:cs="Palatino Linotype"/>
                    <w:b/>
                    <w:bCs/>
                  </w:rPr>
                  <w:t>Recurso de Revisión:</w:t>
                </w:r>
              </w:p>
            </w:tc>
            <w:tc>
              <w:tcPr>
                <w:tcW w:w="3868" w:type="dxa"/>
              </w:tcPr>
              <w:p w:rsidR="00A675F1" w:rsidRDefault="00870FAF">
                <w:pPr>
                  <w:tabs>
                    <w:tab w:val="right" w:pos="8838"/>
                  </w:tabs>
                  <w:ind w:left="-3" w:right="-480"/>
                  <w:rPr>
                    <w:rFonts w:ascii="Palatino Linotype" w:eastAsia="Palatino Linotype" w:hAnsi="Palatino Linotype" w:cs="Palatino Linotype"/>
                  </w:rPr>
                </w:pPr>
                <w:r>
                  <w:rPr>
                    <w:rFonts w:ascii="Palatino Linotype" w:eastAsia="Palatino Linotype" w:hAnsi="Palatino Linotype" w:cs="Palatino Linotype"/>
                  </w:rPr>
                  <w:t>14213/INFOEM/IP/RR/2025</w:t>
                </w:r>
              </w:p>
            </w:tc>
            <w:tc>
              <w:tcPr>
                <w:tcW w:w="2130" w:type="dxa"/>
              </w:tcPr>
              <w:p w:rsidR="00A675F1" w:rsidRDefault="00A675F1">
                <w:pPr>
                  <w:tabs>
                    <w:tab w:val="right" w:pos="8838"/>
                  </w:tabs>
                  <w:ind w:left="-74" w:right="-105"/>
                  <w:jc w:val="both"/>
                  <w:rPr>
                    <w:rFonts w:ascii="Palatino Linotype" w:eastAsia="Palatino Linotype" w:hAnsi="Palatino Linotype" w:cs="Palatino Linotype"/>
                    <w:sz w:val="22"/>
                    <w:szCs w:val="22"/>
                  </w:rPr>
                </w:pPr>
              </w:p>
            </w:tc>
          </w:tr>
          <w:tr w:rsidR="00A675F1">
            <w:trPr>
              <w:trHeight w:val="144"/>
            </w:trPr>
            <w:tc>
              <w:tcPr>
                <w:tcW w:w="2942" w:type="dxa"/>
              </w:tcPr>
              <w:p w:rsidR="00A675F1" w:rsidRDefault="00870FAF">
                <w:pPr>
                  <w:tabs>
                    <w:tab w:val="right" w:pos="8838"/>
                  </w:tabs>
                  <w:ind w:left="-74" w:right="-105"/>
                  <w:rPr>
                    <w:rFonts w:ascii="Palatino Linotype" w:eastAsia="Palatino Linotype" w:hAnsi="Palatino Linotype" w:cs="Palatino Linotype"/>
                    <w:b/>
                    <w:bCs/>
                  </w:rPr>
                </w:pPr>
                <w:bookmarkStart w:id="18" w:name="_heading=h.3rdcrjn" w:colFirst="0" w:colLast="0"/>
                <w:bookmarkEnd w:id="18"/>
                <w:r>
                  <w:rPr>
                    <w:rFonts w:ascii="Palatino Linotype" w:eastAsia="Palatino Linotype" w:hAnsi="Palatino Linotype" w:cs="Palatino Linotype"/>
                    <w:b/>
                    <w:bCs/>
                  </w:rPr>
                  <w:t>Recurrente:</w:t>
                </w:r>
              </w:p>
            </w:tc>
            <w:tc>
              <w:tcPr>
                <w:tcW w:w="3868" w:type="dxa"/>
              </w:tcPr>
              <w:p w:rsidR="00A675F1" w:rsidRDefault="0080672A">
                <w:pPr>
                  <w:tabs>
                    <w:tab w:val="left" w:pos="3122"/>
                    <w:tab w:val="right" w:pos="8838"/>
                  </w:tabs>
                  <w:ind w:right="-480"/>
                  <w:rPr>
                    <w:rFonts w:ascii="Palatino Linotype" w:eastAsia="Palatino Linotype" w:hAnsi="Palatino Linotype" w:cs="Palatino Linotype"/>
                  </w:rPr>
                </w:pPr>
                <w:r>
                  <w:rPr>
                    <w:rFonts w:ascii="Palatino Linotype" w:eastAsia="Palatino Linotype" w:hAnsi="Palatino Linotype" w:cs="Palatino Linotype"/>
                  </w:rPr>
                  <w:t>XXXX</w:t>
                </w:r>
              </w:p>
            </w:tc>
            <w:tc>
              <w:tcPr>
                <w:tcW w:w="2130" w:type="dxa"/>
              </w:tcPr>
              <w:p w:rsidR="00A675F1" w:rsidRDefault="00A675F1">
                <w:pPr>
                  <w:tabs>
                    <w:tab w:val="left" w:pos="3122"/>
                    <w:tab w:val="right" w:pos="8838"/>
                  </w:tabs>
                  <w:ind w:right="-105"/>
                  <w:jc w:val="both"/>
                  <w:rPr>
                    <w:rFonts w:ascii="Palatino Linotype" w:eastAsia="Palatino Linotype" w:hAnsi="Palatino Linotype" w:cs="Palatino Linotype"/>
                    <w:sz w:val="22"/>
                    <w:szCs w:val="22"/>
                  </w:rPr>
                </w:pPr>
              </w:p>
            </w:tc>
          </w:tr>
          <w:tr w:rsidR="00A675F1">
            <w:trPr>
              <w:trHeight w:val="283"/>
            </w:trPr>
            <w:tc>
              <w:tcPr>
                <w:tcW w:w="2942" w:type="dxa"/>
              </w:tcPr>
              <w:p w:rsidR="00A675F1" w:rsidRDefault="00870FAF">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68" w:type="dxa"/>
              </w:tcPr>
              <w:p w:rsidR="00A675F1" w:rsidRDefault="00870FAF">
                <w:pPr>
                  <w:tabs>
                    <w:tab w:val="left" w:pos="2834"/>
                    <w:tab w:val="right" w:pos="8838"/>
                  </w:tabs>
                  <w:ind w:left="-3" w:right="-480"/>
                  <w:rPr>
                    <w:rFonts w:ascii="Palatino Linotype" w:eastAsia="Palatino Linotype" w:hAnsi="Palatino Linotype" w:cs="Palatino Linotype"/>
                  </w:rPr>
                </w:pPr>
                <w:r>
                  <w:rPr>
                    <w:rFonts w:ascii="Palatino Linotype" w:eastAsia="Palatino Linotype" w:hAnsi="Palatino Linotype" w:cs="Palatino Linotype"/>
                  </w:rPr>
                  <w:t>Ayuntamiento de Tepotzotlán</w:t>
                </w:r>
              </w:p>
            </w:tc>
            <w:tc>
              <w:tcPr>
                <w:tcW w:w="2130" w:type="dxa"/>
              </w:tcPr>
              <w:p w:rsidR="00A675F1" w:rsidRDefault="00A675F1">
                <w:pPr>
                  <w:tabs>
                    <w:tab w:val="left" w:pos="2834"/>
                    <w:tab w:val="right" w:pos="8838"/>
                  </w:tabs>
                  <w:ind w:left="-74" w:right="-105"/>
                  <w:jc w:val="both"/>
                  <w:rPr>
                    <w:rFonts w:ascii="Palatino Linotype" w:eastAsia="Palatino Linotype" w:hAnsi="Palatino Linotype" w:cs="Palatino Linotype"/>
                    <w:sz w:val="22"/>
                    <w:szCs w:val="22"/>
                  </w:rPr>
                </w:pPr>
              </w:p>
            </w:tc>
          </w:tr>
          <w:tr w:rsidR="00A675F1">
            <w:trPr>
              <w:trHeight w:val="283"/>
            </w:trPr>
            <w:tc>
              <w:tcPr>
                <w:tcW w:w="2942" w:type="dxa"/>
              </w:tcPr>
              <w:p w:rsidR="00A675F1" w:rsidRDefault="00870FAF">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68" w:type="dxa"/>
              </w:tcPr>
              <w:p w:rsidR="00A675F1" w:rsidRDefault="00870FAF">
                <w:pPr>
                  <w:tabs>
                    <w:tab w:val="right" w:pos="8838"/>
                  </w:tabs>
                  <w:ind w:left="-3" w:right="-480"/>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c>
              <w:tcPr>
                <w:tcW w:w="2130" w:type="dxa"/>
              </w:tcPr>
              <w:p w:rsidR="00A675F1" w:rsidRDefault="00A675F1">
                <w:pPr>
                  <w:tabs>
                    <w:tab w:val="right" w:pos="8838"/>
                  </w:tabs>
                  <w:ind w:left="-74" w:right="-105"/>
                  <w:jc w:val="both"/>
                  <w:rPr>
                    <w:rFonts w:ascii="Palatino Linotype" w:eastAsia="Palatino Linotype" w:hAnsi="Palatino Linotype" w:cs="Palatino Linotype"/>
                    <w:sz w:val="22"/>
                    <w:szCs w:val="22"/>
                  </w:rPr>
                </w:pPr>
              </w:p>
            </w:tc>
          </w:tr>
        </w:tbl>
        <w:p w:rsidR="00A675F1" w:rsidRDefault="00A675F1">
          <w:pPr>
            <w:tabs>
              <w:tab w:val="right" w:pos="8838"/>
            </w:tabs>
            <w:ind w:left="-28"/>
            <w:jc w:val="both"/>
            <w:rPr>
              <w:rFonts w:ascii="Arial" w:eastAsia="Arial" w:hAnsi="Arial" w:cs="Arial"/>
              <w:b/>
              <w:bCs/>
              <w:sz w:val="22"/>
              <w:szCs w:val="22"/>
            </w:rPr>
          </w:pPr>
        </w:p>
      </w:tc>
    </w:tr>
  </w:tbl>
  <w:p w:rsidR="00A675F1" w:rsidRDefault="00D12949">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6.85pt;margin-top:-129.05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B2D46"/>
    <w:multiLevelType w:val="multilevel"/>
    <w:tmpl w:val="422CF0D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53B1AA8"/>
    <w:multiLevelType w:val="multilevel"/>
    <w:tmpl w:val="C2B89C90"/>
    <w:lvl w:ilvl="0">
      <w:start w:val="1"/>
      <w:numFmt w:val="decimal"/>
      <w:lvlText w:val="%1."/>
      <w:lvlJc w:val="left"/>
      <w:pPr>
        <w:ind w:left="643"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bCs/>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 w15:restartNumberingAfterBreak="0">
    <w:nsid w:val="428E0C30"/>
    <w:multiLevelType w:val="multilevel"/>
    <w:tmpl w:val="60181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6032AD"/>
    <w:multiLevelType w:val="multilevel"/>
    <w:tmpl w:val="BF70A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8943ED"/>
    <w:multiLevelType w:val="multilevel"/>
    <w:tmpl w:val="228474F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82730C1"/>
    <w:multiLevelType w:val="multilevel"/>
    <w:tmpl w:val="1A127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DFC10C3"/>
    <w:multiLevelType w:val="multilevel"/>
    <w:tmpl w:val="97CAB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
  </w:num>
  <w:num w:numId="3">
    <w:abstractNumId w:val="4"/>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5F1"/>
    <w:rsid w:val="00044626"/>
    <w:rsid w:val="00412ACB"/>
    <w:rsid w:val="004E319C"/>
    <w:rsid w:val="005154B8"/>
    <w:rsid w:val="006E5505"/>
    <w:rsid w:val="0080672A"/>
    <w:rsid w:val="00870FAF"/>
    <w:rsid w:val="00A205A1"/>
    <w:rsid w:val="00A675F1"/>
    <w:rsid w:val="00AD59DC"/>
    <w:rsid w:val="00D129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9FC0E68-6378-4B0D-83CC-4C1222B9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4E319C"/>
    <w:pPr>
      <w:tabs>
        <w:tab w:val="center" w:pos="4419"/>
        <w:tab w:val="right" w:pos="8838"/>
      </w:tabs>
    </w:pPr>
  </w:style>
  <w:style w:type="character" w:customStyle="1" w:styleId="PiedepginaCar">
    <w:name w:val="Pie de página Car"/>
    <w:basedOn w:val="Fuentedeprrafopredeter"/>
    <w:link w:val="Piedepgina"/>
    <w:uiPriority w:val="99"/>
    <w:rsid w:val="004E3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WgpTPBXZJ4lKaLFNvFV/12Nsg==">CgMxLjAyCGguZ2pkZ3hzMgloLjN6bnlzaDcyCWguMmV0OTJwMDIIaC50eWpjd3QyCWguM2R5NnZrbTIJaC4xdDNoNXNmMg5oLmgxc2pvNm1uZ2RzazIOaC5sZ2UydW9qdDdvc2EyCWguNGQzNG9nODIOaC5yMmIxamtydTQ5MjcyDmgud2pqaWpxNWkwaDJoMg5oLmdheGpyMmRraTlycjIJaC4zMGowemxsMgloLjFrc3Y0dXYyCWguMnM4ZXlvMTIJaC4xN2RwOHZ1MgloLjNyZGNyam44AHIhMXNkRW4tSDdMd2dxazR3cW1ObkZIOVZHZmZuUXAwaD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8909</Words>
  <Characters>49005</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2026-05-21T23:26:00Z</cp:lastPrinted>
  <dcterms:created xsi:type="dcterms:W3CDTF">2026-05-20T23:48:00Z</dcterms:created>
  <dcterms:modified xsi:type="dcterms:W3CDTF">2026-05-29T00:24:00Z</dcterms:modified>
</cp:coreProperties>
</file>