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rFonts w:ascii="Palatino Linotype" w:cs="Palatino Linotype" w:eastAsia="Palatino Linotype" w:hAnsi="Palatino Linotype"/>
          <w:sz w:val="22"/>
          <w:szCs w:val="22"/>
        </w:rPr>
      </w:pPr>
      <w:bookmarkStart w:colFirst="0" w:colLast="0" w:name="_heading=h.gjdgxs" w:id="0"/>
      <w:bookmarkEnd w:id="0"/>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de fecha veintiuno de enero de dos mil veintiséis. </w:t>
      </w:r>
    </w:p>
    <w:p w:rsidR="00000000" w:rsidDel="00000000" w:rsidP="00000000" w:rsidRDefault="00000000" w:rsidRPr="00000000" w14:paraId="00000002">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0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Visto </w:t>
      </w:r>
      <w:r w:rsidDel="00000000" w:rsidR="00000000" w:rsidRPr="00000000">
        <w:rPr>
          <w:rFonts w:ascii="Palatino Linotype" w:cs="Palatino Linotype" w:eastAsia="Palatino Linotype" w:hAnsi="Palatino Linotype"/>
          <w:sz w:val="22"/>
          <w:szCs w:val="22"/>
          <w:rtl w:val="0"/>
        </w:rPr>
        <w:t xml:space="preserve">el expediente relativo al recurso de revisión </w:t>
      </w:r>
      <w:r w:rsidDel="00000000" w:rsidR="00000000" w:rsidRPr="00000000">
        <w:rPr>
          <w:rFonts w:ascii="Palatino Linotype" w:cs="Palatino Linotype" w:eastAsia="Palatino Linotype" w:hAnsi="Palatino Linotype"/>
          <w:b w:val="1"/>
          <w:bCs w:val="1"/>
          <w:sz w:val="22"/>
          <w:szCs w:val="22"/>
          <w:rtl w:val="0"/>
        </w:rPr>
        <w:t xml:space="preserve">14229/INFOEM/IP/RR/2025</w:t>
      </w:r>
      <w:r w:rsidDel="00000000" w:rsidR="00000000" w:rsidRPr="00000000">
        <w:rPr>
          <w:rFonts w:ascii="Palatino Linotype" w:cs="Palatino Linotype" w:eastAsia="Palatino Linotype" w:hAnsi="Palatino Linotype"/>
          <w:sz w:val="22"/>
          <w:szCs w:val="22"/>
          <w:rtl w:val="0"/>
        </w:rPr>
        <w:t xml:space="preserve">, interpuesto por</w:t>
      </w:r>
      <w:r w:rsidDel="00000000" w:rsidR="00000000" w:rsidRPr="00000000">
        <w:rPr>
          <w:rFonts w:ascii="Palatino Linotype" w:cs="Palatino Linotype" w:eastAsia="Palatino Linotype" w:hAnsi="Palatino Linotype"/>
          <w:b w:val="1"/>
          <w:bCs w:val="1"/>
          <w:sz w:val="21"/>
          <w:szCs w:val="21"/>
          <w:rtl w:val="0"/>
        </w:rPr>
        <w:t xml:space="preserve"> XXXXXX XXXXXXX XXXXXXX </w:t>
      </w:r>
      <w:r w:rsidDel="00000000" w:rsidR="00000000" w:rsidRPr="00000000">
        <w:rPr>
          <w:rFonts w:ascii="Palatino Linotype" w:cs="Palatino Linotype" w:eastAsia="Palatino Linotype" w:hAnsi="Palatino Linotype"/>
          <w:b w:val="1"/>
          <w:bCs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en lo sucesivo la parte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en contra de la falta de respuesta a la solicitud de acceso a la información con número de folio</w:t>
      </w:r>
      <w:r w:rsidDel="00000000" w:rsidR="00000000" w:rsidRPr="00000000">
        <w:rPr>
          <w:rFonts w:ascii="Verdana" w:cs="Verdana" w:eastAsia="Verdana" w:hAnsi="Verdana"/>
          <w:b w:val="1"/>
          <w:bCs w:val="1"/>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01198/TEPOTZOT/IP/2025, </w:t>
      </w:r>
      <w:r w:rsidDel="00000000" w:rsidR="00000000" w:rsidRPr="00000000">
        <w:rPr>
          <w:rFonts w:ascii="Palatino Linotype" w:cs="Palatino Linotype" w:eastAsia="Palatino Linotype" w:hAnsi="Palatino Linotype"/>
          <w:sz w:val="22"/>
          <w:szCs w:val="22"/>
          <w:rtl w:val="0"/>
        </w:rPr>
        <w:t xml:space="preserve">por parte del </w:t>
      </w:r>
      <w:r w:rsidDel="00000000" w:rsidR="00000000" w:rsidRPr="00000000">
        <w:rPr>
          <w:rFonts w:ascii="Palatino Linotype" w:cs="Palatino Linotype" w:eastAsia="Palatino Linotype" w:hAnsi="Palatino Linotype"/>
          <w:b w:val="1"/>
          <w:bCs w:val="1"/>
          <w:sz w:val="22"/>
          <w:szCs w:val="22"/>
          <w:rtl w:val="0"/>
        </w:rPr>
        <w:t xml:space="preserve">Ayuntamiento de Tepotzotlán,</w:t>
      </w:r>
      <w:r w:rsidDel="00000000" w:rsidR="00000000" w:rsidRPr="00000000">
        <w:rPr>
          <w:rFonts w:ascii="Palatino Linotype" w:cs="Palatino Linotype" w:eastAsia="Palatino Linotype" w:hAnsi="Palatino Linotype"/>
          <w:sz w:val="22"/>
          <w:szCs w:val="22"/>
          <w:rtl w:val="0"/>
        </w:rPr>
        <w:t xml:space="preserve"> en lo sucesivo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 siguiente. </w:t>
      </w:r>
    </w:p>
    <w:p w:rsidR="00000000" w:rsidDel="00000000" w:rsidP="00000000" w:rsidRDefault="00000000" w:rsidRPr="00000000" w14:paraId="0000000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5">
      <w:pPr>
        <w:numPr>
          <w:ilvl w:val="0"/>
          <w:numId w:val="5"/>
        </w:numPr>
        <w:pBdr>
          <w:top w:space="0" w:sz="0" w:val="nil"/>
          <w:left w:space="0" w:sz="0" w:val="nil"/>
          <w:bottom w:space="0" w:sz="0" w:val="nil"/>
          <w:right w:space="0" w:sz="0" w:val="nil"/>
          <w:between w:space="0" w:sz="0" w:val="nil"/>
        </w:pBdr>
        <w:spacing w:line="360" w:lineRule="auto"/>
        <w:ind w:left="1077" w:hanging="720"/>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 N T E C E D E N T E S:</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360" w:lineRule="auto"/>
        <w:ind w:left="1077" w:firstLine="0"/>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0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1. Solicitud de acceso a la información.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bCs w:val="1"/>
          <w:sz w:val="22"/>
          <w:szCs w:val="22"/>
          <w:rtl w:val="0"/>
        </w:rPr>
        <w:t xml:space="preserve">dieciséis de noviembre de dos mil veinticinco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formuló a través del Sistema de Acceso a la Información Mexiquense, en adelante </w:t>
      </w:r>
      <w:r w:rsidDel="00000000" w:rsidR="00000000" w:rsidRPr="00000000">
        <w:rPr>
          <w:rFonts w:ascii="Palatino Linotype" w:cs="Palatino Linotype" w:eastAsia="Palatino Linotype" w:hAnsi="Palatino Linotype"/>
          <w:b w:val="1"/>
          <w:bCs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solicitud de información al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requiriéndole lo siguiente:</w:t>
      </w:r>
    </w:p>
    <w:p w:rsidR="00000000" w:rsidDel="00000000" w:rsidP="00000000" w:rsidRDefault="00000000" w:rsidRPr="00000000" w14:paraId="0000000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9">
      <w:pP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“Copia de permisos otorgados a funcionarios para ausentarse 2025”.  (sic)</w:t>
      </w:r>
    </w:p>
    <w:p w:rsidR="00000000" w:rsidDel="00000000" w:rsidP="00000000" w:rsidRDefault="00000000" w:rsidRPr="00000000" w14:paraId="0000000A">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0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Modalidad elegida para la entrega de la información: </w:t>
      </w:r>
      <w:r w:rsidDel="00000000" w:rsidR="00000000" w:rsidRPr="00000000">
        <w:rPr>
          <w:rFonts w:ascii="Palatino Linotype" w:cs="Palatino Linotype" w:eastAsia="Palatino Linotype" w:hAnsi="Palatino Linotype"/>
          <w:sz w:val="22"/>
          <w:szCs w:val="22"/>
          <w:rtl w:val="0"/>
        </w:rPr>
        <w:t xml:space="preserve">a través del SAIMEX.</w:t>
      </w:r>
    </w:p>
    <w:p w:rsidR="00000000" w:rsidDel="00000000" w:rsidP="00000000" w:rsidRDefault="00000000" w:rsidRPr="00000000" w14:paraId="0000000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D">
      <w:pPr>
        <w:spacing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2. Respuesta.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fue omiso en proporcionar respuesta. </w:t>
      </w:r>
      <w:r w:rsidDel="00000000" w:rsidR="00000000" w:rsidRPr="00000000">
        <w:rPr>
          <w:rtl w:val="0"/>
        </w:rPr>
      </w:r>
    </w:p>
    <w:p w:rsidR="00000000" w:rsidDel="00000000" w:rsidP="00000000" w:rsidRDefault="00000000" w:rsidRPr="00000000" w14:paraId="0000000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3. Interposición del recurso de revisión. </w:t>
      </w:r>
      <w:r w:rsidDel="00000000" w:rsidR="00000000" w:rsidRPr="00000000">
        <w:rPr>
          <w:rFonts w:ascii="Palatino Linotype" w:cs="Palatino Linotype" w:eastAsia="Palatino Linotype" w:hAnsi="Palatino Linotype"/>
          <w:sz w:val="22"/>
          <w:szCs w:val="22"/>
          <w:rtl w:val="0"/>
        </w:rPr>
        <w:t xml:space="preserve">Inconforme la parte solicitante con la falta de respuesta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interpuso recurso de revisión a través del SAIMEX en fecha </w:t>
      </w:r>
      <w:r w:rsidDel="00000000" w:rsidR="00000000" w:rsidRPr="00000000">
        <w:rPr>
          <w:rFonts w:ascii="Palatino Linotype" w:cs="Palatino Linotype" w:eastAsia="Palatino Linotype" w:hAnsi="Palatino Linotype"/>
          <w:b w:val="1"/>
          <w:bCs w:val="1"/>
          <w:sz w:val="22"/>
          <w:szCs w:val="22"/>
          <w:rtl w:val="0"/>
        </w:rPr>
        <w:t xml:space="preserve">doce de diciembre de dos mil veinticinco</w:t>
      </w:r>
      <w:r w:rsidDel="00000000" w:rsidR="00000000" w:rsidRPr="00000000">
        <w:rPr>
          <w:rFonts w:ascii="Palatino Linotype" w:cs="Palatino Linotype" w:eastAsia="Palatino Linotype" w:hAnsi="Palatino Linotype"/>
          <w:sz w:val="22"/>
          <w:szCs w:val="22"/>
          <w:rtl w:val="0"/>
        </w:rPr>
        <w:t xml:space="preserve">, expresando lo siguiente:</w:t>
      </w:r>
    </w:p>
    <w:p w:rsidR="00000000" w:rsidDel="00000000" w:rsidP="00000000" w:rsidRDefault="00000000" w:rsidRPr="00000000" w14:paraId="0000001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1">
      <w:pPr>
        <w:spacing w:line="360" w:lineRule="auto"/>
        <w:ind w:left="567"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 Acto impugnado</w:t>
      </w:r>
      <w:r w:rsidDel="00000000" w:rsidR="00000000" w:rsidRPr="00000000">
        <w:rPr>
          <w:rFonts w:ascii="Palatino Linotype" w:cs="Palatino Linotype" w:eastAsia="Palatino Linotype" w:hAnsi="Palatino Linotype"/>
          <w:b w:val="1"/>
          <w:bCs w:val="1"/>
          <w:i w:val="1"/>
          <w:iCs w:val="1"/>
          <w:sz w:val="22"/>
          <w:szCs w:val="22"/>
          <w:rtl w:val="0"/>
        </w:rPr>
        <w:t xml:space="preserve">. </w:t>
      </w:r>
      <w:r w:rsidDel="00000000" w:rsidR="00000000" w:rsidRPr="00000000">
        <w:rPr>
          <w:rFonts w:ascii="Palatino Linotype" w:cs="Palatino Linotype" w:eastAsia="Palatino Linotype" w:hAnsi="Palatino Linotype"/>
          <w:i w:val="1"/>
          <w:iCs w:val="1"/>
          <w:sz w:val="22"/>
          <w:szCs w:val="22"/>
          <w:rtl w:val="0"/>
        </w:rPr>
        <w:t xml:space="preserve">“Copia de permisos otorgados a funcionarios para ausentarse 2025”. (Sic)</w:t>
      </w:r>
      <w:r w:rsidDel="00000000" w:rsidR="00000000" w:rsidRPr="00000000">
        <w:rPr>
          <w:rtl w:val="0"/>
        </w:rPr>
      </w:r>
    </w:p>
    <w:p w:rsidR="00000000" w:rsidDel="00000000" w:rsidP="00000000" w:rsidRDefault="00000000" w:rsidRPr="00000000" w14:paraId="00000012">
      <w:pPr>
        <w:spacing w:line="360" w:lineRule="auto"/>
        <w:ind w:left="567" w:right="616" w:firstLine="0"/>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13">
      <w:pPr>
        <w:spacing w:line="360"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b) Motivos de inconformidad. </w:t>
      </w:r>
      <w:r w:rsidDel="00000000" w:rsidR="00000000" w:rsidRPr="00000000">
        <w:rPr>
          <w:rFonts w:ascii="Palatino Linotype" w:cs="Palatino Linotype" w:eastAsia="Palatino Linotype" w:hAnsi="Palatino Linotype"/>
          <w:i w:val="1"/>
          <w:iCs w:val="1"/>
          <w:sz w:val="22"/>
          <w:szCs w:val="22"/>
          <w:rtl w:val="0"/>
        </w:rPr>
        <w:t xml:space="preserve">“El Ayuntamiento de Tepotzotlán vulnera mis derechos de acceso a la información al NO emitir respuesta en tiempo, NO fundar ni motivar una inexistencia, reserva o clasificación. NO proporcionar los documentos solicitados. NO orientar, turnar ni emitir ampliación justificada. La conducta del sujeto obligado constituye una obstrucción del derecho de acceso a la información, afectándome directamente como persona solicitante, al dejarme en estado de incertidumbre jurídica sin resolución válida. En términos del articulo 6 y 8 constitucional tengo derecho a realizar mi petición y tener acceso a la información pública, así mismo de conformidad al articulo 4, 11, 15, 92, 111, 112, 150, 151, 152, 160, 162, 176, 177, 178, 179, 180, de la Ley de Transparencia y Acceso a la Información Publica del Estado de México y Municipios se hace de su conocimiento que transcurrido el plazo para darme una respuesta el ayuntamiento hizo caso omiso y nunca contesto mi solicitud de información publica por lo que exijo una respuesta ya que se supone deben hacer una revisión exhaustiva para buscar los documentos públicos solicitados. Solicito respetuosamente que el INFOEM determine la omisión del Sujeto Obligado al no responder mi solicitud de información dentro del plazo legal, lo cual constituye una infracción conforme a los artículos de la Ley de Transparencia del Estado de México y Municipios. De igual forma solicito que se otorgue vista al Órgano Interno de Control del Ayuntamiento para que, conforme a los artículos 194, 195, 196, 200, 213, 214, 215, 222, 223 y 224 de la citada ley, así como 49, 50, 57 y 76–81 de la Ley de Responsabilidades Administrativas del Estado de México y Municipios, lleve a cabo el procedimiento correspondiente e imponga las sanciones, multas o apercibimientos que resulten aplicables contra el servidor público responsable de la omisión. Solicito también que el INFOEM aperciba a la Unidad de Transparencia del Ayuntamiento para que dé cumplimiento inmediato a la entrega de la información requerida. Solicito que, de conformidad con la ley, se impongan las sanciones correspondientes a los funcionarios responsables por incumplimiento de los plazos de respuesta. En caso de inexistencia (que debe ser demostrada), se requiera al Comité de Transparencia seguir el procedimiento de verificación. En caso de que la información solicitada contenga datos personales, clasificados o confidenciales, requiero que el sujeto obligado elabore y entregue versión pública debidamente testada garantizando mi derecho de acceso a la información sin afectar los datos protegidos. Se solicita que el testado sea estricto, proporcional y justificado, acompañado del acta del Comité de Transparencia donde conste la clasificación o determinación correspondiente..” (Sic)</w:t>
      </w:r>
    </w:p>
    <w:p w:rsidR="00000000" w:rsidDel="00000000" w:rsidP="00000000" w:rsidRDefault="00000000" w:rsidRPr="00000000" w14:paraId="00000014">
      <w:pPr>
        <w:spacing w:line="360" w:lineRule="auto"/>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1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4. 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Transparencia y Acceso a la Información Pública, el recurso de revisión fue turnado a la Comisionada Ponente </w:t>
      </w:r>
      <w:r w:rsidDel="00000000" w:rsidR="00000000" w:rsidRPr="00000000">
        <w:rPr>
          <w:rFonts w:ascii="Palatino Linotype" w:cs="Palatino Linotype" w:eastAsia="Palatino Linotype" w:hAnsi="Palatino Linotype"/>
          <w:b w:val="1"/>
          <w:bCs w:val="1"/>
          <w:sz w:val="22"/>
          <w:szCs w:val="22"/>
          <w:rtl w:val="0"/>
        </w:rPr>
        <w:t xml:space="preserve">Guadalupe Ramírez Peña</w:t>
      </w:r>
      <w:r w:rsidDel="00000000" w:rsidR="00000000" w:rsidRPr="00000000">
        <w:rPr>
          <w:rFonts w:ascii="Palatino Linotype" w:cs="Palatino Linotype" w:eastAsia="Palatino Linotype" w:hAnsi="Palatino Linotype"/>
          <w:sz w:val="22"/>
          <w:szCs w:val="22"/>
          <w:rtl w:val="0"/>
        </w:rPr>
        <w:t xml:space="preserve">, a efecto de presentar al Pleno el proyecto de resolución correspondiente.</w:t>
      </w:r>
    </w:p>
    <w:p w:rsidR="00000000" w:rsidDel="00000000" w:rsidP="00000000" w:rsidRDefault="00000000" w:rsidRPr="00000000" w14:paraId="0000001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5. Admisión. </w:t>
      </w:r>
      <w:r w:rsidDel="00000000" w:rsidR="00000000" w:rsidRPr="00000000">
        <w:rPr>
          <w:rFonts w:ascii="Palatino Linotype" w:cs="Palatino Linotype" w:eastAsia="Palatino Linotype" w:hAnsi="Palatino Linotype"/>
          <w:sz w:val="22"/>
          <w:szCs w:val="22"/>
          <w:rtl w:val="0"/>
        </w:rPr>
        <w:t xml:space="preserve">En fecha </w:t>
      </w:r>
      <w:r w:rsidDel="00000000" w:rsidR="00000000" w:rsidRPr="00000000">
        <w:rPr>
          <w:rFonts w:ascii="Palatino Linotype" w:cs="Palatino Linotype" w:eastAsia="Palatino Linotype" w:hAnsi="Palatino Linotype"/>
          <w:b w:val="1"/>
          <w:bCs w:val="1"/>
          <w:sz w:val="22"/>
          <w:szCs w:val="22"/>
          <w:rtl w:val="0"/>
        </w:rPr>
        <w:t xml:space="preserve">quince de diciembre de dos mil veinticinco</w:t>
      </w:r>
      <w:r w:rsidDel="00000000" w:rsidR="00000000" w:rsidRPr="00000000">
        <w:rPr>
          <w:rFonts w:ascii="Palatino Linotype" w:cs="Palatino Linotype" w:eastAsia="Palatino Linotype" w:hAnsi="Palatino Linotype"/>
          <w:sz w:val="22"/>
          <w:szCs w:val="22"/>
          <w:rtl w:val="0"/>
        </w:rPr>
        <w:t xml:space="preserve">, en términos de lo dispuesto en el artículo 185 fracciones I, II y IV de la Ley de Transparencia y Acceso a la Información Pública del Estado de México y Municipios, se admitió a trámite el recurso de revisión al rubro indicado.</w:t>
      </w:r>
    </w:p>
    <w:p w:rsidR="00000000" w:rsidDel="00000000" w:rsidP="00000000" w:rsidRDefault="00000000" w:rsidRPr="00000000" w14:paraId="0000001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9">
      <w:pPr>
        <w:widowControl w:val="0"/>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6. Manifestaciones</w:t>
      </w:r>
      <w:r w:rsidDel="00000000" w:rsidR="00000000" w:rsidRPr="00000000">
        <w:rPr>
          <w:rFonts w:ascii="Palatino Linotype" w:cs="Palatino Linotype" w:eastAsia="Palatino Linotype" w:hAnsi="Palatino Linotype"/>
          <w:sz w:val="22"/>
          <w:szCs w:val="22"/>
          <w:rtl w:val="0"/>
        </w:rPr>
        <w:t xml:space="preserve">. Las partes fueron omisas en rendir manifestaciones, como se observa a continuación en la siguiente imagen: </w:t>
      </w:r>
    </w:p>
    <w:p w:rsidR="00000000" w:rsidDel="00000000" w:rsidP="00000000" w:rsidRDefault="00000000" w:rsidRPr="00000000" w14:paraId="0000001A">
      <w:pPr>
        <w:widowControl w:val="0"/>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1303020"/>
            <wp:effectExtent b="0" l="0" r="0" t="0"/>
            <wp:docPr id="2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612130" cy="1303020"/>
                    </a:xfrm>
                    <a:prstGeom prst="rect"/>
                    <a:ln/>
                  </pic:spPr>
                </pic:pic>
              </a:graphicData>
            </a:graphic>
          </wp:inline>
        </w:drawing>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1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7. Cierre de instrucción. </w:t>
      </w:r>
      <w:r w:rsidDel="00000000" w:rsidR="00000000" w:rsidRPr="00000000">
        <w:rPr>
          <w:rFonts w:ascii="Palatino Linotype" w:cs="Palatino Linotype" w:eastAsia="Palatino Linotype" w:hAnsi="Palatino Linotype"/>
          <w:sz w:val="22"/>
          <w:szCs w:val="22"/>
          <w:rtl w:val="0"/>
        </w:rPr>
        <w:t xml:space="preserve">Una vez transcurrido el periodo otorgado a las partes para realizar sus manifestaciones y no habiendo documentos que integrar al expediente, con fecha </w:t>
      </w:r>
      <w:r w:rsidDel="00000000" w:rsidR="00000000" w:rsidRPr="00000000">
        <w:rPr>
          <w:rFonts w:ascii="Palatino Linotype" w:cs="Palatino Linotype" w:eastAsia="Palatino Linotype" w:hAnsi="Palatino Linotype"/>
          <w:b w:val="1"/>
          <w:bCs w:val="1"/>
          <w:sz w:val="22"/>
          <w:szCs w:val="22"/>
          <w:rtl w:val="0"/>
        </w:rPr>
        <w:t xml:space="preserve">quince de enero de dos mil veintiséis</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1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2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1">
      <w:pPr>
        <w:widowControl w:val="0"/>
        <w:spacing w:line="360" w:lineRule="auto"/>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II. C O N S I D E R A N D O S</w:t>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line="360" w:lineRule="auto"/>
        <w:ind w:left="1080" w:firstLine="0"/>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2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Primero. Competencia.</w:t>
      </w:r>
      <w:r w:rsidDel="00000000" w:rsidR="00000000" w:rsidRPr="00000000">
        <w:rPr>
          <w:rFonts w:ascii="Palatino Linotype" w:cs="Palatino Linotype" w:eastAsia="Palatino Linotype" w:hAnsi="Palatino Linotype"/>
          <w:sz w:val="22"/>
          <w:szCs w:val="22"/>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2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Segundo. Oportunidad y Procedibilidad del Recurso de Revisión. </w:t>
      </w:r>
      <w:r w:rsidDel="00000000" w:rsidR="00000000" w:rsidRPr="00000000">
        <w:rPr>
          <w:rFonts w:ascii="Palatino Linotype" w:cs="Palatino Linotype" w:eastAsia="Palatino Linotype" w:hAnsi="Palatino Linotype"/>
          <w:sz w:val="22"/>
          <w:szCs w:val="22"/>
          <w:rtl w:val="0"/>
        </w:rPr>
        <w:t xml:space="preserve">Por cuanto hace a la oportunidad del recurso de revisión</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rsidR="00000000" w:rsidDel="00000000" w:rsidP="00000000" w:rsidRDefault="00000000" w:rsidRPr="00000000" w14:paraId="0000002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Derivado de lo anterior, se constituye la figura jurídica de la </w:t>
      </w:r>
      <w:r w:rsidDel="00000000" w:rsidR="00000000" w:rsidRPr="00000000">
        <w:rPr>
          <w:rFonts w:ascii="Palatino Linotype" w:cs="Palatino Linotype" w:eastAsia="Palatino Linotype" w:hAnsi="Palatino Linotype"/>
          <w:b w:val="1"/>
          <w:bCs w:val="1"/>
          <w:sz w:val="22"/>
          <w:szCs w:val="22"/>
          <w:rtl w:val="0"/>
        </w:rPr>
        <w:t xml:space="preserve">NEGATIVA FICTA</w:t>
      </w:r>
      <w:r w:rsidDel="00000000" w:rsidR="00000000" w:rsidRPr="00000000">
        <w:rPr>
          <w:rFonts w:ascii="Palatino Linotype" w:cs="Palatino Linotype" w:eastAsia="Palatino Linotype" w:hAnsi="Palatino Linotype"/>
          <w:sz w:val="22"/>
          <w:szCs w:val="22"/>
          <w:rtl w:val="0"/>
        </w:rPr>
        <w:t xml:space="preserve">, cuya esencia consiste en atribuir un efecto negativo al silencio de la autoridad administrativa frente a las instancias y solicitudes que hagan los particulares.</w:t>
      </w:r>
    </w:p>
    <w:p w:rsidR="00000000" w:rsidDel="00000000" w:rsidP="00000000" w:rsidRDefault="00000000" w:rsidRPr="00000000" w14:paraId="0000002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tal manera, en el presente recurso de revisión se actualizó la negativa ficta por parte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al no haber respondido a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rsidR="00000000" w:rsidDel="00000000" w:rsidP="00000000" w:rsidRDefault="00000000" w:rsidRPr="00000000" w14:paraId="0000002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 a ello se le suma lo previsto en el párrafo segundo del artículo 178, párrafo segundo</w:t>
      </w:r>
      <w:r w:rsidDel="00000000" w:rsidR="00000000" w:rsidRPr="00000000">
        <w:rPr>
          <w:rFonts w:ascii="Palatino Linotype" w:cs="Palatino Linotype" w:eastAsia="Palatino Linotype" w:hAnsi="Palatino Linotype"/>
          <w:sz w:val="22"/>
          <w:szCs w:val="22"/>
          <w:vertAlign w:val="superscript"/>
        </w:rPr>
        <w:footnoteReference w:customMarkFollows="0" w:id="0"/>
      </w:r>
      <w:r w:rsidDel="00000000" w:rsidR="00000000" w:rsidRPr="00000000">
        <w:rPr>
          <w:rFonts w:ascii="Palatino Linotype" w:cs="Palatino Linotype" w:eastAsia="Palatino Linotype" w:hAnsi="Palatino Linotype"/>
          <w:sz w:val="22"/>
          <w:szCs w:val="22"/>
          <w:rtl w:val="0"/>
        </w:rPr>
        <w:t xml:space="preserve"> de la Ley de Transparencia y Acceso a la Información Pública vigente en la entidad.</w:t>
      </w:r>
    </w:p>
    <w:p w:rsidR="00000000" w:rsidDel="00000000" w:rsidP="00000000" w:rsidRDefault="00000000" w:rsidRPr="00000000" w14:paraId="0000002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rsidR="00000000" w:rsidDel="00000000" w:rsidP="00000000" w:rsidRDefault="00000000" w:rsidRPr="00000000" w14:paraId="0000002E">
      <w:pPr>
        <w:spacing w:line="360" w:lineRule="auto"/>
        <w:jc w:val="both"/>
        <w:rPr>
          <w:i w:val="1"/>
          <w:iCs w:val="1"/>
          <w:sz w:val="22"/>
          <w:szCs w:val="22"/>
        </w:rPr>
      </w:pPr>
      <w:r w:rsidDel="00000000" w:rsidR="00000000" w:rsidRPr="00000000">
        <w:rPr>
          <w:rtl w:val="0"/>
        </w:rPr>
      </w:r>
    </w:p>
    <w:p w:rsidR="00000000" w:rsidDel="00000000" w:rsidP="00000000" w:rsidRDefault="00000000" w:rsidRPr="00000000" w14:paraId="0000002F">
      <w:pPr>
        <w:ind w:left="567"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CRITERIO 0001-15 NEGATIVA FICTA. PLAZO PARA INTERPONER EL RECURSO DE REVISIÓN TRATÁNDOSE DE</w:t>
      </w:r>
      <w:r w:rsidDel="00000000" w:rsidR="00000000" w:rsidRPr="00000000">
        <w:rPr>
          <w:rFonts w:ascii="Palatino Linotype" w:cs="Palatino Linotype" w:eastAsia="Palatino Linotype" w:hAnsi="Palatino Linotype"/>
          <w:i w:val="1"/>
          <w:iCs w:val="1"/>
          <w:sz w:val="22"/>
          <w:szCs w:val="22"/>
          <w:rtl w:val="0"/>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Del="00000000" w:rsidR="00000000" w:rsidRPr="00000000">
        <w:rPr>
          <w:rtl w:val="0"/>
        </w:rPr>
      </w:r>
    </w:p>
    <w:p w:rsidR="00000000" w:rsidDel="00000000" w:rsidP="00000000" w:rsidRDefault="00000000" w:rsidRPr="00000000" w14:paraId="00000030">
      <w:pPr>
        <w:ind w:left="567" w:right="851"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360" w:lineRule="auto"/>
        <w:ind w:right="-14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Del="00000000" w:rsidR="00000000" w:rsidRPr="00000000">
        <w:rPr>
          <w:rFonts w:ascii="Palatino Linotype" w:cs="Palatino Linotype" w:eastAsia="Palatino Linotype" w:hAnsi="Palatino Linotype"/>
          <w:b w:val="1"/>
          <w:bCs w:val="1"/>
          <w:sz w:val="22"/>
          <w:szCs w:val="22"/>
          <w:rtl w:val="0"/>
        </w:rPr>
        <w:t xml:space="preserve">EL</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360" w:lineRule="auto"/>
        <w:ind w:right="-14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resulta procedente la interposición del recurso de revisión, según lo aducido por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términos del artículo 179, fracción VII del ordenamiento legal de la materia, que a la letra dice:</w:t>
      </w:r>
    </w:p>
    <w:p w:rsidR="00000000" w:rsidDel="00000000" w:rsidP="00000000" w:rsidRDefault="00000000" w:rsidRPr="00000000" w14:paraId="0000003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5">
      <w:pPr>
        <w:ind w:left="567"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sz w:val="22"/>
          <w:szCs w:val="22"/>
          <w:rtl w:val="0"/>
        </w:rPr>
        <w:t xml:space="preserve">Artículo 179.</w:t>
      </w:r>
      <w:r w:rsidDel="00000000" w:rsidR="00000000" w:rsidRPr="00000000">
        <w:rPr>
          <w:rFonts w:ascii="Palatino Linotype" w:cs="Palatino Linotype" w:eastAsia="Palatino Linotype" w:hAnsi="Palatino Linotype"/>
          <w:i w:val="1"/>
          <w:iCs w:val="1"/>
          <w:sz w:val="22"/>
          <w:szCs w:val="22"/>
          <w:rtl w:val="0"/>
        </w:rPr>
        <w:t xml:space="preserve">El recurso de revisión es un medio de protección que la Ley otorga a los particulares, para hacer valer su derecho de acceso a la información pública, y procederá en contra de las siguientes causas: </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36">
      <w:pPr>
        <w:ind w:left="567"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37">
      <w:pPr>
        <w:numPr>
          <w:ilvl w:val="0"/>
          <w:numId w:val="4"/>
        </w:numP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La falta de respuesta a una solicitud de acceso a la información…</w:t>
      </w:r>
    </w:p>
    <w:p w:rsidR="00000000" w:rsidDel="00000000" w:rsidP="00000000" w:rsidRDefault="00000000" w:rsidRPr="00000000" w14:paraId="00000038">
      <w:pPr>
        <w:spacing w:line="360" w:lineRule="auto"/>
        <w:ind w:right="1041"/>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39">
      <w:pPr>
        <w:tabs>
          <w:tab w:val="left" w:leader="none" w:pos="8647"/>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Tercero. Materia de la revisión. </w:t>
      </w:r>
      <w:r w:rsidDel="00000000" w:rsidR="00000000" w:rsidRPr="00000000">
        <w:rPr>
          <w:rFonts w:ascii="Palatino Linotype" w:cs="Palatino Linotype" w:eastAsia="Palatino Linotype" w:hAnsi="Palatino Linotype"/>
          <w:sz w:val="22"/>
          <w:szCs w:val="22"/>
          <w:rtl w:val="0"/>
        </w:rPr>
        <w:t xml:space="preserve">Este Organismo Garante procede del análisis de los agravios hechos valer por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a fin de determinar si se violenta en perjuicio de este, el derecho de acceso a la información previsto en la Constitución Política de los Estados Unidos Mexicanos y en la Constitución Política del Estado Libre y Soberano de México. </w:t>
      </w:r>
    </w:p>
    <w:p w:rsidR="00000000" w:rsidDel="00000000" w:rsidP="00000000" w:rsidRDefault="00000000" w:rsidRPr="00000000" w14:paraId="0000003A">
      <w:pPr>
        <w:tabs>
          <w:tab w:val="left" w:leader="none" w:pos="8647"/>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Cuarto. Estudio del asunto. </w:t>
      </w:r>
      <w:r w:rsidDel="00000000" w:rsidR="00000000" w:rsidRPr="00000000">
        <w:rPr>
          <w:rFonts w:ascii="Palatino Linotype" w:cs="Palatino Linotype" w:eastAsia="Palatino Linotype" w:hAnsi="Palatino Linotype"/>
          <w:sz w:val="22"/>
          <w:szCs w:val="22"/>
          <w:rtl w:val="0"/>
        </w:rPr>
        <w:t xml:space="preserve">Una vez determinada la vía sobre la que versará el presente recurso, y previa revisión del expediente del recurso de revisión materia de la presente resolución, se advierte que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no dio respuesta a la solicitud de información planteada por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lo que se traduce como la configuración de la </w:t>
      </w:r>
      <w:r w:rsidDel="00000000" w:rsidR="00000000" w:rsidRPr="00000000">
        <w:rPr>
          <w:rFonts w:ascii="Palatino Linotype" w:cs="Palatino Linotype" w:eastAsia="Palatino Linotype" w:hAnsi="Palatino Linotype"/>
          <w:b w:val="1"/>
          <w:bCs w:val="1"/>
          <w:sz w:val="22"/>
          <w:szCs w:val="22"/>
          <w:rtl w:val="0"/>
        </w:rPr>
        <w:t xml:space="preserve">negativa ficta</w:t>
      </w:r>
      <w:r w:rsidDel="00000000" w:rsidR="00000000" w:rsidRPr="00000000">
        <w:rPr>
          <w:rFonts w:ascii="Palatino Linotype" w:cs="Palatino Linotype" w:eastAsia="Palatino Linotype" w:hAnsi="Palatino Linotype"/>
          <w:sz w:val="22"/>
          <w:szCs w:val="22"/>
          <w:rtl w:val="0"/>
        </w:rPr>
        <w:t xml:space="preserve">, situación que demuestra la existencia del acto impugnado y procedencia del motivo de inconformidad, que en términos generales consistente en que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emitió respuesta a la solicitud de información, dentro del plazo legal previsto para ello.</w:t>
      </w:r>
    </w:p>
    <w:p w:rsidR="00000000" w:rsidDel="00000000" w:rsidP="00000000" w:rsidRDefault="00000000" w:rsidRPr="00000000" w14:paraId="0000003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Previo a exponer los argumentos que justifiquen la afirmación que antecede, es necesario precisar que, del análisis realizado a la solicitud formulada por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se advierte que requirió al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le proporcionara, información consistente en lo siguiente:</w:t>
      </w:r>
    </w:p>
    <w:p w:rsidR="00000000" w:rsidDel="00000000" w:rsidP="00000000" w:rsidRDefault="00000000" w:rsidRPr="00000000" w14:paraId="0000003E">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Solicito copia de los permisos de construcción, manifestaciones de impacto ambiental, licencias de uso de suelo y anuencias otorgadas para el proyecto denominado ‘Centro Cultural Señor del Nicho’. Indique qué persona física o moral solicitó dichos permisos y en qué fechas se emitieron. Informe si la obra cuenta con dictamen de protección civil y si se realizaron inspecciones o verificaciones municipales. (Sic)</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360" w:lineRule="auto"/>
        <w:ind w:left="72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Precisado lo anterior, se procede al análisis del presente recurso, así como al contenido íntegro de las actuaciones que obran en el expediente electrónico, para así estar en posibilidad este Organismo Garante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000000" w:rsidDel="00000000" w:rsidP="00000000" w:rsidRDefault="00000000" w:rsidRPr="00000000" w14:paraId="0000004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2">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43">
      <w:pPr>
        <w:tabs>
          <w:tab w:val="left" w:leader="none" w:pos="709"/>
        </w:tabs>
        <w:spacing w:line="276" w:lineRule="auto"/>
        <w:ind w:left="567"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iCs w:val="1"/>
          <w:sz w:val="22"/>
          <w:szCs w:val="22"/>
          <w:rtl w:val="0"/>
        </w:rPr>
        <w:t xml:space="preserv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44">
      <w:pPr>
        <w:tabs>
          <w:tab w:val="left" w:leader="none" w:pos="709"/>
        </w:tabs>
        <w:spacing w:line="276" w:lineRule="auto"/>
        <w:ind w:left="567" w:right="851"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45">
      <w:pPr>
        <w:tabs>
          <w:tab w:val="left" w:leader="none" w:pos="709"/>
        </w:tabs>
        <w:spacing w:line="276" w:lineRule="auto"/>
        <w:ind w:left="567"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iCs w:val="1"/>
          <w:sz w:val="22"/>
          <w:szCs w:val="22"/>
          <w:rtl w:val="0"/>
        </w:rPr>
        <w:t xml:space="preserve"> En consecuencia, el Estado deberá prevenir, investigar, sancionar y reparar las violaciones a los derechos humanos, en los términos que establezca la ley</w:t>
      </w:r>
    </w:p>
    <w:p w:rsidR="00000000" w:rsidDel="00000000" w:rsidP="00000000" w:rsidRDefault="00000000" w:rsidRPr="00000000" w14:paraId="00000046">
      <w:pPr>
        <w:tabs>
          <w:tab w:val="left" w:leader="none" w:pos="709"/>
        </w:tabs>
        <w:spacing w:line="276" w:lineRule="auto"/>
        <w:ind w:left="567"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47">
      <w:pPr>
        <w:spacing w:line="276" w:lineRule="auto"/>
        <w:ind w:left="567"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6o.</w:t>
      </w:r>
      <w:r w:rsidDel="00000000" w:rsidR="00000000" w:rsidRPr="00000000">
        <w:rPr>
          <w:rtl w:val="0"/>
        </w:rPr>
      </w:r>
    </w:p>
    <w:p w:rsidR="00000000" w:rsidDel="00000000" w:rsidP="00000000" w:rsidRDefault="00000000" w:rsidRPr="00000000" w14:paraId="00000048">
      <w:pPr>
        <w:spacing w:line="276" w:lineRule="auto"/>
        <w:ind w:left="567"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49">
      <w:pPr>
        <w:spacing w:line="276" w:lineRule="auto"/>
        <w:ind w:left="567"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las entidades federativas</w:t>
      </w:r>
      <w:r w:rsidDel="00000000" w:rsidR="00000000" w:rsidRPr="00000000">
        <w:rPr>
          <w:rFonts w:ascii="Palatino Linotype" w:cs="Palatino Linotype" w:eastAsia="Palatino Linotype" w:hAnsi="Palatino Linotype"/>
          <w:b w:val="1"/>
          <w:bCs w:val="1"/>
          <w:i w:val="1"/>
          <w:iCs w:val="1"/>
          <w:sz w:val="22"/>
          <w:szCs w:val="22"/>
          <w:rtl w:val="0"/>
        </w:rPr>
        <w:t xml:space="preserve">,</w:t>
      </w:r>
      <w:r w:rsidDel="00000000" w:rsidR="00000000" w:rsidRPr="00000000">
        <w:rPr>
          <w:rFonts w:ascii="Palatino Linotype" w:cs="Palatino Linotype" w:eastAsia="Palatino Linotype" w:hAnsi="Palatino Linotype"/>
          <w:i w:val="1"/>
          <w:iCs w:val="1"/>
          <w:sz w:val="22"/>
          <w:szCs w:val="22"/>
          <w:rtl w:val="0"/>
        </w:rPr>
        <w:t xml:space="preserve"> en el ámbito de sus respectivas competencias, se regirán por los siguientes principios y bases:</w:t>
      </w:r>
    </w:p>
    <w:p w:rsidR="00000000" w:rsidDel="00000000" w:rsidP="00000000" w:rsidRDefault="00000000" w:rsidRPr="00000000" w14:paraId="0000004A">
      <w:pPr>
        <w:spacing w:line="276" w:lineRule="auto"/>
        <w:ind w:left="567"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iCs w:val="1"/>
          <w:sz w:val="22"/>
          <w:szCs w:val="22"/>
          <w:rtl w:val="0"/>
        </w:rPr>
        <w:t xml:space="preserve"> Ejecutivo, Legislativo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y Judicial</w:t>
      </w:r>
      <w:r w:rsidDel="00000000" w:rsidR="00000000" w:rsidRPr="00000000">
        <w:rPr>
          <w:rFonts w:ascii="Palatino Linotype" w:cs="Palatino Linotype" w:eastAsia="Palatino Linotype" w:hAnsi="Palatino Linotype"/>
          <w:i w:val="1"/>
          <w:iCs w:val="1"/>
          <w:sz w:val="22"/>
          <w:szCs w:val="22"/>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bCs w:val="1"/>
          <w:i w:val="1"/>
          <w:iCs w:val="1"/>
          <w:sz w:val="22"/>
          <w:szCs w:val="22"/>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iCs w:val="1"/>
          <w:sz w:val="22"/>
          <w:szCs w:val="22"/>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4B">
      <w:pPr>
        <w:spacing w:line="276" w:lineRule="auto"/>
        <w:ind w:left="567" w:right="851"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 La información que se refiere a la vida privada y los datos personales será protegida en los términos y con las excepciones que fijen las leyes.</w:t>
      </w:r>
    </w:p>
    <w:p w:rsidR="00000000" w:rsidDel="00000000" w:rsidP="00000000" w:rsidRDefault="00000000" w:rsidRPr="00000000" w14:paraId="0000004C">
      <w:pPr>
        <w:spacing w:line="276" w:lineRule="auto"/>
        <w:ind w:left="567"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iCs w:val="1"/>
          <w:sz w:val="22"/>
          <w:szCs w:val="22"/>
          <w:rtl w:val="0"/>
        </w:rPr>
        <w:t xml:space="preserve"> a sus datos personales o a la rectificación de éstos.</w:t>
      </w:r>
    </w:p>
    <w:p w:rsidR="00000000" w:rsidDel="00000000" w:rsidP="00000000" w:rsidRDefault="00000000" w:rsidRPr="00000000" w14:paraId="0000004D">
      <w:pPr>
        <w:spacing w:line="276" w:lineRule="auto"/>
        <w:ind w:left="567"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IV.</w:t>
      </w:r>
      <w:r w:rsidDel="00000000" w:rsidR="00000000" w:rsidRPr="00000000">
        <w:rPr>
          <w:rFonts w:ascii="Palatino Linotype" w:cs="Palatino Linotype" w:eastAsia="Palatino Linotype" w:hAnsi="Palatino Linotype"/>
          <w:i w:val="1"/>
          <w:iCs w:val="1"/>
          <w:sz w:val="22"/>
          <w:szCs w:val="22"/>
          <w:rtl w:val="0"/>
        </w:rPr>
        <w:t xml:space="preserve"> Se establecerán mecanismos de acceso a la información pública y procedimientos de revisión expeditos que se sustanciarán ante las instancias competentes en los términos que fija esta Constitución y las leyes.</w:t>
      </w:r>
    </w:p>
    <w:p w:rsidR="00000000" w:rsidDel="00000000" w:rsidP="00000000" w:rsidRDefault="00000000" w:rsidRPr="00000000" w14:paraId="0000004E">
      <w:pPr>
        <w:spacing w:line="276" w:lineRule="auto"/>
        <w:ind w:left="567"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 </w:t>
      </w:r>
      <w:r w:rsidDel="00000000" w:rsidR="00000000" w:rsidRPr="00000000">
        <w:rPr>
          <w:rFonts w:ascii="Palatino Linotype" w:cs="Palatino Linotype" w:eastAsia="Palatino Linotype" w:hAnsi="Palatino Linotype"/>
          <w:i w:val="1"/>
          <w:iCs w:val="1"/>
          <w:sz w:val="22"/>
          <w:szCs w:val="22"/>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4F">
      <w:pPr>
        <w:spacing w:line="276" w:lineRule="auto"/>
        <w:ind w:left="567" w:right="851" w:firstLine="0"/>
        <w:jc w:val="both"/>
        <w:rPr>
          <w:rFonts w:ascii="Palatino Linotype" w:cs="Palatino Linotype" w:eastAsia="Palatino Linotype" w:hAnsi="Palatino Linotype"/>
          <w:b w:val="1"/>
          <w:bCs w:val="1"/>
          <w:i w:val="1"/>
          <w:iCs w:val="1"/>
          <w:sz w:val="22"/>
          <w:szCs w:val="22"/>
        </w:rPr>
      </w:pPr>
      <w:r w:rsidDel="00000000" w:rsidR="00000000" w:rsidRPr="00000000">
        <w:rPr>
          <w:rtl w:val="0"/>
        </w:rPr>
      </w:r>
    </w:p>
    <w:p w:rsidR="00000000" w:rsidDel="00000000" w:rsidP="00000000" w:rsidRDefault="00000000" w:rsidRPr="00000000" w14:paraId="00000050">
      <w:pPr>
        <w:spacing w:line="360" w:lineRule="auto"/>
        <w:ind w:left="567" w:right="851"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51">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rsidR="00000000" w:rsidDel="00000000" w:rsidP="00000000" w:rsidRDefault="00000000" w:rsidRPr="00000000" w14:paraId="00000052">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orden de ideas, la Ley de Transparencia y Acceso a la Información Pública del Estado de México y Municipios, prevé en su artículo 23, lo siguiente:</w:t>
      </w:r>
    </w:p>
    <w:p w:rsidR="00000000" w:rsidDel="00000000" w:rsidP="00000000" w:rsidRDefault="00000000" w:rsidRPr="00000000" w14:paraId="0000005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5">
      <w:pPr>
        <w:tabs>
          <w:tab w:val="left" w:leader="none" w:pos="7655"/>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23. Son sujetos obligados a transparentar y permitir el acceso a su información y proteger los datos personales que obren en su poder</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56">
      <w:pPr>
        <w:tabs>
          <w:tab w:val="left" w:leader="none" w:pos="7655"/>
        </w:tabs>
        <w:spacing w:line="276" w:lineRule="auto"/>
        <w:ind w:left="567"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El Poder Ejecutivo del Estado de México, las dependencias, organismos auxiliares,</w:t>
      </w:r>
      <w:r w:rsidDel="00000000" w:rsidR="00000000" w:rsidRPr="00000000">
        <w:rPr>
          <w:rFonts w:ascii="Palatino Linotype" w:cs="Palatino Linotype" w:eastAsia="Palatino Linotype" w:hAnsi="Palatino Linotype"/>
          <w:b w:val="1"/>
          <w:bCs w:val="1"/>
          <w:i w:val="1"/>
          <w:iCs w:val="1"/>
          <w:sz w:val="22"/>
          <w:szCs w:val="22"/>
          <w:rtl w:val="0"/>
        </w:rPr>
        <w:t xml:space="preserve"> </w:t>
      </w:r>
      <w:r w:rsidDel="00000000" w:rsidR="00000000" w:rsidRPr="00000000">
        <w:rPr>
          <w:rFonts w:ascii="Palatino Linotype" w:cs="Palatino Linotype" w:eastAsia="Palatino Linotype" w:hAnsi="Palatino Linotype"/>
          <w:i w:val="1"/>
          <w:iCs w:val="1"/>
          <w:sz w:val="22"/>
          <w:szCs w:val="22"/>
          <w:rtl w:val="0"/>
        </w:rPr>
        <w:t xml:space="preserve">órganos, entidades, fideicomisos y fondos públicos, así como la Procuraduría General de Justicia;</w:t>
      </w:r>
      <w:r w:rsidDel="00000000" w:rsidR="00000000" w:rsidRPr="00000000">
        <w:rPr>
          <w:rtl w:val="0"/>
        </w:rPr>
      </w:r>
    </w:p>
    <w:p w:rsidR="00000000" w:rsidDel="00000000" w:rsidP="00000000" w:rsidRDefault="00000000" w:rsidRPr="00000000" w14:paraId="00000057">
      <w:pPr>
        <w:tabs>
          <w:tab w:val="left" w:leader="none" w:pos="7655"/>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w:t>
      </w:r>
      <w:r w:rsidDel="00000000" w:rsidR="00000000" w:rsidRPr="00000000">
        <w:rPr>
          <w:rFonts w:ascii="Palatino Linotype" w:cs="Palatino Linotype" w:eastAsia="Palatino Linotype" w:hAnsi="Palatino Linotype"/>
          <w:i w:val="1"/>
          <w:iCs w:val="1"/>
          <w:sz w:val="22"/>
          <w:szCs w:val="22"/>
          <w:rtl w:val="0"/>
        </w:rPr>
        <w:t xml:space="preserve"> El Poder Legislativo del Estado, los organismos, órganos y entidades de la Legislatura y sus dependencias;</w:t>
      </w:r>
    </w:p>
    <w:p w:rsidR="00000000" w:rsidDel="00000000" w:rsidP="00000000" w:rsidRDefault="00000000" w:rsidRPr="00000000" w14:paraId="00000058">
      <w:pPr>
        <w:tabs>
          <w:tab w:val="left" w:leader="none" w:pos="7655"/>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w:t>
      </w:r>
      <w:r w:rsidDel="00000000" w:rsidR="00000000" w:rsidRPr="00000000">
        <w:rPr>
          <w:rFonts w:ascii="Palatino Linotype" w:cs="Palatino Linotype" w:eastAsia="Palatino Linotype" w:hAnsi="Palatino Linotype"/>
          <w:i w:val="1"/>
          <w:iCs w:val="1"/>
          <w:sz w:val="22"/>
          <w:szCs w:val="22"/>
          <w:rtl w:val="0"/>
        </w:rPr>
        <w:t xml:space="preserve"> El Poder Judicial, sus organismos, órganos y entidades, así como el Consejo de la Judicatura del Estado;</w:t>
      </w:r>
    </w:p>
    <w:p w:rsidR="00000000" w:rsidDel="00000000" w:rsidP="00000000" w:rsidRDefault="00000000" w:rsidRPr="00000000" w14:paraId="00000059">
      <w:pPr>
        <w:tabs>
          <w:tab w:val="left" w:leader="none" w:pos="7655"/>
        </w:tabs>
        <w:spacing w:line="276" w:lineRule="auto"/>
        <w:ind w:left="567"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IV. Los ayuntamientos y las dependencias, organismos, órganos y entidades de la administración municipal;</w:t>
      </w:r>
    </w:p>
    <w:p w:rsidR="00000000" w:rsidDel="00000000" w:rsidP="00000000" w:rsidRDefault="00000000" w:rsidRPr="00000000" w14:paraId="0000005A">
      <w:pPr>
        <w:tabs>
          <w:tab w:val="left" w:leader="none" w:pos="7655"/>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w:t>
      </w:r>
      <w:r w:rsidDel="00000000" w:rsidR="00000000" w:rsidRPr="00000000">
        <w:rPr>
          <w:rFonts w:ascii="Palatino Linotype" w:cs="Palatino Linotype" w:eastAsia="Palatino Linotype" w:hAnsi="Palatino Linotype"/>
          <w:i w:val="1"/>
          <w:iCs w:val="1"/>
          <w:sz w:val="22"/>
          <w:szCs w:val="22"/>
          <w:rtl w:val="0"/>
        </w:rPr>
        <w:t xml:space="preserve"> Los órganos autónomos;</w:t>
      </w:r>
    </w:p>
    <w:p w:rsidR="00000000" w:rsidDel="00000000" w:rsidP="00000000" w:rsidRDefault="00000000" w:rsidRPr="00000000" w14:paraId="0000005B">
      <w:pPr>
        <w:tabs>
          <w:tab w:val="left" w:leader="none" w:pos="7655"/>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w:t>
      </w:r>
      <w:r w:rsidDel="00000000" w:rsidR="00000000" w:rsidRPr="00000000">
        <w:rPr>
          <w:rFonts w:ascii="Palatino Linotype" w:cs="Palatino Linotype" w:eastAsia="Palatino Linotype" w:hAnsi="Palatino Linotype"/>
          <w:i w:val="1"/>
          <w:iCs w:val="1"/>
          <w:sz w:val="22"/>
          <w:szCs w:val="22"/>
          <w:rtl w:val="0"/>
        </w:rPr>
        <w:t xml:space="preserve"> Los tribunales administrativos y autoridades jurisdiccionales en materia laboral;</w:t>
      </w:r>
    </w:p>
    <w:p w:rsidR="00000000" w:rsidDel="00000000" w:rsidP="00000000" w:rsidRDefault="00000000" w:rsidRPr="00000000" w14:paraId="0000005C">
      <w:pPr>
        <w:tabs>
          <w:tab w:val="left" w:leader="none" w:pos="7655"/>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VII.</w:t>
      </w:r>
      <w:r w:rsidDel="00000000" w:rsidR="00000000" w:rsidRPr="00000000">
        <w:rPr>
          <w:rFonts w:ascii="Palatino Linotype" w:cs="Palatino Linotype" w:eastAsia="Palatino Linotype" w:hAnsi="Palatino Linotype"/>
          <w:i w:val="1"/>
          <w:iCs w:val="1"/>
          <w:sz w:val="22"/>
          <w:szCs w:val="22"/>
          <w:rtl w:val="0"/>
        </w:rPr>
        <w:t xml:space="preserve"> Los partidos políticos y agrupaciones políticas, en los términos de las disposiciones aplicables;</w:t>
      </w:r>
    </w:p>
    <w:p w:rsidR="00000000" w:rsidDel="00000000" w:rsidP="00000000" w:rsidRDefault="00000000" w:rsidRPr="00000000" w14:paraId="0000005D">
      <w:pPr>
        <w:tabs>
          <w:tab w:val="left" w:leader="none" w:pos="7655"/>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VIII.</w:t>
      </w:r>
      <w:r w:rsidDel="00000000" w:rsidR="00000000" w:rsidRPr="00000000">
        <w:rPr>
          <w:rFonts w:ascii="Palatino Linotype" w:cs="Palatino Linotype" w:eastAsia="Palatino Linotype" w:hAnsi="Palatino Linotype"/>
          <w:i w:val="1"/>
          <w:iCs w:val="1"/>
          <w:sz w:val="22"/>
          <w:szCs w:val="22"/>
          <w:rtl w:val="0"/>
        </w:rPr>
        <w:t xml:space="preserve"> Los fideicomisos y fondos públicos que cuenten con financiamiento público, parcial o total, o con participación de entidades de gobierno;</w:t>
      </w:r>
    </w:p>
    <w:p w:rsidR="00000000" w:rsidDel="00000000" w:rsidP="00000000" w:rsidRDefault="00000000" w:rsidRPr="00000000" w14:paraId="0000005E">
      <w:pPr>
        <w:tabs>
          <w:tab w:val="left" w:leader="none" w:pos="7655"/>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IX.</w:t>
      </w:r>
      <w:r w:rsidDel="00000000" w:rsidR="00000000" w:rsidRPr="00000000">
        <w:rPr>
          <w:rFonts w:ascii="Palatino Linotype" w:cs="Palatino Linotype" w:eastAsia="Palatino Linotype" w:hAnsi="Palatino Linotype"/>
          <w:i w:val="1"/>
          <w:iCs w:val="1"/>
          <w:sz w:val="22"/>
          <w:szCs w:val="22"/>
          <w:rtl w:val="0"/>
        </w:rPr>
        <w:t xml:space="preserve"> Los sindicatos que reciban y/o ejerzan recursos públicos en el ámbito estatal y municipal;</w:t>
      </w:r>
    </w:p>
    <w:p w:rsidR="00000000" w:rsidDel="00000000" w:rsidP="00000000" w:rsidRDefault="00000000" w:rsidRPr="00000000" w14:paraId="0000005F">
      <w:pPr>
        <w:tabs>
          <w:tab w:val="left" w:leader="none" w:pos="7655"/>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w:t>
      </w:r>
      <w:r w:rsidDel="00000000" w:rsidR="00000000" w:rsidRPr="00000000">
        <w:rPr>
          <w:rFonts w:ascii="Palatino Linotype" w:cs="Palatino Linotype" w:eastAsia="Palatino Linotype" w:hAnsi="Palatino Linotype"/>
          <w:i w:val="1"/>
          <w:iCs w:val="1"/>
          <w:sz w:val="22"/>
          <w:szCs w:val="22"/>
          <w:rtl w:val="0"/>
        </w:rPr>
        <w:t xml:space="preserve"> Cualquier persona física o jurídico colectiva que reciba y ejerza recursos públicos en el ámbito estatal o municipal; y</w:t>
      </w:r>
    </w:p>
    <w:p w:rsidR="00000000" w:rsidDel="00000000" w:rsidP="00000000" w:rsidRDefault="00000000" w:rsidRPr="00000000" w14:paraId="00000060">
      <w:pPr>
        <w:tabs>
          <w:tab w:val="left" w:leader="none" w:pos="7655"/>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XI.</w:t>
      </w:r>
      <w:r w:rsidDel="00000000" w:rsidR="00000000" w:rsidRPr="00000000">
        <w:rPr>
          <w:rFonts w:ascii="Palatino Linotype" w:cs="Palatino Linotype" w:eastAsia="Palatino Linotype" w:hAnsi="Palatino Linotype"/>
          <w:i w:val="1"/>
          <w:iCs w:val="1"/>
          <w:sz w:val="22"/>
          <w:szCs w:val="22"/>
          <w:rtl w:val="0"/>
        </w:rPr>
        <w:t xml:space="preserve"> Cualquier otra autoridad, entidad, órgano u organismo de los poderes estatal o municipal, que reciba recursos públicos.</w:t>
      </w:r>
    </w:p>
    <w:p w:rsidR="00000000" w:rsidDel="00000000" w:rsidP="00000000" w:rsidRDefault="00000000" w:rsidRPr="00000000" w14:paraId="00000061">
      <w:pPr>
        <w:tabs>
          <w:tab w:val="left" w:leader="none" w:pos="7655"/>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000000" w:rsidDel="00000000" w:rsidP="00000000" w:rsidRDefault="00000000" w:rsidRPr="00000000" w14:paraId="00000062">
      <w:pPr>
        <w:tabs>
          <w:tab w:val="left" w:leader="none" w:pos="7655"/>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Los servidores públicos deberán transparentar sus acciones, así como garantizar y respetar el derecho de acceso a la información pública</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6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000000" w:rsidDel="00000000" w:rsidP="00000000" w:rsidRDefault="00000000" w:rsidRPr="00000000" w14:paraId="0000006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000000" w:rsidDel="00000000" w:rsidP="00000000" w:rsidRDefault="00000000" w:rsidRPr="00000000" w14:paraId="0000006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8">
      <w:pPr>
        <w:widowControl w:val="0"/>
        <w:tabs>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rsidR="00000000" w:rsidDel="00000000" w:rsidP="00000000" w:rsidRDefault="00000000" w:rsidRPr="00000000" w14:paraId="00000069">
      <w:pPr>
        <w:widowControl w:val="0"/>
        <w:tabs>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A">
      <w:pPr>
        <w:widowControl w:val="0"/>
        <w:tabs>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000000" w:rsidDel="00000000" w:rsidP="00000000" w:rsidRDefault="00000000" w:rsidRPr="00000000" w14:paraId="0000006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000000" w:rsidDel="00000000" w:rsidP="00000000" w:rsidRDefault="00000000" w:rsidRPr="00000000" w14:paraId="0000006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E">
      <w:pPr>
        <w:widowControl w:val="0"/>
        <w:tabs>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000000" w:rsidDel="00000000" w:rsidP="00000000" w:rsidRDefault="00000000" w:rsidRPr="00000000" w14:paraId="0000006F">
      <w:pPr>
        <w:widowControl w:val="0"/>
        <w:tabs>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Situación que en la especie no aconteció. </w:t>
      </w:r>
    </w:p>
    <w:p w:rsidR="00000000" w:rsidDel="00000000" w:rsidP="00000000" w:rsidRDefault="00000000" w:rsidRPr="00000000" w14:paraId="0000007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Sirve de sustento a lo anterior, el precepto legal en cita:</w:t>
      </w:r>
    </w:p>
    <w:p w:rsidR="00000000" w:rsidDel="00000000" w:rsidP="00000000" w:rsidRDefault="00000000" w:rsidRPr="00000000" w14:paraId="0000007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4">
      <w:pPr>
        <w:spacing w:line="276" w:lineRule="auto"/>
        <w:ind w:left="567"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163. La Unidad de Transparencia deberá notificar la respuesta a la solicitud al interesado en el menor tiempo posible, que no podrá exceder de quince días hábiles</w:t>
      </w:r>
      <w:r w:rsidDel="00000000" w:rsidR="00000000" w:rsidRPr="00000000">
        <w:rPr>
          <w:rFonts w:ascii="Palatino Linotype" w:cs="Palatino Linotype" w:eastAsia="Palatino Linotype" w:hAnsi="Palatino Linotype"/>
          <w:i w:val="1"/>
          <w:iCs w:val="1"/>
          <w:sz w:val="22"/>
          <w:szCs w:val="22"/>
          <w:rtl w:val="0"/>
        </w:rPr>
        <w:t xml:space="preserve">, contados a partir del día siguiente a la presentación de aquélla. </w:t>
      </w:r>
    </w:p>
    <w:p w:rsidR="00000000" w:rsidDel="00000000" w:rsidP="00000000" w:rsidRDefault="00000000" w:rsidRPr="00000000" w14:paraId="00000075">
      <w:pPr>
        <w:spacing w:line="276" w:lineRule="auto"/>
        <w:ind w:left="567"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000000" w:rsidDel="00000000" w:rsidP="00000000" w:rsidRDefault="00000000" w:rsidRPr="00000000" w14:paraId="00000076">
      <w:pPr>
        <w:spacing w:line="36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7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mérito de lo expuesto, es claro que en este caso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incumplió la normativa en la materia, puesto que no dio trámite ni respuesta a la solicitud de acceso a la información, limitando el derecho de acceso a la información, accionado por la persona solicitante.</w:t>
      </w:r>
    </w:p>
    <w:p w:rsidR="00000000" w:rsidDel="00000000" w:rsidP="00000000" w:rsidRDefault="00000000" w:rsidRPr="00000000" w14:paraId="0000007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Consecuentemente, este Instituto estima necesario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rsidR="00000000" w:rsidDel="00000000" w:rsidP="00000000" w:rsidRDefault="00000000" w:rsidRPr="00000000" w14:paraId="0000007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Del="00000000" w:rsidR="00000000" w:rsidRPr="00000000">
        <w:rPr>
          <w:rFonts w:ascii="Palatino Linotype" w:cs="Palatino Linotype" w:eastAsia="Palatino Linotype" w:hAnsi="Palatino Linotype"/>
          <w:b w:val="1"/>
          <w:bCs w:val="1"/>
          <w:sz w:val="22"/>
          <w:szCs w:val="22"/>
          <w:rtl w:val="0"/>
        </w:rPr>
        <w:t xml:space="preserve">el Sujeto Obligado</w:t>
      </w:r>
      <w:r w:rsidDel="00000000" w:rsidR="00000000" w:rsidRPr="00000000">
        <w:rPr>
          <w:rFonts w:ascii="Palatino Linotype" w:cs="Palatino Linotype" w:eastAsia="Palatino Linotype" w:hAnsi="Palatino Linotype"/>
          <w:sz w:val="22"/>
          <w:szCs w:val="22"/>
          <w:rtl w:val="0"/>
        </w:rPr>
        <w:t xml:space="preserve">; por lo que, en caso de no atender de manera positiva</w:t>
      </w:r>
      <w:r w:rsidDel="00000000" w:rsidR="00000000" w:rsidRPr="00000000">
        <w:rPr>
          <w:rFonts w:ascii="Palatino Linotype" w:cs="Palatino Linotype" w:eastAsia="Palatino Linotype" w:hAnsi="Palatino Linotype"/>
          <w:sz w:val="22"/>
          <w:szCs w:val="22"/>
          <w:vertAlign w:val="superscript"/>
        </w:rPr>
        <w:footnoteReference w:customMarkFollows="0" w:id="1"/>
      </w:r>
      <w:r w:rsidDel="00000000" w:rsidR="00000000" w:rsidRPr="00000000">
        <w:rPr>
          <w:rFonts w:ascii="Palatino Linotype" w:cs="Palatino Linotype" w:eastAsia="Palatino Linotype" w:hAnsi="Palatino Linotype"/>
          <w:sz w:val="22"/>
          <w:szCs w:val="22"/>
          <w:rtl w:val="0"/>
        </w:rPr>
        <w:t xml:space="preserve">, el requerimiento de información deberá manifestarse al respecto.</w:t>
      </w:r>
    </w:p>
    <w:p w:rsidR="00000000" w:rsidDel="00000000" w:rsidP="00000000" w:rsidRDefault="00000000" w:rsidRPr="00000000" w14:paraId="0000007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D">
      <w:pPr>
        <w:numPr>
          <w:ilvl w:val="0"/>
          <w:numId w:val="3"/>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De la clasificación de la información.</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line="360" w:lineRule="auto"/>
        <w:ind w:left="720" w:firstLine="0"/>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7F">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rsidR="00000000" w:rsidDel="00000000" w:rsidP="00000000" w:rsidRDefault="00000000" w:rsidRPr="00000000" w14:paraId="00000080">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1">
      <w:pPr>
        <w:spacing w:line="276"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91. </w:t>
      </w:r>
      <w:r w:rsidDel="00000000" w:rsidR="00000000" w:rsidRPr="00000000">
        <w:rPr>
          <w:rFonts w:ascii="Palatino Linotype" w:cs="Palatino Linotype" w:eastAsia="Palatino Linotype" w:hAnsi="Palatino Linotype"/>
          <w:i w:val="1"/>
          <w:iCs w:val="1"/>
          <w:sz w:val="22"/>
          <w:szCs w:val="22"/>
          <w:rtl w:val="0"/>
        </w:rPr>
        <w:t xml:space="preserve">El acceso a la información pública será restringido excepcionalmente, cuando ésta sea clasificada como reservada o confidencial.”</w:t>
      </w:r>
    </w:p>
    <w:p w:rsidR="00000000" w:rsidDel="00000000" w:rsidP="00000000" w:rsidRDefault="00000000" w:rsidRPr="00000000" w14:paraId="00000082">
      <w:pPr>
        <w:spacing w:line="36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8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rsidR="00000000" w:rsidDel="00000000" w:rsidP="00000000" w:rsidRDefault="00000000" w:rsidRPr="00000000" w14:paraId="0000008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manera que, la Ley de Transparencia y Acceso a la Información Pública del Estado de México y Municipios, en sus artículos 140 y 143 prevé los siguientes supuestos para clasificar la información como reservada o confidencial:</w:t>
      </w:r>
    </w:p>
    <w:p w:rsidR="00000000" w:rsidDel="00000000" w:rsidP="00000000" w:rsidRDefault="00000000" w:rsidRPr="00000000" w14:paraId="00000085">
      <w:pPr>
        <w:tabs>
          <w:tab w:val="left" w:leader="none" w:pos="567"/>
        </w:tabs>
        <w:spacing w:line="276" w:lineRule="auto"/>
        <w:ind w:left="567"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6">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140. </w:t>
      </w:r>
      <w:r w:rsidDel="00000000" w:rsidR="00000000" w:rsidRPr="00000000">
        <w:rPr>
          <w:rFonts w:ascii="Palatino Linotype" w:cs="Palatino Linotype" w:eastAsia="Palatino Linotype" w:hAnsi="Palatino Linotype"/>
          <w:i w:val="1"/>
          <w:iCs w:val="1"/>
          <w:sz w:val="22"/>
          <w:szCs w:val="22"/>
          <w:rtl w:val="0"/>
        </w:rPr>
        <w:t xml:space="preserve">El acceso a la información pública será restringido excepcionalmente, cuando por razones de interés público, ésta sea clasificada como reservada, conforme a los criterios siguientes:</w:t>
      </w:r>
    </w:p>
    <w:p w:rsidR="00000000" w:rsidDel="00000000" w:rsidP="00000000" w:rsidRDefault="00000000" w:rsidRPr="00000000" w14:paraId="00000087">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 </w:t>
      </w:r>
      <w:r w:rsidDel="00000000" w:rsidR="00000000" w:rsidRPr="00000000">
        <w:rPr>
          <w:rFonts w:ascii="Palatino Linotype" w:cs="Palatino Linotype" w:eastAsia="Palatino Linotype" w:hAnsi="Palatino Linotype"/>
          <w:i w:val="1"/>
          <w:iCs w:val="1"/>
          <w:sz w:val="22"/>
          <w:szCs w:val="22"/>
          <w:rtl w:val="0"/>
        </w:rPr>
        <w:t xml:space="preserve">Comprometa la seguridad pública y cuente con un propósito genuino y un efecto demostrable;</w:t>
      </w:r>
    </w:p>
    <w:p w:rsidR="00000000" w:rsidDel="00000000" w:rsidP="00000000" w:rsidRDefault="00000000" w:rsidRPr="00000000" w14:paraId="00000088">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 </w:t>
      </w:r>
      <w:r w:rsidDel="00000000" w:rsidR="00000000" w:rsidRPr="00000000">
        <w:rPr>
          <w:rFonts w:ascii="Palatino Linotype" w:cs="Palatino Linotype" w:eastAsia="Palatino Linotype" w:hAnsi="Palatino Linotype"/>
          <w:i w:val="1"/>
          <w:iCs w:val="1"/>
          <w:sz w:val="22"/>
          <w:szCs w:val="22"/>
          <w:rtl w:val="0"/>
        </w:rPr>
        <w:t xml:space="preserve">Pueda menoscabar la conducción de las negociaciones y relaciones internacionales;</w:t>
      </w:r>
    </w:p>
    <w:p w:rsidR="00000000" w:rsidDel="00000000" w:rsidP="00000000" w:rsidRDefault="00000000" w:rsidRPr="00000000" w14:paraId="00000089">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 </w:t>
      </w:r>
      <w:r w:rsidDel="00000000" w:rsidR="00000000" w:rsidRPr="00000000">
        <w:rPr>
          <w:rFonts w:ascii="Palatino Linotype" w:cs="Palatino Linotype" w:eastAsia="Palatino Linotype" w:hAnsi="Palatino Linotype"/>
          <w:i w:val="1"/>
          <w:iCs w:val="1"/>
          <w:sz w:val="22"/>
          <w:szCs w:val="22"/>
          <w:rtl w:val="0"/>
        </w:rPr>
        <w:t xml:space="preserve">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000000" w:rsidDel="00000000" w:rsidP="00000000" w:rsidRDefault="00000000" w:rsidRPr="00000000" w14:paraId="0000008A">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IV. </w:t>
      </w:r>
      <w:r w:rsidDel="00000000" w:rsidR="00000000" w:rsidRPr="00000000">
        <w:rPr>
          <w:rFonts w:ascii="Palatino Linotype" w:cs="Palatino Linotype" w:eastAsia="Palatino Linotype" w:hAnsi="Palatino Linotype"/>
          <w:i w:val="1"/>
          <w:iCs w:val="1"/>
          <w:sz w:val="22"/>
          <w:szCs w:val="22"/>
          <w:rtl w:val="0"/>
        </w:rPr>
        <w:t xml:space="preserve">Ponga en riesgo la vida, la seguridad o la salud de una persona física;</w:t>
      </w:r>
    </w:p>
    <w:p w:rsidR="00000000" w:rsidDel="00000000" w:rsidP="00000000" w:rsidRDefault="00000000" w:rsidRPr="00000000" w14:paraId="0000008B">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 </w:t>
      </w:r>
      <w:r w:rsidDel="00000000" w:rsidR="00000000" w:rsidRPr="00000000">
        <w:rPr>
          <w:rFonts w:ascii="Palatino Linotype" w:cs="Palatino Linotype" w:eastAsia="Palatino Linotype" w:hAnsi="Palatino Linotype"/>
          <w:i w:val="1"/>
          <w:iCs w:val="1"/>
          <w:sz w:val="22"/>
          <w:szCs w:val="22"/>
          <w:rtl w:val="0"/>
        </w:rPr>
        <w:t xml:space="preserve">Aquella cuya divulgación obstruya o pueda causar un serio perjuicio a:</w:t>
      </w:r>
    </w:p>
    <w:p w:rsidR="00000000" w:rsidDel="00000000" w:rsidP="00000000" w:rsidRDefault="00000000" w:rsidRPr="00000000" w14:paraId="0000008C">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1. </w:t>
      </w:r>
      <w:r w:rsidDel="00000000" w:rsidR="00000000" w:rsidRPr="00000000">
        <w:rPr>
          <w:rFonts w:ascii="Palatino Linotype" w:cs="Palatino Linotype" w:eastAsia="Palatino Linotype" w:hAnsi="Palatino Linotype"/>
          <w:i w:val="1"/>
          <w:iCs w:val="1"/>
          <w:sz w:val="22"/>
          <w:szCs w:val="22"/>
          <w:rtl w:val="0"/>
        </w:rPr>
        <w:t xml:space="preserve">Las actividades de fiscalización, verificación, inspección, comprobación y auditoría sobre el cumplimiento de las Leyes; o </w:t>
      </w:r>
    </w:p>
    <w:p w:rsidR="00000000" w:rsidDel="00000000" w:rsidP="00000000" w:rsidRDefault="00000000" w:rsidRPr="00000000" w14:paraId="0000008D">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2. </w:t>
      </w:r>
      <w:r w:rsidDel="00000000" w:rsidR="00000000" w:rsidRPr="00000000">
        <w:rPr>
          <w:rFonts w:ascii="Palatino Linotype" w:cs="Palatino Linotype" w:eastAsia="Palatino Linotype" w:hAnsi="Palatino Linotype"/>
          <w:i w:val="1"/>
          <w:iCs w:val="1"/>
          <w:sz w:val="22"/>
          <w:szCs w:val="22"/>
          <w:rtl w:val="0"/>
        </w:rPr>
        <w:t xml:space="preserve">La recaudación de las contribuciones.</w:t>
      </w:r>
    </w:p>
    <w:p w:rsidR="00000000" w:rsidDel="00000000" w:rsidP="00000000" w:rsidRDefault="00000000" w:rsidRPr="00000000" w14:paraId="0000008E">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 </w:t>
      </w:r>
      <w:r w:rsidDel="00000000" w:rsidR="00000000" w:rsidRPr="00000000">
        <w:rPr>
          <w:rFonts w:ascii="Palatino Linotype" w:cs="Palatino Linotype" w:eastAsia="Palatino Linotype" w:hAnsi="Palatino Linotype"/>
          <w:i w:val="1"/>
          <w:iCs w:val="1"/>
          <w:sz w:val="22"/>
          <w:szCs w:val="22"/>
          <w:rtl w:val="0"/>
        </w:rPr>
        <w:t xml:space="preserve">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000000" w:rsidDel="00000000" w:rsidP="00000000" w:rsidRDefault="00000000" w:rsidRPr="00000000" w14:paraId="0000008F">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VII. </w:t>
      </w:r>
      <w:r w:rsidDel="00000000" w:rsidR="00000000" w:rsidRPr="00000000">
        <w:rPr>
          <w:rFonts w:ascii="Palatino Linotype" w:cs="Palatino Linotype" w:eastAsia="Palatino Linotype" w:hAnsi="Palatino Linotype"/>
          <w:i w:val="1"/>
          <w:iCs w:val="1"/>
          <w:sz w:val="22"/>
          <w:szCs w:val="22"/>
          <w:rtl w:val="0"/>
        </w:rPr>
        <w:t xml:space="preserve">La que contengan las opiniones, recomendaciones o puntos de vista que formen parte del proceso deliberativo de los servidores públicos, hasta en tanto sea adoptada la decisión definitiva, la cual deberá estar documentada;</w:t>
      </w:r>
    </w:p>
    <w:p w:rsidR="00000000" w:rsidDel="00000000" w:rsidP="00000000" w:rsidRDefault="00000000" w:rsidRPr="00000000" w14:paraId="00000090">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VIII</w:t>
      </w:r>
      <w:r w:rsidDel="00000000" w:rsidR="00000000" w:rsidRPr="00000000">
        <w:rPr>
          <w:rFonts w:ascii="Palatino Linotype" w:cs="Palatino Linotype" w:eastAsia="Palatino Linotype" w:hAnsi="Palatino Linotype"/>
          <w:i w:val="1"/>
          <w:iCs w:val="1"/>
          <w:sz w:val="22"/>
          <w:szCs w:val="22"/>
          <w:rtl w:val="0"/>
        </w:rPr>
        <w:t xml:space="preserve">. Vulnere la conducción de los expedientes judiciales o de los procedimientos administrativos seguidos en forma de juicio, en tanto no hayan quedado firmes</w:t>
      </w:r>
      <w:r w:rsidDel="00000000" w:rsidR="00000000" w:rsidRPr="00000000">
        <w:rPr>
          <w:rFonts w:ascii="Palatino Linotype" w:cs="Palatino Linotype" w:eastAsia="Palatino Linotype" w:hAnsi="Palatino Linotype"/>
          <w:b w:val="1"/>
          <w:bCs w:val="1"/>
          <w:i w:val="1"/>
          <w:iCs w:val="1"/>
          <w:sz w:val="22"/>
          <w:szCs w:val="22"/>
          <w:rtl w:val="0"/>
        </w:rPr>
        <w:t xml:space="preserve">;</w:t>
      </w:r>
      <w:r w:rsidDel="00000000" w:rsidR="00000000" w:rsidRPr="00000000">
        <w:rPr>
          <w:rtl w:val="0"/>
        </w:rPr>
      </w:r>
    </w:p>
    <w:p w:rsidR="00000000" w:rsidDel="00000000" w:rsidP="00000000" w:rsidRDefault="00000000" w:rsidRPr="00000000" w14:paraId="00000091">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IX. </w:t>
      </w:r>
      <w:r w:rsidDel="00000000" w:rsidR="00000000" w:rsidRPr="00000000">
        <w:rPr>
          <w:rFonts w:ascii="Palatino Linotype" w:cs="Palatino Linotype" w:eastAsia="Palatino Linotype" w:hAnsi="Palatino Linotype"/>
          <w:i w:val="1"/>
          <w:iCs w:val="1"/>
          <w:sz w:val="22"/>
          <w:szCs w:val="22"/>
          <w:rtl w:val="0"/>
        </w:rPr>
        <w:t xml:space="preserve">Se encuentre contenida dentro de las investigaciones de hechos que la Ley señale como delitos y se tramiten ante el Ministerio Público;</w:t>
      </w:r>
    </w:p>
    <w:p w:rsidR="00000000" w:rsidDel="00000000" w:rsidP="00000000" w:rsidRDefault="00000000" w:rsidRPr="00000000" w14:paraId="00000092">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 </w:t>
      </w:r>
      <w:r w:rsidDel="00000000" w:rsidR="00000000" w:rsidRPr="00000000">
        <w:rPr>
          <w:rFonts w:ascii="Palatino Linotype" w:cs="Palatino Linotype" w:eastAsia="Palatino Linotype" w:hAnsi="Palatino Linotype"/>
          <w:i w:val="1"/>
          <w:iCs w:val="1"/>
          <w:sz w:val="22"/>
          <w:szCs w:val="22"/>
          <w:rtl w:val="0"/>
        </w:rPr>
        <w:t xml:space="preserve">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000000" w:rsidDel="00000000" w:rsidP="00000000" w:rsidRDefault="00000000" w:rsidRPr="00000000" w14:paraId="00000093">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000000" w:rsidDel="00000000" w:rsidP="00000000" w:rsidRDefault="00000000" w:rsidRPr="00000000" w14:paraId="00000094">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XI. </w:t>
      </w:r>
      <w:r w:rsidDel="00000000" w:rsidR="00000000" w:rsidRPr="00000000">
        <w:rPr>
          <w:rFonts w:ascii="Palatino Linotype" w:cs="Palatino Linotype" w:eastAsia="Palatino Linotype" w:hAnsi="Palatino Linotype"/>
          <w:i w:val="1"/>
          <w:iCs w:val="1"/>
          <w:sz w:val="22"/>
          <w:szCs w:val="22"/>
          <w:rtl w:val="0"/>
        </w:rPr>
        <w:t xml:space="preserve">Las que por disposición expresa de una ley tengan tal carácter, siempre que sean acordes con las bases, principios y disposiciones establecidos en esta Ley y no la contravengan; así como las previstas en tratados internacionales.</w:t>
      </w:r>
    </w:p>
    <w:p w:rsidR="00000000" w:rsidDel="00000000" w:rsidP="00000000" w:rsidRDefault="00000000" w:rsidRPr="00000000" w14:paraId="00000095">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96">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143. </w:t>
      </w:r>
      <w:r w:rsidDel="00000000" w:rsidR="00000000" w:rsidRPr="00000000">
        <w:rPr>
          <w:rFonts w:ascii="Palatino Linotype" w:cs="Palatino Linotype" w:eastAsia="Palatino Linotype" w:hAnsi="Palatino Linotype"/>
          <w:i w:val="1"/>
          <w:iCs w:val="1"/>
          <w:sz w:val="22"/>
          <w:szCs w:val="22"/>
          <w:rtl w:val="0"/>
        </w:rPr>
        <w:t xml:space="preserve">Para los efectos de esta Ley se considera información confidencial, la clasificada como tal, de manera permanente, por su naturaleza, cuando:</w:t>
      </w:r>
    </w:p>
    <w:p w:rsidR="00000000" w:rsidDel="00000000" w:rsidP="00000000" w:rsidRDefault="00000000" w:rsidRPr="00000000" w14:paraId="00000097">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 </w:t>
      </w:r>
      <w:r w:rsidDel="00000000" w:rsidR="00000000" w:rsidRPr="00000000">
        <w:rPr>
          <w:rFonts w:ascii="Palatino Linotype" w:cs="Palatino Linotype" w:eastAsia="Palatino Linotype" w:hAnsi="Palatino Linotype"/>
          <w:i w:val="1"/>
          <w:iCs w:val="1"/>
          <w:sz w:val="22"/>
          <w:szCs w:val="22"/>
          <w:rtl w:val="0"/>
        </w:rPr>
        <w:t xml:space="preserve">Se refiera a la información privada y los datos personales concernientes a una persona física o jurídico colectiva identificada o identificable;</w:t>
      </w:r>
    </w:p>
    <w:p w:rsidR="00000000" w:rsidDel="00000000" w:rsidP="00000000" w:rsidRDefault="00000000" w:rsidRPr="00000000" w14:paraId="00000098">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 </w:t>
      </w:r>
      <w:r w:rsidDel="00000000" w:rsidR="00000000" w:rsidRPr="00000000">
        <w:rPr>
          <w:rFonts w:ascii="Palatino Linotype" w:cs="Palatino Linotype" w:eastAsia="Palatino Linotype" w:hAnsi="Palatino Linotype"/>
          <w:i w:val="1"/>
          <w:iCs w:val="1"/>
          <w:sz w:val="22"/>
          <w:szCs w:val="22"/>
          <w:rtl w:val="0"/>
        </w:rPr>
        <w:t xml:space="preserve">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099">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 </w:t>
      </w:r>
      <w:r w:rsidDel="00000000" w:rsidR="00000000" w:rsidRPr="00000000">
        <w:rPr>
          <w:rFonts w:ascii="Palatino Linotype" w:cs="Palatino Linotype" w:eastAsia="Palatino Linotype" w:hAnsi="Palatino Linotype"/>
          <w:i w:val="1"/>
          <w:iCs w:val="1"/>
          <w:sz w:val="22"/>
          <w:szCs w:val="22"/>
          <w:rtl w:val="0"/>
        </w:rPr>
        <w:t xml:space="preserve">La que presenten los particulares a los sujetos obligados, de conformidad con lo dispuesto por las leyes o los tratados internacionales.</w:t>
      </w:r>
    </w:p>
    <w:p w:rsidR="00000000" w:rsidDel="00000000" w:rsidP="00000000" w:rsidRDefault="00000000" w:rsidRPr="00000000" w14:paraId="0000009A">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09B">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09C">
      <w:pPr>
        <w:tabs>
          <w:tab w:val="left" w:leader="none" w:pos="567"/>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9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000000" w:rsidDel="00000000" w:rsidP="00000000" w:rsidRDefault="00000000" w:rsidRPr="00000000" w14:paraId="0000009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F">
      <w:pPr>
        <w:numPr>
          <w:ilvl w:val="0"/>
          <w:numId w:val="2"/>
        </w:numPr>
        <w:tabs>
          <w:tab w:val="left" w:leader="none" w:pos="851"/>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reciba una solicitud de acceso a la información;</w:t>
      </w:r>
    </w:p>
    <w:p w:rsidR="00000000" w:rsidDel="00000000" w:rsidP="00000000" w:rsidRDefault="00000000" w:rsidRPr="00000000" w14:paraId="000000A0">
      <w:pPr>
        <w:numPr>
          <w:ilvl w:val="0"/>
          <w:numId w:val="2"/>
        </w:numPr>
        <w:tabs>
          <w:tab w:val="left" w:leader="none" w:pos="851"/>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determine mediante resolución de autoridad competente; y/o</w:t>
      </w:r>
    </w:p>
    <w:p w:rsidR="00000000" w:rsidDel="00000000" w:rsidP="00000000" w:rsidRDefault="00000000" w:rsidRPr="00000000" w14:paraId="000000A1">
      <w:pPr>
        <w:numPr>
          <w:ilvl w:val="0"/>
          <w:numId w:val="2"/>
        </w:numPr>
        <w:tabs>
          <w:tab w:val="left" w:leader="none" w:pos="851"/>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generen versiones públicas para dar cumplimiento a las obligaciones de transparencia previstas en la Ley.</w:t>
      </w:r>
    </w:p>
    <w:p w:rsidR="00000000" w:rsidDel="00000000" w:rsidP="00000000" w:rsidRDefault="00000000" w:rsidRPr="00000000" w14:paraId="000000A2">
      <w:pPr>
        <w:tabs>
          <w:tab w:val="left" w:leader="none" w:pos="851"/>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3">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es de precisar que la clasificación de la información no se da por el simple mandato de la Ley, sino que es necesario que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w:t>
      </w:r>
      <w:r w:rsidDel="00000000" w:rsidR="00000000" w:rsidRPr="00000000">
        <w:rPr>
          <w:rFonts w:ascii="Palatino Linotype" w:cs="Palatino Linotype" w:eastAsia="Palatino Linotype" w:hAnsi="Palatino Linotype"/>
          <w:sz w:val="22"/>
          <w:szCs w:val="22"/>
          <w:vertAlign w:val="superscript"/>
        </w:rPr>
        <w:footnoteReference w:customMarkFollows="0" w:id="2"/>
      </w:r>
      <w:r w:rsidDel="00000000" w:rsidR="00000000" w:rsidRPr="00000000">
        <w:rPr>
          <w:rFonts w:ascii="Palatino Linotype" w:cs="Palatino Linotype" w:eastAsia="Palatino Linotype" w:hAnsi="Palatino Linotype"/>
          <w:sz w:val="22"/>
          <w:szCs w:val="22"/>
          <w:rtl w:val="0"/>
        </w:rPr>
        <w:t xml:space="preserve">, 53 fracción X</w:t>
      </w:r>
      <w:r w:rsidDel="00000000" w:rsidR="00000000" w:rsidRPr="00000000">
        <w:rPr>
          <w:rFonts w:ascii="Palatino Linotype" w:cs="Palatino Linotype" w:eastAsia="Palatino Linotype" w:hAnsi="Palatino Linotype"/>
          <w:sz w:val="22"/>
          <w:szCs w:val="22"/>
          <w:vertAlign w:val="superscript"/>
        </w:rPr>
        <w:footnoteReference w:customMarkFollows="0" w:id="3"/>
      </w:r>
      <w:r w:rsidDel="00000000" w:rsidR="00000000" w:rsidRPr="00000000">
        <w:rPr>
          <w:rFonts w:ascii="Palatino Linotype" w:cs="Palatino Linotype" w:eastAsia="Palatino Linotype" w:hAnsi="Palatino Linotype"/>
          <w:sz w:val="22"/>
          <w:szCs w:val="22"/>
          <w:rtl w:val="0"/>
        </w:rPr>
        <w:t xml:space="preserve">, y 49 fracciones II y VIII</w:t>
      </w:r>
      <w:r w:rsidDel="00000000" w:rsidR="00000000" w:rsidRPr="00000000">
        <w:rPr>
          <w:rFonts w:ascii="Palatino Linotype" w:cs="Palatino Linotype" w:eastAsia="Palatino Linotype" w:hAnsi="Palatino Linotype"/>
          <w:sz w:val="22"/>
          <w:szCs w:val="22"/>
          <w:vertAlign w:val="superscript"/>
        </w:rPr>
        <w:footnoteReference w:customMarkFollows="0" w:id="4"/>
      </w:r>
      <w:r w:rsidDel="00000000" w:rsidR="00000000" w:rsidRPr="00000000">
        <w:rPr>
          <w:rFonts w:ascii="Palatino Linotype" w:cs="Palatino Linotype" w:eastAsia="Palatino Linotype" w:hAnsi="Palatino Linotype"/>
          <w:sz w:val="22"/>
          <w:szCs w:val="22"/>
          <w:rtl w:val="0"/>
        </w:rPr>
        <w:t xml:space="preserve"> de la Ley de Transparencia y Acceso a la Información Pública del Estado de México y Municipios.</w:t>
      </w:r>
    </w:p>
    <w:p w:rsidR="00000000" w:rsidDel="00000000" w:rsidP="00000000" w:rsidRDefault="00000000" w:rsidRPr="00000000" w14:paraId="000000A4">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Bajo tales consideraciones, este Organismo Garante no omite señalar que, si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advierte que la información solicitada contiene </w:t>
      </w:r>
      <w:r w:rsidDel="00000000" w:rsidR="00000000" w:rsidRPr="00000000">
        <w:rPr>
          <w:rFonts w:ascii="Palatino Linotype" w:cs="Palatino Linotype" w:eastAsia="Palatino Linotype" w:hAnsi="Palatino Linotype"/>
          <w:b w:val="1"/>
          <w:bCs w:val="1"/>
          <w:sz w:val="22"/>
          <w:szCs w:val="22"/>
          <w:rtl w:val="0"/>
        </w:rPr>
        <w:t xml:space="preserve">datos personales</w:t>
      </w:r>
      <w:r w:rsidDel="00000000" w:rsidR="00000000" w:rsidRPr="00000000">
        <w:rPr>
          <w:rFonts w:ascii="Palatino Linotype" w:cs="Palatino Linotype" w:eastAsia="Palatino Linotype" w:hAnsi="Palatino Linotype"/>
          <w:sz w:val="22"/>
          <w:szCs w:val="22"/>
          <w:rtl w:val="0"/>
        </w:rPr>
        <w:t xml:space="preserve"> que sean susceptibles de ser </w:t>
      </w:r>
      <w:r w:rsidDel="00000000" w:rsidR="00000000" w:rsidRPr="00000000">
        <w:rPr>
          <w:rFonts w:ascii="Palatino Linotype" w:cs="Palatino Linotype" w:eastAsia="Palatino Linotype" w:hAnsi="Palatino Linotype"/>
          <w:b w:val="1"/>
          <w:bCs w:val="1"/>
          <w:sz w:val="22"/>
          <w:szCs w:val="22"/>
          <w:rtl w:val="0"/>
        </w:rPr>
        <w:t xml:space="preserve">clasificados como confidenciales, </w:t>
      </w:r>
      <w:r w:rsidDel="00000000" w:rsidR="00000000" w:rsidRPr="00000000">
        <w:rPr>
          <w:rFonts w:ascii="Palatino Linotype" w:cs="Palatino Linotype" w:eastAsia="Palatino Linotype" w:hAnsi="Palatino Linotype"/>
          <w:sz w:val="22"/>
          <w:szCs w:val="22"/>
          <w:rtl w:val="0"/>
        </w:rPr>
        <w:t xml:space="preserve">o, si por otro lado</w:t>
      </w:r>
      <w:r w:rsidDel="00000000" w:rsidR="00000000" w:rsidRPr="00000000">
        <w:rPr>
          <w:rFonts w:ascii="Palatino Linotype" w:cs="Palatino Linotype" w:eastAsia="Palatino Linotype" w:hAnsi="Palatino Linotype"/>
          <w:b w:val="1"/>
          <w:bCs w:val="1"/>
          <w:sz w:val="22"/>
          <w:szCs w:val="22"/>
          <w:rtl w:val="0"/>
        </w:rPr>
        <w:t xml:space="preserve">, por su propia y especial naturaleza,</w:t>
      </w:r>
      <w:r w:rsidDel="00000000" w:rsidR="00000000" w:rsidRPr="00000000">
        <w:rPr>
          <w:rFonts w:ascii="Palatino Linotype" w:cs="Palatino Linotype" w:eastAsia="Palatino Linotype" w:hAnsi="Palatino Linotype"/>
          <w:sz w:val="22"/>
          <w:szCs w:val="22"/>
          <w:rtl w:val="0"/>
        </w:rPr>
        <w:t xml:space="preserve"> encuadra en alguno de los </w:t>
      </w:r>
      <w:r w:rsidDel="00000000" w:rsidR="00000000" w:rsidRPr="00000000">
        <w:rPr>
          <w:rFonts w:ascii="Palatino Linotype" w:cs="Palatino Linotype" w:eastAsia="Palatino Linotype" w:hAnsi="Palatino Linotype"/>
          <w:b w:val="1"/>
          <w:bCs w:val="1"/>
          <w:sz w:val="22"/>
          <w:szCs w:val="22"/>
          <w:rtl w:val="0"/>
        </w:rPr>
        <w:t xml:space="preserve">supuestos de reserva o de confidencialidad en su totalidad</w:t>
      </w:r>
      <w:r w:rsidDel="00000000" w:rsidR="00000000" w:rsidRPr="00000000">
        <w:rPr>
          <w:rFonts w:ascii="Palatino Linotype" w:cs="Palatino Linotype" w:eastAsia="Palatino Linotype" w:hAnsi="Palatino Linotype"/>
          <w:sz w:val="22"/>
          <w:szCs w:val="22"/>
          <w:rtl w:val="0"/>
        </w:rPr>
        <w:t xml:space="preserve">, deberá emitir, un</w:t>
      </w:r>
      <w:r w:rsidDel="00000000" w:rsidR="00000000" w:rsidRPr="00000000">
        <w:rPr>
          <w:rFonts w:ascii="Palatino Linotype" w:cs="Palatino Linotype" w:eastAsia="Palatino Linotype" w:hAnsi="Palatino Linotype"/>
          <w:b w:val="1"/>
          <w:bCs w:val="1"/>
          <w:sz w:val="22"/>
          <w:szCs w:val="22"/>
          <w:rtl w:val="0"/>
        </w:rPr>
        <w:t xml:space="preserve"> Acuerdo de Clasificación </w:t>
      </w:r>
      <w:r w:rsidDel="00000000" w:rsidR="00000000" w:rsidRPr="00000000">
        <w:rPr>
          <w:rFonts w:ascii="Palatino Linotype" w:cs="Palatino Linotype" w:eastAsia="Palatino Linotype" w:hAnsi="Palatino Linotype"/>
          <w:sz w:val="22"/>
          <w:szCs w:val="22"/>
          <w:rtl w:val="0"/>
        </w:rPr>
        <w:t xml:space="preserve">debidamente fundado y motivado que</w:t>
      </w:r>
      <w:r w:rsidDel="00000000" w:rsidR="00000000" w:rsidRPr="00000000">
        <w:rPr>
          <w:rFonts w:ascii="Palatino Linotype" w:cs="Palatino Linotype" w:eastAsia="Palatino Linotype" w:hAnsi="Palatino Linotype"/>
          <w:b w:val="1"/>
          <w:bCs w:val="1"/>
          <w:sz w:val="22"/>
          <w:szCs w:val="22"/>
          <w:rtl w:val="0"/>
        </w:rPr>
        <w:t xml:space="preserve"> sustente la clasificación parcial, a través de la versión pública que emita,</w:t>
      </w:r>
      <w:r w:rsidDel="00000000" w:rsidR="00000000" w:rsidRPr="00000000">
        <w:rPr>
          <w:rFonts w:ascii="Palatino Linotype" w:cs="Palatino Linotype" w:eastAsia="Palatino Linotype" w:hAnsi="Palatino Linotype"/>
          <w:sz w:val="22"/>
          <w:szCs w:val="22"/>
          <w:rtl w:val="0"/>
        </w:rPr>
        <w:t xml:space="preserve"> o bien, la restricción total del derecho de acceso a la información.  </w:t>
      </w:r>
    </w:p>
    <w:p w:rsidR="00000000" w:rsidDel="00000000" w:rsidP="00000000" w:rsidRDefault="00000000" w:rsidRPr="00000000" w14:paraId="000000A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7">
      <w:pPr>
        <w:numPr>
          <w:ilvl w:val="0"/>
          <w:numId w:val="3"/>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De la clasificación parcial de la información.</w:t>
      </w: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line="360" w:lineRule="auto"/>
        <w:ind w:left="72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rsidR="00000000" w:rsidDel="00000000" w:rsidP="00000000" w:rsidRDefault="00000000" w:rsidRPr="00000000" w14:paraId="000000A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B">
      <w:pPr>
        <w:numPr>
          <w:ilvl w:val="0"/>
          <w:numId w:val="3"/>
        </w:numPr>
        <w:pBdr>
          <w:top w:space="0" w:sz="0" w:val="nil"/>
          <w:left w:space="0" w:sz="0" w:val="nil"/>
          <w:bottom w:space="0" w:sz="0" w:val="nil"/>
          <w:right w:space="0" w:sz="0" w:val="nil"/>
          <w:between w:space="0" w:sz="0" w:val="nil"/>
        </w:pBdr>
        <w:spacing w:line="360" w:lineRule="auto"/>
        <w:ind w:left="720" w:right="51" w:hanging="36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De la clasificación de información como reservada.</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line="360" w:lineRule="auto"/>
        <w:ind w:left="720" w:right="51" w:firstLine="0"/>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AD">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cuanto hace a la reserva y ampliación del plazo de reserva de la información, para motivar la clasificación se deberán de señalar las razones, motivos o circunstancias especiales que llevaron al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rsidR="00000000" w:rsidDel="00000000" w:rsidP="00000000" w:rsidRDefault="00000000" w:rsidRPr="00000000" w14:paraId="000000AE">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rsidR="00000000" w:rsidDel="00000000" w:rsidP="00000000" w:rsidRDefault="00000000" w:rsidRPr="00000000" w14:paraId="000000B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1">
      <w:pPr>
        <w:numPr>
          <w:ilvl w:val="0"/>
          <w:numId w:val="1"/>
        </w:numPr>
        <w:tabs>
          <w:tab w:val="left" w:leader="none" w:pos="851"/>
        </w:tabs>
        <w:spacing w:line="360" w:lineRule="auto"/>
        <w:ind w:left="567" w:firstLine="1.000000000000014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divulgación de la información representa un </w:t>
      </w:r>
      <w:r w:rsidDel="00000000" w:rsidR="00000000" w:rsidRPr="00000000">
        <w:rPr>
          <w:rFonts w:ascii="Palatino Linotype" w:cs="Palatino Linotype" w:eastAsia="Palatino Linotype" w:hAnsi="Palatino Linotype"/>
          <w:b w:val="1"/>
          <w:bCs w:val="1"/>
          <w:sz w:val="22"/>
          <w:szCs w:val="22"/>
          <w:rtl w:val="0"/>
        </w:rPr>
        <w:t xml:space="preserve">riesgo real, demostrable e identificable del perjuicio significativo al interés público o a la seguridad pública</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B2">
      <w:pPr>
        <w:numPr>
          <w:ilvl w:val="0"/>
          <w:numId w:val="1"/>
        </w:numPr>
        <w:tabs>
          <w:tab w:val="left" w:leader="none" w:pos="851"/>
        </w:tabs>
        <w:spacing w:line="360" w:lineRule="auto"/>
        <w:ind w:left="567" w:firstLine="1.000000000000014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riesgo de perjuicio que supondría la divulgación supera el interés público general de que se difunda; y,</w:t>
      </w:r>
    </w:p>
    <w:p w:rsidR="00000000" w:rsidDel="00000000" w:rsidP="00000000" w:rsidRDefault="00000000" w:rsidRPr="00000000" w14:paraId="000000B3">
      <w:pPr>
        <w:numPr>
          <w:ilvl w:val="0"/>
          <w:numId w:val="1"/>
        </w:numPr>
        <w:tabs>
          <w:tab w:val="left" w:leader="none" w:pos="851"/>
        </w:tabs>
        <w:spacing w:line="360" w:lineRule="auto"/>
        <w:ind w:left="567" w:firstLine="1.000000000000014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limitación se adecua al principio de proporcionalidad y representa el medio menos restrictivo disponible para evitar el perjuicio. </w:t>
      </w:r>
    </w:p>
    <w:p w:rsidR="00000000" w:rsidDel="00000000" w:rsidP="00000000" w:rsidRDefault="00000000" w:rsidRPr="00000000" w14:paraId="000000B4">
      <w:pPr>
        <w:tabs>
          <w:tab w:val="left" w:leader="none" w:pos="851"/>
        </w:tabs>
        <w:spacing w:line="360" w:lineRule="auto"/>
        <w:ind w:left="568"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pertinente aclarar que, la información que se clasifica bajo la premisa de reservada, </w:t>
      </w:r>
      <w:r w:rsidDel="00000000" w:rsidR="00000000" w:rsidRPr="00000000">
        <w:rPr>
          <w:rFonts w:ascii="Palatino Linotype" w:cs="Palatino Linotype" w:eastAsia="Palatino Linotype" w:hAnsi="Palatino Linotype"/>
          <w:b w:val="1"/>
          <w:bCs w:val="1"/>
          <w:sz w:val="22"/>
          <w:szCs w:val="22"/>
          <w:rtl w:val="0"/>
        </w:rPr>
        <w:t xml:space="preserve">no pierde el carácter de pública</w:t>
      </w:r>
      <w:r w:rsidDel="00000000" w:rsidR="00000000" w:rsidRPr="00000000">
        <w:rPr>
          <w:rFonts w:ascii="Palatino Linotype" w:cs="Palatino Linotype" w:eastAsia="Palatino Linotype" w:hAnsi="Palatino Linotype"/>
          <w:sz w:val="22"/>
          <w:szCs w:val="22"/>
          <w:rtl w:val="0"/>
        </w:rPr>
        <w:t xml:space="preserve">, sino que </w:t>
      </w:r>
      <w:r w:rsidDel="00000000" w:rsidR="00000000" w:rsidRPr="00000000">
        <w:rPr>
          <w:rFonts w:ascii="Palatino Linotype" w:cs="Palatino Linotype" w:eastAsia="Palatino Linotype" w:hAnsi="Palatino Linotype"/>
          <w:b w:val="1"/>
          <w:bCs w:val="1"/>
          <w:sz w:val="22"/>
          <w:szCs w:val="22"/>
          <w:rtl w:val="0"/>
        </w:rPr>
        <w:t xml:space="preserve">se reserva temporalmente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del conocimiento público</w:t>
      </w:r>
      <w:r w:rsidDel="00000000" w:rsidR="00000000" w:rsidRPr="00000000">
        <w:rPr>
          <w:rFonts w:ascii="Palatino Linotype" w:cs="Palatino Linotype" w:eastAsia="Palatino Linotype" w:hAnsi="Palatino Linotype"/>
          <w:sz w:val="22"/>
          <w:szCs w:val="22"/>
          <w:rtl w:val="0"/>
        </w:rPr>
        <w:t xml:space="preserve">, es decir, que, </w:t>
      </w:r>
      <w:r w:rsidDel="00000000" w:rsidR="00000000" w:rsidRPr="00000000">
        <w:rPr>
          <w:rFonts w:ascii="Palatino Linotype" w:cs="Palatino Linotype" w:eastAsia="Palatino Linotype" w:hAnsi="Palatino Linotype"/>
          <w:b w:val="1"/>
          <w:bCs w:val="1"/>
          <w:sz w:val="22"/>
          <w:szCs w:val="22"/>
          <w:rtl w:val="0"/>
        </w:rPr>
        <w:t xml:space="preserve">por un tiempo determinado</w:t>
      </w:r>
      <w:r w:rsidDel="00000000" w:rsidR="00000000" w:rsidRPr="00000000">
        <w:rPr>
          <w:rFonts w:ascii="Palatino Linotype" w:cs="Palatino Linotype" w:eastAsia="Palatino Linotype" w:hAnsi="Palatino Linotype"/>
          <w:sz w:val="22"/>
          <w:szCs w:val="22"/>
          <w:rtl w:val="0"/>
        </w:rPr>
        <w:t xml:space="preserve">, se conservará y custodiará la información de manera especial, y una vez transcurrido el plazo de reserva, el documento podrá divulgarse.</w:t>
      </w:r>
    </w:p>
    <w:p w:rsidR="00000000" w:rsidDel="00000000" w:rsidP="00000000" w:rsidRDefault="00000000" w:rsidRPr="00000000" w14:paraId="000000B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rsidR="00000000" w:rsidDel="00000000" w:rsidP="00000000" w:rsidRDefault="00000000" w:rsidRPr="00000000" w14:paraId="000000B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9">
      <w:pPr>
        <w:numPr>
          <w:ilvl w:val="0"/>
          <w:numId w:val="3"/>
        </w:numPr>
        <w:pBdr>
          <w:top w:space="0" w:sz="0" w:val="nil"/>
          <w:left w:space="0" w:sz="0" w:val="nil"/>
          <w:bottom w:space="0" w:sz="0" w:val="nil"/>
          <w:right w:space="0" w:sz="0" w:val="nil"/>
          <w:between w:space="0" w:sz="0" w:val="nil"/>
        </w:pBdr>
        <w:tabs>
          <w:tab w:val="left" w:leader="none" w:pos="709"/>
        </w:tabs>
        <w:spacing w:line="360" w:lineRule="auto"/>
        <w:ind w:left="720" w:hanging="36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De la clasificación de la información como totalmente confidencial.</w:t>
      </w:r>
    </w:p>
    <w:p w:rsidR="00000000" w:rsidDel="00000000" w:rsidP="00000000" w:rsidRDefault="00000000" w:rsidRPr="00000000" w14:paraId="000000BA">
      <w:pPr>
        <w:pBdr>
          <w:top w:space="0" w:sz="0" w:val="nil"/>
          <w:left w:space="0" w:sz="0" w:val="nil"/>
          <w:bottom w:space="0" w:sz="0" w:val="nil"/>
          <w:right w:space="0" w:sz="0" w:val="nil"/>
          <w:between w:space="0" w:sz="0" w:val="nil"/>
        </w:pBdr>
        <w:tabs>
          <w:tab w:val="left" w:leader="none" w:pos="709"/>
        </w:tabs>
        <w:spacing w:line="360" w:lineRule="auto"/>
        <w:ind w:left="720" w:firstLine="0"/>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BB">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rsidR="00000000" w:rsidDel="00000000" w:rsidP="00000000" w:rsidRDefault="00000000" w:rsidRPr="00000000" w14:paraId="000000BC">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D">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Del="00000000" w:rsidR="00000000" w:rsidRPr="00000000">
        <w:rPr>
          <w:rFonts w:ascii="Palatino Linotype" w:cs="Palatino Linotype" w:eastAsia="Palatino Linotype" w:hAnsi="Palatino Linotype"/>
          <w:sz w:val="22"/>
          <w:szCs w:val="22"/>
          <w:vertAlign w:val="superscript"/>
        </w:rPr>
        <w:footnoteReference w:customMarkFollows="0" w:id="5"/>
      </w:r>
      <w:r w:rsidDel="00000000" w:rsidR="00000000" w:rsidRPr="00000000">
        <w:rPr>
          <w:rFonts w:ascii="Palatino Linotype" w:cs="Palatino Linotype" w:eastAsia="Palatino Linotype" w:hAnsi="Palatino Linotype"/>
          <w:sz w:val="22"/>
          <w:szCs w:val="22"/>
          <w:rtl w:val="0"/>
        </w:rPr>
        <w:t xml:space="preserve">,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000000" w:rsidDel="00000000" w:rsidP="00000000" w:rsidRDefault="00000000" w:rsidRPr="00000000" w14:paraId="000000BE">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F">
      <w:pPr>
        <w:numPr>
          <w:ilvl w:val="0"/>
          <w:numId w:val="3"/>
        </w:numPr>
        <w:pBdr>
          <w:top w:space="0" w:sz="0" w:val="nil"/>
          <w:left w:space="0" w:sz="0" w:val="nil"/>
          <w:bottom w:space="0" w:sz="0" w:val="nil"/>
          <w:right w:space="0" w:sz="0" w:val="nil"/>
          <w:between w:space="0" w:sz="0" w:val="nil"/>
        </w:pBdr>
        <w:spacing w:line="360" w:lineRule="auto"/>
        <w:ind w:left="720" w:right="51"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De la declaratoria de inexistencia de la información</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C0">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estima prudente señalar al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que, en caso de que la información solicitada, debiera obrar en sus archivos y no cuente con ella, deberá entregar el Acuerdo del Comité de Transparencia, en donde conste la declaratoria de inexistencia de la misma.</w:t>
      </w:r>
    </w:p>
    <w:p w:rsidR="00000000" w:rsidDel="00000000" w:rsidP="00000000" w:rsidRDefault="00000000" w:rsidRPr="00000000" w14:paraId="000000C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rsidR="00000000" w:rsidDel="00000000" w:rsidP="00000000" w:rsidRDefault="00000000" w:rsidRPr="00000000" w14:paraId="000000C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rsidR="00000000" w:rsidDel="00000000" w:rsidP="00000000" w:rsidRDefault="00000000" w:rsidRPr="00000000" w14:paraId="000000C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Resulta aplicable el criterio de interpretación en el orden administrativo número 0008-19 emitido por Acuerdo del Pleno del Instituto de Transparencia y Acceso a la Información Pública del Estado de México y Municipios, que a la letra dice:</w:t>
      </w:r>
    </w:p>
    <w:p w:rsidR="00000000" w:rsidDel="00000000" w:rsidP="00000000" w:rsidRDefault="00000000" w:rsidRPr="00000000" w14:paraId="000000C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9">
      <w:pPr>
        <w:spacing w:line="276" w:lineRule="auto"/>
        <w:ind w:left="567"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“INEXISTENCIA DE LA INFORMACIÓN. SUPUESTOS PARA EMITIR LA RESOLUCIÓN DE LA. </w:t>
      </w:r>
      <w:r w:rsidDel="00000000" w:rsidR="00000000" w:rsidRPr="00000000">
        <w:rPr>
          <w:rFonts w:ascii="Palatino Linotype" w:cs="Palatino Linotype" w:eastAsia="Palatino Linotype" w:hAnsi="Palatino Linotype"/>
          <w:i w:val="1"/>
          <w:iCs w:val="1"/>
          <w:sz w:val="22"/>
          <w:szCs w:val="22"/>
          <w:rtl w:val="0"/>
        </w:rPr>
        <w:t xml:space="preserve">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rsidR="00000000" w:rsidDel="00000000" w:rsidP="00000000" w:rsidRDefault="00000000" w:rsidRPr="00000000" w14:paraId="000000C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mérito de todo lo expuesto, ante lo </w:t>
      </w:r>
      <w:r w:rsidDel="00000000" w:rsidR="00000000" w:rsidRPr="00000000">
        <w:rPr>
          <w:rFonts w:ascii="Palatino Linotype" w:cs="Palatino Linotype" w:eastAsia="Palatino Linotype" w:hAnsi="Palatino Linotype"/>
          <w:b w:val="1"/>
          <w:bCs w:val="1"/>
          <w:sz w:val="22"/>
          <w:szCs w:val="22"/>
          <w:rtl w:val="0"/>
        </w:rPr>
        <w:t xml:space="preserve">FUNDADO</w:t>
      </w:r>
      <w:r w:rsidDel="00000000" w:rsidR="00000000" w:rsidRPr="00000000">
        <w:rPr>
          <w:rFonts w:ascii="Palatino Linotype" w:cs="Palatino Linotype" w:eastAsia="Palatino Linotype" w:hAnsi="Palatino Linotype"/>
          <w:sz w:val="22"/>
          <w:szCs w:val="22"/>
          <w:rtl w:val="0"/>
        </w:rPr>
        <w:t xml:space="preserve"> de las razones o motivos de inconformidad hechos valer por la parte Recurrente, este Instituto estima que lo dable es </w:t>
      </w:r>
      <w:r w:rsidDel="00000000" w:rsidR="00000000" w:rsidRPr="00000000">
        <w:rPr>
          <w:rFonts w:ascii="Palatino Linotype" w:cs="Palatino Linotype" w:eastAsia="Palatino Linotype" w:hAnsi="Palatino Linotype"/>
          <w:b w:val="1"/>
          <w:bCs w:val="1"/>
          <w:sz w:val="22"/>
          <w:szCs w:val="22"/>
          <w:rtl w:val="0"/>
        </w:rPr>
        <w:t xml:space="preserve">ORDENAR</w:t>
      </w:r>
      <w:r w:rsidDel="00000000" w:rsidR="00000000" w:rsidRPr="00000000">
        <w:rPr>
          <w:rFonts w:ascii="Palatino Linotype" w:cs="Palatino Linotype" w:eastAsia="Palatino Linotype" w:hAnsi="Palatino Linotype"/>
          <w:sz w:val="22"/>
          <w:szCs w:val="22"/>
          <w:rtl w:val="0"/>
        </w:rPr>
        <w:t xml:space="preserve"> al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dé respuesta a la solicitud de acceso a la información, atendiendo lo señalado en el presente Considerando.</w:t>
      </w:r>
    </w:p>
    <w:p w:rsidR="00000000" w:rsidDel="00000000" w:rsidP="00000000" w:rsidRDefault="00000000" w:rsidRPr="00000000" w14:paraId="000000C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C">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es de señalar que, como ya se mencionó el</w:t>
      </w:r>
      <w:r w:rsidDel="00000000" w:rsidR="00000000" w:rsidRPr="00000000">
        <w:rPr>
          <w:rFonts w:ascii="Palatino Linotype" w:cs="Palatino Linotype" w:eastAsia="Palatino Linotype" w:hAnsi="Palatino Linotype"/>
          <w:b w:val="1"/>
          <w:bCs w:val="1"/>
          <w:sz w:val="22"/>
          <w:szCs w:val="22"/>
          <w:rtl w:val="0"/>
        </w:rPr>
        <w:t xml:space="preserve"> Sujeto Obligado</w:t>
      </w:r>
      <w:r w:rsidDel="00000000" w:rsidR="00000000" w:rsidRPr="00000000">
        <w:rPr>
          <w:rFonts w:ascii="Palatino Linotype" w:cs="Palatino Linotype" w:eastAsia="Palatino Linotype" w:hAnsi="Palatino Linotype"/>
          <w:sz w:val="22"/>
          <w:szCs w:val="22"/>
          <w:rtl w:val="0"/>
        </w:rPr>
        <w:t xml:space="preserve">, omitió proporcionar la respuesta a la solicitud de acceso a la información pública, en el término contemplado en el ya citado artículo 163 de la Ley de la materia, razón por la que se ordena dar vista</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rsidR="00000000" w:rsidDel="00000000" w:rsidP="00000000" w:rsidRDefault="00000000" w:rsidRPr="00000000" w14:paraId="000000CD">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E">
      <w:pPr>
        <w:spacing w:line="360" w:lineRule="auto"/>
        <w:jc w:val="both"/>
        <w:rPr>
          <w:rFonts w:ascii="Palatino Linotype" w:cs="Palatino Linotype" w:eastAsia="Palatino Linotype" w:hAnsi="Palatino Linotype"/>
          <w:sz w:val="22"/>
          <w:szCs w:val="22"/>
        </w:rPr>
      </w:pPr>
      <w:bookmarkStart w:colFirst="0" w:colLast="0" w:name="_heading=h.ufldlg1z5cqe" w:id="1"/>
      <w:bookmarkEnd w:id="1"/>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III. R E S U E L V E</w:t>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D2">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Resultan </w:t>
      </w:r>
      <w:r w:rsidDel="00000000" w:rsidR="00000000" w:rsidRPr="00000000">
        <w:rPr>
          <w:rFonts w:ascii="Palatino Linotype" w:cs="Palatino Linotype" w:eastAsia="Palatino Linotype" w:hAnsi="Palatino Linotype"/>
          <w:b w:val="1"/>
          <w:bCs w:val="1"/>
          <w:sz w:val="22"/>
          <w:szCs w:val="22"/>
          <w:rtl w:val="0"/>
        </w:rPr>
        <w:t xml:space="preserve">FUNDADOS</w:t>
      </w:r>
      <w:r w:rsidDel="00000000" w:rsidR="00000000" w:rsidRPr="00000000">
        <w:rPr>
          <w:rFonts w:ascii="Palatino Linotype" w:cs="Palatino Linotype" w:eastAsia="Palatino Linotype" w:hAnsi="Palatino Linotype"/>
          <w:sz w:val="22"/>
          <w:szCs w:val="22"/>
          <w:rtl w:val="0"/>
        </w:rPr>
        <w:t xml:space="preserve"> los motivos de inconformidad de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términos del </w:t>
      </w:r>
      <w:r w:rsidDel="00000000" w:rsidR="00000000" w:rsidRPr="00000000">
        <w:rPr>
          <w:rFonts w:ascii="Palatino Linotype" w:cs="Palatino Linotype" w:eastAsia="Palatino Linotype" w:hAnsi="Palatino Linotype"/>
          <w:b w:val="1"/>
          <w:bCs w:val="1"/>
          <w:sz w:val="22"/>
          <w:szCs w:val="22"/>
          <w:rtl w:val="0"/>
        </w:rPr>
        <w:t xml:space="preserve">Considerando Cuarto</w:t>
      </w:r>
      <w:r w:rsidDel="00000000" w:rsidR="00000000" w:rsidRPr="00000000">
        <w:rPr>
          <w:rFonts w:ascii="Palatino Linotype" w:cs="Palatino Linotype" w:eastAsia="Palatino Linotype" w:hAnsi="Palatino Linotype"/>
          <w:sz w:val="22"/>
          <w:szCs w:val="22"/>
          <w:rtl w:val="0"/>
        </w:rPr>
        <w:t xml:space="preserve"> de la presente resolución.</w:t>
      </w:r>
    </w:p>
    <w:p w:rsidR="00000000" w:rsidDel="00000000" w:rsidP="00000000" w:rsidRDefault="00000000" w:rsidRPr="00000000" w14:paraId="000000D3">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4">
      <w:pPr>
        <w:spacing w:line="360" w:lineRule="auto"/>
        <w:jc w:val="both"/>
        <w:rPr>
          <w:rFonts w:ascii="Palatino Linotype" w:cs="Palatino Linotype" w:eastAsia="Palatino Linotype" w:hAnsi="Palatino Linotype"/>
          <w:sz w:val="22"/>
          <w:szCs w:val="22"/>
        </w:rPr>
      </w:pPr>
      <w:bookmarkStart w:colFirst="0" w:colLast="0" w:name="_heading=h.3dy6vkm" w:id="2"/>
      <w:bookmarkEnd w:id="2"/>
      <w:r w:rsidDel="00000000" w:rsidR="00000000" w:rsidRPr="00000000">
        <w:rPr>
          <w:rFonts w:ascii="Palatino Linotype" w:cs="Palatino Linotype" w:eastAsia="Palatino Linotype" w:hAnsi="Palatino Linotype"/>
          <w:b w:val="1"/>
          <w:bCs w:val="1"/>
          <w:sz w:val="22"/>
          <w:szCs w:val="22"/>
          <w:rtl w:val="0"/>
        </w:rPr>
        <w:t xml:space="preserve">Segundo.</w:t>
      </w:r>
      <w:r w:rsidDel="00000000" w:rsidR="00000000" w:rsidRPr="00000000">
        <w:rPr>
          <w:rFonts w:ascii="Palatino Linotype" w:cs="Palatino Linotype" w:eastAsia="Palatino Linotype" w:hAnsi="Palatino Linotype"/>
          <w:sz w:val="22"/>
          <w:szCs w:val="22"/>
          <w:rtl w:val="0"/>
        </w:rPr>
        <w:t xml:space="preserve"> Se</w:t>
      </w:r>
      <w:r w:rsidDel="00000000" w:rsidR="00000000" w:rsidRPr="00000000">
        <w:rPr>
          <w:rFonts w:ascii="Palatino Linotype" w:cs="Palatino Linotype" w:eastAsia="Palatino Linotype" w:hAnsi="Palatino Linotype"/>
          <w:b w:val="1"/>
          <w:bCs w:val="1"/>
          <w:sz w:val="22"/>
          <w:szCs w:val="22"/>
          <w:rtl w:val="0"/>
        </w:rPr>
        <w:t xml:space="preserve"> Ordena </w:t>
      </w:r>
      <w:r w:rsidDel="00000000" w:rsidR="00000000" w:rsidRPr="00000000">
        <w:rPr>
          <w:rFonts w:ascii="Palatino Linotype" w:cs="Palatino Linotype" w:eastAsia="Palatino Linotype" w:hAnsi="Palatino Linotype"/>
          <w:sz w:val="22"/>
          <w:szCs w:val="22"/>
          <w:rtl w:val="0"/>
        </w:rPr>
        <w:t xml:space="preserve">al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dé trámite, vía </w:t>
      </w:r>
      <w:r w:rsidDel="00000000" w:rsidR="00000000" w:rsidRPr="00000000">
        <w:rPr>
          <w:rFonts w:ascii="Palatino Linotype" w:cs="Palatino Linotype" w:eastAsia="Palatino Linotype" w:hAnsi="Palatino Linotype"/>
          <w:b w:val="1"/>
          <w:bCs w:val="1"/>
          <w:sz w:val="22"/>
          <w:szCs w:val="22"/>
          <w:rtl w:val="0"/>
        </w:rPr>
        <w:t xml:space="preserve">Sistema de Acceso a la Información Mexiquense </w:t>
      </w:r>
      <w:r w:rsidDel="00000000" w:rsidR="00000000" w:rsidRPr="00000000">
        <w:rPr>
          <w:rFonts w:ascii="Palatino Linotype" w:cs="Palatino Linotype" w:eastAsia="Palatino Linotype" w:hAnsi="Palatino Linotype"/>
          <w:sz w:val="22"/>
          <w:szCs w:val="22"/>
          <w:rtl w:val="0"/>
        </w:rPr>
        <w:t xml:space="preserve">a la solicitud de acceso a la información pública </w:t>
      </w:r>
      <w:r w:rsidDel="00000000" w:rsidR="00000000" w:rsidRPr="00000000">
        <w:rPr>
          <w:rFonts w:ascii="Palatino Linotype" w:cs="Palatino Linotype" w:eastAsia="Palatino Linotype" w:hAnsi="Palatino Linotype"/>
          <w:b w:val="1"/>
          <w:bCs w:val="1"/>
          <w:sz w:val="22"/>
          <w:szCs w:val="22"/>
          <w:rtl w:val="0"/>
        </w:rPr>
        <w:t xml:space="preserve">01198/TEPOTZOT/IP/2025 </w:t>
      </w:r>
      <w:r w:rsidDel="00000000" w:rsidR="00000000" w:rsidRPr="00000000">
        <w:rPr>
          <w:rFonts w:ascii="Palatino Linotype" w:cs="Palatino Linotype" w:eastAsia="Palatino Linotype" w:hAnsi="Palatino Linotype"/>
          <w:sz w:val="22"/>
          <w:szCs w:val="22"/>
          <w:rtl w:val="0"/>
        </w:rPr>
        <w:t xml:space="preserve">que dio origen al recurso de revisión </w:t>
      </w:r>
      <w:r w:rsidDel="00000000" w:rsidR="00000000" w:rsidRPr="00000000">
        <w:rPr>
          <w:rFonts w:ascii="Palatino Linotype" w:cs="Palatino Linotype" w:eastAsia="Palatino Linotype" w:hAnsi="Palatino Linotype"/>
          <w:b w:val="1"/>
          <w:bCs w:val="1"/>
          <w:sz w:val="22"/>
          <w:szCs w:val="22"/>
          <w:rtl w:val="0"/>
        </w:rPr>
        <w:t xml:space="preserve">14229/INFOEM/IP/RR/2025 </w:t>
      </w:r>
      <w:r w:rsidDel="00000000" w:rsidR="00000000" w:rsidRPr="00000000">
        <w:rPr>
          <w:rFonts w:ascii="Palatino Linotype" w:cs="Palatino Linotype" w:eastAsia="Palatino Linotype" w:hAnsi="Palatino Linotype"/>
          <w:sz w:val="22"/>
          <w:szCs w:val="22"/>
          <w:rtl w:val="0"/>
        </w:rPr>
        <w:t xml:space="preserve">en términos del </w:t>
      </w:r>
      <w:r w:rsidDel="00000000" w:rsidR="00000000" w:rsidRPr="00000000">
        <w:rPr>
          <w:rFonts w:ascii="Palatino Linotype" w:cs="Palatino Linotype" w:eastAsia="Palatino Linotype" w:hAnsi="Palatino Linotype"/>
          <w:b w:val="1"/>
          <w:bCs w:val="1"/>
          <w:sz w:val="22"/>
          <w:szCs w:val="22"/>
          <w:rtl w:val="0"/>
        </w:rPr>
        <w:t xml:space="preserve">Considerando Cuarto</w:t>
      </w:r>
      <w:r w:rsidDel="00000000" w:rsidR="00000000" w:rsidRPr="00000000">
        <w:rPr>
          <w:rFonts w:ascii="Palatino Linotype" w:cs="Palatino Linotype" w:eastAsia="Palatino Linotype" w:hAnsi="Palatino Linotype"/>
          <w:sz w:val="22"/>
          <w:szCs w:val="22"/>
          <w:rtl w:val="0"/>
        </w:rPr>
        <w:t xml:space="preserve"> de esta resolución y emita respuesta, debiendo observar las excepciones contenidas en la Ley de Transparencia y Acceso a la Información Pública del Estado de México y Municipios.</w:t>
      </w:r>
    </w:p>
    <w:p w:rsidR="00000000" w:rsidDel="00000000" w:rsidP="00000000" w:rsidRDefault="00000000" w:rsidRPr="00000000" w14:paraId="000000D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6">
      <w:pPr>
        <w:spacing w:line="360" w:lineRule="auto"/>
        <w:ind w:right="49"/>
        <w:jc w:val="both"/>
        <w:rPr>
          <w:rFonts w:ascii="Palatino Linotype" w:cs="Palatino Linotype" w:eastAsia="Palatino Linotype" w:hAnsi="Palatino Linotype"/>
          <w:sz w:val="22"/>
          <w:szCs w:val="22"/>
        </w:rPr>
      </w:pPr>
      <w:bookmarkStart w:colFirst="0" w:colLast="0" w:name="_heading=h.3znysh7" w:id="3"/>
      <w:bookmarkEnd w:id="3"/>
      <w:r w:rsidDel="00000000" w:rsidR="00000000" w:rsidRPr="00000000">
        <w:rPr>
          <w:rFonts w:ascii="Palatino Linotype" w:cs="Palatino Linotype" w:eastAsia="Palatino Linotype" w:hAnsi="Palatino Linotype"/>
          <w:b w:val="1"/>
          <w:bCs w:val="1"/>
          <w:sz w:val="22"/>
          <w:szCs w:val="22"/>
          <w:rtl w:val="0"/>
        </w:rPr>
        <w:t xml:space="preserve">Tercero.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Notifíquese vía Sistema de Acceso a la Información Mexiquense </w:t>
      </w:r>
      <w:r w:rsidDel="00000000" w:rsidR="00000000" w:rsidRPr="00000000">
        <w:rPr>
          <w:rFonts w:ascii="Palatino Linotype" w:cs="Palatino Linotype" w:eastAsia="Palatino Linotype" w:hAnsi="Palatino Linotype"/>
          <w:sz w:val="22"/>
          <w:szCs w:val="22"/>
          <w:rtl w:val="0"/>
        </w:rPr>
        <w:t xml:space="preserve">la presente resolución al T</w:t>
      </w:r>
      <w:r w:rsidDel="00000000" w:rsidR="00000000" w:rsidRPr="00000000">
        <w:rPr>
          <w:rFonts w:ascii="Palatino Linotype" w:cs="Palatino Linotype" w:eastAsia="Palatino Linotype" w:hAnsi="Palatino Linotype"/>
          <w:b w:val="1"/>
          <w:bCs w:val="1"/>
          <w:sz w:val="22"/>
          <w:szCs w:val="22"/>
          <w:rtl w:val="0"/>
        </w:rPr>
        <w:t xml:space="preserve">itular de la Unidad de Transparencia </w:t>
      </w:r>
      <w:r w:rsidDel="00000000" w:rsidR="00000000" w:rsidRPr="00000000">
        <w:rPr>
          <w:rFonts w:ascii="Palatino Linotype" w:cs="Palatino Linotype" w:eastAsia="Palatino Linotype" w:hAnsi="Palatino Linotype"/>
          <w:sz w:val="22"/>
          <w:szCs w:val="22"/>
          <w:rtl w:val="0"/>
        </w:rPr>
        <w:t xml:space="preserve">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0D7">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Cuarto. Notifíquese</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vía </w:t>
      </w:r>
      <w:r w:rsidDel="00000000" w:rsidR="00000000" w:rsidRPr="00000000">
        <w:rPr>
          <w:rFonts w:ascii="Palatino Linotype" w:cs="Palatino Linotype" w:eastAsia="Palatino Linotype" w:hAnsi="Palatino Linotype"/>
          <w:b w:val="1"/>
          <w:bCs w:val="1"/>
          <w:sz w:val="22"/>
          <w:szCs w:val="22"/>
          <w:rtl w:val="0"/>
        </w:rPr>
        <w:t xml:space="preserve">Sistema de Acceso a la Información Mexiquense</w:t>
      </w:r>
      <w:r w:rsidDel="00000000" w:rsidR="00000000" w:rsidRPr="00000000">
        <w:rPr>
          <w:rFonts w:ascii="Palatino Linotype" w:cs="Palatino Linotype" w:eastAsia="Palatino Linotype" w:hAnsi="Palatino Linotype"/>
          <w:sz w:val="22"/>
          <w:szCs w:val="22"/>
          <w:rtl w:val="0"/>
        </w:rPr>
        <w:t xml:space="preserve">, a la parte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0D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Quinto. Notifíquese </w:t>
      </w:r>
      <w:r w:rsidDel="00000000" w:rsidR="00000000" w:rsidRPr="00000000">
        <w:rPr>
          <w:rFonts w:ascii="Palatino Linotype" w:cs="Palatino Linotype" w:eastAsia="Palatino Linotype" w:hAnsi="Palatino Linotype"/>
          <w:sz w:val="22"/>
          <w:szCs w:val="22"/>
          <w:rtl w:val="0"/>
        </w:rPr>
        <w:t xml:space="preserve">a la parte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que la respuesta que dé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derivada de la presente resolución es susceptible de ser impugnadas nuevamente, mediante recurso de revisión, ante el Instituto, en términos del artículo 179, último párrafo de la Ley de Transparencia y Acceso a la Información Pública del Estado de México y Municipios.</w:t>
      </w:r>
    </w:p>
    <w:p w:rsidR="00000000" w:rsidDel="00000000" w:rsidP="00000000" w:rsidRDefault="00000000" w:rsidRPr="00000000" w14:paraId="000000DB">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DC">
      <w:pPr>
        <w:spacing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Sexto. Gírese </w:t>
      </w:r>
      <w:r w:rsidDel="00000000" w:rsidR="00000000" w:rsidRPr="00000000">
        <w:rPr>
          <w:rFonts w:ascii="Palatino Linotype" w:cs="Palatino Linotype" w:eastAsia="Palatino Linotype" w:hAnsi="Palatino Linotype"/>
          <w:sz w:val="22"/>
          <w:szCs w:val="22"/>
          <w:rtl w:val="0"/>
        </w:rPr>
        <w:t xml:space="preserve">oficio a la </w:t>
      </w:r>
      <w:r w:rsidDel="00000000" w:rsidR="00000000" w:rsidRPr="00000000">
        <w:rPr>
          <w:rFonts w:ascii="Palatino Linotype" w:cs="Palatino Linotype" w:eastAsia="Palatino Linotype" w:hAnsi="Palatino Linotype"/>
          <w:b w:val="1"/>
          <w:bCs w:val="1"/>
          <w:sz w:val="22"/>
          <w:szCs w:val="22"/>
          <w:rtl w:val="0"/>
        </w:rPr>
        <w:t xml:space="preserve">Secretaría Técnica del Pleno</w:t>
      </w:r>
      <w:r w:rsidDel="00000000" w:rsidR="00000000" w:rsidRPr="00000000">
        <w:rPr>
          <w:rFonts w:ascii="Palatino Linotype" w:cs="Palatino Linotype" w:eastAsia="Palatino Linotype" w:hAnsi="Palatino Linotype"/>
          <w:sz w:val="22"/>
          <w:szCs w:val="22"/>
          <w:rtl w:val="0"/>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de la presente resolución.</w:t>
      </w:r>
      <w:r w:rsidDel="00000000" w:rsidR="00000000" w:rsidRPr="00000000">
        <w:rPr>
          <w:rFonts w:ascii="Palatino Linotype" w:cs="Palatino Linotype" w:eastAsia="Palatino Linotype" w:hAnsi="Palatino Linotype"/>
          <w:b w:val="1"/>
          <w:bCs w:val="1"/>
          <w:sz w:val="22"/>
          <w:szCs w:val="22"/>
          <w:rtl w:val="0"/>
        </w:rPr>
        <w:t xml:space="preserve"> </w:t>
      </w:r>
    </w:p>
    <w:p w:rsidR="00000000" w:rsidDel="00000000" w:rsidP="00000000" w:rsidRDefault="00000000" w:rsidRPr="00000000" w14:paraId="000000DD">
      <w:pPr>
        <w:spacing w:line="360" w:lineRule="auto"/>
        <w:jc w:val="both"/>
        <w:rPr>
          <w:rFonts w:ascii="Palatino Linotype" w:cs="Palatino Linotype" w:eastAsia="Palatino Linotype" w:hAnsi="Palatino Linotype"/>
          <w:sz w:val="22"/>
          <w:szCs w:val="22"/>
        </w:rPr>
      </w:pPr>
      <w:bookmarkStart w:colFirst="0" w:colLast="0" w:name="_heading=h.ibiie51sawl6" w:id="4"/>
      <w:bookmarkEnd w:id="4"/>
      <w:r w:rsidDel="00000000" w:rsidR="00000000" w:rsidRPr="00000000">
        <w:rPr>
          <w:rtl w:val="0"/>
        </w:rPr>
      </w:r>
    </w:p>
    <w:p w:rsidR="00000000" w:rsidDel="00000000" w:rsidP="00000000" w:rsidRDefault="00000000" w:rsidRPr="00000000" w14:paraId="000000DE">
      <w:pPr>
        <w:spacing w:line="360" w:lineRule="auto"/>
        <w:ind w:right="49"/>
        <w:jc w:val="both"/>
        <w:rPr>
          <w:rFonts w:ascii="Palatino Linotype" w:cs="Palatino Linotype" w:eastAsia="Palatino Linotype" w:hAnsi="Palatino Linotype"/>
          <w:sz w:val="22"/>
          <w:szCs w:val="22"/>
        </w:rPr>
        <w:sectPr>
          <w:headerReference r:id="rId9" w:type="default"/>
          <w:headerReference r:id="rId10" w:type="first"/>
          <w:footerReference r:id="rId11" w:type="default"/>
          <w:footerReference r:id="rId12" w:type="first"/>
          <w:pgSz w:h="15840" w:w="12240" w:orient="portrait"/>
          <w:pgMar w:bottom="1701" w:top="1985" w:left="1701" w:right="1701" w:header="709" w:footer="709"/>
          <w:pgNumType w:start="1"/>
          <w:titlePg w:val="1"/>
        </w:sectPr>
      </w:pPr>
      <w:bookmarkStart w:colFirst="0" w:colLast="0" w:name="_heading=h.1fob9te" w:id="5"/>
      <w:bookmarkEnd w:id="5"/>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SEGUNDA SESIÓN ORDINARIA CELEBRADA EL VEINTIUNO DE ENERO DE DOS MIL VEINTISÉIS, ANTE EL SECRETARIO TÉCNICO DEL PLENO ALEXIS TAPIA RAMÍREZ. </w:t>
      </w:r>
    </w:p>
    <w:p w:rsidR="00000000" w:rsidDel="00000000" w:rsidP="00000000" w:rsidRDefault="00000000" w:rsidRPr="00000000" w14:paraId="000000DF">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0">
      <w:pPr>
        <w:rPr>
          <w:sz w:val="22"/>
          <w:szCs w:val="22"/>
        </w:rPr>
      </w:pPr>
      <w:r w:rsidDel="00000000" w:rsidR="00000000" w:rsidRPr="00000000">
        <w:rPr>
          <w:rtl w:val="0"/>
        </w:rPr>
      </w:r>
    </w:p>
    <w:sectPr>
      <w:headerReference r:id="rId13" w:type="first"/>
      <w:type w:val="nextPage"/>
      <w:pgSz w:h="15840" w:w="12240" w:orient="portrait"/>
      <w:pgMar w:bottom="1701" w:top="1985"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Verdana"/>
  <w:font w:name="Calibri"/>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3">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bCs w:val="1"/>
        <w:color w:val="000000"/>
        <w:sz w:val="20"/>
        <w:szCs w:val="20"/>
        <w:rtl w:val="0"/>
      </w:rPr>
      <w:t xml:space="preserve">Página </w:t>
    </w:r>
    <w:r w:rsidDel="00000000" w:rsidR="00000000" w:rsidRPr="00000000">
      <w:rPr>
        <w:rFonts w:ascii="Arial" w:cs="Arial" w:eastAsia="Arial" w:hAnsi="Arial"/>
        <w:b w:val="1"/>
        <w:bCs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bCs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6">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bCs w:val="1"/>
        <w:color w:val="000000"/>
        <w:sz w:val="20"/>
        <w:szCs w:val="20"/>
        <w:rtl w:val="0"/>
      </w:rPr>
      <w:t xml:space="preserve">Página </w:t>
    </w:r>
    <w:r w:rsidDel="00000000" w:rsidR="00000000" w:rsidRPr="00000000">
      <w:rPr>
        <w:rFonts w:ascii="Arial" w:cs="Arial" w:eastAsia="Arial" w:hAnsi="Arial"/>
        <w:b w:val="1"/>
        <w:bCs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bCs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E1">
      <w:pPr>
        <w:spacing w:before="240" w:lineRule="auto"/>
        <w:jc w:val="both"/>
        <w:rPr>
          <w:rFonts w:ascii="Palatino Linotype" w:cs="Palatino Linotype" w:eastAsia="Palatino Linotype" w:hAnsi="Palatino Linotype"/>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sz w:val="16"/>
          <w:szCs w:val="16"/>
          <w:rtl w:val="0"/>
        </w:rPr>
        <w:t xml:space="preserve">“Artículo 178.</w:t>
      </w:r>
    </w:p>
    <w:p w:rsidR="00000000" w:rsidDel="00000000" w:rsidP="00000000" w:rsidRDefault="00000000" w:rsidRPr="00000000" w14:paraId="000000E2">
      <w:pPr>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w:t>
      </w:r>
    </w:p>
    <w:p w:rsidR="00000000" w:rsidDel="00000000" w:rsidP="00000000" w:rsidRDefault="00000000" w:rsidRPr="00000000" w14:paraId="000000E3">
      <w:pPr>
        <w:spacing w:after="240" w:lineRule="auto"/>
        <w:jc w:val="both"/>
        <w:rPr/>
      </w:pPr>
      <w:r w:rsidDel="00000000" w:rsidR="00000000" w:rsidRPr="00000000">
        <w:rPr>
          <w:rFonts w:ascii="Palatino Linotype" w:cs="Palatino Linotype" w:eastAsia="Palatino Linotype" w:hAnsi="Palatino Linotype"/>
          <w:sz w:val="16"/>
          <w:szCs w:val="16"/>
          <w:rtl w:val="0"/>
        </w:rPr>
        <w:t xml:space="preserve">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r w:rsidDel="00000000" w:rsidR="00000000" w:rsidRPr="00000000">
        <w:rPr>
          <w:rtl w:val="0"/>
        </w:rPr>
      </w:r>
    </w:p>
  </w:footnote>
  <w:footnote w:id="1">
    <w:p w:rsidR="00000000" w:rsidDel="00000000" w:rsidP="00000000" w:rsidRDefault="00000000" w:rsidRPr="00000000" w14:paraId="000000E4">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Al encontrarse en algún supuesto restrictivo, previsto en la normatividad aplicable.</w:t>
      </w:r>
    </w:p>
  </w:footnote>
  <w:footnote w:id="2">
    <w:p w:rsidR="00000000" w:rsidDel="00000000" w:rsidP="00000000" w:rsidRDefault="00000000" w:rsidRPr="00000000" w14:paraId="000000E5">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59. Los servidores públicos habilitados tendrán las funciones siguientes:</w:t>
      </w:r>
    </w:p>
    <w:p w:rsidR="00000000" w:rsidDel="00000000" w:rsidP="00000000" w:rsidRDefault="00000000" w:rsidRPr="00000000" w14:paraId="000000E6">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V. Integrar y presentar al responsable de la Unidad de Transparencia la propuesta de clasificación de información, la cual tendrá los fundamentos y argumentos en que se basa dicha propuesta;</w:t>
      </w:r>
    </w:p>
  </w:footnote>
  <w:footnote w:id="3">
    <w:p w:rsidR="00000000" w:rsidDel="00000000" w:rsidP="00000000" w:rsidRDefault="00000000" w:rsidRPr="00000000" w14:paraId="000000E7">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53. Las Unidades de Transparencia tendrán las siguientes funciones:</w:t>
      </w:r>
    </w:p>
    <w:p w:rsidR="00000000" w:rsidDel="00000000" w:rsidP="00000000" w:rsidRDefault="00000000" w:rsidRPr="00000000" w14:paraId="000000E8">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X. Presentar ante el Comité, el proyecto de clasificación de información;</w:t>
      </w:r>
    </w:p>
  </w:footnote>
  <w:footnote w:id="4">
    <w:p w:rsidR="00000000" w:rsidDel="00000000" w:rsidP="00000000" w:rsidRDefault="00000000" w:rsidRPr="00000000" w14:paraId="000000E9">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49. Los Comités de Transparencia tendrán las siguientes atribuciones:</w:t>
      </w:r>
    </w:p>
    <w:p w:rsidR="00000000" w:rsidDel="00000000" w:rsidP="00000000" w:rsidRDefault="00000000" w:rsidRPr="00000000" w14:paraId="000000EA">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Confirmar, modificar o revocar las determinaciones que en materia de ampliación del plazo de respuesta, clasificación de la información y declaración de inexistencia o de incompetencia realicen los titulares de las áreas de los sujetos obligados;</w:t>
      </w:r>
    </w:p>
    <w:p w:rsidR="00000000" w:rsidDel="00000000" w:rsidP="00000000" w:rsidRDefault="00000000" w:rsidRPr="00000000" w14:paraId="000000EB">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VIII. Aprobar, modificar o revocar la clasificación de la información;</w:t>
      </w:r>
    </w:p>
  </w:footnote>
  <w:footnote w:id="5">
    <w:p w:rsidR="00000000" w:rsidDel="00000000" w:rsidP="00000000" w:rsidRDefault="00000000" w:rsidRPr="00000000" w14:paraId="000000EC">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D">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rPr>
    </w:pPr>
    <w:r w:rsidDel="00000000" w:rsidR="00000000" w:rsidRPr="00000000">
      <w:rPr>
        <w:rtl w:val="0"/>
      </w:rPr>
    </w:r>
  </w:p>
  <w:tbl>
    <w:tblPr>
      <w:tblStyle w:val="Table1"/>
      <w:tblW w:w="5528.0" w:type="dxa"/>
      <w:jc w:val="left"/>
      <w:tblInd w:w="3261.0" w:type="dxa"/>
      <w:tblLayout w:type="fixed"/>
      <w:tblLook w:val="0400"/>
    </w:tblPr>
    <w:tblGrid>
      <w:gridCol w:w="2552"/>
      <w:gridCol w:w="2976"/>
      <w:tblGridChange w:id="0">
        <w:tblGrid>
          <w:gridCol w:w="2552"/>
          <w:gridCol w:w="2976"/>
        </w:tblGrid>
      </w:tblGridChange>
    </w:tblGrid>
    <w:tr>
      <w:trPr>
        <w:cantSplit w:val="0"/>
        <w:tblHeader w:val="1"/>
      </w:trPr>
      <w:tc>
        <w:tcPr>
          <w:vAlign w:val="center"/>
        </w:tcPr>
        <w:p w:rsidR="00000000" w:rsidDel="00000000" w:rsidP="00000000" w:rsidRDefault="00000000" w:rsidRPr="00000000" w14:paraId="000000EE">
          <w:pPr>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Recurso de Revisión:</w:t>
          </w:r>
        </w:p>
      </w:tc>
      <w:tc>
        <w:tcPr>
          <w:vAlign w:val="center"/>
        </w:tcPr>
        <w:p w:rsidR="00000000" w:rsidDel="00000000" w:rsidP="00000000" w:rsidRDefault="00000000" w:rsidRPr="00000000" w14:paraId="000000EF">
          <w:pPr>
            <w:jc w:val="both"/>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14229/INFOEM/IP/RR/2025 </w:t>
          </w:r>
        </w:p>
      </w:tc>
    </w:tr>
    <w:tr>
      <w:trPr>
        <w:cantSplit w:val="0"/>
        <w:trHeight w:val="228" w:hRule="atLeast"/>
        <w:tblHeader w:val="0"/>
      </w:trPr>
      <w:tc>
        <w:tcPr>
          <w:shd w:fill="auto" w:val="clear"/>
          <w:vAlign w:val="center"/>
        </w:tcPr>
        <w:p w:rsidR="00000000" w:rsidDel="00000000" w:rsidP="00000000" w:rsidRDefault="00000000" w:rsidRPr="00000000" w14:paraId="000000F0">
          <w:pPr>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Sujeto obligado:</w:t>
          </w:r>
        </w:p>
        <w:p w:rsidR="00000000" w:rsidDel="00000000" w:rsidP="00000000" w:rsidRDefault="00000000" w:rsidRPr="00000000" w14:paraId="000000F1">
          <w:pPr>
            <w:rPr>
              <w:rFonts w:ascii="Palatino Linotype" w:cs="Palatino Linotype" w:eastAsia="Palatino Linotype" w:hAnsi="Palatino Linotype"/>
              <w:b w:val="1"/>
              <w:bCs w:val="1"/>
              <w:sz w:val="21"/>
              <w:szCs w:val="21"/>
            </w:rPr>
          </w:pPr>
          <w:r w:rsidDel="00000000" w:rsidR="00000000" w:rsidRPr="00000000">
            <w:rPr>
              <w:rtl w:val="0"/>
            </w:rPr>
          </w:r>
        </w:p>
      </w:tc>
      <w:tc>
        <w:tcPr>
          <w:shd w:fill="auto" w:val="clear"/>
          <w:vAlign w:val="center"/>
        </w:tcPr>
        <w:p w:rsidR="00000000" w:rsidDel="00000000" w:rsidP="00000000" w:rsidRDefault="00000000" w:rsidRPr="00000000" w14:paraId="000000F2">
          <w:pPr>
            <w:jc w:val="both"/>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Ayuntamiento de Tepotzotlán</w:t>
          </w:r>
        </w:p>
      </w:tc>
    </w:tr>
    <w:tr>
      <w:trPr>
        <w:cantSplit w:val="0"/>
        <w:tblHeader w:val="0"/>
      </w:trPr>
      <w:tc>
        <w:tcPr>
          <w:vAlign w:val="center"/>
        </w:tcPr>
        <w:p w:rsidR="00000000" w:rsidDel="00000000" w:rsidP="00000000" w:rsidRDefault="00000000" w:rsidRPr="00000000" w14:paraId="000000F3">
          <w:pPr>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Comisionada ponente:</w:t>
          </w:r>
        </w:p>
      </w:tc>
      <w:tc>
        <w:tcPr>
          <w:vAlign w:val="center"/>
        </w:tcPr>
        <w:p w:rsidR="00000000" w:rsidDel="00000000" w:rsidP="00000000" w:rsidRDefault="00000000" w:rsidRPr="00000000" w14:paraId="000000F4">
          <w:pPr>
            <w:ind w:right="-533"/>
            <w:jc w:val="both"/>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Guadalupe Ramírez Peña.</w:t>
          </w:r>
        </w:p>
      </w:tc>
    </w:tr>
  </w:tbl>
  <w:p w:rsidR="00000000" w:rsidDel="00000000" w:rsidP="00000000" w:rsidRDefault="00000000" w:rsidRPr="00000000" w14:paraId="000000F5">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libri" w:cs="Calibri" w:eastAsia="Calibri" w:hAnsi="Calibri"/>
        <w:color w:val="000000"/>
      </w:rPr>
    </w:pPr>
    <w:r w:rsidDel="00000000" w:rsidR="00000000" w:rsidRPr="00000000">
      <w:rPr>
        <w:rFonts w:ascii="Calibri" w:cs="Calibri" w:eastAsia="Calibri" w:hAnsi="Calibri"/>
        <w:color w:val="000000"/>
        <w:rtl w:val="0"/>
      </w:rPr>
      <w:tab/>
    </w:r>
    <w:r w:rsidDel="00000000" w:rsidR="00000000" w:rsidRPr="00000000">
      <w:drawing>
        <wp:anchor allowOverlap="1" behindDoc="1" distB="0" distT="0" distL="0" distR="0" hidden="0" layoutInCell="1" locked="0" relativeHeight="0" simplePos="0">
          <wp:simplePos x="0" y="0"/>
          <wp:positionH relativeFrom="column">
            <wp:posOffset>-689272</wp:posOffset>
          </wp:positionH>
          <wp:positionV relativeFrom="paragraph">
            <wp:posOffset>-1171011</wp:posOffset>
          </wp:positionV>
          <wp:extent cx="7635875" cy="9943465"/>
          <wp:effectExtent b="0" l="0" r="0" t="0"/>
          <wp:wrapNone/>
          <wp:docPr id="2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635875" cy="994346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6">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bl>
    <w:tblPr>
      <w:tblStyle w:val="Table2"/>
      <w:tblW w:w="6238.0" w:type="dxa"/>
      <w:jc w:val="left"/>
      <w:tblInd w:w="3119.0" w:type="dxa"/>
      <w:tblLayout w:type="fixed"/>
      <w:tblLook w:val="0400"/>
    </w:tblPr>
    <w:tblGrid>
      <w:gridCol w:w="2551"/>
      <w:gridCol w:w="3687"/>
      <w:tblGridChange w:id="0">
        <w:tblGrid>
          <w:gridCol w:w="2551"/>
          <w:gridCol w:w="3687"/>
        </w:tblGrid>
      </w:tblGridChange>
    </w:tblGrid>
    <w:tr>
      <w:trPr>
        <w:cantSplit w:val="0"/>
        <w:tblHeader w:val="0"/>
      </w:trPr>
      <w:tc>
        <w:tcPr>
          <w:vAlign w:val="center"/>
        </w:tcPr>
        <w:p w:rsidR="00000000" w:rsidDel="00000000" w:rsidP="00000000" w:rsidRDefault="00000000" w:rsidRPr="00000000" w14:paraId="000000F7">
          <w:pPr>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Recurso de Revisión:</w:t>
          </w:r>
        </w:p>
      </w:tc>
      <w:tc>
        <w:tcPr>
          <w:vAlign w:val="center"/>
        </w:tcPr>
        <w:p w:rsidR="00000000" w:rsidDel="00000000" w:rsidP="00000000" w:rsidRDefault="00000000" w:rsidRPr="00000000" w14:paraId="000000F8">
          <w:pPr>
            <w:jc w:val="both"/>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14229/INFOEM/IP/RR/2025</w:t>
          </w:r>
          <w:r w:rsidDel="00000000" w:rsidR="00000000" w:rsidRPr="00000000">
            <w:drawing>
              <wp:anchor allowOverlap="1" behindDoc="1" distB="0" distT="0" distL="0" distR="0" hidden="0" layoutInCell="1" locked="0" relativeHeight="0" simplePos="0">
                <wp:simplePos x="0" y="0"/>
                <wp:positionH relativeFrom="column">
                  <wp:posOffset>-4281804</wp:posOffset>
                </wp:positionH>
                <wp:positionV relativeFrom="paragraph">
                  <wp:posOffset>-532129</wp:posOffset>
                </wp:positionV>
                <wp:extent cx="7635875" cy="9943465"/>
                <wp:effectExtent b="0" l="0" r="0" t="0"/>
                <wp:wrapNone/>
                <wp:docPr id="20"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635875" cy="9943465"/>
                        </a:xfrm>
                        <a:prstGeom prst="rect"/>
                        <a:ln/>
                      </pic:spPr>
                    </pic:pic>
                  </a:graphicData>
                </a:graphic>
              </wp:anchor>
            </w:drawing>
          </w:r>
        </w:p>
      </w:tc>
    </w:tr>
    <w:tr>
      <w:trPr>
        <w:cantSplit w:val="0"/>
        <w:tblHeader w:val="0"/>
      </w:trPr>
      <w:tc>
        <w:tcPr>
          <w:vAlign w:val="center"/>
        </w:tcPr>
        <w:p w:rsidR="00000000" w:rsidDel="00000000" w:rsidP="00000000" w:rsidRDefault="00000000" w:rsidRPr="00000000" w14:paraId="000000F9">
          <w:pPr>
            <w:ind w:left="35" w:hanging="35"/>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Recurrente:</w:t>
          </w:r>
        </w:p>
      </w:tc>
      <w:tc>
        <w:tcPr>
          <w:vAlign w:val="center"/>
        </w:tcPr>
        <w:p w:rsidR="00000000" w:rsidDel="00000000" w:rsidP="00000000" w:rsidRDefault="00000000" w:rsidRPr="00000000" w14:paraId="000000FA">
          <w:pPr>
            <w:ind w:right="452"/>
            <w:jc w:val="both"/>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XXXXXX XXXXXXX XXXXXXX</w:t>
          </w:r>
        </w:p>
      </w:tc>
    </w:tr>
    <w:tr>
      <w:trPr>
        <w:cantSplit w:val="0"/>
        <w:trHeight w:val="228" w:hRule="atLeast"/>
        <w:tblHeader w:val="0"/>
      </w:trPr>
      <w:tc>
        <w:tcPr>
          <w:vAlign w:val="center"/>
        </w:tcPr>
        <w:p w:rsidR="00000000" w:rsidDel="00000000" w:rsidP="00000000" w:rsidRDefault="00000000" w:rsidRPr="00000000" w14:paraId="000000FB">
          <w:pPr>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Sujeto obligado:</w:t>
          </w:r>
        </w:p>
        <w:p w:rsidR="00000000" w:rsidDel="00000000" w:rsidP="00000000" w:rsidRDefault="00000000" w:rsidRPr="00000000" w14:paraId="000000FC">
          <w:pPr>
            <w:rPr>
              <w:rFonts w:ascii="Palatino Linotype" w:cs="Palatino Linotype" w:eastAsia="Palatino Linotype" w:hAnsi="Palatino Linotype"/>
              <w:b w:val="1"/>
              <w:bCs w:val="1"/>
              <w:sz w:val="21"/>
              <w:szCs w:val="21"/>
            </w:rPr>
          </w:pPr>
          <w:r w:rsidDel="00000000" w:rsidR="00000000" w:rsidRPr="00000000">
            <w:rPr>
              <w:rtl w:val="0"/>
            </w:rPr>
          </w:r>
        </w:p>
      </w:tc>
      <w:tc>
        <w:tcPr>
          <w:vAlign w:val="center"/>
        </w:tcPr>
        <w:p w:rsidR="00000000" w:rsidDel="00000000" w:rsidP="00000000" w:rsidRDefault="00000000" w:rsidRPr="00000000" w14:paraId="000000FD">
          <w:pPr>
            <w:ind w:right="452"/>
            <w:jc w:val="both"/>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Ayuntamiento de Tepotzotlán</w:t>
          </w:r>
        </w:p>
      </w:tc>
    </w:tr>
    <w:tr>
      <w:trPr>
        <w:cantSplit w:val="0"/>
        <w:tblHeader w:val="0"/>
      </w:trPr>
      <w:tc>
        <w:tcPr>
          <w:vAlign w:val="center"/>
        </w:tcPr>
        <w:p w:rsidR="00000000" w:rsidDel="00000000" w:rsidP="00000000" w:rsidRDefault="00000000" w:rsidRPr="00000000" w14:paraId="000000FE">
          <w:pPr>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Comisionada ponente:</w:t>
          </w:r>
        </w:p>
      </w:tc>
      <w:tc>
        <w:tcPr>
          <w:vAlign w:val="center"/>
        </w:tcPr>
        <w:p w:rsidR="00000000" w:rsidDel="00000000" w:rsidP="00000000" w:rsidRDefault="00000000" w:rsidRPr="00000000" w14:paraId="000000FF">
          <w:pPr>
            <w:ind w:right="-533"/>
            <w:jc w:val="both"/>
            <w:rPr>
              <w:rFonts w:ascii="Palatino Linotype" w:cs="Palatino Linotype" w:eastAsia="Palatino Linotype" w:hAnsi="Palatino Linotype"/>
              <w:b w:val="1"/>
              <w:bCs w:val="1"/>
              <w:sz w:val="21"/>
              <w:szCs w:val="21"/>
            </w:rPr>
          </w:pPr>
          <w:r w:rsidDel="00000000" w:rsidR="00000000" w:rsidRPr="00000000">
            <w:rPr>
              <w:rFonts w:ascii="Palatino Linotype" w:cs="Palatino Linotype" w:eastAsia="Palatino Linotype" w:hAnsi="Palatino Linotype"/>
              <w:b w:val="1"/>
              <w:bCs w:val="1"/>
              <w:sz w:val="21"/>
              <w:szCs w:val="21"/>
              <w:rtl w:val="0"/>
            </w:rPr>
            <w:t xml:space="preserve">Guadalupe Ramírez Peña</w:t>
          </w:r>
        </w:p>
      </w:tc>
    </w:tr>
  </w:tbl>
  <w:p w:rsidR="00000000" w:rsidDel="00000000" w:rsidP="00000000" w:rsidRDefault="00000000" w:rsidRPr="00000000" w14:paraId="00000100">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1">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102">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7"/>
      <w:numFmt w:val="upperRoman"/>
      <w:lvlText w:val="%1."/>
      <w:lvlJc w:val="left"/>
      <w:pPr>
        <w:ind w:left="1080" w:hanging="720"/>
      </w:pPr>
      <w:rPr>
        <w:b w:val="1"/>
        <w:bCs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91A48"/>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591A48"/>
    <w:rPr>
      <w:rFonts w:eastAsiaTheme="minorEastAsia"/>
      <w:sz w:val="24"/>
      <w:szCs w:val="24"/>
      <w:lang w:eastAsia="es-ES" w:val="es-ES_tradnl"/>
    </w:rPr>
  </w:style>
  <w:style w:type="paragraph" w:styleId="Piedepgina">
    <w:name w:val="footer"/>
    <w:basedOn w:val="Normal"/>
    <w:link w:val="PiedepginaCar"/>
    <w:uiPriority w:val="99"/>
    <w:unhideWhenUsed w:val="1"/>
    <w:rsid w:val="00591A48"/>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591A48"/>
    <w:rPr>
      <w:rFonts w:eastAsiaTheme="minorEastAsia"/>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591A48"/>
    <w:rPr>
      <w:rFonts w:ascii="Times New Roman" w:cs="Times New Roman" w:eastAsia="Times New Roman" w:hAnsi="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591A48"/>
    <w:pPr>
      <w:ind w:left="708"/>
    </w:pPr>
    <w:rPr>
      <w:sz w:val="22"/>
      <w:szCs w:val="22"/>
      <w:lang w:eastAsia="en-US" w:val="es-MX"/>
    </w:rPr>
  </w:style>
  <w:style w:type="table" w:styleId="Tablaconcuadrcula">
    <w:name w:val="Table Grid"/>
    <w:basedOn w:val="Tablanormal"/>
    <w:uiPriority w:val="59"/>
    <w:rsid w:val="00591A48"/>
    <w:rPr>
      <w:rFonts w:eastAsiaTheme="minorEastAsia"/>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textrun" w:customStyle="1">
    <w:name w:val="normaltextrun"/>
    <w:basedOn w:val="Fuentedeprrafopredeter"/>
    <w:rsid w:val="00591A48"/>
  </w:style>
  <w:style w:type="character" w:styleId="apple-converted-space" w:customStyle="1">
    <w:name w:val="apple-converted-space"/>
    <w:basedOn w:val="Fuentedeprrafopredeter"/>
    <w:rsid w:val="00591A48"/>
  </w:style>
  <w:style w:type="character" w:styleId="Hipervnculo">
    <w:name w:val="Hyperlink"/>
    <w:basedOn w:val="Fuentedeprrafopredeter"/>
    <w:uiPriority w:val="99"/>
    <w:unhideWhenUsed w:val="1"/>
    <w:rsid w:val="00591A48"/>
    <w:rPr>
      <w:color w:val="0000ff"/>
      <w:u w:val="single"/>
    </w:rPr>
  </w:style>
  <w:style w:type="paragraph" w:styleId="NormalWeb">
    <w:name w:val="Normal (Web)"/>
    <w:basedOn w:val="Normal"/>
    <w:uiPriority w:val="99"/>
    <w:unhideWhenUsed w:val="1"/>
    <w:rsid w:val="00591A48"/>
    <w:pPr>
      <w:spacing w:after="100" w:afterAutospacing="1" w:before="100" w:beforeAutospacing="1"/>
    </w:pPr>
    <w:rPr>
      <w:lang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val="1"/>
    <w:qFormat w:val="1"/>
    <w:rsid w:val="00591A48"/>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val="1"/>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val="1"/>
    <w:qFormat w:val="1"/>
    <w:rsid w:val="00591A48"/>
    <w:rPr>
      <w:vertAlign w:val="superscript"/>
    </w:rPr>
  </w:style>
  <w:style w:type="character" w:styleId="Refdecomentario">
    <w:name w:val="annotation reference"/>
    <w:basedOn w:val="Fuentedeprrafopredeter"/>
    <w:uiPriority w:val="99"/>
    <w:semiHidden w:val="1"/>
    <w:unhideWhenUsed w:val="1"/>
    <w:rsid w:val="00D33422"/>
    <w:rPr>
      <w:sz w:val="16"/>
      <w:szCs w:val="16"/>
    </w:rPr>
  </w:style>
  <w:style w:type="paragraph" w:styleId="Textocomentario">
    <w:name w:val="annotation text"/>
    <w:basedOn w:val="Normal"/>
    <w:link w:val="TextocomentarioCar"/>
    <w:uiPriority w:val="99"/>
    <w:semiHidden w:val="1"/>
    <w:unhideWhenUsed w:val="1"/>
    <w:rsid w:val="00D33422"/>
    <w:rPr>
      <w:sz w:val="20"/>
      <w:szCs w:val="20"/>
    </w:rPr>
  </w:style>
  <w:style w:type="character" w:styleId="TextocomentarioCar" w:customStyle="1">
    <w:name w:val="Texto comentario Car"/>
    <w:basedOn w:val="Fuentedeprrafopredeter"/>
    <w:link w:val="Textocomentario"/>
    <w:uiPriority w:val="99"/>
    <w:semiHidden w:val="1"/>
    <w:rsid w:val="00D33422"/>
    <w:rPr>
      <w:rFonts w:ascii="Times New Roman" w:cs="Times New Roman" w:eastAsia="Times New Roman" w:hAnsi="Times New Roman"/>
      <w:sz w:val="20"/>
      <w:szCs w:val="20"/>
      <w:lang w:eastAsia="es-ES" w:val="es-ES"/>
    </w:rPr>
  </w:style>
  <w:style w:type="paragraph" w:styleId="Asuntodelcomentario">
    <w:name w:val="annotation subject"/>
    <w:basedOn w:val="Textocomentario"/>
    <w:next w:val="Textocomentario"/>
    <w:link w:val="AsuntodelcomentarioCar"/>
    <w:uiPriority w:val="99"/>
    <w:semiHidden w:val="1"/>
    <w:unhideWhenUsed w:val="1"/>
    <w:rsid w:val="00D33422"/>
    <w:rPr>
      <w:b w:val="1"/>
      <w:bCs w:val="1"/>
    </w:rPr>
  </w:style>
  <w:style w:type="character" w:styleId="AsuntodelcomentarioCar" w:customStyle="1">
    <w:name w:val="Asunto del comentario Car"/>
    <w:basedOn w:val="TextocomentarioCar"/>
    <w:link w:val="Asuntodelcomentario"/>
    <w:uiPriority w:val="99"/>
    <w:semiHidden w:val="1"/>
    <w:rsid w:val="00D33422"/>
    <w:rPr>
      <w:rFonts w:ascii="Times New Roman" w:cs="Times New Roman" w:eastAsia="Times New Roman" w:hAnsi="Times New Roman"/>
      <w:b w:val="1"/>
      <w:bCs w:val="1"/>
      <w:sz w:val="20"/>
      <w:szCs w:val="20"/>
      <w:lang w:eastAsia="es-ES" w:val="es-ES"/>
    </w:rPr>
  </w:style>
  <w:style w:type="paragraph" w:styleId="Textodeglobo">
    <w:name w:val="Balloon Text"/>
    <w:basedOn w:val="Normal"/>
    <w:link w:val="TextodegloboCar"/>
    <w:uiPriority w:val="99"/>
    <w:semiHidden w:val="1"/>
    <w:unhideWhenUsed w:val="1"/>
    <w:rsid w:val="00D33422"/>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D33422"/>
    <w:rPr>
      <w:rFonts w:ascii="Segoe UI" w:cs="Segoe UI" w:eastAsia="Times New Roman" w:hAnsi="Segoe UI"/>
      <w:sz w:val="18"/>
      <w:szCs w:val="18"/>
      <w:lang w:eastAsia="es-ES" w:val="es-ES"/>
    </w:rPr>
  </w:style>
  <w:style w:type="paragraph" w:styleId="paragraph" w:customStyle="1">
    <w:name w:val="paragraph"/>
    <w:basedOn w:val="Normal"/>
    <w:rsid w:val="00225930"/>
    <w:pPr>
      <w:spacing w:after="100" w:afterAutospacing="1" w:before="100" w:beforeAutospacing="1"/>
    </w:pPr>
    <w:rPr>
      <w:lang w:val="es-MX"/>
    </w:rPr>
  </w:style>
  <w:style w:type="table" w:styleId="a" w:customStyle="1">
    <w:basedOn w:val="TableNormal2"/>
    <w:tblPr>
      <w:tblStyleRowBandSize w:val="1"/>
      <w:tblStyleColBandSize w:val="1"/>
      <w:tblCellMar>
        <w:left w:w="115.0" w:type="dxa"/>
        <w:right w:w="115.0" w:type="dxa"/>
      </w:tblCellMar>
    </w:tblPr>
  </w:style>
  <w:style w:type="table" w:styleId="a0" w:customStyle="1">
    <w:basedOn w:val="TableNormal2"/>
    <w:tblPr>
      <w:tblStyleRowBandSize w:val="1"/>
      <w:tblStyleColBandSize w:val="1"/>
      <w:tblCellMar>
        <w:left w:w="115.0" w:type="dxa"/>
        <w:right w:w="115.0" w:type="dxa"/>
      </w:tblCellMar>
    </w:tblPr>
  </w:style>
  <w:style w:type="table" w:styleId="a1" w:customStyle="1">
    <w:basedOn w:val="TableNormal2"/>
    <w:tblPr>
      <w:tblStyleRowBandSize w:val="1"/>
      <w:tblStyleColBandSize w:val="1"/>
      <w:tblCellMar>
        <w:left w:w="115.0" w:type="dxa"/>
        <w:right w:w="115.0" w:type="dxa"/>
      </w:tblCellMar>
    </w:tblPr>
  </w:style>
  <w:style w:type="table" w:styleId="a2" w:customStyle="1">
    <w:basedOn w:val="TableNormal2"/>
    <w:tblPr>
      <w:tblStyleRowBandSize w:val="1"/>
      <w:tblStyleColBandSize w:val="1"/>
      <w:tblCellMar>
        <w:left w:w="115.0" w:type="dxa"/>
        <w:right w:w="115.0" w:type="dxa"/>
      </w:tblCellMar>
    </w:tblPr>
  </w:style>
  <w:style w:type="paragraph" w:styleId="Textoindependiente">
    <w:name w:val="Body Text"/>
    <w:basedOn w:val="Normal"/>
    <w:link w:val="TextoindependienteCar"/>
    <w:uiPriority w:val="99"/>
    <w:unhideWhenUsed w:val="1"/>
    <w:rsid w:val="00AA0915"/>
    <w:pPr>
      <w:spacing w:after="120"/>
    </w:pPr>
  </w:style>
  <w:style w:type="character" w:styleId="TextoindependienteCar" w:customStyle="1">
    <w:name w:val="Texto independiente Car"/>
    <w:basedOn w:val="Fuentedeprrafopredeter"/>
    <w:link w:val="Textoindependiente"/>
    <w:uiPriority w:val="99"/>
    <w:rsid w:val="00AA0915"/>
  </w:style>
  <w:style w:type="table" w:styleId="a3" w:customStyle="1">
    <w:basedOn w:val="TableNormal1"/>
    <w:tblPr>
      <w:tblStyleRowBandSize w:val="1"/>
      <w:tblStyleColBandSize w:val="1"/>
      <w:tblCellMar>
        <w:left w:w="115.0" w:type="dxa"/>
        <w:right w:w="115.0" w:type="dxa"/>
      </w:tblCellMar>
    </w:tblPr>
  </w:style>
  <w:style w:type="table" w:styleId="a4" w:customStyle="1">
    <w:basedOn w:val="TableNormal1"/>
    <w:tblPr>
      <w:tblStyleRowBandSize w:val="1"/>
      <w:tblStyleColBandSize w:val="1"/>
      <w:tblCellMar>
        <w:left w:w="115.0" w:type="dxa"/>
        <w:right w:w="115.0" w:type="dxa"/>
      </w:tblCellMar>
    </w:tblPr>
  </w:style>
  <w:style w:type="table" w:styleId="a5" w:customStyle="1">
    <w:basedOn w:val="TableNormal1"/>
    <w:tblPr>
      <w:tblStyleRowBandSize w:val="1"/>
      <w:tblStyleColBandSize w:val="1"/>
      <w:tblCellMar>
        <w:left w:w="115.0" w:type="dxa"/>
        <w:right w:w="115.0" w:type="dxa"/>
      </w:tblCellMar>
    </w:tblPr>
  </w:style>
  <w:style w:type="paragraph" w:styleId="Sinespaciado">
    <w:name w:val="No Spacing"/>
    <w:aliases w:val="Francesa,INAI"/>
    <w:link w:val="SinespaciadoCar"/>
    <w:uiPriority w:val="1"/>
    <w:qFormat w:val="1"/>
    <w:rsid w:val="0085765F"/>
    <w:rPr>
      <w:lang w:eastAsia="es-ES" w:val="es-MX"/>
    </w:rPr>
  </w:style>
  <w:style w:type="character" w:styleId="SinespaciadoCar" w:customStyle="1">
    <w:name w:val="Sin espaciado Car"/>
    <w:aliases w:val="Francesa Car,INAI Car"/>
    <w:link w:val="Sinespaciado"/>
    <w:uiPriority w:val="1"/>
    <w:locked w:val="1"/>
    <w:rsid w:val="0085765F"/>
    <w:rPr>
      <w:lang w:eastAsia="es-ES" w:val="es-MX"/>
    </w:rPr>
  </w:style>
  <w:style w:type="table" w:styleId="a6" w:customStyle="1">
    <w:basedOn w:val="TableNormal0"/>
    <w:tblPr>
      <w:tblStyleRowBandSize w:val="1"/>
      <w:tblStyleColBandSize w:val="1"/>
      <w:tblCellMar>
        <w:left w:w="115.0" w:type="dxa"/>
        <w:right w:w="115.0" w:type="dxa"/>
      </w:tblCellMar>
    </w:tblPr>
  </w:style>
  <w:style w:type="table" w:styleId="a7"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2.xml"/><Relationship Id="rId13" Type="http://schemas.openxmlformats.org/officeDocument/2006/relationships/header" Target="head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G/tFKGi3PBSmOeNIxWIriLKUDA==">CgMxLjAyCGguZ2pkZ3hzMg5oLnVmbGRsZzF6NWNxZTIJaC4zZHk2dmttMgloLjN6bnlzaDcyDmguaWJpaWU1MXNhd2w2MgloLjFmb2I5dGU4AHIhMWhlUGdRN3VfbzR2NGJWemZZMGZFclJjZlhRdFpMNWwy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2026-03-19T22:30:00Z</dcterms:created>
  <dc:creator>Usuario de Windows</dc:creator>
</cp:coreProperties>
</file>