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067" w:rsidRDefault="00F27BAE">
      <w:p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Pr>
          <w:rFonts w:ascii="Palatino Linotype" w:eastAsia="Palatino Linotype" w:hAnsi="Palatino Linotype" w:cs="Palatino Linotype"/>
        </w:rPr>
        <w:t xml:space="preserve"> fecha </w:t>
      </w:r>
      <w:r>
        <w:rPr>
          <w:rFonts w:ascii="Palatino Linotype" w:eastAsia="Palatino Linotype" w:hAnsi="Palatino Linotype" w:cs="Palatino Linotype"/>
          <w:b/>
          <w:bCs/>
          <w:color w:val="000000"/>
        </w:rPr>
        <w:t>diez (10)</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de junio de dos mil veintiséis.</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pBdr>
          <w:top w:val="nil"/>
          <w:left w:val="nil"/>
          <w:bottom w:val="nil"/>
          <w:right w:val="nil"/>
          <w:between w:val="nil"/>
        </w:pBdr>
        <w:tabs>
          <w:tab w:val="center" w:pos="4252"/>
          <w:tab w:val="right" w:pos="8504"/>
        </w:tabs>
        <w:spacing w:line="360" w:lineRule="auto"/>
        <w:ind w:right="-847"/>
        <w:jc w:val="both"/>
        <w:rPr>
          <w:rFonts w:ascii="Palatino Linotype" w:eastAsia="Palatino Linotype" w:hAnsi="Palatino Linotype" w:cs="Palatino Linotype"/>
          <w:color w:val="000000"/>
        </w:rPr>
      </w:pPr>
      <w:bookmarkStart w:id="0" w:name="_heading=h.lmruehhbzzt5" w:colFirst="0" w:colLast="0"/>
      <w:bookmarkEnd w:id="0"/>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en el expediente electrónico formado con motivo del recurso de revisión número </w:t>
      </w:r>
      <w:r>
        <w:rPr>
          <w:rFonts w:ascii="Palatino Linotype" w:eastAsia="Palatino Linotype" w:hAnsi="Palatino Linotype" w:cs="Palatino Linotype"/>
          <w:b/>
          <w:bCs/>
          <w:color w:val="000000"/>
        </w:rPr>
        <w:t>03108/INFOEM/IP/RR/2026</w:t>
      </w:r>
      <w:r>
        <w:rPr>
          <w:rFonts w:ascii="Palatino Linotype" w:eastAsia="Palatino Linotype" w:hAnsi="Palatino Linotype" w:cs="Palatino Linotype"/>
          <w:color w:val="000000"/>
        </w:rPr>
        <w:t xml:space="preserve">, promovido por </w:t>
      </w:r>
      <w:r>
        <w:rPr>
          <w:rFonts w:ascii="Palatino Linotype" w:eastAsia="Palatino Linotype" w:hAnsi="Palatino Linotype" w:cs="Palatino Linotype"/>
          <w:b/>
          <w:bCs/>
        </w:rPr>
        <w:t>una persona que no proporcionó datos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a quien</w:t>
      </w:r>
      <w:r>
        <w:rPr>
          <w:rFonts w:ascii="Palatino Linotype" w:eastAsia="Palatino Linotype" w:hAnsi="Palatino Linotype" w:cs="Palatino Linotype"/>
          <w:color w:val="000000"/>
        </w:rPr>
        <w:t xml:space="preserve"> en lo sucesivo denominaremos</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pBdr>
          <w:top w:val="nil"/>
          <w:left w:val="nil"/>
          <w:bottom w:val="nil"/>
          <w:right w:val="nil"/>
          <w:between w:val="nil"/>
        </w:pBdr>
        <w:spacing w:line="360" w:lineRule="auto"/>
        <w:ind w:right="-84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FB4067" w:rsidRDefault="00FB4067">
      <w:pPr>
        <w:spacing w:line="360" w:lineRule="auto"/>
        <w:ind w:right="-847"/>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cinco de febrero de dos mil veintiséis</w:t>
      </w:r>
      <w:r>
        <w:rPr>
          <w:rFonts w:ascii="Palatino Linotype" w:eastAsia="Palatino Linotype" w:hAnsi="Palatino Linotype" w:cs="Palatino Linotype"/>
          <w:color w:val="000000"/>
        </w:rPr>
        <w:t>, 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presentó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01023/TOLUCA/IP/2026,</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requirió lo siguiente:</w:t>
      </w:r>
    </w:p>
    <w:p w:rsidR="00FB4067" w:rsidRDefault="00FB4067">
      <w:pPr>
        <w:pBdr>
          <w:top w:val="nil"/>
          <w:left w:val="nil"/>
          <w:bottom w:val="nil"/>
          <w:right w:val="nil"/>
          <w:between w:val="nil"/>
        </w:pBdr>
        <w:ind w:right="-847"/>
        <w:jc w:val="both"/>
        <w:rPr>
          <w:rFonts w:ascii="Palatino Linotype" w:eastAsia="Palatino Linotype" w:hAnsi="Palatino Linotype" w:cs="Palatino Linotype"/>
          <w:strike/>
          <w:color w:val="000000"/>
        </w:rPr>
      </w:pP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solicitan todas las quejas y denuncia que se recibieron en la defensoría de derechos humanos con expediente completo en el año 2025.” (Sic)</w:t>
      </w:r>
    </w:p>
    <w:p w:rsidR="00FB4067" w:rsidRDefault="00FB4067">
      <w:pPr>
        <w:pBdr>
          <w:top w:val="nil"/>
          <w:left w:val="nil"/>
          <w:bottom w:val="nil"/>
          <w:right w:val="nil"/>
          <w:between w:val="nil"/>
        </w:pBdr>
        <w:ind w:right="-847"/>
        <w:jc w:val="both"/>
        <w:rPr>
          <w:rFonts w:ascii="Palatino Linotype" w:eastAsia="Palatino Linotype" w:hAnsi="Palatino Linotype" w:cs="Palatino Linotype"/>
          <w:i/>
          <w:iCs/>
        </w:rPr>
      </w:pPr>
    </w:p>
    <w:p w:rsidR="00FB4067" w:rsidRDefault="00FB4067">
      <w:pPr>
        <w:pBdr>
          <w:top w:val="nil"/>
          <w:left w:val="nil"/>
          <w:bottom w:val="nil"/>
          <w:right w:val="nil"/>
          <w:between w:val="nil"/>
        </w:pBdr>
        <w:ind w:right="-847"/>
        <w:jc w:val="both"/>
        <w:rPr>
          <w:rFonts w:ascii="Palatino Linotype" w:eastAsia="Palatino Linotype" w:hAnsi="Palatino Linotype" w:cs="Palatino Linotype"/>
          <w:i/>
          <w:iCs/>
        </w:rPr>
      </w:pPr>
    </w:p>
    <w:p w:rsidR="00FB4067" w:rsidRDefault="00F27BAE">
      <w:pPr>
        <w:numPr>
          <w:ilvl w:val="0"/>
          <w:numId w:val="2"/>
        </w:numPr>
        <w:pBdr>
          <w:top w:val="nil"/>
          <w:left w:val="nil"/>
          <w:bottom w:val="nil"/>
          <w:right w:val="nil"/>
          <w:between w:val="nil"/>
        </w:pBdr>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w:t>
      </w:r>
      <w:r>
        <w:rPr>
          <w:rFonts w:ascii="Palatino Linotype" w:eastAsia="Palatino Linotype" w:hAnsi="Palatino Linotype" w:cs="Palatino Linotype"/>
          <w:color w:val="000000"/>
        </w:rPr>
        <w:t>: Vía SAIMEX.</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before="240" w:after="240"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veintiséis de febrero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notificó a la persona solicitante la prórroga para dar respuesta a la solicitud</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medularmente en los siguientes términos:</w:t>
      </w:r>
    </w:p>
    <w:p w:rsidR="00FB4067" w:rsidRDefault="00F27BAE">
      <w:pPr>
        <w:spacing w:before="120" w:after="12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FB4067" w:rsidRDefault="00FB4067">
      <w:pPr>
        <w:spacing w:before="120" w:after="120"/>
        <w:ind w:left="567" w:right="-847"/>
        <w:jc w:val="both"/>
        <w:rPr>
          <w:rFonts w:ascii="Palatino Linotype" w:eastAsia="Palatino Linotype" w:hAnsi="Palatino Linotype" w:cs="Palatino Linotype"/>
          <w:i/>
          <w:iCs/>
        </w:rPr>
      </w:pPr>
    </w:p>
    <w:p w:rsidR="00FB4067" w:rsidRDefault="00F27BAE">
      <w:pPr>
        <w:spacing w:before="120" w:after="12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01023/TOLUCA/IP/2026, recibida a través del Sistema de Acceso a la Información Mexiquense (SAIMEX), misma que fue procedente, quedando bajo el acuerdo CT/SE/107/03/2026., en la Centésima Séptima Sesión Extraordinaria 2026 del Comité de Transparencia del Municipio de Toluca, Administración 2025- 2027, de fecha 20/02/2026,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rPr>
        <w:t xml:space="preserve">Como refiere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la prórroga fue aprobada en la Centésima Séptima Sesión Extraordinaria 2026 del Comité de Transparencia, recayendo el Acta CT/SE/107/2026.</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diez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emitió respuesta, en los siguientes términos:</w:t>
      </w:r>
    </w:p>
    <w:p w:rsidR="00FB4067" w:rsidRDefault="00F27BAE">
      <w:pP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FB4067" w:rsidRDefault="00FB4067">
      <w:pPr>
        <w:ind w:left="567" w:right="-847"/>
        <w:jc w:val="both"/>
        <w:rPr>
          <w:rFonts w:ascii="Palatino Linotype" w:eastAsia="Palatino Linotype" w:hAnsi="Palatino Linotype" w:cs="Palatino Linotype"/>
          <w:i/>
          <w:iCs/>
          <w:color w:val="000000"/>
        </w:rPr>
      </w:pPr>
    </w:p>
    <w:p w:rsidR="00FB4067" w:rsidRDefault="00F27BAE">
      <w:pP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atención a la solicitud con folio 01023/TOLUCA/IP/2026, me permito adjuntar al presente la respuesta correspondiente. Sin más por el momento, reciba un saludo.…” (Sic)</w:t>
      </w:r>
    </w:p>
    <w:p w:rsidR="00FB4067" w:rsidRDefault="00FB4067">
      <w:pPr>
        <w:pBdr>
          <w:top w:val="nil"/>
          <w:left w:val="nil"/>
          <w:bottom w:val="nil"/>
          <w:right w:val="nil"/>
          <w:between w:val="nil"/>
        </w:pBdr>
        <w:tabs>
          <w:tab w:val="left" w:pos="851"/>
          <w:tab w:val="left" w:pos="1418"/>
        </w:tabs>
        <w:ind w:right="-847"/>
        <w:jc w:val="both"/>
        <w:rPr>
          <w:rFonts w:ascii="Palatino Linotype" w:eastAsia="Palatino Linotype" w:hAnsi="Palatino Linotype" w:cs="Palatino Linotype"/>
          <w:i/>
          <w:iCs/>
          <w:color w:val="000000"/>
        </w:rPr>
      </w:pPr>
    </w:p>
    <w:p w:rsidR="00FB4067" w:rsidRDefault="00F27BAE">
      <w:pPr>
        <w:pBdr>
          <w:top w:val="nil"/>
          <w:left w:val="nil"/>
          <w:bottom w:val="nil"/>
          <w:right w:val="nil"/>
          <w:between w:val="nil"/>
        </w:pBdr>
        <w:tabs>
          <w:tab w:val="left" w:pos="851"/>
          <w:tab w:val="left" w:pos="1418"/>
        </w:tabs>
        <w:ind w:right="-84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 xml:space="preserve">adjuntan los </w:t>
      </w:r>
      <w:r>
        <w:rPr>
          <w:rFonts w:ascii="Palatino Linotype" w:eastAsia="Palatino Linotype" w:hAnsi="Palatino Linotype" w:cs="Palatino Linotype"/>
          <w:color w:val="000000"/>
        </w:rPr>
        <w:t>siguientes archivos electrónicos:</w:t>
      </w:r>
    </w:p>
    <w:p w:rsidR="00FB4067" w:rsidRDefault="00FB4067">
      <w:pPr>
        <w:pBdr>
          <w:top w:val="nil"/>
          <w:left w:val="nil"/>
          <w:bottom w:val="nil"/>
          <w:right w:val="nil"/>
          <w:between w:val="nil"/>
        </w:pBdr>
        <w:tabs>
          <w:tab w:val="left" w:pos="851"/>
          <w:tab w:val="left" w:pos="1418"/>
        </w:tabs>
        <w:ind w:right="-847"/>
        <w:jc w:val="both"/>
        <w:rPr>
          <w:rFonts w:ascii="Palatino Linotype" w:eastAsia="Palatino Linotype" w:hAnsi="Palatino Linotype" w:cs="Palatino Linotype"/>
          <w:i/>
          <w:iCs/>
          <w:color w:val="000000"/>
        </w:rPr>
      </w:pPr>
    </w:p>
    <w:p w:rsidR="00FB4067" w:rsidRDefault="0074300D">
      <w:pPr>
        <w:numPr>
          <w:ilvl w:val="0"/>
          <w:numId w:val="2"/>
        </w:numPr>
        <w:pBdr>
          <w:top w:val="nil"/>
          <w:left w:val="nil"/>
          <w:bottom w:val="nil"/>
          <w:right w:val="nil"/>
          <w:between w:val="nil"/>
        </w:pBdr>
        <w:tabs>
          <w:tab w:val="left" w:pos="851"/>
          <w:tab w:val="left" w:pos="1418"/>
        </w:tabs>
        <w:ind w:left="567" w:right="-847" w:firstLine="0"/>
        <w:jc w:val="both"/>
        <w:rPr>
          <w:rFonts w:ascii="Palatino Linotype" w:eastAsia="Palatino Linotype" w:hAnsi="Palatino Linotype" w:cs="Palatino Linotype"/>
          <w:b/>
          <w:bCs/>
          <w:color w:val="000000"/>
        </w:rPr>
      </w:pPr>
      <w:hyperlink r:id="rId8">
        <w:r w:rsidR="00F27BAE">
          <w:rPr>
            <w:rFonts w:ascii="Palatino Linotype" w:eastAsia="Palatino Linotype" w:hAnsi="Palatino Linotype" w:cs="Palatino Linotype"/>
            <w:b/>
            <w:bCs/>
            <w:color w:val="000000"/>
          </w:rPr>
          <w:t>Respuesta solicitud 01023-TOLUCA-IP-2026.pdf</w:t>
        </w:r>
      </w:hyperlink>
      <w:r w:rsidR="00F27BAE">
        <w:rPr>
          <w:rFonts w:ascii="Palatino Linotype" w:eastAsia="Palatino Linotype" w:hAnsi="Palatino Linotype" w:cs="Palatino Linotype"/>
          <w:b/>
          <w:bCs/>
          <w:color w:val="000000"/>
        </w:rPr>
        <w:t xml:space="preserve">: </w:t>
      </w:r>
      <w:r w:rsidR="00F27BAE">
        <w:rPr>
          <w:rFonts w:ascii="Palatino Linotype" w:eastAsia="Palatino Linotype" w:hAnsi="Palatino Linotype" w:cs="Palatino Linotype"/>
          <w:color w:val="000000"/>
        </w:rPr>
        <w:t>Oficio 200E00000/436/2026 de fecha diez de marzo de dos mil veintiséis, suscrito por la Defensora Municipal, a través del cual refiere que del 01 de enero al 31 de diciembre de 2025, se localizaron 19 expedientes de queja concluidos, con motivo de los requerimientos de informes de la Comisión de Derechos Humanos del Estado de México, los cuales remite en versión pública; no omite señalar que se cuenta con 43 expedientes en trámite, los cuales clasificó como información reservada.</w:t>
      </w:r>
    </w:p>
    <w:p w:rsidR="00FB4067" w:rsidRDefault="00FB4067">
      <w:pPr>
        <w:pBdr>
          <w:top w:val="nil"/>
          <w:left w:val="nil"/>
          <w:bottom w:val="nil"/>
          <w:right w:val="nil"/>
          <w:between w:val="nil"/>
        </w:pBdr>
        <w:tabs>
          <w:tab w:val="left" w:pos="851"/>
          <w:tab w:val="left" w:pos="1418"/>
        </w:tabs>
        <w:ind w:left="567" w:right="-847"/>
        <w:jc w:val="both"/>
        <w:rPr>
          <w:rFonts w:ascii="Palatino Linotype" w:eastAsia="Palatino Linotype" w:hAnsi="Palatino Linotype" w:cs="Palatino Linotype"/>
          <w:b/>
          <w:bCs/>
          <w:color w:val="000000"/>
        </w:rPr>
      </w:pPr>
    </w:p>
    <w:p w:rsidR="00FB4067" w:rsidRDefault="0074300D">
      <w:pPr>
        <w:numPr>
          <w:ilvl w:val="0"/>
          <w:numId w:val="2"/>
        </w:numPr>
        <w:pBdr>
          <w:top w:val="nil"/>
          <w:left w:val="nil"/>
          <w:bottom w:val="nil"/>
          <w:right w:val="nil"/>
          <w:between w:val="nil"/>
        </w:pBdr>
        <w:tabs>
          <w:tab w:val="left" w:pos="851"/>
          <w:tab w:val="left" w:pos="1418"/>
        </w:tabs>
        <w:ind w:left="567" w:right="-847" w:firstLine="0"/>
        <w:jc w:val="both"/>
        <w:rPr>
          <w:rFonts w:ascii="Palatino Linotype" w:eastAsia="Palatino Linotype" w:hAnsi="Palatino Linotype" w:cs="Palatino Linotype"/>
          <w:b/>
          <w:bCs/>
          <w:color w:val="000000"/>
        </w:rPr>
      </w:pPr>
      <w:hyperlink r:id="rId9">
        <w:r w:rsidR="00F27BAE">
          <w:rPr>
            <w:rFonts w:ascii="Palatino Linotype" w:eastAsia="Palatino Linotype" w:hAnsi="Palatino Linotype" w:cs="Palatino Linotype"/>
            <w:b/>
            <w:bCs/>
            <w:color w:val="000000"/>
          </w:rPr>
          <w:t>Anexo solicitud 01023-TOLUCA-IP-2026.pdf</w:t>
        </w:r>
      </w:hyperlink>
      <w:r w:rsidR="00F27BAE">
        <w:rPr>
          <w:rFonts w:ascii="Palatino Linotype" w:eastAsia="Palatino Linotype" w:hAnsi="Palatino Linotype" w:cs="Palatino Linotype"/>
          <w:b/>
          <w:bCs/>
          <w:color w:val="000000"/>
        </w:rPr>
        <w:t xml:space="preserve">: </w:t>
      </w:r>
      <w:r w:rsidR="00F27BAE">
        <w:rPr>
          <w:rFonts w:ascii="Palatino Linotype" w:eastAsia="Palatino Linotype" w:hAnsi="Palatino Linotype" w:cs="Palatino Linotype"/>
          <w:color w:val="000000"/>
        </w:rPr>
        <w:t xml:space="preserve">Documento constante de 292 fojas, de los que se advierten los 19 expedientes concluidos referidos por la Defensora Municipal, en versión pública, </w:t>
      </w:r>
    </w:p>
    <w:p w:rsidR="00FB4067" w:rsidRDefault="00FB4067">
      <w:pPr>
        <w:pBdr>
          <w:top w:val="nil"/>
          <w:left w:val="nil"/>
          <w:bottom w:val="nil"/>
          <w:right w:val="nil"/>
          <w:between w:val="nil"/>
        </w:pBdr>
        <w:tabs>
          <w:tab w:val="left" w:pos="851"/>
          <w:tab w:val="left" w:pos="1418"/>
        </w:tabs>
        <w:ind w:left="567"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el solicitante interpuso </w:t>
      </w:r>
      <w:r>
        <w:rPr>
          <w:rFonts w:ascii="Palatino Linotype" w:eastAsia="Palatino Linotype" w:hAnsi="Palatino Linotype" w:cs="Palatino Linotype"/>
          <w:b/>
          <w:bCs/>
          <w:color w:val="000000"/>
        </w:rPr>
        <w:t xml:space="preserve">RECURSO DE REVISIÓN 3108/INFOEM/IP/RR/2026,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FB4067" w:rsidRDefault="00FB4067">
      <w:pPr>
        <w:pBdr>
          <w:top w:val="nil"/>
          <w:left w:val="nil"/>
          <w:bottom w:val="nil"/>
          <w:right w:val="nil"/>
          <w:between w:val="nil"/>
        </w:pBdr>
        <w:ind w:left="567" w:right="-847"/>
        <w:jc w:val="both"/>
        <w:rPr>
          <w:rFonts w:ascii="Palatino Linotype" w:eastAsia="Palatino Linotype" w:hAnsi="Palatino Linotype" w:cs="Palatino Linotype"/>
          <w:b/>
          <w:bCs/>
        </w:rPr>
      </w:pPr>
    </w:p>
    <w:p w:rsidR="00FB4067" w:rsidRDefault="00F27BAE">
      <w:pPr>
        <w:numPr>
          <w:ilvl w:val="0"/>
          <w:numId w:val="11"/>
        </w:numPr>
        <w:pBdr>
          <w:top w:val="nil"/>
          <w:left w:val="nil"/>
          <w:bottom w:val="nil"/>
          <w:right w:val="nil"/>
          <w:between w:val="nil"/>
        </w:pBdr>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respuesta”(Sic.)</w:t>
      </w:r>
    </w:p>
    <w:p w:rsidR="00FB4067" w:rsidRDefault="00FB4067">
      <w:pPr>
        <w:pBdr>
          <w:top w:val="nil"/>
          <w:left w:val="nil"/>
          <w:bottom w:val="nil"/>
          <w:right w:val="nil"/>
          <w:between w:val="nil"/>
        </w:pBdr>
        <w:ind w:left="567" w:right="-847"/>
        <w:jc w:val="both"/>
        <w:rPr>
          <w:rFonts w:ascii="Palatino Linotype" w:eastAsia="Palatino Linotype" w:hAnsi="Palatino Linotype" w:cs="Palatino Linotype"/>
          <w:i/>
          <w:iCs/>
          <w:color w:val="000000"/>
        </w:rPr>
      </w:pPr>
    </w:p>
    <w:p w:rsidR="00FB4067" w:rsidRDefault="00F27BAE">
      <w:pPr>
        <w:numPr>
          <w:ilvl w:val="0"/>
          <w:numId w:val="1"/>
        </w:numPr>
        <w:pBdr>
          <w:top w:val="nil"/>
          <w:left w:val="nil"/>
          <w:bottom w:val="nil"/>
          <w:right w:val="nil"/>
          <w:between w:val="nil"/>
        </w:pBdr>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esta toda la información como se solicito esta incompleta”(Sic.)</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Consecutivamente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con fundamento en lo dispuesto por el artículo 185 fracción I de la Ley de Transparencia y Acceso a la Información Pública del Estado de México y Municipios, el recurso de referencia, fue turnado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la Comisionada </w:t>
      </w:r>
      <w:r>
        <w:rPr>
          <w:rFonts w:ascii="Palatino Linotype" w:eastAsia="Palatino Linotype" w:hAnsi="Palatino Linotype" w:cs="Palatino Linotype"/>
          <w:b/>
          <w:bCs/>
          <w:color w:val="000000"/>
        </w:rPr>
        <w:t>María del Rosario Mejía Ayala,</w:t>
      </w:r>
      <w:r>
        <w:rPr>
          <w:rFonts w:ascii="Palatino Linotype" w:eastAsia="Palatino Linotype" w:hAnsi="Palatino Linotype" w:cs="Palatino Linotype"/>
          <w:color w:val="000000"/>
        </w:rPr>
        <w:t xml:space="preserve"> respectivamente,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con el objeto de su análisis.</w:t>
      </w:r>
    </w:p>
    <w:p w:rsidR="00FB4067" w:rsidRDefault="00FB4067">
      <w:pPr>
        <w:pBdr>
          <w:top w:val="nil"/>
          <w:left w:val="nil"/>
          <w:bottom w:val="nil"/>
          <w:right w:val="nil"/>
          <w:between w:val="nil"/>
        </w:pBdr>
        <w:spacing w:line="360" w:lineRule="auto"/>
        <w:ind w:left="360"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dieciocho de </w:t>
      </w:r>
      <w:r>
        <w:rPr>
          <w:rFonts w:ascii="Palatino Linotype" w:eastAsia="Palatino Linotype" w:hAnsi="Palatino Linotype" w:cs="Palatino Linotype"/>
          <w:b/>
          <w:bCs/>
        </w:rPr>
        <w:t>marzo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veintiséis y veintisiete de marzo de dos mil veintiséis</w:t>
      </w:r>
      <w:r>
        <w:rPr>
          <w:rFonts w:ascii="Palatino Linotype" w:eastAsia="Palatino Linotype" w:hAnsi="Palatino Linotype" w:cs="Palatino Linotype"/>
          <w:color w:val="000000"/>
        </w:rPr>
        <w:t xml:space="preserve">, rindió el informe justificado correspondiente, por medio de dos archivos electrónicos </w:t>
      </w:r>
      <w:hyperlink r:id="rId10">
        <w:r>
          <w:rPr>
            <w:rFonts w:ascii="Palatino Linotype" w:eastAsia="Palatino Linotype" w:hAnsi="Palatino Linotype" w:cs="Palatino Linotype"/>
            <w:b/>
            <w:bCs/>
            <w:color w:val="000000"/>
          </w:rPr>
          <w:t>3108-2026-DDHH.pdf</w:t>
        </w:r>
      </w:hyperlink>
      <w:r>
        <w:rPr>
          <w:rFonts w:ascii="Palatino Linotype" w:eastAsia="Palatino Linotype" w:hAnsi="Palatino Linotype" w:cs="Palatino Linotype"/>
          <w:b/>
          <w:bCs/>
          <w:color w:val="000000"/>
        </w:rPr>
        <w:t xml:space="preserve"> y </w:t>
      </w:r>
      <w:hyperlink r:id="rId11">
        <w:r>
          <w:rPr>
            <w:rFonts w:ascii="Palatino Linotype" w:eastAsia="Palatino Linotype" w:hAnsi="Palatino Linotype" w:cs="Palatino Linotype"/>
            <w:b/>
            <w:bCs/>
            <w:color w:val="000000"/>
          </w:rPr>
          <w:t>Ratificación33108.pdf</w:t>
        </w:r>
      </w:hyperlink>
      <w:r>
        <w:rPr>
          <w:rFonts w:ascii="Palatino Linotype" w:eastAsia="Palatino Linotype" w:hAnsi="Palatino Linotype" w:cs="Palatino Linotype"/>
          <w:color w:val="000000"/>
        </w:rPr>
        <w:t xml:space="preserve">, mediante los </w:t>
      </w:r>
      <w:r>
        <w:rPr>
          <w:rFonts w:ascii="Palatino Linotype" w:eastAsia="Palatino Linotype" w:hAnsi="Palatino Linotype" w:cs="Palatino Linotype"/>
        </w:rPr>
        <w:t>cuales</w:t>
      </w:r>
      <w:r>
        <w:rPr>
          <w:rFonts w:ascii="Palatino Linotype" w:eastAsia="Palatino Linotype" w:hAnsi="Palatino Linotype" w:cs="Palatino Linotype"/>
          <w:color w:val="000000"/>
        </w:rPr>
        <w:t xml:space="preserve"> ratifica su respuesta. </w:t>
      </w:r>
    </w:p>
    <w:p w:rsidR="00FB4067" w:rsidRDefault="00FB4067">
      <w:pPr>
        <w:pBdr>
          <w:top w:val="nil"/>
          <w:left w:val="nil"/>
          <w:bottom w:val="nil"/>
          <w:right w:val="nil"/>
          <w:between w:val="nil"/>
        </w:pBdr>
        <w:ind w:left="1134" w:right="-847"/>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ind w:left="0" w:right="-847" w:firstLine="0"/>
        <w:jc w:val="both"/>
        <w:rPr>
          <w:rFonts w:ascii="Palatino Linotype" w:eastAsia="Palatino Linotype" w:hAnsi="Palatino Linotype" w:cs="Palatino Linotype"/>
          <w:color w:val="000000"/>
        </w:rPr>
      </w:pPr>
      <w:bookmarkStart w:id="1" w:name="_heading=h.3znysh7" w:colFirst="0" w:colLast="0"/>
      <w:bookmarkEnd w:id="1"/>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dejó de realizar manifestaciones que a su derecho conviniera y asistiera. </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Pr="00F32B99" w:rsidRDefault="00F27BAE">
      <w:pPr>
        <w:numPr>
          <w:ilvl w:val="0"/>
          <w:numId w:val="10"/>
        </w:numPr>
        <w:spacing w:line="360" w:lineRule="auto"/>
        <w:ind w:left="0" w:right="-847" w:firstLine="0"/>
        <w:jc w:val="both"/>
        <w:rPr>
          <w:rFonts w:ascii="Palatino Linotype" w:eastAsia="Palatino Linotype" w:hAnsi="Palatino Linotype" w:cs="Palatino Linotype"/>
          <w:color w:val="000000"/>
        </w:rPr>
      </w:pPr>
      <w:bookmarkStart w:id="2" w:name="_heading=h.f64s7azhi5nz" w:colFirst="0" w:colLast="0"/>
      <w:bookmarkEnd w:id="2"/>
      <w:r>
        <w:rPr>
          <w:rFonts w:ascii="Palatino Linotype" w:eastAsia="Palatino Linotype" w:hAnsi="Palatino Linotype" w:cs="Palatino Linotype"/>
        </w:rPr>
        <w:t xml:space="preserve">El </w:t>
      </w:r>
      <w:r>
        <w:rPr>
          <w:rFonts w:ascii="Palatino Linotype" w:eastAsia="Palatino Linotype" w:hAnsi="Palatino Linotype" w:cs="Palatino Linotype"/>
          <w:b/>
          <w:bCs/>
        </w:rPr>
        <w:t>uno de junio de dos mil veintiséis</w:t>
      </w:r>
      <w:r>
        <w:rPr>
          <w:rFonts w:ascii="Palatino Linotype" w:eastAsia="Palatino Linotype" w:hAnsi="Palatino Linotype" w:cs="Palatino Linotype"/>
        </w:rPr>
        <w:t>, se notificó el acuerdo mediante el cual se amplió el plazo para emitir resolución por un término de 15 días adicionales.</w:t>
      </w:r>
    </w:p>
    <w:p w:rsidR="00F32B99" w:rsidRDefault="00F32B99" w:rsidP="00F32B99">
      <w:pPr>
        <w:pStyle w:val="Prrafodelista"/>
        <w:rPr>
          <w:rFonts w:ascii="Palatino Linotype" w:eastAsia="Palatino Linotype" w:hAnsi="Palatino Linotype" w:cs="Palatino Linotype"/>
          <w:color w:val="000000"/>
        </w:rPr>
      </w:pPr>
    </w:p>
    <w:p w:rsidR="00F32B99" w:rsidRDefault="00F32B99" w:rsidP="00F32B99">
      <w:pP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La Comisionada Ponente mediante acuerdo del </w:t>
      </w:r>
      <w:r>
        <w:rPr>
          <w:rFonts w:ascii="Palatino Linotype" w:eastAsia="Palatino Linotype" w:hAnsi="Palatino Linotype" w:cs="Palatino Linotype"/>
          <w:b/>
          <w:bCs/>
          <w:color w:val="000000"/>
        </w:rPr>
        <w:t>ocho de junio de dos mil veintiséis</w:t>
      </w:r>
      <w:r>
        <w:rPr>
          <w:rFonts w:ascii="Palatino Linotype" w:eastAsia="Palatino Linotype" w:hAnsi="Palatino Linotype" w:cs="Palatino Linotype"/>
          <w:color w:val="000000"/>
        </w:rPr>
        <w:t xml:space="preserve">, decretó el cierre de instrucción del expediente, por lo que no habiendo más que hacer constar, y </w:t>
      </w:r>
    </w:p>
    <w:p w:rsidR="00FB4067" w:rsidRDefault="00FB4067">
      <w:pPr>
        <w:spacing w:line="360" w:lineRule="auto"/>
        <w:ind w:right="-847"/>
        <w:rPr>
          <w:rFonts w:ascii="Palatino Linotype" w:eastAsia="Palatino Linotype" w:hAnsi="Palatino Linotype" w:cs="Palatino Linotype"/>
          <w:b/>
          <w:bCs/>
        </w:rPr>
      </w:pPr>
    </w:p>
    <w:p w:rsidR="00FB4067" w:rsidRDefault="00F27BAE">
      <w:pPr>
        <w:pBdr>
          <w:top w:val="nil"/>
          <w:left w:val="nil"/>
          <w:bottom w:val="nil"/>
          <w:right w:val="nil"/>
          <w:between w:val="nil"/>
        </w:pBdr>
        <w:spacing w:line="360" w:lineRule="auto"/>
        <w:ind w:right="-84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FB4067" w:rsidRDefault="00F27BAE">
      <w:pPr>
        <w:pStyle w:val="Ttulo2"/>
        <w:spacing w:before="0" w:line="360" w:lineRule="auto"/>
        <w:ind w:right="-847"/>
        <w:rPr>
          <w:rFonts w:ascii="Palatino Linotype" w:eastAsia="Palatino Linotype" w:hAnsi="Palatino Linotype" w:cs="Palatino Linotype"/>
          <w:b/>
          <w:bCs/>
          <w:color w:val="000000"/>
          <w:sz w:val="24"/>
          <w:szCs w:val="24"/>
        </w:rPr>
      </w:pPr>
      <w:bookmarkStart w:id="3" w:name="_heading=h.kinlumvimtxw" w:colFirst="0" w:colLast="0"/>
      <w:bookmarkEnd w:id="3"/>
      <w:r>
        <w:rPr>
          <w:rFonts w:ascii="Palatino Linotype" w:eastAsia="Palatino Linotype" w:hAnsi="Palatino Linotype" w:cs="Palatino Linotype"/>
          <w:b/>
          <w:bCs/>
          <w:color w:val="000000"/>
          <w:sz w:val="24"/>
          <w:szCs w:val="24"/>
        </w:rPr>
        <w:t>PRIMERO. De la competencia</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 los presentes recursos,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FB4067" w:rsidRDefault="00FB4067">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b/>
          <w:bCs/>
          <w:color w:val="000000"/>
        </w:rPr>
      </w:pPr>
      <w:bookmarkStart w:id="4" w:name="_heading=h.jlnw17pdnjvi" w:colFirst="0" w:colLast="0"/>
      <w:bookmarkEnd w:id="4"/>
    </w:p>
    <w:p w:rsidR="00FB4067" w:rsidRDefault="00F27BAE">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b/>
          <w:bCs/>
          <w:color w:val="000000"/>
        </w:rPr>
      </w:pPr>
      <w:bookmarkStart w:id="5" w:name="_heading=h.v0c77b5pnlfs" w:colFirst="0" w:colLast="0"/>
      <w:bookmarkEnd w:id="5"/>
      <w:r>
        <w:rPr>
          <w:rFonts w:ascii="Palatino Linotype" w:eastAsia="Palatino Linotype" w:hAnsi="Palatino Linotype" w:cs="Palatino Linotype"/>
          <w:b/>
          <w:bCs/>
          <w:color w:val="000000"/>
        </w:rPr>
        <w:t>SEGUNDO. De la oportunidad y procedencia.</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bookmarkStart w:id="6" w:name="_heading=h.rtzpwqsln3xb" w:colFirst="0" w:colLast="0"/>
      <w:bookmarkEnd w:id="6"/>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 xml:space="preserve">diez de marzo de dos mil veintiséis, </w:t>
      </w:r>
      <w:r>
        <w:rPr>
          <w:rFonts w:ascii="Palatino Linotype" w:eastAsia="Palatino Linotype" w:hAnsi="Palatino Linotype" w:cs="Palatino Linotype"/>
          <w:color w:val="000000"/>
        </w:rPr>
        <w:t xml:space="preserve">de tal forma que el plazo para interponer el recurso de revisión transcurrió del día </w:t>
      </w:r>
      <w:r>
        <w:rPr>
          <w:rFonts w:ascii="Palatino Linotype" w:eastAsia="Palatino Linotype" w:hAnsi="Palatino Linotype" w:cs="Palatino Linotype"/>
          <w:b/>
          <w:bCs/>
          <w:color w:val="000000"/>
        </w:rPr>
        <w:t xml:space="preserve">once de marzo al ocho de abril de dos mil </w:t>
      </w:r>
      <w:r>
        <w:rPr>
          <w:rFonts w:ascii="Palatino Linotype" w:eastAsia="Palatino Linotype" w:hAnsi="Palatino Linotype" w:cs="Palatino Linotype"/>
          <w:b/>
          <w:bCs/>
          <w:color w:val="000000"/>
        </w:rPr>
        <w:lastRenderedPageBreak/>
        <w:t>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es decir dentro del lapso legalmente establecido para tal efecto.</w:t>
      </w:r>
    </w:p>
    <w:p w:rsidR="00F32B99" w:rsidRDefault="00F32B99" w:rsidP="00F32B99">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FB4067" w:rsidRDefault="00F27BAE">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FB4067" w:rsidRDefault="00FB4067">
      <w:pPr>
        <w:pBdr>
          <w:top w:val="nil"/>
          <w:left w:val="nil"/>
          <w:bottom w:val="nil"/>
          <w:right w:val="nil"/>
          <w:between w:val="nil"/>
        </w:pBdr>
        <w:ind w:left="708" w:right="-847"/>
        <w:rPr>
          <w:rFonts w:ascii="Palatino Linotype" w:eastAsia="Palatino Linotype" w:hAnsi="Palatino Linotype" w:cs="Palatino Linotype"/>
        </w:rPr>
      </w:pPr>
    </w:p>
    <w:p w:rsidR="00FB4067" w:rsidRDefault="00FB4067">
      <w:pPr>
        <w:pBdr>
          <w:top w:val="nil"/>
          <w:left w:val="nil"/>
          <w:bottom w:val="nil"/>
          <w:right w:val="nil"/>
          <w:between w:val="nil"/>
        </w:pBdr>
        <w:ind w:left="708" w:right="-847"/>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FB4067" w:rsidRDefault="00F27BAE">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FB4067" w:rsidRDefault="00F27BAE">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FB4067" w:rsidRDefault="00F27BAE">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FB4067" w:rsidRDefault="00FB4067">
      <w:pPr>
        <w:ind w:left="567" w:right="-847"/>
        <w:jc w:val="both"/>
        <w:rPr>
          <w:rFonts w:ascii="Palatino Linotype" w:eastAsia="Palatino Linotype" w:hAnsi="Palatino Linotype" w:cs="Palatino Linotype"/>
          <w:i/>
          <w:iCs/>
        </w:rPr>
      </w:pPr>
    </w:p>
    <w:p w:rsidR="00FB4067" w:rsidRDefault="00F27BAE">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color w:val="000000"/>
        </w:rPr>
        <w:t>(Sic)</w:t>
      </w:r>
    </w:p>
    <w:p w:rsidR="00FB4067" w:rsidRDefault="00FB4067">
      <w:pPr>
        <w:pBdr>
          <w:top w:val="nil"/>
          <w:left w:val="nil"/>
          <w:bottom w:val="nil"/>
          <w:right w:val="nil"/>
          <w:between w:val="nil"/>
        </w:pBdr>
        <w:spacing w:line="360" w:lineRule="auto"/>
        <w:ind w:left="567"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otra parte, del contenido del artículo 1 de la Constitución Política de los Estados Unidos mexicanos, se destaca lo siguiente:</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FB4067" w:rsidRDefault="00FB4067">
      <w:pPr>
        <w:pBdr>
          <w:top w:val="nil"/>
          <w:left w:val="nil"/>
          <w:bottom w:val="nil"/>
          <w:right w:val="nil"/>
          <w:between w:val="nil"/>
        </w:pBdr>
        <w:spacing w:line="360" w:lineRule="auto"/>
        <w:ind w:left="708" w:right="-847"/>
        <w:jc w:val="both"/>
        <w:rPr>
          <w:rFonts w:ascii="Palatino Linotype" w:eastAsia="Palatino Linotype" w:hAnsi="Palatino Linotype" w:cs="Palatino Linotype"/>
          <w:color w:val="000000"/>
        </w:rPr>
      </w:pP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w:t>
      </w:r>
      <w:r>
        <w:rPr>
          <w:rFonts w:ascii="Palatino Linotype" w:eastAsia="Palatino Linotype" w:hAnsi="Palatino Linotype" w:cs="Palatino Linotype"/>
        </w:rPr>
        <w:lastRenderedPageBreak/>
        <w:t>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pStyle w:val="Ttulo1"/>
        <w:spacing w:before="0" w:line="360" w:lineRule="auto"/>
        <w:ind w:right="-847"/>
        <w:rPr>
          <w:rFonts w:ascii="Palatino Linotype" w:eastAsia="Palatino Linotype" w:hAnsi="Palatino Linotype" w:cs="Palatino Linotype"/>
          <w:b/>
          <w:bCs/>
          <w:color w:val="000000"/>
          <w:sz w:val="24"/>
          <w:szCs w:val="24"/>
        </w:rPr>
      </w:pPr>
      <w:bookmarkStart w:id="7" w:name="_heading=h.k05tgqxya84r" w:colFirst="0" w:colLast="0"/>
      <w:bookmarkEnd w:id="7"/>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lo siguiente:</w:t>
      </w:r>
    </w:p>
    <w:p w:rsidR="00FB4067" w:rsidRDefault="00F27BAE">
      <w:pPr>
        <w:numPr>
          <w:ilvl w:val="0"/>
          <w:numId w:val="2"/>
        </w:numPr>
        <w:pBdr>
          <w:top w:val="nil"/>
          <w:left w:val="nil"/>
          <w:bottom w:val="nil"/>
          <w:right w:val="nil"/>
          <w:between w:val="nil"/>
        </w:pBdr>
        <w:spacing w:line="360" w:lineRule="auto"/>
        <w:ind w:right="-847" w:hanging="36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Expediente completo de las quejas y denuncias recibidas en la Defensoría de Derechos Humanos durante el 2025</w:t>
      </w:r>
    </w:p>
    <w:p w:rsidR="00FB4067" w:rsidRDefault="00FB4067">
      <w:pPr>
        <w:pBdr>
          <w:top w:val="nil"/>
          <w:left w:val="nil"/>
          <w:bottom w:val="nil"/>
          <w:right w:val="nil"/>
          <w:between w:val="nil"/>
        </w:pBdr>
        <w:spacing w:line="360" w:lineRule="auto"/>
        <w:ind w:left="644" w:right="-847"/>
        <w:jc w:val="both"/>
        <w:rPr>
          <w:rFonts w:ascii="Palatino Linotype" w:eastAsia="Palatino Linotype" w:hAnsi="Palatino Linotype" w:cs="Palatino Linotype"/>
          <w:b/>
          <w:bCs/>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brindó</w:t>
      </w:r>
      <w:r>
        <w:rPr>
          <w:rFonts w:ascii="Palatino Linotype" w:eastAsia="Palatino Linotype" w:hAnsi="Palatino Linotype" w:cs="Palatino Linotype"/>
          <w:color w:val="000000"/>
        </w:rPr>
        <w:t xml:space="preserve"> respuesta en términos del numeral 3 de la presente resolución.</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por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en los siguientes términos: </w:t>
      </w:r>
      <w:r>
        <w:rPr>
          <w:rFonts w:ascii="Palatino Linotype" w:eastAsia="Palatino Linotype" w:hAnsi="Palatino Linotype" w:cs="Palatino Linotype"/>
          <w:i/>
          <w:iCs/>
          <w:color w:val="000000"/>
        </w:rPr>
        <w:t>“No esta toda la información como se solicito esta incompleta.” (Sic)</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V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entrega de información incompleta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los recursos de revisión se abocaran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keepNext/>
        <w:keepLines/>
        <w:spacing w:line="360" w:lineRule="auto"/>
        <w:ind w:right="-847"/>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FB4067" w:rsidRDefault="00F27BAE">
      <w:pPr>
        <w:keepNext/>
        <w:keepLines/>
        <w:numPr>
          <w:ilvl w:val="0"/>
          <w:numId w:val="4"/>
        </w:numPr>
        <w:spacing w:after="240" w:line="360" w:lineRule="auto"/>
        <w:ind w:left="786" w:right="-847"/>
        <w:rPr>
          <w:rFonts w:ascii="Palatino Linotype" w:eastAsia="Palatino Linotype" w:hAnsi="Palatino Linotype" w:cs="Palatino Linotype"/>
          <w:b/>
          <w:bCs/>
        </w:rPr>
      </w:pPr>
      <w:bookmarkStart w:id="8" w:name="_heading=h.1t3h5sf" w:colFirst="0" w:colLast="0"/>
      <w:bookmarkEnd w:id="8"/>
      <w:r>
        <w:rPr>
          <w:rFonts w:ascii="Palatino Linotype" w:eastAsia="Palatino Linotype" w:hAnsi="Palatino Linotype" w:cs="Palatino Linotype"/>
          <w:b/>
          <w:bCs/>
        </w:rPr>
        <w:t>Del derecho de acceso a la información.</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Definiendo el Derecho de Acceso a la Información Pública como: </w:t>
      </w:r>
      <w:r>
        <w:rPr>
          <w:rFonts w:ascii="Palatino Linotype" w:eastAsia="Palatino Linotype" w:hAnsi="Palatino Linotype" w:cs="Palatino Linotype"/>
          <w:i/>
          <w:iCs/>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rPr>
        <w:t>que se constituye como una herramienta fundamental para ejercer</w:t>
      </w:r>
      <w:r>
        <w:rPr>
          <w:rFonts w:ascii="Palatino Linotype" w:eastAsia="Palatino Linotype" w:hAnsi="Palatino Linotype" w:cs="Palatino Linotype"/>
          <w:i/>
          <w:iCs/>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rPr>
        <w:t>fomentando</w:t>
      </w:r>
      <w:r>
        <w:rPr>
          <w:rFonts w:ascii="Palatino Linotype" w:eastAsia="Palatino Linotype" w:hAnsi="Palatino Linotype" w:cs="Palatino Linotype"/>
          <w:i/>
          <w:iCs/>
        </w:rPr>
        <w:t xml:space="preserve"> la transparencia de las actividades estatales y </w:t>
      </w:r>
      <w:r>
        <w:rPr>
          <w:rFonts w:ascii="Palatino Linotype" w:eastAsia="Palatino Linotype" w:hAnsi="Palatino Linotype" w:cs="Palatino Linotype"/>
        </w:rPr>
        <w:t>promoviendo</w:t>
      </w:r>
      <w:r>
        <w:rPr>
          <w:rFonts w:ascii="Palatino Linotype" w:eastAsia="Palatino Linotype" w:hAnsi="Palatino Linotype" w:cs="Palatino Linotype"/>
          <w:i/>
          <w:iCs/>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rPr>
        <w:t>que permite</w:t>
      </w:r>
      <w:r>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FB4067" w:rsidRDefault="00F27BAE">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FB4067" w:rsidRDefault="00F27BAE">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B4067" w:rsidRDefault="00F27BAE">
      <w:pPr>
        <w:tabs>
          <w:tab w:val="left" w:pos="7655"/>
        </w:tabs>
        <w:ind w:left="567" w:right="-84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rPr>
        <w:t>”.</w:t>
      </w: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B4067" w:rsidRDefault="00F27BAE">
      <w:pPr>
        <w:spacing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FB4067" w:rsidRDefault="00F27BAE">
      <w:pPr>
        <w:spacing w:before="240"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FB4067" w:rsidRDefault="00F27BAE">
      <w:pPr>
        <w:spacing w:before="240"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publicidad. Los sujetos obligados deberán documentar todo acto que derive del ejercicio de sus facultades, competencias o </w:t>
      </w:r>
      <w:r>
        <w:rPr>
          <w:rFonts w:ascii="Palatino Linotype" w:eastAsia="Palatino Linotype" w:hAnsi="Palatino Linotype" w:cs="Palatino Linotype"/>
          <w:b/>
          <w:bCs/>
          <w:i/>
          <w:iCs/>
        </w:rPr>
        <w:lastRenderedPageBreak/>
        <w:t>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FB4067" w:rsidRDefault="00FB4067">
      <w:pPr>
        <w:tabs>
          <w:tab w:val="left" w:pos="567"/>
        </w:tabs>
        <w:spacing w:before="240"/>
        <w:ind w:left="567" w:right="-847"/>
        <w:jc w:val="both"/>
        <w:rPr>
          <w:rFonts w:ascii="Palatino Linotype" w:eastAsia="Palatino Linotype" w:hAnsi="Palatino Linotype" w:cs="Palatino Linotype"/>
          <w:b/>
          <w:bCs/>
          <w:i/>
          <w:iCs/>
        </w:rPr>
      </w:pPr>
    </w:p>
    <w:p w:rsidR="00FB4067" w:rsidRDefault="00F27BAE">
      <w:pPr>
        <w:spacing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FB4067" w:rsidRDefault="00F27BAE">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FB4067" w:rsidRDefault="00FB4067">
      <w:pPr>
        <w:tabs>
          <w:tab w:val="left" w:pos="567"/>
        </w:tabs>
        <w:spacing w:before="240" w:after="240"/>
        <w:ind w:right="-847"/>
        <w:jc w:val="both"/>
        <w:rPr>
          <w:rFonts w:ascii="Palatino Linotype" w:eastAsia="Palatino Linotype" w:hAnsi="Palatino Linotype" w:cs="Palatino Linotype"/>
          <w:b/>
          <w:bCs/>
          <w:i/>
          <w:iCs/>
        </w:rPr>
      </w:pPr>
    </w:p>
    <w:p w:rsidR="00FB4067" w:rsidRDefault="00F27BAE">
      <w:pPr>
        <w:numPr>
          <w:ilvl w:val="0"/>
          <w:numId w:val="10"/>
        </w:numPr>
        <w:spacing w:before="240"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spacing w:line="360" w:lineRule="auto"/>
        <w:ind w:left="0" w:right="-847" w:firstLine="0"/>
        <w:jc w:val="both"/>
        <w:rPr>
          <w:rFonts w:ascii="Palatino Linotype" w:eastAsia="Palatino Linotype" w:hAnsi="Palatino Linotype" w:cs="Palatino Linotype"/>
        </w:rPr>
      </w:pPr>
      <w:bookmarkStart w:id="9" w:name="_heading=h.4d34og8" w:colFirst="0" w:colLast="0"/>
      <w:bookmarkEnd w:id="9"/>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keepNext/>
        <w:keepLines/>
        <w:spacing w:after="240" w:line="360" w:lineRule="auto"/>
        <w:ind w:right="-847"/>
        <w:rPr>
          <w:rFonts w:ascii="Palatino Linotype" w:eastAsia="Palatino Linotype" w:hAnsi="Palatino Linotype" w:cs="Palatino Linotype"/>
          <w:b/>
          <w:bCs/>
        </w:rPr>
      </w:pPr>
      <w:bookmarkStart w:id="10" w:name="_heading=h.2s8eyo1" w:colFirst="0" w:colLast="0"/>
      <w:bookmarkEnd w:id="10"/>
      <w:r>
        <w:rPr>
          <w:rFonts w:ascii="Palatino Linotype" w:eastAsia="Palatino Linotype" w:hAnsi="Palatino Linotype" w:cs="Palatino Linotype"/>
          <w:b/>
          <w:bCs/>
        </w:rPr>
        <w:t>II. De la información solicitada y la respuesta del SUJETO OBLIGADO</w:t>
      </w:r>
    </w:p>
    <w:p w:rsidR="00FB4067" w:rsidRDefault="00F27BAE">
      <w:pPr>
        <w:numPr>
          <w:ilvl w:val="0"/>
          <w:numId w:val="10"/>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estudio es conveniente reiterar que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w:t>
      </w:r>
    </w:p>
    <w:p w:rsidR="00FB4067" w:rsidRDefault="00F27BAE">
      <w:pPr>
        <w:numPr>
          <w:ilvl w:val="0"/>
          <w:numId w:val="2"/>
        </w:numPr>
        <w:pBdr>
          <w:top w:val="nil"/>
          <w:left w:val="nil"/>
          <w:bottom w:val="nil"/>
          <w:right w:val="nil"/>
          <w:between w:val="nil"/>
        </w:pBdr>
        <w:spacing w:line="360" w:lineRule="auto"/>
        <w:ind w:right="-847" w:hanging="36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Expedientes completos de las quejas y denuncias recibidas en la Defensoría de Derechos Humanos durante el 2025</w:t>
      </w:r>
    </w:p>
    <w:p w:rsidR="00FB4067" w:rsidRDefault="00FB4067">
      <w:pPr>
        <w:pBdr>
          <w:top w:val="nil"/>
          <w:left w:val="nil"/>
          <w:bottom w:val="nil"/>
          <w:right w:val="nil"/>
          <w:between w:val="nil"/>
        </w:pBdr>
        <w:spacing w:line="360" w:lineRule="auto"/>
        <w:ind w:left="644" w:right="-847"/>
        <w:jc w:val="both"/>
        <w:rPr>
          <w:rFonts w:ascii="Palatino Linotype" w:eastAsia="Palatino Linotype" w:hAnsi="Palatino Linotype" w:cs="Palatino Linotype"/>
          <w:b/>
          <w:bCs/>
          <w:color w:val="000000"/>
        </w:rPr>
      </w:pPr>
    </w:p>
    <w:p w:rsidR="00FB4067" w:rsidRDefault="00F27BAE">
      <w:pPr>
        <w:numPr>
          <w:ilvl w:val="0"/>
          <w:numId w:val="10"/>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a través de la Defensora Municipal de Derechos Humanos y servidor pública habilitada, remitió 19 expedientes concluidos en versión pública, indicando que a la fecha de la solicitud aún se encuentran en trámite 34 expedientes, los cuales se clasificaron como información reservada, sin embargo cabe precisar que omitió agregar los Acuerdos emitidos por el Comité de Transparencia, mediante el cual se aprobó la versión pública de los expedientes remitidos; así como la clasificación como información reservada en su totalidad de los expedientes en trámite, situación de la que se duele el particular.</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Posteriormente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se inconformó por la entrega de la información incompleta. </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En atención a ello es importante invocar el contenido del artículo 12 antes mencionado así como el 4 de la Ley de Transparencia y Acceso a la Información Pública del Estado de México y Municipios, mismos que son del tenor siguiente:</w:t>
      </w:r>
    </w:p>
    <w:p w:rsidR="00FB4067" w:rsidRDefault="00F27BAE">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B4067" w:rsidRDefault="00F27BAE">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w:t>
      </w:r>
      <w:r>
        <w:rPr>
          <w:rFonts w:ascii="Palatino Linotype" w:eastAsia="Palatino Linotype" w:hAnsi="Palatino Linotype" w:cs="Palatino Linotype"/>
          <w:i/>
          <w:iCs/>
        </w:rPr>
        <w:t xml:space="preserve">, en los términos y condiciones que se establezcan en los tratados </w:t>
      </w:r>
      <w:r>
        <w:rPr>
          <w:rFonts w:ascii="Palatino Linotype" w:eastAsia="Palatino Linotype" w:hAnsi="Palatino Linotype" w:cs="Palatino Linotype"/>
          <w:i/>
          <w:iC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B4067" w:rsidRDefault="00F27BAE">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FB4067" w:rsidRDefault="00FB4067">
      <w:pPr>
        <w:spacing w:line="360" w:lineRule="auto"/>
        <w:ind w:left="567" w:right="-847"/>
        <w:rPr>
          <w:rFonts w:ascii="Palatino Linotype" w:eastAsia="Palatino Linotype" w:hAnsi="Palatino Linotype" w:cs="Palatino Linotype"/>
        </w:rPr>
      </w:pPr>
    </w:p>
    <w:p w:rsidR="00FB4067" w:rsidRDefault="00F27BAE">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w:t>
      </w:r>
    </w:p>
    <w:p w:rsidR="00FB4067" w:rsidRDefault="00F27BAE">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b/>
          <w:bCs/>
          <w:i/>
          <w:iCs/>
        </w:rPr>
        <w:t>Los sujetos obligados sólo proporcionarán la información pública que se les requiera y que obre en sus archivos y en el estado en que ésta se encuentre.</w:t>
      </w:r>
      <w:r>
        <w:rPr>
          <w:rFonts w:ascii="Palatino Linotype" w:eastAsia="Palatino Linotype" w:hAnsi="Palatino Linotype" w:cs="Palatino Linotype"/>
          <w:i/>
          <w:iCs/>
        </w:rPr>
        <w:t xml:space="preserve"> La obligación de proporcionar información no comprende el procesamiento de la misma, ni el presentarla conforme al interés del solicitante; no estarán obligados a generarla, resumirla, efectuar cálculos o practicar investigaciones.” </w:t>
      </w:r>
    </w:p>
    <w:p w:rsidR="00FB4067" w:rsidRDefault="00F27BAE">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Expuesto lo anterior, resulta conveniente precisar que el Código Reglamentario Municipal de Toluca, en su artículo 3.75 nos establece las atribuciones de la Defensoría Municipal de Derechos Humanos, refiriendo lo siguiente:</w:t>
      </w:r>
    </w:p>
    <w:p w:rsidR="00FB4067" w:rsidRDefault="00F27BAE">
      <w:pPr>
        <w:pBdr>
          <w:top w:val="nil"/>
          <w:left w:val="nil"/>
          <w:bottom w:val="nil"/>
          <w:right w:val="nil"/>
          <w:between w:val="nil"/>
        </w:pBdr>
        <w:tabs>
          <w:tab w:val="left" w:pos="426"/>
          <w:tab w:val="left" w:pos="567"/>
        </w:tabs>
        <w:ind w:left="567" w:right="-847"/>
        <w:jc w:val="center"/>
        <w:rPr>
          <w:b/>
          <w:bCs/>
          <w:i/>
          <w:iCs/>
        </w:rPr>
      </w:pPr>
      <w:r>
        <w:rPr>
          <w:b/>
          <w:bCs/>
          <w:i/>
          <w:iCs/>
        </w:rPr>
        <w:t>DE LA DEFENSORÍA MUNICIPAL DE DERECHOS HUMANOS</w:t>
      </w:r>
    </w:p>
    <w:p w:rsidR="00FB4067" w:rsidRDefault="00FB4067">
      <w:pPr>
        <w:pBdr>
          <w:top w:val="nil"/>
          <w:left w:val="nil"/>
          <w:bottom w:val="nil"/>
          <w:right w:val="nil"/>
          <w:between w:val="nil"/>
        </w:pBdr>
        <w:tabs>
          <w:tab w:val="left" w:pos="426"/>
          <w:tab w:val="left" w:pos="567"/>
        </w:tabs>
        <w:ind w:left="567" w:right="-847"/>
        <w:jc w:val="both"/>
        <w:rPr>
          <w:i/>
          <w:iCs/>
        </w:rPr>
      </w:pPr>
    </w:p>
    <w:p w:rsidR="00FB4067" w:rsidRDefault="00F27BAE">
      <w:pPr>
        <w:pBdr>
          <w:top w:val="nil"/>
          <w:left w:val="nil"/>
          <w:bottom w:val="nil"/>
          <w:right w:val="nil"/>
          <w:between w:val="nil"/>
        </w:pBdr>
        <w:tabs>
          <w:tab w:val="left" w:pos="426"/>
          <w:tab w:val="left" w:pos="567"/>
        </w:tabs>
        <w:ind w:left="567" w:right="-847"/>
        <w:jc w:val="both"/>
        <w:rPr>
          <w:rFonts w:ascii="Palatino Linotype" w:eastAsia="Palatino Linotype" w:hAnsi="Palatino Linotype" w:cs="Palatino Linotype"/>
          <w:i/>
          <w:iCs/>
        </w:rPr>
      </w:pPr>
      <w:r>
        <w:rPr>
          <w:i/>
          <w:iCs/>
        </w:rPr>
        <w:lastRenderedPageBreak/>
        <w:t>Artículo 3.75. La o el titular de la Defensoría Municipal de Derechos Humanos tendrá las siguientes atribuciones:</w:t>
      </w:r>
    </w:p>
    <w:p w:rsidR="00FB4067" w:rsidRDefault="00FB4067">
      <w:pPr>
        <w:pBdr>
          <w:top w:val="nil"/>
          <w:left w:val="nil"/>
          <w:bottom w:val="nil"/>
          <w:right w:val="nil"/>
          <w:between w:val="nil"/>
        </w:pBdr>
        <w:tabs>
          <w:tab w:val="left" w:pos="426"/>
          <w:tab w:val="left" w:pos="567"/>
        </w:tabs>
        <w:ind w:left="567" w:right="-847"/>
        <w:jc w:val="both"/>
        <w:rPr>
          <w:rFonts w:ascii="Palatino Linotype" w:eastAsia="Palatino Linotype" w:hAnsi="Palatino Linotype" w:cs="Palatino Linotype"/>
          <w:i/>
          <w:iCs/>
        </w:rPr>
      </w:pPr>
    </w:p>
    <w:p w:rsidR="00FB4067" w:rsidRDefault="00F27BAE">
      <w:pPr>
        <w:pBdr>
          <w:top w:val="nil"/>
          <w:left w:val="nil"/>
          <w:bottom w:val="nil"/>
          <w:right w:val="nil"/>
          <w:between w:val="nil"/>
        </w:pBdr>
        <w:tabs>
          <w:tab w:val="left" w:pos="426"/>
          <w:tab w:val="left" w:pos="567"/>
        </w:tabs>
        <w:ind w:left="567" w:right="-847"/>
        <w:jc w:val="both"/>
        <w:rPr>
          <w:rFonts w:ascii="Palatino Linotype" w:eastAsia="Palatino Linotype" w:hAnsi="Palatino Linotype" w:cs="Palatino Linotype"/>
          <w:b/>
          <w:bCs/>
          <w:i/>
          <w:iCs/>
        </w:rPr>
      </w:pPr>
      <w:r>
        <w:rPr>
          <w:b/>
          <w:bCs/>
          <w:i/>
          <w:iCs/>
        </w:rPr>
        <w:t>I. Recibir las quejas de los vecinos y visitantes del municipio de Toluca y remitirlas a la Comisión de Derechos Humanos del Estado de México, por conducto de sus visitadurías, en términos de la normatividad aplicable;</w:t>
      </w:r>
    </w:p>
    <w:p w:rsidR="00FB4067" w:rsidRDefault="00F27BAE">
      <w:pPr>
        <w:pBdr>
          <w:top w:val="nil"/>
          <w:left w:val="nil"/>
          <w:bottom w:val="nil"/>
          <w:right w:val="nil"/>
          <w:between w:val="nil"/>
        </w:pBdr>
        <w:tabs>
          <w:tab w:val="left" w:pos="426"/>
          <w:tab w:val="left" w:pos="567"/>
        </w:tabs>
        <w:ind w:left="567" w:right="-847"/>
        <w:jc w:val="both"/>
        <w:rPr>
          <w:b/>
          <w:bCs/>
          <w:i/>
          <w:iCs/>
        </w:rPr>
      </w:pPr>
      <w:r>
        <w:rPr>
          <w:b/>
          <w:bCs/>
          <w:i/>
          <w:iCs/>
        </w:rPr>
        <w:t xml:space="preserve">II. Informar a la Comisión de Derechos Humanos del Estado, acerca de presumibles violaciones a los derechos humanos por actos u omisiones de naturaleza administrativa de cualquier autoridad o servidor público del municipio de Toluca; </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 xml:space="preserve">III. Observar que la autoridad municipal rinda de manera oportuna y veraz los informes que solicite la Comisión de Derechos Humanos; </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 xml:space="preserve">V. Elaborar acta circunstanciada por hechos que puedan ser considerados violatorios de derechos humanos que ocurran dentro del municipio, teniendo fe pública solo para ese efecto, debiendo remitirla a la Visitaduría correspondiente dentro de las 24 horas siguientes; </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 xml:space="preserve">XII. Asesorar y orientar a los vecinos y visitantes del municipio, en especial a los grupos en situación de vulnerabilidad, a fin de que les sean respetados sus derechos humanos; </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w:t>
      </w:r>
    </w:p>
    <w:p w:rsidR="00FB4067" w:rsidRDefault="00F27BAE">
      <w:pPr>
        <w:pBdr>
          <w:top w:val="nil"/>
          <w:left w:val="nil"/>
          <w:bottom w:val="nil"/>
          <w:right w:val="nil"/>
          <w:between w:val="nil"/>
        </w:pBdr>
        <w:tabs>
          <w:tab w:val="left" w:pos="426"/>
          <w:tab w:val="left" w:pos="567"/>
        </w:tabs>
        <w:ind w:left="567" w:right="-847"/>
        <w:jc w:val="both"/>
        <w:rPr>
          <w:i/>
          <w:iCs/>
        </w:rPr>
      </w:pPr>
      <w:r>
        <w:rPr>
          <w:i/>
          <w:iCs/>
        </w:rPr>
        <w:t xml:space="preserve">XV. Supervisar las Oficialías Calificadoras del municipio de Toluca, a fin de verificar que cuenten con las condiciones necesarias para realizar sus funciones y no se vulneren los derechos humanos de las personas privadas de su libertad; </w:t>
      </w:r>
    </w:p>
    <w:p w:rsidR="00FB4067" w:rsidRDefault="00F27BAE">
      <w:pPr>
        <w:pBdr>
          <w:top w:val="nil"/>
          <w:left w:val="nil"/>
          <w:bottom w:val="nil"/>
          <w:right w:val="nil"/>
          <w:between w:val="nil"/>
        </w:pBdr>
        <w:tabs>
          <w:tab w:val="left" w:pos="426"/>
          <w:tab w:val="left" w:pos="567"/>
        </w:tabs>
        <w:ind w:left="567" w:right="-847"/>
        <w:jc w:val="both"/>
        <w:rPr>
          <w:rFonts w:ascii="Palatino Linotype" w:eastAsia="Palatino Linotype" w:hAnsi="Palatino Linotype" w:cs="Palatino Linotype"/>
          <w:i/>
          <w:iCs/>
        </w:rPr>
      </w:pPr>
      <w:r>
        <w:rPr>
          <w:i/>
          <w:iCs/>
        </w:rPr>
        <w:t>(…)</w:t>
      </w:r>
    </w:p>
    <w:p w:rsidR="00FB4067" w:rsidRDefault="00F27BAE">
      <w:pPr>
        <w:pBdr>
          <w:top w:val="nil"/>
          <w:left w:val="nil"/>
          <w:bottom w:val="nil"/>
          <w:right w:val="nil"/>
          <w:between w:val="nil"/>
        </w:pBdr>
        <w:tabs>
          <w:tab w:val="left" w:pos="426"/>
          <w:tab w:val="left" w:pos="567"/>
        </w:tabs>
        <w:ind w:left="567" w:right="-847"/>
        <w:jc w:val="both"/>
        <w:rPr>
          <w:rFonts w:ascii="Palatino Linotype" w:eastAsia="Palatino Linotype" w:hAnsi="Palatino Linotype" w:cs="Palatino Linotype"/>
          <w:i/>
          <w:iCs/>
        </w:rPr>
      </w:pPr>
      <w:r>
        <w:rPr>
          <w:i/>
          <w:iCs/>
        </w:rPr>
        <w:t>XX. Las demás que les confiera la Comisión de Derechos Humanos del Estado de México.</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 lo anterior, se vislumbra que la Unidad Administrativa que proporcionó la información, cuenta con las atribuciones de generar y poseer la información que requirió el particular, sin embargo, omitió proporcionar el Acuerdo emitido por el Comité de Transparencia, mediante el cual se aprueban las versiones públicas de los expedientes entregados en respuesta; así como el Acuerdo mediante el cual se Clasifican los expedientes en trámite como información reservada en su totalidad.</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sentido, es de destacar que, en el presente asunto, la parte Recurrente </w:t>
      </w:r>
      <w:r>
        <w:rPr>
          <w:rFonts w:ascii="Palatino Linotype" w:eastAsia="Palatino Linotype" w:hAnsi="Palatino Linotype" w:cs="Palatino Linotype"/>
          <w:b/>
          <w:bCs/>
          <w:color w:val="000000"/>
        </w:rPr>
        <w:t>solicitó expedientes de quejas o denuncias iniciadas durante el ejercicio fiscal 2025</w:t>
      </w:r>
      <w:r>
        <w:rPr>
          <w:rFonts w:ascii="Palatino Linotype" w:eastAsia="Palatino Linotype" w:hAnsi="Palatino Linotype" w:cs="Palatino Linotype"/>
          <w:color w:val="000000"/>
        </w:rPr>
        <w:t xml:space="preserve">, por lo que se </w:t>
      </w:r>
      <w:r>
        <w:rPr>
          <w:rFonts w:ascii="Palatino Linotype" w:eastAsia="Palatino Linotype" w:hAnsi="Palatino Linotype" w:cs="Palatino Linotype"/>
          <w:color w:val="000000"/>
        </w:rPr>
        <w:lastRenderedPageBreak/>
        <w:t xml:space="preserve">advierte que dentro de dichos expedientes </w:t>
      </w:r>
      <w:r>
        <w:rPr>
          <w:rFonts w:ascii="Palatino Linotype" w:eastAsia="Palatino Linotype" w:hAnsi="Palatino Linotype" w:cs="Palatino Linotype"/>
        </w:rPr>
        <w:t>obran</w:t>
      </w:r>
      <w:r>
        <w:rPr>
          <w:rFonts w:ascii="Palatino Linotype" w:eastAsia="Palatino Linotype" w:hAnsi="Palatino Linotype" w:cs="Palatino Linotype"/>
          <w:color w:val="000000"/>
        </w:rPr>
        <w:t xml:space="preserve"> información que debe ser clasificada conforme fracción I del artículo 143 de la Ley de Transparencia y Acceso a la Información Pública del Estado de México y Municipios. </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mismo, la Ley de Transparencia y Acceso a la Información Pública del Estado de México y Municipios en su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p>
    <w:p w:rsidR="00FB4067" w:rsidRDefault="00F27BAE">
      <w:pPr>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DERECHO A LA VIDA PRIVADA. ALCANCE DE SU PROTECCIÓN POR EL ESTADO.  </w:t>
      </w:r>
      <w:r>
        <w:rPr>
          <w:rFonts w:ascii="Palatino Linotype" w:eastAsia="Palatino Linotype" w:hAnsi="Palatino Linotype" w:cs="Palatino Linotype"/>
          <w:i/>
          <w:iCs/>
        </w:rPr>
        <w:t>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rsidR="00FB4067" w:rsidRDefault="00FB4067">
      <w:pPr>
        <w:ind w:left="567" w:right="-847"/>
        <w:jc w:val="both"/>
        <w:rPr>
          <w:rFonts w:ascii="Palatino Linotype" w:eastAsia="Palatino Linotype" w:hAnsi="Palatino Linotype" w:cs="Palatino Linotype"/>
          <w:i/>
          <w:iCs/>
        </w:rPr>
      </w:pPr>
    </w:p>
    <w:p w:rsidR="00FB4067" w:rsidRDefault="00F27BAE">
      <w:pPr>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INFORMACIÓN CONFIDENCIAL. LÍMITE AL DERECHO DE ACCESO A LA INFORMACIÓN (LEY FEDERAL DE TRANSPARENCIA Y ACCESO A LA INFORMACIÓN PÚBLICA GUBERNAMENTAL). </w:t>
      </w:r>
      <w:r>
        <w:rPr>
          <w:rFonts w:ascii="Palatino Linotype" w:eastAsia="Palatino Linotype" w:hAnsi="Palatino Linotype" w:cs="Palatino Linotype"/>
          <w:i/>
          <w:iCs/>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w:t>
      </w:r>
      <w:r>
        <w:rPr>
          <w:rFonts w:ascii="Palatino Linotype" w:eastAsia="Palatino Linotype" w:hAnsi="Palatino Linotype" w:cs="Palatino Linotype"/>
          <w:i/>
          <w:iCs/>
        </w:rPr>
        <w:lastRenderedPageBreak/>
        <w:t>comercialización si se obtiene el consentimiento expreso de la persona a que haga referencia la información.</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t>De esto, se llega a la conclusión que las documentales requeridos por el particular contienen información que debe ser clasificada como confidencial, enfatizando que sólo en los casos que corresponda a particulares</w:t>
      </w:r>
      <w:r>
        <w:rPr>
          <w:rFonts w:ascii="Palatino Linotype" w:eastAsia="Palatino Linotype" w:hAnsi="Palatino Linotype" w:cs="Palatino Linotype"/>
          <w:color w:val="000000"/>
        </w:rPr>
        <w:t>. Debiendo asentarse dentro del Acuerdo de Clasificación debidamente fundado y motivado, observando lo dispuesto por los artículos 49, fracción VIII, 122, 130, 132, fracciones I, II y III, 143 en su fracción primera y 149 de la Ley de Transparencia y Acceso a la Información Pública del Estado de México y Municipios en vigor Lineamientos Cuarto al Octavo, Décimo, Décimo Primero, Quincuagésimo y Quincuagésimo Tercero de los Lineamientos Generales en materia de Clasificación y Desclasificación de la Información, así como para la elaboración de Versiones Públicas, que literalmente expresan:</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Los Comités de Transparencia tendrán las siguientes atribuciones:</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VIII. Aprobar, modificar o revocar la clasificación de la información;</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122.</w:t>
      </w:r>
      <w:r>
        <w:rPr>
          <w:rFonts w:ascii="Palatino Linotype" w:eastAsia="Palatino Linotype" w:hAnsi="Palatino Linotype" w:cs="Palatino Linotype"/>
          <w:i/>
          <w:iCs/>
        </w:rPr>
        <w:t xml:space="preserve"> La clasificación es el proceso mediante el cual el sujeto obligado determina que la información en su poder actualiza alguno de los supuestos de reserva o confidencialidad, de conformidad con lo dispuesto en el presente título.</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supuestos de reserva o confidencialidad previstos en las leyes deberán ser acordes con las bases, principios y disposiciones establecidos en la Ley General y, en ningún caso, podrán contravenirla.</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titulares de las áreas de los sujetos obligados serán los responsables de clasificar la información, de conformidad con lo dispuesto en la presente Ley y demás disposiciones jurídicas aplicables.</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130.</w:t>
      </w:r>
      <w:r>
        <w:rPr>
          <w:rFonts w:ascii="Palatino Linotype" w:eastAsia="Palatino Linotype" w:hAnsi="Palatino Linotype" w:cs="Palatino Linotype"/>
          <w:i/>
          <w:iCs/>
        </w:rPr>
        <w:t xml:space="preserve"> 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Artículo 132. La clasificación de la información se llevará a cabo en el momento en que:</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 Se reciba una solicitud de acceso a la información;</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II. Se determine mediante resolución de autoridad competente; o</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III. Se generen versiones públicas para dar cumplimiento a las obligaciones de transparencia previstas en esta Ley.</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xml:space="preserve"> Para los efectos de esta Ley se considera información confidencial, la clasificada como tal, de manera permanente, por su naturaleza, cuando:</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 Se refiera a la información privada y los datos personales concernientes a una persona física o jurídico colectiva identificada o identificable;</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acuerdo que clasifique la información como confidencial deberá contener un razonamiento lógico en el que demuestre que la información se encuentra en alguna o algunas de las hipótesis previstas en la presente Ley.”</w:t>
      </w:r>
    </w:p>
    <w:p w:rsidR="00FB4067" w:rsidRDefault="00FB4067">
      <w:pPr>
        <w:spacing w:line="276" w:lineRule="auto"/>
        <w:ind w:right="-847"/>
        <w:jc w:val="both"/>
        <w:rPr>
          <w:rFonts w:ascii="Palatino Linotype" w:eastAsia="Palatino Linotype" w:hAnsi="Palatino Linotype" w:cs="Palatino Linotype"/>
          <w:i/>
          <w:iCs/>
        </w:rPr>
      </w:pPr>
    </w:p>
    <w:p w:rsidR="00FB4067" w:rsidRDefault="00F27BAE">
      <w:pPr>
        <w:numPr>
          <w:ilvl w:val="0"/>
          <w:numId w:val="10"/>
        </w:numPr>
        <w:pBdr>
          <w:top w:val="nil"/>
          <w:left w:val="nil"/>
          <w:bottom w:val="nil"/>
          <w:right w:val="nil"/>
          <w:between w:val="nil"/>
        </w:pBdr>
        <w:spacing w:line="276"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Lineamientos Generales en materia de Clasificación y Desclasificación de la Información, así como para la elaboración de Versiones Públicas vigentes a la fecha de la solicitud.</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Cuarto.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deberán aplicar, de manera estricta, las excepciones al derecho de acceso a la información y sólo podrán invocarlas cuando acrediten su procedencia.</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Quinto.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Séptimo. La clasificación de la información se llevará a cabo en el momento en que:</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 Se reciba una solicitud de acceso a la información;</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II. Se determine mediante resolución de autoridad competente, o</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III. Se generen versiones públicas para dar cumplimiento a las obligaciones de transparencia previstas en la Ley General, la Ley Federal y las correspondientes de las entidades federativas.</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titulares de las áreas deberán revisar la clasificación al momento de la recepción de una solicitud de acceso a la información, para verificar si encuadra en una causal de reserva o de confidencialidad.</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Octavo. Para fundar la clasificación de la información se debe señalar el artículo, fracción, inciso, párrafo o numeral de la ley o tratado internacional suscrito por el Estado mexicano que expresamente le otorga el carácter de reservada o confidencial.</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motivar la clasificación se deberán señalar las razones o circunstancias especiales que lo llevaron a concluir que el caso particular se ajusta al supuesto previsto por la norma legal invocada como fundamento.</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En caso de referirse a información reservada, la motivación de la clasificación también deberá comprender las circunstancias que justifican el establecimiento de determinado plazo de reserva.</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contenidos en los archivos históricos y los identificados como históricos confidenciales no serán susceptibles de clasificación como reservados.</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Décimo.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En ausencia de los titulares de las áreas, la información será clasificada o desclasificada por la persona que lo supla, en términos de la normativa que rija la actuación del sujeto obligado.</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Décimo primero.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FB4067" w:rsidRDefault="00FB4067">
      <w:pPr>
        <w:spacing w:line="360" w:lineRule="auto"/>
        <w:ind w:left="567" w:right="-847"/>
        <w:jc w:val="both"/>
        <w:rPr>
          <w:rFonts w:ascii="Palatino Linotype" w:eastAsia="Palatino Linotype" w:hAnsi="Palatino Linotype" w:cs="Palatino Linotype"/>
          <w:i/>
          <w:iCs/>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advierte dicho Acuerdo debe exponer de manera clara las razones por las que se encuadra en los supuestos de clasificación de la información, de conformidad con en el artículo 135 de la Ley de Transparencia y Acceso a la Información del Estado de México y Municipios en relación con el Numeral Octavo de los Lineamientos Generales en Materia de Clasificación y Desclasificación de la información, así como para la elaboración de </w:t>
      </w:r>
      <w:r>
        <w:rPr>
          <w:rFonts w:ascii="Palatino Linotype" w:eastAsia="Palatino Linotype" w:hAnsi="Palatino Linotype" w:cs="Palatino Linotype"/>
          <w:color w:val="000000"/>
        </w:rPr>
        <w:lastRenderedPageBreak/>
        <w:t>Versiones Públicas vigentes a la fecha de la solicitud,  los cuales para mayor referencia en la parte que nos interesa, señalan:</w:t>
      </w:r>
    </w:p>
    <w:p w:rsidR="00FB4067" w:rsidRDefault="00F27BAE">
      <w:pPr>
        <w:spacing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135.</w:t>
      </w:r>
      <w:r>
        <w:rPr>
          <w:rFonts w:ascii="Palatino Linotype" w:eastAsia="Palatino Linotype" w:hAnsi="Palatino Linotype" w:cs="Palatino Linotype"/>
          <w:i/>
          <w:iCs/>
        </w:rPr>
        <w:t xml:space="preserve"> Los lineamientos generales que se emitan al respecto en materia de clasificación de la información reservada y confidencial y, para la elaboración de versiones públicas, serán de observancia obligatoria para los sujetos obligados…”</w:t>
      </w: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B4067">
      <w:pPr>
        <w:spacing w:line="276" w:lineRule="auto"/>
        <w:ind w:left="567" w:right="-847"/>
        <w:jc w:val="both"/>
        <w:rPr>
          <w:rFonts w:ascii="Palatino Linotype" w:eastAsia="Palatino Linotype" w:hAnsi="Palatino Linotype" w:cs="Palatino Linotype"/>
          <w:i/>
          <w:iCs/>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tal virtud, el acuerdo emitido por el Comité de Transparencia, en términos de los artículos 122, 132  y 143 fracción I  de la  Ley de Transparencia y Acceso a la Información Pública del Estado de México y Municipios, deberá contener un razonamiento lógico, acorde a lo previsto  en los ordenamientos jurídicos en la Materia, que permita conocer al particular las condiciones y circunstancias que determinaron negar el acceso a la información; a través de la adecuada fundamentación y motivación, en el entendido de que, todo acto que la autoridad pronuncie en el ejercicio de sus atribuciones, debe expresar los fundamentos legales que le dieron origen y las razones por las que se deben aplicar al caso concreto.</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decir, el acuerdo deberá contener un razonamiento lógico con el que se demuestre que la información solicitada por la parte Recurrente se encuentra en alguna de las hipótesis que contempla la misma ley; toda vez que de acuerdo con la referida Ley la carga de la prueba para justificar toda negativa de acceso a la información por actualizarse cualquiera de los supuestos previstos en la Ley, corresponde a los Sujetos Obligados fundando y motivando debidamente la clasificación.</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Respecto de la fundamentación y motivación, debe recordarse que la primera de ellas consiste en la expresión de los dispositivos jurídicos en los que se </w:t>
      </w:r>
      <w:r>
        <w:rPr>
          <w:rFonts w:ascii="Palatino Linotype" w:eastAsia="Palatino Linotype" w:hAnsi="Palatino Linotype" w:cs="Palatino Linotype"/>
        </w:rPr>
        <w:t>sustentan</w:t>
      </w:r>
      <w:r>
        <w:rPr>
          <w:rFonts w:ascii="Palatino Linotype" w:eastAsia="Palatino Linotype" w:hAnsi="Palatino Linotype" w:cs="Palatino Linotype"/>
          <w:color w:val="000000"/>
        </w:rPr>
        <w:t xml:space="preserve"> los supuestos </w:t>
      </w:r>
      <w:r>
        <w:rPr>
          <w:rFonts w:ascii="Palatino Linotype" w:eastAsia="Palatino Linotype" w:hAnsi="Palatino Linotype" w:cs="Palatino Linotype"/>
          <w:color w:val="000000"/>
        </w:rPr>
        <w:lastRenderedPageBreak/>
        <w:t>propios del asunto; y por motivación el señalamiento de las causas inmediatas, las razones específicas y los motivos particulares que se tomaron en consideración para llegar a la determinación obtenida, debiendo existir además una correspondencia lógica entre ambos supuestos.</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Sirven de sustento a lo anterior las tesis jurisprudenciales número I.4º.A. J/43 y VI. 2º. J/43, publicadas en el Semanario Judicial de la Federación y su Gaceta, bajo el número de registro 175,082 y 203,143, respectivamente, cuyo texto y sentido literal es el siguiente:</w:t>
      </w:r>
    </w:p>
    <w:p w:rsidR="00FB4067" w:rsidRDefault="00F27BAE">
      <w:pPr>
        <w:pBdr>
          <w:top w:val="nil"/>
          <w:left w:val="nil"/>
          <w:bottom w:val="nil"/>
          <w:right w:val="nil"/>
          <w:between w:val="nil"/>
        </w:pBdr>
        <w:spacing w:line="276" w:lineRule="auto"/>
        <w:ind w:left="567" w:right="-84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FUNDAMENTACIÓN Y MOTIVACIÓN. EL ASPECTO FORMAL DE LA GARANTÍA Y SU FINALIDAD SE TRADUCEN EN EXPLICAR, JUSTIFICAR, POSIBILITAR LA DEFENSA Y COMUNICAR LA DECISIÓN.</w:t>
      </w:r>
      <w:r>
        <w:rPr>
          <w:rFonts w:ascii="Palatino Linotype" w:eastAsia="Palatino Linotype" w:hAnsi="Palatino Linotype" w:cs="Palatino Linotype"/>
          <w:i/>
          <w:iCs/>
          <w:color w:val="000000"/>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FB4067" w:rsidRDefault="00FB4067">
      <w:pPr>
        <w:pBdr>
          <w:top w:val="nil"/>
          <w:left w:val="nil"/>
          <w:bottom w:val="nil"/>
          <w:right w:val="nil"/>
          <w:between w:val="nil"/>
        </w:pBdr>
        <w:spacing w:line="276" w:lineRule="auto"/>
        <w:ind w:left="567" w:right="-847"/>
        <w:jc w:val="both"/>
        <w:rPr>
          <w:rFonts w:ascii="Palatino Linotype" w:eastAsia="Palatino Linotype" w:hAnsi="Palatino Linotype" w:cs="Palatino Linotype"/>
          <w:color w:val="000000"/>
        </w:rPr>
      </w:pPr>
    </w:p>
    <w:p w:rsidR="00FB4067" w:rsidRDefault="00F27BAE">
      <w:pPr>
        <w:pBdr>
          <w:top w:val="nil"/>
          <w:left w:val="nil"/>
          <w:bottom w:val="nil"/>
          <w:right w:val="nil"/>
          <w:between w:val="nil"/>
        </w:pBdr>
        <w:spacing w:line="276" w:lineRule="auto"/>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rPr>
        <w:t>FUNDAMENTACIÓN</w:t>
      </w:r>
      <w:r>
        <w:rPr>
          <w:rFonts w:ascii="Palatino Linotype" w:eastAsia="Palatino Linotype" w:hAnsi="Palatino Linotype" w:cs="Palatino Linotype"/>
          <w:b/>
          <w:bCs/>
          <w:i/>
          <w:iCs/>
          <w:color w:val="000000"/>
        </w:rPr>
        <w:t xml:space="preserve"> Y </w:t>
      </w:r>
      <w:r>
        <w:rPr>
          <w:rFonts w:ascii="Palatino Linotype" w:eastAsia="Palatino Linotype" w:hAnsi="Palatino Linotype" w:cs="Palatino Linotype"/>
          <w:b/>
          <w:bCs/>
          <w:i/>
          <w:iCs/>
        </w:rPr>
        <w:t>MOTIVACIÓN</w:t>
      </w:r>
      <w:r>
        <w:rPr>
          <w:rFonts w:ascii="Palatino Linotype" w:eastAsia="Palatino Linotype" w:hAnsi="Palatino Linotype" w:cs="Palatino Linotype"/>
          <w:b/>
          <w:bCs/>
          <w:i/>
          <w:iCs/>
          <w:color w:val="000000"/>
        </w:rPr>
        <w:t>.</w:t>
      </w:r>
      <w:r>
        <w:rPr>
          <w:rFonts w:ascii="Palatino Linotype" w:eastAsia="Palatino Linotype" w:hAnsi="Palatino Linotype" w:cs="Palatino Linotype"/>
          <w:i/>
          <w:iCs/>
          <w:color w:val="000000"/>
        </w:rPr>
        <w:t xml:space="preserve"> La debida fundamentación y motivación legal, deben entenderse, por lo primero, la cita del precepto legal aplicable al caso, y por lo segundo, </w:t>
      </w:r>
      <w:r>
        <w:rPr>
          <w:rFonts w:ascii="Palatino Linotype" w:eastAsia="Palatino Linotype" w:hAnsi="Palatino Linotype" w:cs="Palatino Linotype"/>
          <w:i/>
          <w:iCs/>
          <w:color w:val="000000"/>
        </w:rPr>
        <w:lastRenderedPageBreak/>
        <w:t xml:space="preserve">las razones, motivos o circunstancias especiales que llevaron a la autoridad a concluir que el caso particular encuadra en el supuesto previsto por la norma legal invocada como fundamento.” </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elementos mencionados debieron ser considerados para la emisión del Acuerdo de Clasificación del Comité de Transparencia mediante el cual se aprobó </w:t>
      </w:r>
      <w:r w:rsidR="00F32B99">
        <w:rPr>
          <w:rFonts w:ascii="Palatino Linotype" w:eastAsia="Palatino Linotype" w:hAnsi="Palatino Linotype" w:cs="Palatino Linotype"/>
          <w:color w:val="000000"/>
        </w:rPr>
        <w:t>la versión pública de las documentales entregada</w:t>
      </w:r>
      <w:r>
        <w:rPr>
          <w:rFonts w:ascii="Palatino Linotype" w:eastAsia="Palatino Linotype" w:hAnsi="Palatino Linotype" w:cs="Palatino Linotype"/>
          <w:color w:val="000000"/>
        </w:rPr>
        <w:t xml:space="preserve"> en respuesta.</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Dicho lo anterior, es necesario reiterar que las documentales remitidas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fueron remitidas en versión pública, por tanto se procederá a analizar los datos que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clasificó como confidenciales. </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5"/>
        </w:num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Nombre de servidores públicos presuntamente responsables</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es importante mencionar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los nombres de servidores públicos, ya que la difusión de dicho dato constituye una obligación de transparencia por parte de los sujetos obligados.</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toma sustento con el artículo 70, fracción VII, de la Ley General de Transparencia y Acceso a la Información Pública y el 92, fracción VII, de la Ley de Transparencia y Acceso a la Información Pública del Estado de México y Municipios, </w:t>
      </w:r>
      <w:r>
        <w:rPr>
          <w:rFonts w:ascii="Palatino Linotype" w:eastAsia="Palatino Linotype" w:hAnsi="Palatino Linotype" w:cs="Palatino Linotype"/>
          <w:color w:val="000000"/>
        </w:rPr>
        <w:lastRenderedPageBreak/>
        <w:t xml:space="preserve">establece que los sujetos obligados tienen la obligación de poner a disposición del público y mantener actualizada de acuerdo con sus facultades, atribuciones, funciones u objeto social, según corresponda el directorio, que deberá incluir al menos, entre otros datos, </w:t>
      </w:r>
      <w:r>
        <w:rPr>
          <w:rFonts w:ascii="Palatino Linotype" w:eastAsia="Palatino Linotype" w:hAnsi="Palatino Linotype" w:cs="Palatino Linotype"/>
          <w:b/>
          <w:bCs/>
          <w:color w:val="000000"/>
        </w:rPr>
        <w:t>el nombre del servidor público.</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obstante, si los nombres, se encuentran dentro de expedientes como autoridad presuntamente responsables y haya sido absueltos como en el presente caso, se procederá a clasificar como confidencial el nombre y cargo del servidor público, al poder causar un perjuicio a la vida privada de estos, por lo tanto, procede la clasificación en términos del artículo 143, fracción I, de la Ley Local.</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5"/>
        </w:numPr>
        <w:pBdr>
          <w:top w:val="nil"/>
          <w:left w:val="nil"/>
          <w:bottom w:val="nil"/>
          <w:right w:val="nil"/>
          <w:between w:val="nil"/>
        </w:pBdr>
        <w:spacing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Nombre de Particulares</w:t>
      </w: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Al respecto, se considera que el nombre de una persona se integra con el sustantivo propio y el primer apellido de los padres, en el orden que, de común acuerdo determinen; asimismo es la manifestación principal del derecho subjetivo a la personalidad y atributo de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en términos del artículo 2.3 del Código Civil del Estado de México, de tal suerte, el nombre </w:t>
      </w:r>
      <w:r>
        <w:rPr>
          <w:rFonts w:ascii="Palatino Linotype" w:eastAsia="Palatino Linotype" w:hAnsi="Palatino Linotype" w:cs="Palatino Linotype"/>
          <w:i/>
          <w:iCs/>
          <w:color w:val="000000"/>
        </w:rPr>
        <w:t>per se</w:t>
      </w:r>
      <w:r>
        <w:rPr>
          <w:rFonts w:ascii="Palatino Linotype" w:eastAsia="Palatino Linotype" w:hAnsi="Palatino Linotype" w:cs="Palatino Linotype"/>
          <w:color w:val="000000"/>
        </w:rPr>
        <w:t xml:space="preserve"> es un elemento que hace a una persona física identificada o identificable, por lo que, </w:t>
      </w:r>
      <w:r>
        <w:rPr>
          <w:rFonts w:ascii="Palatino Linotype" w:eastAsia="Palatino Linotype" w:hAnsi="Palatino Linotype" w:cs="Palatino Linotype"/>
          <w:b/>
          <w:bCs/>
          <w:color w:val="000000"/>
        </w:rPr>
        <w:t>se considera un dato personal.</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p>
    <w:p w:rsidR="00FB4067" w:rsidRDefault="00F27BAE">
      <w:pPr>
        <w:numPr>
          <w:ilvl w:val="0"/>
          <w:numId w:val="10"/>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el presente caso, es de referir que el nombre corresponde a una persona particular y que no tiene relación alguna con el Ayuntamiento, por lo que, se considera que el dato actualiza la causal de clasificación, establecida en el artículo 143, fracción I, de la Ley de la materia.</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5"/>
        </w:num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Domicilio particular</w:t>
      </w:r>
    </w:p>
    <w:p w:rsidR="00FB4067" w:rsidRDefault="00F27BAE">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56. </w:t>
      </w:r>
      <w:r>
        <w:rPr>
          <w:rFonts w:ascii="Palatino Linotype" w:eastAsia="Palatino Linotype" w:hAnsi="Palatino Linotype" w:cs="Palatino Linotype"/>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57. </w:t>
      </w:r>
      <w:r>
        <w:rPr>
          <w:rFonts w:ascii="Palatino Linotype" w:eastAsia="Palatino Linotype" w:hAnsi="Palatino Linotype" w:cs="Palatino Linotype"/>
          <w:color w:val="000000"/>
        </w:rPr>
        <w:t>De la misma manera, lo establece el artículo 29 del Código Civil Federal, al precisar que el domicilio de personas físicas</w:t>
      </w:r>
      <w:r>
        <w:rPr>
          <w:rFonts w:ascii="Palatino Linotype" w:eastAsia="Palatino Linotype" w:hAnsi="Palatino Linotype" w:cs="Palatino Linotype"/>
          <w:b/>
          <w:bCs/>
          <w:color w:val="000000"/>
        </w:rPr>
        <w:t>, es el lugar donde residen habitualmente, el lugar del centro principal de sus negocios, donde residan o el lugar donde se encuentren.</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misma suerte corre el comprobante de domicilio, pues mediante este se acredita que la servidora pública vive donde señala en los documentos que entrega;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lo tanto, se actualiza la clasificación del domicilio y su comprobante, de conformidad con la fracción I, del artículo 143 de la Ley de Transparencia y Acceso a la Información Pública del Estado de México y Municipios</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5"/>
        </w:numPr>
        <w:pBdr>
          <w:top w:val="nil"/>
          <w:left w:val="nil"/>
          <w:bottom w:val="nil"/>
          <w:right w:val="nil"/>
          <w:between w:val="nil"/>
        </w:pBdr>
        <w:spacing w:line="360" w:lineRule="auto"/>
        <w:ind w:right="-847"/>
        <w:jc w:val="both"/>
        <w:rPr>
          <w:rFonts w:ascii="Palatino Linotype" w:eastAsia="Palatino Linotype" w:hAnsi="Palatino Linotype" w:cs="Palatino Linotype"/>
          <w:b/>
          <w:bCs/>
          <w:color w:val="0D0D0D"/>
        </w:rPr>
      </w:pPr>
      <w:r>
        <w:rPr>
          <w:rFonts w:ascii="Palatino Linotype" w:eastAsia="Palatino Linotype" w:hAnsi="Palatino Linotype" w:cs="Palatino Linotype"/>
          <w:b/>
          <w:bCs/>
          <w:color w:val="0D0D0D"/>
        </w:rPr>
        <w:t>Firma de servidores públicos y particulares</w:t>
      </w:r>
    </w:p>
    <w:p w:rsidR="00FB4067" w:rsidRDefault="00F27BAE">
      <w:pPr>
        <w:spacing w:line="360" w:lineRule="auto"/>
        <w:ind w:right="-847"/>
        <w:jc w:val="both"/>
        <w:rPr>
          <w:rFonts w:ascii="Palatino Linotype" w:eastAsia="Palatino Linotype" w:hAnsi="Palatino Linotype" w:cs="Palatino Linotype"/>
          <w:b/>
          <w:bCs/>
          <w:color w:val="0D0D0D"/>
        </w:rPr>
      </w:pPr>
      <w:r>
        <w:rPr>
          <w:rFonts w:ascii="Palatino Linotype" w:eastAsia="Palatino Linotype" w:hAnsi="Palatino Linotype" w:cs="Palatino Linotype"/>
          <w:b/>
          <w:bCs/>
          <w:color w:val="0D0D0D"/>
        </w:rPr>
        <w:t>Particulares</w:t>
      </w: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principio, cabe señalar que la firma corresponde </w:t>
      </w:r>
      <w:r>
        <w:rPr>
          <w:rFonts w:ascii="Palatino Linotype" w:eastAsia="Palatino Linotype" w:hAnsi="Palatino Linotype" w:cs="Palatino Linotype"/>
        </w:rPr>
        <w:t>a aquellas</w:t>
      </w:r>
      <w:r>
        <w:rPr>
          <w:rFonts w:ascii="Palatino Linotype" w:eastAsia="Palatino Linotype" w:hAnsi="Palatino Linotype" w:cs="Palatino Linotype"/>
          <w:color w:val="000000"/>
        </w:rPr>
        <w:t xml:space="preserve"> personas físicas que interpusieron los escritos de queja, por lo que, no se trata de empleados o servidores públicos de este, </w:t>
      </w:r>
      <w:r>
        <w:rPr>
          <w:rFonts w:ascii="Palatino Linotype" w:eastAsia="Palatino Linotype" w:hAnsi="Palatino Linotype" w:cs="Palatino Linotype"/>
          <w:b/>
          <w:bCs/>
          <w:color w:val="000000"/>
        </w:rPr>
        <w:t>sino de particulares.</w:t>
      </w:r>
    </w:p>
    <w:p w:rsidR="00FB4067" w:rsidRDefault="00FB4067">
      <w:pPr>
        <w:pBdr>
          <w:top w:val="nil"/>
          <w:left w:val="nil"/>
          <w:bottom w:val="nil"/>
          <w:right w:val="nil"/>
          <w:between w:val="nil"/>
        </w:pBdr>
        <w:tabs>
          <w:tab w:val="left" w:pos="1080"/>
        </w:tabs>
        <w:spacing w:line="360" w:lineRule="auto"/>
        <w:ind w:right="-847"/>
        <w:jc w:val="both"/>
        <w:rPr>
          <w:rFonts w:ascii="Palatino Linotype" w:eastAsia="Palatino Linotype" w:hAnsi="Palatino Linotype" w:cs="Palatino Linotype"/>
          <w:b/>
          <w:bCs/>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ese contexto, la firma es considerada un dato personal, al tratarse de información gráfica a través de la cual su titular exterioriza su voluntad en actos públicos y privados; por lo que, al tratarse de un dato concerniente a una persona física, es considerada confidencial</w:t>
      </w:r>
      <w:r>
        <w:rPr>
          <w:rFonts w:ascii="Palatino Linotype" w:eastAsia="Palatino Linotype" w:hAnsi="Palatino Linotype" w:cs="Palatino Linotype"/>
          <w:b/>
          <w:bCs/>
          <w:color w:val="000000"/>
        </w:rPr>
        <w:t>, ya que también haría identificable a los individuos en cuestión.</w:t>
      </w:r>
    </w:p>
    <w:p w:rsidR="00FB4067" w:rsidRDefault="00FB4067">
      <w:pPr>
        <w:pBdr>
          <w:top w:val="nil"/>
          <w:left w:val="nil"/>
          <w:bottom w:val="nil"/>
          <w:right w:val="nil"/>
          <w:between w:val="nil"/>
        </w:pBdr>
        <w:ind w:left="708" w:right="-847"/>
        <w:jc w:val="both"/>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Además, aún y cuando se encuentra asentada en un documento público, elaborado en ejercicio de las facultades con las que cuenta el Sujeto Obligado, lo cierto es que es un dato que exterioriza su voluntad y aceptación de la información señalada en el Acta. Por lo que, se actualiza la causal de clasificación establecida en el artículo 143, fracción I, de la Ley de Transparencia y Acceso a la Información Pública del Estado de México y Municipios.</w:t>
      </w:r>
    </w:p>
    <w:p w:rsidR="00FB4067" w:rsidRDefault="00FB4067">
      <w:pPr>
        <w:spacing w:line="360" w:lineRule="auto"/>
        <w:ind w:right="-847"/>
        <w:jc w:val="both"/>
        <w:rPr>
          <w:rFonts w:ascii="Palatino Linotype" w:eastAsia="Palatino Linotype" w:hAnsi="Palatino Linotype" w:cs="Palatino Linotype"/>
          <w:b/>
          <w:bCs/>
          <w:color w:val="0D0D0D"/>
        </w:rPr>
      </w:pPr>
    </w:p>
    <w:p w:rsidR="00F32B99" w:rsidRDefault="00F32B99">
      <w:pPr>
        <w:spacing w:line="360" w:lineRule="auto"/>
        <w:ind w:right="-847"/>
        <w:jc w:val="both"/>
        <w:rPr>
          <w:rFonts w:ascii="Palatino Linotype" w:eastAsia="Palatino Linotype" w:hAnsi="Palatino Linotype" w:cs="Palatino Linotype"/>
          <w:b/>
          <w:bCs/>
          <w:color w:val="0D0D0D"/>
        </w:rPr>
      </w:pPr>
    </w:p>
    <w:p w:rsidR="00F32B99" w:rsidRDefault="00F32B99">
      <w:pPr>
        <w:spacing w:line="360" w:lineRule="auto"/>
        <w:ind w:right="-847"/>
        <w:jc w:val="both"/>
        <w:rPr>
          <w:rFonts w:ascii="Palatino Linotype" w:eastAsia="Palatino Linotype" w:hAnsi="Palatino Linotype" w:cs="Palatino Linotype"/>
          <w:b/>
          <w:bCs/>
          <w:color w:val="0D0D0D"/>
        </w:rPr>
      </w:pPr>
    </w:p>
    <w:p w:rsidR="00FB4067" w:rsidRDefault="00F27BAE">
      <w:pPr>
        <w:numPr>
          <w:ilvl w:val="0"/>
          <w:numId w:val="5"/>
        </w:num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Firma de servidores públicos</w:t>
      </w: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cabe precisar que, en el presente caso, la firma de servidores públicos que fueron testados, son de los que se encuentran como autoridades presuntamente responsables, por actos u omisiones de naturaleza administrativa; por lo que, si bien la firma del servidor público, es de naturaleza pública, toda vez que lo vinculada al ejercicio de la función pública y documenta y rinde cuentas sobre el debido ejercicio de sus atribuciones, en el presente caso no acontece, toda vez que no están ejerciendo un acto de autoridad; por el contrario se encuentran relacionados con un expediente de queja como autoridad presuntamente responsable, por tanto procede su clasificación conforme a lo expuesto, en términos del artículo 143, fracción I de la Ley de Transparencia y Acceso a la Información Pública del Estado de México y Municipios.</w:t>
      </w:r>
    </w:p>
    <w:p w:rsidR="00FB4067" w:rsidRDefault="00F27BAE">
      <w:pPr>
        <w:numPr>
          <w:ilvl w:val="0"/>
          <w:numId w:val="5"/>
        </w:numPr>
        <w:pBdr>
          <w:top w:val="nil"/>
          <w:left w:val="nil"/>
          <w:bottom w:val="nil"/>
          <w:right w:val="nil"/>
          <w:between w:val="nil"/>
        </w:pBdr>
        <w:spacing w:before="240" w:after="240"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Teléfono particular</w:t>
      </w:r>
      <w:r>
        <w:rPr>
          <w:rFonts w:ascii="Palatino Linotype" w:eastAsia="Palatino Linotype" w:hAnsi="Palatino Linotype" w:cs="Palatino Linotype"/>
          <w:color w:val="000000"/>
        </w:rPr>
        <w:t xml:space="preserve">. </w:t>
      </w:r>
    </w:p>
    <w:p w:rsidR="00FB4067" w:rsidRDefault="00F27BAE">
      <w:pPr>
        <w:numPr>
          <w:ilvl w:val="0"/>
          <w:numId w:val="6"/>
        </w:numPr>
        <w:pBdr>
          <w:top w:val="nil"/>
          <w:left w:val="nil"/>
          <w:bottom w:val="nil"/>
          <w:right w:val="nil"/>
          <w:between w:val="nil"/>
        </w:pBdr>
        <w:spacing w:before="240" w:after="240"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Constituye un medio para comunicarse con una persona física identificada o identificable, por lo que la hace localizable. Por lo tanto, se trata de información que al darse a conocer afectaría la intimidad de la persona respectiva, siendo susceptible de clasificarse como información confidencial de conformidad con la fracción I, del artículo 143 de la Ley de Transparencia y Acceso a la Información Pública del Estado de México y Municipios. </w:t>
      </w:r>
    </w:p>
    <w:p w:rsidR="00FB4067" w:rsidRDefault="00F27BAE">
      <w:pPr>
        <w:pStyle w:val="Ttulo3"/>
        <w:numPr>
          <w:ilvl w:val="0"/>
          <w:numId w:val="7"/>
        </w:numPr>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de empleados.</w:t>
      </w:r>
    </w:p>
    <w:p w:rsidR="00FB4067" w:rsidRDefault="00F27BAE">
      <w:pPr>
        <w:numPr>
          <w:ilvl w:val="0"/>
          <w:numId w:val="6"/>
        </w:numPr>
        <w:pBdr>
          <w:top w:val="nil"/>
          <w:left w:val="nil"/>
          <w:bottom w:val="nil"/>
          <w:right w:val="nil"/>
          <w:between w:val="nil"/>
        </w:pBdr>
        <w:shd w:val="clear" w:color="auto" w:fill="FFFFFF"/>
        <w:spacing w:before="240" w:after="240" w:line="360" w:lineRule="auto"/>
        <w:ind w:left="0" w:right="-84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El número de empleado de los servidores públicos del Ayuntamiento son asignados por el Departamento de Recursos Humanos o equivalente y se trata de un código identificador para uso exclusivo del empleado que, de vincularse y relacionarse al RFC lo </w:t>
      </w:r>
      <w:r>
        <w:rPr>
          <w:rFonts w:ascii="Palatino Linotype" w:eastAsia="Palatino Linotype" w:hAnsi="Palatino Linotype" w:cs="Palatino Linotype"/>
          <w:color w:val="000000"/>
        </w:rPr>
        <w:lastRenderedPageBreak/>
        <w:t>hace identificable plenamente y, con los mismos se puede tener acceso a diversa información, inclusive con sus datos personales.</w:t>
      </w:r>
    </w:p>
    <w:p w:rsidR="00FB4067" w:rsidRDefault="00F27BAE">
      <w:pPr>
        <w:numPr>
          <w:ilvl w:val="0"/>
          <w:numId w:val="6"/>
        </w:numPr>
        <w:pBdr>
          <w:top w:val="nil"/>
          <w:left w:val="nil"/>
          <w:bottom w:val="nil"/>
          <w:right w:val="nil"/>
          <w:between w:val="nil"/>
        </w:pBdr>
        <w:shd w:val="clear" w:color="auto" w:fill="FFFFFF"/>
        <w:spacing w:before="240" w:after="240" w:line="360" w:lineRule="auto"/>
        <w:ind w:left="0" w:right="-84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FB4067" w:rsidRDefault="00F27BAE">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Número de empleado.</w:t>
      </w:r>
      <w:r>
        <w:rPr>
          <w:rFonts w:ascii="Palatino Linotype" w:eastAsia="Palatino Linotype" w:hAnsi="Palatino Linotype" w:cs="Palatino Linotype"/>
          <w:i/>
          <w:iCs/>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FB4067" w:rsidRDefault="00FB4067">
      <w:pPr>
        <w:pBdr>
          <w:top w:val="nil"/>
          <w:left w:val="nil"/>
          <w:bottom w:val="nil"/>
          <w:right w:val="nil"/>
          <w:between w:val="nil"/>
        </w:pBdr>
        <w:ind w:left="567" w:right="-847"/>
        <w:jc w:val="both"/>
        <w:rPr>
          <w:rFonts w:ascii="Palatino Linotype" w:eastAsia="Palatino Linotype" w:hAnsi="Palatino Linotype" w:cs="Palatino Linotype"/>
          <w:i/>
          <w:iCs/>
        </w:rPr>
      </w:pPr>
    </w:p>
    <w:p w:rsidR="00FB4067" w:rsidRDefault="00F27BAE">
      <w:pPr>
        <w:numPr>
          <w:ilvl w:val="0"/>
          <w:numId w:val="6"/>
        </w:numPr>
        <w:pBdr>
          <w:top w:val="nil"/>
          <w:left w:val="nil"/>
          <w:bottom w:val="nil"/>
          <w:right w:val="nil"/>
          <w:between w:val="nil"/>
        </w:pBdr>
        <w:shd w:val="clear" w:color="auto" w:fill="FFFFFF"/>
        <w:spacing w:before="240" w:after="240" w:line="360" w:lineRule="auto"/>
        <w:ind w:left="0" w:right="-84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FB4067" w:rsidRDefault="00F27BAE">
      <w:pPr>
        <w:pStyle w:val="Ttulo3"/>
        <w:numPr>
          <w:ilvl w:val="0"/>
          <w:numId w:val="7"/>
        </w:numPr>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ISSEMyM</w:t>
      </w:r>
    </w:p>
    <w:p w:rsidR="00FB4067" w:rsidRDefault="00F27BAE">
      <w:pPr>
        <w:numPr>
          <w:ilvl w:val="0"/>
          <w:numId w:val="6"/>
        </w:numPr>
        <w:pBdr>
          <w:top w:val="nil"/>
          <w:left w:val="nil"/>
          <w:bottom w:val="nil"/>
          <w:right w:val="nil"/>
          <w:between w:val="nil"/>
        </w:pBdr>
        <w:shd w:val="clear" w:color="auto" w:fill="FFFFFF"/>
        <w:spacing w:before="240" w:after="240" w:line="360" w:lineRule="auto"/>
        <w:ind w:left="0" w:right="-84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FB4067" w:rsidRDefault="00F27BAE">
      <w:pPr>
        <w:numPr>
          <w:ilvl w:val="0"/>
          <w:numId w:val="6"/>
        </w:numPr>
        <w:pBdr>
          <w:top w:val="nil"/>
          <w:left w:val="nil"/>
          <w:bottom w:val="nil"/>
          <w:right w:val="nil"/>
          <w:between w:val="nil"/>
        </w:pBdr>
        <w:shd w:val="clear" w:color="auto" w:fill="FFFFFF"/>
        <w:spacing w:before="240" w:after="240" w:line="360" w:lineRule="auto"/>
        <w:ind w:left="0" w:right="-84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lastRenderedPageBreak/>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FB4067" w:rsidRDefault="00F27BAE">
      <w:pPr>
        <w:numPr>
          <w:ilvl w:val="0"/>
          <w:numId w:val="6"/>
        </w:numPr>
        <w:pBdr>
          <w:top w:val="nil"/>
          <w:left w:val="nil"/>
          <w:bottom w:val="nil"/>
          <w:right w:val="nil"/>
          <w:between w:val="nil"/>
        </w:pBdr>
        <w:shd w:val="clear" w:color="auto" w:fill="FFFFFF"/>
        <w:spacing w:before="240" w:after="240" w:line="360" w:lineRule="auto"/>
        <w:ind w:left="0" w:right="-84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FB4067" w:rsidRDefault="00F27BAE">
      <w:pPr>
        <w:numPr>
          <w:ilvl w:val="0"/>
          <w:numId w:val="5"/>
        </w:numPr>
        <w:pBdr>
          <w:top w:val="nil"/>
          <w:left w:val="nil"/>
          <w:bottom w:val="nil"/>
          <w:right w:val="nil"/>
          <w:between w:val="nil"/>
        </w:pBdr>
        <w:shd w:val="clear" w:color="auto" w:fill="FFFFFF"/>
        <w:ind w:right="-847"/>
        <w:rPr>
          <w:rFonts w:ascii="Century Gothic" w:eastAsia="Century Gothic" w:hAnsi="Century Gothic" w:cs="Century Gothic"/>
          <w:color w:val="242424"/>
        </w:rPr>
      </w:pPr>
      <w:r>
        <w:rPr>
          <w:rFonts w:ascii="Palatino Linotype" w:eastAsia="Palatino Linotype" w:hAnsi="Palatino Linotype" w:cs="Palatino Linotype"/>
          <w:b/>
          <w:bCs/>
          <w:color w:val="242424"/>
        </w:rPr>
        <w:t>Del nombre de los policías.</w:t>
      </w: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rPr>
          <w:rFonts w:ascii="Palatino Linotype" w:eastAsia="Palatino Linotype" w:hAnsi="Palatino Linotype" w:cs="Palatino Linotype"/>
          <w:color w:val="242424"/>
        </w:rPr>
      </w:pPr>
      <w:r>
        <w:rPr>
          <w:rFonts w:ascii="Palatino Linotype" w:eastAsia="Palatino Linotype" w:hAnsi="Palatino Linotype" w:cs="Palatino Linotype"/>
          <w:b/>
          <w:bCs/>
          <w:color w:val="242424"/>
        </w:rPr>
        <w:t> </w:t>
      </w:r>
      <w:r>
        <w:rPr>
          <w:rFonts w:ascii="Palatino Linotype" w:eastAsia="Palatino Linotype" w:hAnsi="Palatino Linotype" w:cs="Palatino Linotype"/>
          <w:color w:val="242424"/>
        </w:rPr>
        <w:t>En atención a que se observa que de la información remitida se testó información de los elementos de seguridad pública, es necesario señalar que la entregar de la información referente a tales servidores públicos adquieren una especial naturaleza.</w:t>
      </w:r>
    </w:p>
    <w:p w:rsidR="00FB4067" w:rsidRDefault="00F27BAE">
      <w:pPr>
        <w:pBdr>
          <w:top w:val="nil"/>
          <w:left w:val="nil"/>
          <w:bottom w:val="nil"/>
          <w:right w:val="nil"/>
          <w:between w:val="nil"/>
        </w:pBdr>
        <w:shd w:val="clear" w:color="auto" w:fill="FFFFFF"/>
        <w:spacing w:line="360" w:lineRule="auto"/>
        <w:ind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color w:val="242424"/>
        </w:rPr>
        <w:t> </w:t>
      </w: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 xml:space="preserve">En efecto, este instituto advierte que otorgar acceso al nombre de policías operativos podría comprometer la integridad de los mismos, de conformidad con lo que establece el </w:t>
      </w:r>
      <w:r>
        <w:rPr>
          <w:rFonts w:ascii="Palatino Linotype" w:eastAsia="Palatino Linotype" w:hAnsi="Palatino Linotype" w:cs="Palatino Linotype"/>
          <w:color w:val="242424"/>
        </w:rPr>
        <w:lastRenderedPageBreak/>
        <w:t>artículo 140 de la Ley de Transparencia y Acceso a la Información Pública del Estado de México y Municipios:</w:t>
      </w:r>
    </w:p>
    <w:p w:rsidR="00FB4067" w:rsidRDefault="00F27BAE">
      <w:pPr>
        <w:pBdr>
          <w:top w:val="nil"/>
          <w:left w:val="nil"/>
          <w:bottom w:val="nil"/>
          <w:right w:val="nil"/>
          <w:between w:val="nil"/>
        </w:pBdr>
        <w:shd w:val="clear" w:color="auto" w:fill="FFFFFF"/>
        <w:spacing w:line="360" w:lineRule="auto"/>
        <w:ind w:left="720"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i/>
          <w:iCs/>
          <w:color w:val="242424"/>
        </w:rPr>
        <w:t>“Artículo 140.</w:t>
      </w:r>
      <w:r>
        <w:rPr>
          <w:rFonts w:ascii="Palatino Linotype" w:eastAsia="Palatino Linotype" w:hAnsi="Palatino Linotype" w:cs="Palatino Linotype"/>
          <w:i/>
          <w:iCs/>
          <w:color w:val="242424"/>
        </w:rPr>
        <w:t> El acceso a la información pública será restringido excepcionalmente, cuando por razones de interés público, ésta sea clasificada como reservada, conforme a los criterios siguientes:</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i/>
          <w:iCs/>
          <w:color w:val="242424"/>
        </w:rPr>
        <w:t>I. Comprometa la seguridad pública y cuente con un propósito genuino y un efecto demostrable;</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i/>
          <w:iCs/>
          <w:color w:val="242424"/>
        </w:rPr>
        <w:t>II. Pueda menoscabar la conducción de las negociaciones y relaciones internacionales;</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i/>
          <w:iCs/>
          <w:color w:val="242424"/>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i/>
          <w:iCs/>
          <w:color w:val="242424"/>
        </w:rPr>
        <w:t>IV. Ponga en riesgo la vida, la seguridad o la salud de una persona física;</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i/>
          <w:iCs/>
          <w:color w:val="242424"/>
        </w:rPr>
        <w:t> (…)”</w:t>
      </w:r>
    </w:p>
    <w:p w:rsidR="00FB4067" w:rsidRDefault="00F27BAE">
      <w:pPr>
        <w:pBdr>
          <w:top w:val="nil"/>
          <w:left w:val="nil"/>
          <w:bottom w:val="nil"/>
          <w:right w:val="nil"/>
          <w:between w:val="nil"/>
        </w:pBdr>
        <w:shd w:val="clear" w:color="auto" w:fill="FFFFFF"/>
        <w:ind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color w:val="242424"/>
        </w:rPr>
        <w:t> </w:t>
      </w: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Pr>
          <w:rFonts w:ascii="Palatino Linotype" w:eastAsia="Palatino Linotype" w:hAnsi="Palatino Linotype" w:cs="Palatino Linotype"/>
          <w:b/>
          <w:bCs/>
          <w:color w:val="242424"/>
        </w:rPr>
        <w:t>vulnerar la vida, seguridad o salud de dichos elementos, incluso la de sus familias o entorno social, </w:t>
      </w:r>
      <w:r>
        <w:rPr>
          <w:rFonts w:ascii="Palatino Linotype" w:eastAsia="Palatino Linotype" w:hAnsi="Palatino Linotype" w:cs="Palatino Linotype"/>
          <w:color w:val="242424"/>
        </w:rPr>
        <w:t>además, de que aumenta el riesgo de que personas ajenas a los intereses institucionales e intenten realizar actos tendientes a inhibir o entrometerse en las funciones de los policías municipales, lo cual causaría una vulneración a la seguridad municipal.</w:t>
      </w:r>
    </w:p>
    <w:p w:rsidR="00FB4067" w:rsidRDefault="00FB4067">
      <w:pPr>
        <w:pBdr>
          <w:top w:val="nil"/>
          <w:left w:val="nil"/>
          <w:bottom w:val="nil"/>
          <w:right w:val="nil"/>
          <w:between w:val="nil"/>
        </w:pBdr>
        <w:shd w:val="clear" w:color="auto" w:fill="FFFFFF"/>
        <w:spacing w:line="360" w:lineRule="auto"/>
        <w:ind w:right="-847"/>
        <w:jc w:val="both"/>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En ese sentido, el proporcionar el nombre de los elementos policiales operativos en la nómina general de la Dirección de Seguridad Pública, pone en riesgo de manera directa la vida y la seguridad de dicho servidor, siendo obligación de la Institución protegerla en todo momento para salvaguarda de sus integrantes.</w:t>
      </w: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lastRenderedPageBreak/>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Pr>
          <w:rFonts w:ascii="Palatino Linotype" w:eastAsia="Palatino Linotype" w:hAnsi="Palatino Linotype" w:cs="Palatino Linotype"/>
          <w:b/>
          <w:bCs/>
          <w:color w:val="242424"/>
        </w:rPr>
        <w:t> SUJETO OBLIGADO</w:t>
      </w:r>
      <w:r>
        <w:rPr>
          <w:rFonts w:ascii="Palatino Linotype" w:eastAsia="Palatino Linotype" w:hAnsi="Palatino Linotype" w:cs="Palatino Linotype"/>
          <w:color w:val="242424"/>
        </w:rPr>
        <w:t>, colocando en inminente riesgo la vida de todos los integrantes, menoscabando así las actividades de prevención del delito y combate a la delincuencia.</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 xml:space="preserve">El dar el nombre de los servidores públicos operativos de la Dirección de Seguridad Pública y Vialidad Municipal pone en riesgo sus vidas y seguridad, ya que pueden ser </w:t>
      </w:r>
      <w:r>
        <w:rPr>
          <w:rFonts w:ascii="Palatino Linotype" w:eastAsia="Palatino Linotype" w:hAnsi="Palatino Linotype" w:cs="Palatino Linotype"/>
          <w:color w:val="242424"/>
        </w:rPr>
        <w:lastRenderedPageBreak/>
        <w:t>identificados, provocando que se utilice la información para amenazar, intimidar o extorsionar al integrante.</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lastRenderedPageBreak/>
        <w:t>Por lo que, el derecho a la vida y seguridad nacional tiene una primacía que el derecho al acceso a la información, por lo que el bien jurídico a salvaguardarse primordialmente, es la vida y la seguridad de los servidores públicos encargados de la seguridad pública.</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Al respecto, cabe hacer mención que el artículo 81 fracción III de la Ley de Seguridad del Estado de México, establece lo siguiente:</w:t>
      </w:r>
    </w:p>
    <w:p w:rsidR="00FB4067" w:rsidRDefault="00F27BAE">
      <w:pPr>
        <w:pBdr>
          <w:top w:val="nil"/>
          <w:left w:val="nil"/>
          <w:bottom w:val="nil"/>
          <w:right w:val="nil"/>
          <w:between w:val="nil"/>
        </w:pBdr>
        <w:shd w:val="clear" w:color="auto" w:fill="FFFFFF"/>
        <w:ind w:left="720" w:right="-847"/>
        <w:jc w:val="both"/>
        <w:rPr>
          <w:rFonts w:ascii="Palatino Linotype" w:eastAsia="Palatino Linotype" w:hAnsi="Palatino Linotype" w:cs="Palatino Linotype"/>
          <w:color w:val="242424"/>
        </w:rPr>
      </w:pPr>
      <w:r>
        <w:rPr>
          <w:rFonts w:ascii="Palatino Linotype" w:eastAsia="Palatino Linotype" w:hAnsi="Palatino Linotype" w:cs="Palatino Linotype"/>
          <w:i/>
          <w:iCs/>
          <w:color w:val="242424"/>
        </w:rPr>
        <w:t>“</w:t>
      </w:r>
      <w:r>
        <w:rPr>
          <w:rFonts w:ascii="Palatino Linotype" w:eastAsia="Palatino Linotype" w:hAnsi="Palatino Linotype" w:cs="Palatino Linotype"/>
          <w:b/>
          <w:bCs/>
          <w:i/>
          <w:iCs/>
          <w:color w:val="242424"/>
        </w:rPr>
        <w:t>Artículo 81.-</w:t>
      </w:r>
      <w:r>
        <w:rPr>
          <w:rFonts w:ascii="Palatino Linotype" w:eastAsia="Palatino Linotype" w:hAnsi="Palatino Linotype" w:cs="Palatino Linotype"/>
          <w:i/>
          <w:iCs/>
          <w:color w:val="242424"/>
        </w:rPr>
        <w:t> </w:t>
      </w:r>
      <w:r>
        <w:rPr>
          <w:rFonts w:ascii="Palatino Linotype" w:eastAsia="Palatino Linotype" w:hAnsi="Palatino Linotype" w:cs="Palatino Linotype"/>
          <w:b/>
          <w:bCs/>
          <w:i/>
          <w:iCs/>
          <w:color w:val="242424"/>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Pr>
          <w:rFonts w:ascii="Palatino Linotype" w:eastAsia="Palatino Linotype" w:hAnsi="Palatino Linotype" w:cs="Palatino Linotype"/>
          <w:i/>
          <w:iCs/>
          <w:color w:val="242424"/>
        </w:rPr>
        <w:t> en los casos siguientes:</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i/>
          <w:iCs/>
          <w:color w:val="242424"/>
        </w:rPr>
        <w:t>…</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i/>
          <w:iCs/>
          <w:color w:val="242424"/>
        </w:rPr>
      </w:pPr>
      <w:r>
        <w:rPr>
          <w:rFonts w:ascii="Palatino Linotype" w:eastAsia="Palatino Linotype" w:hAnsi="Palatino Linotype" w:cs="Palatino Linotype"/>
          <w:b/>
          <w:bCs/>
          <w:i/>
          <w:iCs/>
          <w:color w:val="242424"/>
        </w:rPr>
        <w:t>III.</w:t>
      </w:r>
      <w:r>
        <w:rPr>
          <w:rFonts w:ascii="Palatino Linotype" w:eastAsia="Palatino Linotype" w:hAnsi="Palatino Linotype" w:cs="Palatino Linotype"/>
          <w:i/>
          <w:iCs/>
          <w:color w:val="242424"/>
        </w:rPr>
        <w:t> </w:t>
      </w:r>
      <w:r>
        <w:rPr>
          <w:rFonts w:ascii="Palatino Linotype" w:eastAsia="Palatino Linotype" w:hAnsi="Palatino Linotype" w:cs="Palatino Linotype"/>
          <w:b/>
          <w:bCs/>
          <w:i/>
          <w:iCs/>
          <w:color w:val="242424"/>
        </w:rPr>
        <w:t>La relativa a servidores públicos miembros de las instituciones de seguridad pública, cuya revelación pueda poner en riesgo su vida e integridad física con motivo de sus funciones;</w:t>
      </w:r>
      <w:r>
        <w:rPr>
          <w:rFonts w:ascii="Palatino Linotype" w:eastAsia="Palatino Linotype" w:hAnsi="Palatino Linotype" w:cs="Palatino Linotype"/>
          <w:i/>
          <w:iCs/>
          <w:color w:val="242424"/>
        </w:rPr>
        <w:t>”</w:t>
      </w:r>
    </w:p>
    <w:p w:rsidR="00FB4067" w:rsidRDefault="00FB4067">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Argumento que se fortalece con lo estipulado en el criterio número 6-09, del Instituto Nacional de Transparencia, Acceso a la Información y Protección de Datos Personales, antes (INAI)</w:t>
      </w:r>
      <w:r>
        <w:rPr>
          <w:rFonts w:ascii="Palatino Linotype" w:eastAsia="Palatino Linotype" w:hAnsi="Palatino Linotype" w:cs="Palatino Linotype"/>
          <w:b/>
          <w:bCs/>
          <w:color w:val="242424"/>
        </w:rPr>
        <w:t>, </w:t>
      </w:r>
      <w:r>
        <w:rPr>
          <w:rFonts w:ascii="Palatino Linotype" w:eastAsia="Palatino Linotype" w:hAnsi="Palatino Linotype" w:cs="Palatino Linotype"/>
          <w:color w:val="242424"/>
        </w:rPr>
        <w:t>el cual refiere:</w:t>
      </w:r>
    </w:p>
    <w:p w:rsidR="00FB4067" w:rsidRDefault="00F27BAE">
      <w:pPr>
        <w:pBdr>
          <w:top w:val="nil"/>
          <w:left w:val="nil"/>
          <w:bottom w:val="nil"/>
          <w:right w:val="nil"/>
          <w:between w:val="nil"/>
        </w:pBdr>
        <w:shd w:val="clear" w:color="auto" w:fill="FFFFFF"/>
        <w:ind w:left="567" w:right="-847"/>
        <w:jc w:val="center"/>
        <w:rPr>
          <w:rFonts w:ascii="Palatino Linotype" w:eastAsia="Palatino Linotype" w:hAnsi="Palatino Linotype" w:cs="Palatino Linotype"/>
          <w:color w:val="242424"/>
        </w:rPr>
      </w:pPr>
      <w:r>
        <w:rPr>
          <w:rFonts w:ascii="Palatino Linotype" w:eastAsia="Palatino Linotype" w:hAnsi="Palatino Linotype" w:cs="Palatino Linotype"/>
          <w:b/>
          <w:bCs/>
          <w:color w:val="242424"/>
        </w:rPr>
        <w:t> </w:t>
      </w:r>
      <w:r>
        <w:rPr>
          <w:rFonts w:ascii="Palatino Linotype" w:eastAsia="Palatino Linotype" w:hAnsi="Palatino Linotype" w:cs="Palatino Linotype"/>
          <w:b/>
          <w:bCs/>
          <w:i/>
          <w:iCs/>
          <w:color w:val="242424"/>
        </w:rPr>
        <w:t>“Criterio 6-09</w:t>
      </w:r>
    </w:p>
    <w:p w:rsidR="00FB4067" w:rsidRDefault="00F27BAE">
      <w:pPr>
        <w:pBdr>
          <w:top w:val="nil"/>
          <w:left w:val="nil"/>
          <w:bottom w:val="nil"/>
          <w:right w:val="nil"/>
          <w:between w:val="nil"/>
        </w:pBdr>
        <w:shd w:val="clear" w:color="auto" w:fill="FFFFFF"/>
        <w:ind w:left="567"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i/>
          <w:iCs/>
          <w:color w:val="242424"/>
        </w:rPr>
        <w:t>Nombres de servidores públicos dedicados a actividades en materia de seguridad, por excepción pueden considerarse información reservada. </w:t>
      </w:r>
      <w:r>
        <w:rPr>
          <w:rFonts w:ascii="Palatino Linotype" w:eastAsia="Palatino Linotype" w:hAnsi="Palatino Linotype" w:cs="Palatino Linotype"/>
          <w:i/>
          <w:iCs/>
          <w:color w:val="242424"/>
        </w:rPr>
        <w:t>De conformidad con el artículo 7, fracciones I y III de la Ley Federal de Transparencia y Acceso a la Información Pública Gubernamental </w:t>
      </w:r>
      <w:r>
        <w:rPr>
          <w:rFonts w:ascii="Palatino Linotype" w:eastAsia="Palatino Linotype" w:hAnsi="Palatino Linotype" w:cs="Palatino Linotype"/>
          <w:b/>
          <w:bCs/>
          <w:i/>
          <w:iCs/>
          <w:color w:val="242424"/>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Pr>
          <w:rFonts w:ascii="Palatino Linotype" w:eastAsia="Palatino Linotype" w:hAnsi="Palatino Linotype" w:cs="Palatino Linotype"/>
          <w:i/>
          <w:iCs/>
          <w:color w:val="242424"/>
        </w:rPr>
        <w:t xml:space="preserve">. En este sentido, se debe señalar que existen funciones a cargo de servidores públicos, tendientes a garantizar de manera directa la seguridad nacional </w:t>
      </w:r>
      <w:r>
        <w:rPr>
          <w:rFonts w:ascii="Palatino Linotype" w:eastAsia="Palatino Linotype" w:hAnsi="Palatino Linotype" w:cs="Palatino Linotype"/>
          <w:i/>
          <w:iCs/>
          <w:color w:val="242424"/>
        </w:rPr>
        <w:lastRenderedPageBreak/>
        <w:t>y pública, a través de acciones preventivas y correctivas encaminadas a combatir a la delincuencia en sus diferentes manifestaciones. Así, es pertinente señalar que en </w:t>
      </w:r>
      <w:r>
        <w:rPr>
          <w:rFonts w:ascii="Palatino Linotype" w:eastAsia="Palatino Linotype" w:hAnsi="Palatino Linotype" w:cs="Palatino Linotype"/>
          <w:b/>
          <w:bCs/>
          <w:i/>
          <w:iCs/>
          <w:color w:val="242424"/>
        </w:rPr>
        <w:t>el artículo 13, fracción I de la ley de referencia se establece que podrá clasificarse aquella información cuya difusión pueda comprometer la seguridad nacional y pública</w:t>
      </w:r>
      <w:r>
        <w:rPr>
          <w:rFonts w:ascii="Palatino Linotype" w:eastAsia="Palatino Linotype" w:hAnsi="Palatino Linotype" w:cs="Palatino Linotype"/>
          <w:i/>
          <w:iCs/>
          <w:color w:val="242424"/>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Pr>
          <w:rFonts w:ascii="Palatino Linotype" w:eastAsia="Palatino Linotype" w:hAnsi="Palatino Linotype" w:cs="Palatino Linotype"/>
          <w:b/>
          <w:bCs/>
          <w:i/>
          <w:iCs/>
          <w:color w:val="242424"/>
        </w:rPr>
        <w:t>por lo que la reserva de la relación de los nombres y las funciones que desempeñan los servidores públicos que prestan sus servicios en áreas de seguridad nacional o pública</w:t>
      </w:r>
      <w:r>
        <w:rPr>
          <w:rFonts w:ascii="Palatino Linotype" w:eastAsia="Palatino Linotype" w:hAnsi="Palatino Linotype" w:cs="Palatino Linotype"/>
          <w:i/>
          <w:iCs/>
          <w:color w:val="242424"/>
        </w:rPr>
        <w:t>, puede llegar a constituirse en un componente fundamental en el esfuerzo que realiza el Estado Mexicano para garantizar la seguridad del país en sus diferentes vertientes”</w:t>
      </w:r>
    </w:p>
    <w:p w:rsidR="00FB4067" w:rsidRDefault="00F27BAE">
      <w:pPr>
        <w:pBdr>
          <w:top w:val="nil"/>
          <w:left w:val="nil"/>
          <w:bottom w:val="nil"/>
          <w:right w:val="nil"/>
          <w:between w:val="nil"/>
        </w:pBdr>
        <w:shd w:val="clear" w:color="auto" w:fill="FFFFFF"/>
        <w:ind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color w:val="242424"/>
        </w:rPr>
        <w:t> </w:t>
      </w:r>
    </w:p>
    <w:p w:rsidR="00FB4067" w:rsidRDefault="00F27BAE">
      <w:pPr>
        <w:pBdr>
          <w:top w:val="nil"/>
          <w:left w:val="nil"/>
          <w:bottom w:val="nil"/>
          <w:right w:val="nil"/>
          <w:between w:val="nil"/>
        </w:pBdr>
        <w:shd w:val="clear" w:color="auto" w:fill="FFFFFF"/>
        <w:ind w:right="-847"/>
        <w:jc w:val="both"/>
        <w:rPr>
          <w:rFonts w:ascii="Palatino Linotype" w:eastAsia="Palatino Linotype" w:hAnsi="Palatino Linotype" w:cs="Palatino Linotype"/>
          <w:color w:val="242424"/>
        </w:rPr>
      </w:pPr>
      <w:r>
        <w:rPr>
          <w:rFonts w:ascii="Palatino Linotype" w:eastAsia="Palatino Linotype" w:hAnsi="Palatino Linotype" w:cs="Palatino Linotype"/>
          <w:b/>
          <w:bCs/>
          <w:color w:val="242424"/>
        </w:rPr>
        <w:t> </w:t>
      </w:r>
    </w:p>
    <w:p w:rsidR="00FB4067" w:rsidRDefault="00F27BAE">
      <w:pPr>
        <w:numPr>
          <w:ilvl w:val="0"/>
          <w:numId w:val="6"/>
        </w:numPr>
        <w:pBdr>
          <w:top w:val="nil"/>
          <w:left w:val="nil"/>
          <w:bottom w:val="nil"/>
          <w:right w:val="nil"/>
          <w:between w:val="nil"/>
        </w:pBdr>
        <w:shd w:val="clear" w:color="auto" w:fill="FFFFFF"/>
        <w:spacing w:line="360" w:lineRule="auto"/>
        <w:ind w:left="0" w:right="-847" w:firstLine="0"/>
        <w:jc w:val="both"/>
        <w:rPr>
          <w:rFonts w:ascii="Palatino Linotype" w:eastAsia="Palatino Linotype" w:hAnsi="Palatino Linotype" w:cs="Palatino Linotype"/>
          <w:color w:val="242424"/>
        </w:rPr>
      </w:pPr>
      <w:r>
        <w:rPr>
          <w:rFonts w:ascii="Palatino Linotype" w:eastAsia="Palatino Linotype" w:hAnsi="Palatino Linotype" w:cs="Palatino Linotype"/>
          <w:color w:val="242424"/>
        </w:rPr>
        <w:t>En tal contexto se deberá proceder a la clasificación de los nombres de los elementos de policía que realicen actividades operativas en campo.</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lo anterior se advierte que la versión pública remitida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es correcta lo cual podría colmar el requerimiento del particular; no obstante, omitió remitir el Acuerdo emitido por el Comité de Transparencia mediante el cual se aprobó la versión pública de la información remitida en respuesta, por lo que resulta viable ordenar el Acuerdo de Clasificación de la información como confidencial.</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5"/>
        </w:numPr>
        <w:pBdr>
          <w:top w:val="nil"/>
          <w:left w:val="nil"/>
          <w:bottom w:val="nil"/>
          <w:right w:val="nil"/>
          <w:between w:val="nil"/>
        </w:pBdr>
        <w:spacing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Procedimiento de responsabilidad en trámite.</w:t>
      </w: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por lo que respecta a la clasificación como información reservada de los expedientes aún se encuentran en trámite es necesario señalar que pronunciarse sobre la existencia de un procedimiento de posibles responsabilidades en trámite, podría afectar al posible responsable identificado, en el presente caso, ya que se daría a conocer la existencia </w:t>
      </w:r>
      <w:r>
        <w:rPr>
          <w:rFonts w:ascii="Palatino Linotype" w:eastAsia="Palatino Linotype" w:hAnsi="Palatino Linotype" w:cs="Palatino Linotype"/>
          <w:color w:val="000000"/>
        </w:rPr>
        <w:lastRenderedPageBreak/>
        <w:t xml:space="preserve">de una investigación en contra, lo cual, generaría una percepción negativa de </w:t>
      </w:r>
      <w:r>
        <w:rPr>
          <w:rFonts w:ascii="Palatino Linotype" w:eastAsia="Palatino Linotype" w:hAnsi="Palatino Linotype" w:cs="Palatino Linotype"/>
        </w:rPr>
        <w:t>éste</w:t>
      </w:r>
      <w:r>
        <w:rPr>
          <w:rFonts w:ascii="Palatino Linotype" w:eastAsia="Palatino Linotype" w:hAnsi="Palatino Linotype" w:cs="Palatino Linotype"/>
          <w:color w:val="000000"/>
        </w:rPr>
        <w:t>, sin que se hubiere probado su responsabilidad o culpabilidad, lo cual dañaría, su honor y su derecho a la presunción inocencia e inclusive su actividad profesional, pues aún no se juntan los elementos necesarios para iniciar la segunda etapa del procedimiento.</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por lo que hace al derecho al honor, la jurisprudencia número 1a./J. 118/2013 (10a.), emitida por la Primera Sala de la Suprema Corte de Justicia de la Nación, publicada en la Gaceta del Semanario Judicial de la Federación, Tomo I, Libro 3, de febrero de 2014, página 470, de la Décima Época, materia constitucional, dispone: </w:t>
      </w:r>
    </w:p>
    <w:p w:rsidR="00FB4067" w:rsidRDefault="00F27BAE">
      <w:pPr>
        <w:ind w:left="567" w:right="-847"/>
        <w:jc w:val="both"/>
        <w:rPr>
          <w:rFonts w:ascii="Palatino Linotype" w:eastAsia="Palatino Linotype" w:hAnsi="Palatino Linotype" w:cs="Palatino Linotype"/>
          <w:i/>
          <w:iCs/>
        </w:rPr>
      </w:pPr>
      <w:r>
        <w:rPr>
          <w:b/>
          <w:bCs/>
          <w:i/>
          <w:iCs/>
        </w:rPr>
        <w:t>“</w:t>
      </w:r>
      <w:r>
        <w:rPr>
          <w:rFonts w:ascii="Palatino Linotype" w:eastAsia="Palatino Linotype" w:hAnsi="Palatino Linotype" w:cs="Palatino Linotype"/>
          <w:b/>
          <w:bCs/>
          <w:i/>
          <w:iCs/>
        </w:rPr>
        <w:t xml:space="preserve">DERECHO FUNDAMENTAL AL HONOR. SU DIMENSIÓN SUBJETIVA Y OBJETIVA. </w:t>
      </w:r>
      <w:r>
        <w:rPr>
          <w:rFonts w:ascii="Palatino Linotype" w:eastAsia="Palatino Linotype" w:hAnsi="Palatino Linotype" w:cs="Palatino Linotype"/>
          <w:i/>
          <w:iCs/>
        </w:rPr>
        <w:t>A juicio de esta Primera Sala de la Suprema Corte de Justicia de la Nación, es posible definir al honor como el concepto que la persona tiene de sí misma o que los demás se han formado de ella, en virtud de su proceder o de la expresión de su calidad ética y social.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rsidR="00FB4067" w:rsidRDefault="00FB4067">
      <w:pPr>
        <w:ind w:right="-847"/>
        <w:jc w:val="both"/>
        <w:rPr>
          <w:rFonts w:ascii="Palatino Linotype" w:eastAsia="Palatino Linotype" w:hAnsi="Palatino Linotype" w:cs="Palatino Linotype"/>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tesis transcrita se desprende que el honor es el concepto que la persona tiene de sí misma o que los demás se han formado de ella, en virtud de su proceder o de la expresión de su calidad ética y social. </w:t>
      </w: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lo que, en el campo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otra parte, debe señalarse que conforme al artículo 20, inciso B, numeral I, de la Constitución Política </w:t>
      </w:r>
      <w:r>
        <w:rPr>
          <w:rFonts w:ascii="Palatino Linotype" w:eastAsia="Palatino Linotype" w:hAnsi="Palatino Linotype" w:cs="Palatino Linotype"/>
        </w:rPr>
        <w:t>de los</w:t>
      </w:r>
      <w:r>
        <w:rPr>
          <w:rFonts w:ascii="Palatino Linotype" w:eastAsia="Palatino Linotype" w:hAnsi="Palatino Linotype" w:cs="Palatino Linotype"/>
          <w:color w:val="000000"/>
        </w:rPr>
        <w:t xml:space="preserve"> Estados Unidos Mexicanos, un derecho que tiene toda persona imputada, es a que se presuma su inocencia mientras no se declare su responsabilidad mediante una resolución, donde compruebe su culpabilidad. Dicha situación, se encuentra regulada, de la misma manera, </w:t>
      </w:r>
      <w:r>
        <w:rPr>
          <w:rFonts w:ascii="Palatino Linotype" w:eastAsia="Palatino Linotype" w:hAnsi="Palatino Linotype" w:cs="Palatino Linotype"/>
        </w:rPr>
        <w:t>en la Declaración</w:t>
      </w:r>
      <w:r>
        <w:rPr>
          <w:rFonts w:ascii="Palatino Linotype" w:eastAsia="Palatino Linotype" w:hAnsi="Palatino Linotype" w:cs="Palatino Linotype"/>
          <w:color w:val="000000"/>
        </w:rPr>
        <w:t xml:space="preserve"> Universal de los Derechos Humanos, así como, el Pacto Internacional de Derechos Civiles y Políticos y la Convención Americana sobre Derechos Humanos.</w:t>
      </w:r>
    </w:p>
    <w:p w:rsidR="00FB4067" w:rsidRDefault="00FB4067">
      <w:pPr>
        <w:pBdr>
          <w:top w:val="nil"/>
          <w:left w:val="nil"/>
          <w:bottom w:val="nil"/>
          <w:right w:val="nil"/>
          <w:between w:val="nil"/>
        </w:pBdr>
        <w:spacing w:line="360" w:lineRule="auto"/>
        <w:ind w:left="708" w:right="-847"/>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contexto, la tesis aislada número 2a. XXXV/2007, emitida por la Segunda Sala de la Suprema Corte de Justicia de la Nación, publicada en la Gaceta del Semanario Judicial de la Federación, Tomo XXV, de mayo de dos mil siete, página 1186, de la Novena Época, materia constitucional y penal, establece:</w:t>
      </w:r>
    </w:p>
    <w:p w:rsidR="00FB4067" w:rsidRDefault="00F27BAE">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“PRESUNCIÓN DE INOCENCIA. ALCANCES DE ESE PRINCIPIO CONSTITUCIONAL. </w:t>
      </w:r>
      <w:r>
        <w:rPr>
          <w:rFonts w:ascii="Palatino Linotype" w:eastAsia="Palatino Linotype" w:hAnsi="Palatino Linotype" w:cs="Palatino Linotype"/>
          <w:i/>
          <w:iCs/>
        </w:rPr>
        <w:t xml:space="preserve">El principio de presunción de inocencia que en materia procesal penal impone la obligación de arrojar la carga de la prueba al acusador, es un derecho fundamental </w:t>
      </w:r>
      <w:r>
        <w:rPr>
          <w:rFonts w:ascii="Palatino Linotype" w:eastAsia="Palatino Linotype" w:hAnsi="Palatino Linotype" w:cs="Palatino Linotype"/>
          <w:i/>
          <w:iCs/>
        </w:rPr>
        <w:lastRenderedPageBreak/>
        <w:t>que la Constitución Política de los Estados Unidos Mexicanos reconoce y garantiza en general, cuyo alcance trasciende la órbita del debido proceso, pues con su aplicación se garantiza la protección de otros derechos fundamentales como son la dignidad humana, la libertad, la honra y el buen nombre, que podrían resultar vulnerados por actuaciones penales o disciplinarias irregulares. En consecuencia, este principio opera también en las situaciones extraprocesales y constituye el derecho a recibir la consideración y el trato de "no autor o no partícipe" en un hecho de carácter delictivo o en otro tipo de infracciones mientras no se demuestre la culpabilidad; por ende, otorga el derecho a que no se apliquen las consecuencias a los efectos jurídicos privativos vinculados a tales hechos, en cualquier materia.”</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observa, el Alto Tribunal sostiene que el principio de presunción de inocencia va más allá del ámbito estrictamente procesal, en aras de proteger la esfera jurídica de las personas que se </w:t>
      </w:r>
      <w:r>
        <w:rPr>
          <w:rFonts w:ascii="Palatino Linotype" w:eastAsia="Palatino Linotype" w:hAnsi="Palatino Linotype" w:cs="Palatino Linotype"/>
        </w:rPr>
        <w:t>ven en</w:t>
      </w:r>
      <w:r>
        <w:rPr>
          <w:rFonts w:ascii="Palatino Linotype" w:eastAsia="Palatino Linotype" w:hAnsi="Palatino Linotype" w:cs="Palatino Linotype"/>
          <w:color w:val="000000"/>
        </w:rPr>
        <w:t xml:space="preserve"> peligro ante actuaciones arbitrarias por parte del poder público. Así, dicho principio guarda también una faceta “extraprocesal” que se materializa a través de un trato de inocente para el inculpado mientras no se demuestre su culpabilidad.</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Conforme a lo anterior, pronunciarse sobre la existencia de un procedimiento en trámite, se daría a conocer que la existencia de un procedimiento de probable responsabilidad, y la ciudadanía podría generar un juicio negativo, en contra de la servidora pública involucrada, sin que se hayan reunido los elementos para establecer que, si son probables responsables, con lo cual, se vería afectado de manera directa, su honor y derecho a la presunción de inocencia.</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toda vez que realizar el pronunciamiento afectaría el derecho al honor, buena imagen y presunción de inocencia de la servidora pública, se considera que deberá clasificarlo en términos del artículo 143, fracción I, de la Ley de Transparencia y Acceso a la Información Pública del Estado de México y Municipios.</w:t>
      </w: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es necesario señalar que conforme a un análisis conjunto del artículo 114 de la Ley General de Transparencia y Acceso a la Información Pública, con el diverso 142 de la Ley de Transparencia y Acceso a la Información Pública del Estado de México y Municipios, no podrá invocarse la clasificación de aquella información que se encuentre relacionada con violaciones graves a derechos humanos o actos de </w:t>
      </w:r>
      <w:r>
        <w:rPr>
          <w:rFonts w:ascii="Palatino Linotype" w:eastAsia="Palatino Linotype" w:hAnsi="Palatino Linotype" w:cs="Palatino Linotype"/>
          <w:b/>
          <w:bCs/>
          <w:color w:val="000000"/>
        </w:rPr>
        <w:t>corrupción acreditados</w:t>
      </w:r>
      <w:r>
        <w:rPr>
          <w:rFonts w:ascii="Palatino Linotype" w:eastAsia="Palatino Linotype" w:hAnsi="Palatino Linotype" w:cs="Palatino Linotype"/>
          <w:color w:val="000000"/>
        </w:rPr>
        <w:t>.</w:t>
      </w:r>
    </w:p>
    <w:p w:rsidR="00FB4067" w:rsidRDefault="00FB4067">
      <w:pPr>
        <w:pBdr>
          <w:top w:val="nil"/>
          <w:left w:val="nil"/>
          <w:bottom w:val="nil"/>
          <w:right w:val="nil"/>
          <w:between w:val="nil"/>
        </w:pBdr>
        <w:ind w:left="708" w:right="-847"/>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contexto, resulta necesario, los artículos 3°, fracción XXII y 9°, fracción VII, de la Ley de Transparencia y Acceso a la Información Pública del Estado de México, que establecen lo siguiente:</w:t>
      </w:r>
    </w:p>
    <w:p w:rsidR="00FB4067" w:rsidRDefault="00F27BAE">
      <w:pPr>
        <w:numPr>
          <w:ilvl w:val="0"/>
          <w:numId w:val="8"/>
        </w:numPr>
        <w:spacing w:line="360" w:lineRule="auto"/>
        <w:ind w:right="-84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Principio de Máxima Publicidad: </w:t>
      </w:r>
      <w:r>
        <w:rPr>
          <w:rFonts w:ascii="Palatino Linotype" w:eastAsia="Palatino Linotype" w:hAnsi="Palatino Linotype" w:cs="Palatino Linotype"/>
        </w:rPr>
        <w:t>Precisa que toda la información en posesión de los entes sujetos a las Leyes de Transparencia, es pública, completa, oportuna y accesible, sujeta a un claro régimen de excepciones.</w:t>
      </w:r>
    </w:p>
    <w:p w:rsidR="00FB4067" w:rsidRDefault="00F27BAE">
      <w:pPr>
        <w:numPr>
          <w:ilvl w:val="0"/>
          <w:numId w:val="8"/>
        </w:numPr>
        <w:spacing w:line="360" w:lineRule="auto"/>
        <w:ind w:right="-84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Información de Interés Público: </w:t>
      </w:r>
      <w:r>
        <w:rPr>
          <w:rFonts w:ascii="Palatino Linotype" w:eastAsia="Palatino Linotype" w:hAnsi="Palatino Linotype" w:cs="Palatino Linotype"/>
        </w:rPr>
        <w:t>Es aquella que resulta relevante o beneficiosa para la sociedad y no simplemente de interés individual, cuya divulgación resulta útil para que el público comprenda las actividades que llevan a cabo los sujetos obligados.</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Cómo</w:t>
      </w:r>
      <w:r>
        <w:rPr>
          <w:rFonts w:ascii="Palatino Linotype" w:eastAsia="Palatino Linotype" w:hAnsi="Palatino Linotype" w:cs="Palatino Linotype"/>
          <w:color w:val="000000"/>
        </w:rPr>
        <w:t xml:space="preserve"> se logra observar, el interés público está íntimamente relacionado, con el principio de máxima publicidad y las excepciones a la clasificación de la información; lo anterior, pues existe un interés general de la sociedad de conocer sobre los actos de corrupción acreditados y violaciones graves a derechos humanos, pues no son afectaciones que se dan en lo individual, sino que existe un detrimento en un grupo o en la población en general.</w:t>
      </w: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Por tal motivo, se considera que, para el caso </w:t>
      </w:r>
      <w:r>
        <w:rPr>
          <w:rFonts w:ascii="Palatino Linotype" w:eastAsia="Palatino Linotype" w:hAnsi="Palatino Linotype" w:cs="Palatino Linotype"/>
        </w:rPr>
        <w:t>que existiera</w:t>
      </w:r>
      <w:r>
        <w:rPr>
          <w:rFonts w:ascii="Palatino Linotype" w:eastAsia="Palatino Linotype" w:hAnsi="Palatino Linotype" w:cs="Palatino Linotype"/>
          <w:color w:val="000000"/>
        </w:rPr>
        <w:t xml:space="preserve"> algún procedimiento de responsabilidades administrativas en trámite y que estén relacionados los actos de corrupción acreditados o violaciones graves a derechos humanos, deberá entregar los documentos solicitados.</w:t>
      </w:r>
    </w:p>
    <w:p w:rsidR="00FB4067" w:rsidRDefault="00FB4067">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FB4067" w:rsidRDefault="00F27BAE">
      <w:pPr>
        <w:numPr>
          <w:ilvl w:val="0"/>
          <w:numId w:val="6"/>
        </w:numPr>
        <w:tabs>
          <w:tab w:val="left" w:pos="284"/>
        </w:tabs>
        <w:spacing w:line="360" w:lineRule="auto"/>
        <w:ind w:left="0" w:right="-847" w:firstLine="0"/>
        <w:jc w:val="both"/>
        <w:rPr>
          <w:rFonts w:ascii="Palatino Linotype" w:eastAsia="Palatino Linotype" w:hAnsi="Palatino Linotype" w:cs="Palatino Linotype"/>
        </w:rPr>
      </w:pPr>
      <w:bookmarkStart w:id="11" w:name="_heading=h.26in1rg" w:colFirst="0" w:colLast="0"/>
      <w:bookmarkEnd w:id="11"/>
      <w:r>
        <w:rPr>
          <w:rFonts w:ascii="Palatino Linotype" w:eastAsia="Palatino Linotype" w:hAnsi="Palatino Linotype" w:cs="Palatino Linotype"/>
        </w:rPr>
        <w:t xml:space="preserve">Por lo tanto, en consecuencia y en mérito de lo expuesto en líneas anteriores, resultan parcialmente fundadas las razones o motivos de inconformidad hechos valer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dentro del recurso de revisión </w:t>
      </w:r>
      <w:r>
        <w:rPr>
          <w:rFonts w:ascii="Palatino Linotype" w:eastAsia="Palatino Linotype" w:hAnsi="Palatino Linotype" w:cs="Palatino Linotype"/>
          <w:b/>
          <w:bCs/>
        </w:rPr>
        <w:t>3108/INFOEM/IP/RR/2026</w:t>
      </w:r>
      <w:r>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modifica la respuesta a la solicitud de información </w:t>
      </w:r>
      <w:r>
        <w:rPr>
          <w:rFonts w:ascii="Palatino Linotype" w:eastAsia="Palatino Linotype" w:hAnsi="Palatino Linotype" w:cs="Palatino Linotype"/>
          <w:b/>
          <w:bCs/>
        </w:rPr>
        <w:t>01023/TOLUCA/IP/2026.</w:t>
      </w:r>
    </w:p>
    <w:p w:rsidR="00FB4067" w:rsidRDefault="00FB4067">
      <w:pPr>
        <w:pBdr>
          <w:top w:val="nil"/>
          <w:left w:val="nil"/>
          <w:bottom w:val="nil"/>
          <w:right w:val="nil"/>
          <w:between w:val="nil"/>
        </w:pBdr>
        <w:ind w:left="708" w:right="-847"/>
        <w:rPr>
          <w:rFonts w:ascii="Palatino Linotype" w:eastAsia="Palatino Linotype" w:hAnsi="Palatino Linotype" w:cs="Palatino Linotype"/>
        </w:rPr>
      </w:pPr>
    </w:p>
    <w:p w:rsidR="00FB4067" w:rsidRDefault="00F27BAE">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FB4067" w:rsidRDefault="00F27BAE">
      <w:pPr>
        <w:numPr>
          <w:ilvl w:val="0"/>
          <w:numId w:val="6"/>
        </w:numPr>
        <w:pBdr>
          <w:top w:val="nil"/>
          <w:left w:val="nil"/>
          <w:bottom w:val="nil"/>
          <w:right w:val="nil"/>
          <w:between w:val="nil"/>
        </w:pBdr>
        <w:tabs>
          <w:tab w:val="left" w:pos="0"/>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FB4067" w:rsidRDefault="00FB4067">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tabs>
          <w:tab w:val="left" w:pos="0"/>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FB4067" w:rsidRDefault="00FB4067">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color w:val="000000"/>
        </w:rPr>
      </w:pPr>
    </w:p>
    <w:tbl>
      <w:tblPr>
        <w:tblStyle w:val="a"/>
        <w:tblW w:w="990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700"/>
        <w:gridCol w:w="7200"/>
      </w:tblGrid>
      <w:tr w:rsidR="00FB4067">
        <w:tc>
          <w:tcPr>
            <w:tcW w:w="2700" w:type="dxa"/>
          </w:tcPr>
          <w:p w:rsidR="00FB4067" w:rsidRDefault="00F27BAE">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7200" w:type="dxa"/>
          </w:tcPr>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FB4067">
        <w:tc>
          <w:tcPr>
            <w:tcW w:w="2700" w:type="dxa"/>
          </w:tcPr>
          <w:p w:rsidR="00FB4067" w:rsidRDefault="00F27BAE">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7200" w:type="dxa"/>
          </w:tcPr>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w:t>
            </w:r>
            <w:r>
              <w:rPr>
                <w:rFonts w:ascii="Palatino Linotype" w:eastAsia="Palatino Linotype" w:hAnsi="Palatino Linotype" w:cs="Palatino Linotype"/>
              </w:rPr>
              <w:lastRenderedPageBreak/>
              <w:t>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B4067">
        <w:tc>
          <w:tcPr>
            <w:tcW w:w="2700" w:type="dxa"/>
          </w:tcPr>
          <w:p w:rsidR="00FB4067" w:rsidRDefault="00F27BAE">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200" w:type="dxa"/>
          </w:tcPr>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w:t>
            </w:r>
            <w:r>
              <w:rPr>
                <w:rFonts w:ascii="Palatino Linotype" w:eastAsia="Palatino Linotype" w:hAnsi="Palatino Linotype" w:cs="Palatino Linotype"/>
              </w:rPr>
              <w:lastRenderedPageBreak/>
              <w:t>las sesiones, se insiste, a partir de las decisiones adoptadas previamente por los titulares de áreas y que son sujetas a control, en primera instancia, por el Comité de Transparencia.</w:t>
            </w:r>
          </w:p>
        </w:tc>
      </w:tr>
      <w:tr w:rsidR="00FB4067">
        <w:tc>
          <w:tcPr>
            <w:tcW w:w="2700" w:type="dxa"/>
          </w:tcPr>
          <w:p w:rsidR="00FB4067" w:rsidRDefault="00FB4067">
            <w:pPr>
              <w:spacing w:line="360" w:lineRule="auto"/>
              <w:ind w:right="-92"/>
              <w:rPr>
                <w:rFonts w:ascii="Palatino Linotype" w:eastAsia="Palatino Linotype" w:hAnsi="Palatino Linotype" w:cs="Palatino Linotype"/>
              </w:rPr>
            </w:pP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7200" w:type="dxa"/>
          </w:tcPr>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Pr>
                <w:rFonts w:ascii="Palatino Linotype" w:eastAsia="Palatino Linotype" w:hAnsi="Palatino Linotype" w:cs="Palatino Linotype"/>
              </w:rPr>
              <w:lastRenderedPageBreak/>
              <w:t>persona que se sienta afectada pueda impugnar la decisión, permitiéndole una real y auténtica defensa.</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B4067">
        <w:tc>
          <w:tcPr>
            <w:tcW w:w="2700" w:type="dxa"/>
          </w:tcPr>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FB4067" w:rsidRDefault="00FB4067">
            <w:pPr>
              <w:spacing w:line="360" w:lineRule="auto"/>
              <w:ind w:right="-92"/>
              <w:rPr>
                <w:rFonts w:ascii="Palatino Linotype" w:eastAsia="Palatino Linotype" w:hAnsi="Palatino Linotype" w:cs="Palatino Linotype"/>
              </w:rPr>
            </w:pPr>
          </w:p>
        </w:tc>
        <w:tc>
          <w:tcPr>
            <w:tcW w:w="7200" w:type="dxa"/>
          </w:tcPr>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FB4067" w:rsidRDefault="00F27BAE">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B4067" w:rsidRDefault="00F27BAE">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FB4067" w:rsidRDefault="00F27BAE">
      <w:pPr>
        <w:numPr>
          <w:ilvl w:val="0"/>
          <w:numId w:val="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numPr>
          <w:ilvl w:val="0"/>
          <w:numId w:val="6"/>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anteriormente expuesto y fundado,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w:t>
      </w:r>
    </w:p>
    <w:p w:rsidR="00FB4067" w:rsidRDefault="00FB4067">
      <w:pPr>
        <w:pBdr>
          <w:top w:val="nil"/>
          <w:left w:val="nil"/>
          <w:bottom w:val="nil"/>
          <w:right w:val="nil"/>
          <w:between w:val="nil"/>
        </w:pBdr>
        <w:spacing w:line="360" w:lineRule="auto"/>
        <w:ind w:right="-847"/>
        <w:jc w:val="both"/>
        <w:rPr>
          <w:rFonts w:ascii="Palatino Linotype" w:eastAsia="Palatino Linotype" w:hAnsi="Palatino Linotype" w:cs="Palatino Linotype"/>
        </w:rPr>
      </w:pPr>
    </w:p>
    <w:p w:rsidR="00FB4067" w:rsidRDefault="00F27BAE">
      <w:pPr>
        <w:keepNext/>
        <w:keepLines/>
        <w:spacing w:line="360" w:lineRule="auto"/>
        <w:ind w:right="-847"/>
        <w:jc w:val="center"/>
        <w:rPr>
          <w:rFonts w:ascii="Palatino Linotype" w:eastAsia="Palatino Linotype" w:hAnsi="Palatino Linotype" w:cs="Palatino Linotype"/>
          <w:b/>
          <w:bCs/>
        </w:rPr>
      </w:pPr>
      <w:bookmarkStart w:id="12" w:name="_heading=h.35nkun2" w:colFirst="0" w:colLast="0"/>
      <w:bookmarkEnd w:id="12"/>
      <w:r>
        <w:rPr>
          <w:rFonts w:ascii="Palatino Linotype" w:eastAsia="Palatino Linotype" w:hAnsi="Palatino Linotype" w:cs="Palatino Linotype"/>
          <w:b/>
          <w:bCs/>
        </w:rPr>
        <w:t xml:space="preserve">R E S O L U T I V O S </w:t>
      </w:r>
    </w:p>
    <w:p w:rsidR="00FB4067" w:rsidRDefault="00FB4067">
      <w:pPr>
        <w:spacing w:line="360" w:lineRule="auto"/>
        <w:ind w:right="-847"/>
        <w:rPr>
          <w:rFonts w:ascii="Palatino Linotype" w:eastAsia="Palatino Linotype" w:hAnsi="Palatino Linotype" w:cs="Palatino Linotype"/>
        </w:rPr>
      </w:pPr>
    </w:p>
    <w:p w:rsidR="00FB4067" w:rsidRDefault="00F27BAE">
      <w:pPr>
        <w:spacing w:line="360" w:lineRule="auto"/>
        <w:ind w:right="-84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parcialmente fundadas las razones o motivos de inconformidad hechos valer en el Recursos de Revisión </w:t>
      </w:r>
      <w:r>
        <w:rPr>
          <w:rFonts w:ascii="Palatino Linotype" w:eastAsia="Palatino Linotype" w:hAnsi="Palatino Linotype" w:cs="Palatino Linotype"/>
          <w:b/>
          <w:bCs/>
        </w:rPr>
        <w:t xml:space="preserve">03108/INFOEM/IP/RR/2026,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la presente resolución. </w:t>
      </w:r>
    </w:p>
    <w:p w:rsidR="00FB4067" w:rsidRDefault="00FB4067">
      <w:pPr>
        <w:spacing w:line="360" w:lineRule="auto"/>
        <w:ind w:right="-847"/>
        <w:jc w:val="both"/>
        <w:rPr>
          <w:rFonts w:ascii="Palatino Linotype" w:eastAsia="Palatino Linotype" w:hAnsi="Palatino Linotype" w:cs="Palatino Linotype"/>
        </w:rPr>
      </w:pPr>
      <w:bookmarkStart w:id="13" w:name="_heading=h.u1r0qxb9ku4s" w:colFirst="0" w:colLast="0"/>
      <w:bookmarkEnd w:id="13"/>
    </w:p>
    <w:p w:rsidR="00FB4067" w:rsidRDefault="00F27BAE">
      <w:pPr>
        <w:spacing w:line="360" w:lineRule="auto"/>
        <w:ind w:right="-847"/>
        <w:jc w:val="both"/>
        <w:rPr>
          <w:rFonts w:ascii="Palatino Linotype" w:eastAsia="Palatino Linotype" w:hAnsi="Palatino Linotype" w:cs="Palatino Linotype"/>
        </w:rPr>
      </w:pPr>
      <w:bookmarkStart w:id="14" w:name="_heading=h.hnpjs7fiqy6l" w:colFirst="0" w:colLast="0"/>
      <w:bookmarkEnd w:id="14"/>
      <w:r>
        <w:rPr>
          <w:rFonts w:ascii="Palatino Linotype" w:eastAsia="Palatino Linotype" w:hAnsi="Palatino Linotype" w:cs="Palatino Linotype"/>
          <w:b/>
          <w:bCs/>
        </w:rPr>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 xml:space="preserve">MODIFICA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Ayuntamiento de Toluca</w:t>
      </w:r>
      <w:r>
        <w:rPr>
          <w:rFonts w:ascii="Palatino Linotype" w:eastAsia="Palatino Linotype" w:hAnsi="Palatino Linotype" w:cs="Palatino Linotype"/>
        </w:rPr>
        <w:t xml:space="preserve"> a la solicitud de información</w:t>
      </w:r>
      <w:r>
        <w:rPr>
          <w:rFonts w:ascii="Palatino Linotype" w:eastAsia="Palatino Linotype" w:hAnsi="Palatino Linotype" w:cs="Palatino Linotype"/>
          <w:b/>
          <w:bCs/>
        </w:rPr>
        <w:t xml:space="preserve"> 01023/TOLUCA/IP/2026 </w:t>
      </w:r>
      <w:r>
        <w:rPr>
          <w:rFonts w:ascii="Palatino Linotype" w:eastAsia="Palatino Linotype" w:hAnsi="Palatino Linotype" w:cs="Palatino Linotype"/>
        </w:rPr>
        <w:t>y</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entregar 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lo siguiente:</w:t>
      </w:r>
    </w:p>
    <w:p w:rsidR="00FB4067" w:rsidRDefault="00F27BAE">
      <w:pPr>
        <w:numPr>
          <w:ilvl w:val="0"/>
          <w:numId w:val="9"/>
        </w:numPr>
        <w:pBdr>
          <w:top w:val="nil"/>
          <w:left w:val="nil"/>
          <w:bottom w:val="nil"/>
          <w:right w:val="nil"/>
          <w:between w:val="nil"/>
        </w:pBdr>
        <w:spacing w:line="360" w:lineRule="auto"/>
        <w:ind w:left="284"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Acuerdos emitidos por el Comité de Transparencia, mediante el cual aprobó lo siguiente: </w:t>
      </w:r>
    </w:p>
    <w:p w:rsidR="00FB4067" w:rsidRDefault="00F27BAE">
      <w:pPr>
        <w:numPr>
          <w:ilvl w:val="0"/>
          <w:numId w:val="3"/>
        </w:num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La versión pública de los expedientes remitidos en respuesta.</w:t>
      </w:r>
    </w:p>
    <w:p w:rsidR="00FB4067" w:rsidRDefault="00F27BAE">
      <w:pPr>
        <w:numPr>
          <w:ilvl w:val="0"/>
          <w:numId w:val="3"/>
        </w:num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Clasificación como información reservada en su totalidad de los expedientes derivados de las quejas y/o denuncias recibidas en la Defensoría de Derechos Humanos en 2025, que se encuentran en trámite.</w:t>
      </w:r>
    </w:p>
    <w:p w:rsidR="00FB4067" w:rsidRDefault="00FB4067">
      <w:pPr>
        <w:spacing w:line="360" w:lineRule="auto"/>
        <w:ind w:right="-847"/>
        <w:jc w:val="both"/>
        <w:rPr>
          <w:rFonts w:ascii="Palatino Linotype" w:eastAsia="Palatino Linotype" w:hAnsi="Palatino Linotype" w:cs="Palatino Linotype"/>
        </w:rPr>
      </w:pPr>
    </w:p>
    <w:p w:rsidR="00FB4067" w:rsidRDefault="00F27BAE">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 xml:space="preserve">dé cumplimiento a lo ordenado dentro del plazo de diez días hábiles, </w:t>
      </w:r>
      <w:r>
        <w:rPr>
          <w:rFonts w:ascii="Palatino Linotype" w:eastAsia="Palatino Linotype" w:hAnsi="Palatino Linotype" w:cs="Palatino Linotyp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FB4067" w:rsidRDefault="00FB4067">
      <w:pPr>
        <w:tabs>
          <w:tab w:val="left" w:pos="284"/>
          <w:tab w:val="left" w:pos="8080"/>
        </w:tabs>
        <w:spacing w:line="360" w:lineRule="auto"/>
        <w:ind w:right="-847"/>
        <w:jc w:val="both"/>
        <w:rPr>
          <w:rFonts w:ascii="Palatino Linotype" w:eastAsia="Palatino Linotype" w:hAnsi="Palatino Linotype" w:cs="Palatino Linotype"/>
          <w:b/>
          <w:bCs/>
        </w:rPr>
      </w:pPr>
    </w:p>
    <w:p w:rsidR="00FB4067" w:rsidRDefault="00F27BAE">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FB4067" w:rsidRDefault="00FB4067">
      <w:pPr>
        <w:shd w:val="clear" w:color="auto" w:fill="FFFFFF"/>
        <w:tabs>
          <w:tab w:val="left" w:pos="284"/>
        </w:tabs>
        <w:spacing w:line="360" w:lineRule="auto"/>
        <w:ind w:right="-847"/>
        <w:jc w:val="both"/>
        <w:rPr>
          <w:rFonts w:ascii="Palatino Linotype" w:eastAsia="Palatino Linotype" w:hAnsi="Palatino Linotype" w:cs="Palatino Linotype"/>
          <w:b/>
          <w:bCs/>
        </w:rPr>
      </w:pPr>
    </w:p>
    <w:p w:rsidR="00FB4067" w:rsidRDefault="00F27BAE">
      <w:pPr>
        <w:shd w:val="clear" w:color="auto" w:fill="FFFFFF"/>
        <w:tabs>
          <w:tab w:val="left" w:pos="284"/>
        </w:tabs>
        <w:spacing w:line="360" w:lineRule="auto"/>
        <w:ind w:right="-847"/>
        <w:jc w:val="both"/>
        <w:rPr>
          <w:rFonts w:ascii="Palatino Linotype" w:eastAsia="Palatino Linotype" w:hAnsi="Palatino Linotype" w:cs="Palatino Linotype"/>
        </w:rPr>
      </w:pPr>
      <w:bookmarkStart w:id="15" w:name="_heading=h.5qu7t0g6km9w" w:colFirst="0" w:colLast="0"/>
      <w:bookmarkEnd w:id="15"/>
      <w:r>
        <w:rPr>
          <w:rFonts w:ascii="Palatino Linotype" w:eastAsia="Palatino Linotype" w:hAnsi="Palatino Linotype" w:cs="Palatino Linotype"/>
          <w:b/>
          <w:bCs/>
        </w:rPr>
        <w:lastRenderedPageBreak/>
        <w:t xml:space="preserve">QUINTO. 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la presente resolución a través del Sistema de Acceso a la Información Mexiquense (SAIMEX).</w:t>
      </w:r>
    </w:p>
    <w:p w:rsidR="00FB4067" w:rsidRDefault="00FB4067">
      <w:pPr>
        <w:shd w:val="clear" w:color="auto" w:fill="FFFFFF"/>
        <w:tabs>
          <w:tab w:val="left" w:pos="284"/>
        </w:tabs>
        <w:spacing w:line="360" w:lineRule="auto"/>
        <w:ind w:right="-847"/>
        <w:jc w:val="both"/>
        <w:rPr>
          <w:rFonts w:ascii="Palatino Linotype" w:eastAsia="Palatino Linotype" w:hAnsi="Palatino Linotype" w:cs="Palatino Linotype"/>
        </w:rPr>
      </w:pPr>
    </w:p>
    <w:p w:rsidR="00FB4067" w:rsidRDefault="00F27BAE">
      <w:pPr>
        <w:shd w:val="clear" w:color="auto" w:fill="FFFFFF"/>
        <w:tabs>
          <w:tab w:val="left" w:pos="284"/>
        </w:tabs>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 xml:space="preserve"> 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B4067" w:rsidRDefault="00FB4067">
      <w:pPr>
        <w:shd w:val="clear" w:color="auto" w:fill="FFFFFF"/>
        <w:tabs>
          <w:tab w:val="left" w:pos="284"/>
        </w:tabs>
        <w:spacing w:line="360" w:lineRule="auto"/>
        <w:ind w:right="-847"/>
        <w:jc w:val="both"/>
        <w:rPr>
          <w:rFonts w:ascii="Palatino Linotype" w:eastAsia="Palatino Linotype" w:hAnsi="Palatino Linotype" w:cs="Palatino Linotype"/>
        </w:rPr>
      </w:pPr>
    </w:p>
    <w:p w:rsidR="00A94D53" w:rsidRPr="003E2295" w:rsidRDefault="00A94D53" w:rsidP="00A94D53">
      <w:pPr>
        <w:spacing w:before="240" w:after="240" w:line="360" w:lineRule="auto"/>
        <w:ind w:right="-850" w:firstLine="1"/>
        <w:jc w:val="both"/>
        <w:rPr>
          <w:rFonts w:ascii="Palatino Linotype" w:hAnsi="Palatino Linotype"/>
        </w:rPr>
      </w:pPr>
      <w:bookmarkStart w:id="16"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738FC">
        <w:rPr>
          <w:rFonts w:ascii="Palatino Linotype" w:hAnsi="Palatino Linotype" w:cs="Palatino Linotype"/>
        </w:rPr>
        <w:t xml:space="preserve"> EMITIENDO VOTO PARTICULAR</w:t>
      </w:r>
      <w:r w:rsidRPr="003E2295">
        <w:rPr>
          <w:rFonts w:ascii="Palatino Linotype" w:hAnsi="Palatino Linotype" w:cs="Palatino Linotype"/>
        </w:rPr>
        <w:t xml:space="preserve">, SHARON CRISTINA MORALES MARTÍNEZ, LUIS GUSTAVO PARRA NORIEGA </w:t>
      </w:r>
      <w:r w:rsidR="002738FC">
        <w:rPr>
          <w:rFonts w:ascii="Palatino Linotype" w:hAnsi="Palatino Linotype" w:cs="Palatino Linotype"/>
        </w:rPr>
        <w:t xml:space="preserve">EMITIENDO VOTO PARTICULAR </w:t>
      </w:r>
      <w:r w:rsidRPr="003E2295">
        <w:rPr>
          <w:rFonts w:ascii="Palatino Linotype" w:hAnsi="Palatino Linotype" w:cs="Palatino Linotype"/>
        </w:rPr>
        <w:t xml:space="preserve">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6"/>
    <w:p w:rsidR="00FB4067" w:rsidRDefault="00FB4067" w:rsidP="00A94D53">
      <w:pPr>
        <w:spacing w:line="360" w:lineRule="auto"/>
        <w:ind w:right="-850"/>
        <w:rPr>
          <w:rFonts w:ascii="Palatino Linotype" w:eastAsia="Palatino Linotype" w:hAnsi="Palatino Linotype" w:cs="Palatino Linotype"/>
        </w:rPr>
      </w:pPr>
    </w:p>
    <w:p w:rsidR="00FB4067" w:rsidRDefault="00FB4067" w:rsidP="00A94D53">
      <w:pPr>
        <w:spacing w:line="360" w:lineRule="auto"/>
        <w:ind w:right="-850"/>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bookmarkStart w:id="17" w:name="_GoBack"/>
      <w:bookmarkEnd w:id="17"/>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FB4067" w:rsidRDefault="00FB4067">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p w:rsidR="00A61CD0" w:rsidRDefault="00A61CD0">
      <w:pPr>
        <w:spacing w:line="360" w:lineRule="auto"/>
        <w:ind w:right="-847"/>
        <w:rPr>
          <w:rFonts w:ascii="Palatino Linotype" w:eastAsia="Palatino Linotype" w:hAnsi="Palatino Linotype" w:cs="Palatino Linotype"/>
        </w:rPr>
      </w:pPr>
    </w:p>
    <w:sectPr w:rsidR="00A61CD0">
      <w:headerReference w:type="default" r:id="rId12"/>
      <w:footerReference w:type="default" r:id="rId13"/>
      <w:headerReference w:type="first" r:id="rId14"/>
      <w:footerReference w:type="first" r:id="rId15"/>
      <w:pgSz w:w="12240" w:h="15840"/>
      <w:pgMar w:top="2410" w:right="175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00D" w:rsidRDefault="0074300D">
      <w:r>
        <w:separator/>
      </w:r>
    </w:p>
  </w:endnote>
  <w:endnote w:type="continuationSeparator" w:id="0">
    <w:p w:rsidR="0074300D" w:rsidRDefault="0074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51EA936B-32A3-41F2-A089-4E9F86C9B3B7}"/>
    <w:embedBold r:id="rId2" w:fontKey="{A4DF26CA-2813-4227-BB9A-13255D209F7F}"/>
    <w:embedItalic r:id="rId3" w:fontKey="{A3BD6250-25E2-40F9-AB2D-41AFB0185CA7}"/>
    <w:embedBoldItalic r:id="rId4" w:fontKey="{541466DF-CFA4-479D-951C-76199AC273DD}"/>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embedRegular r:id="rId5" w:fontKey="{E4AE99A6-8854-472E-9560-A404289B146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CE571C4-7BBE-477D-BA36-14E0602D192E}"/>
  </w:font>
  <w:font w:name="Georgia">
    <w:panose1 w:val="02040502050405020303"/>
    <w:charset w:val="00"/>
    <w:family w:val="roman"/>
    <w:pitch w:val="variable"/>
    <w:sig w:usb0="00000287" w:usb1="00000000" w:usb2="00000000" w:usb3="00000000" w:csb0="0000009F" w:csb1="00000000"/>
    <w:embedItalic r:id="rId7" w:fontKey="{37CC0009-875D-4D8B-867C-654A3C87092A}"/>
  </w:font>
  <w:font w:name="Century Gothic">
    <w:panose1 w:val="020B0502020202020204"/>
    <w:charset w:val="00"/>
    <w:family w:val="swiss"/>
    <w:pitch w:val="variable"/>
    <w:sig w:usb0="00000287" w:usb1="00000000" w:usb2="00000000" w:usb3="00000000" w:csb0="0000009F" w:csb1="00000000"/>
    <w:embedRegular r:id="rId8" w:fontKey="{6C2B1F9D-83D5-44BD-81D0-2FFD7A6E618D}"/>
  </w:font>
  <w:font w:name="Cambria">
    <w:panose1 w:val="02040503050406030204"/>
    <w:charset w:val="00"/>
    <w:family w:val="roman"/>
    <w:pitch w:val="variable"/>
    <w:sig w:usb0="E00006FF" w:usb1="420024FF" w:usb2="02000000" w:usb3="00000000" w:csb0="0000019F" w:csb1="00000000"/>
    <w:embedRegular r:id="rId9" w:fontKey="{2E7C2D6C-AA49-41D1-BEEA-873F0CCEBC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067" w:rsidRDefault="00F27BA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790786">
      <w:rPr>
        <w:rFonts w:ascii="Palatino Linotype" w:eastAsia="Palatino Linotype" w:hAnsi="Palatino Linotype" w:cs="Palatino Linotype"/>
        <w:noProof/>
        <w:color w:val="000000"/>
        <w:sz w:val="22"/>
        <w:szCs w:val="22"/>
      </w:rPr>
      <w:t>11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790786">
      <w:rPr>
        <w:rFonts w:ascii="Palatino Linotype" w:eastAsia="Palatino Linotype" w:hAnsi="Palatino Linotype" w:cs="Palatino Linotype"/>
        <w:noProof/>
        <w:color w:val="000000"/>
        <w:sz w:val="22"/>
        <w:szCs w:val="22"/>
      </w:rPr>
      <w:t>50</w:t>
    </w:r>
    <w:r>
      <w:rPr>
        <w:rFonts w:ascii="Palatino Linotype" w:eastAsia="Palatino Linotype" w:hAnsi="Palatino Linotype" w:cs="Palatino Linotype"/>
        <w:color w:val="000000"/>
        <w:sz w:val="22"/>
        <w:szCs w:val="22"/>
      </w:rPr>
      <w:fldChar w:fldCharType="end"/>
    </w:r>
  </w:p>
  <w:p w:rsidR="00FB4067" w:rsidRDefault="00FB4067">
    <w:pPr>
      <w:pBdr>
        <w:top w:val="nil"/>
        <w:left w:val="nil"/>
        <w:bottom w:val="nil"/>
        <w:right w:val="nil"/>
        <w:between w:val="nil"/>
      </w:pBdr>
      <w:tabs>
        <w:tab w:val="center" w:pos="4252"/>
        <w:tab w:val="right" w:pos="8504"/>
      </w:tabs>
      <w:rPr>
        <w:color w:val="000000"/>
      </w:rPr>
    </w:pPr>
  </w:p>
  <w:p w:rsidR="00FB4067" w:rsidRDefault="00FB406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067" w:rsidRDefault="00F27BA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790786">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790786">
      <w:rPr>
        <w:rFonts w:ascii="Palatino Linotype" w:eastAsia="Palatino Linotype" w:hAnsi="Palatino Linotype" w:cs="Palatino Linotype"/>
        <w:b/>
        <w:bCs/>
        <w:noProof/>
        <w:color w:val="000000"/>
        <w:sz w:val="22"/>
        <w:szCs w:val="22"/>
      </w:rPr>
      <w:t>50</w:t>
    </w:r>
    <w:r>
      <w:rPr>
        <w:rFonts w:ascii="Palatino Linotype" w:eastAsia="Palatino Linotype" w:hAnsi="Palatino Linotype" w:cs="Palatino Linotype"/>
        <w:b/>
        <w:bCs/>
        <w:color w:val="000000"/>
        <w:sz w:val="22"/>
        <w:szCs w:val="22"/>
      </w:rPr>
      <w:fldChar w:fldCharType="end"/>
    </w:r>
  </w:p>
  <w:p w:rsidR="00FB4067" w:rsidRDefault="00FB406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00D" w:rsidRDefault="0074300D">
      <w:r>
        <w:separator/>
      </w:r>
    </w:p>
  </w:footnote>
  <w:footnote w:type="continuationSeparator" w:id="0">
    <w:p w:rsidR="0074300D" w:rsidRDefault="0074300D">
      <w:r>
        <w:continuationSeparator/>
      </w:r>
    </w:p>
  </w:footnote>
  <w:footnote w:id="1">
    <w:p w:rsidR="00FB4067" w:rsidRDefault="00F27BA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FB4067" w:rsidRDefault="00F27BA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FB4067" w:rsidRDefault="00F27BA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FB4067" w:rsidRDefault="00F27BA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080" w:type="dxa"/>
      <w:tblInd w:w="3544" w:type="dxa"/>
      <w:tblLayout w:type="fixed"/>
      <w:tblLook w:val="0400" w:firstRow="0" w:lastRow="0" w:firstColumn="0" w:lastColumn="0" w:noHBand="0" w:noVBand="1"/>
    </w:tblPr>
    <w:tblGrid>
      <w:gridCol w:w="2805"/>
      <w:gridCol w:w="4275"/>
    </w:tblGrid>
    <w:tr w:rsidR="00FB4067" w:rsidTr="00F32B99">
      <w:tc>
        <w:tcPr>
          <w:tcW w:w="2805" w:type="dxa"/>
          <w:vAlign w:val="center"/>
        </w:tcPr>
        <w:p w:rsidR="00FB4067" w:rsidRDefault="00F27BAE">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75" w:type="dxa"/>
          <w:vAlign w:val="center"/>
        </w:tcPr>
        <w:p w:rsidR="00FB4067" w:rsidRDefault="00F27BAE">
          <w:pPr>
            <w:jc w:val="both"/>
            <w:rPr>
              <w:rFonts w:ascii="Palatino Linotype" w:eastAsia="Palatino Linotype" w:hAnsi="Palatino Linotype" w:cs="Palatino Linotype"/>
            </w:rPr>
          </w:pPr>
          <w:r>
            <w:rPr>
              <w:rFonts w:ascii="Palatino Linotype" w:eastAsia="Palatino Linotype" w:hAnsi="Palatino Linotype" w:cs="Palatino Linotype"/>
            </w:rPr>
            <w:t>03108/INFOEM/IP/RR/2026</w:t>
          </w:r>
        </w:p>
      </w:tc>
    </w:tr>
    <w:tr w:rsidR="00FB4067" w:rsidTr="00F32B99">
      <w:trPr>
        <w:trHeight w:val="228"/>
      </w:trPr>
      <w:tc>
        <w:tcPr>
          <w:tcW w:w="2805" w:type="dxa"/>
          <w:vAlign w:val="center"/>
        </w:tcPr>
        <w:p w:rsidR="00FB4067" w:rsidRDefault="00F27BAE">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75" w:type="dxa"/>
          <w:vAlign w:val="center"/>
        </w:tcPr>
        <w:p w:rsidR="00FB4067" w:rsidRDefault="00F27BAE">
          <w:pPr>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FB4067" w:rsidTr="00F32B99">
      <w:tc>
        <w:tcPr>
          <w:tcW w:w="2805" w:type="dxa"/>
          <w:vAlign w:val="center"/>
        </w:tcPr>
        <w:p w:rsidR="00FB4067" w:rsidRDefault="00F27BAE">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75" w:type="dxa"/>
          <w:vAlign w:val="center"/>
        </w:tcPr>
        <w:p w:rsidR="00FB4067" w:rsidRDefault="00F27BAE">
          <w:pPr>
            <w:ind w:right="-53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FB4067" w:rsidRDefault="00F32B9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-886544</wp:posOffset>
          </wp:positionH>
          <wp:positionV relativeFrom="paragraph">
            <wp:posOffset>-1057874</wp:posOffset>
          </wp:positionV>
          <wp:extent cx="7810500" cy="877474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0500" cy="8774748"/>
                  </a:xfrm>
                  <a:prstGeom prst="rect">
                    <a:avLst/>
                  </a:prstGeom>
                  <a:ln/>
                </pic:spPr>
              </pic:pic>
            </a:graphicData>
          </a:graphic>
        </wp:anchor>
      </w:drawing>
    </w:r>
    <w:r w:rsidR="00F27BAE">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915" w:type="dxa"/>
      <w:tblInd w:w="3544" w:type="dxa"/>
      <w:tblLayout w:type="fixed"/>
      <w:tblLook w:val="0400" w:firstRow="0" w:lastRow="0" w:firstColumn="0" w:lastColumn="0" w:noHBand="0" w:noVBand="1"/>
    </w:tblPr>
    <w:tblGrid>
      <w:gridCol w:w="2805"/>
      <w:gridCol w:w="4110"/>
    </w:tblGrid>
    <w:tr w:rsidR="00FB4067" w:rsidTr="00F32B99">
      <w:tc>
        <w:tcPr>
          <w:tcW w:w="2805" w:type="dxa"/>
          <w:vAlign w:val="center"/>
        </w:tcPr>
        <w:p w:rsidR="00FB4067" w:rsidRDefault="00F27BAE">
          <w:pPr>
            <w:ind w:right="-291"/>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10" w:type="dxa"/>
          <w:vAlign w:val="center"/>
        </w:tcPr>
        <w:p w:rsidR="00FB4067" w:rsidRDefault="00F27BAE">
          <w:pPr>
            <w:ind w:right="-291"/>
            <w:rPr>
              <w:rFonts w:ascii="Palatino Linotype" w:eastAsia="Palatino Linotype" w:hAnsi="Palatino Linotype" w:cs="Palatino Linotype"/>
            </w:rPr>
          </w:pPr>
          <w:r>
            <w:rPr>
              <w:rFonts w:ascii="Palatino Linotype" w:eastAsia="Palatino Linotype" w:hAnsi="Palatino Linotype" w:cs="Palatino Linotype"/>
            </w:rPr>
            <w:t>03108/INFOEM/IP/RR/2026</w:t>
          </w:r>
        </w:p>
      </w:tc>
    </w:tr>
    <w:tr w:rsidR="00FB4067" w:rsidTr="00F32B99">
      <w:tc>
        <w:tcPr>
          <w:tcW w:w="2805" w:type="dxa"/>
          <w:vAlign w:val="center"/>
        </w:tcPr>
        <w:p w:rsidR="00FB4067" w:rsidRDefault="00F27BAE">
          <w:pPr>
            <w:ind w:left="35" w:right="-291" w:hanging="3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10" w:type="dxa"/>
          <w:vAlign w:val="center"/>
        </w:tcPr>
        <w:p w:rsidR="00FB4067" w:rsidRDefault="00F27BAE">
          <w:pPr>
            <w:ind w:right="-291"/>
            <w:rPr>
              <w:rFonts w:ascii="Palatino Linotype" w:eastAsia="Palatino Linotype" w:hAnsi="Palatino Linotype" w:cs="Palatino Linotype"/>
            </w:rPr>
          </w:pPr>
          <w:r>
            <w:rPr>
              <w:rFonts w:ascii="Palatino Linotype" w:eastAsia="Palatino Linotype" w:hAnsi="Palatino Linotype" w:cs="Palatino Linotype"/>
            </w:rPr>
            <w:t> </w:t>
          </w:r>
        </w:p>
      </w:tc>
    </w:tr>
    <w:tr w:rsidR="00FB4067" w:rsidTr="00F32B99">
      <w:trPr>
        <w:trHeight w:val="228"/>
      </w:trPr>
      <w:tc>
        <w:tcPr>
          <w:tcW w:w="2805" w:type="dxa"/>
          <w:vAlign w:val="center"/>
        </w:tcPr>
        <w:p w:rsidR="00FB4067" w:rsidRDefault="00F27BAE">
          <w:pPr>
            <w:ind w:right="-291"/>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10" w:type="dxa"/>
          <w:vAlign w:val="center"/>
        </w:tcPr>
        <w:p w:rsidR="00FB4067" w:rsidRDefault="00F27BAE">
          <w:pPr>
            <w:ind w:left="35" w:right="-291" w:hanging="35"/>
            <w:rPr>
              <w:rFonts w:ascii="Palatino Linotype" w:eastAsia="Palatino Linotype" w:hAnsi="Palatino Linotype" w:cs="Palatino Linotype"/>
            </w:rPr>
          </w:pPr>
          <w:r>
            <w:rPr>
              <w:rFonts w:ascii="Palatino Linotype" w:eastAsia="Palatino Linotype" w:hAnsi="Palatino Linotype" w:cs="Palatino Linotype"/>
              <w:color w:val="000000"/>
            </w:rPr>
            <w:t>Ayuntamiento de Toluca</w:t>
          </w:r>
        </w:p>
      </w:tc>
    </w:tr>
    <w:tr w:rsidR="00FB4067" w:rsidTr="00F32B99">
      <w:tc>
        <w:tcPr>
          <w:tcW w:w="2805" w:type="dxa"/>
          <w:vAlign w:val="center"/>
        </w:tcPr>
        <w:p w:rsidR="00FB4067" w:rsidRDefault="00F27BAE">
          <w:pPr>
            <w:ind w:right="-291"/>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10" w:type="dxa"/>
          <w:vAlign w:val="center"/>
        </w:tcPr>
        <w:p w:rsidR="00FB4067" w:rsidRDefault="00F27BAE">
          <w:pPr>
            <w:ind w:right="-291"/>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FB4067" w:rsidRDefault="00F32B99">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page">
            <wp:align>right</wp:align>
          </wp:positionH>
          <wp:positionV relativeFrom="paragraph">
            <wp:posOffset>-1276302</wp:posOffset>
          </wp:positionV>
          <wp:extent cx="7813085" cy="10170000"/>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D63"/>
    <w:multiLevelType w:val="multilevel"/>
    <w:tmpl w:val="F3E67C6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1655694B"/>
    <w:multiLevelType w:val="multilevel"/>
    <w:tmpl w:val="5AEC8422"/>
    <w:lvl w:ilvl="0">
      <w:start w:val="58"/>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3B095D"/>
    <w:multiLevelType w:val="multilevel"/>
    <w:tmpl w:val="C504C448"/>
    <w:lvl w:ilvl="0">
      <w:start w:val="1"/>
      <w:numFmt w:val="decimal"/>
      <w:lvlText w:val="%1."/>
      <w:lvlJc w:val="left"/>
      <w:pPr>
        <w:ind w:left="360" w:hanging="360"/>
      </w:pPr>
      <w:rPr>
        <w:rFonts w:ascii="Palatino Linotype" w:eastAsia="Arial" w:hAnsi="Palatino Linotype" w:cs="Arial" w:hint="default"/>
        <w:b/>
        <w:bCs/>
        <w:i w:val="0"/>
        <w:iCs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673818"/>
    <w:multiLevelType w:val="multilevel"/>
    <w:tmpl w:val="3E8C0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5855A1"/>
    <w:multiLevelType w:val="multilevel"/>
    <w:tmpl w:val="A73C5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6E6BFB"/>
    <w:multiLevelType w:val="multilevel"/>
    <w:tmpl w:val="7FB47DF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6726295"/>
    <w:multiLevelType w:val="multilevel"/>
    <w:tmpl w:val="8F321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40613C"/>
    <w:multiLevelType w:val="multilevel"/>
    <w:tmpl w:val="02F031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432386"/>
    <w:multiLevelType w:val="multilevel"/>
    <w:tmpl w:val="092665C8"/>
    <w:lvl w:ilvl="0">
      <w:start w:val="1"/>
      <w:numFmt w:val="decimal"/>
      <w:lvlText w:val="%1."/>
      <w:lvlJc w:val="left"/>
      <w:pPr>
        <w:ind w:left="1287" w:hanging="360"/>
      </w:pPr>
      <w:rPr>
        <w:rFonts w:ascii="Arial" w:eastAsia="Arial" w:hAnsi="Arial" w:cs="Arial"/>
        <w:b/>
        <w:bC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63E76564"/>
    <w:multiLevelType w:val="multilevel"/>
    <w:tmpl w:val="F5124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AB350A"/>
    <w:multiLevelType w:val="multilevel"/>
    <w:tmpl w:val="0744073E"/>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3"/>
  </w:num>
  <w:num w:numId="2">
    <w:abstractNumId w:val="10"/>
  </w:num>
  <w:num w:numId="3">
    <w:abstractNumId w:val="5"/>
  </w:num>
  <w:num w:numId="4">
    <w:abstractNumId w:val="0"/>
  </w:num>
  <w:num w:numId="5">
    <w:abstractNumId w:val="9"/>
  </w:num>
  <w:num w:numId="6">
    <w:abstractNumId w:val="1"/>
  </w:num>
  <w:num w:numId="7">
    <w:abstractNumId w:val="7"/>
  </w:num>
  <w:num w:numId="8">
    <w:abstractNumId w:val="6"/>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067"/>
    <w:rsid w:val="001C5118"/>
    <w:rsid w:val="002642F1"/>
    <w:rsid w:val="002738FC"/>
    <w:rsid w:val="00382BA7"/>
    <w:rsid w:val="003B697B"/>
    <w:rsid w:val="0044645F"/>
    <w:rsid w:val="0058390D"/>
    <w:rsid w:val="0061619B"/>
    <w:rsid w:val="0074300D"/>
    <w:rsid w:val="00790786"/>
    <w:rsid w:val="00827B99"/>
    <w:rsid w:val="00A61CD0"/>
    <w:rsid w:val="00A94D53"/>
    <w:rsid w:val="00A94DF6"/>
    <w:rsid w:val="00ED7F6F"/>
    <w:rsid w:val="00F138A4"/>
    <w:rsid w:val="00F27BAE"/>
    <w:rsid w:val="00F32B99"/>
    <w:rsid w:val="00FB40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4A51C5-C055-426D-B948-E1711E15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F32B99"/>
    <w:pPr>
      <w:tabs>
        <w:tab w:val="center" w:pos="4419"/>
        <w:tab w:val="right" w:pos="8838"/>
      </w:tabs>
    </w:pPr>
  </w:style>
  <w:style w:type="character" w:customStyle="1" w:styleId="EncabezadoCar">
    <w:name w:val="Encabezado Car"/>
    <w:basedOn w:val="Fuentedeprrafopredeter"/>
    <w:link w:val="Encabezado"/>
    <w:uiPriority w:val="99"/>
    <w:rsid w:val="00F32B99"/>
  </w:style>
  <w:style w:type="paragraph" w:styleId="Piedepgina">
    <w:name w:val="footer"/>
    <w:basedOn w:val="Normal"/>
    <w:link w:val="PiedepginaCar"/>
    <w:uiPriority w:val="99"/>
    <w:unhideWhenUsed/>
    <w:rsid w:val="00F32B99"/>
    <w:pPr>
      <w:tabs>
        <w:tab w:val="center" w:pos="4419"/>
        <w:tab w:val="right" w:pos="8838"/>
      </w:tabs>
    </w:pPr>
  </w:style>
  <w:style w:type="character" w:customStyle="1" w:styleId="PiedepginaCar">
    <w:name w:val="Pie de página Car"/>
    <w:basedOn w:val="Fuentedeprrafopredeter"/>
    <w:link w:val="Piedepgina"/>
    <w:uiPriority w:val="99"/>
    <w:rsid w:val="00F32B99"/>
  </w:style>
  <w:style w:type="paragraph" w:styleId="Prrafodelista">
    <w:name w:val="List Paragraph"/>
    <w:basedOn w:val="Normal"/>
    <w:uiPriority w:val="34"/>
    <w:qFormat/>
    <w:rsid w:val="00F32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10248.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728920.pag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728161.page" TargetMode="External"/><Relationship Id="rId4" Type="http://schemas.openxmlformats.org/officeDocument/2006/relationships/settings" Target="settings.xml"/><Relationship Id="rId9" Type="http://schemas.openxmlformats.org/officeDocument/2006/relationships/hyperlink" Target="https://saimex.org.mx/saimex/solicitud/downloadAttach/2710249.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MIsSn50ZE9OEO1b8gvcvneLgQ==">CgMxLjAyDmgubG1ydWVoaGJ6enQ1MgloLjN6bnlzaDcyDmguZjY0czdhemhpNW56Mg5oLmtpbmx1bXZpbXR4dzIOaC5qbG53MTdwZG5qdmkyDmgudjBjNzdiNXBubGZzMg5oLnJ0enB3cXNsbjN4YjIOaC5rMDV0Z3F4eWE4NHIyCWguMXQzaDVzZjIJaC40ZDM0b2c4MgloLjJzOGV5bzEyCWguMjZpbjFyZzIJaC4zNW5rdW4yMg5oLnUxcjBxeGI5a3U0czIOaC5obnBqczdmaXF5NmwyDmguNXF1N3QwZzZrbTl3OAByITE3S3RLMWh5bVhzTkdpSmlyZ3N3Y0hwRFZwd0VTMlpQ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50</Pages>
  <Words>13040</Words>
  <Characters>71726</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11</cp:revision>
  <cp:lastPrinted>2026-06-12T17:04:00Z</cp:lastPrinted>
  <dcterms:created xsi:type="dcterms:W3CDTF">2026-06-08T18:10:00Z</dcterms:created>
  <dcterms:modified xsi:type="dcterms:W3CDTF">2026-06-16T19:34:00Z</dcterms:modified>
</cp:coreProperties>
</file>