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242F" w:rsidRPr="00DD6E6E" w:rsidRDefault="00EB242F" w:rsidP="00EB242F">
      <w:pPr>
        <w:spacing w:line="360" w:lineRule="auto"/>
        <w:jc w:val="both"/>
        <w:rPr>
          <w:rFonts w:ascii="Palatino Linotype" w:eastAsia="Palatino Linotype" w:hAnsi="Palatino Linotype" w:cs="Palatino Linotype"/>
        </w:rPr>
      </w:pPr>
      <w:r w:rsidRPr="00DD6E6E">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de fecha </w:t>
      </w:r>
      <w:r w:rsidRPr="00DD6E6E">
        <w:rPr>
          <w:rFonts w:ascii="Palatino Linotype" w:eastAsia="Palatino Linotype" w:hAnsi="Palatino Linotype" w:cs="Palatino Linotype"/>
          <w:b/>
        </w:rPr>
        <w:t>diecisiete</w:t>
      </w:r>
      <w:r w:rsidR="00DD6E6E">
        <w:rPr>
          <w:rFonts w:ascii="Palatino Linotype" w:eastAsia="Palatino Linotype" w:hAnsi="Palatino Linotype" w:cs="Palatino Linotype"/>
          <w:b/>
        </w:rPr>
        <w:t xml:space="preserve"> (17)</w:t>
      </w:r>
      <w:r w:rsidRPr="00DD6E6E">
        <w:rPr>
          <w:rFonts w:ascii="Palatino Linotype" w:eastAsia="Palatino Linotype" w:hAnsi="Palatino Linotype" w:cs="Palatino Linotype"/>
          <w:b/>
        </w:rPr>
        <w:t xml:space="preserve"> de junio de dos mil veintiséis</w:t>
      </w:r>
      <w:r w:rsidRPr="00DD6E6E">
        <w:rPr>
          <w:rFonts w:ascii="Palatino Linotype" w:eastAsia="Palatino Linotype" w:hAnsi="Palatino Linotype" w:cs="Palatino Linotype"/>
        </w:rPr>
        <w:t>.</w:t>
      </w:r>
    </w:p>
    <w:p w:rsidR="00EB242F" w:rsidRPr="00DD6E6E" w:rsidRDefault="00EB242F" w:rsidP="00EB242F">
      <w:pPr>
        <w:jc w:val="both"/>
        <w:rPr>
          <w:rFonts w:ascii="Palatino Linotype" w:eastAsia="Palatino Linotype" w:hAnsi="Palatino Linotype" w:cs="Palatino Linotype"/>
        </w:rPr>
      </w:pPr>
    </w:p>
    <w:p w:rsidR="00EB242F" w:rsidRPr="00DD6E6E" w:rsidRDefault="00EB242F" w:rsidP="00EB242F">
      <w:pPr>
        <w:spacing w:line="360" w:lineRule="auto"/>
        <w:jc w:val="both"/>
        <w:rPr>
          <w:rFonts w:ascii="Palatino Linotype" w:eastAsia="Palatino Linotype" w:hAnsi="Palatino Linotype" w:cs="Palatino Linotype"/>
        </w:rPr>
      </w:pPr>
      <w:r w:rsidRPr="00DD6E6E">
        <w:rPr>
          <w:rFonts w:ascii="Palatino Linotype" w:eastAsia="Palatino Linotype" w:hAnsi="Palatino Linotype" w:cs="Palatino Linotype"/>
          <w:b/>
          <w:bCs/>
        </w:rPr>
        <w:t>VISTO</w:t>
      </w:r>
      <w:r w:rsidRPr="00DD6E6E">
        <w:rPr>
          <w:rFonts w:ascii="Palatino Linotype" w:eastAsia="Palatino Linotype" w:hAnsi="Palatino Linotype" w:cs="Palatino Linotype"/>
        </w:rPr>
        <w:t xml:space="preserve"> el expediente electrónico formado con motivo del recurso de revisión </w:t>
      </w:r>
      <w:r w:rsidRPr="00DD6E6E">
        <w:rPr>
          <w:rFonts w:ascii="Palatino Linotype" w:eastAsia="Palatino Linotype" w:hAnsi="Palatino Linotype" w:cs="Palatino Linotype"/>
          <w:b/>
          <w:bCs/>
        </w:rPr>
        <w:t xml:space="preserve">03843/INFOEM/IP/RR/2026, </w:t>
      </w:r>
      <w:r w:rsidRPr="00DD6E6E">
        <w:rPr>
          <w:rFonts w:ascii="Palatino Linotype" w:eastAsia="Palatino Linotype" w:hAnsi="Palatino Linotype" w:cs="Palatino Linotype"/>
        </w:rPr>
        <w:t xml:space="preserve">promovido por </w:t>
      </w:r>
      <w:r w:rsidR="00E938F2">
        <w:rPr>
          <w:rFonts w:ascii="Palatino Linotype" w:eastAsia="Palatino Linotype" w:hAnsi="Palatino Linotype" w:cs="Palatino Linotype"/>
          <w:b/>
          <w:bCs/>
        </w:rPr>
        <w:t>XXXX</w:t>
      </w:r>
      <w:r w:rsidRPr="00DD6E6E">
        <w:rPr>
          <w:rFonts w:ascii="Palatino Linotype" w:eastAsia="Palatino Linotype" w:hAnsi="Palatino Linotype" w:cs="Palatino Linotype"/>
          <w:b/>
          <w:bCs/>
        </w:rPr>
        <w:t>,</w:t>
      </w:r>
      <w:r w:rsidRPr="00DD6E6E">
        <w:rPr>
          <w:rFonts w:ascii="Palatino Linotype" w:eastAsia="Palatino Linotype" w:hAnsi="Palatino Linotype" w:cs="Palatino Linotype"/>
        </w:rPr>
        <w:t xml:space="preserve"> a quien en lo suc</w:t>
      </w:r>
      <w:r w:rsidR="008A6180" w:rsidRPr="00DD6E6E">
        <w:rPr>
          <w:rFonts w:ascii="Palatino Linotype" w:eastAsia="Palatino Linotype" w:hAnsi="Palatino Linotype" w:cs="Palatino Linotype"/>
        </w:rPr>
        <w:t>esivo se le identificara como la</w:t>
      </w:r>
      <w:r w:rsidRPr="00DD6E6E">
        <w:rPr>
          <w:rFonts w:ascii="Palatino Linotype" w:eastAsia="Palatino Linotype" w:hAnsi="Palatino Linotype" w:cs="Palatino Linotype"/>
        </w:rPr>
        <w:t xml:space="preserve"> </w:t>
      </w:r>
      <w:r w:rsidRPr="00DD6E6E">
        <w:rPr>
          <w:rFonts w:ascii="Palatino Linotype" w:eastAsia="Palatino Linotype" w:hAnsi="Palatino Linotype" w:cs="Palatino Linotype"/>
          <w:b/>
        </w:rPr>
        <w:t>RECURRENTE</w:t>
      </w:r>
      <w:r w:rsidRPr="00DD6E6E">
        <w:rPr>
          <w:rFonts w:ascii="Palatino Linotype" w:eastAsia="Palatino Linotype" w:hAnsi="Palatino Linotype" w:cs="Palatino Linotype"/>
          <w:b/>
          <w:bCs/>
        </w:rPr>
        <w:t>,</w:t>
      </w:r>
      <w:r w:rsidRPr="00DD6E6E">
        <w:rPr>
          <w:rFonts w:ascii="Palatino Linotype" w:eastAsia="Palatino Linotype" w:hAnsi="Palatino Linotype" w:cs="Palatino Linotype"/>
        </w:rPr>
        <w:t xml:space="preserve"> en contra de la respuesta del </w:t>
      </w:r>
      <w:r w:rsidR="008A6180" w:rsidRPr="00DD6E6E">
        <w:rPr>
          <w:rFonts w:ascii="Palatino Linotype" w:eastAsia="Palatino Linotype" w:hAnsi="Palatino Linotype" w:cs="Palatino Linotype"/>
          <w:b/>
          <w:bCs/>
          <w:color w:val="000000"/>
        </w:rPr>
        <w:t>Partido Acción Nacional</w:t>
      </w:r>
      <w:r w:rsidRPr="00DD6E6E">
        <w:rPr>
          <w:rFonts w:ascii="Palatino Linotype" w:eastAsia="Palatino Linotype" w:hAnsi="Palatino Linotype" w:cs="Palatino Linotype"/>
          <w:b/>
          <w:bCs/>
        </w:rPr>
        <w:t xml:space="preserve">, </w:t>
      </w:r>
      <w:r w:rsidRPr="00DD6E6E">
        <w:rPr>
          <w:rFonts w:ascii="Palatino Linotype" w:eastAsia="Palatino Linotype" w:hAnsi="Palatino Linotype" w:cs="Palatino Linotype"/>
        </w:rPr>
        <w:t>en adelante el</w:t>
      </w:r>
      <w:r w:rsidRPr="00DD6E6E">
        <w:rPr>
          <w:rFonts w:ascii="Palatino Linotype" w:eastAsia="Palatino Linotype" w:hAnsi="Palatino Linotype" w:cs="Palatino Linotype"/>
          <w:b/>
          <w:bCs/>
        </w:rPr>
        <w:t xml:space="preserve"> SUJETO OBLIGADO</w:t>
      </w:r>
      <w:r w:rsidRPr="00DD6E6E">
        <w:rPr>
          <w:rFonts w:ascii="Palatino Linotype" w:eastAsia="Palatino Linotype" w:hAnsi="Palatino Linotype" w:cs="Palatino Linotype"/>
        </w:rPr>
        <w:t>, por lo que se procede a dictar la presente resolución, con base en los siguientes:</w:t>
      </w:r>
    </w:p>
    <w:p w:rsidR="00EB242F" w:rsidRPr="00DD6E6E" w:rsidRDefault="00EB242F" w:rsidP="00EB242F">
      <w:pPr>
        <w:jc w:val="both"/>
        <w:rPr>
          <w:rFonts w:ascii="Palatino Linotype" w:eastAsia="Palatino Linotype" w:hAnsi="Palatino Linotype" w:cs="Palatino Linotype"/>
        </w:rPr>
      </w:pPr>
    </w:p>
    <w:p w:rsidR="00EB242F" w:rsidRPr="00DD6E6E" w:rsidRDefault="00EB242F" w:rsidP="00EB242F">
      <w:pPr>
        <w:keepNext/>
        <w:keepLines/>
        <w:spacing w:line="360" w:lineRule="auto"/>
        <w:jc w:val="center"/>
        <w:rPr>
          <w:rFonts w:ascii="Palatino Linotype" w:eastAsia="Palatino Linotype" w:hAnsi="Palatino Linotype" w:cs="Palatino Linotype"/>
          <w:b/>
          <w:bCs/>
        </w:rPr>
      </w:pPr>
      <w:r w:rsidRPr="00DD6E6E">
        <w:rPr>
          <w:rFonts w:ascii="Palatino Linotype" w:eastAsia="Palatino Linotype" w:hAnsi="Palatino Linotype" w:cs="Palatino Linotype"/>
          <w:b/>
          <w:bCs/>
        </w:rPr>
        <w:t>A N T E C E D E N T E S</w:t>
      </w:r>
    </w:p>
    <w:p w:rsidR="00EB242F" w:rsidRPr="00DD6E6E" w:rsidRDefault="00EB242F" w:rsidP="00EB242F">
      <w:pPr>
        <w:rPr>
          <w:rFonts w:ascii="Palatino Linotype" w:eastAsia="Palatino Linotype" w:hAnsi="Palatino Linotype" w:cs="Palatino Linotype"/>
        </w:rPr>
      </w:pPr>
    </w:p>
    <w:p w:rsidR="00EB242F" w:rsidRPr="00DD6E6E" w:rsidRDefault="00EB242F" w:rsidP="00EB242F">
      <w:pPr>
        <w:numPr>
          <w:ilvl w:val="0"/>
          <w:numId w:val="1"/>
        </w:numPr>
        <w:spacing w:line="360" w:lineRule="auto"/>
        <w:ind w:left="0" w:firstLine="0"/>
        <w:jc w:val="both"/>
        <w:rPr>
          <w:rFonts w:ascii="Palatino Linotype" w:eastAsia="Palatino Linotype" w:hAnsi="Palatino Linotype" w:cs="Palatino Linotype"/>
        </w:rPr>
      </w:pPr>
      <w:bookmarkStart w:id="0" w:name="_Hlk224731752"/>
      <w:r w:rsidRPr="00DD6E6E">
        <w:rPr>
          <w:rFonts w:ascii="Palatino Linotype" w:eastAsia="Palatino Linotype" w:hAnsi="Palatino Linotype" w:cs="Palatino Linotype"/>
        </w:rPr>
        <w:t xml:space="preserve">El </w:t>
      </w:r>
      <w:r w:rsidR="008A6180" w:rsidRPr="00DD6E6E">
        <w:rPr>
          <w:rFonts w:ascii="Palatino Linotype" w:eastAsia="Palatino Linotype" w:hAnsi="Palatino Linotype" w:cs="Palatino Linotype"/>
          <w:b/>
        </w:rPr>
        <w:t>seis de marzo de dos mil veintiséis</w:t>
      </w:r>
      <w:r w:rsidR="008A6180" w:rsidRPr="00DD6E6E">
        <w:rPr>
          <w:rFonts w:ascii="Palatino Linotype" w:eastAsia="Palatino Linotype" w:hAnsi="Palatino Linotype" w:cs="Palatino Linotype"/>
        </w:rPr>
        <w:t>, la</w:t>
      </w:r>
      <w:r w:rsidRPr="00DD6E6E">
        <w:rPr>
          <w:rFonts w:ascii="Palatino Linotype" w:eastAsia="Palatino Linotype" w:hAnsi="Palatino Linotype" w:cs="Palatino Linotype"/>
          <w:b/>
          <w:bCs/>
        </w:rPr>
        <w:t xml:space="preserve"> RECURRENTE </w:t>
      </w:r>
      <w:r w:rsidRPr="00DD6E6E">
        <w:rPr>
          <w:rFonts w:ascii="Palatino Linotype" w:eastAsia="Palatino Linotype" w:hAnsi="Palatino Linotype" w:cs="Palatino Linotype"/>
        </w:rPr>
        <w:t xml:space="preserve">presentó ante el </w:t>
      </w:r>
      <w:r w:rsidRPr="00DD6E6E">
        <w:rPr>
          <w:rFonts w:ascii="Palatino Linotype" w:eastAsia="Palatino Linotype" w:hAnsi="Palatino Linotype" w:cs="Palatino Linotype"/>
          <w:b/>
          <w:bCs/>
        </w:rPr>
        <w:t>SUJETO OBLIGADO,</w:t>
      </w:r>
      <w:r w:rsidRPr="00DD6E6E">
        <w:rPr>
          <w:rFonts w:ascii="Palatino Linotype" w:eastAsia="Palatino Linotype" w:hAnsi="Palatino Linotype" w:cs="Palatino Linotype"/>
        </w:rPr>
        <w:t xml:space="preserve"> a través del el Sistema de Acceso a la Información Mexiquense </w:t>
      </w:r>
      <w:r w:rsidRPr="00DD6E6E">
        <w:rPr>
          <w:rFonts w:ascii="Palatino Linotype" w:eastAsia="Palatino Linotype" w:hAnsi="Palatino Linotype" w:cs="Palatino Linotype"/>
          <w:b/>
          <w:bCs/>
        </w:rPr>
        <w:t>(SAIMEX),</w:t>
      </w:r>
      <w:r w:rsidRPr="00DD6E6E">
        <w:rPr>
          <w:rFonts w:ascii="Palatino Linotype" w:eastAsia="Palatino Linotype" w:hAnsi="Palatino Linotype" w:cs="Palatino Linotype"/>
        </w:rPr>
        <w:t xml:space="preserve"> la solicitud de información pública </w:t>
      </w:r>
      <w:r w:rsidR="008A6180" w:rsidRPr="00DD6E6E">
        <w:rPr>
          <w:rFonts w:ascii="Palatino Linotype" w:eastAsia="Palatino Linotype" w:hAnsi="Palatino Linotype" w:cs="Palatino Linotype"/>
          <w:b/>
          <w:bCs/>
        </w:rPr>
        <w:t>00008/PAN/IP/2026</w:t>
      </w:r>
      <w:r w:rsidRPr="00DD6E6E">
        <w:rPr>
          <w:rFonts w:ascii="Palatino Linotype" w:eastAsia="Palatino Linotype" w:hAnsi="Palatino Linotype" w:cs="Palatino Linotype"/>
        </w:rPr>
        <w:t>, la solicitud de información se solicitó lo siguiente:</w:t>
      </w:r>
    </w:p>
    <w:p w:rsidR="00EB242F" w:rsidRPr="00DD6E6E" w:rsidRDefault="00EB242F" w:rsidP="00EB242F">
      <w:pPr>
        <w:jc w:val="both"/>
        <w:rPr>
          <w:rFonts w:ascii="Palatino Linotype" w:eastAsia="Palatino Linotype" w:hAnsi="Palatino Linotype" w:cs="Palatino Linotype"/>
          <w:i/>
          <w:iCs/>
        </w:rPr>
      </w:pPr>
      <w:bookmarkStart w:id="1" w:name="_GoBack"/>
      <w:bookmarkEnd w:id="1"/>
    </w:p>
    <w:p w:rsidR="00EB242F" w:rsidRPr="00DD6E6E" w:rsidRDefault="00EB242F" w:rsidP="00EB242F">
      <w:pPr>
        <w:ind w:left="1134" w:right="1389"/>
        <w:jc w:val="both"/>
        <w:rPr>
          <w:rFonts w:ascii="Palatino Linotype" w:eastAsia="Palatino Linotype" w:hAnsi="Palatino Linotype" w:cs="Palatino Linotype"/>
          <w:i/>
          <w:iCs/>
        </w:rPr>
      </w:pPr>
      <w:r w:rsidRPr="00DD6E6E">
        <w:rPr>
          <w:rFonts w:ascii="Palatino Linotype" w:eastAsia="Palatino Linotype" w:hAnsi="Palatino Linotype" w:cs="Palatino Linotype"/>
          <w:i/>
          <w:iCs/>
          <w:color w:val="000000"/>
        </w:rPr>
        <w:t>“</w:t>
      </w:r>
      <w:r w:rsidR="00A06D09" w:rsidRPr="00DD6E6E">
        <w:rPr>
          <w:rFonts w:ascii="Palatino Linotype" w:hAnsi="Palatino Linotype"/>
          <w:i/>
          <w:color w:val="000000"/>
        </w:rPr>
        <w:t>Solicito se me proporcione listado de los militantes que votaron en la asamblea municipal de naucalpan del partido acción nacional que se llevó a cabo el día 31 de agosto de 2025, por orden alfabetico de apellido paterno.</w:t>
      </w:r>
      <w:r w:rsidRPr="00DD6E6E">
        <w:rPr>
          <w:rFonts w:ascii="Palatino Linotype" w:hAnsi="Palatino Linotype"/>
          <w:i/>
          <w:color w:val="000000"/>
        </w:rPr>
        <w:t>”</w:t>
      </w:r>
      <w:r w:rsidRPr="00DD6E6E">
        <w:rPr>
          <w:rFonts w:ascii="Palatino Linotype" w:eastAsia="Palatino Linotype" w:hAnsi="Palatino Linotype" w:cs="Palatino Linotype"/>
          <w:i/>
          <w:iCs/>
          <w:color w:val="000000"/>
        </w:rPr>
        <w:t xml:space="preserve"> (Sic) </w:t>
      </w:r>
    </w:p>
    <w:p w:rsidR="00EB242F" w:rsidRDefault="00EB242F" w:rsidP="00EB242F">
      <w:pPr>
        <w:pBdr>
          <w:top w:val="nil"/>
          <w:left w:val="nil"/>
          <w:bottom w:val="nil"/>
          <w:right w:val="nil"/>
          <w:between w:val="nil"/>
        </w:pBdr>
        <w:jc w:val="both"/>
        <w:rPr>
          <w:rFonts w:ascii="Palatino Linotype" w:eastAsia="Palatino Linotype" w:hAnsi="Palatino Linotype" w:cs="Palatino Linotype"/>
          <w:color w:val="000000"/>
        </w:rPr>
      </w:pPr>
    </w:p>
    <w:p w:rsidR="00DD6E6E" w:rsidRDefault="00DD6E6E" w:rsidP="00EB242F">
      <w:pPr>
        <w:pBdr>
          <w:top w:val="nil"/>
          <w:left w:val="nil"/>
          <w:bottom w:val="nil"/>
          <w:right w:val="nil"/>
          <w:between w:val="nil"/>
        </w:pBdr>
        <w:jc w:val="both"/>
        <w:rPr>
          <w:rFonts w:ascii="Palatino Linotype" w:eastAsia="Palatino Linotype" w:hAnsi="Palatino Linotype" w:cs="Palatino Linotype"/>
          <w:color w:val="000000"/>
        </w:rPr>
      </w:pPr>
    </w:p>
    <w:p w:rsidR="00EB242F" w:rsidRPr="00DD6E6E" w:rsidRDefault="00EB242F" w:rsidP="00EB242F">
      <w:pPr>
        <w:numPr>
          <w:ilvl w:val="0"/>
          <w:numId w:val="1"/>
        </w:numPr>
        <w:spacing w:line="360" w:lineRule="auto"/>
        <w:ind w:left="0" w:firstLine="0"/>
        <w:jc w:val="both"/>
        <w:rPr>
          <w:rFonts w:ascii="Palatino Linotype" w:eastAsia="Palatino Linotype" w:hAnsi="Palatino Linotype" w:cs="Palatino Linotype"/>
        </w:rPr>
      </w:pPr>
      <w:r w:rsidRPr="00DD6E6E">
        <w:rPr>
          <w:rFonts w:ascii="Palatino Linotype" w:eastAsia="Palatino Linotype" w:hAnsi="Palatino Linotype" w:cs="Palatino Linotype"/>
        </w:rPr>
        <w:t xml:space="preserve">Se hace constar que se señaló como modalidad de entrega de la información a través del </w:t>
      </w:r>
      <w:r w:rsidRPr="00DD6E6E">
        <w:rPr>
          <w:rFonts w:ascii="Palatino Linotype" w:eastAsia="Palatino Linotype" w:hAnsi="Palatino Linotype" w:cs="Palatino Linotype"/>
          <w:b/>
          <w:bCs/>
        </w:rPr>
        <w:t>SAIMEX.</w:t>
      </w:r>
    </w:p>
    <w:p w:rsidR="00EB242F" w:rsidRPr="00DD6E6E" w:rsidRDefault="00EB242F" w:rsidP="00EB242F">
      <w:pPr>
        <w:spacing w:line="360" w:lineRule="auto"/>
        <w:jc w:val="both"/>
        <w:rPr>
          <w:rFonts w:ascii="Palatino Linotype" w:eastAsia="Palatino Linotype" w:hAnsi="Palatino Linotype" w:cs="Palatino Linotype"/>
        </w:rPr>
      </w:pPr>
    </w:p>
    <w:p w:rsidR="00EB242F" w:rsidRPr="00DD6E6E" w:rsidRDefault="00EB242F" w:rsidP="00A06D09">
      <w:pPr>
        <w:rPr>
          <w:rFonts w:ascii="Palatino Linotype" w:eastAsia="Palatino Linotype" w:hAnsi="Palatino Linotype" w:cs="Palatino Linotype"/>
        </w:rPr>
      </w:pPr>
    </w:p>
    <w:p w:rsidR="00EB242F" w:rsidRPr="00DD6E6E" w:rsidRDefault="00EB242F" w:rsidP="00EB242F">
      <w:pPr>
        <w:numPr>
          <w:ilvl w:val="0"/>
          <w:numId w:val="1"/>
        </w:numPr>
        <w:spacing w:line="360" w:lineRule="auto"/>
        <w:ind w:left="0" w:firstLine="0"/>
        <w:jc w:val="both"/>
        <w:rPr>
          <w:rFonts w:ascii="Palatino Linotype" w:eastAsia="Palatino Linotype" w:hAnsi="Palatino Linotype" w:cs="Palatino Linotype"/>
        </w:rPr>
      </w:pPr>
      <w:r w:rsidRPr="00DD6E6E">
        <w:rPr>
          <w:rFonts w:ascii="Palatino Linotype" w:eastAsia="Palatino Linotype" w:hAnsi="Palatino Linotype" w:cs="Palatino Linotype"/>
        </w:rPr>
        <w:lastRenderedPageBreak/>
        <w:t xml:space="preserve">El </w:t>
      </w:r>
      <w:r w:rsidR="005D0CB9" w:rsidRPr="00DD6E6E">
        <w:rPr>
          <w:rFonts w:ascii="Palatino Linotype" w:eastAsia="Palatino Linotype" w:hAnsi="Palatino Linotype" w:cs="Palatino Linotype"/>
          <w:b/>
        </w:rPr>
        <w:t>veinticuatro de marzo de dos mil veintiséis</w:t>
      </w:r>
      <w:r w:rsidRPr="00DD6E6E">
        <w:rPr>
          <w:rFonts w:ascii="Palatino Linotype" w:eastAsia="Palatino Linotype" w:hAnsi="Palatino Linotype" w:cs="Palatino Linotype"/>
        </w:rPr>
        <w:t xml:space="preserve">, el </w:t>
      </w:r>
      <w:r w:rsidRPr="00DD6E6E">
        <w:rPr>
          <w:rFonts w:ascii="Palatino Linotype" w:eastAsia="Palatino Linotype" w:hAnsi="Palatino Linotype" w:cs="Palatino Linotype"/>
          <w:b/>
          <w:bCs/>
        </w:rPr>
        <w:t>SUJETO OBLIGADO</w:t>
      </w:r>
      <w:r w:rsidRPr="00DD6E6E">
        <w:rPr>
          <w:rFonts w:ascii="Palatino Linotype" w:eastAsia="Palatino Linotype" w:hAnsi="Palatino Linotype" w:cs="Palatino Linotype"/>
          <w:b/>
          <w:bCs/>
          <w:i/>
          <w:iCs/>
        </w:rPr>
        <w:t xml:space="preserve"> </w:t>
      </w:r>
      <w:r w:rsidRPr="00DD6E6E">
        <w:rPr>
          <w:rFonts w:ascii="Palatino Linotype" w:eastAsia="Palatino Linotype" w:hAnsi="Palatino Linotype" w:cs="Palatino Linotype"/>
        </w:rPr>
        <w:t xml:space="preserve">dio respuesta a la solicitud de información mediante </w:t>
      </w:r>
      <w:r w:rsidR="005D0CB9" w:rsidRPr="00DD6E6E">
        <w:rPr>
          <w:rFonts w:ascii="Palatino Linotype" w:eastAsia="Palatino Linotype" w:hAnsi="Palatino Linotype" w:cs="Palatino Linotype"/>
        </w:rPr>
        <w:t xml:space="preserve">dos archivos electrónicos </w:t>
      </w:r>
      <w:r w:rsidRPr="00DD6E6E">
        <w:rPr>
          <w:rFonts w:ascii="Palatino Linotype" w:eastAsia="Palatino Linotype" w:hAnsi="Palatino Linotype" w:cs="Palatino Linotype"/>
        </w:rPr>
        <w:t xml:space="preserve">en formato pdf, cuyo contenido grosso modo es el siguiente. </w:t>
      </w:r>
    </w:p>
    <w:p w:rsidR="005D0CB9" w:rsidRPr="00DD6E6E" w:rsidRDefault="005D0CB9" w:rsidP="005D0CB9">
      <w:pPr>
        <w:ind w:left="1134" w:right="1389"/>
        <w:jc w:val="both"/>
        <w:rPr>
          <w:rFonts w:ascii="Palatino Linotype" w:eastAsia="Palatino Linotype" w:hAnsi="Palatino Linotype" w:cs="Palatino Linotype"/>
          <w:i/>
        </w:rPr>
      </w:pPr>
      <w:r w:rsidRPr="00DD6E6E">
        <w:rPr>
          <w:rFonts w:ascii="Palatino Linotype" w:eastAsia="Palatino Linotype" w:hAnsi="Palatino Linotype" w:cs="Palatino Linotype"/>
          <w:b/>
          <w:i/>
        </w:rPr>
        <w:t xml:space="preserve">Contestación SIP 008 CEPE.pdf: </w:t>
      </w:r>
      <w:r w:rsidRPr="00DD6E6E">
        <w:rPr>
          <w:rFonts w:ascii="Palatino Linotype" w:eastAsia="Palatino Linotype" w:hAnsi="Palatino Linotype" w:cs="Palatino Linotype"/>
          <w:i/>
        </w:rPr>
        <w:t xml:space="preserve">oficio del Presidente de la Comisión Estatal de Procesos Electorales, mediante el cual informa que las listas que fueron recibidas fueron las del registro correspondiente a la Asamblea Municipal, más no a las listas de votación. </w:t>
      </w:r>
    </w:p>
    <w:p w:rsidR="00EB242F" w:rsidRPr="00DD6E6E" w:rsidRDefault="005D0CB9" w:rsidP="005D0CB9">
      <w:pPr>
        <w:ind w:left="1134" w:right="1389"/>
        <w:jc w:val="both"/>
        <w:rPr>
          <w:rFonts w:ascii="Palatino Linotype" w:eastAsia="Palatino Linotype" w:hAnsi="Palatino Linotype" w:cs="Palatino Linotype"/>
          <w:i/>
        </w:rPr>
      </w:pPr>
      <w:r w:rsidRPr="00DD6E6E">
        <w:rPr>
          <w:rFonts w:ascii="Palatino Linotype" w:eastAsia="Palatino Linotype" w:hAnsi="Palatino Linotype" w:cs="Palatino Linotype"/>
          <w:b/>
          <w:i/>
        </w:rPr>
        <w:t xml:space="preserve">Contestación SIP 008 por Sec. General.pdf: </w:t>
      </w:r>
      <w:r w:rsidRPr="00DD6E6E">
        <w:rPr>
          <w:rFonts w:ascii="Palatino Linotype" w:eastAsia="Palatino Linotype" w:hAnsi="Palatino Linotype" w:cs="Palatino Linotype"/>
          <w:i/>
        </w:rPr>
        <w:t xml:space="preserve">oficio de la Secretaría General del Comité Directivo Estatal del Partido Acción Nacional, mediante el cual informa que no es el área competente. </w:t>
      </w:r>
    </w:p>
    <w:p w:rsidR="005D0CB9" w:rsidRPr="00DD6E6E" w:rsidRDefault="005D0CB9" w:rsidP="005D0CB9">
      <w:pPr>
        <w:ind w:left="1134" w:right="1389"/>
        <w:jc w:val="both"/>
        <w:rPr>
          <w:rFonts w:ascii="Palatino Linotype" w:eastAsia="Palatino Linotype" w:hAnsi="Palatino Linotype" w:cs="Palatino Linotype"/>
          <w:i/>
        </w:rPr>
      </w:pPr>
    </w:p>
    <w:p w:rsidR="00EB242F" w:rsidRPr="00DD6E6E" w:rsidRDefault="00EB242F" w:rsidP="00EB242F">
      <w:pPr>
        <w:numPr>
          <w:ilvl w:val="0"/>
          <w:numId w:val="1"/>
        </w:numPr>
        <w:spacing w:line="360" w:lineRule="auto"/>
        <w:ind w:left="0" w:right="1" w:firstLine="0"/>
        <w:jc w:val="both"/>
        <w:rPr>
          <w:rFonts w:ascii="Palatino Linotype" w:eastAsia="Palatino Linotype" w:hAnsi="Palatino Linotype" w:cs="Palatino Linotype"/>
        </w:rPr>
      </w:pPr>
      <w:r w:rsidRPr="00DD6E6E">
        <w:rPr>
          <w:rFonts w:ascii="Palatino Linotype" w:eastAsia="Palatino Linotype" w:hAnsi="Palatino Linotype" w:cs="Palatino Linotype"/>
        </w:rPr>
        <w:t xml:space="preserve">El </w:t>
      </w:r>
      <w:r w:rsidR="00EF5DCD" w:rsidRPr="00DD6E6E">
        <w:rPr>
          <w:rFonts w:ascii="Palatino Linotype" w:eastAsia="Palatino Linotype" w:hAnsi="Palatino Linotype" w:cs="Palatino Linotype"/>
          <w:b/>
        </w:rPr>
        <w:t>diez de abril de dos mil veintiséis</w:t>
      </w:r>
      <w:r w:rsidRPr="00DD6E6E">
        <w:rPr>
          <w:rFonts w:ascii="Palatino Linotype" w:eastAsia="Palatino Linotype" w:hAnsi="Palatino Linotype" w:cs="Palatino Linotype"/>
        </w:rPr>
        <w:t>,</w:t>
      </w:r>
      <w:r w:rsidRPr="00DD6E6E">
        <w:rPr>
          <w:rFonts w:ascii="Palatino Linotype" w:eastAsia="Palatino Linotype" w:hAnsi="Palatino Linotype" w:cs="Palatino Linotype"/>
          <w:b/>
          <w:bCs/>
        </w:rPr>
        <w:t xml:space="preserve"> </w:t>
      </w:r>
      <w:r w:rsidRPr="00DD6E6E">
        <w:rPr>
          <w:rFonts w:ascii="Palatino Linotype" w:eastAsia="Palatino Linotype" w:hAnsi="Palatino Linotype" w:cs="Palatino Linotype"/>
        </w:rPr>
        <w:t xml:space="preserve">el </w:t>
      </w:r>
      <w:r w:rsidRPr="00DD6E6E">
        <w:rPr>
          <w:rFonts w:ascii="Palatino Linotype" w:eastAsia="Palatino Linotype" w:hAnsi="Palatino Linotype" w:cs="Palatino Linotype"/>
          <w:b/>
          <w:bCs/>
        </w:rPr>
        <w:t>RECURRENTE</w:t>
      </w:r>
      <w:r w:rsidRPr="00DD6E6E">
        <w:rPr>
          <w:rFonts w:ascii="Palatino Linotype" w:eastAsia="Palatino Linotype" w:hAnsi="Palatino Linotype" w:cs="Palatino Linotype"/>
        </w:rPr>
        <w:t xml:space="preserve"> interpuso el recurso de revisión en contra de la respuesta, señalando como:</w:t>
      </w:r>
    </w:p>
    <w:p w:rsidR="00EB242F" w:rsidRPr="00DD6E6E" w:rsidRDefault="00EB242F" w:rsidP="00EB242F">
      <w:pPr>
        <w:ind w:right="1"/>
        <w:jc w:val="both"/>
        <w:rPr>
          <w:rFonts w:ascii="Palatino Linotype" w:eastAsia="Palatino Linotype" w:hAnsi="Palatino Linotype" w:cs="Palatino Linotype"/>
        </w:rPr>
      </w:pPr>
    </w:p>
    <w:p w:rsidR="00EB242F" w:rsidRPr="00DD6E6E" w:rsidRDefault="00EB242F" w:rsidP="00DD6E6E">
      <w:pPr>
        <w:pStyle w:val="Prrafodelista"/>
        <w:numPr>
          <w:ilvl w:val="0"/>
          <w:numId w:val="13"/>
        </w:numPr>
        <w:ind w:left="1134" w:right="1389"/>
        <w:jc w:val="both"/>
        <w:rPr>
          <w:rFonts w:ascii="Palatino Linotype" w:eastAsia="Palatino Linotype" w:hAnsi="Palatino Linotype" w:cs="Palatino Linotype"/>
          <w:i/>
          <w:iCs/>
          <w:sz w:val="24"/>
        </w:rPr>
      </w:pPr>
      <w:r w:rsidRPr="00DD6E6E">
        <w:rPr>
          <w:rFonts w:ascii="Palatino Linotype" w:eastAsia="Palatino Linotype" w:hAnsi="Palatino Linotype" w:cs="Palatino Linotype"/>
          <w:b/>
          <w:bCs/>
          <w:sz w:val="24"/>
        </w:rPr>
        <w:t>Acto impugnado</w:t>
      </w:r>
      <w:r w:rsidRPr="00DD6E6E">
        <w:rPr>
          <w:rFonts w:ascii="Palatino Linotype" w:eastAsia="Palatino Linotype" w:hAnsi="Palatino Linotype" w:cs="Palatino Linotype"/>
          <w:b/>
          <w:bCs/>
          <w:i/>
          <w:iCs/>
          <w:sz w:val="24"/>
        </w:rPr>
        <w:t>:</w:t>
      </w:r>
      <w:r w:rsidRPr="00DD6E6E">
        <w:rPr>
          <w:rFonts w:ascii="Palatino Linotype" w:eastAsia="Palatino Linotype" w:hAnsi="Palatino Linotype" w:cs="Palatino Linotype"/>
          <w:i/>
          <w:iCs/>
          <w:color w:val="000000"/>
          <w:sz w:val="24"/>
        </w:rPr>
        <w:t xml:space="preserve"> "</w:t>
      </w:r>
      <w:r w:rsidR="004E62A4" w:rsidRPr="00DD6E6E">
        <w:rPr>
          <w:rFonts w:ascii="Palatino Linotype" w:hAnsi="Palatino Linotype"/>
          <w:i/>
          <w:color w:val="000000"/>
          <w:sz w:val="24"/>
        </w:rPr>
        <w:t>Respuesta dada a la solicitud de información con folio 0008/PAN/IP/2026.</w:t>
      </w:r>
      <w:r w:rsidRPr="00DD6E6E">
        <w:rPr>
          <w:rFonts w:ascii="Palatino Linotype" w:eastAsia="Palatino Linotype" w:hAnsi="Palatino Linotype" w:cs="Palatino Linotype"/>
          <w:i/>
          <w:iCs/>
          <w:color w:val="000000"/>
          <w:sz w:val="24"/>
        </w:rPr>
        <w:t>” (Sic)</w:t>
      </w:r>
    </w:p>
    <w:p w:rsidR="00EB242F" w:rsidRPr="00DD6E6E" w:rsidRDefault="00EB242F" w:rsidP="00EB242F">
      <w:pPr>
        <w:ind w:left="1134" w:right="1389"/>
        <w:jc w:val="both"/>
        <w:rPr>
          <w:rFonts w:ascii="Palatino Linotype" w:eastAsia="Palatino Linotype" w:hAnsi="Palatino Linotype" w:cs="Palatino Linotype"/>
        </w:rPr>
      </w:pPr>
    </w:p>
    <w:p w:rsidR="00EB242F" w:rsidRPr="00DD6E6E" w:rsidRDefault="00EB242F" w:rsidP="00DD6E6E">
      <w:pPr>
        <w:pStyle w:val="Prrafodelista"/>
        <w:numPr>
          <w:ilvl w:val="0"/>
          <w:numId w:val="13"/>
        </w:numPr>
        <w:ind w:left="1134" w:right="1389"/>
        <w:jc w:val="both"/>
        <w:rPr>
          <w:rFonts w:ascii="Palatino Linotype" w:hAnsi="Palatino Linotype"/>
          <w:i/>
          <w:sz w:val="24"/>
        </w:rPr>
      </w:pPr>
      <w:r w:rsidRPr="00DD6E6E">
        <w:rPr>
          <w:rFonts w:ascii="Palatino Linotype" w:eastAsia="Palatino Linotype" w:hAnsi="Palatino Linotype" w:cs="Palatino Linotype"/>
          <w:b/>
          <w:bCs/>
          <w:sz w:val="24"/>
        </w:rPr>
        <w:t>Razones o Motivos de inconformidad:</w:t>
      </w:r>
      <w:r w:rsidRPr="00DD6E6E">
        <w:rPr>
          <w:rFonts w:ascii="Palatino Linotype" w:eastAsia="Palatino Linotype" w:hAnsi="Palatino Linotype" w:cs="Palatino Linotype"/>
          <w:b/>
          <w:bCs/>
          <w:i/>
          <w:sz w:val="24"/>
        </w:rPr>
        <w:t xml:space="preserve"> </w:t>
      </w:r>
      <w:r w:rsidRPr="00DD6E6E">
        <w:rPr>
          <w:rFonts w:ascii="Palatino Linotype" w:eastAsia="Palatino Linotype" w:hAnsi="Palatino Linotype" w:cs="Palatino Linotype"/>
          <w:i/>
          <w:iCs/>
          <w:color w:val="000000"/>
          <w:sz w:val="24"/>
        </w:rPr>
        <w:t>“</w:t>
      </w:r>
      <w:r w:rsidR="004E62A4" w:rsidRPr="00DD6E6E">
        <w:rPr>
          <w:rFonts w:ascii="Palatino Linotype" w:hAnsi="Palatino Linotype"/>
          <w:i/>
          <w:color w:val="000000"/>
          <w:sz w:val="24"/>
        </w:rPr>
        <w:t>El sujeto obligado a través del titular de la unidad de transparencia genera opacidad en la información pública, esto debido a que el sujeto obligado no dirige una respuesta a mi persona, respuesta que debe recaer sobre mi petición, lo cual no hizo, y únicamente sube a la plataforma la respuesta dada al Titular de dicha Unidad de Transparencia por parte del Secretario de la Comisión Estatal de Procesos Electorales del Partido Acción Nacional en el Estado de México, sin que haya recaído una respuesta hacia mi persona, violando los artículos 14 y 16 de la Constitución Política de los Estados Unidos Mexicanos.</w:t>
      </w:r>
      <w:r w:rsidRPr="00DD6E6E">
        <w:rPr>
          <w:rFonts w:ascii="Palatino Linotype" w:hAnsi="Palatino Linotype"/>
          <w:i/>
          <w:color w:val="000000"/>
          <w:sz w:val="24"/>
        </w:rPr>
        <w:t>.</w:t>
      </w:r>
      <w:r w:rsidRPr="00DD6E6E">
        <w:rPr>
          <w:rFonts w:ascii="Palatino Linotype" w:eastAsia="Palatino Linotype" w:hAnsi="Palatino Linotype" w:cs="Palatino Linotype"/>
          <w:i/>
          <w:iCs/>
          <w:color w:val="000000"/>
          <w:sz w:val="24"/>
        </w:rPr>
        <w:t>” (Sic)</w:t>
      </w:r>
    </w:p>
    <w:p w:rsidR="00EB242F" w:rsidRDefault="00EB242F" w:rsidP="00EB242F">
      <w:pPr>
        <w:ind w:right="568"/>
        <w:jc w:val="both"/>
        <w:rPr>
          <w:rFonts w:ascii="Palatino Linotype" w:eastAsia="Palatino Linotype" w:hAnsi="Palatino Linotype" w:cs="Palatino Linotype"/>
          <w:b/>
          <w:bCs/>
        </w:rPr>
      </w:pPr>
    </w:p>
    <w:p w:rsidR="00DD6E6E" w:rsidRPr="00DD6E6E" w:rsidRDefault="00DD6E6E" w:rsidP="00EB242F">
      <w:pPr>
        <w:ind w:right="568"/>
        <w:jc w:val="both"/>
        <w:rPr>
          <w:rFonts w:ascii="Palatino Linotype" w:eastAsia="Palatino Linotype" w:hAnsi="Palatino Linotype" w:cs="Palatino Linotype"/>
          <w:b/>
          <w:bCs/>
        </w:rPr>
      </w:pPr>
    </w:p>
    <w:p w:rsidR="004E62A4" w:rsidRPr="00DD6E6E" w:rsidRDefault="004E62A4" w:rsidP="004E62A4">
      <w:pPr>
        <w:numPr>
          <w:ilvl w:val="0"/>
          <w:numId w:val="1"/>
        </w:numPr>
        <w:spacing w:line="360" w:lineRule="auto"/>
        <w:ind w:left="0" w:right="1" w:firstLine="0"/>
        <w:jc w:val="both"/>
        <w:rPr>
          <w:rFonts w:ascii="Palatino Linotype" w:eastAsia="Palatino Linotype" w:hAnsi="Palatino Linotype" w:cs="Palatino Linotype"/>
        </w:rPr>
      </w:pPr>
      <w:r w:rsidRPr="00DD6E6E">
        <w:rPr>
          <w:rFonts w:ascii="Palatino Linotype" w:eastAsia="Palatino Linotype" w:hAnsi="Palatino Linotype" w:cs="Palatino Linotype"/>
        </w:rPr>
        <w:t>Al momento de interponer el recurso de revisión el entonces SOLICITANTE anexo el archivo</w:t>
      </w:r>
      <w:r w:rsidRPr="00DD6E6E">
        <w:rPr>
          <w:rFonts w:ascii="Palatino Linotype" w:eastAsia="Palatino Linotype" w:hAnsi="Palatino Linotype" w:cs="Palatino Linotype"/>
          <w:b/>
          <w:i/>
        </w:rPr>
        <w:t xml:space="preserve"> Contestación</w:t>
      </w:r>
      <w:r w:rsidRPr="00DD6E6E">
        <w:rPr>
          <w:rFonts w:ascii="Palatino Linotype" w:eastAsia="Palatino Linotype" w:hAnsi="Palatino Linotype" w:cs="Palatino Linotype"/>
        </w:rPr>
        <w:t xml:space="preserve"> </w:t>
      </w:r>
      <w:r w:rsidRPr="00DD6E6E">
        <w:rPr>
          <w:rFonts w:ascii="Palatino Linotype" w:eastAsia="Palatino Linotype" w:hAnsi="Palatino Linotype" w:cs="Palatino Linotype"/>
          <w:b/>
          <w:i/>
        </w:rPr>
        <w:t xml:space="preserve">SIP 008 CEPE (1).pdf, </w:t>
      </w:r>
      <w:r w:rsidRPr="00DD6E6E">
        <w:rPr>
          <w:rFonts w:ascii="Palatino Linotype" w:eastAsia="Palatino Linotype" w:hAnsi="Palatino Linotype" w:cs="Palatino Linotype"/>
        </w:rPr>
        <w:t xml:space="preserve">que contiene la respuesta del Presidente de la Comisión Estatal de Procesos Electorales del Partido Acción Nacional. </w:t>
      </w:r>
    </w:p>
    <w:p w:rsidR="004E62A4" w:rsidRPr="00DD6E6E" w:rsidRDefault="004E62A4" w:rsidP="004E62A4">
      <w:pPr>
        <w:spacing w:line="360" w:lineRule="auto"/>
        <w:ind w:right="1"/>
        <w:jc w:val="both"/>
        <w:rPr>
          <w:rFonts w:ascii="Palatino Linotype" w:eastAsia="Palatino Linotype" w:hAnsi="Palatino Linotype" w:cs="Palatino Linotype"/>
        </w:rPr>
      </w:pPr>
    </w:p>
    <w:p w:rsidR="00EB242F" w:rsidRPr="00DD6E6E" w:rsidRDefault="00EB242F" w:rsidP="00EB242F">
      <w:pPr>
        <w:numPr>
          <w:ilvl w:val="0"/>
          <w:numId w:val="1"/>
        </w:numPr>
        <w:spacing w:line="360" w:lineRule="auto"/>
        <w:ind w:left="0" w:right="1" w:firstLine="0"/>
        <w:jc w:val="both"/>
        <w:rPr>
          <w:rFonts w:ascii="Palatino Linotype" w:eastAsia="Palatino Linotype" w:hAnsi="Palatino Linotype" w:cs="Palatino Linotype"/>
        </w:rPr>
      </w:pPr>
      <w:r w:rsidRPr="00DD6E6E">
        <w:rPr>
          <w:rFonts w:ascii="Palatino Linotype" w:eastAsia="Palatino Linotype" w:hAnsi="Palatino Linotype" w:cs="Palatino Linotype"/>
        </w:rPr>
        <w:lastRenderedPageBreak/>
        <w:t xml:space="preserve">Se registró el recurso de revisión bajo el número de expediente al rubro indicado, asimismo con fundamento en lo dispuesto por el artículo 185 fracción I de la </w:t>
      </w:r>
      <w:r w:rsidRPr="00DD6E6E">
        <w:rPr>
          <w:rFonts w:ascii="Palatino Linotype" w:eastAsia="Palatino Linotype" w:hAnsi="Palatino Linotype" w:cs="Palatino Linotype"/>
          <w:b/>
          <w:bCs/>
        </w:rPr>
        <w:t xml:space="preserve">Ley de Transparencia y Acceso a la Información Pública del Estado de México y Municipios </w:t>
      </w:r>
      <w:r w:rsidRPr="00DD6E6E">
        <w:rPr>
          <w:rFonts w:ascii="Palatino Linotype" w:eastAsia="Palatino Linotype" w:hAnsi="Palatino Linotype" w:cs="Palatino Linotype"/>
        </w:rPr>
        <w:t xml:space="preserve">se turna a la </w:t>
      </w:r>
      <w:r w:rsidRPr="00DD6E6E">
        <w:rPr>
          <w:rFonts w:ascii="Palatino Linotype" w:eastAsia="Palatino Linotype" w:hAnsi="Palatino Linotype" w:cs="Palatino Linotype"/>
          <w:b/>
          <w:bCs/>
        </w:rPr>
        <w:t xml:space="preserve">Comisionada María del Rosario Mejía Ayala, </w:t>
      </w:r>
      <w:r w:rsidRPr="00DD6E6E">
        <w:rPr>
          <w:rFonts w:ascii="Palatino Linotype" w:eastAsia="Palatino Linotype" w:hAnsi="Palatino Linotype" w:cs="Palatino Linotype"/>
        </w:rPr>
        <w:t xml:space="preserve">para su análisis. </w:t>
      </w:r>
    </w:p>
    <w:p w:rsidR="00EB242F" w:rsidRPr="00DD6E6E" w:rsidRDefault="00EB242F" w:rsidP="00EB242F">
      <w:pPr>
        <w:ind w:right="-592"/>
        <w:jc w:val="both"/>
        <w:rPr>
          <w:rFonts w:ascii="Palatino Linotype" w:eastAsia="Palatino Linotype" w:hAnsi="Palatino Linotype" w:cs="Palatino Linotype"/>
        </w:rPr>
      </w:pPr>
    </w:p>
    <w:p w:rsidR="00EB242F" w:rsidRPr="00DD6E6E" w:rsidRDefault="00EB242F" w:rsidP="00EB242F">
      <w:pPr>
        <w:numPr>
          <w:ilvl w:val="0"/>
          <w:numId w:val="1"/>
        </w:numPr>
        <w:spacing w:line="360" w:lineRule="auto"/>
        <w:ind w:left="0" w:right="1" w:firstLine="0"/>
        <w:jc w:val="both"/>
        <w:rPr>
          <w:rFonts w:ascii="Palatino Linotype" w:eastAsia="Palatino Linotype" w:hAnsi="Palatino Linotype" w:cs="Palatino Linotype"/>
          <w:color w:val="000000"/>
        </w:rPr>
      </w:pPr>
      <w:r w:rsidRPr="00DD6E6E">
        <w:rPr>
          <w:rFonts w:ascii="Palatino Linotype" w:eastAsia="Palatino Linotype" w:hAnsi="Palatino Linotype" w:cs="Palatino Linotype"/>
        </w:rPr>
        <w:t xml:space="preserve">La Comisionada Ponente con fundamento en lo dispuesto por el artículo 185 fracción II de la ley de la materia, a través del acuerdo de admisión del </w:t>
      </w:r>
      <w:r w:rsidR="00B7630A" w:rsidRPr="00DD6E6E">
        <w:rPr>
          <w:rFonts w:ascii="Palatino Linotype" w:eastAsia="Palatino Linotype" w:hAnsi="Palatino Linotype" w:cs="Palatino Linotype"/>
          <w:b/>
        </w:rPr>
        <w:t>dieciséis de abril de dos mil veintiséis</w:t>
      </w:r>
      <w:r w:rsidRPr="00DD6E6E">
        <w:rPr>
          <w:rFonts w:ascii="Palatino Linotype" w:eastAsia="Palatino Linotype" w:hAnsi="Palatino Linotype" w:cs="Palatino Linotype"/>
        </w:rPr>
        <w:t xml:space="preserve">, puso a disposición de las partes el expediente electrónico vía </w:t>
      </w:r>
      <w:r w:rsidRPr="00DD6E6E">
        <w:rPr>
          <w:rFonts w:ascii="Palatino Linotype" w:eastAsia="Palatino Linotype" w:hAnsi="Palatino Linotype" w:cs="Palatino Linotype"/>
          <w:b/>
          <w:bCs/>
        </w:rPr>
        <w:t xml:space="preserve">SAIMEX </w:t>
      </w:r>
      <w:r w:rsidRPr="00DD6E6E">
        <w:rPr>
          <w:rFonts w:ascii="Palatino Linotype" w:eastAsia="Palatino Linotype" w:hAnsi="Palatino Linotype" w:cs="Palatino Linotype"/>
        </w:rPr>
        <w:t xml:space="preserve">a efecto de que en un plazo máximo de siete días manifestara lo que a derecho conviniera, ofreciera pruebas y alegatos según corresponda al caso concreto, de esta forma para que el </w:t>
      </w:r>
      <w:r w:rsidRPr="00DD6E6E">
        <w:rPr>
          <w:rFonts w:ascii="Palatino Linotype" w:eastAsia="Palatino Linotype" w:hAnsi="Palatino Linotype" w:cs="Palatino Linotype"/>
          <w:b/>
          <w:bCs/>
        </w:rPr>
        <w:t>SUJETO OBLIGADO</w:t>
      </w:r>
      <w:r w:rsidRPr="00DD6E6E">
        <w:rPr>
          <w:rFonts w:ascii="Palatino Linotype" w:eastAsia="Palatino Linotype" w:hAnsi="Palatino Linotype" w:cs="Palatino Linotype"/>
        </w:rPr>
        <w:t xml:space="preserve"> presentará el informe justificado procedente. </w:t>
      </w:r>
    </w:p>
    <w:p w:rsidR="00EB242F" w:rsidRPr="00DD6E6E" w:rsidRDefault="00EB242F" w:rsidP="00EB242F">
      <w:pPr>
        <w:shd w:val="clear" w:color="auto" w:fill="FFFFFF"/>
        <w:ind w:right="-592"/>
        <w:rPr>
          <w:rFonts w:ascii="Palatino Linotype" w:eastAsia="Palatino Linotype" w:hAnsi="Palatino Linotype" w:cs="Palatino Linotype"/>
        </w:rPr>
      </w:pPr>
    </w:p>
    <w:bookmarkEnd w:id="0"/>
    <w:p w:rsidR="00EB242F" w:rsidRPr="00DD6E6E" w:rsidRDefault="005D7283" w:rsidP="005D7283">
      <w:pPr>
        <w:numPr>
          <w:ilvl w:val="0"/>
          <w:numId w:val="1"/>
        </w:numPr>
        <w:spacing w:line="360" w:lineRule="auto"/>
        <w:ind w:left="0" w:right="1" w:firstLine="0"/>
        <w:jc w:val="both"/>
        <w:rPr>
          <w:rFonts w:ascii="Palatino Linotype" w:eastAsia="Palatino Linotype" w:hAnsi="Palatino Linotype" w:cs="Palatino Linotype"/>
          <w:i/>
        </w:rPr>
      </w:pPr>
      <w:r w:rsidRPr="00DD6E6E">
        <w:rPr>
          <w:rFonts w:ascii="Palatino Linotype" w:eastAsia="Palatino Linotype" w:hAnsi="Palatino Linotype" w:cs="Palatino Linotype"/>
        </w:rPr>
        <w:t xml:space="preserve">En esa línea, el </w:t>
      </w:r>
      <w:r w:rsidRPr="00DD6E6E">
        <w:rPr>
          <w:rFonts w:ascii="Palatino Linotype" w:eastAsia="Palatino Linotype" w:hAnsi="Palatino Linotype" w:cs="Palatino Linotype"/>
          <w:b/>
        </w:rPr>
        <w:t xml:space="preserve">SUJETO OBLIGADO </w:t>
      </w:r>
      <w:r w:rsidRPr="00DD6E6E">
        <w:rPr>
          <w:rFonts w:ascii="Palatino Linotype" w:eastAsia="Palatino Linotype" w:hAnsi="Palatino Linotype" w:cs="Palatino Linotype"/>
        </w:rPr>
        <w:t xml:space="preserve">y </w:t>
      </w:r>
      <w:r w:rsidR="00EB242F" w:rsidRPr="00DD6E6E">
        <w:rPr>
          <w:rFonts w:ascii="Palatino Linotype" w:eastAsia="Palatino Linotype" w:hAnsi="Palatino Linotype" w:cs="Palatino Linotype"/>
        </w:rPr>
        <w:t xml:space="preserve">el </w:t>
      </w:r>
      <w:r w:rsidR="00EB242F" w:rsidRPr="00DD6E6E">
        <w:rPr>
          <w:rFonts w:ascii="Palatino Linotype" w:eastAsia="Palatino Linotype" w:hAnsi="Palatino Linotype" w:cs="Palatino Linotype"/>
          <w:b/>
          <w:bCs/>
        </w:rPr>
        <w:t>RECURRENTE</w:t>
      </w:r>
      <w:r w:rsidRPr="00DD6E6E">
        <w:rPr>
          <w:rFonts w:ascii="Palatino Linotype" w:eastAsia="Palatino Linotype" w:hAnsi="Palatino Linotype" w:cs="Palatino Linotype"/>
          <w:b/>
          <w:bCs/>
        </w:rPr>
        <w:t xml:space="preserve"> </w:t>
      </w:r>
      <w:r w:rsidRPr="00DD6E6E">
        <w:rPr>
          <w:rFonts w:ascii="Palatino Linotype" w:eastAsia="Palatino Linotype" w:hAnsi="Palatino Linotype" w:cs="Palatino Linotype"/>
          <w:bCs/>
        </w:rPr>
        <w:t xml:space="preserve">fueron omisos en manifestar lo que a su derecho conviniera y asistiera, respectivamente. </w:t>
      </w:r>
      <w:r w:rsidR="00EB242F" w:rsidRPr="00DD6E6E">
        <w:rPr>
          <w:rFonts w:ascii="Palatino Linotype" w:eastAsia="Palatino Linotype" w:hAnsi="Palatino Linotype" w:cs="Palatino Linotype"/>
          <w:b/>
          <w:bCs/>
        </w:rPr>
        <w:t xml:space="preserve"> </w:t>
      </w:r>
    </w:p>
    <w:p w:rsidR="005D7283" w:rsidRPr="00DD6E6E" w:rsidRDefault="005D7283" w:rsidP="005D7283">
      <w:pPr>
        <w:spacing w:line="360" w:lineRule="auto"/>
        <w:ind w:right="1"/>
        <w:jc w:val="both"/>
        <w:rPr>
          <w:rFonts w:ascii="Palatino Linotype" w:eastAsia="Palatino Linotype" w:hAnsi="Palatino Linotype" w:cs="Palatino Linotype"/>
          <w:i/>
        </w:rPr>
      </w:pPr>
    </w:p>
    <w:p w:rsidR="00EB242F" w:rsidRPr="00DD6E6E" w:rsidRDefault="00EB242F" w:rsidP="00EB242F">
      <w:pPr>
        <w:numPr>
          <w:ilvl w:val="0"/>
          <w:numId w:val="1"/>
        </w:numPr>
        <w:spacing w:line="360" w:lineRule="auto"/>
        <w:ind w:left="0" w:right="1" w:firstLine="0"/>
        <w:jc w:val="both"/>
        <w:rPr>
          <w:rFonts w:ascii="Palatino Linotype" w:eastAsia="Palatino Linotype" w:hAnsi="Palatino Linotype" w:cs="Palatino Linotype"/>
        </w:rPr>
      </w:pPr>
      <w:r w:rsidRPr="00DD6E6E">
        <w:rPr>
          <w:rFonts w:ascii="Palatino Linotype" w:eastAsia="Palatino Linotype" w:hAnsi="Palatino Linotype" w:cs="Palatino Linotype"/>
        </w:rPr>
        <w:t xml:space="preserve">El </w:t>
      </w:r>
      <w:r w:rsidR="00A93138" w:rsidRPr="00DD6E6E">
        <w:rPr>
          <w:rFonts w:ascii="Palatino Linotype" w:eastAsia="Palatino Linotype" w:hAnsi="Palatino Linotype" w:cs="Palatino Linotype"/>
          <w:b/>
        </w:rPr>
        <w:t xml:space="preserve">veintiuno de mayo </w:t>
      </w:r>
      <w:r w:rsidRPr="00DD6E6E">
        <w:rPr>
          <w:rFonts w:ascii="Palatino Linotype" w:eastAsia="Palatino Linotype" w:hAnsi="Palatino Linotype" w:cs="Palatino Linotype"/>
          <w:b/>
        </w:rPr>
        <w:t>de dos mil veintiséis</w:t>
      </w:r>
      <w:r w:rsidRPr="00DD6E6E">
        <w:rPr>
          <w:rFonts w:ascii="Palatino Linotype" w:eastAsia="Palatino Linotype" w:hAnsi="Palatino Linotype" w:cs="Palatino Linotype"/>
        </w:rPr>
        <w:t>, se notificó el acuerdo mediante el cual se amplió el plazo para emitir resolución por un término de 15 días adicionales.</w:t>
      </w:r>
    </w:p>
    <w:p w:rsidR="00EB242F" w:rsidRPr="00DD6E6E" w:rsidRDefault="00EB242F" w:rsidP="00EB242F">
      <w:pPr>
        <w:spacing w:line="360" w:lineRule="auto"/>
        <w:ind w:right="1"/>
        <w:jc w:val="both"/>
        <w:rPr>
          <w:rFonts w:ascii="Palatino Linotype" w:eastAsia="Palatino Linotype" w:hAnsi="Palatino Linotype" w:cs="Palatino Linotype"/>
        </w:rPr>
      </w:pPr>
    </w:p>
    <w:p w:rsidR="00EB242F" w:rsidRPr="00DD6E6E" w:rsidRDefault="00EB242F" w:rsidP="00EB242F">
      <w:pPr>
        <w:numPr>
          <w:ilvl w:val="0"/>
          <w:numId w:val="1"/>
        </w:numPr>
        <w:spacing w:line="360" w:lineRule="auto"/>
        <w:ind w:left="0" w:right="1" w:firstLine="0"/>
        <w:jc w:val="both"/>
        <w:rPr>
          <w:rFonts w:ascii="Palatino Linotype" w:eastAsia="Palatino Linotype" w:hAnsi="Palatino Linotype" w:cs="Palatino Linotype"/>
          <w:b/>
          <w:bCs/>
        </w:rPr>
      </w:pPr>
      <w:r w:rsidRPr="00DD6E6E">
        <w:rPr>
          <w:rFonts w:ascii="Palatino Linotype" w:eastAsia="Palatino Linotype" w:hAnsi="Palatino Linotype" w:cs="Palatino Linotype"/>
        </w:rPr>
        <w:t xml:space="preserve">La Comisionada Ponente decretó el cierre de instrucción mediante el acuerdo del </w:t>
      </w:r>
      <w:r w:rsidR="00A93138" w:rsidRPr="00DD6E6E">
        <w:rPr>
          <w:rFonts w:ascii="Palatino Linotype" w:eastAsia="Palatino Linotype" w:hAnsi="Palatino Linotype" w:cs="Palatino Linotype"/>
          <w:b/>
        </w:rPr>
        <w:t xml:space="preserve">veintiuno de mayo </w:t>
      </w:r>
      <w:r w:rsidRPr="00DD6E6E">
        <w:rPr>
          <w:rFonts w:ascii="Palatino Linotype" w:eastAsia="Palatino Linotype" w:hAnsi="Palatino Linotype" w:cs="Palatino Linotype"/>
          <w:b/>
        </w:rPr>
        <w:t>de dos mil veintiséis</w:t>
      </w:r>
      <w:r w:rsidRPr="00DD6E6E">
        <w:rPr>
          <w:rFonts w:ascii="Palatino Linotype" w:eastAsia="Palatino Linotype" w:hAnsi="Palatino Linotype" w:cs="Palatino Linotype"/>
        </w:rPr>
        <w:t>.</w:t>
      </w:r>
      <w:r w:rsidR="00DD6E6E">
        <w:rPr>
          <w:rFonts w:ascii="Palatino Linotype" w:eastAsia="Palatino Linotype" w:hAnsi="Palatino Linotype" w:cs="Palatino Linotype"/>
        </w:rPr>
        <w:t xml:space="preserve"> -------------------------------------------------------------------</w:t>
      </w:r>
    </w:p>
    <w:p w:rsidR="00DD6E6E" w:rsidRDefault="00DD6E6E" w:rsidP="00DD6E6E">
      <w:pPr>
        <w:pStyle w:val="Prrafodelista"/>
        <w:rPr>
          <w:rFonts w:ascii="Palatino Linotype" w:eastAsia="Palatino Linotype" w:hAnsi="Palatino Linotype" w:cs="Palatino Linotype"/>
          <w:b/>
          <w:bCs/>
        </w:rPr>
      </w:pPr>
    </w:p>
    <w:p w:rsidR="00DD6E6E" w:rsidRPr="00DD6E6E" w:rsidRDefault="00DD6E6E" w:rsidP="00DD6E6E">
      <w:pPr>
        <w:spacing w:line="360" w:lineRule="auto"/>
        <w:ind w:right="1"/>
        <w:jc w:val="both"/>
        <w:rPr>
          <w:rFonts w:ascii="Palatino Linotype" w:eastAsia="Palatino Linotype" w:hAnsi="Palatino Linotype" w:cs="Palatino Linotype"/>
          <w:b/>
          <w:bCs/>
        </w:rPr>
      </w:pPr>
    </w:p>
    <w:p w:rsidR="00EB242F" w:rsidRPr="00DD6E6E" w:rsidRDefault="00EB242F" w:rsidP="00EB242F">
      <w:pPr>
        <w:rPr>
          <w:rFonts w:ascii="Palatino Linotype" w:eastAsia="Palatino Linotype" w:hAnsi="Palatino Linotype" w:cs="Palatino Linotype"/>
          <w:b/>
          <w:bCs/>
        </w:rPr>
      </w:pPr>
    </w:p>
    <w:p w:rsidR="00EB242F" w:rsidRPr="00DD6E6E" w:rsidRDefault="00EB242F" w:rsidP="00EB242F">
      <w:pPr>
        <w:keepNext/>
        <w:keepLines/>
        <w:spacing w:line="360" w:lineRule="auto"/>
        <w:ind w:right="-592"/>
        <w:jc w:val="center"/>
        <w:rPr>
          <w:rFonts w:ascii="Palatino Linotype" w:eastAsia="Palatino Linotype" w:hAnsi="Palatino Linotype" w:cs="Palatino Linotype"/>
          <w:b/>
          <w:bCs/>
        </w:rPr>
      </w:pPr>
      <w:r w:rsidRPr="00DD6E6E">
        <w:rPr>
          <w:rFonts w:ascii="Palatino Linotype" w:eastAsia="Palatino Linotype" w:hAnsi="Palatino Linotype" w:cs="Palatino Linotype"/>
          <w:b/>
          <w:bCs/>
        </w:rPr>
        <w:lastRenderedPageBreak/>
        <w:t xml:space="preserve">C O N S I D E R A N D O </w:t>
      </w:r>
    </w:p>
    <w:p w:rsidR="00EB242F" w:rsidRPr="00DD6E6E" w:rsidRDefault="00EB242F" w:rsidP="00EB242F">
      <w:pPr>
        <w:keepNext/>
        <w:keepLines/>
        <w:ind w:right="-592"/>
        <w:rPr>
          <w:rFonts w:ascii="Palatino Linotype" w:eastAsia="Palatino Linotype" w:hAnsi="Palatino Linotype" w:cs="Palatino Linotype"/>
        </w:rPr>
      </w:pPr>
    </w:p>
    <w:p w:rsidR="00EB242F" w:rsidRPr="00DD6E6E" w:rsidRDefault="00EB242F" w:rsidP="00EB242F">
      <w:pPr>
        <w:keepNext/>
        <w:keepLines/>
        <w:spacing w:line="360" w:lineRule="auto"/>
        <w:ind w:right="-592"/>
        <w:rPr>
          <w:rFonts w:ascii="Palatino Linotype" w:eastAsia="Palatino Linotype" w:hAnsi="Palatino Linotype" w:cs="Palatino Linotype"/>
          <w:b/>
          <w:bCs/>
        </w:rPr>
      </w:pPr>
      <w:r w:rsidRPr="00DD6E6E">
        <w:rPr>
          <w:rFonts w:ascii="Palatino Linotype" w:eastAsia="Palatino Linotype" w:hAnsi="Palatino Linotype" w:cs="Palatino Linotype"/>
          <w:b/>
          <w:bCs/>
        </w:rPr>
        <w:t>PRIMERO. De la competencia.</w:t>
      </w:r>
    </w:p>
    <w:p w:rsidR="00EB242F" w:rsidRPr="00DD6E6E" w:rsidRDefault="00EB242F" w:rsidP="00EB242F">
      <w:pPr>
        <w:numPr>
          <w:ilvl w:val="0"/>
          <w:numId w:val="1"/>
        </w:numPr>
        <w:spacing w:line="360" w:lineRule="auto"/>
        <w:ind w:left="0" w:right="1" w:firstLine="0"/>
        <w:jc w:val="both"/>
        <w:rPr>
          <w:rFonts w:ascii="Palatino Linotype" w:eastAsia="Palatino Linotype" w:hAnsi="Palatino Linotype" w:cs="Palatino Linotype"/>
          <w:b/>
          <w:bCs/>
        </w:rPr>
      </w:pPr>
      <w:bookmarkStart w:id="2" w:name="_heading=h.3znysh7" w:colFirst="0" w:colLast="0"/>
      <w:bookmarkEnd w:id="2"/>
      <w:r w:rsidRPr="00DD6E6E">
        <w:rPr>
          <w:rFonts w:ascii="Palatino Linotype" w:eastAsia="Palatino Linotype" w:hAnsi="Palatino Linotype" w:cs="Palatino Linotype"/>
        </w:rPr>
        <w:t>Este Instituto de Transparencia, Acceso a la Información Pública y Protección de Datos Personales del Estado de México y Municipios, es competente para conocer y resolver del presente recurso de conformidad con el artículo: 6, apartado A, de la Constitución Política de los Estados Unidos Mexicanos; 5, párrafos trigésimo, trigésimo primero y trigésimo segundo, fracciones I, II, III, IV y V de la Constitución Política del Estado Libre y Soberano de México; 1, 3 fracción I, 82, 97, 98, 119, 123, 124, 127, 128 y 133 Ley de Protección de Datos Personales en Posesión de Sujetos Obligados del Estado de México y Municipios; y 10, 7, 9 fracciones I y XXIV, y 11 del Reglamento Interior del Instituto de Transparencia, Acceso a la Información Pública y Protección de Datos Personales del Estado de México y Municipios.</w:t>
      </w:r>
    </w:p>
    <w:p w:rsidR="00EB242F" w:rsidRPr="00DD6E6E" w:rsidRDefault="00EB242F" w:rsidP="00EB242F">
      <w:pPr>
        <w:spacing w:line="360" w:lineRule="auto"/>
        <w:ind w:right="1"/>
        <w:jc w:val="both"/>
        <w:rPr>
          <w:rFonts w:ascii="Palatino Linotype" w:eastAsia="Palatino Linotype" w:hAnsi="Palatino Linotype" w:cs="Palatino Linotype"/>
          <w:b/>
          <w:bCs/>
        </w:rPr>
      </w:pPr>
    </w:p>
    <w:p w:rsidR="00EB242F" w:rsidRPr="00DD6E6E" w:rsidRDefault="00EB242F" w:rsidP="00EB242F">
      <w:pPr>
        <w:keepNext/>
        <w:keepLines/>
        <w:spacing w:line="360" w:lineRule="auto"/>
        <w:ind w:right="1"/>
        <w:rPr>
          <w:rFonts w:ascii="Palatino Linotype" w:eastAsia="Palatino Linotype" w:hAnsi="Palatino Linotype" w:cs="Palatino Linotype"/>
          <w:b/>
          <w:bCs/>
        </w:rPr>
      </w:pPr>
      <w:r w:rsidRPr="00DD6E6E">
        <w:rPr>
          <w:rFonts w:ascii="Palatino Linotype" w:eastAsia="Palatino Linotype" w:hAnsi="Palatino Linotype" w:cs="Palatino Linotype"/>
          <w:b/>
          <w:bCs/>
        </w:rPr>
        <w:t>SEGUNDO. De la oportunidad y procedencia.</w:t>
      </w:r>
    </w:p>
    <w:p w:rsidR="00EB242F" w:rsidRPr="00DD6E6E" w:rsidRDefault="00EB242F" w:rsidP="00EB242F">
      <w:pPr>
        <w:numPr>
          <w:ilvl w:val="0"/>
          <w:numId w:val="1"/>
        </w:numPr>
        <w:spacing w:line="360" w:lineRule="auto"/>
        <w:ind w:left="0" w:right="1" w:firstLine="0"/>
        <w:jc w:val="both"/>
        <w:rPr>
          <w:rFonts w:ascii="Palatino Linotype" w:eastAsia="Palatino Linotype" w:hAnsi="Palatino Linotype" w:cs="Palatino Linotype"/>
          <w:b/>
          <w:bCs/>
        </w:rPr>
      </w:pPr>
      <w:bookmarkStart w:id="3" w:name="_heading=h.3dy6vkm" w:colFirst="0" w:colLast="0"/>
      <w:bookmarkEnd w:id="3"/>
      <w:r w:rsidRPr="00DD6E6E">
        <w:rPr>
          <w:rFonts w:ascii="Palatino Linotype" w:eastAsia="Palatino Linotype" w:hAnsi="Palatino Linotype" w:cs="Palatino Linotype"/>
        </w:rPr>
        <w:t xml:space="preserve">El medio de impugnación fue presentado a través del </w:t>
      </w:r>
      <w:r w:rsidRPr="00DD6E6E">
        <w:rPr>
          <w:rFonts w:ascii="Palatino Linotype" w:eastAsia="Palatino Linotype" w:hAnsi="Palatino Linotype" w:cs="Palatino Linotype"/>
          <w:b/>
          <w:bCs/>
        </w:rPr>
        <w:t>SAIMEX,</w:t>
      </w:r>
      <w:r w:rsidRPr="00DD6E6E">
        <w:rPr>
          <w:rFonts w:ascii="Palatino Linotype" w:eastAsia="Palatino Linotype" w:hAnsi="Palatino Linotype" w:cs="Palatino Linotype"/>
        </w:rPr>
        <w:t xml:space="preserve"> en el formato previamente aprobado para tal efecto y dentro del plazo legal de quince días hábiles otorgados; siendo así que el </w:t>
      </w:r>
      <w:r w:rsidRPr="00DD6E6E">
        <w:rPr>
          <w:rFonts w:ascii="Palatino Linotype" w:eastAsia="Palatino Linotype" w:hAnsi="Palatino Linotype" w:cs="Palatino Linotype"/>
          <w:b/>
          <w:bCs/>
        </w:rPr>
        <w:t>SUJETO OBLIGADO</w:t>
      </w:r>
      <w:r w:rsidRPr="00DD6E6E">
        <w:rPr>
          <w:rFonts w:ascii="Palatino Linotype" w:eastAsia="Palatino Linotype" w:hAnsi="Palatino Linotype" w:cs="Palatino Linotype"/>
        </w:rPr>
        <w:t xml:space="preserve"> entregó respuesta el </w:t>
      </w:r>
      <w:r w:rsidR="006B4195" w:rsidRPr="00DD6E6E">
        <w:rPr>
          <w:rFonts w:ascii="Palatino Linotype" w:eastAsia="Palatino Linotype" w:hAnsi="Palatino Linotype" w:cs="Palatino Linotype"/>
          <w:b/>
        </w:rPr>
        <w:t>veinticuatro de marzo de dos mil veintiséis</w:t>
      </w:r>
      <w:r w:rsidRPr="00DD6E6E">
        <w:rPr>
          <w:rFonts w:ascii="Palatino Linotype" w:eastAsia="Palatino Linotype" w:hAnsi="Palatino Linotype" w:cs="Palatino Linotype"/>
        </w:rPr>
        <w:t xml:space="preserve">, de tal forma que el plazo para interponer el recurso de revisión transcurrió del </w:t>
      </w:r>
      <w:r w:rsidR="006B4195" w:rsidRPr="00DD6E6E">
        <w:rPr>
          <w:rFonts w:ascii="Palatino Linotype" w:eastAsia="Palatino Linotype" w:hAnsi="Palatino Linotype" w:cs="Palatino Linotype"/>
          <w:b/>
        </w:rPr>
        <w:t>veinticinco de marzo al veintiuno de abril de dos mil veintiséis</w:t>
      </w:r>
      <w:r w:rsidRPr="00DD6E6E">
        <w:rPr>
          <w:rFonts w:ascii="Palatino Linotype" w:eastAsia="Palatino Linotype" w:hAnsi="Palatino Linotype" w:cs="Palatino Linotype"/>
        </w:rPr>
        <w:t xml:space="preserve">; en consecuencia, presentó su inconformidad el </w:t>
      </w:r>
      <w:r w:rsidR="006B4195" w:rsidRPr="00DD6E6E">
        <w:rPr>
          <w:rFonts w:ascii="Palatino Linotype" w:eastAsia="Palatino Linotype" w:hAnsi="Palatino Linotype" w:cs="Palatino Linotype"/>
          <w:b/>
        </w:rPr>
        <w:t>diez de abril de dos mil veintiséis</w:t>
      </w:r>
      <w:r w:rsidRPr="00DD6E6E">
        <w:rPr>
          <w:rFonts w:ascii="Palatino Linotype" w:eastAsia="Palatino Linotype" w:hAnsi="Palatino Linotype" w:cs="Palatino Linotype"/>
          <w:b/>
        </w:rPr>
        <w:t>,</w:t>
      </w:r>
      <w:r w:rsidRPr="00DD6E6E">
        <w:rPr>
          <w:rFonts w:ascii="Palatino Linotype" w:eastAsia="Palatino Linotype" w:hAnsi="Palatino Linotype" w:cs="Palatino Linotype"/>
        </w:rPr>
        <w:t xml:space="preserve"> por lo que se encuentra dentro de los márgenes temporales previstos en el artículo 178 de la </w:t>
      </w:r>
      <w:r w:rsidRPr="00DD6E6E">
        <w:rPr>
          <w:rFonts w:ascii="Palatino Linotype" w:eastAsia="Palatino Linotype" w:hAnsi="Palatino Linotype" w:cs="Palatino Linotype"/>
          <w:b/>
          <w:bCs/>
        </w:rPr>
        <w:t xml:space="preserve">Ley de Transparencia y Acceso a la Información Pública del Estado de México y Municipios </w:t>
      </w:r>
      <w:r w:rsidRPr="00DD6E6E">
        <w:rPr>
          <w:rFonts w:ascii="Palatino Linotype" w:eastAsia="Palatino Linotype" w:hAnsi="Palatino Linotype" w:cs="Palatino Linotype"/>
        </w:rPr>
        <w:t>vigente.</w:t>
      </w:r>
    </w:p>
    <w:p w:rsidR="00EB242F" w:rsidRPr="00DD6E6E" w:rsidRDefault="00EB242F" w:rsidP="00EB242F">
      <w:pPr>
        <w:ind w:right="1"/>
        <w:jc w:val="both"/>
        <w:rPr>
          <w:rFonts w:ascii="Palatino Linotype" w:eastAsia="Palatino Linotype" w:hAnsi="Palatino Linotype" w:cs="Palatino Linotype"/>
          <w:b/>
          <w:bCs/>
        </w:rPr>
      </w:pPr>
    </w:p>
    <w:p w:rsidR="00EB242F" w:rsidRPr="00DD6E6E" w:rsidRDefault="00EB242F" w:rsidP="00EB242F">
      <w:pPr>
        <w:pStyle w:val="Prrafodelista"/>
        <w:rPr>
          <w:rFonts w:ascii="Palatino Linotype" w:eastAsia="Palatino Linotype" w:hAnsi="Palatino Linotype" w:cs="Palatino Linotype"/>
          <w:sz w:val="24"/>
        </w:rPr>
      </w:pPr>
    </w:p>
    <w:p w:rsidR="00EB242F" w:rsidRPr="00DD6E6E" w:rsidRDefault="00EB242F" w:rsidP="00EB242F">
      <w:pPr>
        <w:numPr>
          <w:ilvl w:val="0"/>
          <w:numId w:val="1"/>
        </w:numPr>
        <w:spacing w:line="360" w:lineRule="auto"/>
        <w:ind w:left="0" w:right="1" w:firstLine="0"/>
        <w:jc w:val="both"/>
        <w:rPr>
          <w:rFonts w:ascii="Palatino Linotype" w:eastAsia="Palatino Linotype" w:hAnsi="Palatino Linotype" w:cs="Palatino Linotype"/>
          <w:b/>
          <w:bCs/>
        </w:rPr>
      </w:pPr>
      <w:r w:rsidRPr="00DD6E6E">
        <w:rPr>
          <w:rFonts w:ascii="Palatino Linotype" w:eastAsia="Palatino Linotype" w:hAnsi="Palatino Linotype" w:cs="Palatino Linotype"/>
        </w:rPr>
        <w:lastRenderedPageBreak/>
        <w:t>Por otro lado,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EB242F" w:rsidRPr="00DD6E6E" w:rsidRDefault="00EB242F" w:rsidP="00EB242F">
      <w:pPr>
        <w:ind w:right="-592"/>
        <w:jc w:val="both"/>
        <w:rPr>
          <w:rFonts w:ascii="Palatino Linotype" w:eastAsia="Palatino Linotype" w:hAnsi="Palatino Linotype" w:cs="Palatino Linotype"/>
          <w:b/>
          <w:bCs/>
        </w:rPr>
      </w:pPr>
    </w:p>
    <w:p w:rsidR="00EB242F" w:rsidRPr="00DD6E6E" w:rsidRDefault="00EB242F" w:rsidP="00EB242F">
      <w:pPr>
        <w:spacing w:line="360" w:lineRule="auto"/>
        <w:ind w:right="-592"/>
        <w:jc w:val="both"/>
        <w:rPr>
          <w:rFonts w:ascii="Palatino Linotype" w:eastAsia="Palatino Linotype" w:hAnsi="Palatino Linotype" w:cs="Palatino Linotype"/>
          <w:b/>
          <w:bCs/>
        </w:rPr>
      </w:pPr>
      <w:r w:rsidRPr="00DD6E6E">
        <w:rPr>
          <w:rFonts w:ascii="Palatino Linotype" w:eastAsia="Palatino Linotype" w:hAnsi="Palatino Linotype" w:cs="Palatino Linotype"/>
          <w:b/>
          <w:bCs/>
        </w:rPr>
        <w:t>TERCERO. Del Planteamiento de la Litis.</w:t>
      </w:r>
    </w:p>
    <w:p w:rsidR="00EB242F" w:rsidRPr="00DD6E6E" w:rsidRDefault="00EB242F" w:rsidP="00EB242F">
      <w:pPr>
        <w:numPr>
          <w:ilvl w:val="0"/>
          <w:numId w:val="1"/>
        </w:numPr>
        <w:spacing w:line="360" w:lineRule="auto"/>
        <w:ind w:left="0" w:right="1" w:firstLine="0"/>
        <w:jc w:val="both"/>
        <w:rPr>
          <w:rFonts w:ascii="Palatino Linotype" w:eastAsia="Palatino Linotype" w:hAnsi="Palatino Linotype" w:cs="Palatino Linotype"/>
          <w:bCs/>
        </w:rPr>
      </w:pPr>
      <w:bookmarkStart w:id="4" w:name="_heading=h.sg69pjfuscz6" w:colFirst="0" w:colLast="0"/>
      <w:bookmarkStart w:id="5" w:name="_Hlk224733484"/>
      <w:bookmarkEnd w:id="4"/>
      <w:r w:rsidRPr="00DD6E6E">
        <w:rPr>
          <w:rFonts w:ascii="Palatino Linotype" w:eastAsia="Palatino Linotype" w:hAnsi="Palatino Linotype" w:cs="Palatino Linotype"/>
          <w:bCs/>
        </w:rPr>
        <w:t xml:space="preserve">El </w:t>
      </w:r>
      <w:r w:rsidRPr="00DD6E6E">
        <w:rPr>
          <w:rFonts w:ascii="Palatino Linotype" w:eastAsia="Palatino Linotype" w:hAnsi="Palatino Linotype" w:cs="Palatino Linotype"/>
          <w:b/>
          <w:bCs/>
        </w:rPr>
        <w:t>RECURRENTE</w:t>
      </w:r>
      <w:r w:rsidRPr="00DD6E6E">
        <w:rPr>
          <w:rFonts w:ascii="Palatino Linotype" w:eastAsia="Palatino Linotype" w:hAnsi="Palatino Linotype" w:cs="Palatino Linotype"/>
          <w:bCs/>
        </w:rPr>
        <w:t xml:space="preserve"> solicitó la siguiente información. </w:t>
      </w:r>
    </w:p>
    <w:p w:rsidR="00EB242F" w:rsidRPr="00DD6E6E" w:rsidRDefault="00EB242F" w:rsidP="00B556AA">
      <w:pPr>
        <w:ind w:left="1134" w:right="1389"/>
        <w:jc w:val="both"/>
        <w:rPr>
          <w:rFonts w:ascii="Palatino Linotype" w:eastAsia="Palatino Linotype" w:hAnsi="Palatino Linotype" w:cs="Palatino Linotype"/>
          <w:b/>
          <w:bCs/>
          <w:i/>
        </w:rPr>
      </w:pPr>
      <w:r w:rsidRPr="00DD6E6E">
        <w:rPr>
          <w:rFonts w:ascii="Palatino Linotype" w:eastAsia="Palatino Linotype" w:hAnsi="Palatino Linotype" w:cs="Palatino Linotype"/>
          <w:b/>
          <w:bCs/>
          <w:i/>
        </w:rPr>
        <w:t xml:space="preserve">1.- </w:t>
      </w:r>
      <w:r w:rsidR="00B556AA" w:rsidRPr="00DD6E6E">
        <w:rPr>
          <w:rFonts w:ascii="Palatino Linotype" w:eastAsia="Palatino Linotype" w:hAnsi="Palatino Linotype" w:cs="Palatino Linotype"/>
          <w:b/>
          <w:bCs/>
          <w:i/>
        </w:rPr>
        <w:t>Listado de los militantes que votaron en la asamblea municipal de Naucalpan del Partido Acción Nacional que se llevó a cabo el día 31 de agosto de 2025, por orden alfabético de apellido paterno.</w:t>
      </w:r>
    </w:p>
    <w:p w:rsidR="00B556AA" w:rsidRPr="00DD6E6E" w:rsidRDefault="00B556AA" w:rsidP="00B556AA">
      <w:pPr>
        <w:ind w:left="1134" w:right="1389"/>
        <w:jc w:val="both"/>
        <w:rPr>
          <w:rFonts w:ascii="Palatino Linotype" w:eastAsia="Palatino Linotype" w:hAnsi="Palatino Linotype" w:cs="Palatino Linotype"/>
          <w:bCs/>
        </w:rPr>
      </w:pPr>
    </w:p>
    <w:p w:rsidR="00EB242F" w:rsidRPr="00DD6E6E" w:rsidRDefault="00EB242F" w:rsidP="00EB242F">
      <w:pPr>
        <w:numPr>
          <w:ilvl w:val="0"/>
          <w:numId w:val="1"/>
        </w:numPr>
        <w:spacing w:line="360" w:lineRule="auto"/>
        <w:ind w:left="0" w:right="1" w:firstLine="0"/>
        <w:jc w:val="both"/>
        <w:rPr>
          <w:rFonts w:ascii="Palatino Linotype" w:eastAsia="Palatino Linotype" w:hAnsi="Palatino Linotype" w:cs="Palatino Linotype"/>
          <w:b/>
          <w:bCs/>
        </w:rPr>
      </w:pPr>
      <w:r w:rsidRPr="00DD6E6E">
        <w:rPr>
          <w:rFonts w:ascii="Palatino Linotype" w:eastAsia="Palatino Linotype" w:hAnsi="Palatino Linotype" w:cs="Palatino Linotype"/>
          <w:bCs/>
        </w:rPr>
        <w:t>El</w:t>
      </w:r>
      <w:r w:rsidRPr="00DD6E6E">
        <w:rPr>
          <w:rFonts w:ascii="Palatino Linotype" w:eastAsia="Palatino Linotype" w:hAnsi="Palatino Linotype" w:cs="Palatino Linotype"/>
          <w:b/>
          <w:bCs/>
        </w:rPr>
        <w:t xml:space="preserve"> SUJETO OBLIGADO </w:t>
      </w:r>
      <w:r w:rsidRPr="00DD6E6E">
        <w:rPr>
          <w:rFonts w:ascii="Palatino Linotype" w:eastAsia="Palatino Linotype" w:hAnsi="Palatino Linotype" w:cs="Palatino Linotype"/>
          <w:bCs/>
        </w:rPr>
        <w:t xml:space="preserve">emitió respuesta en términos del </w:t>
      </w:r>
      <w:r w:rsidRPr="00DD6E6E">
        <w:rPr>
          <w:rFonts w:ascii="Palatino Linotype" w:eastAsia="Palatino Linotype" w:hAnsi="Palatino Linotype" w:cs="Palatino Linotype"/>
          <w:b/>
          <w:bCs/>
        </w:rPr>
        <w:t xml:space="preserve">párrafo </w:t>
      </w:r>
      <w:r w:rsidR="005171A9" w:rsidRPr="00DD6E6E">
        <w:rPr>
          <w:rFonts w:ascii="Palatino Linotype" w:eastAsia="Palatino Linotype" w:hAnsi="Palatino Linotype" w:cs="Palatino Linotype"/>
          <w:b/>
          <w:bCs/>
        </w:rPr>
        <w:t xml:space="preserve">tres </w:t>
      </w:r>
      <w:r w:rsidRPr="00DD6E6E">
        <w:rPr>
          <w:rFonts w:ascii="Palatino Linotype" w:eastAsia="Palatino Linotype" w:hAnsi="Palatino Linotype" w:cs="Palatino Linotype"/>
          <w:bCs/>
        </w:rPr>
        <w:t>de la presente resolución.</w:t>
      </w:r>
    </w:p>
    <w:p w:rsidR="00EB242F" w:rsidRPr="00DD6E6E" w:rsidRDefault="00EB242F" w:rsidP="00EB242F">
      <w:pPr>
        <w:rPr>
          <w:rFonts w:ascii="Palatino Linotype" w:eastAsia="Palatino Linotype" w:hAnsi="Palatino Linotype" w:cs="Palatino Linotype"/>
        </w:rPr>
      </w:pPr>
    </w:p>
    <w:p w:rsidR="00EB242F" w:rsidRPr="00DD6E6E" w:rsidRDefault="00EB242F" w:rsidP="00EB242F">
      <w:pPr>
        <w:numPr>
          <w:ilvl w:val="0"/>
          <w:numId w:val="1"/>
        </w:numPr>
        <w:spacing w:line="360" w:lineRule="auto"/>
        <w:ind w:left="0" w:right="1" w:firstLine="0"/>
        <w:jc w:val="both"/>
        <w:rPr>
          <w:rFonts w:ascii="Palatino Linotype" w:eastAsia="Palatino Linotype" w:hAnsi="Palatino Linotype" w:cs="Palatino Linotype"/>
          <w:b/>
          <w:bCs/>
        </w:rPr>
      </w:pPr>
      <w:r w:rsidRPr="00DD6E6E">
        <w:rPr>
          <w:rFonts w:ascii="Palatino Linotype" w:eastAsia="Palatino Linotype" w:hAnsi="Palatino Linotype" w:cs="Palatino Linotype"/>
        </w:rPr>
        <w:t xml:space="preserve">En dichas condiciones, la </w:t>
      </w:r>
      <w:r w:rsidRPr="00DD6E6E">
        <w:rPr>
          <w:rFonts w:ascii="Palatino Linotype" w:eastAsia="Palatino Linotype" w:hAnsi="Palatino Linotype" w:cs="Palatino Linotype"/>
          <w:i/>
          <w:iCs/>
        </w:rPr>
        <w:t>Litis</w:t>
      </w:r>
      <w:r w:rsidRPr="00DD6E6E">
        <w:rPr>
          <w:rFonts w:ascii="Palatino Linotype" w:eastAsia="Palatino Linotype" w:hAnsi="Palatino Linotype" w:cs="Palatino Linotype"/>
        </w:rPr>
        <w:t xml:space="preserve"> a resolver en el presente recurso de revisión se circunscribe a determinar si se actualizan la causal de procedencia prevista en el artículo 179, fracción </w:t>
      </w:r>
      <w:r w:rsidR="0072264C" w:rsidRPr="00DD6E6E">
        <w:rPr>
          <w:rFonts w:ascii="Palatino Linotype" w:eastAsia="Palatino Linotype" w:hAnsi="Palatino Linotype" w:cs="Palatino Linotype"/>
          <w:b/>
        </w:rPr>
        <w:t>I</w:t>
      </w:r>
      <w:r w:rsidRPr="00DD6E6E">
        <w:rPr>
          <w:rFonts w:ascii="Palatino Linotype" w:eastAsia="Palatino Linotype" w:hAnsi="Palatino Linotype" w:cs="Palatino Linotype"/>
          <w:b/>
        </w:rPr>
        <w:t xml:space="preserve"> </w:t>
      </w:r>
      <w:r w:rsidRPr="00DD6E6E">
        <w:rPr>
          <w:rFonts w:ascii="Palatino Linotype" w:eastAsia="Palatino Linotype" w:hAnsi="Palatino Linotype" w:cs="Palatino Linotype"/>
        </w:rPr>
        <w:t xml:space="preserve">de la </w:t>
      </w:r>
      <w:r w:rsidRPr="00DD6E6E">
        <w:rPr>
          <w:rFonts w:ascii="Palatino Linotype" w:eastAsia="Palatino Linotype" w:hAnsi="Palatino Linotype" w:cs="Palatino Linotype"/>
          <w:b/>
          <w:bCs/>
        </w:rPr>
        <w:t>Ley de Transparencia y Acceso a la Información Pública del Estado de México y Municipios</w:t>
      </w:r>
      <w:r w:rsidRPr="00DD6E6E">
        <w:rPr>
          <w:rFonts w:ascii="Palatino Linotype" w:eastAsia="Palatino Linotype" w:hAnsi="Palatino Linotype" w:cs="Palatino Linotype"/>
        </w:rPr>
        <w:t>.</w:t>
      </w:r>
    </w:p>
    <w:bookmarkEnd w:id="5"/>
    <w:p w:rsidR="00EB242F" w:rsidRPr="00DD6E6E" w:rsidRDefault="00EB242F" w:rsidP="00EB242F">
      <w:pPr>
        <w:spacing w:line="360" w:lineRule="auto"/>
        <w:ind w:right="1"/>
        <w:jc w:val="both"/>
        <w:rPr>
          <w:rFonts w:ascii="Palatino Linotype" w:eastAsia="Palatino Linotype" w:hAnsi="Palatino Linotype" w:cs="Palatino Linotype"/>
          <w:b/>
          <w:bCs/>
        </w:rPr>
      </w:pPr>
    </w:p>
    <w:p w:rsidR="00EB242F" w:rsidRPr="00DD6E6E" w:rsidRDefault="00EB242F" w:rsidP="00EB242F">
      <w:pPr>
        <w:pStyle w:val="Ttulo2"/>
        <w:spacing w:before="0" w:line="360" w:lineRule="auto"/>
        <w:ind w:right="1"/>
        <w:rPr>
          <w:rFonts w:ascii="Palatino Linotype" w:eastAsia="Palatino Linotype" w:hAnsi="Palatino Linotype" w:cs="Palatino Linotype"/>
          <w:b/>
          <w:bCs/>
          <w:color w:val="000000"/>
          <w:sz w:val="24"/>
          <w:szCs w:val="24"/>
        </w:rPr>
      </w:pPr>
      <w:r w:rsidRPr="00DD6E6E">
        <w:rPr>
          <w:rFonts w:ascii="Palatino Linotype" w:eastAsia="Palatino Linotype" w:hAnsi="Palatino Linotype" w:cs="Palatino Linotype"/>
          <w:b/>
          <w:bCs/>
          <w:color w:val="000000"/>
          <w:sz w:val="24"/>
          <w:szCs w:val="24"/>
        </w:rPr>
        <w:t>CUARTA. Estudio y resolución del asunto.</w:t>
      </w:r>
    </w:p>
    <w:p w:rsidR="00EB242F" w:rsidRPr="00DD6E6E" w:rsidRDefault="00EB242F" w:rsidP="00EB242F">
      <w:pPr>
        <w:numPr>
          <w:ilvl w:val="0"/>
          <w:numId w:val="1"/>
        </w:numPr>
        <w:spacing w:line="360" w:lineRule="auto"/>
        <w:ind w:left="0" w:right="1" w:firstLine="0"/>
        <w:jc w:val="both"/>
        <w:rPr>
          <w:rFonts w:ascii="Palatino Linotype" w:eastAsia="Palatino Linotype" w:hAnsi="Palatino Linotype" w:cs="Palatino Linotype"/>
          <w:bCs/>
        </w:rPr>
      </w:pPr>
      <w:r w:rsidRPr="00DD6E6E">
        <w:rPr>
          <w:rFonts w:ascii="Palatino Linotype" w:eastAsia="Palatino Linotype" w:hAnsi="Palatino Linotype" w:cs="Palatino Linotype"/>
          <w:bCs/>
        </w:rPr>
        <w:t xml:space="preserve">El </w:t>
      </w:r>
      <w:r w:rsidRPr="00DD6E6E">
        <w:rPr>
          <w:rFonts w:ascii="Palatino Linotype" w:eastAsia="Palatino Linotype" w:hAnsi="Palatino Linotype" w:cs="Palatino Linotype"/>
          <w:color w:val="000000"/>
        </w:rPr>
        <w:t xml:space="preserve">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w:t>
      </w:r>
      <w:r w:rsidRPr="00DD6E6E">
        <w:rPr>
          <w:rFonts w:ascii="Palatino Linotype" w:eastAsia="Palatino Linotype" w:hAnsi="Palatino Linotype" w:cs="Palatino Linotype"/>
        </w:rPr>
        <w:t>Particular</w:t>
      </w:r>
      <w:r w:rsidRPr="00DD6E6E">
        <w:rPr>
          <w:rFonts w:ascii="Palatino Linotype" w:eastAsia="Palatino Linotype" w:hAnsi="Palatino Linotype" w:cs="Palatino Linotype"/>
          <w:color w:val="000000"/>
        </w:rPr>
        <w:t xml:space="preserve"> del Estado de México.</w:t>
      </w:r>
    </w:p>
    <w:p w:rsidR="00EB242F" w:rsidRPr="00DD6E6E" w:rsidRDefault="00EB242F" w:rsidP="00EB242F">
      <w:pPr>
        <w:spacing w:line="360" w:lineRule="auto"/>
        <w:ind w:right="1"/>
        <w:jc w:val="both"/>
        <w:rPr>
          <w:rFonts w:ascii="Palatino Linotype" w:eastAsia="Palatino Linotype" w:hAnsi="Palatino Linotype" w:cs="Palatino Linotype"/>
          <w:bCs/>
        </w:rPr>
      </w:pPr>
    </w:p>
    <w:p w:rsidR="00EB242F" w:rsidRPr="00DD6E6E" w:rsidRDefault="00EB242F" w:rsidP="00EB242F">
      <w:pPr>
        <w:numPr>
          <w:ilvl w:val="0"/>
          <w:numId w:val="1"/>
        </w:numPr>
        <w:spacing w:line="360" w:lineRule="auto"/>
        <w:ind w:left="0" w:right="1" w:firstLine="0"/>
        <w:jc w:val="both"/>
        <w:rPr>
          <w:rFonts w:ascii="Palatino Linotype" w:eastAsia="Palatino Linotype" w:hAnsi="Palatino Linotype" w:cs="Palatino Linotype"/>
          <w:bCs/>
        </w:rPr>
      </w:pPr>
      <w:r w:rsidRPr="00DD6E6E">
        <w:rPr>
          <w:rFonts w:ascii="Palatino Linotype" w:eastAsia="Palatino Linotype" w:hAnsi="Palatino Linotype" w:cs="Palatino Linotype"/>
          <w:color w:val="000000"/>
        </w:rPr>
        <w:lastRenderedPageBreak/>
        <w:t xml:space="preserve">Definiendo </w:t>
      </w:r>
      <w:r w:rsidRPr="00DD6E6E">
        <w:rPr>
          <w:rFonts w:ascii="Palatino Linotype" w:eastAsia="Palatino Linotype" w:hAnsi="Palatino Linotype" w:cs="Palatino Linotype"/>
        </w:rPr>
        <w:t xml:space="preserve">el Derecho de Acceso a la Información Pública como: </w:t>
      </w:r>
      <w:r w:rsidRPr="00DD6E6E">
        <w:rPr>
          <w:rFonts w:ascii="Palatino Linotype" w:eastAsia="Palatino Linotype" w:hAnsi="Palatino Linotype" w:cs="Palatino Linotype"/>
          <w:i/>
          <w:iCs/>
          <w:color w:val="000000"/>
        </w:rPr>
        <w:t xml:space="preserve">La igualdad de </w:t>
      </w:r>
      <w:r w:rsidRPr="00DD6E6E">
        <w:rPr>
          <w:rFonts w:ascii="Palatino Linotype" w:eastAsia="Palatino Linotype" w:hAnsi="Palatino Linotype" w:cs="Palatino Linotype"/>
        </w:rPr>
        <w:t>oportunidades</w:t>
      </w:r>
      <w:r w:rsidRPr="00DD6E6E">
        <w:rPr>
          <w:rFonts w:ascii="Palatino Linotype" w:eastAsia="Palatino Linotype" w:hAnsi="Palatino Linotype" w:cs="Palatino Linotype"/>
          <w:i/>
          <w:iCs/>
          <w:color w:val="000000"/>
        </w:rPr>
        <w:t xml:space="preserve"> para recibir, buscar e impartir información</w:t>
      </w:r>
      <w:r w:rsidRPr="00DD6E6E">
        <w:rPr>
          <w:rFonts w:ascii="Palatino Linotype" w:eastAsia="Palatino Linotype" w:hAnsi="Palatino Linotype"/>
          <w:vertAlign w:val="superscript"/>
        </w:rPr>
        <w:footnoteReference w:id="1"/>
      </w:r>
      <w:r w:rsidRPr="00DD6E6E">
        <w:rPr>
          <w:rFonts w:ascii="Palatino Linotype" w:eastAsia="Palatino Linotype" w:hAnsi="Palatino Linotype" w:cs="Palatino Linotype"/>
          <w:i/>
          <w:iCs/>
          <w:color w:val="000000"/>
        </w:rPr>
        <w:t>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w:t>
      </w:r>
      <w:r w:rsidRPr="00DD6E6E">
        <w:rPr>
          <w:rFonts w:ascii="Palatino Linotype" w:eastAsia="Palatino Linotype" w:hAnsi="Palatino Linotype"/>
          <w:vertAlign w:val="superscript"/>
        </w:rPr>
        <w:footnoteReference w:id="2"/>
      </w:r>
      <w:r w:rsidRPr="00DD6E6E">
        <w:rPr>
          <w:rFonts w:ascii="Palatino Linotype" w:eastAsia="Palatino Linotype" w:hAnsi="Palatino Linotype" w:cs="Palatino Linotype"/>
          <w:color w:val="000000"/>
        </w:rPr>
        <w:t>que se constituye como una herramienta fundamental para ejercer</w:t>
      </w:r>
      <w:r w:rsidRPr="00DD6E6E">
        <w:rPr>
          <w:rFonts w:ascii="Palatino Linotype" w:eastAsia="Palatino Linotype" w:hAnsi="Palatino Linotype" w:cs="Palatino Linotype"/>
          <w:i/>
          <w:iCs/>
          <w:color w:val="000000"/>
        </w:rPr>
        <w:t xml:space="preserve"> el control democrático de las gestiones estatales, de forma tal que puedan cuestionar, indagar y considerar si se está dando un adecuado cumplimiento a las funciones públicas,</w:t>
      </w:r>
      <w:r w:rsidRPr="00DD6E6E">
        <w:rPr>
          <w:rFonts w:ascii="Palatino Linotype" w:eastAsia="Palatino Linotype" w:hAnsi="Palatino Linotype"/>
          <w:vertAlign w:val="superscript"/>
        </w:rPr>
        <w:footnoteReference w:id="3"/>
      </w:r>
      <w:r w:rsidRPr="00DD6E6E">
        <w:rPr>
          <w:rFonts w:ascii="Palatino Linotype" w:eastAsia="Palatino Linotype" w:hAnsi="Palatino Linotype" w:cs="Palatino Linotype"/>
          <w:color w:val="000000"/>
        </w:rPr>
        <w:t>fomentando</w:t>
      </w:r>
      <w:r w:rsidRPr="00DD6E6E">
        <w:rPr>
          <w:rFonts w:ascii="Palatino Linotype" w:eastAsia="Palatino Linotype" w:hAnsi="Palatino Linotype" w:cs="Palatino Linotype"/>
          <w:i/>
          <w:iCs/>
          <w:color w:val="000000"/>
        </w:rPr>
        <w:t xml:space="preserve"> la transparencia de las actividades estatales y </w:t>
      </w:r>
      <w:r w:rsidRPr="00DD6E6E">
        <w:rPr>
          <w:rFonts w:ascii="Palatino Linotype" w:eastAsia="Palatino Linotype" w:hAnsi="Palatino Linotype" w:cs="Palatino Linotype"/>
          <w:color w:val="000000"/>
        </w:rPr>
        <w:t>promoviendo</w:t>
      </w:r>
      <w:r w:rsidRPr="00DD6E6E">
        <w:rPr>
          <w:rFonts w:ascii="Palatino Linotype" w:eastAsia="Palatino Linotype" w:hAnsi="Palatino Linotype" w:cs="Palatino Linotype"/>
          <w:i/>
          <w:iCs/>
          <w:color w:val="000000"/>
        </w:rPr>
        <w:t xml:space="preserve"> la responsabilidad de los funcionarios sobre su gestión pública,</w:t>
      </w:r>
      <w:r w:rsidRPr="00DD6E6E">
        <w:rPr>
          <w:rFonts w:ascii="Palatino Linotype" w:eastAsia="Palatino Linotype" w:hAnsi="Palatino Linotype"/>
          <w:vertAlign w:val="superscript"/>
        </w:rPr>
        <w:footnoteReference w:id="4"/>
      </w:r>
      <w:r w:rsidRPr="00DD6E6E">
        <w:rPr>
          <w:rFonts w:ascii="Palatino Linotype" w:eastAsia="Palatino Linotype" w:hAnsi="Palatino Linotype" w:cs="Palatino Linotype"/>
          <w:color w:val="000000"/>
        </w:rPr>
        <w:t>que permite</w:t>
      </w:r>
      <w:r w:rsidRPr="00DD6E6E">
        <w:rPr>
          <w:rFonts w:ascii="Palatino Linotype" w:eastAsia="Palatino Linotype" w:hAnsi="Palatino Linotype" w:cs="Palatino Linotype"/>
          <w:i/>
          <w:iCs/>
          <w:color w:val="000000"/>
        </w:rPr>
        <w:t xml:space="preserve"> saber qué están haciendo los gobiernos por sus pueblos, sin lo cual la verdad languidecería y la participación en el gobierno permanecería fragmentada.</w:t>
      </w:r>
    </w:p>
    <w:p w:rsidR="00EB242F" w:rsidRPr="00DD6E6E" w:rsidRDefault="00EB242F" w:rsidP="00EB242F">
      <w:pPr>
        <w:spacing w:line="360" w:lineRule="auto"/>
        <w:ind w:right="1"/>
        <w:jc w:val="both"/>
        <w:rPr>
          <w:rFonts w:ascii="Palatino Linotype" w:eastAsia="Palatino Linotype" w:hAnsi="Palatino Linotype" w:cs="Palatino Linotype"/>
          <w:bCs/>
        </w:rPr>
      </w:pPr>
    </w:p>
    <w:p w:rsidR="00EB242F" w:rsidRPr="00DD6E6E" w:rsidRDefault="00EB242F" w:rsidP="00EB242F">
      <w:pPr>
        <w:numPr>
          <w:ilvl w:val="0"/>
          <w:numId w:val="1"/>
        </w:numPr>
        <w:spacing w:line="360" w:lineRule="auto"/>
        <w:ind w:left="0" w:right="1" w:firstLine="0"/>
        <w:jc w:val="both"/>
        <w:rPr>
          <w:rFonts w:ascii="Palatino Linotype" w:eastAsia="Palatino Linotype" w:hAnsi="Palatino Linotype" w:cs="Palatino Linotype"/>
          <w:bCs/>
        </w:rPr>
      </w:pPr>
      <w:r w:rsidRPr="00DD6E6E">
        <w:rPr>
          <w:rFonts w:ascii="Palatino Linotype" w:eastAsia="Palatino Linotype" w:hAnsi="Palatino Linotype" w:cs="Palatino Linotype"/>
          <w:color w:val="000000"/>
        </w:rPr>
        <w:t xml:space="preserve">En </w:t>
      </w:r>
      <w:r w:rsidRPr="00DD6E6E">
        <w:rPr>
          <w:rFonts w:ascii="Palatino Linotype" w:eastAsia="Palatino Linotype" w:hAnsi="Palatino Linotype" w:cs="Palatino Linotype"/>
        </w:rPr>
        <w:t>México, además de los derechos, están reconocidas las garantías para su protección, en ese sentido el párrafo tercero de artículo primero de la Constitución Política de los Estados Unidos Mexicanos, dispone lo siguiente:</w:t>
      </w:r>
    </w:p>
    <w:p w:rsidR="00EB242F" w:rsidRPr="00DD6E6E" w:rsidRDefault="00EB242F" w:rsidP="00EB242F">
      <w:pPr>
        <w:ind w:left="567" w:right="710"/>
        <w:jc w:val="both"/>
        <w:rPr>
          <w:rFonts w:ascii="Palatino Linotype" w:eastAsia="Palatino Linotype" w:hAnsi="Palatino Linotype" w:cs="Palatino Linotype"/>
          <w:i/>
          <w:iCs/>
        </w:rPr>
      </w:pPr>
      <w:r w:rsidRPr="00DD6E6E">
        <w:rPr>
          <w:rFonts w:ascii="Palatino Linotype" w:eastAsia="Palatino Linotype" w:hAnsi="Palatino Linotype" w:cs="Palatino Linotype"/>
          <w:i/>
          <w:iCs/>
        </w:rPr>
        <w:t>“</w:t>
      </w:r>
      <w:r w:rsidRPr="00DD6E6E">
        <w:rPr>
          <w:rFonts w:ascii="Palatino Linotype" w:eastAsia="Palatino Linotype" w:hAnsi="Palatino Linotype" w:cs="Palatino Linotype"/>
          <w:b/>
          <w:bCs/>
          <w:i/>
          <w:iCs/>
        </w:rPr>
        <w:t>Artículo 1.-</w:t>
      </w:r>
      <w:r w:rsidRPr="00DD6E6E">
        <w:rPr>
          <w:rFonts w:ascii="Palatino Linotype" w:eastAsia="Palatino Linotype" w:hAnsi="Palatino Linotype" w:cs="Palatino Linotype"/>
          <w:i/>
          <w:iCs/>
        </w:rPr>
        <w:t xml:space="preserve"> </w:t>
      </w:r>
    </w:p>
    <w:p w:rsidR="00EB242F" w:rsidRPr="00DD6E6E" w:rsidRDefault="00EB242F" w:rsidP="00EB242F">
      <w:pPr>
        <w:ind w:left="567" w:right="710"/>
        <w:jc w:val="both"/>
        <w:rPr>
          <w:rFonts w:ascii="Palatino Linotype" w:eastAsia="Palatino Linotype" w:hAnsi="Palatino Linotype" w:cs="Palatino Linotype"/>
          <w:i/>
          <w:iCs/>
        </w:rPr>
      </w:pPr>
      <w:r w:rsidRPr="00DD6E6E">
        <w:rPr>
          <w:rFonts w:ascii="Palatino Linotype" w:eastAsia="Palatino Linotype" w:hAnsi="Palatino Linotype" w:cs="Palatino Linotype"/>
          <w:i/>
          <w:iCs/>
        </w:rPr>
        <w:t>(…)</w:t>
      </w:r>
    </w:p>
    <w:p w:rsidR="00EB242F" w:rsidRPr="00DD6E6E" w:rsidRDefault="00EB242F" w:rsidP="00EB242F">
      <w:pPr>
        <w:ind w:left="567" w:right="710"/>
        <w:jc w:val="both"/>
        <w:rPr>
          <w:rFonts w:ascii="Palatino Linotype" w:eastAsia="Palatino Linotype" w:hAnsi="Palatino Linotype" w:cs="Palatino Linotype"/>
          <w:i/>
          <w:iCs/>
        </w:rPr>
      </w:pPr>
      <w:r w:rsidRPr="00DD6E6E">
        <w:rPr>
          <w:rFonts w:ascii="Palatino Linotype" w:eastAsia="Palatino Linotype" w:hAnsi="Palatino Linotype" w:cs="Palatino Linotype"/>
          <w:i/>
          <w:iCs/>
        </w:rPr>
        <w:t>Todas las</w:t>
      </w:r>
      <w:r w:rsidRPr="00DD6E6E">
        <w:rPr>
          <w:rFonts w:ascii="Palatino Linotype" w:eastAsia="Palatino Linotype" w:hAnsi="Palatino Linotype" w:cs="Palatino Linotype"/>
        </w:rPr>
        <w:t xml:space="preserve"> </w:t>
      </w:r>
      <w:r w:rsidRPr="00DD6E6E">
        <w:rPr>
          <w:rFonts w:ascii="Palatino Linotype" w:eastAsia="Palatino Linotype" w:hAnsi="Palatino Linotype" w:cs="Palatino Linotype"/>
          <w:i/>
          <w:iCs/>
        </w:rPr>
        <w:t>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rsidR="00EB242F" w:rsidRPr="00DD6E6E" w:rsidRDefault="00EB242F" w:rsidP="00EB242F">
      <w:pPr>
        <w:ind w:left="567" w:right="710"/>
        <w:jc w:val="both"/>
        <w:rPr>
          <w:rFonts w:ascii="Palatino Linotype" w:eastAsia="Palatino Linotype" w:hAnsi="Palatino Linotype" w:cs="Palatino Linotype"/>
        </w:rPr>
      </w:pPr>
      <w:r w:rsidRPr="00DD6E6E">
        <w:rPr>
          <w:rFonts w:ascii="Palatino Linotype" w:eastAsia="Palatino Linotype" w:hAnsi="Palatino Linotype" w:cs="Palatino Linotype"/>
          <w:i/>
          <w:iCs/>
        </w:rPr>
        <w:t>(…)</w:t>
      </w:r>
      <w:r w:rsidRPr="00DD6E6E">
        <w:rPr>
          <w:rFonts w:ascii="Palatino Linotype" w:eastAsia="Palatino Linotype" w:hAnsi="Palatino Linotype" w:cs="Palatino Linotype"/>
        </w:rPr>
        <w:t>”</w:t>
      </w:r>
    </w:p>
    <w:p w:rsidR="00EB242F" w:rsidRPr="00DD6E6E" w:rsidRDefault="00EB242F" w:rsidP="00EB242F">
      <w:pPr>
        <w:ind w:right="-592"/>
        <w:jc w:val="both"/>
        <w:rPr>
          <w:rFonts w:ascii="Palatino Linotype" w:eastAsia="Palatino Linotype" w:hAnsi="Palatino Linotype" w:cs="Palatino Linotype"/>
          <w:b/>
          <w:bCs/>
        </w:rPr>
      </w:pPr>
    </w:p>
    <w:p w:rsidR="00EB242F" w:rsidRPr="00DD6E6E" w:rsidRDefault="00EB242F" w:rsidP="00EB242F">
      <w:pPr>
        <w:pStyle w:val="Prrafodelista"/>
        <w:numPr>
          <w:ilvl w:val="0"/>
          <w:numId w:val="1"/>
        </w:numPr>
        <w:spacing w:line="360" w:lineRule="auto"/>
        <w:ind w:left="0" w:right="1" w:firstLine="0"/>
        <w:jc w:val="both"/>
        <w:rPr>
          <w:rFonts w:ascii="Palatino Linotype" w:eastAsia="Palatino Linotype" w:hAnsi="Palatino Linotype" w:cs="Palatino Linotype"/>
          <w:b/>
          <w:bCs/>
          <w:sz w:val="24"/>
        </w:rPr>
      </w:pPr>
      <w:r w:rsidRPr="00DD6E6E">
        <w:rPr>
          <w:rFonts w:ascii="Palatino Linotype" w:eastAsia="Palatino Linotype" w:hAnsi="Palatino Linotype" w:cs="Palatino Linotype"/>
          <w:color w:val="000000"/>
          <w:sz w:val="24"/>
        </w:rPr>
        <w:lastRenderedPageBreak/>
        <w:t xml:space="preserve">Por </w:t>
      </w:r>
      <w:r w:rsidRPr="00DD6E6E">
        <w:rPr>
          <w:rFonts w:ascii="Palatino Linotype" w:eastAsia="Palatino Linotype" w:hAnsi="Palatino Linotype" w:cs="Palatino Linotype"/>
          <w:sz w:val="24"/>
        </w:rPr>
        <w:t>lo anterior, se deduce que el Derecho de Acceso a la Información Pública es un Derecho Humano de Fuente Internacional y Constitucionalmente reconocido. Además del derecho, también se reconocen garantías para su protección, lo que vincula con el mandato del párrafo tercero del mismo artículo.</w:t>
      </w:r>
    </w:p>
    <w:p w:rsidR="00EB242F" w:rsidRPr="00DD6E6E" w:rsidRDefault="00EB242F" w:rsidP="00EB242F">
      <w:pPr>
        <w:ind w:right="1"/>
        <w:jc w:val="both"/>
        <w:rPr>
          <w:rFonts w:ascii="Palatino Linotype" w:eastAsia="Palatino Linotype" w:hAnsi="Palatino Linotype" w:cs="Palatino Linotype"/>
          <w:b/>
          <w:bCs/>
        </w:rPr>
      </w:pPr>
    </w:p>
    <w:p w:rsidR="00EB242F" w:rsidRPr="00DD6E6E" w:rsidRDefault="00EB242F" w:rsidP="00EB242F">
      <w:pPr>
        <w:numPr>
          <w:ilvl w:val="0"/>
          <w:numId w:val="1"/>
        </w:numPr>
        <w:spacing w:line="360" w:lineRule="auto"/>
        <w:ind w:left="0" w:right="1" w:firstLine="0"/>
        <w:jc w:val="both"/>
        <w:rPr>
          <w:rFonts w:ascii="Palatino Linotype" w:eastAsia="Palatino Linotype" w:hAnsi="Palatino Linotype" w:cs="Palatino Linotype"/>
          <w:b/>
          <w:bCs/>
        </w:rPr>
      </w:pPr>
      <w:r w:rsidRPr="00DD6E6E">
        <w:rPr>
          <w:rFonts w:ascii="Palatino Linotype" w:eastAsia="Palatino Linotype" w:hAnsi="Palatino Linotype" w:cs="Palatino Linotype"/>
          <w:color w:val="000000"/>
        </w:rPr>
        <w:t xml:space="preserve">Así </w:t>
      </w:r>
      <w:r w:rsidRPr="00DD6E6E">
        <w:rPr>
          <w:rFonts w:ascii="Palatino Linotype" w:eastAsia="Palatino Linotype" w:hAnsi="Palatino Linotype" w:cs="Palatino Linotype"/>
        </w:rPr>
        <w:t>conforme a la Constitución Política de las Estado Unidos Mexicanos y la Constitución Política del Estado Libre y Soberano de México respectivamente, el cumplimiento de las garantías primarias, entendidas como obligaciones inmediatamente relacionadas con el Derecho de Acceso a la Información Pública, permiten que todas las autoridades, en el ámbito de sus atribuciones lo respeten, protejan y garanticen:</w:t>
      </w:r>
    </w:p>
    <w:p w:rsidR="00EB242F" w:rsidRPr="00DD6E6E" w:rsidRDefault="00EB242F" w:rsidP="00EB242F">
      <w:pPr>
        <w:ind w:left="1134" w:right="1389"/>
        <w:jc w:val="both"/>
        <w:rPr>
          <w:rFonts w:ascii="Palatino Linotype" w:eastAsia="Palatino Linotype" w:hAnsi="Palatino Linotype" w:cs="Palatino Linotype"/>
          <w:b/>
          <w:bCs/>
          <w:i/>
          <w:iCs/>
        </w:rPr>
      </w:pPr>
      <w:r w:rsidRPr="00DD6E6E">
        <w:rPr>
          <w:rFonts w:ascii="Palatino Linotype" w:eastAsia="Palatino Linotype" w:hAnsi="Palatino Linotype" w:cs="Palatino Linotype"/>
          <w:b/>
          <w:bCs/>
          <w:i/>
          <w:iCs/>
        </w:rPr>
        <w:t>Constitución Política de los Estados Unidos Mexicanos</w:t>
      </w:r>
    </w:p>
    <w:p w:rsidR="00EB242F" w:rsidRPr="00DD6E6E" w:rsidRDefault="00EB242F" w:rsidP="00EB242F">
      <w:pPr>
        <w:ind w:left="1134" w:right="1389"/>
        <w:jc w:val="both"/>
        <w:rPr>
          <w:rFonts w:ascii="Palatino Linotype" w:eastAsia="Palatino Linotype" w:hAnsi="Palatino Linotype" w:cs="Palatino Linotype"/>
          <w:b/>
          <w:bCs/>
          <w:i/>
          <w:iCs/>
        </w:rPr>
      </w:pPr>
    </w:p>
    <w:p w:rsidR="00EB242F" w:rsidRPr="00DD6E6E" w:rsidRDefault="00EB242F" w:rsidP="00EB242F">
      <w:pPr>
        <w:ind w:left="1134" w:right="1389"/>
        <w:jc w:val="both"/>
        <w:rPr>
          <w:rFonts w:ascii="Palatino Linotype" w:eastAsia="Palatino Linotype" w:hAnsi="Palatino Linotype" w:cs="Palatino Linotype"/>
          <w:b/>
          <w:bCs/>
          <w:i/>
          <w:iCs/>
        </w:rPr>
      </w:pPr>
      <w:r w:rsidRPr="00DD6E6E">
        <w:rPr>
          <w:rFonts w:ascii="Palatino Linotype" w:eastAsia="Palatino Linotype" w:hAnsi="Palatino Linotype" w:cs="Palatino Linotype"/>
          <w:b/>
          <w:bCs/>
          <w:i/>
          <w:iCs/>
        </w:rPr>
        <w:t>“Artículo 6.</w:t>
      </w:r>
      <w:r w:rsidRPr="00DD6E6E">
        <w:rPr>
          <w:rFonts w:ascii="Palatino Linotype" w:eastAsia="Palatino Linotype" w:hAnsi="Palatino Linotype" w:cs="Palatino Linotype"/>
          <w:i/>
          <w:iCs/>
        </w:rPr>
        <w:t xml:space="preserve"> …</w:t>
      </w:r>
    </w:p>
    <w:p w:rsidR="00EB242F" w:rsidRPr="00DD6E6E" w:rsidRDefault="00EB242F" w:rsidP="00EB242F">
      <w:pPr>
        <w:ind w:left="1134" w:right="1389"/>
        <w:jc w:val="both"/>
        <w:rPr>
          <w:rFonts w:ascii="Palatino Linotype" w:eastAsia="Palatino Linotype" w:hAnsi="Palatino Linotype" w:cs="Palatino Linotype"/>
          <w:i/>
          <w:iCs/>
        </w:rPr>
      </w:pPr>
      <w:r w:rsidRPr="00DD6E6E">
        <w:rPr>
          <w:rFonts w:ascii="Palatino Linotype" w:eastAsia="Palatino Linotype" w:hAnsi="Palatino Linotype" w:cs="Palatino Linotype"/>
          <w:i/>
          <w:iCs/>
        </w:rPr>
        <w:t>…</w:t>
      </w:r>
    </w:p>
    <w:p w:rsidR="00EB242F" w:rsidRPr="00DD6E6E" w:rsidRDefault="00EB242F" w:rsidP="00EB242F">
      <w:pPr>
        <w:ind w:left="1134" w:right="1389"/>
        <w:jc w:val="both"/>
        <w:rPr>
          <w:rFonts w:ascii="Palatino Linotype" w:eastAsia="Palatino Linotype" w:hAnsi="Palatino Linotype" w:cs="Palatino Linotype"/>
          <w:i/>
          <w:iCs/>
        </w:rPr>
      </w:pPr>
      <w:r w:rsidRPr="00DD6E6E">
        <w:rPr>
          <w:rFonts w:ascii="Palatino Linotype" w:eastAsia="Palatino Linotype" w:hAnsi="Palatino Linotype" w:cs="Palatino Linotype"/>
          <w:i/>
          <w:iCs/>
        </w:rPr>
        <w:t>Para efectos de lo dispuesto en el presente artículo se observará lo siguiente:</w:t>
      </w:r>
    </w:p>
    <w:p w:rsidR="00EB242F" w:rsidRPr="00DD6E6E" w:rsidRDefault="00EB242F" w:rsidP="00EB242F">
      <w:pPr>
        <w:ind w:left="1134" w:right="1389"/>
        <w:jc w:val="both"/>
        <w:rPr>
          <w:rFonts w:ascii="Palatino Linotype" w:eastAsia="Palatino Linotype" w:hAnsi="Palatino Linotype" w:cs="Palatino Linotype"/>
          <w:b/>
          <w:bCs/>
          <w:i/>
          <w:iCs/>
        </w:rPr>
      </w:pPr>
      <w:r w:rsidRPr="00DD6E6E">
        <w:rPr>
          <w:rFonts w:ascii="Palatino Linotype" w:eastAsia="Palatino Linotype" w:hAnsi="Palatino Linotype" w:cs="Palatino Linotype"/>
          <w:b/>
          <w:bCs/>
          <w:i/>
          <w:iCs/>
        </w:rPr>
        <w:t>A</w:t>
      </w:r>
      <w:r w:rsidRPr="00DD6E6E">
        <w:rPr>
          <w:rFonts w:ascii="Palatino Linotype" w:eastAsia="Palatino Linotype" w:hAnsi="Palatino Linotype" w:cs="Palatino Linotype"/>
          <w:i/>
          <w:iCs/>
        </w:rPr>
        <w:t xml:space="preserve">. </w:t>
      </w:r>
      <w:r w:rsidRPr="00DD6E6E">
        <w:rPr>
          <w:rFonts w:ascii="Palatino Linotype" w:eastAsia="Palatino Linotype" w:hAnsi="Palatino Linotype" w:cs="Palatino Linotype"/>
          <w:b/>
          <w:bCs/>
          <w:i/>
          <w:iCs/>
        </w:rPr>
        <w:t>Para el ejercicio del derecho de acceso a la información</w:t>
      </w:r>
      <w:r w:rsidRPr="00DD6E6E">
        <w:rPr>
          <w:rFonts w:ascii="Palatino Linotype" w:eastAsia="Palatino Linotype" w:hAnsi="Palatino Linotype" w:cs="Palatino Linotype"/>
          <w:i/>
          <w:iCs/>
        </w:rPr>
        <w:t xml:space="preserve">, la Federación y </w:t>
      </w:r>
      <w:r w:rsidRPr="00DD6E6E">
        <w:rPr>
          <w:rFonts w:ascii="Palatino Linotype" w:eastAsia="Palatino Linotype" w:hAnsi="Palatino Linotype" w:cs="Palatino Linotype"/>
          <w:b/>
          <w:bCs/>
          <w:i/>
          <w:iCs/>
        </w:rPr>
        <w:t>las entidades federativas, en el ámbito de sus respectivas competencias, se regirán por los siguientes principios y bases:</w:t>
      </w:r>
    </w:p>
    <w:p w:rsidR="00EB242F" w:rsidRPr="00DD6E6E" w:rsidRDefault="00EB242F" w:rsidP="00EB242F">
      <w:pPr>
        <w:ind w:left="1134" w:right="1389"/>
        <w:jc w:val="both"/>
        <w:rPr>
          <w:rFonts w:ascii="Palatino Linotype" w:eastAsia="Palatino Linotype" w:hAnsi="Palatino Linotype" w:cs="Palatino Linotype"/>
          <w:i/>
          <w:iCs/>
        </w:rPr>
      </w:pPr>
      <w:r w:rsidRPr="00DD6E6E">
        <w:rPr>
          <w:rFonts w:ascii="Palatino Linotype" w:eastAsia="Palatino Linotype" w:hAnsi="Palatino Linotype" w:cs="Palatino Linotype"/>
          <w:b/>
          <w:bCs/>
          <w:i/>
          <w:iCs/>
        </w:rPr>
        <w:t xml:space="preserve">I. </w:t>
      </w:r>
      <w:r w:rsidRPr="00DD6E6E">
        <w:rPr>
          <w:rFonts w:ascii="Palatino Linotype" w:eastAsia="Palatino Linotype" w:hAnsi="Palatino Linotype" w:cs="Palatino Linotype"/>
          <w:b/>
          <w:bCs/>
          <w:i/>
          <w:iCs/>
        </w:rPr>
        <w:tab/>
        <w:t>Toda la información en posesión de cualquier</w:t>
      </w:r>
      <w:r w:rsidRPr="00DD6E6E">
        <w:rPr>
          <w:rFonts w:ascii="Palatino Linotype" w:eastAsia="Palatino Linotype" w:hAnsi="Palatino Linotype" w:cs="Palatino Linotype"/>
          <w:i/>
          <w:iCs/>
        </w:rPr>
        <w:t xml:space="preserve"> </w:t>
      </w:r>
      <w:r w:rsidRPr="00DD6E6E">
        <w:rPr>
          <w:rFonts w:ascii="Palatino Linotype" w:eastAsia="Palatino Linotype" w:hAnsi="Palatino Linotype" w:cs="Palatino Linotype"/>
          <w:b/>
          <w:bCs/>
          <w:i/>
          <w:iCs/>
        </w:rPr>
        <w:t>autoridad</w:t>
      </w:r>
      <w:r w:rsidRPr="00DD6E6E">
        <w:rPr>
          <w:rFonts w:ascii="Palatino Linotype" w:eastAsia="Palatino Linotype" w:hAnsi="Palatino Linotype" w:cs="Palatino Linotype"/>
          <w:i/>
          <w:iCs/>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DD6E6E">
        <w:rPr>
          <w:rFonts w:ascii="Palatino Linotype" w:eastAsia="Palatino Linotype" w:hAnsi="Palatino Linotype" w:cs="Palatino Linotype"/>
          <w:b/>
          <w:bCs/>
          <w:i/>
          <w:iCs/>
        </w:rPr>
        <w:t>municipal</w:t>
      </w:r>
      <w:r w:rsidRPr="00DD6E6E">
        <w:rPr>
          <w:rFonts w:ascii="Palatino Linotype" w:eastAsia="Palatino Linotype" w:hAnsi="Palatino Linotype" w:cs="Palatino Linotype"/>
          <w:i/>
          <w:iCs/>
        </w:rPr>
        <w:t xml:space="preserve">, </w:t>
      </w:r>
      <w:r w:rsidRPr="00DD6E6E">
        <w:rPr>
          <w:rFonts w:ascii="Palatino Linotype" w:eastAsia="Palatino Linotype" w:hAnsi="Palatino Linotype" w:cs="Palatino Linotype"/>
          <w:b/>
          <w:bCs/>
          <w:i/>
          <w:iCs/>
        </w:rPr>
        <w:t>es pública</w:t>
      </w:r>
      <w:r w:rsidRPr="00DD6E6E">
        <w:rPr>
          <w:rFonts w:ascii="Palatino Linotype" w:eastAsia="Palatino Linotype" w:hAnsi="Palatino Linotype" w:cs="Palatino Linotype"/>
          <w:i/>
          <w:iCs/>
        </w:rPr>
        <w:t xml:space="preserve"> y sólo podrá ser reservada temporalmente por razones de interés público y seguridad nacional, en los términos que fijen las leyes. </w:t>
      </w:r>
      <w:r w:rsidRPr="00DD6E6E">
        <w:rPr>
          <w:rFonts w:ascii="Palatino Linotype" w:eastAsia="Palatino Linotype" w:hAnsi="Palatino Linotype" w:cs="Palatino Linotype"/>
          <w:b/>
          <w:bCs/>
          <w:i/>
          <w:iCs/>
        </w:rPr>
        <w:t>En la interpretación de este derecho deberá prevalecer el principio de máxima publicidad. Los sujetos obligados deberán documentar todo acto que derive del ejercicio de sus facultades, competencias o funciones</w:t>
      </w:r>
      <w:r w:rsidRPr="00DD6E6E">
        <w:rPr>
          <w:rFonts w:ascii="Palatino Linotype" w:eastAsia="Palatino Linotype" w:hAnsi="Palatino Linotype" w:cs="Palatino Linotype"/>
          <w:i/>
          <w:iCs/>
        </w:rPr>
        <w:t>, la ley determinará los supuestos específicos bajo los cuales procederá la declaración de inexistencia de la información.”</w:t>
      </w:r>
    </w:p>
    <w:p w:rsidR="00EB242F" w:rsidRPr="00DD6E6E" w:rsidRDefault="00EB242F" w:rsidP="00EB242F">
      <w:pPr>
        <w:tabs>
          <w:tab w:val="left" w:pos="426"/>
          <w:tab w:val="left" w:pos="567"/>
        </w:tabs>
        <w:ind w:left="1134" w:right="1389"/>
        <w:jc w:val="both"/>
        <w:rPr>
          <w:rFonts w:ascii="Palatino Linotype" w:eastAsia="Palatino Linotype" w:hAnsi="Palatino Linotype" w:cs="Palatino Linotype"/>
          <w:color w:val="000000"/>
        </w:rPr>
      </w:pPr>
    </w:p>
    <w:p w:rsidR="00EB242F" w:rsidRPr="00DD6E6E" w:rsidRDefault="00EB242F" w:rsidP="00EB242F">
      <w:pPr>
        <w:ind w:left="1134" w:right="1389"/>
        <w:jc w:val="both"/>
        <w:rPr>
          <w:rFonts w:ascii="Palatino Linotype" w:eastAsia="Palatino Linotype" w:hAnsi="Palatino Linotype" w:cs="Palatino Linotype"/>
          <w:b/>
          <w:bCs/>
          <w:i/>
          <w:iCs/>
        </w:rPr>
      </w:pPr>
      <w:r w:rsidRPr="00DD6E6E">
        <w:rPr>
          <w:rFonts w:ascii="Palatino Linotype" w:eastAsia="Palatino Linotype" w:hAnsi="Palatino Linotype" w:cs="Palatino Linotype"/>
          <w:b/>
          <w:bCs/>
          <w:i/>
          <w:iCs/>
        </w:rPr>
        <w:t>Constitución Política del Estado Libre y Soberano de México</w:t>
      </w:r>
    </w:p>
    <w:p w:rsidR="00EB242F" w:rsidRPr="00DD6E6E" w:rsidRDefault="00EB242F" w:rsidP="00EB242F">
      <w:pPr>
        <w:ind w:left="1134" w:right="1389"/>
        <w:jc w:val="both"/>
        <w:rPr>
          <w:rFonts w:ascii="Palatino Linotype" w:eastAsia="Palatino Linotype" w:hAnsi="Palatino Linotype" w:cs="Palatino Linotype"/>
          <w:i/>
          <w:iCs/>
        </w:rPr>
      </w:pPr>
      <w:r w:rsidRPr="00DD6E6E">
        <w:rPr>
          <w:rFonts w:ascii="Palatino Linotype" w:eastAsia="Palatino Linotype" w:hAnsi="Palatino Linotype" w:cs="Palatino Linotype"/>
          <w:b/>
          <w:bCs/>
          <w:i/>
          <w:iCs/>
        </w:rPr>
        <w:lastRenderedPageBreak/>
        <w:t>“Artículo 5</w:t>
      </w:r>
      <w:r w:rsidRPr="00DD6E6E">
        <w:rPr>
          <w:rFonts w:ascii="Palatino Linotype" w:eastAsia="Palatino Linotype" w:hAnsi="Palatino Linotype" w:cs="Palatino Linotype"/>
          <w:i/>
          <w:iCs/>
        </w:rPr>
        <w:t>.-…</w:t>
      </w:r>
    </w:p>
    <w:p w:rsidR="00EB242F" w:rsidRPr="00DD6E6E" w:rsidRDefault="00EB242F" w:rsidP="00EB242F">
      <w:pPr>
        <w:ind w:left="1134" w:right="1389"/>
        <w:jc w:val="both"/>
        <w:rPr>
          <w:rFonts w:ascii="Palatino Linotype" w:eastAsia="Palatino Linotype" w:hAnsi="Palatino Linotype" w:cs="Palatino Linotype"/>
          <w:i/>
          <w:iCs/>
        </w:rPr>
      </w:pPr>
      <w:r w:rsidRPr="00DD6E6E">
        <w:rPr>
          <w:rFonts w:ascii="Palatino Linotype" w:eastAsia="Palatino Linotype" w:hAnsi="Palatino Linotype" w:cs="Palatino Linotype"/>
          <w:i/>
          <w:iCs/>
        </w:rPr>
        <w:t>…</w:t>
      </w:r>
    </w:p>
    <w:p w:rsidR="00EB242F" w:rsidRPr="00DD6E6E" w:rsidRDefault="00EB242F" w:rsidP="00EB242F">
      <w:pPr>
        <w:ind w:left="1134" w:right="1389"/>
        <w:jc w:val="both"/>
        <w:rPr>
          <w:rFonts w:ascii="Palatino Linotype" w:eastAsia="Palatino Linotype" w:hAnsi="Palatino Linotype" w:cs="Palatino Linotype"/>
          <w:i/>
          <w:iCs/>
        </w:rPr>
      </w:pPr>
      <w:r w:rsidRPr="00DD6E6E">
        <w:rPr>
          <w:rFonts w:ascii="Palatino Linotype" w:eastAsia="Palatino Linotype" w:hAnsi="Palatino Linotype" w:cs="Palatino Linotype"/>
          <w:b/>
          <w:bCs/>
          <w:i/>
          <w:iCs/>
        </w:rPr>
        <w:t>El derecho a la información será garantizado por el Estado. La ley establecerá las previsiones que permitan asegurar la protección, el respeto y la difusión de este derecho</w:t>
      </w:r>
      <w:r w:rsidRPr="00DD6E6E">
        <w:rPr>
          <w:rFonts w:ascii="Palatino Linotype" w:eastAsia="Palatino Linotype" w:hAnsi="Palatino Linotype" w:cs="Palatino Linotype"/>
          <w:i/>
          <w:iCs/>
        </w:rPr>
        <w:t>.</w:t>
      </w:r>
    </w:p>
    <w:p w:rsidR="00EB242F" w:rsidRPr="00DD6E6E" w:rsidRDefault="00EB242F" w:rsidP="00EB242F">
      <w:pPr>
        <w:ind w:left="1134" w:right="1389"/>
        <w:jc w:val="both"/>
        <w:rPr>
          <w:rFonts w:ascii="Palatino Linotype" w:eastAsia="Palatino Linotype" w:hAnsi="Palatino Linotype" w:cs="Palatino Linotype"/>
          <w:i/>
          <w:iCs/>
        </w:rPr>
      </w:pPr>
      <w:r w:rsidRPr="00DD6E6E">
        <w:rPr>
          <w:rFonts w:ascii="Palatino Linotype" w:eastAsia="Palatino Linotype" w:hAnsi="Palatino Linotype" w:cs="Palatino Linotype"/>
          <w:i/>
          <w:iC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rsidR="00EB242F" w:rsidRPr="00DD6E6E" w:rsidRDefault="00EB242F" w:rsidP="00EB242F">
      <w:pPr>
        <w:ind w:left="1134" w:right="1389"/>
        <w:jc w:val="both"/>
        <w:rPr>
          <w:rFonts w:ascii="Palatino Linotype" w:eastAsia="Palatino Linotype" w:hAnsi="Palatino Linotype" w:cs="Palatino Linotype"/>
          <w:i/>
          <w:iCs/>
        </w:rPr>
      </w:pPr>
    </w:p>
    <w:p w:rsidR="00EB242F" w:rsidRPr="00DD6E6E" w:rsidRDefault="00EB242F" w:rsidP="00EB242F">
      <w:pPr>
        <w:ind w:left="1134" w:right="1389"/>
        <w:jc w:val="both"/>
        <w:rPr>
          <w:rFonts w:ascii="Palatino Linotype" w:eastAsia="Palatino Linotype" w:hAnsi="Palatino Linotype" w:cs="Palatino Linotype"/>
          <w:i/>
          <w:iCs/>
        </w:rPr>
      </w:pPr>
      <w:r w:rsidRPr="00DD6E6E">
        <w:rPr>
          <w:rFonts w:ascii="Palatino Linotype" w:eastAsia="Palatino Linotype" w:hAnsi="Palatino Linotype" w:cs="Palatino Linotype"/>
          <w:b/>
          <w:bCs/>
          <w:i/>
          <w:iCs/>
        </w:rPr>
        <w:t>Este derecho se regirá por los principios y bases siguientes</w:t>
      </w:r>
      <w:r w:rsidRPr="00DD6E6E">
        <w:rPr>
          <w:rFonts w:ascii="Palatino Linotype" w:eastAsia="Palatino Linotype" w:hAnsi="Palatino Linotype" w:cs="Palatino Linotype"/>
          <w:i/>
          <w:iCs/>
        </w:rPr>
        <w:t>:</w:t>
      </w:r>
    </w:p>
    <w:p w:rsidR="00EB242F" w:rsidRPr="00DD6E6E" w:rsidRDefault="00EB242F" w:rsidP="00EB242F">
      <w:pPr>
        <w:ind w:left="1134" w:right="1389"/>
        <w:jc w:val="both"/>
        <w:rPr>
          <w:rFonts w:ascii="Palatino Linotype" w:eastAsia="Palatino Linotype" w:hAnsi="Palatino Linotype" w:cs="Palatino Linotype"/>
          <w:b/>
          <w:bCs/>
        </w:rPr>
      </w:pPr>
      <w:r w:rsidRPr="00DD6E6E">
        <w:rPr>
          <w:rFonts w:ascii="Palatino Linotype" w:eastAsia="Palatino Linotype" w:hAnsi="Palatino Linotype" w:cs="Palatino Linotype"/>
          <w:b/>
          <w:bCs/>
          <w:i/>
          <w:iCs/>
        </w:rPr>
        <w:t>Toda la información en posesión de cualquier autoridad, entidad, órgano y organismos de los</w:t>
      </w:r>
      <w:r w:rsidRPr="00DD6E6E">
        <w:rPr>
          <w:rFonts w:ascii="Palatino Linotype" w:eastAsia="Palatino Linotype" w:hAnsi="Palatino Linotype" w:cs="Palatino Linotype"/>
          <w:i/>
          <w:iCs/>
        </w:rPr>
        <w:t xml:space="preserve"> Poderes Ejecutivo, Legislativo y Judicial, órganos autónomos, partidos políticos, fideicomisos y fondos públicos estatales y </w:t>
      </w:r>
      <w:r w:rsidRPr="00DD6E6E">
        <w:rPr>
          <w:rFonts w:ascii="Palatino Linotype" w:eastAsia="Palatino Linotype" w:hAnsi="Palatino Linotype" w:cs="Palatino Linotype"/>
          <w:b/>
          <w:bCs/>
          <w:i/>
          <w:iCs/>
        </w:rPr>
        <w:t>municipales</w:t>
      </w:r>
      <w:r w:rsidRPr="00DD6E6E">
        <w:rPr>
          <w:rFonts w:ascii="Palatino Linotype" w:eastAsia="Palatino Linotype" w:hAnsi="Palatino Linotype" w:cs="Palatino Linotype"/>
          <w:i/>
          <w:iCs/>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DD6E6E">
        <w:rPr>
          <w:rFonts w:ascii="Palatino Linotype" w:eastAsia="Palatino Linotype" w:hAnsi="Palatino Linotype" w:cs="Palatino Linotype"/>
          <w:b/>
          <w:bCs/>
          <w:i/>
          <w:iCs/>
        </w:rPr>
        <w:t>es pública</w:t>
      </w:r>
      <w:r w:rsidRPr="00DD6E6E">
        <w:rPr>
          <w:rFonts w:ascii="Palatino Linotype" w:eastAsia="Palatino Linotype" w:hAnsi="Palatino Linotype" w:cs="Palatino Linotype"/>
          <w:i/>
          <w:iCs/>
        </w:rPr>
        <w:t xml:space="preserve"> y sólo podrá ser reservada temporalmente por razones previstas en la Constitución Política de los Estados Unidos Mexicanos de interés público y seguridad, en los términos que fijen las leyes. </w:t>
      </w:r>
      <w:r w:rsidRPr="00DD6E6E">
        <w:rPr>
          <w:rFonts w:ascii="Palatino Linotype" w:eastAsia="Palatino Linotype" w:hAnsi="Palatino Linotype" w:cs="Palatino Linotype"/>
          <w:b/>
          <w:bCs/>
          <w:i/>
          <w:iCs/>
        </w:rPr>
        <w:t>En la interpretación de este derecho deberá prevalecer el principio de máxima publicidad</w:t>
      </w:r>
      <w:r w:rsidRPr="00DD6E6E">
        <w:rPr>
          <w:rFonts w:ascii="Palatino Linotype" w:eastAsia="Palatino Linotype" w:hAnsi="Palatino Linotype" w:cs="Palatino Linotype"/>
          <w:i/>
          <w:iCs/>
        </w:rPr>
        <w:t xml:space="preserve">. </w:t>
      </w:r>
      <w:r w:rsidRPr="00DD6E6E">
        <w:rPr>
          <w:rFonts w:ascii="Palatino Linotype" w:eastAsia="Palatino Linotype" w:hAnsi="Palatino Linotype" w:cs="Palatino Linotype"/>
          <w:b/>
          <w:bCs/>
          <w:i/>
          <w:iCs/>
        </w:rPr>
        <w:t>Los sujetos obligados deberán documentar todo acto que derive del ejercicio de sus facultades, competencias o funciones</w:t>
      </w:r>
      <w:r w:rsidRPr="00DD6E6E">
        <w:rPr>
          <w:rFonts w:ascii="Palatino Linotype" w:eastAsia="Palatino Linotype" w:hAnsi="Palatino Linotype" w:cs="Palatino Linotype"/>
          <w:i/>
          <w:iCs/>
        </w:rPr>
        <w:t>, la ley determinará los supuestos específicos bajo los cuales procederá la declaración de inexistencia de la información.”</w:t>
      </w:r>
    </w:p>
    <w:p w:rsidR="00EB242F" w:rsidRPr="00DD6E6E" w:rsidRDefault="00EB242F" w:rsidP="00EB242F">
      <w:pPr>
        <w:rPr>
          <w:rFonts w:ascii="Palatino Linotype" w:eastAsia="Palatino Linotype" w:hAnsi="Palatino Linotype" w:cs="Palatino Linotype"/>
          <w:b/>
          <w:bCs/>
        </w:rPr>
      </w:pPr>
    </w:p>
    <w:p w:rsidR="00EB242F" w:rsidRPr="00DD6E6E" w:rsidRDefault="00EB242F" w:rsidP="00EB242F">
      <w:pPr>
        <w:numPr>
          <w:ilvl w:val="0"/>
          <w:numId w:val="1"/>
        </w:numPr>
        <w:spacing w:line="360" w:lineRule="auto"/>
        <w:ind w:left="0" w:right="1" w:firstLine="0"/>
        <w:jc w:val="both"/>
        <w:rPr>
          <w:rFonts w:ascii="Palatino Linotype" w:eastAsia="Palatino Linotype" w:hAnsi="Palatino Linotype" w:cs="Palatino Linotype"/>
          <w:b/>
          <w:bCs/>
        </w:rPr>
      </w:pPr>
      <w:r w:rsidRPr="00DD6E6E">
        <w:rPr>
          <w:rFonts w:ascii="Palatino Linotype" w:eastAsia="Palatino Linotype" w:hAnsi="Palatino Linotype" w:cs="Palatino Linotype"/>
          <w:color w:val="000000"/>
        </w:rPr>
        <w:t xml:space="preserve">Según </w:t>
      </w:r>
      <w:r w:rsidRPr="00DD6E6E">
        <w:rPr>
          <w:rFonts w:ascii="Palatino Linotype" w:eastAsia="Palatino Linotype" w:hAnsi="Palatino Linotype" w:cs="Palatino Linotype"/>
        </w:rPr>
        <w:t xml:space="preserve">el artículo 150 de la Ley de Transparencia del Estado, la solicitud es la garantía primaria del Derecho de Acceso a la Información, además, establece que se regirá </w:t>
      </w:r>
      <w:r w:rsidRPr="00DD6E6E">
        <w:rPr>
          <w:rFonts w:ascii="Palatino Linotype" w:eastAsia="Palatino Linotype" w:hAnsi="Palatino Linotype" w:cs="Palatino Linotype"/>
          <w:i/>
          <w:iCs/>
        </w:rPr>
        <w:t>por los principios de simplicidad, rapidez gratuidad del procedimiento, auxilio y orientación a los particulares</w:t>
      </w:r>
      <w:r w:rsidRPr="00DD6E6E">
        <w:rPr>
          <w:rFonts w:ascii="Palatino Linotype" w:eastAsia="Palatino Linotype" w:hAnsi="Palatino Linotype" w:cs="Palatino Linotype"/>
        </w:rPr>
        <w:t>, contemplando el derecho de las personas con discapacidad y hablantes de lengua indígena.</w:t>
      </w:r>
    </w:p>
    <w:p w:rsidR="00EB242F" w:rsidRPr="00DD6E6E" w:rsidRDefault="00EB242F" w:rsidP="00EB242F">
      <w:pPr>
        <w:ind w:right="-592"/>
        <w:jc w:val="both"/>
        <w:rPr>
          <w:rFonts w:ascii="Palatino Linotype" w:eastAsia="Palatino Linotype" w:hAnsi="Palatino Linotype" w:cs="Palatino Linotype"/>
          <w:b/>
          <w:bCs/>
        </w:rPr>
      </w:pPr>
    </w:p>
    <w:p w:rsidR="00EB242F" w:rsidRPr="00DD6E6E" w:rsidRDefault="00EB242F" w:rsidP="00EB242F">
      <w:pPr>
        <w:numPr>
          <w:ilvl w:val="0"/>
          <w:numId w:val="1"/>
        </w:numPr>
        <w:spacing w:line="360" w:lineRule="auto"/>
        <w:ind w:left="0" w:right="1" w:firstLine="0"/>
        <w:jc w:val="both"/>
        <w:rPr>
          <w:rFonts w:ascii="Palatino Linotype" w:eastAsia="Palatino Linotype" w:hAnsi="Palatino Linotype" w:cs="Palatino Linotype"/>
          <w:b/>
          <w:bCs/>
        </w:rPr>
      </w:pPr>
      <w:r w:rsidRPr="00DD6E6E">
        <w:rPr>
          <w:rFonts w:ascii="Palatino Linotype" w:eastAsia="Palatino Linotype" w:hAnsi="Palatino Linotype" w:cs="Palatino Linotype"/>
          <w:color w:val="000000"/>
        </w:rPr>
        <w:lastRenderedPageBreak/>
        <w:t xml:space="preserve">El </w:t>
      </w:r>
      <w:r w:rsidRPr="00DD6E6E">
        <w:rPr>
          <w:rFonts w:ascii="Palatino Linotype" w:eastAsia="Palatino Linotype" w:hAnsi="Palatino Linotype" w:cs="Palatino Linotype"/>
        </w:rPr>
        <w:t xml:space="preserve">Derecho de Acceso a la Información se garantiza y respeta oportunamente, y según lo que dispone la Ley, las </w:t>
      </w:r>
      <w:r w:rsidRPr="00DD6E6E">
        <w:rPr>
          <w:rFonts w:ascii="Palatino Linotype" w:eastAsia="Palatino Linotype" w:hAnsi="Palatino Linotype" w:cs="Palatino Linotype"/>
          <w:i/>
          <w:iCs/>
        </w:rPr>
        <w:t>solicitudes de acceso a la información</w:t>
      </w:r>
      <w:r w:rsidRPr="00DD6E6E">
        <w:rPr>
          <w:rFonts w:ascii="Palatino Linotype" w:eastAsia="Palatino Linotype" w:hAnsi="Palatino Linotype" w:cs="Palatino Linotype"/>
        </w:rPr>
        <w:t>.</w:t>
      </w:r>
    </w:p>
    <w:p w:rsidR="00EB242F" w:rsidRPr="00DD6E6E" w:rsidRDefault="00EB242F" w:rsidP="00EB242F">
      <w:pPr>
        <w:ind w:right="1"/>
        <w:jc w:val="both"/>
        <w:rPr>
          <w:rFonts w:ascii="Palatino Linotype" w:eastAsia="Palatino Linotype" w:hAnsi="Palatino Linotype" w:cs="Palatino Linotype"/>
          <w:b/>
          <w:bCs/>
        </w:rPr>
      </w:pPr>
    </w:p>
    <w:p w:rsidR="00EB242F" w:rsidRPr="00DD6E6E" w:rsidRDefault="00EB242F" w:rsidP="00EB242F">
      <w:pPr>
        <w:numPr>
          <w:ilvl w:val="0"/>
          <w:numId w:val="1"/>
        </w:numPr>
        <w:spacing w:line="360" w:lineRule="auto"/>
        <w:ind w:left="0" w:right="1" w:firstLine="0"/>
        <w:jc w:val="both"/>
        <w:rPr>
          <w:rFonts w:ascii="Palatino Linotype" w:eastAsia="Palatino Linotype" w:hAnsi="Palatino Linotype" w:cs="Palatino Linotype"/>
          <w:b/>
          <w:bCs/>
        </w:rPr>
      </w:pPr>
      <w:r w:rsidRPr="00DD6E6E">
        <w:rPr>
          <w:rFonts w:ascii="Palatino Linotype" w:eastAsia="Palatino Linotype" w:hAnsi="Palatino Linotype" w:cs="Palatino Linotype"/>
          <w:color w:val="000000"/>
        </w:rPr>
        <w:t xml:space="preserve">Así </w:t>
      </w:r>
      <w:r w:rsidRPr="00DD6E6E">
        <w:rPr>
          <w:rFonts w:ascii="Palatino Linotype" w:eastAsia="Palatino Linotype" w:hAnsi="Palatino Linotype" w:cs="Palatino Linotype"/>
        </w:rPr>
        <w:t xml:space="preserve">entonces, se procede analizar, en primer lugar, si el </w:t>
      </w:r>
      <w:r w:rsidRPr="00DD6E6E">
        <w:rPr>
          <w:rFonts w:ascii="Palatino Linotype" w:eastAsia="Palatino Linotype" w:hAnsi="Palatino Linotype" w:cs="Palatino Linotype"/>
          <w:b/>
          <w:bCs/>
        </w:rPr>
        <w:t>SUJETO OBLIGADO</w:t>
      </w:r>
      <w:r w:rsidRPr="00DD6E6E">
        <w:rPr>
          <w:rFonts w:ascii="Palatino Linotype" w:eastAsia="Palatino Linotype" w:hAnsi="Palatino Linotype" w:cs="Palatino Linotype"/>
        </w:rPr>
        <w:t xml:space="preserve"> al atender la solicitud de acceso a la información, satisfizo la garantía primaria del derecho según lo dispuesto por el artículo 150 de la Ley de Transparencia y Acceso a la Información Pública del Estado de México y Municipios y en segundo término si cumplió con su deber de respetar y garantizar el derecho, entregando la información solicitada.</w:t>
      </w:r>
    </w:p>
    <w:p w:rsidR="00EB242F" w:rsidRPr="00DD6E6E" w:rsidRDefault="00EB242F" w:rsidP="00EB242F">
      <w:pPr>
        <w:rPr>
          <w:rFonts w:ascii="Palatino Linotype" w:eastAsia="Palatino Linotype" w:hAnsi="Palatino Linotype" w:cs="Palatino Linotype"/>
          <w:b/>
          <w:bCs/>
        </w:rPr>
      </w:pPr>
    </w:p>
    <w:p w:rsidR="00EB242F" w:rsidRPr="00DD6E6E" w:rsidRDefault="00EB242F" w:rsidP="00EB242F">
      <w:pPr>
        <w:keepNext/>
        <w:keepLines/>
        <w:numPr>
          <w:ilvl w:val="1"/>
          <w:numId w:val="2"/>
        </w:numPr>
        <w:spacing w:line="360" w:lineRule="auto"/>
        <w:ind w:left="567" w:right="-592"/>
        <w:jc w:val="both"/>
        <w:rPr>
          <w:rFonts w:ascii="Palatino Linotype" w:eastAsia="Palatino Linotype" w:hAnsi="Palatino Linotype" w:cs="Palatino Linotype"/>
          <w:b/>
          <w:bCs/>
        </w:rPr>
      </w:pPr>
      <w:r w:rsidRPr="00DD6E6E">
        <w:rPr>
          <w:rFonts w:ascii="Palatino Linotype" w:eastAsia="Palatino Linotype" w:hAnsi="Palatino Linotype" w:cs="Palatino Linotype"/>
          <w:b/>
          <w:bCs/>
        </w:rPr>
        <w:t>De la información solicitada y la respuesta del SUJETO OBLIGADO.</w:t>
      </w:r>
    </w:p>
    <w:p w:rsidR="00EB242F" w:rsidRPr="00DD6E6E" w:rsidRDefault="00EB242F" w:rsidP="00EB242F">
      <w:pPr>
        <w:numPr>
          <w:ilvl w:val="0"/>
          <w:numId w:val="1"/>
        </w:numPr>
        <w:spacing w:line="360" w:lineRule="auto"/>
        <w:ind w:left="0" w:right="1" w:firstLine="0"/>
        <w:jc w:val="both"/>
        <w:rPr>
          <w:rFonts w:ascii="Palatino Linotype" w:eastAsia="Palatino Linotype" w:hAnsi="Palatino Linotype" w:cs="Palatino Linotype"/>
          <w:b/>
          <w:bCs/>
        </w:rPr>
      </w:pPr>
      <w:bookmarkStart w:id="6" w:name="_heading=h.30j0zll" w:colFirst="0" w:colLast="0"/>
      <w:bookmarkEnd w:id="6"/>
      <w:r w:rsidRPr="00DD6E6E">
        <w:rPr>
          <w:rFonts w:ascii="Palatino Linotype" w:eastAsia="Palatino Linotype" w:hAnsi="Palatino Linotype" w:cs="Palatino Linotype"/>
        </w:rPr>
        <w:t>Derivado del Planteamiento de la Litis, se procede a analizar el contenido íntegro de las actuaciones que obran en el expediente electrónico y con ello, este Órgano Garante dicte la resolución correspondiente, tomando en consideración los elementos aportados por las partes y apegándose en todo momento al principio de máxima publicidad, de acuerdo con lo establecido en el artículo 8 de la Ley de Transparencia y Acceso a la Información Pública del Estado de México y Municipios.</w:t>
      </w:r>
    </w:p>
    <w:p w:rsidR="00EB242F" w:rsidRPr="00DD6E6E" w:rsidRDefault="00EB242F" w:rsidP="00EB242F">
      <w:pPr>
        <w:spacing w:line="360" w:lineRule="auto"/>
        <w:ind w:right="1"/>
        <w:jc w:val="both"/>
        <w:rPr>
          <w:rFonts w:ascii="Palatino Linotype" w:eastAsia="Palatino Linotype" w:hAnsi="Palatino Linotype" w:cs="Palatino Linotype"/>
          <w:b/>
          <w:bCs/>
        </w:rPr>
      </w:pPr>
    </w:p>
    <w:p w:rsidR="00EB242F" w:rsidRPr="00DD6E6E" w:rsidRDefault="00EB242F" w:rsidP="00EB242F">
      <w:pPr>
        <w:numPr>
          <w:ilvl w:val="0"/>
          <w:numId w:val="1"/>
        </w:numPr>
        <w:spacing w:line="360" w:lineRule="auto"/>
        <w:ind w:left="0" w:right="1" w:firstLine="0"/>
        <w:jc w:val="both"/>
        <w:rPr>
          <w:rFonts w:ascii="Palatino Linotype" w:eastAsia="Palatino Linotype" w:hAnsi="Palatino Linotype" w:cs="Palatino Linotype"/>
          <w:b/>
          <w:bCs/>
        </w:rPr>
      </w:pPr>
      <w:r w:rsidRPr="00DD6E6E">
        <w:rPr>
          <w:rFonts w:ascii="Palatino Linotype" w:eastAsia="Palatino Linotype" w:hAnsi="Palatino Linotype" w:cs="Palatino Linotype"/>
        </w:rPr>
        <w:t xml:space="preserve">Así, resulta conveniente reiterar la información solicitada por la parte </w:t>
      </w:r>
      <w:r w:rsidRPr="00DD6E6E">
        <w:rPr>
          <w:rFonts w:ascii="Palatino Linotype" w:eastAsia="Palatino Linotype" w:hAnsi="Palatino Linotype" w:cs="Palatino Linotype"/>
          <w:b/>
          <w:bCs/>
        </w:rPr>
        <w:t>RECURRENTE</w:t>
      </w:r>
      <w:r w:rsidRPr="00DD6E6E">
        <w:rPr>
          <w:rFonts w:ascii="Palatino Linotype" w:eastAsia="Palatino Linotype" w:hAnsi="Palatino Linotype" w:cs="Palatino Linotype"/>
        </w:rPr>
        <w:t xml:space="preserve">, así como la respuesta emitida por el </w:t>
      </w:r>
      <w:r w:rsidRPr="00DD6E6E">
        <w:rPr>
          <w:rFonts w:ascii="Palatino Linotype" w:eastAsia="Palatino Linotype" w:hAnsi="Palatino Linotype" w:cs="Palatino Linotype"/>
          <w:b/>
          <w:bCs/>
        </w:rPr>
        <w:t>SUJETO OBLIGADO</w:t>
      </w:r>
      <w:r w:rsidRPr="00DD6E6E">
        <w:rPr>
          <w:rFonts w:ascii="Palatino Linotype" w:eastAsia="Palatino Linotype" w:hAnsi="Palatino Linotype" w:cs="Palatino Linotype"/>
        </w:rPr>
        <w:t>, mediante el siguiente cuadro descriptivo:</w:t>
      </w:r>
    </w:p>
    <w:p w:rsidR="00DD6E6E" w:rsidRDefault="00DD6E6E" w:rsidP="00EB242F">
      <w:pPr>
        <w:spacing w:line="360" w:lineRule="auto"/>
        <w:ind w:right="1"/>
        <w:jc w:val="both"/>
        <w:rPr>
          <w:rFonts w:ascii="Palatino Linotype" w:eastAsia="Palatino Linotype" w:hAnsi="Palatino Linotype" w:cs="Palatino Linotype"/>
          <w:b/>
          <w:bCs/>
        </w:rPr>
      </w:pPr>
    </w:p>
    <w:p w:rsidR="00DD6E6E" w:rsidRDefault="00DD6E6E" w:rsidP="00EB242F">
      <w:pPr>
        <w:spacing w:line="360" w:lineRule="auto"/>
        <w:ind w:right="1"/>
        <w:jc w:val="both"/>
        <w:rPr>
          <w:rFonts w:ascii="Palatino Linotype" w:eastAsia="Palatino Linotype" w:hAnsi="Palatino Linotype" w:cs="Palatino Linotype"/>
          <w:b/>
          <w:bCs/>
        </w:rPr>
      </w:pPr>
    </w:p>
    <w:p w:rsidR="00DD6E6E" w:rsidRDefault="00DD6E6E" w:rsidP="00EB242F">
      <w:pPr>
        <w:spacing w:line="360" w:lineRule="auto"/>
        <w:ind w:right="1"/>
        <w:jc w:val="both"/>
        <w:rPr>
          <w:rFonts w:ascii="Palatino Linotype" w:eastAsia="Palatino Linotype" w:hAnsi="Palatino Linotype" w:cs="Palatino Linotype"/>
          <w:b/>
          <w:bCs/>
        </w:rPr>
      </w:pPr>
    </w:p>
    <w:p w:rsidR="00DD6E6E" w:rsidRDefault="00DD6E6E" w:rsidP="00EB242F">
      <w:pPr>
        <w:spacing w:line="360" w:lineRule="auto"/>
        <w:ind w:right="1"/>
        <w:jc w:val="both"/>
        <w:rPr>
          <w:rFonts w:ascii="Palatino Linotype" w:eastAsia="Palatino Linotype" w:hAnsi="Palatino Linotype" w:cs="Palatino Linotype"/>
          <w:b/>
          <w:bCs/>
        </w:rPr>
      </w:pPr>
    </w:p>
    <w:p w:rsidR="00DD6E6E" w:rsidRPr="00DD6E6E" w:rsidRDefault="00DD6E6E" w:rsidP="00EB242F">
      <w:pPr>
        <w:spacing w:line="360" w:lineRule="auto"/>
        <w:ind w:right="1"/>
        <w:jc w:val="both"/>
        <w:rPr>
          <w:rFonts w:ascii="Palatino Linotype" w:eastAsia="Palatino Linotype" w:hAnsi="Palatino Linotype" w:cs="Palatino Linotype"/>
          <w:b/>
          <w:bCs/>
        </w:rPr>
      </w:pP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2"/>
        <w:gridCol w:w="3827"/>
        <w:gridCol w:w="3402"/>
      </w:tblGrid>
      <w:tr w:rsidR="00EB242F" w:rsidRPr="00DD6E6E" w:rsidTr="00DD6E6E">
        <w:tc>
          <w:tcPr>
            <w:tcW w:w="2972" w:type="dxa"/>
            <w:shd w:val="clear" w:color="auto" w:fill="D9D9D9"/>
          </w:tcPr>
          <w:p w:rsidR="00EB242F" w:rsidRPr="00DD6E6E" w:rsidRDefault="00EB242F" w:rsidP="00E3228B">
            <w:pPr>
              <w:ind w:right="1"/>
              <w:jc w:val="center"/>
              <w:rPr>
                <w:rFonts w:ascii="Palatino Linotype" w:eastAsia="Palatino Linotype" w:hAnsi="Palatino Linotype" w:cs="Palatino Linotype"/>
                <w:b/>
                <w:bCs/>
              </w:rPr>
            </w:pPr>
            <w:bookmarkStart w:id="7" w:name="_Hlk224734782"/>
            <w:r w:rsidRPr="00DD6E6E">
              <w:rPr>
                <w:rFonts w:ascii="Palatino Linotype" w:eastAsia="Palatino Linotype" w:hAnsi="Palatino Linotype" w:cs="Palatino Linotype"/>
                <w:b/>
                <w:bCs/>
              </w:rPr>
              <w:lastRenderedPageBreak/>
              <w:t>Información Solicitada</w:t>
            </w:r>
          </w:p>
        </w:tc>
        <w:tc>
          <w:tcPr>
            <w:tcW w:w="3827" w:type="dxa"/>
            <w:shd w:val="clear" w:color="auto" w:fill="D9D9D9"/>
          </w:tcPr>
          <w:p w:rsidR="00EB242F" w:rsidRPr="00DD6E6E" w:rsidRDefault="00EB242F" w:rsidP="00E3228B">
            <w:pPr>
              <w:ind w:right="1"/>
              <w:jc w:val="center"/>
              <w:rPr>
                <w:rFonts w:ascii="Palatino Linotype" w:eastAsia="Palatino Linotype" w:hAnsi="Palatino Linotype" w:cs="Palatino Linotype"/>
                <w:b/>
                <w:bCs/>
              </w:rPr>
            </w:pPr>
            <w:r w:rsidRPr="00DD6E6E">
              <w:rPr>
                <w:rFonts w:ascii="Palatino Linotype" w:eastAsia="Palatino Linotype" w:hAnsi="Palatino Linotype" w:cs="Palatino Linotype"/>
                <w:b/>
                <w:bCs/>
              </w:rPr>
              <w:t>Respuesta</w:t>
            </w:r>
          </w:p>
        </w:tc>
        <w:tc>
          <w:tcPr>
            <w:tcW w:w="3402" w:type="dxa"/>
            <w:shd w:val="clear" w:color="auto" w:fill="D9D9D9"/>
          </w:tcPr>
          <w:p w:rsidR="00EB242F" w:rsidRPr="00DD6E6E" w:rsidRDefault="00EB242F" w:rsidP="00E3228B">
            <w:pPr>
              <w:spacing w:line="360" w:lineRule="auto"/>
              <w:ind w:right="1"/>
              <w:jc w:val="center"/>
              <w:rPr>
                <w:rFonts w:ascii="Palatino Linotype" w:eastAsia="Palatino Linotype" w:hAnsi="Palatino Linotype" w:cs="Palatino Linotype"/>
                <w:b/>
                <w:bCs/>
              </w:rPr>
            </w:pPr>
            <w:r w:rsidRPr="00DD6E6E">
              <w:rPr>
                <w:rFonts w:ascii="Palatino Linotype" w:eastAsia="Palatino Linotype" w:hAnsi="Palatino Linotype" w:cs="Palatino Linotype"/>
                <w:b/>
                <w:bCs/>
              </w:rPr>
              <w:t>Comentario</w:t>
            </w:r>
          </w:p>
        </w:tc>
      </w:tr>
      <w:tr w:rsidR="00EB242F" w:rsidRPr="00DD6E6E" w:rsidTr="00DD6E6E">
        <w:trPr>
          <w:trHeight w:val="1928"/>
        </w:trPr>
        <w:tc>
          <w:tcPr>
            <w:tcW w:w="2972" w:type="dxa"/>
          </w:tcPr>
          <w:p w:rsidR="007D22E2" w:rsidRPr="00DD6E6E" w:rsidRDefault="00EB242F" w:rsidP="007D22E2">
            <w:pPr>
              <w:ind w:right="1"/>
              <w:jc w:val="both"/>
              <w:rPr>
                <w:rFonts w:ascii="Palatino Linotype" w:eastAsia="Palatino Linotype" w:hAnsi="Palatino Linotype" w:cs="Palatino Linotype"/>
                <w:b/>
                <w:bCs/>
                <w:i/>
                <w:iCs/>
              </w:rPr>
            </w:pPr>
            <w:r w:rsidRPr="00DD6E6E">
              <w:rPr>
                <w:rFonts w:ascii="Palatino Linotype" w:eastAsia="Palatino Linotype" w:hAnsi="Palatino Linotype" w:cs="Palatino Linotype"/>
                <w:b/>
                <w:bCs/>
                <w:i/>
                <w:iCs/>
              </w:rPr>
              <w:t>1</w:t>
            </w:r>
            <w:r w:rsidR="007D22E2" w:rsidRPr="00DD6E6E">
              <w:rPr>
                <w:rFonts w:ascii="Palatino Linotype" w:eastAsia="Palatino Linotype" w:hAnsi="Palatino Linotype" w:cs="Palatino Linotype"/>
                <w:b/>
                <w:bCs/>
                <w:i/>
                <w:iCs/>
              </w:rPr>
              <w:t>1.- Listado de los militantes que votaron en la asamblea municipal de Naucalpan del Partido Acción Nacional que se llevó a cabo el día 31 de agosto de 2025, por orden alfabético de apellido paterno.</w:t>
            </w:r>
          </w:p>
          <w:p w:rsidR="007D22E2" w:rsidRPr="00DD6E6E" w:rsidRDefault="007D22E2" w:rsidP="007D22E2">
            <w:pPr>
              <w:ind w:right="1"/>
              <w:jc w:val="both"/>
              <w:rPr>
                <w:rFonts w:ascii="Palatino Linotype" w:eastAsia="Palatino Linotype" w:hAnsi="Palatino Linotype" w:cs="Palatino Linotype"/>
                <w:b/>
                <w:bCs/>
                <w:i/>
                <w:iCs/>
              </w:rPr>
            </w:pPr>
          </w:p>
          <w:p w:rsidR="00EB242F" w:rsidRPr="00DD6E6E" w:rsidRDefault="00EB242F" w:rsidP="007D22E2">
            <w:pPr>
              <w:ind w:right="1"/>
              <w:jc w:val="both"/>
              <w:rPr>
                <w:rFonts w:ascii="Palatino Linotype" w:eastAsia="Palatino Linotype" w:hAnsi="Palatino Linotype" w:cs="Palatino Linotype"/>
                <w:i/>
                <w:iCs/>
              </w:rPr>
            </w:pPr>
          </w:p>
        </w:tc>
        <w:tc>
          <w:tcPr>
            <w:tcW w:w="3827" w:type="dxa"/>
          </w:tcPr>
          <w:p w:rsidR="007D22E2" w:rsidRPr="00DD6E6E" w:rsidRDefault="007D22E2" w:rsidP="007D22E2">
            <w:pPr>
              <w:ind w:right="41"/>
              <w:jc w:val="both"/>
              <w:rPr>
                <w:rFonts w:ascii="Palatino Linotype" w:hAnsi="Palatino Linotype"/>
                <w:i/>
              </w:rPr>
            </w:pPr>
            <w:r w:rsidRPr="00DD6E6E">
              <w:rPr>
                <w:rFonts w:ascii="Palatino Linotype" w:hAnsi="Palatino Linotype"/>
                <w:b/>
                <w:i/>
              </w:rPr>
              <w:t xml:space="preserve">Contestación SIP 008 CEPE.pdf: </w:t>
            </w:r>
            <w:r w:rsidRPr="00DD6E6E">
              <w:rPr>
                <w:rFonts w:ascii="Palatino Linotype" w:hAnsi="Palatino Linotype"/>
                <w:i/>
              </w:rPr>
              <w:t xml:space="preserve">oficio del Presidente de la Comisión Estatal de Procesos Electorales, mediante el cual informa que las listas que fueron recibidas fueron las del registro correspondiente a la Asamblea Municipal, más no a las listas de votación. </w:t>
            </w:r>
          </w:p>
          <w:p w:rsidR="00EB242F" w:rsidRPr="00DD6E6E" w:rsidRDefault="007D22E2" w:rsidP="00E3228B">
            <w:pPr>
              <w:ind w:right="41"/>
              <w:jc w:val="both"/>
              <w:rPr>
                <w:rFonts w:ascii="Palatino Linotype" w:hAnsi="Palatino Linotype"/>
                <w:i/>
              </w:rPr>
            </w:pPr>
            <w:r w:rsidRPr="00DD6E6E">
              <w:rPr>
                <w:rFonts w:ascii="Palatino Linotype" w:hAnsi="Palatino Linotype"/>
                <w:b/>
                <w:i/>
              </w:rPr>
              <w:t xml:space="preserve">Contestación SIP 008 por Sec. General.pdf: </w:t>
            </w:r>
            <w:r w:rsidRPr="00DD6E6E">
              <w:rPr>
                <w:rFonts w:ascii="Palatino Linotype" w:hAnsi="Palatino Linotype"/>
                <w:i/>
              </w:rPr>
              <w:t xml:space="preserve">oficio de la Secretaría General del Comité Directivo Estatal del Partido Acción Nacional, mediante el cual informa que no es el área competente. </w:t>
            </w:r>
          </w:p>
        </w:tc>
        <w:tc>
          <w:tcPr>
            <w:tcW w:w="3402" w:type="dxa"/>
          </w:tcPr>
          <w:p w:rsidR="00EB242F" w:rsidRPr="00DD6E6E" w:rsidRDefault="006529F6" w:rsidP="00E3228B">
            <w:pPr>
              <w:ind w:right="1"/>
              <w:jc w:val="both"/>
              <w:rPr>
                <w:rFonts w:ascii="Palatino Linotype" w:eastAsia="Palatino Linotype" w:hAnsi="Palatino Linotype" w:cs="Palatino Linotype"/>
                <w:b/>
                <w:bCs/>
                <w:i/>
              </w:rPr>
            </w:pPr>
            <w:r w:rsidRPr="00DD6E6E">
              <w:rPr>
                <w:rFonts w:ascii="Palatino Linotype" w:eastAsia="Palatino Linotype" w:hAnsi="Palatino Linotype" w:cs="Palatino Linotype"/>
                <w:b/>
                <w:bCs/>
                <w:i/>
              </w:rPr>
              <w:t xml:space="preserve">No colma, toda vez que el SUJETO OBLIGADO debió de emitir el Acta del Comité de Transparencia, mediante la cual clasificara como confidencial el voto de los militantes, toda vez que de esta manera se haría identificable el sentido del voto de manera afirmativa, en contra o abstención. </w:t>
            </w:r>
            <w:r w:rsidR="007D22E2" w:rsidRPr="00DD6E6E">
              <w:rPr>
                <w:rFonts w:ascii="Palatino Linotype" w:eastAsia="Palatino Linotype" w:hAnsi="Palatino Linotype" w:cs="Palatino Linotype"/>
                <w:b/>
                <w:bCs/>
                <w:i/>
              </w:rPr>
              <w:t xml:space="preserve"> </w:t>
            </w:r>
          </w:p>
        </w:tc>
      </w:tr>
      <w:bookmarkEnd w:id="7"/>
    </w:tbl>
    <w:p w:rsidR="00EB242F" w:rsidRPr="00DD6E6E" w:rsidRDefault="00EB242F" w:rsidP="00EB242F">
      <w:pPr>
        <w:spacing w:line="360" w:lineRule="auto"/>
        <w:ind w:right="1"/>
        <w:jc w:val="both"/>
        <w:rPr>
          <w:rFonts w:ascii="Palatino Linotype" w:eastAsia="Palatino Linotype" w:hAnsi="Palatino Linotype" w:cs="Palatino Linotype"/>
          <w:b/>
          <w:bCs/>
        </w:rPr>
      </w:pPr>
    </w:p>
    <w:p w:rsidR="00EB242F" w:rsidRPr="00DD6E6E" w:rsidRDefault="00EB242F" w:rsidP="00EB242F">
      <w:pPr>
        <w:numPr>
          <w:ilvl w:val="0"/>
          <w:numId w:val="1"/>
        </w:numPr>
        <w:spacing w:line="360" w:lineRule="auto"/>
        <w:ind w:left="0" w:right="1" w:firstLine="0"/>
        <w:jc w:val="both"/>
        <w:rPr>
          <w:rFonts w:ascii="Palatino Linotype" w:eastAsia="Palatino Linotype" w:hAnsi="Palatino Linotype" w:cs="Palatino Linotype"/>
          <w:b/>
          <w:bCs/>
        </w:rPr>
      </w:pPr>
      <w:r w:rsidRPr="00DD6E6E">
        <w:rPr>
          <w:rFonts w:ascii="Palatino Linotype" w:eastAsia="Palatino Linotype" w:hAnsi="Palatino Linotype" w:cs="Palatino Linotype"/>
        </w:rPr>
        <w:t>En atención a lo expuesto, se advierte que el</w:t>
      </w:r>
      <w:r w:rsidRPr="00DD6E6E">
        <w:rPr>
          <w:rFonts w:ascii="Palatino Linotype" w:eastAsia="Palatino Linotype" w:hAnsi="Palatino Linotype" w:cs="Palatino Linotype"/>
          <w:b/>
          <w:bCs/>
        </w:rPr>
        <w:t xml:space="preserve"> SUJETO OBLIGADO </w:t>
      </w:r>
      <w:r w:rsidR="002F57C0" w:rsidRPr="00DD6E6E">
        <w:rPr>
          <w:rFonts w:ascii="Palatino Linotype" w:eastAsia="Palatino Linotype" w:hAnsi="Palatino Linotype" w:cs="Palatino Linotype"/>
        </w:rPr>
        <w:t xml:space="preserve">no </w:t>
      </w:r>
      <w:r w:rsidR="008D1491" w:rsidRPr="00DD6E6E">
        <w:rPr>
          <w:rFonts w:ascii="Palatino Linotype" w:eastAsia="Palatino Linotype" w:hAnsi="Palatino Linotype" w:cs="Palatino Linotype"/>
        </w:rPr>
        <w:t xml:space="preserve">atendió </w:t>
      </w:r>
      <w:r w:rsidRPr="00DD6E6E">
        <w:rPr>
          <w:rFonts w:ascii="Palatino Linotype" w:eastAsia="Palatino Linotype" w:hAnsi="Palatino Linotype" w:cs="Palatino Linotype"/>
        </w:rPr>
        <w:t>de manera puntual los requerimientos vertidos por el Particular mediante la solicitud de información.</w:t>
      </w:r>
    </w:p>
    <w:p w:rsidR="00EB242F" w:rsidRPr="00DD6E6E" w:rsidRDefault="00EB242F" w:rsidP="00EB242F">
      <w:pPr>
        <w:spacing w:line="360" w:lineRule="auto"/>
        <w:ind w:right="1"/>
        <w:jc w:val="both"/>
        <w:rPr>
          <w:rFonts w:ascii="Palatino Linotype" w:eastAsia="Palatino Linotype" w:hAnsi="Palatino Linotype" w:cs="Palatino Linotype"/>
          <w:b/>
          <w:bCs/>
        </w:rPr>
      </w:pPr>
    </w:p>
    <w:p w:rsidR="00DE4189" w:rsidRPr="00DD6E6E" w:rsidRDefault="00EB242F" w:rsidP="00EB242F">
      <w:pPr>
        <w:numPr>
          <w:ilvl w:val="0"/>
          <w:numId w:val="1"/>
        </w:numPr>
        <w:spacing w:line="360" w:lineRule="auto"/>
        <w:ind w:left="0" w:right="1" w:firstLine="0"/>
        <w:jc w:val="both"/>
        <w:rPr>
          <w:rFonts w:ascii="Palatino Linotype" w:eastAsia="Palatino Linotype" w:hAnsi="Palatino Linotype" w:cs="Palatino Linotype"/>
          <w:b/>
          <w:bCs/>
        </w:rPr>
      </w:pPr>
      <w:r w:rsidRPr="00DD6E6E">
        <w:rPr>
          <w:rFonts w:ascii="Palatino Linotype" w:eastAsia="Palatino Linotype" w:hAnsi="Palatino Linotype" w:cs="Palatino Linotype"/>
          <w:bCs/>
        </w:rPr>
        <w:t xml:space="preserve">En esa línea, se debe de analizar que </w:t>
      </w:r>
      <w:r w:rsidR="00DE4189" w:rsidRPr="00DD6E6E">
        <w:rPr>
          <w:rFonts w:ascii="Palatino Linotype" w:eastAsia="Palatino Linotype" w:hAnsi="Palatino Linotype" w:cs="Palatino Linotype"/>
          <w:bCs/>
        </w:rPr>
        <w:t xml:space="preserve">de acuerdo con el Reglamento de Militantes del Partido de Acción Nacional, regula lo siguiente en cuanto a los listados nominales en la realización de   Asambleas Estatales y Municipales. </w:t>
      </w:r>
    </w:p>
    <w:p w:rsidR="00E3228B" w:rsidRPr="00DD6E6E" w:rsidRDefault="00E3228B" w:rsidP="00E3228B">
      <w:pPr>
        <w:pStyle w:val="Prrafodelista"/>
        <w:ind w:left="1134" w:right="1389"/>
        <w:jc w:val="both"/>
        <w:rPr>
          <w:rFonts w:ascii="Palatino Linotype" w:eastAsia="Palatino Linotype" w:hAnsi="Palatino Linotype" w:cs="Palatino Linotype"/>
          <w:bCs/>
          <w:i/>
          <w:sz w:val="24"/>
        </w:rPr>
      </w:pPr>
      <w:r w:rsidRPr="00DD6E6E">
        <w:rPr>
          <w:rFonts w:ascii="Palatino Linotype" w:eastAsia="Palatino Linotype" w:hAnsi="Palatino Linotype" w:cs="Palatino Linotype"/>
          <w:b/>
          <w:bCs/>
          <w:i/>
          <w:sz w:val="24"/>
        </w:rPr>
        <w:t>Artículo 83.</w:t>
      </w:r>
      <w:r w:rsidRPr="00DD6E6E">
        <w:rPr>
          <w:rFonts w:ascii="Palatino Linotype" w:eastAsia="Palatino Linotype" w:hAnsi="Palatino Linotype" w:cs="Palatino Linotype"/>
          <w:bCs/>
          <w:i/>
          <w:sz w:val="24"/>
        </w:rPr>
        <w:t xml:space="preserve"> Los listados nominales que se expidan para la celebración de Asambleas Municipales o Delegacionales, Asambleas Estatales o del Distrito Federal y proceso electivo de Presidente e Integrantes del Comité Ejecutivo Nacional y Comité Directivo Estatal, seguirán el siguiente procedimiento: </w:t>
      </w:r>
    </w:p>
    <w:p w:rsidR="00460F08" w:rsidRPr="00DD6E6E" w:rsidRDefault="00E3228B" w:rsidP="00E3228B">
      <w:pPr>
        <w:pStyle w:val="Prrafodelista"/>
        <w:ind w:left="1134" w:right="1389"/>
        <w:jc w:val="both"/>
        <w:rPr>
          <w:rFonts w:ascii="Palatino Linotype" w:eastAsia="Palatino Linotype" w:hAnsi="Palatino Linotype" w:cs="Palatino Linotype"/>
          <w:bCs/>
          <w:i/>
          <w:sz w:val="24"/>
        </w:rPr>
      </w:pPr>
      <w:r w:rsidRPr="00DD6E6E">
        <w:rPr>
          <w:rFonts w:ascii="Palatino Linotype" w:eastAsia="Palatino Linotype" w:hAnsi="Palatino Linotype" w:cs="Palatino Linotype"/>
          <w:bCs/>
          <w:i/>
          <w:sz w:val="24"/>
        </w:rPr>
        <w:t xml:space="preserve">I. Los órganos competentes del Partido darán aviso al área del Comité Ejecutivo Nacional correspondiente del tipo de elección que se llevará a cabo; II. El órgano del Partido competente, notificado de la solicitud, determinará la procedencia o no de la misma. De ser procedente, registrará la autorización de la misma en la PLATAFORMA PAN, fijando fecha de cierre de padrón, </w:t>
      </w:r>
      <w:r w:rsidRPr="00DD6E6E">
        <w:rPr>
          <w:rFonts w:ascii="Palatino Linotype" w:eastAsia="Palatino Linotype" w:hAnsi="Palatino Linotype" w:cs="Palatino Linotype"/>
          <w:bCs/>
          <w:i/>
          <w:sz w:val="24"/>
        </w:rPr>
        <w:lastRenderedPageBreak/>
        <w:t>de conformidad con lo que señale la normatividad correspondiente y la fecha de celebración del evento de elección;</w:t>
      </w:r>
    </w:p>
    <w:p w:rsidR="00460F08" w:rsidRPr="00DD6E6E" w:rsidRDefault="00E3228B" w:rsidP="00E3228B">
      <w:pPr>
        <w:pStyle w:val="Prrafodelista"/>
        <w:ind w:left="1134" w:right="1389"/>
        <w:jc w:val="both"/>
        <w:rPr>
          <w:rFonts w:ascii="Palatino Linotype" w:eastAsia="Palatino Linotype" w:hAnsi="Palatino Linotype" w:cs="Palatino Linotype"/>
          <w:bCs/>
          <w:i/>
          <w:sz w:val="24"/>
        </w:rPr>
      </w:pPr>
      <w:r w:rsidRPr="00DD6E6E">
        <w:rPr>
          <w:rFonts w:ascii="Palatino Linotype" w:eastAsia="Palatino Linotype" w:hAnsi="Palatino Linotype" w:cs="Palatino Linotype"/>
          <w:bCs/>
          <w:i/>
          <w:sz w:val="24"/>
        </w:rPr>
        <w:t xml:space="preserve">III. Registrado el evento, el Registro Nacional de Militantes entregará el listado nominal o padrón correspondiente, mediante el envío por conducto de la PLATAFORMA PAN; </w:t>
      </w:r>
    </w:p>
    <w:p w:rsidR="00460F08" w:rsidRPr="00DD6E6E" w:rsidRDefault="00E3228B" w:rsidP="00E3228B">
      <w:pPr>
        <w:pStyle w:val="Prrafodelista"/>
        <w:ind w:left="1134" w:right="1389"/>
        <w:jc w:val="both"/>
        <w:rPr>
          <w:rFonts w:ascii="Palatino Linotype" w:eastAsia="Palatino Linotype" w:hAnsi="Palatino Linotype" w:cs="Palatino Linotype"/>
          <w:bCs/>
          <w:i/>
          <w:sz w:val="24"/>
        </w:rPr>
      </w:pPr>
      <w:r w:rsidRPr="00DD6E6E">
        <w:rPr>
          <w:rFonts w:ascii="Palatino Linotype" w:eastAsia="Palatino Linotype" w:hAnsi="Palatino Linotype" w:cs="Palatino Linotype"/>
          <w:bCs/>
          <w:i/>
          <w:sz w:val="24"/>
        </w:rPr>
        <w:t xml:space="preserve">IV. Cumplidos los requisitos para la celebración del evento, el órgano del Partido competente procederá, a través de la PLATAFORMA PAN, al envío del listado nominal correspondiente. En el caso de listados nominales para eventos estatutarios que no sean de selección de candidatos, el Registro Nacional de Militantes, expedirá los mismos de acuerdo a los tiempos normativos señalados en los reglamentos correspondientes, para que acompañen la publicación de las convocatorias respectivas, siempre que éstas hayan sido autorizadas por el órgano del Partido competente del Comité Ejecutivo Nacional. </w:t>
      </w:r>
    </w:p>
    <w:p w:rsidR="00460F08" w:rsidRPr="00DD6E6E" w:rsidRDefault="00E3228B" w:rsidP="00E3228B">
      <w:pPr>
        <w:pStyle w:val="Prrafodelista"/>
        <w:ind w:left="1134" w:right="1389"/>
        <w:jc w:val="both"/>
        <w:rPr>
          <w:rFonts w:ascii="Times New Roman" w:hAnsi="Times New Roman"/>
          <w:sz w:val="24"/>
        </w:rPr>
      </w:pPr>
      <w:r w:rsidRPr="00DD6E6E">
        <w:rPr>
          <w:rFonts w:ascii="Palatino Linotype" w:eastAsia="Palatino Linotype" w:hAnsi="Palatino Linotype" w:cs="Palatino Linotype"/>
          <w:b/>
          <w:bCs/>
          <w:i/>
          <w:sz w:val="24"/>
        </w:rPr>
        <w:t>Artículo 84.</w:t>
      </w:r>
      <w:r w:rsidRPr="00DD6E6E">
        <w:rPr>
          <w:rFonts w:ascii="Palatino Linotype" w:eastAsia="Palatino Linotype" w:hAnsi="Palatino Linotype" w:cs="Palatino Linotype"/>
          <w:bCs/>
          <w:i/>
          <w:sz w:val="24"/>
        </w:rPr>
        <w:t xml:space="preserve"> Una vez emitidos los listados nominales definitivos no podrán incluirse más militantes, salvo determinación de la Comisión de Afiliación o sentencias emitidas por la autoridad electoral competente. En casos de procesos de selección de candidatos, se requerirá el visto bueno de la Comisión Organizadora Electoral.</w:t>
      </w:r>
      <w:r w:rsidR="00460F08" w:rsidRPr="00DD6E6E">
        <w:rPr>
          <w:rFonts w:ascii="Times New Roman" w:hAnsi="Times New Roman"/>
          <w:sz w:val="24"/>
        </w:rPr>
        <w:t xml:space="preserve"> </w:t>
      </w:r>
    </w:p>
    <w:p w:rsidR="00460F08" w:rsidRPr="00DD6E6E" w:rsidRDefault="00460F08" w:rsidP="00E3228B">
      <w:pPr>
        <w:pStyle w:val="Prrafodelista"/>
        <w:ind w:left="1134" w:right="1389"/>
        <w:jc w:val="both"/>
        <w:rPr>
          <w:rFonts w:ascii="Palatino Linotype" w:eastAsia="Palatino Linotype" w:hAnsi="Palatino Linotype" w:cs="Palatino Linotype"/>
          <w:b/>
          <w:bCs/>
          <w:i/>
          <w:sz w:val="24"/>
        </w:rPr>
      </w:pPr>
      <w:r w:rsidRPr="00DD6E6E">
        <w:rPr>
          <w:rFonts w:ascii="Palatino Linotype" w:eastAsia="Palatino Linotype" w:hAnsi="Palatino Linotype" w:cs="Palatino Linotype"/>
          <w:b/>
          <w:bCs/>
          <w:i/>
          <w:sz w:val="24"/>
        </w:rPr>
        <w:t xml:space="preserve">Artículo 89. Los listados nominales de electores se clasifican en: </w:t>
      </w:r>
    </w:p>
    <w:p w:rsidR="00460F08" w:rsidRPr="00DD6E6E" w:rsidRDefault="00460F08" w:rsidP="00E3228B">
      <w:pPr>
        <w:pStyle w:val="Prrafodelista"/>
        <w:ind w:left="1134" w:right="1389"/>
        <w:jc w:val="both"/>
        <w:rPr>
          <w:rFonts w:ascii="Palatino Linotype" w:eastAsia="Palatino Linotype" w:hAnsi="Palatino Linotype" w:cs="Palatino Linotype"/>
          <w:bCs/>
          <w:i/>
          <w:sz w:val="24"/>
        </w:rPr>
      </w:pPr>
      <w:r w:rsidRPr="00DD6E6E">
        <w:rPr>
          <w:rFonts w:ascii="Palatino Linotype" w:eastAsia="Palatino Linotype" w:hAnsi="Palatino Linotype" w:cs="Palatino Linotype"/>
          <w:bCs/>
          <w:i/>
          <w:sz w:val="24"/>
        </w:rPr>
        <w:t xml:space="preserve">I. Preliminar, el cual se expedirá seis meses antes del inicio de la precampaña y contiene la información relativa al corte del padrón, local o federal; e incluye a los militantes con la antigüedad que señala el artículo 11 numeral 3 de los Estatutos; </w:t>
      </w:r>
    </w:p>
    <w:p w:rsidR="00460F08" w:rsidRPr="00DD6E6E" w:rsidRDefault="00460F08" w:rsidP="00E3228B">
      <w:pPr>
        <w:pStyle w:val="Prrafodelista"/>
        <w:ind w:left="1134" w:right="1389"/>
        <w:jc w:val="both"/>
        <w:rPr>
          <w:rFonts w:ascii="Palatino Linotype" w:eastAsia="Palatino Linotype" w:hAnsi="Palatino Linotype" w:cs="Palatino Linotype"/>
          <w:bCs/>
          <w:i/>
          <w:sz w:val="24"/>
        </w:rPr>
      </w:pPr>
      <w:r w:rsidRPr="00DD6E6E">
        <w:rPr>
          <w:rFonts w:ascii="Palatino Linotype" w:eastAsia="Palatino Linotype" w:hAnsi="Palatino Linotype" w:cs="Palatino Linotype"/>
          <w:bCs/>
          <w:i/>
          <w:sz w:val="24"/>
        </w:rPr>
        <w:t xml:space="preserve">II. Definitivo, el cual contiene la información relativa al corte preliminar y a las aclaraciones resueltas por la Comisión de Afiliación; y </w:t>
      </w:r>
    </w:p>
    <w:p w:rsidR="00EB242F" w:rsidRPr="00DD6E6E" w:rsidRDefault="00460F08" w:rsidP="00E3228B">
      <w:pPr>
        <w:pStyle w:val="Prrafodelista"/>
        <w:ind w:left="1134" w:right="1389"/>
        <w:jc w:val="both"/>
        <w:rPr>
          <w:rFonts w:ascii="Palatino Linotype" w:eastAsia="Palatino Linotype" w:hAnsi="Palatino Linotype" w:cs="Palatino Linotype"/>
          <w:b/>
          <w:bCs/>
          <w:i/>
          <w:sz w:val="24"/>
        </w:rPr>
      </w:pPr>
      <w:r w:rsidRPr="00DD6E6E">
        <w:rPr>
          <w:rFonts w:ascii="Palatino Linotype" w:eastAsia="Palatino Linotype" w:hAnsi="Palatino Linotype" w:cs="Palatino Linotype"/>
          <w:b/>
          <w:bCs/>
          <w:i/>
          <w:sz w:val="24"/>
        </w:rPr>
        <w:t>III. De centros de votación, que es la relación que se utiliza en la mesa receptora de votación el día de la elección, que contiene los datos del listado nominal definitivo y, en su caso, de los acuerdos emitidos por la Comisión de Afiliación e instancias judiciales.</w:t>
      </w:r>
    </w:p>
    <w:p w:rsidR="006529F6" w:rsidRPr="00DD6E6E" w:rsidRDefault="006529F6" w:rsidP="00E3228B">
      <w:pPr>
        <w:pStyle w:val="Prrafodelista"/>
        <w:ind w:left="1134" w:right="1389"/>
        <w:jc w:val="both"/>
        <w:rPr>
          <w:rFonts w:ascii="Palatino Linotype" w:eastAsia="Palatino Linotype" w:hAnsi="Palatino Linotype" w:cs="Palatino Linotype"/>
          <w:sz w:val="24"/>
        </w:rPr>
      </w:pPr>
    </w:p>
    <w:p w:rsidR="002F57C0" w:rsidRPr="00DD6E6E" w:rsidRDefault="002F57C0" w:rsidP="00EB242F">
      <w:pPr>
        <w:numPr>
          <w:ilvl w:val="0"/>
          <w:numId w:val="1"/>
        </w:numPr>
        <w:spacing w:line="360" w:lineRule="auto"/>
        <w:ind w:left="0" w:right="1" w:firstLine="0"/>
        <w:jc w:val="both"/>
        <w:rPr>
          <w:rFonts w:ascii="Palatino Linotype" w:eastAsia="Palatino Linotype" w:hAnsi="Palatino Linotype" w:cs="Palatino Linotype"/>
          <w:bCs/>
        </w:rPr>
      </w:pPr>
      <w:r w:rsidRPr="00DD6E6E">
        <w:rPr>
          <w:rFonts w:ascii="Palatino Linotype" w:eastAsia="Palatino Linotype" w:hAnsi="Palatino Linotype" w:cs="Palatino Linotype"/>
          <w:bCs/>
        </w:rPr>
        <w:t xml:space="preserve">De lo anterior, se tiene que el </w:t>
      </w:r>
      <w:r w:rsidRPr="00DD6E6E">
        <w:rPr>
          <w:rFonts w:ascii="Palatino Linotype" w:eastAsia="Palatino Linotype" w:hAnsi="Palatino Linotype" w:cs="Palatino Linotype"/>
          <w:b/>
          <w:bCs/>
        </w:rPr>
        <w:t xml:space="preserve">SUJETO OBLIGADO </w:t>
      </w:r>
      <w:r w:rsidRPr="00DD6E6E">
        <w:rPr>
          <w:rFonts w:ascii="Palatino Linotype" w:eastAsia="Palatino Linotype" w:hAnsi="Palatino Linotype" w:cs="Palatino Linotype"/>
          <w:bCs/>
        </w:rPr>
        <w:t xml:space="preserve">si debe de contar con el listado definitivo de la recepción de la votación. </w:t>
      </w:r>
    </w:p>
    <w:p w:rsidR="002F57C0" w:rsidRPr="00DD6E6E" w:rsidRDefault="002F57C0" w:rsidP="002F57C0">
      <w:pPr>
        <w:spacing w:line="360" w:lineRule="auto"/>
        <w:ind w:right="1"/>
        <w:jc w:val="both"/>
        <w:rPr>
          <w:rFonts w:ascii="Palatino Linotype" w:eastAsia="Palatino Linotype" w:hAnsi="Palatino Linotype" w:cs="Palatino Linotype"/>
          <w:bCs/>
        </w:rPr>
      </w:pPr>
    </w:p>
    <w:p w:rsidR="002F57C0" w:rsidRPr="00DD6E6E" w:rsidRDefault="002F57C0" w:rsidP="00EB242F">
      <w:pPr>
        <w:numPr>
          <w:ilvl w:val="0"/>
          <w:numId w:val="1"/>
        </w:numPr>
        <w:spacing w:line="360" w:lineRule="auto"/>
        <w:ind w:left="0" w:right="1" w:firstLine="0"/>
        <w:jc w:val="both"/>
        <w:rPr>
          <w:rFonts w:ascii="Palatino Linotype" w:eastAsia="Palatino Linotype" w:hAnsi="Palatino Linotype" w:cs="Palatino Linotype"/>
          <w:bCs/>
        </w:rPr>
      </w:pPr>
      <w:r w:rsidRPr="00DD6E6E">
        <w:rPr>
          <w:rFonts w:ascii="Palatino Linotype" w:eastAsia="Palatino Linotype" w:hAnsi="Palatino Linotype" w:cs="Palatino Linotype"/>
          <w:bCs/>
        </w:rPr>
        <w:lastRenderedPageBreak/>
        <w:t xml:space="preserve">En esa línea, se tiene que el Título Segundo del Reglamento de los Órganos Estatales y Municipales, regula lo siguiente en cuanto a las Asambleas Municipales. </w:t>
      </w:r>
    </w:p>
    <w:p w:rsidR="002F57C0" w:rsidRPr="00DD6E6E" w:rsidRDefault="002F57C0" w:rsidP="002F57C0">
      <w:pPr>
        <w:ind w:left="1134" w:right="1389"/>
        <w:jc w:val="both"/>
        <w:rPr>
          <w:rFonts w:ascii="Palatino Linotype" w:eastAsia="Palatino Linotype" w:hAnsi="Palatino Linotype" w:cs="Palatino Linotype"/>
          <w:bCs/>
          <w:i/>
        </w:rPr>
      </w:pPr>
      <w:r w:rsidRPr="00DD6E6E">
        <w:rPr>
          <w:rFonts w:ascii="Palatino Linotype" w:eastAsia="Palatino Linotype" w:hAnsi="Palatino Linotype" w:cs="Palatino Linotype"/>
          <w:b/>
          <w:bCs/>
          <w:i/>
        </w:rPr>
        <w:t>Artículo 82.</w:t>
      </w:r>
      <w:r w:rsidRPr="00DD6E6E">
        <w:rPr>
          <w:rFonts w:ascii="Palatino Linotype" w:eastAsia="Palatino Linotype" w:hAnsi="Palatino Linotype" w:cs="Palatino Linotype"/>
          <w:bCs/>
          <w:i/>
        </w:rPr>
        <w:t xml:space="preserve"> La Asamblea Municipal será convocada por el Comité Directivo Municipal o supletoriamente por el Comité Directivo Estatal, por lo menos una vez al año y se ocupará de: </w:t>
      </w:r>
    </w:p>
    <w:p w:rsidR="002F57C0" w:rsidRPr="00DD6E6E" w:rsidRDefault="002F57C0" w:rsidP="002F57C0">
      <w:pPr>
        <w:ind w:left="1134" w:right="1389"/>
        <w:jc w:val="both"/>
        <w:rPr>
          <w:rFonts w:ascii="Palatino Linotype" w:eastAsia="Palatino Linotype" w:hAnsi="Palatino Linotype" w:cs="Palatino Linotype"/>
          <w:bCs/>
          <w:i/>
        </w:rPr>
      </w:pPr>
      <w:r w:rsidRPr="00DD6E6E">
        <w:rPr>
          <w:rFonts w:ascii="Palatino Linotype" w:eastAsia="Palatino Linotype" w:hAnsi="Palatino Linotype" w:cs="Palatino Linotype"/>
          <w:bCs/>
          <w:i/>
        </w:rPr>
        <w:t xml:space="preserve">a) Conocer el informe del Presidente del Comité Directivo Municipal, el cual deberá referirse al estado que guarda la organización del Partido en el municipio, dar cuenta de ingresos y egresos, y de la admisión y separación de militantes; </w:t>
      </w:r>
    </w:p>
    <w:p w:rsidR="002F57C0" w:rsidRPr="00DD6E6E" w:rsidRDefault="002F57C0" w:rsidP="002F57C0">
      <w:pPr>
        <w:ind w:left="1134" w:right="1389"/>
        <w:jc w:val="both"/>
        <w:rPr>
          <w:rFonts w:ascii="Palatino Linotype" w:eastAsia="Palatino Linotype" w:hAnsi="Palatino Linotype" w:cs="Palatino Linotype"/>
          <w:bCs/>
          <w:i/>
        </w:rPr>
      </w:pPr>
      <w:r w:rsidRPr="00DD6E6E">
        <w:rPr>
          <w:rFonts w:ascii="Palatino Linotype" w:eastAsia="Palatino Linotype" w:hAnsi="Palatino Linotype" w:cs="Palatino Linotype"/>
          <w:bCs/>
          <w:i/>
        </w:rPr>
        <w:t xml:space="preserve">b) Elegir al Presidente del Comité Directivo Municipal y a los integrantes de éste; </w:t>
      </w:r>
    </w:p>
    <w:p w:rsidR="0049594E" w:rsidRPr="00DD6E6E" w:rsidRDefault="002F57C0" w:rsidP="002F57C0">
      <w:pPr>
        <w:ind w:left="1134" w:right="1389"/>
        <w:jc w:val="both"/>
        <w:rPr>
          <w:rFonts w:ascii="Palatino Linotype" w:eastAsia="Palatino Linotype" w:hAnsi="Palatino Linotype" w:cs="Palatino Linotype"/>
          <w:b/>
          <w:bCs/>
          <w:i/>
        </w:rPr>
      </w:pPr>
      <w:r w:rsidRPr="00DD6E6E">
        <w:rPr>
          <w:rFonts w:ascii="Palatino Linotype" w:eastAsia="Palatino Linotype" w:hAnsi="Palatino Linotype" w:cs="Palatino Linotype"/>
          <w:bCs/>
          <w:i/>
        </w:rPr>
        <w:t xml:space="preserve">c) Proponer candidatos para integrar el Consejo Estatal y el Consejo Nacional; d) Ratificar la sustitución de los integrantes del Comité Directivo Municipal; e) Seleccionar delegados numerarios a las asambleas estatales y/o nacionales. </w:t>
      </w:r>
      <w:r w:rsidRPr="00DD6E6E">
        <w:rPr>
          <w:rFonts w:ascii="Palatino Linotype" w:eastAsia="Palatino Linotype" w:hAnsi="Palatino Linotype" w:cs="Palatino Linotype"/>
          <w:b/>
          <w:bCs/>
          <w:i/>
        </w:rPr>
        <w:t xml:space="preserve">Artículo 83. </w:t>
      </w:r>
      <w:r w:rsidRPr="00DD6E6E">
        <w:rPr>
          <w:rFonts w:ascii="Palatino Linotype" w:eastAsia="Palatino Linotype" w:hAnsi="Palatino Linotype" w:cs="Palatino Linotype"/>
          <w:bCs/>
          <w:i/>
        </w:rPr>
        <w:t xml:space="preserve">Las asambleas municipales serán presididas por el Presidente del Comité Directivo Municipal y en su ausencia por el secretario general de dicho Comité, y a falta de éste la persona que designe la propia asamblea. Será secretario de la asamblea quien lo sea del Comité Directivo Municipal y, a falta de éste, la </w:t>
      </w:r>
      <w:r w:rsidRPr="00DD6E6E">
        <w:rPr>
          <w:rFonts w:ascii="Palatino Linotype" w:eastAsia="Palatino Linotype" w:hAnsi="Palatino Linotype" w:cs="Palatino Linotype"/>
          <w:b/>
          <w:bCs/>
          <w:i/>
        </w:rPr>
        <w:t xml:space="preserve">persona que designe la asamblea a propuesta del Presidente. </w:t>
      </w:r>
    </w:p>
    <w:p w:rsidR="0049594E" w:rsidRPr="00DD6E6E" w:rsidRDefault="002F57C0" w:rsidP="002F57C0">
      <w:pPr>
        <w:ind w:left="1134" w:right="1389"/>
        <w:jc w:val="both"/>
        <w:rPr>
          <w:rFonts w:ascii="Palatino Linotype" w:eastAsia="Palatino Linotype" w:hAnsi="Palatino Linotype" w:cs="Palatino Linotype"/>
          <w:bCs/>
          <w:i/>
        </w:rPr>
      </w:pPr>
      <w:r w:rsidRPr="00DD6E6E">
        <w:rPr>
          <w:rFonts w:ascii="Palatino Linotype" w:eastAsia="Palatino Linotype" w:hAnsi="Palatino Linotype" w:cs="Palatino Linotype"/>
          <w:b/>
          <w:bCs/>
          <w:i/>
        </w:rPr>
        <w:t>Artículo</w:t>
      </w:r>
      <w:r w:rsidRPr="00DD6E6E">
        <w:rPr>
          <w:rFonts w:ascii="Palatino Linotype" w:eastAsia="Palatino Linotype" w:hAnsi="Palatino Linotype" w:cs="Palatino Linotype"/>
          <w:bCs/>
          <w:i/>
        </w:rPr>
        <w:t xml:space="preserve"> 84. A propuesta del Presidente, la asamblea elegirá a tres o más escrutadores por votación económica</w:t>
      </w:r>
    </w:p>
    <w:p w:rsidR="0049594E" w:rsidRPr="00DD6E6E" w:rsidRDefault="002F57C0" w:rsidP="002F57C0">
      <w:pPr>
        <w:ind w:left="1134" w:right="1389"/>
        <w:jc w:val="both"/>
        <w:rPr>
          <w:rFonts w:ascii="Palatino Linotype" w:eastAsia="Palatino Linotype" w:hAnsi="Palatino Linotype" w:cs="Palatino Linotype"/>
          <w:bCs/>
          <w:i/>
        </w:rPr>
      </w:pPr>
      <w:r w:rsidRPr="00DD6E6E">
        <w:rPr>
          <w:rFonts w:ascii="Palatino Linotype" w:eastAsia="Palatino Linotype" w:hAnsi="Palatino Linotype" w:cs="Palatino Linotype"/>
          <w:b/>
          <w:bCs/>
          <w:i/>
        </w:rPr>
        <w:t>Artículo 85.</w:t>
      </w:r>
      <w:r w:rsidRPr="00DD6E6E">
        <w:rPr>
          <w:rFonts w:ascii="Palatino Linotype" w:eastAsia="Palatino Linotype" w:hAnsi="Palatino Linotype" w:cs="Palatino Linotype"/>
          <w:bCs/>
          <w:i/>
        </w:rPr>
        <w:t xml:space="preserve"> Sólo se podrán autorizar las convocatorias para asambleas cuando el municipio cuente con más de 30 militantes, de acuerdo al Padrón del Registro Nacional de Militantes. </w:t>
      </w:r>
    </w:p>
    <w:p w:rsidR="0049594E" w:rsidRPr="00DD6E6E" w:rsidRDefault="002F57C0" w:rsidP="002F57C0">
      <w:pPr>
        <w:ind w:left="1134" w:right="1389"/>
        <w:jc w:val="both"/>
        <w:rPr>
          <w:rFonts w:ascii="Palatino Linotype" w:eastAsia="Palatino Linotype" w:hAnsi="Palatino Linotype" w:cs="Palatino Linotype"/>
          <w:bCs/>
          <w:i/>
        </w:rPr>
      </w:pPr>
      <w:r w:rsidRPr="00DD6E6E">
        <w:rPr>
          <w:rFonts w:ascii="Palatino Linotype" w:eastAsia="Palatino Linotype" w:hAnsi="Palatino Linotype" w:cs="Palatino Linotype"/>
          <w:b/>
          <w:bCs/>
          <w:i/>
        </w:rPr>
        <w:t>Artículo 86.</w:t>
      </w:r>
      <w:r w:rsidRPr="00DD6E6E">
        <w:rPr>
          <w:rFonts w:ascii="Palatino Linotype" w:eastAsia="Palatino Linotype" w:hAnsi="Palatino Linotype" w:cs="Palatino Linotype"/>
          <w:bCs/>
          <w:i/>
        </w:rPr>
        <w:t xml:space="preserve"> La convocatoria será publicada por lo menos con 30 días de anticipación a la fecha de la realización de la asamblea y deberá señalar el día, la hora y el lugar de su celebración, así como el orden del día. La convocatoria se dará a conocer a los militantes del Partido, en términos del artículo 69, numeral 4 de los Estatutos del Partido. </w:t>
      </w:r>
    </w:p>
    <w:p w:rsidR="008D1491" w:rsidRPr="00DD6E6E" w:rsidRDefault="002F57C0" w:rsidP="002F57C0">
      <w:pPr>
        <w:ind w:left="1134" w:right="1389"/>
        <w:jc w:val="both"/>
        <w:rPr>
          <w:rFonts w:ascii="Palatino Linotype" w:eastAsia="Palatino Linotype" w:hAnsi="Palatino Linotype" w:cs="Palatino Linotype"/>
          <w:bCs/>
          <w:i/>
        </w:rPr>
      </w:pPr>
      <w:r w:rsidRPr="00DD6E6E">
        <w:rPr>
          <w:rFonts w:ascii="Palatino Linotype" w:eastAsia="Palatino Linotype" w:hAnsi="Palatino Linotype" w:cs="Palatino Linotype"/>
          <w:bCs/>
          <w:i/>
        </w:rPr>
        <w:t xml:space="preserve">En todo momento deberán considerarse las previsiones necesarias para el óptimodesarrollo de la asamblea, en caso de concurrencia de los incisos b), c), d) y e) del artículo 82 de este reglamento. </w:t>
      </w:r>
    </w:p>
    <w:p w:rsidR="0049594E" w:rsidRPr="00DD6E6E" w:rsidRDefault="002F57C0" w:rsidP="002F57C0">
      <w:pPr>
        <w:ind w:left="1134" w:right="1389"/>
        <w:jc w:val="both"/>
        <w:rPr>
          <w:rFonts w:ascii="Palatino Linotype" w:eastAsia="Palatino Linotype" w:hAnsi="Palatino Linotype" w:cs="Palatino Linotype"/>
          <w:bCs/>
          <w:i/>
        </w:rPr>
      </w:pPr>
      <w:r w:rsidRPr="00DD6E6E">
        <w:rPr>
          <w:rFonts w:ascii="Palatino Linotype" w:eastAsia="Palatino Linotype" w:hAnsi="Palatino Linotype" w:cs="Palatino Linotype"/>
          <w:b/>
          <w:bCs/>
          <w:i/>
        </w:rPr>
        <w:t>Artículo 87.</w:t>
      </w:r>
      <w:r w:rsidRPr="00DD6E6E">
        <w:rPr>
          <w:rFonts w:ascii="Palatino Linotype" w:eastAsia="Palatino Linotype" w:hAnsi="Palatino Linotype" w:cs="Palatino Linotype"/>
          <w:bCs/>
          <w:i/>
        </w:rPr>
        <w:t xml:space="preserve"> En las asambleas municipales tendrán derecho a voz y voto todos los militantes del Partido, con por lo menos doce meses de antigüedad a la fecha de la realización de la asamblea y que aparezcan en el listado nominal </w:t>
      </w:r>
      <w:r w:rsidRPr="00DD6E6E">
        <w:rPr>
          <w:rFonts w:ascii="Palatino Linotype" w:eastAsia="Palatino Linotype" w:hAnsi="Palatino Linotype" w:cs="Palatino Linotype"/>
          <w:bCs/>
          <w:i/>
        </w:rPr>
        <w:lastRenderedPageBreak/>
        <w:t xml:space="preserve">definitivo de militantes con derecho a voto, que para tal efecto emita el Registro Nacional de Militantes y será publicado en los mismos términos de la convocatoria. Los militantes podrán hacer cualquier aclaración en términos del Reglamento de Militantes. </w:t>
      </w:r>
    </w:p>
    <w:p w:rsidR="0049594E" w:rsidRPr="00DD6E6E" w:rsidRDefault="002F57C0" w:rsidP="002F57C0">
      <w:pPr>
        <w:ind w:left="1134" w:right="1389"/>
        <w:jc w:val="both"/>
        <w:rPr>
          <w:rFonts w:ascii="Palatino Linotype" w:eastAsia="Palatino Linotype" w:hAnsi="Palatino Linotype" w:cs="Palatino Linotype"/>
          <w:bCs/>
          <w:i/>
        </w:rPr>
      </w:pPr>
      <w:r w:rsidRPr="00DD6E6E">
        <w:rPr>
          <w:rFonts w:ascii="Palatino Linotype" w:eastAsia="Palatino Linotype" w:hAnsi="Palatino Linotype" w:cs="Palatino Linotype"/>
          <w:b/>
          <w:bCs/>
          <w:i/>
        </w:rPr>
        <w:t>Artículo 88. La</w:t>
      </w:r>
      <w:r w:rsidRPr="00DD6E6E">
        <w:rPr>
          <w:rFonts w:ascii="Palatino Linotype" w:eastAsia="Palatino Linotype" w:hAnsi="Palatino Linotype" w:cs="Palatino Linotype"/>
          <w:bCs/>
          <w:i/>
        </w:rPr>
        <w:t xml:space="preserve"> convocatoria señalará los horarios para el desahogo de cada uno de los temas del orden del día, tomando en consideración el número de militantes con derecho a voto, las condiciones geográficas del municipio, así como la cantidad de asuntos a tratar, de acuerdo a lo que establezca el manual correspondiente. </w:t>
      </w:r>
    </w:p>
    <w:p w:rsidR="002F57C0" w:rsidRPr="00DD6E6E" w:rsidRDefault="002F57C0" w:rsidP="002F57C0">
      <w:pPr>
        <w:ind w:left="1134" w:right="1389"/>
        <w:jc w:val="both"/>
        <w:rPr>
          <w:rFonts w:ascii="Palatino Linotype" w:eastAsia="Palatino Linotype" w:hAnsi="Palatino Linotype" w:cs="Palatino Linotype"/>
          <w:bCs/>
          <w:i/>
        </w:rPr>
      </w:pPr>
      <w:r w:rsidRPr="00DD6E6E">
        <w:rPr>
          <w:rFonts w:ascii="Palatino Linotype" w:eastAsia="Palatino Linotype" w:hAnsi="Palatino Linotype" w:cs="Palatino Linotype"/>
          <w:b/>
          <w:bCs/>
          <w:i/>
        </w:rPr>
        <w:t>Artículo 89.</w:t>
      </w:r>
      <w:r w:rsidRPr="00DD6E6E">
        <w:rPr>
          <w:rFonts w:ascii="Palatino Linotype" w:eastAsia="Palatino Linotype" w:hAnsi="Palatino Linotype" w:cs="Palatino Linotype"/>
          <w:bCs/>
          <w:i/>
        </w:rPr>
        <w:t xml:space="preserve"> Los trabajos de la asamblea inician con el registro de militantes y al menos una hora después, se continuará con el desahogo de los puntos subsecuentes del orden del día. El registro permanecerá abierto durante el desarrollo de la asamblea y se cerrará en el punto señalado por la convocatoria. </w:t>
      </w:r>
      <w:r w:rsidRPr="00DD6E6E">
        <w:rPr>
          <w:rFonts w:ascii="Palatino Linotype" w:eastAsia="Palatino Linotype" w:hAnsi="Palatino Linotype" w:cs="Palatino Linotype"/>
          <w:b/>
          <w:bCs/>
          <w:i/>
        </w:rPr>
        <w:t>Artículo 90.</w:t>
      </w:r>
      <w:r w:rsidRPr="00DD6E6E">
        <w:rPr>
          <w:rFonts w:ascii="Palatino Linotype" w:eastAsia="Palatino Linotype" w:hAnsi="Palatino Linotype" w:cs="Palatino Linotype"/>
          <w:bCs/>
          <w:i/>
        </w:rPr>
        <w:t xml:space="preserve"> Las resoluciones y acuerdos de la asamblea se tomarán por mayoría absoluta de los votos computables, salvo las excepciones establecidas en los Estatutos del Partido y en este reglamento. La votación podrá ser económica o en cédula de acuerdo a lo que establezca este reglamento.</w:t>
      </w:r>
    </w:p>
    <w:p w:rsidR="002F57C0" w:rsidRPr="00DD6E6E" w:rsidRDefault="002F57C0" w:rsidP="002F57C0">
      <w:pPr>
        <w:pStyle w:val="Prrafodelista"/>
        <w:rPr>
          <w:rFonts w:ascii="Palatino Linotype" w:eastAsia="Palatino Linotype" w:hAnsi="Palatino Linotype" w:cs="Palatino Linotype"/>
          <w:bCs/>
          <w:sz w:val="24"/>
        </w:rPr>
      </w:pPr>
    </w:p>
    <w:p w:rsidR="0049594E" w:rsidRPr="00DD6E6E" w:rsidRDefault="0049594E" w:rsidP="00EB242F">
      <w:pPr>
        <w:numPr>
          <w:ilvl w:val="0"/>
          <w:numId w:val="1"/>
        </w:numPr>
        <w:spacing w:line="360" w:lineRule="auto"/>
        <w:ind w:left="0" w:right="1" w:firstLine="0"/>
        <w:jc w:val="both"/>
        <w:rPr>
          <w:rFonts w:ascii="Palatino Linotype" w:eastAsia="Palatino Linotype" w:hAnsi="Palatino Linotype" w:cs="Palatino Linotype"/>
          <w:bCs/>
        </w:rPr>
      </w:pPr>
      <w:r w:rsidRPr="00DD6E6E">
        <w:rPr>
          <w:rFonts w:ascii="Palatino Linotype" w:eastAsia="Palatino Linotype" w:hAnsi="Palatino Linotype" w:cs="Palatino Linotype"/>
          <w:bCs/>
        </w:rPr>
        <w:t xml:space="preserve">De lo anterior, se tiene que el </w:t>
      </w:r>
      <w:r w:rsidRPr="00DD6E6E">
        <w:rPr>
          <w:rFonts w:ascii="Palatino Linotype" w:eastAsia="Palatino Linotype" w:hAnsi="Palatino Linotype" w:cs="Palatino Linotype"/>
          <w:b/>
          <w:bCs/>
        </w:rPr>
        <w:t xml:space="preserve">SUJETO OBLIGADO </w:t>
      </w:r>
      <w:r w:rsidRPr="00DD6E6E">
        <w:rPr>
          <w:rFonts w:ascii="Palatino Linotype" w:eastAsia="Palatino Linotype" w:hAnsi="Palatino Linotype" w:cs="Palatino Linotype"/>
          <w:bCs/>
        </w:rPr>
        <w:t xml:space="preserve">debió de turnar la solicitud de información al Comité Directivo Municipal, toda vez que la asamblea fue realizada en el municipio de Naucalpan, por lo que, se colige que la información solicitada de las listas nominales de los militantes que votaron las debe de resguardar el Comité Directivo Municipal. </w:t>
      </w:r>
    </w:p>
    <w:p w:rsidR="0049594E" w:rsidRPr="00DD6E6E" w:rsidRDefault="0049594E" w:rsidP="0049594E">
      <w:pPr>
        <w:spacing w:line="360" w:lineRule="auto"/>
        <w:ind w:right="1"/>
        <w:jc w:val="both"/>
        <w:rPr>
          <w:rFonts w:ascii="Palatino Linotype" w:eastAsia="Palatino Linotype" w:hAnsi="Palatino Linotype" w:cs="Palatino Linotype"/>
          <w:bCs/>
        </w:rPr>
      </w:pPr>
    </w:p>
    <w:p w:rsidR="00204133" w:rsidRPr="00DD6E6E" w:rsidRDefault="00204133" w:rsidP="00EB242F">
      <w:pPr>
        <w:numPr>
          <w:ilvl w:val="0"/>
          <w:numId w:val="1"/>
        </w:numPr>
        <w:spacing w:line="360" w:lineRule="auto"/>
        <w:ind w:left="0" w:right="1" w:firstLine="0"/>
        <w:jc w:val="both"/>
        <w:rPr>
          <w:rFonts w:ascii="Palatino Linotype" w:eastAsia="Palatino Linotype" w:hAnsi="Palatino Linotype" w:cs="Palatino Linotype"/>
          <w:bCs/>
        </w:rPr>
      </w:pPr>
      <w:r w:rsidRPr="00DD6E6E">
        <w:rPr>
          <w:rFonts w:ascii="Palatino Linotype" w:eastAsia="Palatino Linotype" w:hAnsi="Palatino Linotype" w:cs="Palatino Linotype"/>
          <w:bCs/>
        </w:rPr>
        <w:t xml:space="preserve">Ahora bien, respecto de la información solicitada se tiene que el artículo 100 de la Ley de Transparencia y Acceso a la Información Pública del Estado de México y Municipios, regula la información que por su carácter debe de ser pública. </w:t>
      </w:r>
    </w:p>
    <w:p w:rsidR="00204133" w:rsidRPr="00DD6E6E" w:rsidRDefault="00204133" w:rsidP="00204133">
      <w:pPr>
        <w:ind w:left="1134" w:right="1389"/>
        <w:jc w:val="both"/>
        <w:rPr>
          <w:rFonts w:ascii="Palatino Linotype" w:eastAsia="Palatino Linotype" w:hAnsi="Palatino Linotype" w:cs="Palatino Linotype"/>
          <w:b/>
          <w:bCs/>
          <w:i/>
        </w:rPr>
      </w:pPr>
      <w:r w:rsidRPr="00DD6E6E">
        <w:rPr>
          <w:rFonts w:ascii="Palatino Linotype" w:eastAsia="Palatino Linotype" w:hAnsi="Palatino Linotype" w:cs="Palatino Linotype"/>
          <w:b/>
          <w:bCs/>
          <w:i/>
        </w:rPr>
        <w:t>Artículo 100.</w:t>
      </w:r>
      <w:r w:rsidRPr="00DD6E6E">
        <w:rPr>
          <w:rFonts w:ascii="Palatino Linotype" w:eastAsia="Palatino Linotype" w:hAnsi="Palatino Linotype" w:cs="Palatino Linotype"/>
          <w:bCs/>
          <w:i/>
        </w:rPr>
        <w:t xml:space="preserve"> Los partidos políticos nacionales acreditados para participar en elecciones locales y los partidos locales, en cuanto hace a sus órganos directivos estatales y municipales, las agrupaciones políticas y las personas jurídicas colectivas constituidas en asociación civil creadas por los ciudadanos que pretendan postular su candidatura independiente, según corresponda, deberán poner a disposición del público y actualizar la siguiente información: </w:t>
      </w:r>
      <w:r w:rsidRPr="00DD6E6E">
        <w:rPr>
          <w:rFonts w:ascii="Palatino Linotype" w:eastAsia="Palatino Linotype" w:hAnsi="Palatino Linotype" w:cs="Palatino Linotype"/>
          <w:b/>
          <w:bCs/>
          <w:i/>
        </w:rPr>
        <w:t xml:space="preserve">I. El padrón de afiliados o militantes de los partidos políticos </w:t>
      </w:r>
      <w:r w:rsidRPr="00DD6E6E">
        <w:rPr>
          <w:rFonts w:ascii="Palatino Linotype" w:eastAsia="Palatino Linotype" w:hAnsi="Palatino Linotype" w:cs="Palatino Linotype"/>
          <w:b/>
          <w:bCs/>
          <w:i/>
        </w:rPr>
        <w:lastRenderedPageBreak/>
        <w:t xml:space="preserve">estatales, que contendrá exclusivamente: apellidos, nombre o nombres, fechas de afiliación y entidad de residencia; </w:t>
      </w:r>
    </w:p>
    <w:p w:rsidR="00204133" w:rsidRPr="00DD6E6E" w:rsidRDefault="00204133" w:rsidP="00204133">
      <w:pPr>
        <w:ind w:left="1134" w:right="1389"/>
        <w:jc w:val="both"/>
        <w:rPr>
          <w:rFonts w:ascii="Palatino Linotype" w:eastAsia="Palatino Linotype" w:hAnsi="Palatino Linotype" w:cs="Palatino Linotype"/>
          <w:bCs/>
          <w:i/>
        </w:rPr>
      </w:pPr>
      <w:r w:rsidRPr="00DD6E6E">
        <w:rPr>
          <w:rFonts w:ascii="Palatino Linotype" w:eastAsia="Palatino Linotype" w:hAnsi="Palatino Linotype" w:cs="Palatino Linotype"/>
          <w:bCs/>
          <w:i/>
        </w:rPr>
        <w:t xml:space="preserve">II. Los acuerdos y resoluciones de los órganos de dirección de los partidos políticos; </w:t>
      </w:r>
    </w:p>
    <w:p w:rsidR="00204133" w:rsidRPr="00DD6E6E" w:rsidRDefault="00204133" w:rsidP="00204133">
      <w:pPr>
        <w:ind w:left="1134" w:right="1389"/>
        <w:jc w:val="both"/>
        <w:rPr>
          <w:rFonts w:ascii="Palatino Linotype" w:eastAsia="Palatino Linotype" w:hAnsi="Palatino Linotype" w:cs="Palatino Linotype"/>
          <w:bCs/>
          <w:i/>
        </w:rPr>
      </w:pPr>
      <w:r w:rsidRPr="00DD6E6E">
        <w:rPr>
          <w:rFonts w:ascii="Palatino Linotype" w:eastAsia="Palatino Linotype" w:hAnsi="Palatino Linotype" w:cs="Palatino Linotype"/>
          <w:bCs/>
          <w:i/>
        </w:rPr>
        <w:t xml:space="preserve">III. Los convenios de participación entre partidos políticos con organizaciones de la sociedad civil; </w:t>
      </w:r>
    </w:p>
    <w:p w:rsidR="00204133" w:rsidRPr="00DD6E6E" w:rsidRDefault="00204133" w:rsidP="00204133">
      <w:pPr>
        <w:ind w:left="1134" w:right="1389"/>
        <w:jc w:val="both"/>
        <w:rPr>
          <w:rFonts w:ascii="Palatino Linotype" w:eastAsia="Palatino Linotype" w:hAnsi="Palatino Linotype" w:cs="Palatino Linotype"/>
          <w:bCs/>
          <w:i/>
        </w:rPr>
      </w:pPr>
      <w:r w:rsidRPr="00DD6E6E">
        <w:rPr>
          <w:rFonts w:ascii="Palatino Linotype" w:eastAsia="Palatino Linotype" w:hAnsi="Palatino Linotype" w:cs="Palatino Linotype"/>
          <w:bCs/>
          <w:i/>
        </w:rPr>
        <w:t xml:space="preserve">IV. Contratos y convenios para la adquisición o arrendamiento de bienes y servicios; </w:t>
      </w:r>
    </w:p>
    <w:p w:rsidR="00204133" w:rsidRPr="00DD6E6E" w:rsidRDefault="00204133" w:rsidP="00204133">
      <w:pPr>
        <w:ind w:left="1134" w:right="1389"/>
        <w:jc w:val="both"/>
        <w:rPr>
          <w:rFonts w:ascii="Palatino Linotype" w:eastAsia="Palatino Linotype" w:hAnsi="Palatino Linotype" w:cs="Palatino Linotype"/>
          <w:bCs/>
          <w:i/>
        </w:rPr>
      </w:pPr>
      <w:r w:rsidRPr="00DD6E6E">
        <w:rPr>
          <w:rFonts w:ascii="Palatino Linotype" w:eastAsia="Palatino Linotype" w:hAnsi="Palatino Linotype" w:cs="Palatino Linotype"/>
          <w:bCs/>
          <w:i/>
        </w:rPr>
        <w:t xml:space="preserve">V. Las minutas de las sesiones de los partidos políticos; </w:t>
      </w:r>
    </w:p>
    <w:p w:rsidR="00204133" w:rsidRPr="00DD6E6E" w:rsidRDefault="00204133" w:rsidP="00204133">
      <w:pPr>
        <w:ind w:left="1134" w:right="1389"/>
        <w:jc w:val="both"/>
        <w:rPr>
          <w:rFonts w:ascii="Palatino Linotype" w:eastAsia="Palatino Linotype" w:hAnsi="Palatino Linotype" w:cs="Palatino Linotype"/>
          <w:bCs/>
          <w:i/>
        </w:rPr>
      </w:pPr>
      <w:r w:rsidRPr="00DD6E6E">
        <w:rPr>
          <w:rFonts w:ascii="Palatino Linotype" w:eastAsia="Palatino Linotype" w:hAnsi="Palatino Linotype" w:cs="Palatino Linotype"/>
          <w:bCs/>
          <w:i/>
        </w:rPr>
        <w:t xml:space="preserve">VI. Los responsables de los órganos internos de finanzas de los partidos políticos; </w:t>
      </w:r>
    </w:p>
    <w:p w:rsidR="00204133" w:rsidRPr="00DD6E6E" w:rsidRDefault="00204133" w:rsidP="00204133">
      <w:pPr>
        <w:ind w:left="1134" w:right="1389"/>
        <w:jc w:val="both"/>
        <w:rPr>
          <w:rFonts w:ascii="Palatino Linotype" w:eastAsia="Palatino Linotype" w:hAnsi="Palatino Linotype" w:cs="Palatino Linotype"/>
          <w:bCs/>
          <w:i/>
        </w:rPr>
      </w:pPr>
      <w:r w:rsidRPr="00DD6E6E">
        <w:rPr>
          <w:rFonts w:ascii="Palatino Linotype" w:eastAsia="Palatino Linotype" w:hAnsi="Palatino Linotype" w:cs="Palatino Linotype"/>
          <w:bCs/>
          <w:i/>
        </w:rPr>
        <w:t xml:space="preserve">VII. Las organizaciones sociales adherentes o similares de algún partido político; </w:t>
      </w:r>
    </w:p>
    <w:p w:rsidR="00204133" w:rsidRPr="00DD6E6E" w:rsidRDefault="00204133" w:rsidP="00204133">
      <w:pPr>
        <w:ind w:left="1134" w:right="1389"/>
        <w:jc w:val="both"/>
        <w:rPr>
          <w:rFonts w:ascii="Palatino Linotype" w:eastAsia="Palatino Linotype" w:hAnsi="Palatino Linotype" w:cs="Palatino Linotype"/>
          <w:bCs/>
          <w:i/>
        </w:rPr>
      </w:pPr>
      <w:r w:rsidRPr="00DD6E6E">
        <w:rPr>
          <w:rFonts w:ascii="Palatino Linotype" w:eastAsia="Palatino Linotype" w:hAnsi="Palatino Linotype" w:cs="Palatino Linotype"/>
          <w:bCs/>
          <w:i/>
        </w:rPr>
        <w:t xml:space="preserve">VIII. Los montos de las cuotas ordinarias y extraordinarias aportadas por sus militantes; </w:t>
      </w:r>
    </w:p>
    <w:p w:rsidR="00204133" w:rsidRPr="00DD6E6E" w:rsidRDefault="00204133" w:rsidP="00204133">
      <w:pPr>
        <w:ind w:left="1134" w:right="1389"/>
        <w:jc w:val="both"/>
        <w:rPr>
          <w:rFonts w:ascii="Palatino Linotype" w:eastAsia="Palatino Linotype" w:hAnsi="Palatino Linotype" w:cs="Palatino Linotype"/>
          <w:bCs/>
          <w:i/>
        </w:rPr>
      </w:pPr>
      <w:r w:rsidRPr="00DD6E6E">
        <w:rPr>
          <w:rFonts w:ascii="Palatino Linotype" w:eastAsia="Palatino Linotype" w:hAnsi="Palatino Linotype" w:cs="Palatino Linotype"/>
          <w:bCs/>
          <w:i/>
        </w:rPr>
        <w:t xml:space="preserve">IX. Los montos autorizados de financiamiento privado, así como una relación de los nombres de las aportantes vinculados con los montos aportados; </w:t>
      </w:r>
    </w:p>
    <w:p w:rsidR="00204133" w:rsidRPr="00DD6E6E" w:rsidRDefault="00204133" w:rsidP="00204133">
      <w:pPr>
        <w:ind w:left="1134" w:right="1389"/>
        <w:jc w:val="both"/>
        <w:rPr>
          <w:rFonts w:ascii="Palatino Linotype" w:eastAsia="Palatino Linotype" w:hAnsi="Palatino Linotype" w:cs="Palatino Linotype"/>
          <w:bCs/>
          <w:i/>
        </w:rPr>
      </w:pPr>
      <w:r w:rsidRPr="00DD6E6E">
        <w:rPr>
          <w:rFonts w:ascii="Palatino Linotype" w:eastAsia="Palatino Linotype" w:hAnsi="Palatino Linotype" w:cs="Palatino Linotype"/>
          <w:bCs/>
          <w:i/>
        </w:rPr>
        <w:t xml:space="preserve">X. El listado de aportantes a las precampañas y campañas políticas; </w:t>
      </w:r>
    </w:p>
    <w:p w:rsidR="00204133" w:rsidRPr="00DD6E6E" w:rsidRDefault="00204133" w:rsidP="00204133">
      <w:pPr>
        <w:ind w:left="1134" w:right="1389"/>
        <w:jc w:val="both"/>
        <w:rPr>
          <w:rFonts w:ascii="Palatino Linotype" w:eastAsia="Palatino Linotype" w:hAnsi="Palatino Linotype" w:cs="Palatino Linotype"/>
          <w:bCs/>
          <w:i/>
        </w:rPr>
      </w:pPr>
      <w:r w:rsidRPr="00DD6E6E">
        <w:rPr>
          <w:rFonts w:ascii="Palatino Linotype" w:eastAsia="Palatino Linotype" w:hAnsi="Palatino Linotype" w:cs="Palatino Linotype"/>
          <w:bCs/>
          <w:i/>
        </w:rPr>
        <w:t xml:space="preserve">XI. El acta de la asamblea constitutiva de los partidos políticos locales; </w:t>
      </w:r>
    </w:p>
    <w:p w:rsidR="00204133" w:rsidRPr="00DD6E6E" w:rsidRDefault="00204133" w:rsidP="00204133">
      <w:pPr>
        <w:ind w:left="1134" w:right="1389"/>
        <w:jc w:val="both"/>
        <w:rPr>
          <w:rFonts w:ascii="Palatino Linotype" w:eastAsia="Palatino Linotype" w:hAnsi="Palatino Linotype" w:cs="Palatino Linotype"/>
          <w:bCs/>
          <w:i/>
        </w:rPr>
      </w:pPr>
      <w:r w:rsidRPr="00DD6E6E">
        <w:rPr>
          <w:rFonts w:ascii="Palatino Linotype" w:eastAsia="Palatino Linotype" w:hAnsi="Palatino Linotype" w:cs="Palatino Linotype"/>
          <w:bCs/>
          <w:i/>
        </w:rPr>
        <w:t xml:space="preserve">XII. Las demarcaciones electorales en las que participen; </w:t>
      </w:r>
    </w:p>
    <w:p w:rsidR="00204133" w:rsidRPr="00DD6E6E" w:rsidRDefault="00204133" w:rsidP="00204133">
      <w:pPr>
        <w:ind w:left="1134" w:right="1389"/>
        <w:jc w:val="both"/>
        <w:rPr>
          <w:rFonts w:ascii="Palatino Linotype" w:eastAsia="Palatino Linotype" w:hAnsi="Palatino Linotype" w:cs="Palatino Linotype"/>
          <w:bCs/>
          <w:i/>
        </w:rPr>
      </w:pPr>
      <w:r w:rsidRPr="00DD6E6E">
        <w:rPr>
          <w:rFonts w:ascii="Palatino Linotype" w:eastAsia="Palatino Linotype" w:hAnsi="Palatino Linotype" w:cs="Palatino Linotype"/>
          <w:bCs/>
          <w:i/>
        </w:rPr>
        <w:t xml:space="preserve">XIII. Los tiempos que le corresponden en canales de radio y televisión; </w:t>
      </w:r>
    </w:p>
    <w:p w:rsidR="00204133" w:rsidRPr="00DD6E6E" w:rsidRDefault="00204133" w:rsidP="00204133">
      <w:pPr>
        <w:ind w:left="1134" w:right="1389"/>
        <w:jc w:val="both"/>
        <w:rPr>
          <w:rFonts w:ascii="Palatino Linotype" w:eastAsia="Palatino Linotype" w:hAnsi="Palatino Linotype" w:cs="Palatino Linotype"/>
          <w:bCs/>
          <w:i/>
        </w:rPr>
      </w:pPr>
      <w:r w:rsidRPr="00DD6E6E">
        <w:rPr>
          <w:rFonts w:ascii="Palatino Linotype" w:eastAsia="Palatino Linotype" w:hAnsi="Palatino Linotype" w:cs="Palatino Linotype"/>
          <w:bCs/>
          <w:i/>
        </w:rPr>
        <w:t xml:space="preserve">XIV. Sus documentos básicos, plataformas electorales y programas de gobierno y los mecanismos de designación de los órganos de dirección en sus respectivos ámbitos; </w:t>
      </w:r>
    </w:p>
    <w:p w:rsidR="00204133" w:rsidRPr="00DD6E6E" w:rsidRDefault="00204133" w:rsidP="00204133">
      <w:pPr>
        <w:ind w:left="1134" w:right="1389"/>
        <w:jc w:val="both"/>
        <w:rPr>
          <w:rFonts w:ascii="Palatino Linotype" w:eastAsia="Palatino Linotype" w:hAnsi="Palatino Linotype" w:cs="Palatino Linotype"/>
          <w:bCs/>
          <w:i/>
        </w:rPr>
      </w:pPr>
      <w:r w:rsidRPr="00DD6E6E">
        <w:rPr>
          <w:rFonts w:ascii="Palatino Linotype" w:eastAsia="Palatino Linotype" w:hAnsi="Palatino Linotype" w:cs="Palatino Linotype"/>
          <w:bCs/>
          <w:i/>
        </w:rPr>
        <w:t xml:space="preserve">XV. El directorio de sus órganos de dirección, estatales, municipales y, en su caso, regionales y distritales; </w:t>
      </w:r>
    </w:p>
    <w:p w:rsidR="007824E5" w:rsidRPr="00DD6E6E" w:rsidRDefault="00204133" w:rsidP="00204133">
      <w:pPr>
        <w:ind w:left="1134" w:right="1389"/>
        <w:jc w:val="both"/>
        <w:rPr>
          <w:rFonts w:ascii="Palatino Linotype" w:eastAsia="Palatino Linotype" w:hAnsi="Palatino Linotype" w:cs="Palatino Linotype"/>
          <w:bCs/>
          <w:i/>
        </w:rPr>
      </w:pPr>
      <w:r w:rsidRPr="00DD6E6E">
        <w:rPr>
          <w:rFonts w:ascii="Palatino Linotype" w:eastAsia="Palatino Linotype" w:hAnsi="Palatino Linotype" w:cs="Palatino Linotype"/>
          <w:bCs/>
          <w:i/>
        </w:rPr>
        <w:t>XVI. El tabulador de remuneraciones que perciben los integrantes de los órganos a que se refiere la fracción anterior y de los demás funcionarios partidistas, que deberá vincularse con el directorio y estructura orgánica, así como cualquier persona que reciba ingresos por parte del partido político, independientemente de la función que desempeñe dentro o fuera del partido; XVII. El currículo con fotografía reciente de todos los precandidatos y candidatos a cargos de elección popular, con el cargo al que se postula, el dist</w:t>
      </w:r>
      <w:r w:rsidR="007824E5" w:rsidRPr="00DD6E6E">
        <w:rPr>
          <w:rFonts w:ascii="Palatino Linotype" w:eastAsia="Palatino Linotype" w:hAnsi="Palatino Linotype" w:cs="Palatino Linotype"/>
          <w:bCs/>
          <w:i/>
        </w:rPr>
        <w:t>rito electoral y municipio</w:t>
      </w:r>
      <w:r w:rsidRPr="00DD6E6E">
        <w:rPr>
          <w:rFonts w:ascii="Palatino Linotype" w:eastAsia="Palatino Linotype" w:hAnsi="Palatino Linotype" w:cs="Palatino Linotype"/>
          <w:bCs/>
          <w:i/>
        </w:rPr>
        <w:t xml:space="preserve"> El currículo de los dirigentes a nivel estatal y municipal; </w:t>
      </w:r>
    </w:p>
    <w:p w:rsidR="007824E5" w:rsidRPr="00DD6E6E" w:rsidRDefault="00204133" w:rsidP="00204133">
      <w:pPr>
        <w:ind w:left="1134" w:right="1389"/>
        <w:jc w:val="both"/>
        <w:rPr>
          <w:rFonts w:ascii="Palatino Linotype" w:eastAsia="Palatino Linotype" w:hAnsi="Palatino Linotype" w:cs="Palatino Linotype"/>
          <w:bCs/>
          <w:i/>
        </w:rPr>
      </w:pPr>
      <w:r w:rsidRPr="00DD6E6E">
        <w:rPr>
          <w:rFonts w:ascii="Palatino Linotype" w:eastAsia="Palatino Linotype" w:hAnsi="Palatino Linotype" w:cs="Palatino Linotype"/>
          <w:bCs/>
          <w:i/>
        </w:rPr>
        <w:t xml:space="preserve">XIX. Los convenios de frente, coalición o fusión que celebren o de participación electoral que realicen con agrupaciones políticas; </w:t>
      </w:r>
    </w:p>
    <w:p w:rsidR="007824E5" w:rsidRPr="00DD6E6E" w:rsidRDefault="00204133" w:rsidP="00204133">
      <w:pPr>
        <w:ind w:left="1134" w:right="1389"/>
        <w:jc w:val="both"/>
        <w:rPr>
          <w:rFonts w:ascii="Palatino Linotype" w:eastAsia="Palatino Linotype" w:hAnsi="Palatino Linotype" w:cs="Palatino Linotype"/>
          <w:bCs/>
          <w:i/>
        </w:rPr>
      </w:pPr>
      <w:r w:rsidRPr="00DD6E6E">
        <w:rPr>
          <w:rFonts w:ascii="Palatino Linotype" w:eastAsia="Palatino Linotype" w:hAnsi="Palatino Linotype" w:cs="Palatino Linotype"/>
          <w:bCs/>
          <w:i/>
        </w:rPr>
        <w:lastRenderedPageBreak/>
        <w:t xml:space="preserve">XX. Las convocatorias que emitan para la elección de sus dirigentes o la postulación de sus candidatos a cargos de elección popular y, en su caso, el registro correspondiente; </w:t>
      </w:r>
    </w:p>
    <w:p w:rsidR="007824E5" w:rsidRPr="00DD6E6E" w:rsidRDefault="00204133" w:rsidP="00204133">
      <w:pPr>
        <w:ind w:left="1134" w:right="1389"/>
        <w:jc w:val="both"/>
        <w:rPr>
          <w:rFonts w:ascii="Palatino Linotype" w:eastAsia="Palatino Linotype" w:hAnsi="Palatino Linotype" w:cs="Palatino Linotype"/>
          <w:bCs/>
          <w:i/>
        </w:rPr>
      </w:pPr>
      <w:r w:rsidRPr="00DD6E6E">
        <w:rPr>
          <w:rFonts w:ascii="Palatino Linotype" w:eastAsia="Palatino Linotype" w:hAnsi="Palatino Linotype" w:cs="Palatino Linotype"/>
          <w:bCs/>
          <w:i/>
        </w:rPr>
        <w:t xml:space="preserve">XXI. Los responsables de los procesos internos de evaluación y selección de candidatos a cargos de elección popular, conforme a su normatividad interna; XXII. Informes sobre el gasto del financiamiento público ordinario recibido para la capacitación, promoción y desarrollo del liderazgo político de las mujeres; </w:t>
      </w:r>
    </w:p>
    <w:p w:rsidR="007824E5" w:rsidRPr="00DD6E6E" w:rsidRDefault="00204133" w:rsidP="00204133">
      <w:pPr>
        <w:ind w:left="1134" w:right="1389"/>
        <w:jc w:val="both"/>
        <w:rPr>
          <w:rFonts w:ascii="Palatino Linotype" w:eastAsia="Palatino Linotype" w:hAnsi="Palatino Linotype" w:cs="Palatino Linotype"/>
          <w:bCs/>
          <w:i/>
        </w:rPr>
      </w:pPr>
      <w:r w:rsidRPr="00DD6E6E">
        <w:rPr>
          <w:rFonts w:ascii="Palatino Linotype" w:eastAsia="Palatino Linotype" w:hAnsi="Palatino Linotype" w:cs="Palatino Linotype"/>
          <w:bCs/>
          <w:i/>
        </w:rPr>
        <w:t xml:space="preserve">XXIII. Las resoluciones dictadas por los órganos de control; </w:t>
      </w:r>
    </w:p>
    <w:p w:rsidR="007824E5" w:rsidRPr="00DD6E6E" w:rsidRDefault="00204133" w:rsidP="00204133">
      <w:pPr>
        <w:ind w:left="1134" w:right="1389"/>
        <w:jc w:val="both"/>
        <w:rPr>
          <w:rFonts w:ascii="Palatino Linotype" w:eastAsia="Palatino Linotype" w:hAnsi="Palatino Linotype" w:cs="Palatino Linotype"/>
          <w:bCs/>
          <w:i/>
        </w:rPr>
      </w:pPr>
      <w:r w:rsidRPr="00DD6E6E">
        <w:rPr>
          <w:rFonts w:ascii="Palatino Linotype" w:eastAsia="Palatino Linotype" w:hAnsi="Palatino Linotype" w:cs="Palatino Linotype"/>
          <w:bCs/>
          <w:i/>
        </w:rPr>
        <w:t xml:space="preserve">XXIV. Los montos de financiamiento público otorgados mensualmente, en cualquier modalidad, a sus órganos estatales y municipales, así como los descuentos correspondientes a sanciones; </w:t>
      </w:r>
    </w:p>
    <w:p w:rsidR="007824E5" w:rsidRPr="00DD6E6E" w:rsidRDefault="00204133" w:rsidP="00204133">
      <w:pPr>
        <w:ind w:left="1134" w:right="1389"/>
        <w:jc w:val="both"/>
        <w:rPr>
          <w:rFonts w:ascii="Palatino Linotype" w:eastAsia="Palatino Linotype" w:hAnsi="Palatino Linotype" w:cs="Palatino Linotype"/>
          <w:bCs/>
          <w:i/>
        </w:rPr>
      </w:pPr>
      <w:r w:rsidRPr="00DD6E6E">
        <w:rPr>
          <w:rFonts w:ascii="Palatino Linotype" w:eastAsia="Palatino Linotype" w:hAnsi="Palatino Linotype" w:cs="Palatino Linotype"/>
          <w:bCs/>
          <w:i/>
        </w:rPr>
        <w:t xml:space="preserve">XXV. El estado de situación financiera y patrimonial; el inventario de los bienes inmuebles de los que sean propietarios, así como los anexos que formen parte integrante de los documentos anteriores; </w:t>
      </w:r>
    </w:p>
    <w:p w:rsidR="007824E5" w:rsidRPr="00DD6E6E" w:rsidRDefault="00204133" w:rsidP="00204133">
      <w:pPr>
        <w:ind w:left="1134" w:right="1389"/>
        <w:jc w:val="both"/>
        <w:rPr>
          <w:rFonts w:ascii="Palatino Linotype" w:eastAsia="Palatino Linotype" w:hAnsi="Palatino Linotype" w:cs="Palatino Linotype"/>
          <w:bCs/>
          <w:i/>
        </w:rPr>
      </w:pPr>
      <w:r w:rsidRPr="00DD6E6E">
        <w:rPr>
          <w:rFonts w:ascii="Palatino Linotype" w:eastAsia="Palatino Linotype" w:hAnsi="Palatino Linotype" w:cs="Palatino Linotype"/>
          <w:bCs/>
          <w:i/>
        </w:rPr>
        <w:t xml:space="preserve">XXVI. Las resoluciones que emitan sus órganos disciplinarios de cualquier nivel, una vez que hayan quedado en firme; </w:t>
      </w:r>
    </w:p>
    <w:p w:rsidR="007824E5" w:rsidRPr="00DD6E6E" w:rsidRDefault="00204133" w:rsidP="00204133">
      <w:pPr>
        <w:ind w:left="1134" w:right="1389"/>
        <w:jc w:val="both"/>
        <w:rPr>
          <w:rFonts w:ascii="Palatino Linotype" w:eastAsia="Palatino Linotype" w:hAnsi="Palatino Linotype" w:cs="Palatino Linotype"/>
          <w:bCs/>
          <w:i/>
        </w:rPr>
      </w:pPr>
      <w:r w:rsidRPr="00DD6E6E">
        <w:rPr>
          <w:rFonts w:ascii="Palatino Linotype" w:eastAsia="Palatino Linotype" w:hAnsi="Palatino Linotype" w:cs="Palatino Linotype"/>
          <w:bCs/>
          <w:i/>
        </w:rPr>
        <w:t xml:space="preserve">XXVII. Los nombres de sus representantes ante la autoridad electoral competente; </w:t>
      </w:r>
    </w:p>
    <w:p w:rsidR="007824E5" w:rsidRPr="00DD6E6E" w:rsidRDefault="00204133" w:rsidP="00204133">
      <w:pPr>
        <w:ind w:left="1134" w:right="1389"/>
        <w:jc w:val="both"/>
        <w:rPr>
          <w:rFonts w:ascii="Palatino Linotype" w:eastAsia="Palatino Linotype" w:hAnsi="Palatino Linotype" w:cs="Palatino Linotype"/>
          <w:bCs/>
          <w:i/>
        </w:rPr>
      </w:pPr>
      <w:r w:rsidRPr="00DD6E6E">
        <w:rPr>
          <w:rFonts w:ascii="Palatino Linotype" w:eastAsia="Palatino Linotype" w:hAnsi="Palatino Linotype" w:cs="Palatino Linotype"/>
          <w:bCs/>
          <w:i/>
        </w:rPr>
        <w:t>XXVIII.</w:t>
      </w:r>
      <w:r w:rsidR="007824E5" w:rsidRPr="00DD6E6E">
        <w:rPr>
          <w:rFonts w:ascii="Palatino Linotype" w:eastAsia="Palatino Linotype" w:hAnsi="Palatino Linotype" w:cs="Palatino Linotype"/>
          <w:bCs/>
          <w:i/>
        </w:rPr>
        <w:t xml:space="preserve"> </w:t>
      </w:r>
      <w:r w:rsidRPr="00DD6E6E">
        <w:rPr>
          <w:rFonts w:ascii="Palatino Linotype" w:eastAsia="Palatino Linotype" w:hAnsi="Palatino Linotype" w:cs="Palatino Linotype"/>
          <w:bCs/>
          <w:i/>
        </w:rPr>
        <w:t xml:space="preserve">Los mecanismos de control y supervisión aplicados a los procesos internos de selección de candidatos; </w:t>
      </w:r>
    </w:p>
    <w:p w:rsidR="007824E5" w:rsidRPr="00DD6E6E" w:rsidRDefault="00204133" w:rsidP="00204133">
      <w:pPr>
        <w:ind w:left="1134" w:right="1389"/>
        <w:jc w:val="both"/>
        <w:rPr>
          <w:rFonts w:ascii="Palatino Linotype" w:eastAsia="Palatino Linotype" w:hAnsi="Palatino Linotype" w:cs="Palatino Linotype"/>
          <w:bCs/>
          <w:i/>
        </w:rPr>
      </w:pPr>
      <w:r w:rsidRPr="00DD6E6E">
        <w:rPr>
          <w:rFonts w:ascii="Palatino Linotype" w:eastAsia="Palatino Linotype" w:hAnsi="Palatino Linotype" w:cs="Palatino Linotype"/>
          <w:bCs/>
          <w:i/>
        </w:rPr>
        <w:t xml:space="preserve">XXIX. El listado de fundaciones, asociaciones, centros o institutos de investigación o capacitación o cualquier otro que reciban apoyo económico de los partidos políticos, así como los montos destinados para tal efecto; y </w:t>
      </w:r>
    </w:p>
    <w:p w:rsidR="00204133" w:rsidRPr="00DD6E6E" w:rsidRDefault="00204133" w:rsidP="00204133">
      <w:pPr>
        <w:ind w:left="1134" w:right="1389"/>
        <w:jc w:val="both"/>
        <w:rPr>
          <w:rFonts w:ascii="Palatino Linotype" w:eastAsia="Palatino Linotype" w:hAnsi="Palatino Linotype" w:cs="Palatino Linotype"/>
          <w:bCs/>
          <w:i/>
        </w:rPr>
      </w:pPr>
      <w:r w:rsidRPr="00DD6E6E">
        <w:rPr>
          <w:rFonts w:ascii="Palatino Linotype" w:eastAsia="Palatino Linotype" w:hAnsi="Palatino Linotype" w:cs="Palatino Linotype"/>
          <w:bCs/>
          <w:i/>
        </w:rPr>
        <w:t>XXX. Las resoluciones que dicte la autoridad electoral competente respecto de los informes de ingresos y gastos.</w:t>
      </w:r>
    </w:p>
    <w:p w:rsidR="00204133" w:rsidRPr="00DD6E6E" w:rsidRDefault="00204133" w:rsidP="00204133">
      <w:pPr>
        <w:pStyle w:val="Prrafodelista"/>
        <w:rPr>
          <w:rFonts w:ascii="Palatino Linotype" w:eastAsia="Palatino Linotype" w:hAnsi="Palatino Linotype" w:cs="Palatino Linotype"/>
          <w:bCs/>
          <w:sz w:val="24"/>
        </w:rPr>
      </w:pPr>
    </w:p>
    <w:p w:rsidR="007824E5" w:rsidRPr="00DD6E6E" w:rsidRDefault="008D1491" w:rsidP="00EB242F">
      <w:pPr>
        <w:numPr>
          <w:ilvl w:val="0"/>
          <w:numId w:val="1"/>
        </w:numPr>
        <w:spacing w:line="360" w:lineRule="auto"/>
        <w:ind w:left="0" w:right="1" w:firstLine="0"/>
        <w:jc w:val="both"/>
        <w:rPr>
          <w:rFonts w:ascii="Palatino Linotype" w:eastAsia="Palatino Linotype" w:hAnsi="Palatino Linotype" w:cs="Palatino Linotype"/>
          <w:bCs/>
        </w:rPr>
      </w:pPr>
      <w:r w:rsidRPr="00DD6E6E">
        <w:rPr>
          <w:rFonts w:ascii="Palatino Linotype" w:eastAsia="Palatino Linotype" w:hAnsi="Palatino Linotype" w:cs="Palatino Linotype"/>
          <w:bCs/>
        </w:rPr>
        <w:t xml:space="preserve">De lo anterior, se tiene </w:t>
      </w:r>
      <w:r w:rsidR="007824E5" w:rsidRPr="00DD6E6E">
        <w:rPr>
          <w:rFonts w:ascii="Palatino Linotype" w:eastAsia="Palatino Linotype" w:hAnsi="Palatino Linotype" w:cs="Palatino Linotype"/>
          <w:bCs/>
        </w:rPr>
        <w:t xml:space="preserve">que es público es el padrón de militantes, que puede ser consultada en la Página oficial del Partido de Acción Nacional. </w:t>
      </w:r>
    </w:p>
    <w:p w:rsidR="007A17CE" w:rsidRPr="00DD6E6E" w:rsidRDefault="007A17CE" w:rsidP="007A17CE">
      <w:pPr>
        <w:spacing w:after="160" w:line="259" w:lineRule="auto"/>
        <w:jc w:val="both"/>
        <w:rPr>
          <w:rFonts w:ascii="Palatino Linotype" w:eastAsiaTheme="minorHAnsi" w:hAnsi="Palatino Linotype" w:cstheme="minorBidi"/>
          <w:lang w:eastAsia="en-US"/>
        </w:rPr>
      </w:pPr>
    </w:p>
    <w:p w:rsidR="008D1491" w:rsidRPr="00DD6E6E" w:rsidRDefault="008D1491" w:rsidP="00886D0F">
      <w:pPr>
        <w:numPr>
          <w:ilvl w:val="0"/>
          <w:numId w:val="1"/>
        </w:numPr>
        <w:spacing w:line="360" w:lineRule="auto"/>
        <w:ind w:left="0" w:right="1" w:firstLine="0"/>
        <w:jc w:val="both"/>
        <w:rPr>
          <w:rFonts w:ascii="Palatino Linotype" w:eastAsia="Palatino Linotype" w:hAnsi="Palatino Linotype" w:cs="Palatino Linotype"/>
          <w:color w:val="000000"/>
        </w:rPr>
      </w:pPr>
      <w:bookmarkStart w:id="8" w:name="_Hlk99014733"/>
      <w:r w:rsidRPr="00DD6E6E">
        <w:rPr>
          <w:rFonts w:ascii="Palatino Linotype" w:eastAsia="Palatino Linotype" w:hAnsi="Palatino Linotype" w:cs="Palatino Linotype"/>
          <w:color w:val="000000"/>
        </w:rPr>
        <w:t xml:space="preserve">En cuanto al listado de los militantes que emitieron voto, se tiene que se debe de generar dicho documento, toda vez que como lo regula el </w:t>
      </w:r>
      <w:r w:rsidRPr="00DD6E6E">
        <w:rPr>
          <w:rFonts w:ascii="Palatino Linotype" w:eastAsia="Palatino Linotype" w:hAnsi="Palatino Linotype" w:cs="Palatino Linotype"/>
          <w:bCs/>
        </w:rPr>
        <w:t>Reglamento de Militantes del Partido de Acción Nacional en su artículo 89</w:t>
      </w:r>
      <w:r w:rsidRPr="00DD6E6E">
        <w:rPr>
          <w:rFonts w:ascii="Palatino Linotype" w:eastAsia="Palatino Linotype" w:hAnsi="Palatino Linotype" w:cs="Palatino Linotype"/>
          <w:b/>
          <w:bCs/>
          <w:i/>
        </w:rPr>
        <w:t xml:space="preserve"> deben de generar un  listado nominal definitivo, </w:t>
      </w:r>
      <w:r w:rsidRPr="00DD6E6E">
        <w:rPr>
          <w:rFonts w:ascii="Palatino Linotype" w:eastAsia="Palatino Linotype" w:hAnsi="Palatino Linotype" w:cs="Palatino Linotype"/>
          <w:bCs/>
        </w:rPr>
        <w:t xml:space="preserve">documento que de manera enunciativa más no limitativa puede colmar la pretensión del </w:t>
      </w:r>
      <w:r w:rsidRPr="00DD6E6E">
        <w:rPr>
          <w:rFonts w:ascii="Palatino Linotype" w:eastAsia="Palatino Linotype" w:hAnsi="Palatino Linotype" w:cs="Palatino Linotype"/>
          <w:b/>
          <w:bCs/>
        </w:rPr>
        <w:t xml:space="preserve">RECURRENTE, </w:t>
      </w:r>
      <w:r w:rsidRPr="00DD6E6E">
        <w:rPr>
          <w:rFonts w:ascii="Palatino Linotype" w:eastAsia="Palatino Linotype" w:hAnsi="Palatino Linotype" w:cs="Palatino Linotype"/>
          <w:bCs/>
        </w:rPr>
        <w:lastRenderedPageBreak/>
        <w:t xml:space="preserve">situación por la cual el </w:t>
      </w:r>
      <w:r w:rsidRPr="00DD6E6E">
        <w:rPr>
          <w:rFonts w:ascii="Palatino Linotype" w:eastAsia="Palatino Linotype" w:hAnsi="Palatino Linotype" w:cs="Palatino Linotype"/>
          <w:b/>
          <w:bCs/>
        </w:rPr>
        <w:t xml:space="preserve">SUJETO OBLIGADO </w:t>
      </w:r>
      <w:r w:rsidRPr="00DD6E6E">
        <w:rPr>
          <w:rFonts w:ascii="Palatino Linotype" w:eastAsia="Palatino Linotype" w:hAnsi="Palatino Linotype" w:cs="Palatino Linotype"/>
          <w:bCs/>
        </w:rPr>
        <w:t xml:space="preserve">deberá de genera una nueva búsqueda exhaustiva y razonable. </w:t>
      </w:r>
    </w:p>
    <w:p w:rsidR="008D1491" w:rsidRPr="00DD6E6E" w:rsidRDefault="008D1491" w:rsidP="008D1491">
      <w:pPr>
        <w:pStyle w:val="Prrafodelista"/>
        <w:rPr>
          <w:rFonts w:ascii="Palatino Linotype" w:eastAsia="Palatino Linotype" w:hAnsi="Palatino Linotype" w:cs="Palatino Linotype"/>
          <w:color w:val="000000"/>
          <w:sz w:val="24"/>
        </w:rPr>
      </w:pPr>
    </w:p>
    <w:p w:rsidR="006C2675" w:rsidRPr="00DD6E6E" w:rsidRDefault="006C2675" w:rsidP="006C2675">
      <w:pPr>
        <w:numPr>
          <w:ilvl w:val="0"/>
          <w:numId w:val="1"/>
        </w:numPr>
        <w:spacing w:line="360" w:lineRule="auto"/>
        <w:ind w:left="0" w:right="1" w:firstLine="0"/>
        <w:jc w:val="both"/>
        <w:rPr>
          <w:rFonts w:eastAsia="Calibri"/>
          <w:color w:val="000000"/>
        </w:rPr>
      </w:pPr>
      <w:r w:rsidRPr="00DD6E6E">
        <w:rPr>
          <w:rFonts w:ascii="Palatino Linotype" w:eastAsia="Palatino Linotype" w:hAnsi="Palatino Linotype" w:cs="Palatino Linotype"/>
          <w:color w:val="000000"/>
        </w:rPr>
        <w:t xml:space="preserve">De lo anterior, al artículo 162 de la de la Ley de Transparencia y Acceso a la Información Pública del Estado de México y Municipios, regula que las Unidades de Transparencia deben de garantizar que las solicitudes </w:t>
      </w:r>
      <w:r w:rsidRPr="00DD6E6E">
        <w:rPr>
          <w:rFonts w:ascii="Palatino Linotype" w:eastAsia="Palatino Linotype" w:hAnsi="Palatino Linotype" w:cs="Palatino Linotype"/>
          <w:b/>
          <w:color w:val="000000"/>
        </w:rPr>
        <w:t>se turnen a todas las Áreas competentes que cuenten con la información o deban tenerla de acuerdo a sus facultades,</w:t>
      </w:r>
      <w:r w:rsidRPr="00DD6E6E">
        <w:rPr>
          <w:rFonts w:ascii="Palatino Linotype" w:eastAsia="Palatino Linotype" w:hAnsi="Palatino Linotype" w:cs="Palatino Linotype"/>
          <w:color w:val="000000"/>
        </w:rPr>
        <w:t xml:space="preserve"> competencias y funciones, </w:t>
      </w:r>
      <w:r w:rsidRPr="00DD6E6E">
        <w:rPr>
          <w:rFonts w:ascii="Palatino Linotype" w:eastAsia="Palatino Linotype" w:hAnsi="Palatino Linotype" w:cs="Palatino Linotype"/>
          <w:b/>
          <w:color w:val="000000"/>
          <w:u w:val="single"/>
        </w:rPr>
        <w:t>con el objeto de que realicen una búsqueda exhaustiva y razonable de la información solicitada</w:t>
      </w:r>
      <w:r w:rsidRPr="00DD6E6E">
        <w:rPr>
          <w:rFonts w:ascii="Palatino Linotype" w:eastAsia="Palatino Linotype" w:hAnsi="Palatino Linotype" w:cs="Palatino Linotype"/>
          <w:color w:val="000000"/>
        </w:rPr>
        <w:t xml:space="preserve">, situación que no fue realizada por el Titular de la Unidad de Transparencia del </w:t>
      </w:r>
      <w:r w:rsidRPr="00DD6E6E">
        <w:rPr>
          <w:rFonts w:ascii="Palatino Linotype" w:eastAsia="Palatino Linotype" w:hAnsi="Palatino Linotype" w:cs="Palatino Linotype"/>
          <w:b/>
          <w:color w:val="000000"/>
        </w:rPr>
        <w:t>Sujeto Obligado</w:t>
      </w:r>
      <w:r w:rsidRPr="00DD6E6E">
        <w:rPr>
          <w:rFonts w:ascii="Palatino Linotype" w:eastAsia="Palatino Linotype" w:hAnsi="Palatino Linotype" w:cs="Palatino Linotype"/>
          <w:color w:val="000000"/>
        </w:rPr>
        <w:t>.</w:t>
      </w:r>
    </w:p>
    <w:p w:rsidR="006C2675" w:rsidRPr="00DD6E6E" w:rsidRDefault="006C2675" w:rsidP="006C2675">
      <w:pPr>
        <w:spacing w:line="360" w:lineRule="auto"/>
        <w:ind w:right="-504"/>
        <w:jc w:val="both"/>
        <w:rPr>
          <w:rFonts w:ascii="Palatino Linotype" w:eastAsia="Palatino Linotype" w:hAnsi="Palatino Linotype" w:cs="Palatino Linotype"/>
          <w:color w:val="000000"/>
        </w:rPr>
      </w:pPr>
    </w:p>
    <w:p w:rsidR="006C2675" w:rsidRPr="00DD6E6E" w:rsidRDefault="006C2675" w:rsidP="006C2675">
      <w:pPr>
        <w:numPr>
          <w:ilvl w:val="0"/>
          <w:numId w:val="1"/>
        </w:numPr>
        <w:spacing w:line="360" w:lineRule="auto"/>
        <w:ind w:left="0" w:right="1" w:firstLine="0"/>
        <w:jc w:val="both"/>
        <w:rPr>
          <w:rFonts w:eastAsia="Calibri"/>
          <w:color w:val="000000"/>
        </w:rPr>
      </w:pPr>
      <w:r w:rsidRPr="00DD6E6E">
        <w:rPr>
          <w:rFonts w:ascii="Palatino Linotype" w:eastAsia="Palatino Linotype" w:hAnsi="Palatino Linotype" w:cs="Palatino Linotype"/>
          <w:color w:val="000000"/>
        </w:rPr>
        <w:t>A efecto de determinar la legalidad de dicha respuesta, es necesario tomar en cuenta las siguientes disposiciones de la Ley de la materia.</w:t>
      </w:r>
    </w:p>
    <w:p w:rsidR="006C2675" w:rsidRPr="00DD6E6E" w:rsidRDefault="006C2675" w:rsidP="006C2675">
      <w:pPr>
        <w:ind w:left="1134" w:right="900"/>
        <w:jc w:val="both"/>
        <w:rPr>
          <w:rFonts w:ascii="Palatino Linotype" w:eastAsia="Palatino Linotype" w:hAnsi="Palatino Linotype" w:cs="Palatino Linotype"/>
          <w:i/>
          <w:color w:val="000000"/>
        </w:rPr>
      </w:pPr>
      <w:r w:rsidRPr="00DD6E6E">
        <w:rPr>
          <w:rFonts w:ascii="Palatino Linotype" w:eastAsia="Palatino Linotype" w:hAnsi="Palatino Linotype" w:cs="Palatino Linotype"/>
          <w:i/>
          <w:color w:val="000000"/>
        </w:rPr>
        <w:t>“</w:t>
      </w:r>
      <w:r w:rsidRPr="00DD6E6E">
        <w:rPr>
          <w:rFonts w:ascii="Palatino Linotype" w:eastAsia="Palatino Linotype" w:hAnsi="Palatino Linotype" w:cs="Palatino Linotype"/>
          <w:b/>
          <w:i/>
          <w:color w:val="000000"/>
        </w:rPr>
        <w:t>Artículo 50.</w:t>
      </w:r>
      <w:r w:rsidRPr="00DD6E6E">
        <w:rPr>
          <w:rFonts w:ascii="Palatino Linotype" w:eastAsia="Palatino Linotype" w:hAnsi="Palatino Linotype" w:cs="Palatino Linotype"/>
          <w:i/>
          <w:color w:val="000000"/>
        </w:rPr>
        <w:t xml:space="preserve"> Los sujetos obligados contarán con un área responsable para la atención de las solicitudes de información, a la que se le denominará Unidad de Transparencia.</w:t>
      </w:r>
    </w:p>
    <w:p w:rsidR="006C2675" w:rsidRPr="00DD6E6E" w:rsidRDefault="006C2675" w:rsidP="006C2675">
      <w:pPr>
        <w:ind w:left="1134" w:right="900"/>
        <w:jc w:val="both"/>
        <w:rPr>
          <w:rFonts w:ascii="Palatino Linotype" w:eastAsia="Palatino Linotype" w:hAnsi="Palatino Linotype" w:cs="Palatino Linotype"/>
          <w:i/>
          <w:color w:val="000000"/>
        </w:rPr>
      </w:pPr>
    </w:p>
    <w:p w:rsidR="006C2675" w:rsidRPr="00DD6E6E" w:rsidRDefault="006C2675" w:rsidP="006C2675">
      <w:pPr>
        <w:ind w:left="1134" w:right="900"/>
        <w:jc w:val="both"/>
        <w:rPr>
          <w:rFonts w:ascii="Palatino Linotype" w:eastAsia="Palatino Linotype" w:hAnsi="Palatino Linotype" w:cs="Palatino Linotype"/>
          <w:i/>
          <w:color w:val="000000"/>
        </w:rPr>
      </w:pPr>
      <w:r w:rsidRPr="00DD6E6E">
        <w:rPr>
          <w:rFonts w:ascii="Palatino Linotype" w:eastAsia="Palatino Linotype" w:hAnsi="Palatino Linotype" w:cs="Palatino Linotype"/>
          <w:b/>
          <w:i/>
          <w:color w:val="000000"/>
        </w:rPr>
        <w:t>Artículo 51</w:t>
      </w:r>
      <w:r w:rsidRPr="00DD6E6E">
        <w:rPr>
          <w:rFonts w:ascii="Palatino Linotype" w:eastAsia="Palatino Linotype" w:hAnsi="Palatino Linotype" w:cs="Palatino Linotype"/>
          <w:i/>
          <w:color w:val="000000"/>
        </w:rPr>
        <w:t>. Los sujetos obligados designaran a un responsable para atender la Unidad de Transparencia, quien fungirá como enlace entre éstos y los solicitantes. Dicha Unidad será la encargada de tramitar internamente la solicitud de información y tendrá la responsabilidad de verificar en cada caso que la misma no sea confidencial o reservada. Dicha Unidad contará con las facultades internas necesarias para gestionar la atención a las solicitudes de información en los términos de la Ley General y la presente Ley.</w:t>
      </w:r>
    </w:p>
    <w:p w:rsidR="006C2675" w:rsidRPr="00DD6E6E" w:rsidRDefault="006C2675" w:rsidP="006C2675">
      <w:pPr>
        <w:ind w:left="1134" w:right="900"/>
        <w:jc w:val="both"/>
        <w:rPr>
          <w:rFonts w:ascii="Palatino Linotype" w:eastAsia="Palatino Linotype" w:hAnsi="Palatino Linotype" w:cs="Palatino Linotype"/>
          <w:i/>
          <w:color w:val="000000"/>
        </w:rPr>
      </w:pPr>
    </w:p>
    <w:p w:rsidR="006C2675" w:rsidRPr="00DD6E6E" w:rsidRDefault="006C2675" w:rsidP="006C2675">
      <w:pPr>
        <w:ind w:left="1134" w:right="900"/>
        <w:jc w:val="both"/>
        <w:rPr>
          <w:rFonts w:ascii="Palatino Linotype" w:eastAsia="Palatino Linotype" w:hAnsi="Palatino Linotype" w:cs="Palatino Linotype"/>
          <w:i/>
          <w:color w:val="000000"/>
        </w:rPr>
      </w:pPr>
      <w:r w:rsidRPr="00DD6E6E">
        <w:rPr>
          <w:rFonts w:ascii="Palatino Linotype" w:eastAsia="Palatino Linotype" w:hAnsi="Palatino Linotype" w:cs="Palatino Linotype"/>
          <w:b/>
          <w:i/>
          <w:color w:val="000000"/>
        </w:rPr>
        <w:t>Artículo 53</w:t>
      </w:r>
      <w:r w:rsidRPr="00DD6E6E">
        <w:rPr>
          <w:rFonts w:ascii="Palatino Linotype" w:eastAsia="Palatino Linotype" w:hAnsi="Palatino Linotype" w:cs="Palatino Linotype"/>
          <w:i/>
          <w:color w:val="000000"/>
        </w:rPr>
        <w:t>. Las Unidades de Transparencia tendrán las siguientes funciones:</w:t>
      </w:r>
    </w:p>
    <w:p w:rsidR="006C2675" w:rsidRPr="00DD6E6E" w:rsidRDefault="006C2675" w:rsidP="006C2675">
      <w:pPr>
        <w:ind w:left="1134" w:right="900"/>
        <w:jc w:val="both"/>
        <w:rPr>
          <w:rFonts w:ascii="Palatino Linotype" w:eastAsia="Palatino Linotype" w:hAnsi="Palatino Linotype" w:cs="Palatino Linotype"/>
          <w:i/>
          <w:color w:val="000000"/>
        </w:rPr>
      </w:pPr>
      <w:r w:rsidRPr="00DD6E6E">
        <w:rPr>
          <w:rFonts w:ascii="Palatino Linotype" w:eastAsia="Palatino Linotype" w:hAnsi="Palatino Linotype" w:cs="Palatino Linotype"/>
          <w:i/>
          <w:color w:val="000000"/>
        </w:rPr>
        <w:t>I. Recabar, difundir y actualizar la información relativa a las obligaciones de transparencia comunes y específicas a la que se refiere la Ley General, esta Ley, la que determine el Instituto y las demás disposiciones de la materia, así como propiciar que las áreas la actualicen periódicamente conforme a la normatividad aplicable;</w:t>
      </w:r>
    </w:p>
    <w:p w:rsidR="006C2675" w:rsidRPr="00DD6E6E" w:rsidRDefault="006C2675" w:rsidP="006C2675">
      <w:pPr>
        <w:ind w:left="1134" w:right="900"/>
        <w:jc w:val="both"/>
        <w:rPr>
          <w:rFonts w:ascii="Palatino Linotype" w:eastAsia="Palatino Linotype" w:hAnsi="Palatino Linotype" w:cs="Palatino Linotype"/>
          <w:b/>
          <w:i/>
          <w:color w:val="000000"/>
        </w:rPr>
      </w:pPr>
      <w:r w:rsidRPr="00DD6E6E">
        <w:rPr>
          <w:rFonts w:ascii="Palatino Linotype" w:eastAsia="Palatino Linotype" w:hAnsi="Palatino Linotype" w:cs="Palatino Linotype"/>
          <w:b/>
          <w:i/>
          <w:color w:val="000000"/>
        </w:rPr>
        <w:lastRenderedPageBreak/>
        <w:t xml:space="preserve">II. Recibir, </w:t>
      </w:r>
      <w:r w:rsidRPr="00DD6E6E">
        <w:rPr>
          <w:rFonts w:ascii="Palatino Linotype" w:eastAsia="Palatino Linotype" w:hAnsi="Palatino Linotype" w:cs="Palatino Linotype"/>
          <w:b/>
          <w:i/>
          <w:color w:val="000000"/>
          <w:u w:val="single"/>
        </w:rPr>
        <w:t>tramitar</w:t>
      </w:r>
      <w:r w:rsidRPr="00DD6E6E">
        <w:rPr>
          <w:rFonts w:ascii="Palatino Linotype" w:eastAsia="Palatino Linotype" w:hAnsi="Palatino Linotype" w:cs="Palatino Linotype"/>
          <w:b/>
          <w:i/>
          <w:color w:val="000000"/>
        </w:rPr>
        <w:t xml:space="preserve"> y dar respuesta a las solicitudes de acceso a la información;</w:t>
      </w:r>
    </w:p>
    <w:p w:rsidR="006C2675" w:rsidRPr="00DD6E6E" w:rsidRDefault="006C2675" w:rsidP="006C2675">
      <w:pPr>
        <w:ind w:left="1134" w:right="900"/>
        <w:jc w:val="both"/>
        <w:rPr>
          <w:rFonts w:ascii="Palatino Linotype" w:eastAsia="Palatino Linotype" w:hAnsi="Palatino Linotype" w:cs="Palatino Linotype"/>
          <w:i/>
          <w:color w:val="000000"/>
        </w:rPr>
      </w:pPr>
      <w:r w:rsidRPr="00DD6E6E">
        <w:rPr>
          <w:rFonts w:ascii="Palatino Linotype" w:eastAsia="Palatino Linotype" w:hAnsi="Palatino Linotype" w:cs="Palatino Linotype"/>
          <w:i/>
          <w:color w:val="000000"/>
        </w:rPr>
        <w:t>III. Auxiliar a los particulares en la elaboración de solicitudes de acceso a la información y, en su caso, orientarlos sobre los sujetos obligados competentes conforme a la normatividad aplicable;</w:t>
      </w:r>
    </w:p>
    <w:p w:rsidR="006C2675" w:rsidRPr="00DD6E6E" w:rsidRDefault="006C2675" w:rsidP="006C2675">
      <w:pPr>
        <w:ind w:left="1134" w:right="900"/>
        <w:jc w:val="both"/>
        <w:rPr>
          <w:rFonts w:ascii="Palatino Linotype" w:eastAsia="Palatino Linotype" w:hAnsi="Palatino Linotype" w:cs="Palatino Linotype"/>
          <w:b/>
          <w:i/>
          <w:color w:val="000000"/>
        </w:rPr>
      </w:pPr>
      <w:r w:rsidRPr="00DD6E6E">
        <w:rPr>
          <w:rFonts w:ascii="Palatino Linotype" w:eastAsia="Palatino Linotype" w:hAnsi="Palatino Linotype" w:cs="Palatino Linotype"/>
          <w:b/>
          <w:i/>
          <w:color w:val="000000"/>
        </w:rPr>
        <w:t>IV. Realizar, con efectividad, los trámites internos necesarios para la atención de las solicitudes de acceso a la información;</w:t>
      </w:r>
    </w:p>
    <w:p w:rsidR="006C2675" w:rsidRPr="00DD6E6E" w:rsidRDefault="006C2675" w:rsidP="006C2675">
      <w:pPr>
        <w:ind w:left="1134" w:right="900"/>
        <w:jc w:val="both"/>
        <w:rPr>
          <w:rFonts w:ascii="Palatino Linotype" w:eastAsia="Palatino Linotype" w:hAnsi="Palatino Linotype" w:cs="Palatino Linotype"/>
          <w:b/>
          <w:i/>
          <w:color w:val="000000"/>
        </w:rPr>
      </w:pPr>
      <w:r w:rsidRPr="00DD6E6E">
        <w:rPr>
          <w:rFonts w:ascii="Palatino Linotype" w:eastAsia="Palatino Linotype" w:hAnsi="Palatino Linotype" w:cs="Palatino Linotype"/>
          <w:b/>
          <w:i/>
          <w:color w:val="000000"/>
        </w:rPr>
        <w:t>V. Entregar, en su caso, a los particulares la información solicitada;</w:t>
      </w:r>
    </w:p>
    <w:p w:rsidR="006C2675" w:rsidRPr="00DD6E6E" w:rsidRDefault="006C2675" w:rsidP="006C2675">
      <w:pPr>
        <w:ind w:left="1134" w:right="900"/>
        <w:jc w:val="both"/>
        <w:rPr>
          <w:rFonts w:ascii="Palatino Linotype" w:eastAsia="Palatino Linotype" w:hAnsi="Palatino Linotype" w:cs="Palatino Linotype"/>
          <w:i/>
          <w:color w:val="000000"/>
        </w:rPr>
      </w:pPr>
      <w:r w:rsidRPr="00DD6E6E">
        <w:rPr>
          <w:rFonts w:ascii="Palatino Linotype" w:eastAsia="Palatino Linotype" w:hAnsi="Palatino Linotype" w:cs="Palatino Linotype"/>
          <w:i/>
          <w:color w:val="000000"/>
        </w:rPr>
        <w:t>VI. Efectuar las notificaciones a los solicitantes;</w:t>
      </w:r>
    </w:p>
    <w:p w:rsidR="006C2675" w:rsidRPr="00DD6E6E" w:rsidRDefault="006C2675" w:rsidP="006C2675">
      <w:pPr>
        <w:ind w:left="1134" w:right="900"/>
        <w:jc w:val="both"/>
        <w:rPr>
          <w:rFonts w:ascii="Palatino Linotype" w:eastAsia="Palatino Linotype" w:hAnsi="Palatino Linotype" w:cs="Palatino Linotype"/>
          <w:i/>
          <w:color w:val="000000"/>
        </w:rPr>
      </w:pPr>
      <w:r w:rsidRPr="00DD6E6E">
        <w:rPr>
          <w:rFonts w:ascii="Palatino Linotype" w:eastAsia="Palatino Linotype" w:hAnsi="Palatino Linotype" w:cs="Palatino Linotype"/>
          <w:i/>
          <w:color w:val="000000"/>
        </w:rPr>
        <w:t>VII. Proponer al Comité de Transparencia, los procedimientos internos que aseguren la mayor eficiencia en la gestión de las solicitudes de acceso a la información, conforme a la normatividad aplicable;</w:t>
      </w:r>
    </w:p>
    <w:p w:rsidR="006C2675" w:rsidRPr="00DD6E6E" w:rsidRDefault="006C2675" w:rsidP="006C2675">
      <w:pPr>
        <w:ind w:left="1134" w:right="900"/>
        <w:jc w:val="both"/>
        <w:rPr>
          <w:rFonts w:ascii="Palatino Linotype" w:eastAsia="Palatino Linotype" w:hAnsi="Palatino Linotype" w:cs="Palatino Linotype"/>
          <w:i/>
          <w:color w:val="000000"/>
        </w:rPr>
      </w:pPr>
      <w:r w:rsidRPr="00DD6E6E">
        <w:rPr>
          <w:rFonts w:ascii="Palatino Linotype" w:eastAsia="Palatino Linotype" w:hAnsi="Palatino Linotype" w:cs="Palatino Linotype"/>
          <w:i/>
          <w:color w:val="000000"/>
        </w:rPr>
        <w:t>VIII. Proponer a quien preside el Comité de Transparencia, personal habilitado que sea necesario para recibir y dar trámite a las solicitudes de acceso a la información;</w:t>
      </w:r>
    </w:p>
    <w:p w:rsidR="006C2675" w:rsidRPr="00DD6E6E" w:rsidRDefault="006C2675" w:rsidP="006C2675">
      <w:pPr>
        <w:ind w:left="1134" w:right="900"/>
        <w:jc w:val="both"/>
        <w:rPr>
          <w:rFonts w:ascii="Palatino Linotype" w:eastAsia="Palatino Linotype" w:hAnsi="Palatino Linotype" w:cs="Palatino Linotype"/>
          <w:i/>
          <w:color w:val="000000"/>
        </w:rPr>
      </w:pPr>
      <w:r w:rsidRPr="00DD6E6E">
        <w:rPr>
          <w:rFonts w:ascii="Palatino Linotype" w:eastAsia="Palatino Linotype" w:hAnsi="Palatino Linotype" w:cs="Palatino Linotype"/>
          <w:i/>
          <w:color w:val="000000"/>
        </w:rPr>
        <w:t>IX. Llevar un registro de las solicitudes de acceso a la información, sus respuestas, resultados, costos de reproducción y envío, resolución a los recursos de revisión que se hayan emitido en contra de sus respuestas y del cumplimiento de las mismas;</w:t>
      </w:r>
    </w:p>
    <w:p w:rsidR="006C2675" w:rsidRPr="00DD6E6E" w:rsidRDefault="006C2675" w:rsidP="006C2675">
      <w:pPr>
        <w:ind w:left="1134" w:right="900"/>
        <w:jc w:val="both"/>
        <w:rPr>
          <w:rFonts w:ascii="Palatino Linotype" w:eastAsia="Palatino Linotype" w:hAnsi="Palatino Linotype" w:cs="Palatino Linotype"/>
          <w:i/>
          <w:color w:val="000000"/>
        </w:rPr>
      </w:pPr>
      <w:r w:rsidRPr="00DD6E6E">
        <w:rPr>
          <w:rFonts w:ascii="Palatino Linotype" w:eastAsia="Palatino Linotype" w:hAnsi="Palatino Linotype" w:cs="Palatino Linotype"/>
          <w:i/>
          <w:color w:val="000000"/>
        </w:rPr>
        <w:t>X. Presentar ante el Comité, el proyecto de clasificación de información;</w:t>
      </w:r>
    </w:p>
    <w:p w:rsidR="006C2675" w:rsidRPr="00DD6E6E" w:rsidRDefault="006C2675" w:rsidP="006C2675">
      <w:pPr>
        <w:ind w:left="1134" w:right="900"/>
        <w:jc w:val="both"/>
        <w:rPr>
          <w:rFonts w:ascii="Palatino Linotype" w:eastAsia="Palatino Linotype" w:hAnsi="Palatino Linotype" w:cs="Palatino Linotype"/>
          <w:i/>
          <w:color w:val="000000"/>
        </w:rPr>
      </w:pPr>
      <w:r w:rsidRPr="00DD6E6E">
        <w:rPr>
          <w:rFonts w:ascii="Palatino Linotype" w:eastAsia="Palatino Linotype" w:hAnsi="Palatino Linotype" w:cs="Palatino Linotype"/>
          <w:i/>
          <w:color w:val="000000"/>
        </w:rPr>
        <w:t>XI. Promover e implementar políticas de transparencia proactiva procurando su accesibilidad;</w:t>
      </w:r>
    </w:p>
    <w:p w:rsidR="006C2675" w:rsidRPr="00DD6E6E" w:rsidRDefault="006C2675" w:rsidP="006C2675">
      <w:pPr>
        <w:ind w:left="1134" w:right="900"/>
        <w:jc w:val="both"/>
        <w:rPr>
          <w:rFonts w:ascii="Palatino Linotype" w:eastAsia="Palatino Linotype" w:hAnsi="Palatino Linotype" w:cs="Palatino Linotype"/>
          <w:i/>
          <w:color w:val="000000"/>
        </w:rPr>
      </w:pPr>
      <w:r w:rsidRPr="00DD6E6E">
        <w:rPr>
          <w:rFonts w:ascii="Palatino Linotype" w:eastAsia="Palatino Linotype" w:hAnsi="Palatino Linotype" w:cs="Palatino Linotype"/>
          <w:i/>
          <w:color w:val="000000"/>
        </w:rPr>
        <w:t>XII. Fomentar la transparencia y accesibilidad al interior del sujeto obligado;</w:t>
      </w:r>
    </w:p>
    <w:p w:rsidR="006C2675" w:rsidRPr="00DD6E6E" w:rsidRDefault="006C2675" w:rsidP="006C2675">
      <w:pPr>
        <w:ind w:left="1134" w:right="900"/>
        <w:jc w:val="both"/>
        <w:rPr>
          <w:rFonts w:ascii="Palatino Linotype" w:eastAsia="Palatino Linotype" w:hAnsi="Palatino Linotype" w:cs="Palatino Linotype"/>
          <w:i/>
          <w:color w:val="000000"/>
        </w:rPr>
      </w:pPr>
      <w:r w:rsidRPr="00DD6E6E">
        <w:rPr>
          <w:rFonts w:ascii="Palatino Linotype" w:eastAsia="Palatino Linotype" w:hAnsi="Palatino Linotype" w:cs="Palatino Linotype"/>
          <w:i/>
          <w:color w:val="000000"/>
        </w:rPr>
        <w:t>XIII. Hacer del conocimiento de la instancia competente la probable responsabilidad por el incumplimiento de las obligaciones previstas en la presente Ley; y</w:t>
      </w:r>
    </w:p>
    <w:p w:rsidR="006C2675" w:rsidRPr="00DD6E6E" w:rsidRDefault="006C2675" w:rsidP="006C2675">
      <w:pPr>
        <w:ind w:left="1134" w:right="900"/>
        <w:jc w:val="both"/>
        <w:rPr>
          <w:rFonts w:ascii="Palatino Linotype" w:eastAsia="Palatino Linotype" w:hAnsi="Palatino Linotype" w:cs="Palatino Linotype"/>
          <w:i/>
          <w:color w:val="000000"/>
        </w:rPr>
      </w:pPr>
      <w:r w:rsidRPr="00DD6E6E">
        <w:rPr>
          <w:rFonts w:ascii="Palatino Linotype" w:eastAsia="Palatino Linotype" w:hAnsi="Palatino Linotype" w:cs="Palatino Linotype"/>
          <w:i/>
          <w:color w:val="000000"/>
        </w:rPr>
        <w:t>XIV. Las demás que resulten necesarias para facilitar el acceso a la información y aquellas que se desprenden de la presente Ley y demás disposiciones jurídicas aplicables.</w:t>
      </w:r>
    </w:p>
    <w:p w:rsidR="006C2675" w:rsidRPr="00DD6E6E" w:rsidRDefault="006C2675" w:rsidP="006C2675">
      <w:pPr>
        <w:ind w:left="1134" w:right="900"/>
        <w:jc w:val="both"/>
        <w:rPr>
          <w:rFonts w:ascii="Palatino Linotype" w:eastAsia="Palatino Linotype" w:hAnsi="Palatino Linotype" w:cs="Palatino Linotype"/>
          <w:i/>
          <w:color w:val="000000"/>
        </w:rPr>
      </w:pPr>
      <w:r w:rsidRPr="00DD6E6E">
        <w:rPr>
          <w:rFonts w:ascii="Palatino Linotype" w:eastAsia="Palatino Linotype" w:hAnsi="Palatino Linotype" w:cs="Palatino Linotype"/>
          <w:i/>
          <w:color w:val="000000"/>
        </w:rPr>
        <w:t>Los sujetos obligados promoverán acuerdos con instituciones públicas especializadas que pudieran auxiliarse a entregar las respuestas a solicitudes de información, en la lengua indígena, braille o cualquier formato accesible correspondiente, en forma más eficiente.</w:t>
      </w:r>
    </w:p>
    <w:p w:rsidR="006C2675" w:rsidRPr="00DD6E6E" w:rsidRDefault="006C2675" w:rsidP="006C2675">
      <w:pPr>
        <w:ind w:left="1134" w:right="900"/>
        <w:jc w:val="both"/>
        <w:rPr>
          <w:rFonts w:ascii="Palatino Linotype" w:eastAsia="Palatino Linotype" w:hAnsi="Palatino Linotype" w:cs="Palatino Linotype"/>
          <w:i/>
          <w:color w:val="000000"/>
        </w:rPr>
      </w:pPr>
      <w:r w:rsidRPr="00DD6E6E">
        <w:rPr>
          <w:rFonts w:ascii="Palatino Linotype" w:eastAsia="Palatino Linotype" w:hAnsi="Palatino Linotype" w:cs="Palatino Linotype"/>
          <w:i/>
          <w:color w:val="000000"/>
        </w:rPr>
        <w:t xml:space="preserve">Los sujetos obligados deberán implementar a través de las unidades de transparencia, progresivamente y conforme a sus previsiones, las medidas pertinentes para asegurar que el entorno físico de las instalaciones cuente con los ajustes razonables, con el objeto de proporcionar adecuada accesibilidad que otorgue las facilidades necesarias, así como establecer procedimientos para brindar asesoría y atención a las personas con discapacidad, a fin de que puedan consultar </w:t>
      </w:r>
      <w:r w:rsidRPr="00DD6E6E">
        <w:rPr>
          <w:rFonts w:ascii="Palatino Linotype" w:eastAsia="Palatino Linotype" w:hAnsi="Palatino Linotype" w:cs="Palatino Linotype"/>
          <w:i/>
          <w:color w:val="000000"/>
        </w:rPr>
        <w:lastRenderedPageBreak/>
        <w:t>los sistemas que integran la Plataforma Nacional de Transparencia, presentar solicitudes de acceso a la información y facilitar su gestión e interponer los recursos que las leyes establezcan.</w:t>
      </w:r>
    </w:p>
    <w:p w:rsidR="006C2675" w:rsidRPr="00DD6E6E" w:rsidRDefault="006C2675" w:rsidP="006C2675">
      <w:pPr>
        <w:ind w:left="1134" w:right="900"/>
        <w:jc w:val="both"/>
        <w:rPr>
          <w:rFonts w:ascii="Palatino Linotype" w:eastAsia="Palatino Linotype" w:hAnsi="Palatino Linotype" w:cs="Palatino Linotype"/>
          <w:i/>
          <w:color w:val="000000"/>
        </w:rPr>
      </w:pPr>
    </w:p>
    <w:p w:rsidR="006C2675" w:rsidRPr="00DD6E6E" w:rsidRDefault="006C2675" w:rsidP="006C2675">
      <w:pPr>
        <w:ind w:left="1134" w:right="900"/>
        <w:jc w:val="both"/>
        <w:rPr>
          <w:rFonts w:ascii="Palatino Linotype" w:eastAsia="Palatino Linotype" w:hAnsi="Palatino Linotype" w:cs="Palatino Linotype"/>
          <w:i/>
          <w:color w:val="000000"/>
        </w:rPr>
      </w:pPr>
      <w:r w:rsidRPr="00DD6E6E">
        <w:rPr>
          <w:rFonts w:ascii="Palatino Linotype" w:eastAsia="Palatino Linotype" w:hAnsi="Palatino Linotype" w:cs="Palatino Linotype"/>
          <w:b/>
          <w:i/>
          <w:color w:val="000000"/>
        </w:rPr>
        <w:t>Artículo 59</w:t>
      </w:r>
      <w:r w:rsidRPr="00DD6E6E">
        <w:rPr>
          <w:rFonts w:ascii="Palatino Linotype" w:eastAsia="Palatino Linotype" w:hAnsi="Palatino Linotype" w:cs="Palatino Linotype"/>
          <w:i/>
          <w:color w:val="000000"/>
        </w:rPr>
        <w:t xml:space="preserve">. </w:t>
      </w:r>
      <w:r w:rsidRPr="00DD6E6E">
        <w:rPr>
          <w:rFonts w:ascii="Palatino Linotype" w:eastAsia="Palatino Linotype" w:hAnsi="Palatino Linotype" w:cs="Palatino Linotype"/>
          <w:b/>
          <w:i/>
          <w:color w:val="000000"/>
        </w:rPr>
        <w:t>Los servidores públicos habilitados</w:t>
      </w:r>
      <w:r w:rsidRPr="00DD6E6E">
        <w:rPr>
          <w:rFonts w:ascii="Palatino Linotype" w:eastAsia="Palatino Linotype" w:hAnsi="Palatino Linotype" w:cs="Palatino Linotype"/>
          <w:i/>
          <w:color w:val="000000"/>
        </w:rPr>
        <w:t xml:space="preserve"> tendrán las funciones siguientes:</w:t>
      </w:r>
    </w:p>
    <w:p w:rsidR="006C2675" w:rsidRPr="00DD6E6E" w:rsidRDefault="006C2675" w:rsidP="006C2675">
      <w:pPr>
        <w:ind w:left="1134" w:right="900"/>
        <w:jc w:val="both"/>
        <w:rPr>
          <w:rFonts w:ascii="Palatino Linotype" w:eastAsia="Palatino Linotype" w:hAnsi="Palatino Linotype" w:cs="Palatino Linotype"/>
          <w:i/>
          <w:color w:val="000000"/>
        </w:rPr>
      </w:pPr>
      <w:r w:rsidRPr="00DD6E6E">
        <w:rPr>
          <w:rFonts w:ascii="Palatino Linotype" w:eastAsia="Palatino Linotype" w:hAnsi="Palatino Linotype" w:cs="Palatino Linotype"/>
          <w:i/>
          <w:color w:val="000000"/>
        </w:rPr>
        <w:t>I. Localizar la información que le solicite la Unidad de Transparencia;</w:t>
      </w:r>
    </w:p>
    <w:p w:rsidR="006C2675" w:rsidRPr="00DD6E6E" w:rsidRDefault="006C2675" w:rsidP="006C2675">
      <w:pPr>
        <w:ind w:left="1134" w:right="900"/>
        <w:jc w:val="both"/>
        <w:rPr>
          <w:rFonts w:ascii="Palatino Linotype" w:eastAsia="Palatino Linotype" w:hAnsi="Palatino Linotype" w:cs="Palatino Linotype"/>
          <w:i/>
          <w:color w:val="000000"/>
        </w:rPr>
      </w:pPr>
      <w:r w:rsidRPr="00DD6E6E">
        <w:rPr>
          <w:rFonts w:ascii="Palatino Linotype" w:eastAsia="Palatino Linotype" w:hAnsi="Palatino Linotype" w:cs="Palatino Linotype"/>
          <w:i/>
          <w:color w:val="000000"/>
        </w:rPr>
        <w:t>II. Proporcionar la información que obre en los archivos y que le sea solicitada por la Unidad de Transparencia;</w:t>
      </w:r>
    </w:p>
    <w:p w:rsidR="006C2675" w:rsidRPr="00DD6E6E" w:rsidRDefault="006C2675" w:rsidP="006C2675">
      <w:pPr>
        <w:ind w:left="1134" w:right="900"/>
        <w:jc w:val="both"/>
        <w:rPr>
          <w:rFonts w:ascii="Palatino Linotype" w:eastAsia="Palatino Linotype" w:hAnsi="Palatino Linotype" w:cs="Palatino Linotype"/>
          <w:i/>
          <w:color w:val="000000"/>
        </w:rPr>
      </w:pPr>
      <w:r w:rsidRPr="00DD6E6E">
        <w:rPr>
          <w:rFonts w:ascii="Palatino Linotype" w:eastAsia="Palatino Linotype" w:hAnsi="Palatino Linotype" w:cs="Palatino Linotype"/>
          <w:i/>
          <w:color w:val="000000"/>
        </w:rPr>
        <w:t>III. Apoyar a la Unidad de Transparencia en lo que esta le solicite para el cumplimiento de sus funciones;</w:t>
      </w:r>
    </w:p>
    <w:p w:rsidR="006C2675" w:rsidRPr="00DD6E6E" w:rsidRDefault="006C2675" w:rsidP="006C2675">
      <w:pPr>
        <w:ind w:left="1134" w:right="900"/>
        <w:jc w:val="both"/>
        <w:rPr>
          <w:rFonts w:ascii="Palatino Linotype" w:eastAsia="Palatino Linotype" w:hAnsi="Palatino Linotype" w:cs="Palatino Linotype"/>
          <w:i/>
          <w:color w:val="000000"/>
        </w:rPr>
      </w:pPr>
      <w:r w:rsidRPr="00DD6E6E">
        <w:rPr>
          <w:rFonts w:ascii="Palatino Linotype" w:eastAsia="Palatino Linotype" w:hAnsi="Palatino Linotype" w:cs="Palatino Linotype"/>
          <w:i/>
          <w:color w:val="000000"/>
        </w:rPr>
        <w:t>IV. Proporcionar a la Unidad de Transparencia, las modificaciones a la información pública de oficio que obre en su poder;</w:t>
      </w:r>
    </w:p>
    <w:p w:rsidR="006C2675" w:rsidRPr="00DD6E6E" w:rsidRDefault="006C2675" w:rsidP="006C2675">
      <w:pPr>
        <w:ind w:left="1134" w:right="900"/>
        <w:jc w:val="both"/>
        <w:rPr>
          <w:rFonts w:ascii="Palatino Linotype" w:eastAsia="Palatino Linotype" w:hAnsi="Palatino Linotype" w:cs="Palatino Linotype"/>
          <w:i/>
          <w:color w:val="000000"/>
        </w:rPr>
      </w:pPr>
      <w:r w:rsidRPr="00DD6E6E">
        <w:rPr>
          <w:rFonts w:ascii="Palatino Linotype" w:eastAsia="Palatino Linotype" w:hAnsi="Palatino Linotype" w:cs="Palatino Linotype"/>
          <w:i/>
          <w:color w:val="000000"/>
        </w:rPr>
        <w:t>V. Integrar y presentar al responsable de la Unidad de Transparencia la propuesta de clasificación de información, la cual tendrá los fundamentos y argumentos en que se basa dicha propuesta;</w:t>
      </w:r>
    </w:p>
    <w:p w:rsidR="006C2675" w:rsidRPr="00DD6E6E" w:rsidRDefault="006C2675" w:rsidP="006C2675">
      <w:pPr>
        <w:ind w:left="1134" w:right="900"/>
        <w:jc w:val="both"/>
        <w:rPr>
          <w:rFonts w:ascii="Palatino Linotype" w:eastAsia="Palatino Linotype" w:hAnsi="Palatino Linotype" w:cs="Palatino Linotype"/>
          <w:i/>
          <w:color w:val="000000"/>
        </w:rPr>
      </w:pPr>
      <w:r w:rsidRPr="00DD6E6E">
        <w:rPr>
          <w:rFonts w:ascii="Palatino Linotype" w:eastAsia="Palatino Linotype" w:hAnsi="Palatino Linotype" w:cs="Palatino Linotype"/>
          <w:i/>
          <w:color w:val="000000"/>
        </w:rPr>
        <w:t>VI. Verificar, una vez analizado el contenido de la información, que no se encuentre en los supuestos de información clasificada; y</w:t>
      </w:r>
    </w:p>
    <w:p w:rsidR="006C2675" w:rsidRPr="00DD6E6E" w:rsidRDefault="006C2675" w:rsidP="006C2675">
      <w:pPr>
        <w:ind w:left="1134" w:right="900"/>
        <w:jc w:val="both"/>
        <w:rPr>
          <w:rFonts w:ascii="Palatino Linotype" w:eastAsia="Palatino Linotype" w:hAnsi="Palatino Linotype" w:cs="Palatino Linotype"/>
          <w:i/>
          <w:color w:val="000000"/>
        </w:rPr>
      </w:pPr>
      <w:r w:rsidRPr="00DD6E6E">
        <w:rPr>
          <w:rFonts w:ascii="Palatino Linotype" w:eastAsia="Palatino Linotype" w:hAnsi="Palatino Linotype" w:cs="Palatino Linotype"/>
          <w:i/>
          <w:color w:val="000000"/>
        </w:rPr>
        <w:t>VII. Dar cuenta a la Unidad de Transparencia del vencimiento de los plazos de reserva.</w:t>
      </w:r>
    </w:p>
    <w:p w:rsidR="006C2675" w:rsidRPr="00DD6E6E" w:rsidRDefault="006C2675" w:rsidP="006C2675">
      <w:pPr>
        <w:ind w:left="1134" w:right="900"/>
        <w:jc w:val="both"/>
        <w:rPr>
          <w:rFonts w:ascii="Palatino Linotype" w:eastAsia="Palatino Linotype" w:hAnsi="Palatino Linotype" w:cs="Palatino Linotype"/>
          <w:i/>
          <w:color w:val="000000"/>
        </w:rPr>
      </w:pPr>
    </w:p>
    <w:p w:rsidR="006C2675" w:rsidRPr="00DD6E6E" w:rsidRDefault="006C2675" w:rsidP="006C2675">
      <w:pPr>
        <w:ind w:left="1134" w:right="900"/>
        <w:jc w:val="both"/>
        <w:rPr>
          <w:rFonts w:ascii="Palatino Linotype" w:eastAsia="Palatino Linotype" w:hAnsi="Palatino Linotype" w:cs="Palatino Linotype"/>
          <w:i/>
          <w:color w:val="000000"/>
        </w:rPr>
      </w:pPr>
      <w:r w:rsidRPr="00DD6E6E">
        <w:rPr>
          <w:rFonts w:ascii="Palatino Linotype" w:eastAsia="Palatino Linotype" w:hAnsi="Palatino Linotype" w:cs="Palatino Linotype"/>
          <w:b/>
          <w:i/>
          <w:color w:val="000000"/>
        </w:rPr>
        <w:t>Artículo 162</w:t>
      </w:r>
      <w:r w:rsidRPr="00DD6E6E">
        <w:rPr>
          <w:rFonts w:ascii="Palatino Linotype" w:eastAsia="Palatino Linotype" w:hAnsi="Palatino Linotype" w:cs="Palatino Linotype"/>
          <w:i/>
          <w:color w:val="000000"/>
        </w:rPr>
        <w:t>. 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w:t>
      </w:r>
    </w:p>
    <w:p w:rsidR="006C2675" w:rsidRPr="00DD6E6E" w:rsidRDefault="006C2675" w:rsidP="006C2675">
      <w:pPr>
        <w:ind w:right="900"/>
        <w:jc w:val="both"/>
        <w:rPr>
          <w:rFonts w:ascii="Palatino Linotype" w:eastAsia="Palatino Linotype" w:hAnsi="Palatino Linotype" w:cs="Palatino Linotype"/>
          <w:i/>
          <w:color w:val="000000"/>
        </w:rPr>
      </w:pPr>
    </w:p>
    <w:p w:rsidR="006C2675" w:rsidRPr="00DD6E6E" w:rsidRDefault="006C2675" w:rsidP="006C2675">
      <w:pPr>
        <w:numPr>
          <w:ilvl w:val="0"/>
          <w:numId w:val="1"/>
        </w:numPr>
        <w:spacing w:line="360" w:lineRule="auto"/>
        <w:ind w:left="0" w:right="1" w:firstLine="0"/>
        <w:jc w:val="both"/>
        <w:rPr>
          <w:rFonts w:eastAsia="Calibri"/>
          <w:color w:val="000000"/>
        </w:rPr>
      </w:pPr>
      <w:r w:rsidRPr="00DD6E6E">
        <w:rPr>
          <w:rFonts w:ascii="Palatino Linotype" w:eastAsia="Palatino Linotype" w:hAnsi="Palatino Linotype" w:cs="Palatino Linotype"/>
          <w:color w:val="000000"/>
        </w:rPr>
        <w:t>De la normatividad en cita, se desprende que las Unidades de Transparencia, se erigen como el área responsable en cada Sujeto Obligado que tiene a su cargo la atención de las solicitudes de información que se realicen al amparo de la Ley. El responsable de dicha área funge como enlace entre el</w:t>
      </w:r>
      <w:r w:rsidRPr="00DD6E6E">
        <w:rPr>
          <w:rFonts w:ascii="Palatino Linotype" w:eastAsia="Palatino Linotype" w:hAnsi="Palatino Linotype" w:cs="Palatino Linotype"/>
          <w:b/>
          <w:color w:val="000000"/>
        </w:rPr>
        <w:t xml:space="preserve"> SUJETO OBLIGADO</w:t>
      </w:r>
      <w:r w:rsidRPr="00DD6E6E">
        <w:rPr>
          <w:rFonts w:ascii="Palatino Linotype" w:eastAsia="Palatino Linotype" w:hAnsi="Palatino Linotype" w:cs="Palatino Linotype"/>
          <w:color w:val="000000"/>
        </w:rPr>
        <w:t xml:space="preserve"> y los solicitantes, y tiene bajo su responsabilidad el tramitar internamente la solicitud de información.</w:t>
      </w:r>
    </w:p>
    <w:p w:rsidR="006C2675" w:rsidRPr="00DD6E6E" w:rsidRDefault="006C2675" w:rsidP="006C2675">
      <w:pPr>
        <w:spacing w:line="360" w:lineRule="auto"/>
        <w:ind w:right="-504"/>
        <w:jc w:val="both"/>
        <w:rPr>
          <w:rFonts w:ascii="Palatino Linotype" w:eastAsia="Palatino Linotype" w:hAnsi="Palatino Linotype" w:cs="Palatino Linotype"/>
          <w:color w:val="000000"/>
        </w:rPr>
      </w:pPr>
    </w:p>
    <w:p w:rsidR="006C2675" w:rsidRPr="00DD6E6E" w:rsidRDefault="006C2675" w:rsidP="006C2675">
      <w:pPr>
        <w:numPr>
          <w:ilvl w:val="0"/>
          <w:numId w:val="1"/>
        </w:numPr>
        <w:spacing w:line="360" w:lineRule="auto"/>
        <w:ind w:left="0" w:right="1" w:firstLine="0"/>
        <w:jc w:val="both"/>
        <w:rPr>
          <w:rFonts w:eastAsia="Calibri"/>
          <w:color w:val="000000"/>
        </w:rPr>
      </w:pPr>
      <w:r w:rsidRPr="00DD6E6E">
        <w:rPr>
          <w:rFonts w:ascii="Palatino Linotype" w:eastAsia="Palatino Linotype" w:hAnsi="Palatino Linotype" w:cs="Palatino Linotype"/>
          <w:color w:val="000000"/>
        </w:rPr>
        <w:lastRenderedPageBreak/>
        <w:t xml:space="preserve">De tal manera que, si bien, el Titular de la Unidad de Transparencia dio respuesta a la solicitud de información en cuestión, tenía que haber realizado el procedimiento, de turnar dentro de las áreas que conforman la estructura del </w:t>
      </w:r>
      <w:r w:rsidRPr="00DD6E6E">
        <w:rPr>
          <w:rFonts w:ascii="Palatino Linotype" w:eastAsia="Palatino Linotype" w:hAnsi="Palatino Linotype" w:cs="Palatino Linotype"/>
          <w:b/>
          <w:color w:val="000000"/>
        </w:rPr>
        <w:t>Sujeto Obligado</w:t>
      </w:r>
      <w:r w:rsidRPr="00DD6E6E">
        <w:rPr>
          <w:rFonts w:ascii="Palatino Linotype" w:eastAsia="Palatino Linotype" w:hAnsi="Palatino Linotype" w:cs="Palatino Linotype"/>
          <w:color w:val="000000"/>
        </w:rPr>
        <w:t>, a fin de que el responsable del área diera respuesta a la misma, tal y como lo marca la normatividad invocada, es por ello que debe turnar la solicitud a todas las áreas que y que pudieran generar, administrar o poseer la información requerida por el particular; pues los mismos, tienen como función, buscar, localizar y poseer la información, así como entregarla.</w:t>
      </w:r>
    </w:p>
    <w:p w:rsidR="006C2675" w:rsidRPr="00DD6E6E" w:rsidRDefault="006C2675" w:rsidP="006C2675">
      <w:pPr>
        <w:spacing w:line="360" w:lineRule="auto"/>
        <w:ind w:right="-504"/>
        <w:jc w:val="both"/>
        <w:rPr>
          <w:rFonts w:ascii="Palatino Linotype" w:eastAsia="Palatino Linotype" w:hAnsi="Palatino Linotype" w:cs="Palatino Linotype"/>
          <w:color w:val="000000"/>
        </w:rPr>
      </w:pPr>
    </w:p>
    <w:p w:rsidR="006C2675" w:rsidRPr="00DD6E6E" w:rsidRDefault="006C2675" w:rsidP="006C2675">
      <w:pPr>
        <w:numPr>
          <w:ilvl w:val="0"/>
          <w:numId w:val="1"/>
        </w:numPr>
        <w:spacing w:line="360" w:lineRule="auto"/>
        <w:ind w:left="0" w:right="1" w:firstLine="0"/>
        <w:jc w:val="both"/>
        <w:rPr>
          <w:rFonts w:eastAsia="Calibri"/>
          <w:color w:val="000000"/>
        </w:rPr>
      </w:pPr>
      <w:r w:rsidRPr="00DD6E6E">
        <w:rPr>
          <w:rFonts w:ascii="Palatino Linotype" w:eastAsia="Palatino Linotype" w:hAnsi="Palatino Linotype" w:cs="Palatino Linotype"/>
          <w:color w:val="000000"/>
        </w:rPr>
        <w:t>Es por ello, que corresponde al Titular de la Unidad de Transparencia el garantizar que las solicitudes se turnen a todas las áreas competentes que puedan contar con la información, con el objeto de que se realice una búsqueda exhaustiva y razonable de la misma.</w:t>
      </w:r>
    </w:p>
    <w:p w:rsidR="006C2675" w:rsidRPr="00DD6E6E" w:rsidRDefault="006C2675" w:rsidP="006C2675">
      <w:pPr>
        <w:spacing w:line="360" w:lineRule="auto"/>
        <w:jc w:val="both"/>
        <w:rPr>
          <w:color w:val="000000"/>
        </w:rPr>
      </w:pPr>
    </w:p>
    <w:p w:rsidR="006C2675" w:rsidRPr="00DD6E6E" w:rsidRDefault="006C2675" w:rsidP="006C2675">
      <w:pPr>
        <w:numPr>
          <w:ilvl w:val="0"/>
          <w:numId w:val="1"/>
        </w:numPr>
        <w:spacing w:line="360" w:lineRule="auto"/>
        <w:ind w:left="0" w:right="1" w:firstLine="0"/>
        <w:jc w:val="both"/>
        <w:rPr>
          <w:rFonts w:eastAsia="Calibri"/>
          <w:color w:val="000000"/>
        </w:rPr>
      </w:pPr>
      <w:r w:rsidRPr="00DD6E6E">
        <w:rPr>
          <w:rFonts w:ascii="Palatino Linotype" w:eastAsia="Palatino Linotype" w:hAnsi="Palatino Linotype" w:cs="Palatino Linotype"/>
          <w:color w:val="000000"/>
        </w:rPr>
        <w:t xml:space="preserve">De lo anterior, es de precisar que la información que resulta de interés para el particular obra en los archivos del </w:t>
      </w:r>
      <w:r w:rsidRPr="00DD6E6E">
        <w:rPr>
          <w:rFonts w:ascii="Palatino Linotype" w:eastAsia="Palatino Linotype" w:hAnsi="Palatino Linotype" w:cs="Palatino Linotype"/>
          <w:b/>
          <w:color w:val="000000"/>
        </w:rPr>
        <w:t xml:space="preserve">SUJETO OBLIGADO </w:t>
      </w:r>
      <w:r w:rsidRPr="00DD6E6E">
        <w:rPr>
          <w:rFonts w:ascii="Palatino Linotype" w:eastAsia="Palatino Linotype" w:hAnsi="Palatino Linotype" w:cs="Palatino Linotype"/>
          <w:color w:val="000000"/>
        </w:rPr>
        <w:t>y por lo tanto debe proceder a realizar una búsqueda exhaustiva a efecto de proporcionar los documentos donde obre la misma de tal forma que cumpla con los requisitos de la Ley en la materia.</w:t>
      </w:r>
    </w:p>
    <w:p w:rsidR="006C2675" w:rsidRPr="00DD6E6E" w:rsidRDefault="006C2675" w:rsidP="006C2675">
      <w:pPr>
        <w:spacing w:line="360" w:lineRule="auto"/>
        <w:ind w:right="-504"/>
        <w:jc w:val="both"/>
        <w:rPr>
          <w:rFonts w:ascii="Palatino Linotype" w:eastAsia="Palatino Linotype" w:hAnsi="Palatino Linotype" w:cs="Palatino Linotype"/>
          <w:color w:val="000000"/>
        </w:rPr>
      </w:pPr>
    </w:p>
    <w:p w:rsidR="006C2675" w:rsidRPr="00DD6E6E" w:rsidRDefault="006C2675" w:rsidP="006C2675">
      <w:pPr>
        <w:numPr>
          <w:ilvl w:val="0"/>
          <w:numId w:val="1"/>
        </w:numPr>
        <w:spacing w:line="360" w:lineRule="auto"/>
        <w:ind w:left="0" w:right="1" w:firstLine="0"/>
        <w:jc w:val="both"/>
        <w:rPr>
          <w:rFonts w:eastAsia="Calibri"/>
          <w:color w:val="000000"/>
        </w:rPr>
      </w:pPr>
      <w:r w:rsidRPr="00DD6E6E">
        <w:rPr>
          <w:rFonts w:ascii="Palatino Linotype" w:eastAsia="Palatino Linotype" w:hAnsi="Palatino Linotype" w:cs="Palatino Linotype"/>
          <w:color w:val="000000"/>
        </w:rPr>
        <w:t xml:space="preserve">Conforme a lo anterior, se puede advertir que el </w:t>
      </w:r>
      <w:r w:rsidRPr="00DD6E6E">
        <w:rPr>
          <w:rFonts w:ascii="Palatino Linotype" w:eastAsia="Palatino Linotype" w:hAnsi="Palatino Linotype" w:cs="Palatino Linotype"/>
          <w:b/>
          <w:color w:val="000000"/>
        </w:rPr>
        <w:t>SUJETO OBLIGADO</w:t>
      </w:r>
      <w:r w:rsidRPr="00DD6E6E">
        <w:rPr>
          <w:rFonts w:ascii="Palatino Linotype" w:eastAsia="Palatino Linotype" w:hAnsi="Palatino Linotype" w:cs="Palatino Linotype"/>
          <w:color w:val="000000"/>
        </w:rPr>
        <w:t xml:space="preserve"> no turnó la solicitud de información a todas  las unidad administrativa habilitadas de conocer de la solicitud de información, por lo que se concluye, que el </w:t>
      </w:r>
      <w:r w:rsidRPr="00DD6E6E">
        <w:rPr>
          <w:rFonts w:ascii="Palatino Linotype" w:eastAsia="Palatino Linotype" w:hAnsi="Palatino Linotype" w:cs="Palatino Linotype"/>
          <w:b/>
          <w:color w:val="000000"/>
        </w:rPr>
        <w:t>SUJETO OBLIGADO</w:t>
      </w:r>
      <w:r w:rsidRPr="00DD6E6E">
        <w:rPr>
          <w:rFonts w:ascii="Palatino Linotype" w:eastAsia="Palatino Linotype" w:hAnsi="Palatino Linotype" w:cs="Palatino Linotype"/>
          <w:color w:val="000000"/>
        </w:rPr>
        <w:t xml:space="preserve"> incumplió con el procedimiento de búsqueda establecido en el artículo 162 de la Ley de Transparencia y Acceso a la Información Pública del Estado de México y Municipios, por lo que no se acreditó que la búsqueda fuera exhaustiva y razonable; para lograr dicha situación, en principio, resulta necesario determinar, que es una investigación con esas características.</w:t>
      </w:r>
    </w:p>
    <w:p w:rsidR="006C2675" w:rsidRPr="00DD6E6E" w:rsidRDefault="006C2675" w:rsidP="006C2675">
      <w:pPr>
        <w:spacing w:line="360" w:lineRule="auto"/>
        <w:ind w:right="-504"/>
        <w:jc w:val="both"/>
        <w:rPr>
          <w:rFonts w:ascii="Palatino Linotype" w:eastAsia="Palatino Linotype" w:hAnsi="Palatino Linotype" w:cs="Palatino Linotype"/>
          <w:color w:val="000000"/>
        </w:rPr>
      </w:pPr>
    </w:p>
    <w:p w:rsidR="006C2675" w:rsidRPr="00DD6E6E" w:rsidRDefault="006C2675" w:rsidP="006C2675">
      <w:pPr>
        <w:numPr>
          <w:ilvl w:val="0"/>
          <w:numId w:val="1"/>
        </w:numPr>
        <w:spacing w:line="360" w:lineRule="auto"/>
        <w:ind w:left="0" w:right="1" w:firstLine="0"/>
        <w:jc w:val="both"/>
        <w:rPr>
          <w:rFonts w:eastAsia="Calibri"/>
          <w:color w:val="000000"/>
        </w:rPr>
      </w:pPr>
      <w:r w:rsidRPr="00DD6E6E">
        <w:rPr>
          <w:rFonts w:ascii="Palatino Linotype" w:eastAsia="Palatino Linotype" w:hAnsi="Palatino Linotype" w:cs="Palatino Linotype"/>
          <w:color w:val="000000"/>
        </w:rPr>
        <w:lastRenderedPageBreak/>
        <w:t>Aunado a lo expuesto, para poder acreditar el carácter exhaustivo de la búsqueda realizada por los Sujetos Obligados, se deben motivar las razones por las que se buscó la información en determinadas áreas, los criterios de búsqueda utilizados y demás circunstancias que fueron tomadas en cuenta.</w:t>
      </w:r>
    </w:p>
    <w:p w:rsidR="006C2675" w:rsidRPr="00DD6E6E" w:rsidRDefault="006C2675" w:rsidP="006C2675">
      <w:pPr>
        <w:spacing w:line="360" w:lineRule="auto"/>
        <w:ind w:right="-504"/>
        <w:jc w:val="both"/>
        <w:rPr>
          <w:rFonts w:ascii="Palatino Linotype" w:eastAsia="Palatino Linotype" w:hAnsi="Palatino Linotype" w:cs="Palatino Linotype"/>
          <w:color w:val="000000"/>
        </w:rPr>
      </w:pPr>
    </w:p>
    <w:p w:rsidR="006C2675" w:rsidRPr="00DD6E6E" w:rsidRDefault="006C2675" w:rsidP="006C2675">
      <w:pPr>
        <w:numPr>
          <w:ilvl w:val="0"/>
          <w:numId w:val="1"/>
        </w:numPr>
        <w:spacing w:line="360" w:lineRule="auto"/>
        <w:ind w:left="0" w:right="1" w:firstLine="0"/>
        <w:jc w:val="both"/>
        <w:rPr>
          <w:rFonts w:eastAsia="Calibri"/>
          <w:color w:val="000000"/>
        </w:rPr>
      </w:pPr>
      <w:r w:rsidRPr="00DD6E6E">
        <w:rPr>
          <w:rFonts w:ascii="Palatino Linotype" w:eastAsia="Palatino Linotype" w:hAnsi="Palatino Linotype" w:cs="Palatino Linotype"/>
          <w:color w:val="000000"/>
        </w:rPr>
        <w:t xml:space="preserve">En ese contexto, de conformidad con los </w:t>
      </w:r>
      <w:r w:rsidRPr="00DD6E6E">
        <w:rPr>
          <w:rFonts w:ascii="Palatino Linotype" w:eastAsia="Palatino Linotype" w:hAnsi="Palatino Linotype" w:cs="Palatino Linotype"/>
          <w:b/>
          <w:color w:val="000000"/>
        </w:rPr>
        <w:t>criterios 12/10 y 04/19,</w:t>
      </w:r>
      <w:r w:rsidRPr="00DD6E6E">
        <w:rPr>
          <w:rFonts w:ascii="Palatino Linotype" w:eastAsia="Palatino Linotype" w:hAnsi="Palatino Linotype" w:cs="Palatino Linotype"/>
          <w:color w:val="000000"/>
        </w:rPr>
        <w:t xml:space="preserve"> emitidos por el Instituto Nacional de Transparencia, Acceso a la Información y Protección de Datos Personales, traídos por analogía, se colige que los sujetos obligados para acreditar que se realizó una búsqueda exhaustiva y razonable, deben de proporcionar los </w:t>
      </w:r>
      <w:r w:rsidRPr="00DD6E6E">
        <w:rPr>
          <w:rFonts w:ascii="Palatino Linotype" w:eastAsia="Palatino Linotype" w:hAnsi="Palatino Linotype" w:cs="Palatino Linotype"/>
          <w:b/>
          <w:color w:val="000000"/>
        </w:rPr>
        <w:t>elementos suficientes</w:t>
      </w:r>
      <w:r w:rsidRPr="00DD6E6E">
        <w:rPr>
          <w:rFonts w:ascii="Palatino Linotype" w:eastAsia="Palatino Linotype" w:hAnsi="Palatino Linotype" w:cs="Palatino Linotype"/>
          <w:color w:val="000000"/>
        </w:rPr>
        <w:t xml:space="preserve"> del carácter exhaustivo de la indagación realizada, a saber, los siguientes:</w:t>
      </w:r>
    </w:p>
    <w:p w:rsidR="006C2675" w:rsidRPr="00DD6E6E" w:rsidRDefault="006C2675" w:rsidP="006C2675">
      <w:pPr>
        <w:numPr>
          <w:ilvl w:val="0"/>
          <w:numId w:val="8"/>
        </w:numPr>
        <w:ind w:left="1134" w:right="900"/>
        <w:jc w:val="both"/>
        <w:rPr>
          <w:rFonts w:ascii="Palatino Linotype" w:eastAsia="Palatino Linotype" w:hAnsi="Palatino Linotype" w:cs="Palatino Linotype"/>
          <w:i/>
          <w:color w:val="000000"/>
        </w:rPr>
      </w:pPr>
      <w:r w:rsidRPr="00DD6E6E">
        <w:rPr>
          <w:rFonts w:ascii="Palatino Linotype" w:eastAsia="Palatino Linotype" w:hAnsi="Palatino Linotype" w:cs="Palatino Linotype"/>
          <w:i/>
          <w:color w:val="000000"/>
        </w:rPr>
        <w:t>Motivación por las que se buscó la información, en determinadas unidades administrativas;</w:t>
      </w:r>
    </w:p>
    <w:p w:rsidR="006C2675" w:rsidRPr="00DD6E6E" w:rsidRDefault="006C2675" w:rsidP="006C2675">
      <w:pPr>
        <w:numPr>
          <w:ilvl w:val="0"/>
          <w:numId w:val="8"/>
        </w:numPr>
        <w:ind w:left="1134" w:right="900"/>
        <w:jc w:val="both"/>
        <w:rPr>
          <w:rFonts w:ascii="Palatino Linotype" w:eastAsia="Palatino Linotype" w:hAnsi="Palatino Linotype" w:cs="Palatino Linotype"/>
          <w:i/>
          <w:color w:val="000000"/>
        </w:rPr>
      </w:pPr>
      <w:r w:rsidRPr="00DD6E6E">
        <w:rPr>
          <w:rFonts w:ascii="Palatino Linotype" w:eastAsia="Palatino Linotype" w:hAnsi="Palatino Linotype" w:cs="Palatino Linotype"/>
          <w:i/>
          <w:color w:val="000000"/>
        </w:rPr>
        <w:t>Los criterios de búsqueda utilizados, y</w:t>
      </w:r>
    </w:p>
    <w:p w:rsidR="006C2675" w:rsidRPr="00DD6E6E" w:rsidRDefault="006C2675" w:rsidP="006C2675">
      <w:pPr>
        <w:numPr>
          <w:ilvl w:val="0"/>
          <w:numId w:val="8"/>
        </w:numPr>
        <w:ind w:left="1134" w:right="900"/>
        <w:jc w:val="both"/>
        <w:rPr>
          <w:rFonts w:ascii="Palatino Linotype" w:eastAsia="Palatino Linotype" w:hAnsi="Palatino Linotype" w:cs="Palatino Linotype"/>
          <w:i/>
          <w:color w:val="000000"/>
        </w:rPr>
      </w:pPr>
      <w:r w:rsidRPr="00DD6E6E">
        <w:rPr>
          <w:rFonts w:ascii="Palatino Linotype" w:eastAsia="Palatino Linotype" w:hAnsi="Palatino Linotype" w:cs="Palatino Linotype"/>
          <w:i/>
          <w:color w:val="000000"/>
        </w:rPr>
        <w:t>Las circunstancias que fueron tomadas en cuenta.</w:t>
      </w:r>
    </w:p>
    <w:p w:rsidR="006C2675" w:rsidRPr="00DD6E6E" w:rsidRDefault="006C2675" w:rsidP="006C2675">
      <w:pPr>
        <w:spacing w:line="360" w:lineRule="auto"/>
        <w:ind w:right="-504"/>
        <w:jc w:val="both"/>
        <w:rPr>
          <w:rFonts w:ascii="Palatino Linotype" w:eastAsia="Palatino Linotype" w:hAnsi="Palatino Linotype" w:cs="Palatino Linotype"/>
          <w:color w:val="000000"/>
        </w:rPr>
      </w:pPr>
    </w:p>
    <w:p w:rsidR="006C2675" w:rsidRPr="00DD6E6E" w:rsidRDefault="006C2675" w:rsidP="006C2675">
      <w:pPr>
        <w:numPr>
          <w:ilvl w:val="0"/>
          <w:numId w:val="1"/>
        </w:numPr>
        <w:spacing w:line="360" w:lineRule="auto"/>
        <w:ind w:left="0" w:right="1" w:firstLine="0"/>
        <w:jc w:val="both"/>
        <w:rPr>
          <w:rFonts w:eastAsia="Calibri"/>
          <w:color w:val="000000"/>
        </w:rPr>
      </w:pPr>
      <w:r w:rsidRPr="00DD6E6E">
        <w:rPr>
          <w:rFonts w:ascii="Palatino Linotype" w:eastAsia="Palatino Linotype" w:hAnsi="Palatino Linotype" w:cs="Palatino Linotype"/>
          <w:color w:val="000000"/>
        </w:rPr>
        <w:t>De tales circunstancias, se considera que para que los Sujetos Obligado justifiquen que realizaron una búsqueda exhaustiva y razonable, deben indicar de manera clara, lo siguiente:</w:t>
      </w:r>
    </w:p>
    <w:p w:rsidR="006C2675" w:rsidRPr="00DD6E6E" w:rsidRDefault="006C2675" w:rsidP="006C2675">
      <w:pPr>
        <w:numPr>
          <w:ilvl w:val="0"/>
          <w:numId w:val="9"/>
        </w:numPr>
        <w:ind w:left="1134" w:right="900" w:firstLine="0"/>
        <w:jc w:val="both"/>
        <w:rPr>
          <w:rFonts w:ascii="Palatino Linotype" w:eastAsia="Palatino Linotype" w:hAnsi="Palatino Linotype" w:cs="Palatino Linotype"/>
          <w:b/>
          <w:i/>
          <w:color w:val="000000"/>
        </w:rPr>
      </w:pPr>
      <w:r w:rsidRPr="00DD6E6E">
        <w:rPr>
          <w:rFonts w:ascii="Palatino Linotype" w:eastAsia="Palatino Linotype" w:hAnsi="Palatino Linotype" w:cs="Palatino Linotype"/>
          <w:b/>
          <w:i/>
          <w:color w:val="000000"/>
        </w:rPr>
        <w:t>Las áreas donde se buscó la información;</w:t>
      </w:r>
    </w:p>
    <w:p w:rsidR="006C2675" w:rsidRPr="00DD6E6E" w:rsidRDefault="006C2675" w:rsidP="006C2675">
      <w:pPr>
        <w:numPr>
          <w:ilvl w:val="0"/>
          <w:numId w:val="9"/>
        </w:numPr>
        <w:ind w:left="1134" w:right="900" w:firstLine="0"/>
        <w:jc w:val="both"/>
        <w:rPr>
          <w:rFonts w:ascii="Palatino Linotype" w:eastAsia="Palatino Linotype" w:hAnsi="Palatino Linotype" w:cs="Palatino Linotype"/>
          <w:b/>
          <w:i/>
          <w:color w:val="000000"/>
        </w:rPr>
      </w:pPr>
      <w:r w:rsidRPr="00DD6E6E">
        <w:rPr>
          <w:rFonts w:ascii="Palatino Linotype" w:eastAsia="Palatino Linotype" w:hAnsi="Palatino Linotype" w:cs="Palatino Linotype"/>
          <w:b/>
          <w:i/>
          <w:color w:val="000000"/>
        </w:rPr>
        <w:t>Tipo de archivos buscados (físicos o electrónicos);</w:t>
      </w:r>
    </w:p>
    <w:p w:rsidR="006C2675" w:rsidRPr="00DD6E6E" w:rsidRDefault="006C2675" w:rsidP="006C2675">
      <w:pPr>
        <w:numPr>
          <w:ilvl w:val="0"/>
          <w:numId w:val="9"/>
        </w:numPr>
        <w:ind w:left="1134" w:right="900" w:firstLine="0"/>
        <w:jc w:val="both"/>
        <w:rPr>
          <w:rFonts w:ascii="Palatino Linotype" w:eastAsia="Palatino Linotype" w:hAnsi="Palatino Linotype" w:cs="Palatino Linotype"/>
          <w:b/>
          <w:i/>
          <w:color w:val="000000"/>
        </w:rPr>
      </w:pPr>
      <w:r w:rsidRPr="00DD6E6E">
        <w:rPr>
          <w:rFonts w:ascii="Palatino Linotype" w:eastAsia="Palatino Linotype" w:hAnsi="Palatino Linotype" w:cs="Palatino Linotype"/>
          <w:b/>
          <w:i/>
          <w:color w:val="000000"/>
        </w:rPr>
        <w:t xml:space="preserve">Los criterios de búsqueda utilizados, y </w:t>
      </w:r>
    </w:p>
    <w:p w:rsidR="006C2675" w:rsidRPr="00DD6E6E" w:rsidRDefault="006C2675" w:rsidP="006C2675">
      <w:pPr>
        <w:numPr>
          <w:ilvl w:val="0"/>
          <w:numId w:val="9"/>
        </w:numPr>
        <w:ind w:left="1134" w:right="900" w:firstLine="0"/>
        <w:jc w:val="both"/>
        <w:rPr>
          <w:rFonts w:ascii="Palatino Linotype" w:eastAsia="Palatino Linotype" w:hAnsi="Palatino Linotype" w:cs="Palatino Linotype"/>
          <w:b/>
          <w:i/>
          <w:color w:val="000000"/>
        </w:rPr>
      </w:pPr>
      <w:r w:rsidRPr="00DD6E6E">
        <w:rPr>
          <w:rFonts w:ascii="Palatino Linotype" w:eastAsia="Palatino Linotype" w:hAnsi="Palatino Linotype" w:cs="Palatino Linotype"/>
          <w:b/>
          <w:i/>
          <w:color w:val="000000"/>
        </w:rPr>
        <w:t>Las circunstancias que fueron tomadas en cuenta.</w:t>
      </w:r>
      <w:r w:rsidRPr="00DD6E6E">
        <w:rPr>
          <w:rFonts w:ascii="Palatino Linotype" w:eastAsia="Palatino Linotype" w:hAnsi="Palatino Linotype" w:cs="Palatino Linotype"/>
          <w:b/>
          <w:i/>
          <w:color w:val="000000"/>
        </w:rPr>
        <w:tab/>
      </w:r>
    </w:p>
    <w:p w:rsidR="006C2675" w:rsidRPr="00DD6E6E" w:rsidRDefault="006C2675" w:rsidP="006C2675">
      <w:pPr>
        <w:spacing w:line="360" w:lineRule="auto"/>
        <w:ind w:right="-504"/>
        <w:jc w:val="both"/>
        <w:rPr>
          <w:rFonts w:ascii="Palatino Linotype" w:eastAsia="Palatino Linotype" w:hAnsi="Palatino Linotype" w:cs="Palatino Linotype"/>
          <w:color w:val="000000"/>
        </w:rPr>
      </w:pPr>
    </w:p>
    <w:p w:rsidR="006C2675" w:rsidRPr="00DD6E6E" w:rsidRDefault="006C2675" w:rsidP="006C2675">
      <w:pPr>
        <w:numPr>
          <w:ilvl w:val="0"/>
          <w:numId w:val="1"/>
        </w:numPr>
        <w:spacing w:line="360" w:lineRule="auto"/>
        <w:ind w:left="0" w:right="1" w:firstLine="0"/>
        <w:jc w:val="both"/>
        <w:rPr>
          <w:rFonts w:ascii="Palatino Linotype" w:eastAsia="Palatino Linotype" w:hAnsi="Palatino Linotype" w:cs="Palatino Linotype"/>
          <w:b/>
          <w:color w:val="000000"/>
        </w:rPr>
      </w:pPr>
      <w:r w:rsidRPr="00DD6E6E">
        <w:rPr>
          <w:rFonts w:ascii="Palatino Linotype" w:eastAsia="Palatino Linotype" w:hAnsi="Palatino Linotype" w:cs="Palatino Linotype"/>
          <w:color w:val="000000"/>
        </w:rPr>
        <w:t xml:space="preserve">Conforme a lo anterior, este Instituto considera que el </w:t>
      </w:r>
      <w:r w:rsidRPr="00DD6E6E">
        <w:rPr>
          <w:rFonts w:ascii="Palatino Linotype" w:eastAsia="Palatino Linotype" w:hAnsi="Palatino Linotype" w:cs="Palatino Linotype"/>
          <w:b/>
          <w:color w:val="000000"/>
        </w:rPr>
        <w:t>Partido Acción Nacional</w:t>
      </w:r>
      <w:r w:rsidRPr="00DD6E6E">
        <w:rPr>
          <w:rFonts w:ascii="Palatino Linotype" w:eastAsia="Palatino Linotype" w:hAnsi="Palatino Linotype" w:cs="Palatino Linotype"/>
          <w:color w:val="000000"/>
        </w:rPr>
        <w:t xml:space="preserve">, no cumplió con ninguno de los requisitos previamente señalados por lo consiguiente no turnó la solicitud de información a las diversas áreas, toda vez que de la respuesta entregada no se pronuncian todos los servidores públicos habilitados, por lo que, no se logró advertir que esta haya realizado una indagación de lo requerido, </w:t>
      </w:r>
      <w:r w:rsidRPr="00DD6E6E">
        <w:rPr>
          <w:rFonts w:ascii="Palatino Linotype" w:eastAsia="Palatino Linotype" w:hAnsi="Palatino Linotype" w:cs="Palatino Linotype"/>
          <w:b/>
          <w:color w:val="000000"/>
        </w:rPr>
        <w:t xml:space="preserve">no se indago en documentos físicos o también </w:t>
      </w:r>
      <w:r w:rsidRPr="00DD6E6E">
        <w:rPr>
          <w:rFonts w:ascii="Palatino Linotype" w:eastAsia="Palatino Linotype" w:hAnsi="Palatino Linotype" w:cs="Palatino Linotype"/>
          <w:b/>
          <w:color w:val="000000"/>
        </w:rPr>
        <w:lastRenderedPageBreak/>
        <w:t>electrónicos y no se logró desprender los criterios de búsqueda utilizados, pues no precisó cómo realizó la misma.</w:t>
      </w:r>
    </w:p>
    <w:p w:rsidR="006C2675" w:rsidRPr="00DD6E6E" w:rsidRDefault="006C2675" w:rsidP="006C2675">
      <w:pPr>
        <w:spacing w:line="360" w:lineRule="auto"/>
        <w:ind w:right="-504"/>
        <w:jc w:val="both"/>
        <w:rPr>
          <w:rFonts w:ascii="Palatino Linotype" w:eastAsia="Palatino Linotype" w:hAnsi="Palatino Linotype" w:cs="Palatino Linotype"/>
          <w:i/>
        </w:rPr>
      </w:pPr>
    </w:p>
    <w:p w:rsidR="006C2675" w:rsidRPr="00DD6E6E" w:rsidRDefault="006C2675" w:rsidP="006C2675">
      <w:pPr>
        <w:numPr>
          <w:ilvl w:val="0"/>
          <w:numId w:val="1"/>
        </w:numPr>
        <w:spacing w:line="360" w:lineRule="auto"/>
        <w:ind w:left="0" w:right="1" w:firstLine="0"/>
        <w:jc w:val="both"/>
        <w:rPr>
          <w:rFonts w:eastAsia="Calibri"/>
          <w:color w:val="000000"/>
        </w:rPr>
      </w:pPr>
      <w:r w:rsidRPr="00DD6E6E">
        <w:rPr>
          <w:rFonts w:ascii="Palatino Linotype" w:eastAsia="Palatino Linotype" w:hAnsi="Palatino Linotype" w:cs="Palatino Linotype"/>
          <w:color w:val="000000"/>
        </w:rPr>
        <w:t>De lo anterior, se concluye que la búsqueda exhaustiva y razonable de la información debe estar sustentada con los respectivos criterios de búsqueda exhaustiva que el sujeto obligado utilizó.</w:t>
      </w:r>
    </w:p>
    <w:p w:rsidR="008D1491" w:rsidRPr="00DD6E6E" w:rsidRDefault="008D1491" w:rsidP="006C2675">
      <w:pPr>
        <w:spacing w:line="360" w:lineRule="auto"/>
        <w:ind w:right="1"/>
        <w:jc w:val="both"/>
        <w:rPr>
          <w:rFonts w:ascii="Palatino Linotype" w:eastAsia="Palatino Linotype" w:hAnsi="Palatino Linotype" w:cs="Palatino Linotype"/>
          <w:color w:val="000000"/>
        </w:rPr>
      </w:pPr>
    </w:p>
    <w:p w:rsidR="009513C9" w:rsidRPr="00DD6E6E" w:rsidRDefault="009513C9" w:rsidP="009513C9">
      <w:pPr>
        <w:keepNext/>
        <w:keepLines/>
        <w:spacing w:after="160" w:line="360" w:lineRule="auto"/>
        <w:rPr>
          <w:rFonts w:ascii="Palatino Linotype" w:eastAsia="Palatino Linotype" w:hAnsi="Palatino Linotype" w:cs="Palatino Linotype"/>
          <w:b/>
          <w:color w:val="000000"/>
        </w:rPr>
      </w:pPr>
      <w:r w:rsidRPr="00DD6E6E">
        <w:rPr>
          <w:rFonts w:ascii="Palatino Linotype" w:eastAsia="Palatino Linotype" w:hAnsi="Palatino Linotype" w:cs="Palatino Linotype"/>
          <w:b/>
          <w:color w:val="000000"/>
        </w:rPr>
        <w:t>QUINTO. De la versión pública.</w:t>
      </w:r>
    </w:p>
    <w:p w:rsidR="009513C9" w:rsidRPr="00DD6E6E" w:rsidRDefault="009513C9" w:rsidP="009513C9">
      <w:pPr>
        <w:keepNext/>
        <w:keepLines/>
        <w:numPr>
          <w:ilvl w:val="0"/>
          <w:numId w:val="11"/>
        </w:numPr>
        <w:tabs>
          <w:tab w:val="left" w:pos="284"/>
        </w:tabs>
        <w:spacing w:after="160" w:line="360" w:lineRule="auto"/>
        <w:ind w:left="0" w:firstLine="0"/>
        <w:rPr>
          <w:rFonts w:ascii="Palatino Linotype" w:eastAsia="Palatino Linotype" w:hAnsi="Palatino Linotype" w:cs="Palatino Linotype"/>
          <w:b/>
          <w:color w:val="000000"/>
        </w:rPr>
      </w:pPr>
      <w:bookmarkStart w:id="9" w:name="_heading=h.35nkun2" w:colFirst="0" w:colLast="0"/>
      <w:bookmarkEnd w:id="9"/>
      <w:r w:rsidRPr="00DD6E6E">
        <w:rPr>
          <w:rFonts w:ascii="Palatino Linotype" w:eastAsia="Palatino Linotype" w:hAnsi="Palatino Linotype" w:cs="Palatino Linotype"/>
          <w:b/>
          <w:color w:val="000000"/>
        </w:rPr>
        <w:t xml:space="preserve">Nociones generales. </w:t>
      </w:r>
    </w:p>
    <w:p w:rsidR="009513C9" w:rsidRPr="00DD6E6E" w:rsidRDefault="009513C9" w:rsidP="009513C9">
      <w:pPr>
        <w:numPr>
          <w:ilvl w:val="0"/>
          <w:numId w:val="1"/>
        </w:numPr>
        <w:spacing w:line="360" w:lineRule="auto"/>
        <w:ind w:left="0" w:right="1" w:firstLine="0"/>
        <w:jc w:val="both"/>
        <w:rPr>
          <w:rFonts w:ascii="Palatino Linotype" w:eastAsia="Palatino Linotype" w:hAnsi="Palatino Linotype" w:cs="Palatino Linotype"/>
          <w:color w:val="000000"/>
        </w:rPr>
      </w:pPr>
      <w:r w:rsidRPr="00DD6E6E">
        <w:rPr>
          <w:rFonts w:ascii="Palatino Linotype" w:eastAsia="Palatino Linotype" w:hAnsi="Palatino Linotype" w:cs="Palatino Linotype"/>
          <w:color w:val="000000"/>
        </w:rPr>
        <w:t xml:space="preserve">Debe destacarse, que debido a la información solicitada por el </w:t>
      </w:r>
      <w:r w:rsidRPr="00DD6E6E">
        <w:rPr>
          <w:rFonts w:ascii="Palatino Linotype" w:eastAsia="Palatino Linotype" w:hAnsi="Palatino Linotype" w:cs="Palatino Linotype"/>
          <w:b/>
          <w:color w:val="000000"/>
        </w:rPr>
        <w:t xml:space="preserve">RECURRENTE, pueden obrar </w:t>
      </w:r>
      <w:r w:rsidRPr="00DD6E6E">
        <w:rPr>
          <w:rFonts w:ascii="Palatino Linotype" w:eastAsia="Palatino Linotype" w:hAnsi="Palatino Linotype" w:cs="Palatino Linotype"/>
          <w:color w:val="000000"/>
        </w:rPr>
        <w:t xml:space="preserve">datos personales susceptibles de protegerse, así como información susceptible de clasificarse,  por lo que el </w:t>
      </w:r>
      <w:r w:rsidRPr="00DD6E6E">
        <w:rPr>
          <w:rFonts w:ascii="Palatino Linotype" w:eastAsia="Palatino Linotype" w:hAnsi="Palatino Linotype" w:cs="Palatino Linotype"/>
          <w:b/>
          <w:color w:val="000000"/>
        </w:rPr>
        <w:t xml:space="preserve">SUJETO OBLIGADO </w:t>
      </w:r>
      <w:r w:rsidRPr="00DD6E6E">
        <w:rPr>
          <w:rFonts w:ascii="Palatino Linotype" w:eastAsia="Palatino Linotype" w:hAnsi="Palatino Linotype" w:cs="Palatino Linotype"/>
          <w:color w:val="000000"/>
        </w:rPr>
        <w:t xml:space="preserve">deberá de hacer la adecuada versión pública, protegiendo los datos que no son susceptibles de ser proporcionados. </w:t>
      </w:r>
    </w:p>
    <w:p w:rsidR="009513C9" w:rsidRPr="00DD6E6E" w:rsidRDefault="009513C9" w:rsidP="009513C9">
      <w:pPr>
        <w:tabs>
          <w:tab w:val="left" w:pos="0"/>
          <w:tab w:val="left" w:pos="284"/>
        </w:tabs>
        <w:spacing w:line="360" w:lineRule="auto"/>
        <w:ind w:right="49"/>
        <w:jc w:val="both"/>
        <w:rPr>
          <w:rFonts w:ascii="Palatino Linotype" w:eastAsia="Palatino Linotype" w:hAnsi="Palatino Linotype" w:cs="Palatino Linotype"/>
          <w:highlight w:val="yellow"/>
        </w:rPr>
      </w:pPr>
    </w:p>
    <w:p w:rsidR="009513C9" w:rsidRPr="00DD6E6E" w:rsidRDefault="009513C9" w:rsidP="009513C9">
      <w:pPr>
        <w:numPr>
          <w:ilvl w:val="0"/>
          <w:numId w:val="1"/>
        </w:numPr>
        <w:spacing w:line="360" w:lineRule="auto"/>
        <w:ind w:left="0" w:right="1" w:firstLine="0"/>
        <w:jc w:val="both"/>
        <w:rPr>
          <w:rFonts w:ascii="Palatino Linotype" w:eastAsia="Palatino Linotype" w:hAnsi="Palatino Linotype" w:cs="Palatino Linotype"/>
          <w:color w:val="000000"/>
        </w:rPr>
      </w:pPr>
      <w:r w:rsidRPr="00DD6E6E">
        <w:rPr>
          <w:rFonts w:ascii="Palatino Linotype" w:eastAsia="Palatino Linotype" w:hAnsi="Palatino Linotype" w:cs="Palatino Linotype"/>
          <w:color w:val="000000"/>
        </w:rPr>
        <w:t>No pasa desapercibido para este Órgano Garante que los sujetos obligados</w:t>
      </w:r>
      <w:r w:rsidRPr="00DD6E6E">
        <w:rPr>
          <w:rFonts w:ascii="Palatino Linotype" w:eastAsia="Palatino Linotype" w:hAnsi="Palatino Linotype" w:cs="Palatino Linotype"/>
          <w:b/>
          <w:color w:val="000000"/>
        </w:rPr>
        <w:t xml:space="preserve"> </w:t>
      </w:r>
      <w:r w:rsidRPr="00DD6E6E">
        <w:rPr>
          <w:rFonts w:ascii="Palatino Linotype" w:eastAsia="Palatino Linotype" w:hAnsi="Palatino Linotype" w:cs="Palatino Linotype"/>
          <w:color w:val="000000"/>
        </w:rPr>
        <w:t>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rsidR="009513C9" w:rsidRPr="00DD6E6E" w:rsidRDefault="009513C9" w:rsidP="009513C9">
      <w:pPr>
        <w:tabs>
          <w:tab w:val="left" w:pos="284"/>
        </w:tabs>
        <w:spacing w:after="160" w:line="360" w:lineRule="auto"/>
        <w:ind w:right="49"/>
        <w:jc w:val="both"/>
        <w:rPr>
          <w:rFonts w:ascii="Palatino Linotype" w:eastAsia="Palatino Linotype" w:hAnsi="Palatino Linotype" w:cs="Palatino Linotype"/>
          <w:color w:val="000000"/>
        </w:rPr>
      </w:pPr>
    </w:p>
    <w:tbl>
      <w:tblPr>
        <w:tblW w:w="99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972"/>
        <w:gridCol w:w="6946"/>
      </w:tblGrid>
      <w:tr w:rsidR="009513C9" w:rsidRPr="00DD6E6E" w:rsidTr="00DD6E6E">
        <w:tc>
          <w:tcPr>
            <w:tcW w:w="2972" w:type="dxa"/>
          </w:tcPr>
          <w:p w:rsidR="009513C9" w:rsidRPr="00DD6E6E" w:rsidRDefault="009513C9" w:rsidP="00DD6E6E">
            <w:pPr>
              <w:spacing w:line="360" w:lineRule="auto"/>
              <w:ind w:left="-136" w:firstLine="136"/>
              <w:rPr>
                <w:rFonts w:ascii="Palatino Linotype" w:eastAsia="Palatino Linotype" w:hAnsi="Palatino Linotype" w:cs="Palatino Linotype"/>
              </w:rPr>
            </w:pPr>
            <w:r w:rsidRPr="00DD6E6E">
              <w:rPr>
                <w:rFonts w:ascii="Palatino Linotype" w:eastAsia="Palatino Linotype" w:hAnsi="Palatino Linotype" w:cs="Palatino Linotype"/>
              </w:rPr>
              <w:t>a) Requisitos previos.</w:t>
            </w:r>
          </w:p>
        </w:tc>
        <w:tc>
          <w:tcPr>
            <w:tcW w:w="6946" w:type="dxa"/>
          </w:tcPr>
          <w:p w:rsidR="009513C9" w:rsidRPr="00DD6E6E" w:rsidRDefault="009513C9" w:rsidP="00DD6E6E">
            <w:pPr>
              <w:spacing w:line="360" w:lineRule="auto"/>
              <w:ind w:right="49"/>
              <w:jc w:val="both"/>
              <w:rPr>
                <w:rFonts w:ascii="Palatino Linotype" w:eastAsia="Palatino Linotype" w:hAnsi="Palatino Linotype" w:cs="Palatino Linotype"/>
                <w:color w:val="000000"/>
              </w:rPr>
            </w:pPr>
            <w:r w:rsidRPr="00DD6E6E">
              <w:rPr>
                <w:rFonts w:ascii="Palatino Linotype" w:eastAsia="Palatino Linotype" w:hAnsi="Palatino Linotype" w:cs="Palatino Linotype"/>
                <w:color w:val="000000"/>
              </w:rPr>
              <w:t xml:space="preserve">Los artículos 100 y 122 de la Ley Estatal y de la Ley General, respectivamente, señalan que si los Sujetos Obligados determinan que la información actualiza alguno de los </w:t>
            </w:r>
            <w:r w:rsidRPr="00DD6E6E">
              <w:rPr>
                <w:rFonts w:ascii="Palatino Linotype" w:eastAsia="Palatino Linotype" w:hAnsi="Palatino Linotype" w:cs="Palatino Linotype"/>
                <w:color w:val="000000"/>
              </w:rPr>
              <w:lastRenderedPageBreak/>
              <w:t xml:space="preserve">supuestos de clasificación, es deber de los titulares de las áreas proponer su clasificación y no del Comité de Transparencia. </w:t>
            </w:r>
          </w:p>
          <w:p w:rsidR="009513C9" w:rsidRPr="00DD6E6E" w:rsidRDefault="009513C9" w:rsidP="00DD6E6E">
            <w:pPr>
              <w:spacing w:line="360" w:lineRule="auto"/>
              <w:ind w:right="49"/>
              <w:jc w:val="both"/>
              <w:rPr>
                <w:rFonts w:ascii="Palatino Linotype" w:eastAsia="Palatino Linotype" w:hAnsi="Palatino Linotype" w:cs="Palatino Linotype"/>
                <w:color w:val="000000"/>
              </w:rPr>
            </w:pPr>
            <w:r w:rsidRPr="00DD6E6E">
              <w:rPr>
                <w:rFonts w:ascii="Palatino Linotype" w:eastAsia="Palatino Linotype" w:hAnsi="Palatino Linotype" w:cs="Palatino Linotype"/>
                <w:color w:val="000000"/>
              </w:rPr>
              <w:t>Al hacerlo tienen que precisar de qué información se trata, señalando el supuesto de clasificación (confidencialidad o reserva).</w:t>
            </w:r>
          </w:p>
          <w:p w:rsidR="009513C9" w:rsidRPr="00DD6E6E" w:rsidRDefault="009513C9" w:rsidP="00DD6E6E">
            <w:pPr>
              <w:spacing w:line="360" w:lineRule="auto"/>
              <w:ind w:right="49"/>
              <w:jc w:val="both"/>
              <w:rPr>
                <w:rFonts w:ascii="Palatino Linotype" w:eastAsia="Palatino Linotype" w:hAnsi="Palatino Linotype" w:cs="Palatino Linotype"/>
                <w:color w:val="000000"/>
              </w:rPr>
            </w:pPr>
            <w:r w:rsidRPr="00DD6E6E">
              <w:rPr>
                <w:rFonts w:ascii="Palatino Linotype" w:eastAsia="Palatino Linotype" w:hAnsi="Palatino Linotype" w:cs="Palatino Linotype"/>
                <w:color w:val="000000"/>
              </w:rPr>
              <w:t>Además, se debe señalar el procedimiento, de los tres que establecen los artículos 132 y 106 de la Ley Estatal y General, respectivamente.</w:t>
            </w:r>
          </w:p>
          <w:p w:rsidR="009513C9" w:rsidRPr="00DD6E6E" w:rsidRDefault="009513C9" w:rsidP="00DD6E6E">
            <w:pPr>
              <w:spacing w:line="360" w:lineRule="auto"/>
              <w:jc w:val="both"/>
              <w:rPr>
                <w:rFonts w:ascii="Palatino Linotype" w:eastAsia="Palatino Linotype" w:hAnsi="Palatino Linotype" w:cs="Palatino Linotype"/>
              </w:rPr>
            </w:pPr>
            <w:r w:rsidRPr="00DD6E6E">
              <w:rPr>
                <w:rFonts w:ascii="Palatino Linotype" w:eastAsia="Palatino Linotype" w:hAnsi="Palatino Linotype" w:cs="Palatino Linotype"/>
                <w:color w:val="000000"/>
              </w:rPr>
              <w:t xml:space="preserve">El último de estos requisitos previos consiste en que no se pueden emitir acuerdos de carácter general ni particular, esto es, </w:t>
            </w:r>
            <w:r w:rsidRPr="00DD6E6E">
              <w:rPr>
                <w:rFonts w:ascii="Palatino Linotype" w:eastAsia="Palatino Linotype" w:hAnsi="Palatino Linotype" w:cs="Palatino Linotype"/>
                <w:color w:val="000000"/>
                <w:u w:val="single"/>
              </w:rPr>
              <w:t>no se puede hacer un acuerdo para clasificar de manera general todos los documentos de un expediente o área, sin</w:t>
            </w:r>
            <w:r w:rsidRPr="00DD6E6E">
              <w:rPr>
                <w:rFonts w:ascii="Palatino Linotype" w:eastAsia="Palatino Linotype" w:hAnsi="Palatino Linotype" w:cs="Palatino Linotype"/>
                <w:color w:val="000000"/>
              </w:rPr>
              <w:t xml:space="preserve"> individualizar su análisis y tampoco se puede hacer un acuerdo por cada dato que se vaya a clasificar dentro de un documento con diez datos, por ejemplo, susceptibles de ser clasificados.</w:t>
            </w:r>
          </w:p>
        </w:tc>
      </w:tr>
      <w:tr w:rsidR="009513C9" w:rsidRPr="00DD6E6E" w:rsidTr="00DD6E6E">
        <w:tc>
          <w:tcPr>
            <w:tcW w:w="2972" w:type="dxa"/>
          </w:tcPr>
          <w:p w:rsidR="009513C9" w:rsidRPr="00DD6E6E" w:rsidRDefault="009513C9" w:rsidP="00DD6E6E">
            <w:pPr>
              <w:spacing w:line="360" w:lineRule="auto"/>
              <w:ind w:left="-136" w:firstLine="136"/>
              <w:rPr>
                <w:rFonts w:ascii="Palatino Linotype" w:eastAsia="Palatino Linotype" w:hAnsi="Palatino Linotype" w:cs="Palatino Linotype"/>
              </w:rPr>
            </w:pPr>
            <w:r w:rsidRPr="00DD6E6E">
              <w:rPr>
                <w:rFonts w:ascii="Palatino Linotype" w:eastAsia="Palatino Linotype" w:hAnsi="Palatino Linotype" w:cs="Palatino Linotype"/>
              </w:rPr>
              <w:lastRenderedPageBreak/>
              <w:t>b) Supuestos de clasificación.</w:t>
            </w:r>
          </w:p>
        </w:tc>
        <w:tc>
          <w:tcPr>
            <w:tcW w:w="6946" w:type="dxa"/>
          </w:tcPr>
          <w:p w:rsidR="009513C9" w:rsidRPr="00DD6E6E" w:rsidRDefault="009513C9" w:rsidP="00DD6E6E">
            <w:pPr>
              <w:spacing w:line="360" w:lineRule="auto"/>
              <w:ind w:right="49"/>
              <w:jc w:val="both"/>
              <w:rPr>
                <w:rFonts w:ascii="Palatino Linotype" w:eastAsia="Palatino Linotype" w:hAnsi="Palatino Linotype" w:cs="Palatino Linotype"/>
                <w:color w:val="000000"/>
              </w:rPr>
            </w:pPr>
            <w:r w:rsidRPr="00DD6E6E">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rsidR="009513C9" w:rsidRPr="00DD6E6E" w:rsidRDefault="009513C9" w:rsidP="00DD6E6E">
            <w:pPr>
              <w:spacing w:line="360" w:lineRule="auto"/>
              <w:ind w:right="49"/>
              <w:jc w:val="both"/>
              <w:rPr>
                <w:rFonts w:ascii="Palatino Linotype" w:eastAsia="Palatino Linotype" w:hAnsi="Palatino Linotype" w:cs="Palatino Linotype"/>
                <w:color w:val="000000"/>
              </w:rPr>
            </w:pPr>
            <w:r w:rsidRPr="00DD6E6E">
              <w:rPr>
                <w:rFonts w:ascii="Palatino Linotype" w:eastAsia="Palatino Linotype" w:hAnsi="Palatino Linotype" w:cs="Palatino Linotype"/>
                <w:color w:val="000000"/>
              </w:rPr>
              <w:t xml:space="preserve">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w:t>
            </w:r>
            <w:r w:rsidRPr="00DD6E6E">
              <w:rPr>
                <w:rFonts w:ascii="Palatino Linotype" w:eastAsia="Palatino Linotype" w:hAnsi="Palatino Linotype" w:cs="Palatino Linotype"/>
                <w:color w:val="000000"/>
              </w:rPr>
              <w:lastRenderedPageBreak/>
              <w:t>acreditarse que se cumple con esta condición y no se pueden ampliar las excepciones o supuestos de clasificación aduciendo analogía o mayoría de razón.</w:t>
            </w:r>
          </w:p>
          <w:p w:rsidR="009513C9" w:rsidRPr="00DD6E6E" w:rsidRDefault="009513C9" w:rsidP="00DD6E6E">
            <w:pPr>
              <w:spacing w:line="360" w:lineRule="auto"/>
              <w:jc w:val="both"/>
              <w:rPr>
                <w:rFonts w:ascii="Palatino Linotype" w:eastAsia="Palatino Linotype" w:hAnsi="Palatino Linotype" w:cs="Palatino Linotype"/>
              </w:rPr>
            </w:pPr>
            <w:r w:rsidRPr="00DD6E6E">
              <w:rPr>
                <w:rFonts w:ascii="Palatino Linotype" w:eastAsia="Palatino Linotype" w:hAnsi="Palatino Linotype" w:cs="Palatino Linotype"/>
                <w:color w:val="000000"/>
              </w:rPr>
              <w:t xml:space="preserve">El </w:t>
            </w:r>
            <w:r w:rsidRPr="00DD6E6E">
              <w:rPr>
                <w:rFonts w:ascii="Palatino Linotype" w:eastAsia="Palatino Linotype" w:hAnsi="Palatino Linotype" w:cs="Palatino Linotype"/>
                <w:b/>
                <w:color w:val="000000"/>
              </w:rPr>
              <w:t>Sujeto Obligado</w:t>
            </w:r>
            <w:r w:rsidRPr="00DD6E6E">
              <w:rPr>
                <w:rFonts w:ascii="Palatino Linotype" w:eastAsia="Palatino Linotype" w:hAnsi="Palatino Linotype" w:cs="Palatino Linotype"/>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9513C9" w:rsidRPr="00DD6E6E" w:rsidTr="00DD6E6E">
        <w:tc>
          <w:tcPr>
            <w:tcW w:w="2972" w:type="dxa"/>
          </w:tcPr>
          <w:p w:rsidR="009513C9" w:rsidRPr="00DD6E6E" w:rsidRDefault="009513C9" w:rsidP="00DD6E6E">
            <w:pPr>
              <w:spacing w:line="360" w:lineRule="auto"/>
              <w:ind w:left="-136" w:firstLine="136"/>
              <w:rPr>
                <w:rFonts w:ascii="Palatino Linotype" w:eastAsia="Palatino Linotype" w:hAnsi="Palatino Linotype" w:cs="Palatino Linotype"/>
              </w:rPr>
            </w:pPr>
            <w:r w:rsidRPr="00DD6E6E">
              <w:rPr>
                <w:rFonts w:ascii="Palatino Linotype" w:eastAsia="Palatino Linotype" w:hAnsi="Palatino Linotype" w:cs="Palatino Linotype"/>
              </w:rPr>
              <w:lastRenderedPageBreak/>
              <w:t>c) Formalidades para emitir el acuerdo de clasificación.</w:t>
            </w:r>
          </w:p>
        </w:tc>
        <w:tc>
          <w:tcPr>
            <w:tcW w:w="6946" w:type="dxa"/>
          </w:tcPr>
          <w:p w:rsidR="009513C9" w:rsidRPr="00DD6E6E" w:rsidRDefault="009513C9" w:rsidP="00DD6E6E">
            <w:pPr>
              <w:spacing w:line="360" w:lineRule="auto"/>
              <w:ind w:right="49"/>
              <w:jc w:val="both"/>
              <w:rPr>
                <w:rFonts w:ascii="Palatino Linotype" w:eastAsia="Palatino Linotype" w:hAnsi="Palatino Linotype" w:cs="Palatino Linotype"/>
                <w:color w:val="000000"/>
              </w:rPr>
            </w:pPr>
            <w:r w:rsidRPr="00DD6E6E">
              <w:rPr>
                <w:rFonts w:ascii="Palatino Linotype" w:eastAsia="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rsidR="009513C9" w:rsidRPr="00DD6E6E" w:rsidRDefault="009513C9" w:rsidP="00DD6E6E">
            <w:pPr>
              <w:spacing w:line="360" w:lineRule="auto"/>
              <w:ind w:right="49"/>
              <w:jc w:val="both"/>
              <w:rPr>
                <w:rFonts w:ascii="Palatino Linotype" w:eastAsia="Palatino Linotype" w:hAnsi="Palatino Linotype" w:cs="Palatino Linotype"/>
                <w:color w:val="000000"/>
              </w:rPr>
            </w:pPr>
            <w:r w:rsidRPr="00DD6E6E">
              <w:rPr>
                <w:rFonts w:ascii="Palatino Linotype" w:eastAsia="Palatino Linotype" w:hAnsi="Palatino Linotype" w:cs="Palatino Linotype"/>
                <w:color w:val="000000"/>
              </w:rPr>
              <w:t xml:space="preserve">Es necesario que </w:t>
            </w:r>
            <w:r w:rsidRPr="00DD6E6E">
              <w:rPr>
                <w:rFonts w:ascii="Palatino Linotype" w:eastAsia="Palatino Linotype" w:hAnsi="Palatino Linotype" w:cs="Palatino Linotype"/>
                <w:b/>
                <w:color w:val="000000"/>
                <w:u w:val="single"/>
              </w:rPr>
              <w:t>el acto reúna con los requisitos elementales</w:t>
            </w:r>
            <w:r w:rsidRPr="00DD6E6E">
              <w:rPr>
                <w:rFonts w:ascii="Palatino Linotype" w:eastAsia="Palatino Linotype" w:hAnsi="Palatino Linotype" w:cs="Palatino Linotype"/>
                <w:color w:val="000000"/>
              </w:rPr>
              <w:t>, entre ellos, que la autoridad que va a emitir el acto de autoridad sea la legalmente facultada para ello.</w:t>
            </w:r>
          </w:p>
          <w:p w:rsidR="009513C9" w:rsidRPr="00DD6E6E" w:rsidRDefault="009513C9" w:rsidP="00DD6E6E">
            <w:pPr>
              <w:spacing w:line="360" w:lineRule="auto"/>
              <w:jc w:val="both"/>
              <w:rPr>
                <w:rFonts w:ascii="Palatino Linotype" w:eastAsia="Palatino Linotype" w:hAnsi="Palatino Linotype" w:cs="Palatino Linotype"/>
              </w:rPr>
            </w:pPr>
            <w:r w:rsidRPr="00DD6E6E">
              <w:rPr>
                <w:rFonts w:ascii="Palatino Linotype" w:eastAsia="Palatino Linotype" w:hAnsi="Palatino Linotype" w:cs="Palatino Linotype"/>
                <w:color w:val="000000"/>
              </w:rPr>
              <w:t>La decisión de aprobar, modificar o revocar la clasificación deberá de asentarse en un documento que registre la determinación a la que se llegue después de un análisis minucioso a partir de lo propuesto por el Titular del I. área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9513C9" w:rsidRPr="00DD6E6E" w:rsidTr="00DD6E6E">
        <w:tc>
          <w:tcPr>
            <w:tcW w:w="2972" w:type="dxa"/>
          </w:tcPr>
          <w:p w:rsidR="009513C9" w:rsidRPr="00DD6E6E" w:rsidRDefault="009513C9" w:rsidP="00DD6E6E">
            <w:pPr>
              <w:spacing w:line="360" w:lineRule="auto"/>
              <w:ind w:left="-136" w:firstLine="136"/>
              <w:rPr>
                <w:rFonts w:ascii="Palatino Linotype" w:eastAsia="Palatino Linotype" w:hAnsi="Palatino Linotype" w:cs="Palatino Linotype"/>
              </w:rPr>
            </w:pPr>
          </w:p>
          <w:p w:rsidR="009513C9" w:rsidRPr="00DD6E6E" w:rsidRDefault="009513C9" w:rsidP="00DD6E6E">
            <w:pPr>
              <w:spacing w:line="360" w:lineRule="auto"/>
              <w:ind w:left="-136" w:firstLine="136"/>
              <w:jc w:val="both"/>
              <w:rPr>
                <w:rFonts w:ascii="Palatino Linotype" w:eastAsia="Palatino Linotype" w:hAnsi="Palatino Linotype" w:cs="Palatino Linotype"/>
              </w:rPr>
            </w:pPr>
            <w:r w:rsidRPr="00DD6E6E">
              <w:rPr>
                <w:rFonts w:ascii="Palatino Linotype" w:eastAsia="Palatino Linotype" w:hAnsi="Palatino Linotype" w:cs="Palatino Linotype"/>
                <w:color w:val="000000"/>
              </w:rPr>
              <w:t xml:space="preserve">d) Requisitos de fondo del acuerdo de clasificación. </w:t>
            </w:r>
          </w:p>
        </w:tc>
        <w:tc>
          <w:tcPr>
            <w:tcW w:w="6946" w:type="dxa"/>
          </w:tcPr>
          <w:p w:rsidR="009513C9" w:rsidRPr="00DD6E6E" w:rsidRDefault="009513C9" w:rsidP="00DD6E6E">
            <w:pPr>
              <w:spacing w:line="360" w:lineRule="auto"/>
              <w:ind w:right="49"/>
              <w:jc w:val="both"/>
              <w:rPr>
                <w:rFonts w:ascii="Palatino Linotype" w:eastAsia="Palatino Linotype" w:hAnsi="Palatino Linotype" w:cs="Palatino Linotype"/>
                <w:color w:val="000000"/>
              </w:rPr>
            </w:pPr>
            <w:r w:rsidRPr="00DD6E6E">
              <w:rPr>
                <w:rFonts w:ascii="Palatino Linotype" w:eastAsia="Palatino Linotype" w:hAnsi="Palatino Linotype" w:cs="Palatino Linotype"/>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DD6E6E">
              <w:rPr>
                <w:rFonts w:ascii="Palatino Linotype" w:eastAsia="Palatino Linotype" w:hAnsi="Palatino Linotype" w:cs="Palatino Linotype"/>
                <w:b/>
                <w:color w:val="000000"/>
              </w:rPr>
              <w:t>Sujetos Obligados</w:t>
            </w:r>
            <w:r w:rsidRPr="00DD6E6E">
              <w:rPr>
                <w:rFonts w:ascii="Palatino Linotype" w:eastAsia="Palatino Linotype" w:hAnsi="Palatino Linotype" w:cs="Palatino Linotype"/>
                <w:color w:val="000000"/>
              </w:rPr>
              <w:t xml:space="preserve">, por lo que deberán fundar y motivar debidamente la clasificación. </w:t>
            </w:r>
          </w:p>
          <w:p w:rsidR="009513C9" w:rsidRPr="00DD6E6E" w:rsidRDefault="009513C9" w:rsidP="00DD6E6E">
            <w:pPr>
              <w:spacing w:line="360" w:lineRule="auto"/>
              <w:ind w:right="49"/>
              <w:jc w:val="both"/>
              <w:rPr>
                <w:rFonts w:ascii="Palatino Linotype" w:eastAsia="Palatino Linotype" w:hAnsi="Palatino Linotype" w:cs="Palatino Linotype"/>
                <w:color w:val="000000"/>
              </w:rPr>
            </w:pPr>
            <w:r w:rsidRPr="00DD6E6E">
              <w:rPr>
                <w:rFonts w:ascii="Palatino Linotype" w:eastAsia="Palatino Linotype" w:hAnsi="Palatino Linotype" w:cs="Palatino Linotype"/>
                <w:color w:val="000000"/>
              </w:rPr>
              <w:t xml:space="preserve">De lo anterior, se desprende que para una correcta </w:t>
            </w:r>
            <w:r w:rsidRPr="00DD6E6E">
              <w:rPr>
                <w:rFonts w:ascii="Palatino Linotype" w:eastAsia="Palatino Linotype" w:hAnsi="Palatino Linotype" w:cs="Palatino Linotype"/>
                <w:b/>
                <w:color w:val="000000"/>
              </w:rPr>
              <w:t>clasificación total o parcial</w:t>
            </w:r>
            <w:r w:rsidRPr="00DD6E6E">
              <w:rPr>
                <w:rFonts w:ascii="Palatino Linotype" w:eastAsia="Palatino Linotype" w:hAnsi="Palatino Linotype" w:cs="Palatino Linotype"/>
                <w:color w:val="000000"/>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9513C9" w:rsidRPr="00DD6E6E" w:rsidRDefault="009513C9" w:rsidP="00DD6E6E">
            <w:pPr>
              <w:spacing w:line="360" w:lineRule="auto"/>
              <w:ind w:right="49"/>
              <w:jc w:val="both"/>
              <w:rPr>
                <w:rFonts w:ascii="Palatino Linotype" w:eastAsia="Palatino Linotype" w:hAnsi="Palatino Linotype" w:cs="Palatino Linotype"/>
                <w:color w:val="000000"/>
              </w:rPr>
            </w:pPr>
            <w:r w:rsidRPr="00DD6E6E">
              <w:rPr>
                <w:rFonts w:ascii="Palatino Linotype" w:eastAsia="Palatino Linotype" w:hAnsi="Palatino Linotype" w:cs="Palatino Linotype"/>
                <w:color w:val="000000"/>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9513C9" w:rsidRPr="00DD6E6E" w:rsidRDefault="009513C9" w:rsidP="00DD6E6E">
            <w:pPr>
              <w:spacing w:line="360" w:lineRule="auto"/>
              <w:ind w:right="49"/>
              <w:jc w:val="both"/>
              <w:rPr>
                <w:rFonts w:ascii="Palatino Linotype" w:eastAsia="Palatino Linotype" w:hAnsi="Palatino Linotype" w:cs="Palatino Linotype"/>
                <w:color w:val="000000"/>
              </w:rPr>
            </w:pPr>
            <w:r w:rsidRPr="00DD6E6E">
              <w:rPr>
                <w:rFonts w:ascii="Palatino Linotype" w:eastAsia="Palatino Linotype" w:hAnsi="Palatino Linotype" w:cs="Palatino Linotype"/>
                <w:color w:val="000000"/>
              </w:rPr>
              <w:lastRenderedPageBreak/>
              <w:t>En ese mismo sentido, el numeral trigésimo tercero fracción V de los Lineamientos Generales, precisa que para motivar la clasificación se deben acreditar las circunstancias de tiempo, modo y lugar.</w:t>
            </w:r>
          </w:p>
          <w:p w:rsidR="009513C9" w:rsidRPr="00DD6E6E" w:rsidRDefault="009513C9" w:rsidP="00DD6E6E">
            <w:pPr>
              <w:spacing w:line="360" w:lineRule="auto"/>
              <w:ind w:right="49"/>
              <w:jc w:val="both"/>
              <w:rPr>
                <w:rFonts w:ascii="Palatino Linotype" w:eastAsia="Palatino Linotype" w:hAnsi="Palatino Linotype" w:cs="Palatino Linotype"/>
                <w:color w:val="000000"/>
              </w:rPr>
            </w:pPr>
            <w:r w:rsidRPr="00DD6E6E">
              <w:rPr>
                <w:rFonts w:ascii="Palatino Linotype" w:eastAsia="Palatino Linotype" w:hAnsi="Palatino Linotype" w:cs="Palatino Linotype"/>
                <w:color w:val="000000"/>
              </w:rPr>
              <w:t xml:space="preserve">Ahora bien, </w:t>
            </w:r>
            <w:r w:rsidRPr="00DD6E6E">
              <w:rPr>
                <w:rFonts w:ascii="Palatino Linotype" w:eastAsia="Palatino Linotype" w:hAnsi="Palatino Linotype" w:cs="Palatino Linotype"/>
                <w:b/>
                <w:color w:val="000000"/>
                <w:u w:val="single"/>
              </w:rPr>
              <w:t>para cada caso además de fundar y motivar</w:t>
            </w:r>
            <w:r w:rsidRPr="00DD6E6E">
              <w:rPr>
                <w:rFonts w:ascii="Palatino Linotype" w:eastAsia="Palatino Linotype" w:hAnsi="Palatino Linotype" w:cs="Palatino Linotype"/>
                <w:color w:val="000000"/>
              </w:rPr>
              <w:t>, se debe identificar con claridad que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9513C9" w:rsidRPr="00DD6E6E" w:rsidTr="00DD6E6E">
        <w:tc>
          <w:tcPr>
            <w:tcW w:w="2972" w:type="dxa"/>
          </w:tcPr>
          <w:p w:rsidR="009513C9" w:rsidRPr="00DD6E6E" w:rsidRDefault="009513C9" w:rsidP="00DD6E6E">
            <w:pPr>
              <w:spacing w:line="360" w:lineRule="auto"/>
              <w:ind w:left="-136" w:right="49" w:firstLine="136"/>
              <w:jc w:val="both"/>
              <w:rPr>
                <w:rFonts w:ascii="Palatino Linotype" w:eastAsia="Palatino Linotype" w:hAnsi="Palatino Linotype" w:cs="Palatino Linotype"/>
              </w:rPr>
            </w:pPr>
            <w:r w:rsidRPr="00DD6E6E">
              <w:rPr>
                <w:rFonts w:ascii="Palatino Linotype" w:eastAsia="Palatino Linotype" w:hAnsi="Palatino Linotype" w:cs="Palatino Linotype"/>
              </w:rPr>
              <w:lastRenderedPageBreak/>
              <w:t xml:space="preserve">e) Condiciones especiales de la clasificación de la información como confidencial. </w:t>
            </w:r>
          </w:p>
        </w:tc>
        <w:tc>
          <w:tcPr>
            <w:tcW w:w="6946" w:type="dxa"/>
          </w:tcPr>
          <w:p w:rsidR="009513C9" w:rsidRPr="00DD6E6E" w:rsidRDefault="009513C9" w:rsidP="00DD6E6E">
            <w:pPr>
              <w:spacing w:line="360" w:lineRule="auto"/>
              <w:ind w:right="49"/>
              <w:jc w:val="both"/>
              <w:rPr>
                <w:rFonts w:ascii="Palatino Linotype" w:eastAsia="Palatino Linotype" w:hAnsi="Palatino Linotype" w:cs="Palatino Linotype"/>
                <w:color w:val="000000"/>
              </w:rPr>
            </w:pPr>
            <w:r w:rsidRPr="00DD6E6E">
              <w:rPr>
                <w:rFonts w:ascii="Palatino Linotype" w:eastAsia="Palatino Linotype" w:hAnsi="Palatino Linotype" w:cs="Palatino Linotype"/>
                <w:color w:val="000000"/>
              </w:rPr>
              <w:t xml:space="preserve">Los artículos 148 y 120 de la Ley Estatal y de la Ley General, respectivamente, establecen que aun tratándose de datos personales, se podrán proporcionar, incluso sin solicitar el consentimiento de su titular. </w:t>
            </w:r>
          </w:p>
          <w:p w:rsidR="009513C9" w:rsidRPr="00DD6E6E" w:rsidRDefault="009513C9" w:rsidP="00DD6E6E">
            <w:pPr>
              <w:spacing w:line="360" w:lineRule="auto"/>
              <w:ind w:right="49"/>
              <w:jc w:val="both"/>
              <w:rPr>
                <w:rFonts w:ascii="Palatino Linotype" w:eastAsia="Palatino Linotype" w:hAnsi="Palatino Linotype" w:cs="Palatino Linotype"/>
                <w:color w:val="000000"/>
              </w:rPr>
            </w:pPr>
            <w:r w:rsidRPr="00DD6E6E">
              <w:rPr>
                <w:rFonts w:ascii="Palatino Linotype" w:eastAsia="Palatino Linotype" w:hAnsi="Palatino Linotype" w:cs="Palatino Linotype"/>
                <w:color w:val="000000"/>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9513C9" w:rsidRPr="00DD6E6E" w:rsidRDefault="009513C9" w:rsidP="00DD6E6E">
            <w:pPr>
              <w:spacing w:line="360" w:lineRule="auto"/>
              <w:rPr>
                <w:rFonts w:ascii="Palatino Linotype" w:eastAsia="Palatino Linotype" w:hAnsi="Palatino Linotype" w:cs="Palatino Linotype"/>
              </w:rPr>
            </w:pPr>
            <w:r w:rsidRPr="00DD6E6E">
              <w:rPr>
                <w:rFonts w:ascii="Palatino Linotype" w:eastAsia="Palatino Linotype" w:hAnsi="Palatino Linotype" w:cs="Palatino Linotype"/>
                <w:color w:val="000000"/>
              </w:rPr>
              <w:t xml:space="preserve">Pero si la información que se pretende clasificar como confidencial no se encuentra en los supuestos de los artículos señalados y es posible, se deberá consultar al titular de los </w:t>
            </w:r>
            <w:r w:rsidRPr="00DD6E6E">
              <w:rPr>
                <w:rFonts w:ascii="Palatino Linotype" w:eastAsia="Palatino Linotype" w:hAnsi="Palatino Linotype" w:cs="Palatino Linotype"/>
                <w:color w:val="000000"/>
              </w:rPr>
              <w:lastRenderedPageBreak/>
              <w:t>datos si permite o no el acceso. De no ser posible, la realización de la consulta, procede, fundando y motivando, la clasificación.</w:t>
            </w:r>
          </w:p>
        </w:tc>
      </w:tr>
    </w:tbl>
    <w:p w:rsidR="009513C9" w:rsidRPr="00DD6E6E" w:rsidRDefault="009513C9" w:rsidP="009513C9">
      <w:pPr>
        <w:tabs>
          <w:tab w:val="left" w:pos="284"/>
        </w:tabs>
        <w:spacing w:line="360" w:lineRule="auto"/>
        <w:jc w:val="both"/>
        <w:rPr>
          <w:rFonts w:ascii="Palatino Linotype" w:eastAsia="Palatino Linotype" w:hAnsi="Palatino Linotype" w:cs="Palatino Linotype"/>
          <w:color w:val="000000"/>
        </w:rPr>
      </w:pPr>
    </w:p>
    <w:p w:rsidR="009513C9" w:rsidRPr="00DD6E6E" w:rsidRDefault="009513C9" w:rsidP="009513C9">
      <w:pPr>
        <w:numPr>
          <w:ilvl w:val="0"/>
          <w:numId w:val="1"/>
        </w:numPr>
        <w:spacing w:line="360" w:lineRule="auto"/>
        <w:ind w:left="0" w:right="1" w:firstLine="0"/>
        <w:jc w:val="both"/>
        <w:rPr>
          <w:rFonts w:ascii="Palatino Linotype" w:eastAsia="Palatino Linotype" w:hAnsi="Palatino Linotype" w:cs="Palatino Linotype"/>
        </w:rPr>
      </w:pPr>
      <w:r w:rsidRPr="00DD6E6E">
        <w:rPr>
          <w:rFonts w:ascii="Palatino Linotype" w:eastAsia="Palatino Linotype" w:hAnsi="Palatino Linotype" w:cs="Palatino Linotype"/>
        </w:rPr>
        <w:t xml:space="preserve">Ahora bien, es necesario indiciar que de la información que se entregue por el </w:t>
      </w:r>
      <w:r w:rsidRPr="00DD6E6E">
        <w:rPr>
          <w:rFonts w:ascii="Palatino Linotype" w:eastAsia="Palatino Linotype" w:hAnsi="Palatino Linotype" w:cs="Palatino Linotype"/>
          <w:b/>
        </w:rPr>
        <w:t xml:space="preserve">RECURRENTE </w:t>
      </w:r>
      <w:r w:rsidRPr="00DD6E6E">
        <w:rPr>
          <w:rFonts w:ascii="Palatino Linotype" w:eastAsia="Palatino Linotype" w:hAnsi="Palatino Linotype" w:cs="Palatino Linotype"/>
        </w:rPr>
        <w:t xml:space="preserve">puede contener información que deba de ser clasificada como confidencial de acuerdo con el artículo 143 fracción I de la Ley de Transparencia y Acceso a la Información Pública del Estado de México y Municipios, siendo de manera enunciativa más no limitativa los siguientes datos.  </w:t>
      </w:r>
    </w:p>
    <w:p w:rsidR="009513C9" w:rsidRPr="00DD6E6E" w:rsidRDefault="009513C9" w:rsidP="009513C9">
      <w:pPr>
        <w:tabs>
          <w:tab w:val="left" w:pos="284"/>
        </w:tabs>
        <w:spacing w:line="360" w:lineRule="auto"/>
        <w:jc w:val="both"/>
        <w:rPr>
          <w:rFonts w:ascii="Palatino Linotype" w:eastAsia="Palatino Linotype" w:hAnsi="Palatino Linotype" w:cs="Palatino Linotype"/>
        </w:rPr>
      </w:pPr>
    </w:p>
    <w:p w:rsidR="009513C9" w:rsidRPr="00DD6E6E" w:rsidRDefault="009513C9" w:rsidP="009513C9">
      <w:pPr>
        <w:spacing w:line="360" w:lineRule="auto"/>
        <w:jc w:val="both"/>
        <w:rPr>
          <w:rFonts w:ascii="Palatino Linotype" w:eastAsia="Palatino Linotype" w:hAnsi="Palatino Linotype" w:cs="Palatino Linotype"/>
          <w:color w:val="000000"/>
        </w:rPr>
      </w:pPr>
      <w:r w:rsidRPr="00DD6E6E">
        <w:rPr>
          <w:rFonts w:ascii="Palatino Linotype" w:eastAsia="Palatino Linotype" w:hAnsi="Palatino Linotype" w:cs="Palatino Linotype"/>
          <w:b/>
          <w:color w:val="000000"/>
        </w:rPr>
        <w:t>Registro Federal de Contribuyentes</w:t>
      </w:r>
      <w:r w:rsidRPr="00DD6E6E">
        <w:rPr>
          <w:rFonts w:ascii="Palatino Linotype" w:eastAsia="Palatino Linotype" w:hAnsi="Palatino Linotype" w:cs="Palatino Linotype"/>
          <w:color w:val="000000"/>
        </w:rPr>
        <w:t xml:space="preserve"> (RFC)</w:t>
      </w:r>
    </w:p>
    <w:p w:rsidR="009513C9" w:rsidRPr="00DD6E6E" w:rsidRDefault="009513C9" w:rsidP="009513C9">
      <w:pPr>
        <w:numPr>
          <w:ilvl w:val="0"/>
          <w:numId w:val="1"/>
        </w:numPr>
        <w:spacing w:line="360" w:lineRule="auto"/>
        <w:ind w:left="0" w:right="1" w:firstLine="0"/>
        <w:jc w:val="both"/>
        <w:rPr>
          <w:rFonts w:ascii="Palatino Linotype" w:eastAsia="Palatino Linotype" w:hAnsi="Palatino Linotype" w:cs="Palatino Linotype"/>
          <w:color w:val="000000"/>
        </w:rPr>
      </w:pPr>
      <w:r w:rsidRPr="00DD6E6E">
        <w:rPr>
          <w:rFonts w:ascii="Palatino Linotype" w:eastAsia="Palatino Linotype" w:hAnsi="Palatino Linotype" w:cs="Palatino Linotype"/>
          <w:color w:val="000000"/>
        </w:rPr>
        <w:t>Las personas físicas que deban presentar declaraciones periódicas o que están obligadas a expedir comprobantes fiscales, tienen que solicitar su inscripción en el Registro Federal de Contribuyentes, esta inscripción es realizada por el Servicio de Administración Tributaria, quien entrega una cédula de identificación fiscal en donde consta la clave que asigna este órgano desconcentrado de la Secretaría de Hacienda y Crédito Público, de acuerdo con el artículo 27 del Código Fiscal de la Federación.</w:t>
      </w:r>
    </w:p>
    <w:p w:rsidR="009513C9" w:rsidRPr="00DD6E6E" w:rsidRDefault="009513C9" w:rsidP="009513C9">
      <w:pPr>
        <w:spacing w:line="360" w:lineRule="auto"/>
        <w:jc w:val="both"/>
        <w:rPr>
          <w:rFonts w:ascii="Palatino Linotype" w:eastAsia="Palatino Linotype" w:hAnsi="Palatino Linotype" w:cs="Palatino Linotype"/>
          <w:color w:val="000000"/>
        </w:rPr>
      </w:pPr>
    </w:p>
    <w:p w:rsidR="009513C9" w:rsidRPr="00DD6E6E" w:rsidRDefault="009513C9" w:rsidP="009513C9">
      <w:pPr>
        <w:numPr>
          <w:ilvl w:val="0"/>
          <w:numId w:val="1"/>
        </w:numPr>
        <w:spacing w:line="360" w:lineRule="auto"/>
        <w:ind w:left="0" w:right="1" w:firstLine="0"/>
        <w:jc w:val="both"/>
        <w:rPr>
          <w:rFonts w:ascii="Palatino Linotype" w:eastAsia="Palatino Linotype" w:hAnsi="Palatino Linotype" w:cs="Palatino Linotype"/>
          <w:color w:val="000000"/>
        </w:rPr>
      </w:pPr>
      <w:r w:rsidRPr="00DD6E6E">
        <w:rPr>
          <w:rFonts w:ascii="Palatino Linotype" w:eastAsia="Palatino Linotype" w:hAnsi="Palatino Linotype" w:cs="Palatino Linotype"/>
          <w:color w:val="000000"/>
        </w:rPr>
        <w:t>De acuerdo con lo establecido en el artículo en comento, esta clave se compone de trece caracteres alfanuméricos, con datos obtenidos de los apellidos, nombre (s), fecha de nacimiento del titular, más una homoclave que establece el sistema automático del Servicio de Administración Tributaria.</w:t>
      </w:r>
    </w:p>
    <w:p w:rsidR="009513C9" w:rsidRPr="00DD6E6E" w:rsidRDefault="009513C9" w:rsidP="009513C9">
      <w:pPr>
        <w:spacing w:line="360" w:lineRule="auto"/>
        <w:jc w:val="both"/>
        <w:rPr>
          <w:rFonts w:ascii="Palatino Linotype" w:eastAsia="Palatino Linotype" w:hAnsi="Palatino Linotype" w:cs="Palatino Linotype"/>
          <w:color w:val="000000"/>
        </w:rPr>
      </w:pPr>
    </w:p>
    <w:p w:rsidR="009513C9" w:rsidRPr="00DD6E6E" w:rsidRDefault="009513C9" w:rsidP="009513C9">
      <w:pPr>
        <w:numPr>
          <w:ilvl w:val="0"/>
          <w:numId w:val="1"/>
        </w:numPr>
        <w:spacing w:line="360" w:lineRule="auto"/>
        <w:ind w:left="0" w:right="1" w:firstLine="0"/>
        <w:jc w:val="both"/>
        <w:rPr>
          <w:rFonts w:ascii="Palatino Linotype" w:eastAsia="Palatino Linotype" w:hAnsi="Palatino Linotype" w:cs="Palatino Linotype"/>
          <w:color w:val="000000"/>
        </w:rPr>
      </w:pPr>
      <w:r w:rsidRPr="00DD6E6E">
        <w:rPr>
          <w:rFonts w:ascii="Palatino Linotype" w:eastAsia="Palatino Linotype" w:hAnsi="Palatino Linotype" w:cs="Palatino Linotype"/>
          <w:color w:val="000000"/>
        </w:rPr>
        <w:t xml:space="preserve">Ahora bien, la clave del Registro Federal de Contribuyentes es el medio de control que tiene la Secretaría de Hacienda y Crédito Público, a través del Servicio de Administración </w:t>
      </w:r>
      <w:r w:rsidRPr="00DD6E6E">
        <w:rPr>
          <w:rFonts w:ascii="Palatino Linotype" w:eastAsia="Palatino Linotype" w:hAnsi="Palatino Linotype" w:cs="Palatino Linotype"/>
          <w:color w:val="000000"/>
        </w:rPr>
        <w:lastRenderedPageBreak/>
        <w:t>Tributaria, para exigir y vigilar el cumplimiento de las obligaciones fiscales de los contribuyentes; mientras que los particulares tramitan dicho dato, con el único propósito de realizar mediante esa clave de identificación, operaciones o actividades de naturaleza fiscal.</w:t>
      </w:r>
    </w:p>
    <w:p w:rsidR="009513C9" w:rsidRPr="00DD6E6E" w:rsidRDefault="009513C9" w:rsidP="009513C9">
      <w:pPr>
        <w:spacing w:line="360" w:lineRule="auto"/>
        <w:jc w:val="both"/>
        <w:rPr>
          <w:rFonts w:ascii="Palatino Linotype" w:eastAsia="Palatino Linotype" w:hAnsi="Palatino Linotype" w:cs="Palatino Linotype"/>
          <w:color w:val="000000"/>
        </w:rPr>
      </w:pPr>
    </w:p>
    <w:p w:rsidR="009513C9" w:rsidRPr="00DD6E6E" w:rsidRDefault="009513C9" w:rsidP="009513C9">
      <w:pPr>
        <w:numPr>
          <w:ilvl w:val="0"/>
          <w:numId w:val="1"/>
        </w:numPr>
        <w:spacing w:line="360" w:lineRule="auto"/>
        <w:ind w:left="0" w:right="1" w:firstLine="0"/>
        <w:jc w:val="both"/>
        <w:rPr>
          <w:rFonts w:ascii="Palatino Linotype" w:eastAsia="Palatino Linotype" w:hAnsi="Palatino Linotype" w:cs="Palatino Linotype"/>
          <w:color w:val="000000"/>
        </w:rPr>
      </w:pPr>
      <w:r w:rsidRPr="00DD6E6E">
        <w:rPr>
          <w:rFonts w:ascii="Palatino Linotype" w:eastAsia="Palatino Linotype" w:hAnsi="Palatino Linotype" w:cs="Palatino Linotype"/>
          <w:color w:val="000000"/>
        </w:rPr>
        <w:t xml:space="preserve">Conforme a lo expuesto, el Registro Federal de Contribuyentes, es un dato personal, ya que hace a las personas físicas identificables, además de que las relaciona como contribuyentes de las autoridades fiscales. Es de destacar que dicho dato únicamente sirve para efectos fiscales y pago de contribuciones, por lo que se trata de un dato relevante únicamente para las personas involucradas, en el pago de estos, en el presente caso, del pago del Impuesto Sobre el Producto del Trabajo. </w:t>
      </w:r>
    </w:p>
    <w:p w:rsidR="009513C9" w:rsidRPr="00DD6E6E" w:rsidRDefault="009513C9" w:rsidP="009513C9">
      <w:pPr>
        <w:spacing w:line="360" w:lineRule="auto"/>
        <w:jc w:val="both"/>
        <w:rPr>
          <w:rFonts w:ascii="Palatino Linotype" w:eastAsia="Palatino Linotype" w:hAnsi="Palatino Linotype" w:cs="Palatino Linotype"/>
          <w:color w:val="000000"/>
        </w:rPr>
      </w:pPr>
    </w:p>
    <w:p w:rsidR="009513C9" w:rsidRPr="00DD6E6E" w:rsidRDefault="009513C9" w:rsidP="009513C9">
      <w:pPr>
        <w:numPr>
          <w:ilvl w:val="0"/>
          <w:numId w:val="1"/>
        </w:numPr>
        <w:spacing w:line="360" w:lineRule="auto"/>
        <w:ind w:left="0" w:right="1" w:firstLine="0"/>
        <w:jc w:val="both"/>
        <w:rPr>
          <w:rFonts w:ascii="Palatino Linotype" w:eastAsia="Palatino Linotype" w:hAnsi="Palatino Linotype" w:cs="Palatino Linotype"/>
          <w:color w:val="000000"/>
        </w:rPr>
      </w:pPr>
      <w:r w:rsidRPr="00DD6E6E">
        <w:rPr>
          <w:rFonts w:ascii="Palatino Linotype" w:eastAsia="Palatino Linotype" w:hAnsi="Palatino Linotype" w:cs="Palatino Linotype"/>
          <w:color w:val="000000"/>
        </w:rPr>
        <w:t>Lo anterior, resulta congruente con el Criterio 19/17 emitido por el Instituto Nacional de Transparencia, Acceso a la Información y Protección de Datos Personales, en el cual se señala lo siguiente:</w:t>
      </w:r>
    </w:p>
    <w:p w:rsidR="009513C9" w:rsidRPr="00DD6E6E" w:rsidRDefault="009513C9" w:rsidP="009513C9">
      <w:pPr>
        <w:ind w:left="1134" w:right="900"/>
        <w:jc w:val="both"/>
        <w:rPr>
          <w:rFonts w:ascii="Palatino Linotype" w:eastAsia="Palatino Linotype" w:hAnsi="Palatino Linotype" w:cs="Palatino Linotype"/>
          <w:i/>
          <w:color w:val="000000"/>
        </w:rPr>
      </w:pPr>
      <w:r w:rsidRPr="00DD6E6E">
        <w:rPr>
          <w:rFonts w:ascii="Palatino Linotype" w:eastAsia="Palatino Linotype" w:hAnsi="Palatino Linotype" w:cs="Palatino Linotype"/>
          <w:i/>
          <w:color w:val="000000"/>
        </w:rPr>
        <w:t>“</w:t>
      </w:r>
      <w:r w:rsidRPr="00DD6E6E">
        <w:rPr>
          <w:rFonts w:ascii="Palatino Linotype" w:eastAsia="Palatino Linotype" w:hAnsi="Palatino Linotype" w:cs="Palatino Linotype"/>
          <w:b/>
          <w:i/>
          <w:color w:val="000000"/>
        </w:rPr>
        <w:t>Registro Federal de Contribuyentes (RFC) de personas físicas</w:t>
      </w:r>
      <w:r w:rsidRPr="00DD6E6E">
        <w:rPr>
          <w:rFonts w:ascii="Palatino Linotype" w:eastAsia="Palatino Linotype" w:hAnsi="Palatino Linotype" w:cs="Palatino Linotype"/>
          <w:i/>
          <w:color w:val="000000"/>
        </w:rPr>
        <w:t>. El RFC es una clave de carácter fiscal, única e irrepetible, que permite identificar al titular, su edad y fecha de nacimiento, por lo que es un dato personal de carácter confidencial.”</w:t>
      </w:r>
    </w:p>
    <w:p w:rsidR="009513C9" w:rsidRPr="00DD6E6E" w:rsidRDefault="009513C9" w:rsidP="009513C9">
      <w:pPr>
        <w:ind w:left="1134" w:right="900"/>
        <w:jc w:val="both"/>
        <w:rPr>
          <w:rFonts w:ascii="Palatino Linotype" w:eastAsia="Palatino Linotype" w:hAnsi="Palatino Linotype" w:cs="Palatino Linotype"/>
          <w:color w:val="000000"/>
        </w:rPr>
      </w:pPr>
    </w:p>
    <w:p w:rsidR="009513C9" w:rsidRPr="00DD6E6E" w:rsidRDefault="009513C9" w:rsidP="009513C9">
      <w:pPr>
        <w:numPr>
          <w:ilvl w:val="0"/>
          <w:numId w:val="1"/>
        </w:numPr>
        <w:spacing w:line="360" w:lineRule="auto"/>
        <w:ind w:left="0" w:right="1" w:firstLine="0"/>
        <w:jc w:val="both"/>
        <w:rPr>
          <w:rFonts w:ascii="Palatino Linotype" w:eastAsia="Palatino Linotype" w:hAnsi="Palatino Linotype" w:cs="Palatino Linotype"/>
          <w:color w:val="000000"/>
        </w:rPr>
      </w:pPr>
      <w:r w:rsidRPr="00DD6E6E">
        <w:rPr>
          <w:rFonts w:ascii="Palatino Linotype" w:eastAsia="Palatino Linotype" w:hAnsi="Palatino Linotype" w:cs="Palatino Linotype"/>
          <w:color w:val="000000"/>
        </w:rPr>
        <w:t>De tal suerte, el Registro Federal de Contribuyentes de los servidores públicos no guarda relación con la transparencia de los recursos públicos, así como tampoco con el desempeño laboral que pueda tener una persona, por lo que constituye un dato personal confidencial al actualizar el supuesto normativo del artículo 143, fracción I de la Ley de Transparencia y Acceso a la Información Pública del Estado de México y Municipios.</w:t>
      </w:r>
    </w:p>
    <w:p w:rsidR="009513C9" w:rsidRDefault="009513C9" w:rsidP="009513C9">
      <w:pPr>
        <w:spacing w:line="360" w:lineRule="auto"/>
        <w:jc w:val="both"/>
        <w:rPr>
          <w:rFonts w:ascii="Palatino Linotype" w:eastAsia="Palatino Linotype" w:hAnsi="Palatino Linotype" w:cs="Palatino Linotype"/>
          <w:color w:val="000000"/>
        </w:rPr>
      </w:pPr>
    </w:p>
    <w:p w:rsidR="00DD6E6E" w:rsidRPr="00DD6E6E" w:rsidRDefault="00DD6E6E" w:rsidP="009513C9">
      <w:pPr>
        <w:spacing w:line="360" w:lineRule="auto"/>
        <w:jc w:val="both"/>
        <w:rPr>
          <w:rFonts w:ascii="Palatino Linotype" w:eastAsia="Palatino Linotype" w:hAnsi="Palatino Linotype" w:cs="Palatino Linotype"/>
          <w:color w:val="000000"/>
        </w:rPr>
      </w:pPr>
    </w:p>
    <w:p w:rsidR="009513C9" w:rsidRPr="00DD6E6E" w:rsidRDefault="009513C9" w:rsidP="009513C9">
      <w:pPr>
        <w:spacing w:line="360" w:lineRule="auto"/>
        <w:jc w:val="both"/>
        <w:rPr>
          <w:rFonts w:ascii="Palatino Linotype" w:eastAsia="Palatino Linotype" w:hAnsi="Palatino Linotype" w:cs="Palatino Linotype"/>
          <w:b/>
          <w:color w:val="000000"/>
        </w:rPr>
      </w:pPr>
      <w:r w:rsidRPr="00DD6E6E">
        <w:rPr>
          <w:rFonts w:ascii="Palatino Linotype" w:eastAsia="Palatino Linotype" w:hAnsi="Palatino Linotype" w:cs="Palatino Linotype"/>
          <w:b/>
          <w:color w:val="000000"/>
        </w:rPr>
        <w:lastRenderedPageBreak/>
        <w:t>Clave única de Registro de Población –CURP-.</w:t>
      </w:r>
    </w:p>
    <w:p w:rsidR="009513C9" w:rsidRPr="00DD6E6E" w:rsidRDefault="009513C9" w:rsidP="009513C9">
      <w:pPr>
        <w:numPr>
          <w:ilvl w:val="0"/>
          <w:numId w:val="1"/>
        </w:numPr>
        <w:spacing w:line="360" w:lineRule="auto"/>
        <w:ind w:left="0" w:right="1" w:firstLine="0"/>
        <w:jc w:val="both"/>
        <w:rPr>
          <w:rFonts w:ascii="Palatino Linotype" w:eastAsia="Palatino Linotype" w:hAnsi="Palatino Linotype" w:cs="Palatino Linotype"/>
          <w:color w:val="000000"/>
        </w:rPr>
      </w:pPr>
      <w:r w:rsidRPr="00DD6E6E">
        <w:rPr>
          <w:rFonts w:ascii="Palatino Linotype" w:eastAsia="Palatino Linotype" w:hAnsi="Palatino Linotype" w:cs="Palatino Linotype"/>
          <w:color w:val="000000"/>
        </w:rPr>
        <w:t xml:space="preserve">El artículo 36 de la Constitución Política de los Estados Unidos Mexicanos, dispone la obligación de los ciudadanos de inscribirse en el Registro Nacional de Ciudadanos. </w:t>
      </w:r>
    </w:p>
    <w:p w:rsidR="009513C9" w:rsidRPr="00DD6E6E" w:rsidRDefault="009513C9" w:rsidP="009513C9">
      <w:pPr>
        <w:spacing w:line="360" w:lineRule="auto"/>
        <w:jc w:val="both"/>
        <w:rPr>
          <w:rFonts w:ascii="Palatino Linotype" w:eastAsia="Palatino Linotype" w:hAnsi="Palatino Linotype" w:cs="Palatino Linotype"/>
          <w:color w:val="000000"/>
        </w:rPr>
      </w:pPr>
    </w:p>
    <w:p w:rsidR="009513C9" w:rsidRPr="00DD6E6E" w:rsidRDefault="009513C9" w:rsidP="009513C9">
      <w:pPr>
        <w:numPr>
          <w:ilvl w:val="0"/>
          <w:numId w:val="1"/>
        </w:numPr>
        <w:spacing w:line="360" w:lineRule="auto"/>
        <w:ind w:left="0" w:right="1" w:firstLine="0"/>
        <w:jc w:val="both"/>
        <w:rPr>
          <w:rFonts w:ascii="Palatino Linotype" w:eastAsia="Palatino Linotype" w:hAnsi="Palatino Linotype" w:cs="Palatino Linotype"/>
          <w:color w:val="000000"/>
        </w:rPr>
      </w:pPr>
      <w:r w:rsidRPr="00DD6E6E">
        <w:rPr>
          <w:rFonts w:ascii="Palatino Linotype" w:eastAsia="Palatino Linotype" w:hAnsi="Palatino Linotype" w:cs="Palatino Linotype"/>
          <w:color w:val="000000"/>
        </w:rPr>
        <w:t>El artículo 85 de la Ley General de Población, prevé que corresponde a la Secretaría de Gobernación el registro y acreditación de la identidad de todas las personas residentes en el país y de los nacionales que residan en el extranjero.</w:t>
      </w:r>
    </w:p>
    <w:p w:rsidR="009513C9" w:rsidRPr="00DD6E6E" w:rsidRDefault="009513C9" w:rsidP="009513C9">
      <w:pPr>
        <w:spacing w:line="360" w:lineRule="auto"/>
        <w:jc w:val="both"/>
        <w:rPr>
          <w:rFonts w:ascii="Palatino Linotype" w:eastAsia="Palatino Linotype" w:hAnsi="Palatino Linotype" w:cs="Palatino Linotype"/>
          <w:color w:val="000000"/>
        </w:rPr>
      </w:pPr>
    </w:p>
    <w:p w:rsidR="009513C9" w:rsidRPr="00DD6E6E" w:rsidRDefault="009513C9" w:rsidP="009513C9">
      <w:pPr>
        <w:numPr>
          <w:ilvl w:val="0"/>
          <w:numId w:val="1"/>
        </w:numPr>
        <w:spacing w:line="360" w:lineRule="auto"/>
        <w:ind w:left="0" w:right="1" w:firstLine="0"/>
        <w:jc w:val="both"/>
        <w:rPr>
          <w:rFonts w:ascii="Palatino Linotype" w:eastAsia="Palatino Linotype" w:hAnsi="Palatino Linotype" w:cs="Palatino Linotype"/>
          <w:color w:val="000000"/>
        </w:rPr>
      </w:pPr>
      <w:r w:rsidRPr="00DD6E6E">
        <w:rPr>
          <w:rFonts w:ascii="Palatino Linotype" w:eastAsia="Palatino Linotype" w:hAnsi="Palatino Linotype" w:cs="Palatino Linotype"/>
          <w:color w:val="000000"/>
        </w:rPr>
        <w:t>Acorde con lo anterior, el artículo 22 del Reglamento Interior de la Secretaría de Gobernación, establece en su fracción III, que la Dirección General del Registro Nacional de Población e Identificación Personal tiene la atribución de asignar y depurar la Clave Única de Registro de Población a todas las personas residentes en el país, así como a los mexicanos que residan en el extranjero.</w:t>
      </w:r>
    </w:p>
    <w:p w:rsidR="009513C9" w:rsidRPr="00DD6E6E" w:rsidRDefault="009513C9" w:rsidP="009513C9">
      <w:pPr>
        <w:spacing w:line="360" w:lineRule="auto"/>
        <w:jc w:val="both"/>
        <w:rPr>
          <w:rFonts w:ascii="Palatino Linotype" w:eastAsia="Palatino Linotype" w:hAnsi="Palatino Linotype" w:cs="Palatino Linotype"/>
          <w:b/>
          <w:color w:val="000000"/>
        </w:rPr>
      </w:pPr>
    </w:p>
    <w:p w:rsidR="009513C9" w:rsidRPr="00DD6E6E" w:rsidRDefault="009513C9" w:rsidP="009513C9">
      <w:pPr>
        <w:numPr>
          <w:ilvl w:val="0"/>
          <w:numId w:val="1"/>
        </w:numPr>
        <w:spacing w:line="360" w:lineRule="auto"/>
        <w:ind w:left="0" w:right="1" w:firstLine="0"/>
        <w:jc w:val="both"/>
        <w:rPr>
          <w:rFonts w:ascii="Palatino Linotype" w:eastAsia="Palatino Linotype" w:hAnsi="Palatino Linotype" w:cs="Palatino Linotype"/>
          <w:color w:val="000000"/>
        </w:rPr>
      </w:pPr>
      <w:r w:rsidRPr="00DD6E6E">
        <w:rPr>
          <w:rFonts w:ascii="Palatino Linotype" w:eastAsia="Palatino Linotype" w:hAnsi="Palatino Linotype" w:cs="Palatino Linotype"/>
          <w:color w:val="000000"/>
        </w:rPr>
        <w:t xml:space="preserve">De conformidad con lo precisado por la propia Secretaría de Gobernación en la dirección </w:t>
      </w:r>
      <w:hyperlink r:id="rId7">
        <w:r w:rsidRPr="00DD6E6E">
          <w:rPr>
            <w:rFonts w:ascii="Palatino Linotype" w:eastAsia="Palatino Linotype" w:hAnsi="Palatino Linotype" w:cs="Palatino Linotype"/>
            <w:color w:val="0563C1"/>
            <w:u w:val="single"/>
          </w:rPr>
          <w:t>https://consultas.curp.gob.mx/CurpSP/html/informacionecurpPS.html</w:t>
        </w:r>
      </w:hyperlink>
      <w:r w:rsidRPr="00DD6E6E">
        <w:rPr>
          <w:rFonts w:ascii="Palatino Linotype" w:eastAsia="Palatino Linotype" w:hAnsi="Palatino Linotype" w:cs="Palatino Linotype"/>
          <w:color w:val="000000"/>
        </w:rPr>
        <w:t xml:space="preserve">, la Clave Única del Registro de Población  CURP-, es un instrumento de registro que se asigna a todas las personas que viven en el territorio nacional, así como a los mexicanos que residen en el extranjero y se compone de dieciocho elementos, representados por letras y números, que </w:t>
      </w:r>
      <w:r w:rsidRPr="00DD6E6E">
        <w:rPr>
          <w:rFonts w:ascii="Palatino Linotype" w:eastAsia="Palatino Linotype" w:hAnsi="Palatino Linotype" w:cs="Palatino Linotype"/>
          <w:b/>
          <w:color w:val="000000"/>
        </w:rPr>
        <w:t xml:space="preserve">se generan a partir de los datos contenidos en el documento probatorio de la identidad del interesado </w:t>
      </w:r>
      <w:r w:rsidRPr="00DD6E6E">
        <w:rPr>
          <w:rFonts w:ascii="Palatino Linotype" w:eastAsia="Palatino Linotype" w:hAnsi="Palatino Linotype" w:cs="Palatino Linotype"/>
          <w:color w:val="000000"/>
        </w:rPr>
        <w:t>(acta de nacimiento, carta de naturalización o documento migratorio) de la siguiente forma:</w:t>
      </w:r>
    </w:p>
    <w:p w:rsidR="009513C9" w:rsidRPr="00DD6E6E" w:rsidRDefault="009513C9" w:rsidP="009513C9">
      <w:pPr>
        <w:spacing w:line="360" w:lineRule="auto"/>
        <w:jc w:val="both"/>
        <w:rPr>
          <w:rFonts w:ascii="Palatino Linotype" w:eastAsia="Palatino Linotype" w:hAnsi="Palatino Linotype" w:cs="Palatino Linotype"/>
          <w:color w:val="000000"/>
        </w:rPr>
      </w:pPr>
      <w:r w:rsidRPr="00DD6E6E">
        <w:rPr>
          <w:rFonts w:ascii="Palatino Linotype" w:eastAsia="Palatino Linotype" w:hAnsi="Palatino Linotype" w:cs="Palatino Linotype"/>
          <w:color w:val="000000"/>
        </w:rPr>
        <w:t xml:space="preserve"> • El primero y segundo apellidos, así como al nombre de pila.</w:t>
      </w:r>
    </w:p>
    <w:p w:rsidR="009513C9" w:rsidRPr="00DD6E6E" w:rsidRDefault="009513C9" w:rsidP="009513C9">
      <w:pPr>
        <w:spacing w:line="360" w:lineRule="auto"/>
        <w:jc w:val="both"/>
        <w:rPr>
          <w:rFonts w:ascii="Palatino Linotype" w:eastAsia="Palatino Linotype" w:hAnsi="Palatino Linotype" w:cs="Palatino Linotype"/>
          <w:color w:val="000000"/>
        </w:rPr>
      </w:pPr>
      <w:r w:rsidRPr="00DD6E6E">
        <w:rPr>
          <w:rFonts w:ascii="Palatino Linotype" w:eastAsia="Palatino Linotype" w:hAnsi="Palatino Linotype" w:cs="Palatino Linotype"/>
          <w:color w:val="000000"/>
        </w:rPr>
        <w:t xml:space="preserve"> • La fecha de nacimiento.</w:t>
      </w:r>
    </w:p>
    <w:p w:rsidR="009513C9" w:rsidRPr="00DD6E6E" w:rsidRDefault="009513C9" w:rsidP="009513C9">
      <w:pPr>
        <w:spacing w:line="360" w:lineRule="auto"/>
        <w:jc w:val="both"/>
        <w:rPr>
          <w:rFonts w:ascii="Palatino Linotype" w:eastAsia="Palatino Linotype" w:hAnsi="Palatino Linotype" w:cs="Palatino Linotype"/>
          <w:color w:val="000000"/>
        </w:rPr>
      </w:pPr>
      <w:r w:rsidRPr="00DD6E6E">
        <w:rPr>
          <w:rFonts w:ascii="Palatino Linotype" w:eastAsia="Palatino Linotype" w:hAnsi="Palatino Linotype" w:cs="Palatino Linotype"/>
          <w:color w:val="000000"/>
        </w:rPr>
        <w:t xml:space="preserve"> • El sexo.</w:t>
      </w:r>
    </w:p>
    <w:p w:rsidR="009513C9" w:rsidRPr="00DD6E6E" w:rsidRDefault="009513C9" w:rsidP="009513C9">
      <w:pPr>
        <w:spacing w:line="360" w:lineRule="auto"/>
        <w:jc w:val="both"/>
        <w:rPr>
          <w:rFonts w:ascii="Palatino Linotype" w:eastAsia="Palatino Linotype" w:hAnsi="Palatino Linotype" w:cs="Palatino Linotype"/>
          <w:color w:val="000000"/>
        </w:rPr>
      </w:pPr>
      <w:r w:rsidRPr="00DD6E6E">
        <w:rPr>
          <w:rFonts w:ascii="Palatino Linotype" w:eastAsia="Palatino Linotype" w:hAnsi="Palatino Linotype" w:cs="Palatino Linotype"/>
          <w:color w:val="000000"/>
        </w:rPr>
        <w:lastRenderedPageBreak/>
        <w:t xml:space="preserve"> • La entidad federativa de nacimiento.</w:t>
      </w:r>
    </w:p>
    <w:p w:rsidR="009513C9" w:rsidRPr="00DD6E6E" w:rsidRDefault="009513C9" w:rsidP="009513C9">
      <w:pPr>
        <w:spacing w:line="360" w:lineRule="auto"/>
        <w:jc w:val="both"/>
        <w:rPr>
          <w:rFonts w:ascii="Palatino Linotype" w:eastAsia="Palatino Linotype" w:hAnsi="Palatino Linotype" w:cs="Palatino Linotype"/>
          <w:color w:val="000000"/>
        </w:rPr>
      </w:pPr>
      <w:r w:rsidRPr="00DD6E6E">
        <w:rPr>
          <w:rFonts w:ascii="Palatino Linotype" w:eastAsia="Palatino Linotype" w:hAnsi="Palatino Linotype" w:cs="Palatino Linotype"/>
          <w:color w:val="000000"/>
        </w:rPr>
        <w:t>Los dos últimos elementos de la CURP evitan la duplicidad de la Clave y garantizan su correcta integración.</w:t>
      </w:r>
    </w:p>
    <w:p w:rsidR="009513C9" w:rsidRPr="00DD6E6E" w:rsidRDefault="009513C9" w:rsidP="009513C9">
      <w:pPr>
        <w:spacing w:line="360" w:lineRule="auto"/>
        <w:jc w:val="both"/>
        <w:rPr>
          <w:rFonts w:ascii="Palatino Linotype" w:eastAsia="Palatino Linotype" w:hAnsi="Palatino Linotype" w:cs="Palatino Linotype"/>
          <w:color w:val="000000"/>
        </w:rPr>
      </w:pPr>
    </w:p>
    <w:p w:rsidR="009513C9" w:rsidRPr="00DD6E6E" w:rsidRDefault="009513C9" w:rsidP="009513C9">
      <w:pPr>
        <w:numPr>
          <w:ilvl w:val="0"/>
          <w:numId w:val="1"/>
        </w:numPr>
        <w:spacing w:line="360" w:lineRule="auto"/>
        <w:ind w:left="0" w:right="1" w:firstLine="0"/>
        <w:jc w:val="both"/>
        <w:rPr>
          <w:rFonts w:ascii="Palatino Linotype" w:eastAsia="Palatino Linotype" w:hAnsi="Palatino Linotype" w:cs="Palatino Linotype"/>
          <w:color w:val="000000"/>
        </w:rPr>
      </w:pPr>
      <w:r w:rsidRPr="00DD6E6E">
        <w:rPr>
          <w:rFonts w:ascii="Palatino Linotype" w:eastAsia="Palatino Linotype" w:hAnsi="Palatino Linotype" w:cs="Palatino Linotype"/>
          <w:color w:val="000000"/>
        </w:rPr>
        <w:t>Como se desprende de lo anterior, la CURP es un dato personal confidencial, ya que por sí sola brinda información personal de su titular y lo hace identificado e identificable, motivo por el cual se aprueba su eliminación de las versiones públicas, por lo que se trata de un trámite administrativo requerido por la autoridad federal para hacer identificables a las personas.</w:t>
      </w:r>
    </w:p>
    <w:p w:rsidR="009513C9" w:rsidRPr="00DD6E6E" w:rsidRDefault="009513C9" w:rsidP="009513C9">
      <w:pPr>
        <w:spacing w:line="360" w:lineRule="auto"/>
        <w:jc w:val="both"/>
        <w:rPr>
          <w:rFonts w:ascii="Palatino Linotype" w:eastAsia="Palatino Linotype" w:hAnsi="Palatino Linotype" w:cs="Palatino Linotype"/>
          <w:color w:val="000000"/>
        </w:rPr>
      </w:pPr>
    </w:p>
    <w:p w:rsidR="009513C9" w:rsidRPr="00DD6E6E" w:rsidRDefault="009513C9" w:rsidP="009513C9">
      <w:pPr>
        <w:numPr>
          <w:ilvl w:val="0"/>
          <w:numId w:val="1"/>
        </w:numPr>
        <w:spacing w:line="360" w:lineRule="auto"/>
        <w:ind w:left="0" w:right="1" w:firstLine="0"/>
        <w:jc w:val="both"/>
        <w:rPr>
          <w:rFonts w:ascii="Palatino Linotype" w:eastAsia="Palatino Linotype" w:hAnsi="Palatino Linotype" w:cs="Palatino Linotype"/>
          <w:color w:val="000000"/>
        </w:rPr>
      </w:pPr>
      <w:r w:rsidRPr="00DD6E6E">
        <w:rPr>
          <w:rFonts w:ascii="Palatino Linotype" w:eastAsia="Palatino Linotype" w:hAnsi="Palatino Linotype" w:cs="Palatino Linotype"/>
          <w:color w:val="000000"/>
        </w:rPr>
        <w:t>Resulta aplicable en la especie, como argumento orientador, el Criterio 3/10, emitido por el INAI.</w:t>
      </w:r>
    </w:p>
    <w:p w:rsidR="009513C9" w:rsidRPr="00DD6E6E" w:rsidRDefault="009513C9" w:rsidP="009513C9">
      <w:pPr>
        <w:ind w:left="1134" w:right="900"/>
        <w:jc w:val="both"/>
        <w:rPr>
          <w:rFonts w:ascii="Palatino Linotype" w:eastAsia="Palatino Linotype" w:hAnsi="Palatino Linotype" w:cs="Palatino Linotype"/>
          <w:i/>
          <w:color w:val="000000"/>
        </w:rPr>
      </w:pPr>
      <w:r w:rsidRPr="00DD6E6E">
        <w:rPr>
          <w:rFonts w:ascii="Palatino Linotype" w:eastAsia="Palatino Linotype" w:hAnsi="Palatino Linotype" w:cs="Palatino Linotype"/>
          <w:b/>
          <w:i/>
          <w:color w:val="000000"/>
        </w:rPr>
        <w:t xml:space="preserve">Clave Única de Registro de Población (CURP) es un dato personal confidencial. </w:t>
      </w:r>
      <w:r w:rsidRPr="00DD6E6E">
        <w:rPr>
          <w:rFonts w:ascii="Palatino Linotype" w:eastAsia="Palatino Linotype" w:hAnsi="Palatino Linotype" w:cs="Palatino Linotype"/>
          <w:i/>
          <w:color w:val="000000"/>
        </w:rPr>
        <w:t xml:space="preserve">De conformidad con lo establecido en el artículo 3, fracción II de la Ley Federal de Transparencia y Acceso a la Información Pública Gubernamental, dato personal es toda aquella información concerniente a una persona física identificada o identificable. Por su parte, el artículo 18, fracción II de la Ley considera información confidencial los datos personales que requieren el consentimiento de los individuos para su difusión, distribución o comercialización en los términos de esta Ley. En este sentido, la CURP se integra por datos personales que únicamente le conciernen a un particular como son su fecha de nacimiento, su nombre, sus apellidos y su lugar de nacimiento, y esta es información que lo distingue plenamente del resto de los habitantes, por lo que es de carácter confidencial, en términos de lo dispuesto en el artículos anteriormente señalados. </w:t>
      </w:r>
    </w:p>
    <w:p w:rsidR="009513C9" w:rsidRPr="00DD6E6E" w:rsidRDefault="009513C9" w:rsidP="009513C9">
      <w:pPr>
        <w:ind w:left="1134" w:right="900"/>
        <w:jc w:val="both"/>
        <w:rPr>
          <w:rFonts w:ascii="Palatino Linotype" w:eastAsia="Palatino Linotype" w:hAnsi="Palatino Linotype" w:cs="Palatino Linotype"/>
          <w:color w:val="000000"/>
        </w:rPr>
      </w:pPr>
    </w:p>
    <w:p w:rsidR="009513C9" w:rsidRPr="00DD6E6E" w:rsidRDefault="009513C9" w:rsidP="009513C9">
      <w:pPr>
        <w:numPr>
          <w:ilvl w:val="0"/>
          <w:numId w:val="1"/>
        </w:numPr>
        <w:spacing w:line="360" w:lineRule="auto"/>
        <w:ind w:left="0" w:right="1" w:firstLine="0"/>
        <w:jc w:val="both"/>
        <w:rPr>
          <w:rFonts w:ascii="Palatino Linotype" w:eastAsia="Palatino Linotype" w:hAnsi="Palatino Linotype" w:cs="Palatino Linotype"/>
          <w:color w:val="000000"/>
        </w:rPr>
      </w:pPr>
      <w:r w:rsidRPr="00DD6E6E">
        <w:rPr>
          <w:rFonts w:ascii="Palatino Linotype" w:eastAsia="Palatino Linotype" w:hAnsi="Palatino Linotype" w:cs="Palatino Linotype"/>
          <w:color w:val="000000"/>
        </w:rPr>
        <w:t>De acuerdo con lo anterior, se la clave CURP, es un dato personal confidencial, en términos del artículo 143, fracción I, de la Ley de Transparencia y Acceso a la Información Pública del Estado de México y Municipios.</w:t>
      </w:r>
    </w:p>
    <w:p w:rsidR="009513C9" w:rsidRPr="00DD6E6E" w:rsidRDefault="009513C9" w:rsidP="009513C9">
      <w:pPr>
        <w:spacing w:line="360" w:lineRule="auto"/>
        <w:jc w:val="both"/>
        <w:rPr>
          <w:rFonts w:ascii="Palatino Linotype" w:eastAsia="Palatino Linotype" w:hAnsi="Palatino Linotype" w:cs="Palatino Linotype"/>
          <w:b/>
          <w:color w:val="000000"/>
        </w:rPr>
      </w:pPr>
      <w:r w:rsidRPr="00DD6E6E">
        <w:rPr>
          <w:rFonts w:ascii="Palatino Linotype" w:eastAsia="Palatino Linotype" w:hAnsi="Palatino Linotype" w:cs="Palatino Linotype"/>
          <w:b/>
          <w:color w:val="000000"/>
        </w:rPr>
        <w:lastRenderedPageBreak/>
        <w:t>Nombre de persona física, Domicilio</w:t>
      </w:r>
    </w:p>
    <w:p w:rsidR="009513C9" w:rsidRPr="00DD6E6E" w:rsidRDefault="009513C9" w:rsidP="009513C9">
      <w:pPr>
        <w:numPr>
          <w:ilvl w:val="0"/>
          <w:numId w:val="1"/>
        </w:numPr>
        <w:spacing w:line="360" w:lineRule="auto"/>
        <w:ind w:left="0" w:right="1" w:firstLine="0"/>
        <w:jc w:val="both"/>
        <w:rPr>
          <w:rFonts w:ascii="Palatino Linotype" w:eastAsia="Palatino Linotype" w:hAnsi="Palatino Linotype" w:cs="Palatino Linotype"/>
          <w:color w:val="000000"/>
        </w:rPr>
      </w:pPr>
      <w:r w:rsidRPr="00DD6E6E">
        <w:rPr>
          <w:rFonts w:ascii="Palatino Linotype" w:eastAsia="Palatino Linotype" w:hAnsi="Palatino Linotype" w:cs="Palatino Linotype"/>
          <w:color w:val="000000"/>
        </w:rPr>
        <w:t xml:space="preserve">El nombre se integra con el sustantivo propio y el primer apellido de los padres, en el orden que, de común acuerdo determinen; asimismo es la manifestación principal del derecho subjetivo a la personalidad y atributo de esta en términos del artículo 2.3 del Código Civil del Estado de México, de tal suerte, el nombre </w:t>
      </w:r>
      <w:r w:rsidRPr="00DD6E6E">
        <w:rPr>
          <w:rFonts w:ascii="Palatino Linotype" w:eastAsia="Palatino Linotype" w:hAnsi="Palatino Linotype" w:cs="Palatino Linotype"/>
          <w:i/>
          <w:color w:val="000000"/>
        </w:rPr>
        <w:t>perse</w:t>
      </w:r>
      <w:r w:rsidRPr="00DD6E6E">
        <w:rPr>
          <w:rFonts w:ascii="Palatino Linotype" w:eastAsia="Palatino Linotype" w:hAnsi="Palatino Linotype" w:cs="Palatino Linotype"/>
          <w:color w:val="000000"/>
        </w:rPr>
        <w:t xml:space="preserve"> es un elemento que hace a una persona física identificada o identificable, por lo que, se considera un dato personal.</w:t>
      </w:r>
    </w:p>
    <w:p w:rsidR="009513C9" w:rsidRPr="00DD6E6E" w:rsidRDefault="009513C9" w:rsidP="009513C9">
      <w:pPr>
        <w:spacing w:line="360" w:lineRule="auto"/>
        <w:jc w:val="both"/>
        <w:rPr>
          <w:rFonts w:ascii="Palatino Linotype" w:eastAsia="Palatino Linotype" w:hAnsi="Palatino Linotype" w:cs="Palatino Linotype"/>
          <w:b/>
          <w:color w:val="000000"/>
        </w:rPr>
      </w:pPr>
    </w:p>
    <w:p w:rsidR="009513C9" w:rsidRPr="00DD6E6E" w:rsidRDefault="009513C9" w:rsidP="009513C9">
      <w:pPr>
        <w:numPr>
          <w:ilvl w:val="0"/>
          <w:numId w:val="1"/>
        </w:numPr>
        <w:spacing w:line="360" w:lineRule="auto"/>
        <w:ind w:left="0" w:right="1" w:firstLine="0"/>
        <w:jc w:val="both"/>
        <w:rPr>
          <w:rFonts w:ascii="Palatino Linotype" w:eastAsia="Palatino Linotype" w:hAnsi="Palatino Linotype" w:cs="Palatino Linotype"/>
          <w:color w:val="000000"/>
        </w:rPr>
      </w:pPr>
      <w:r w:rsidRPr="00DD6E6E">
        <w:rPr>
          <w:rFonts w:ascii="Palatino Linotype" w:eastAsia="Palatino Linotype" w:hAnsi="Palatino Linotype" w:cs="Palatino Linotype"/>
          <w:color w:val="000000"/>
        </w:rPr>
        <w:t xml:space="preserve">Ahora bien, de acuerdo a lo señalado en los artículos 2.3 y 2.5, fracción V del Código Civil del Estado de México, el domicilio es un atributo de la personalidad y un derecho de las personas. Este tiene como propósito que una persona pueda establecerse temporal o permanentemente en un lugar determinado, para habitar, establecer su centro de trabajo o negocios; ahora bien, su inclusión en el nombramiento se puede decir que sólo tiene como objetivo brindar elementos que permitan conocer y hacer identificable a la persona que se designa, sin que esta información sea de relevancia para el interés público, así como tampoco tiene relevancia en el ejercicio de atribuciones de los servidores públicos. Por lo que </w:t>
      </w:r>
      <w:r w:rsidRPr="00DD6E6E">
        <w:rPr>
          <w:rFonts w:ascii="Palatino Linotype" w:eastAsia="Palatino Linotype" w:hAnsi="Palatino Linotype" w:cs="Palatino Linotype"/>
          <w:b/>
          <w:color w:val="000000"/>
        </w:rPr>
        <w:t>el domicilio particular</w:t>
      </w:r>
      <w:r w:rsidRPr="00DD6E6E">
        <w:rPr>
          <w:rFonts w:ascii="Palatino Linotype" w:eastAsia="Palatino Linotype" w:hAnsi="Palatino Linotype" w:cs="Palatino Linotype"/>
          <w:color w:val="000000"/>
        </w:rPr>
        <w:t xml:space="preserve"> es confidencial, en términos del artículo 143, fracción I de la Ley de Transparencia y Acceso a la Información Pública del Estado de México y Municipios. </w:t>
      </w:r>
    </w:p>
    <w:p w:rsidR="009513C9" w:rsidRPr="00DD6E6E" w:rsidRDefault="009513C9" w:rsidP="009513C9">
      <w:pPr>
        <w:spacing w:line="360" w:lineRule="auto"/>
        <w:jc w:val="both"/>
        <w:rPr>
          <w:rFonts w:ascii="Palatino Linotype" w:eastAsia="Palatino Linotype" w:hAnsi="Palatino Linotype" w:cs="Palatino Linotype"/>
          <w:color w:val="000000"/>
        </w:rPr>
      </w:pPr>
    </w:p>
    <w:p w:rsidR="009513C9" w:rsidRPr="00DD6E6E" w:rsidRDefault="009513C9" w:rsidP="009513C9">
      <w:pPr>
        <w:spacing w:line="360" w:lineRule="auto"/>
        <w:jc w:val="both"/>
        <w:rPr>
          <w:rFonts w:ascii="Palatino Linotype" w:eastAsia="Palatino Linotype" w:hAnsi="Palatino Linotype" w:cs="Palatino Linotype"/>
          <w:b/>
        </w:rPr>
      </w:pPr>
      <w:r w:rsidRPr="00DD6E6E">
        <w:rPr>
          <w:rFonts w:ascii="Palatino Linotype" w:eastAsia="Palatino Linotype" w:hAnsi="Palatino Linotype" w:cs="Palatino Linotype"/>
          <w:b/>
        </w:rPr>
        <w:t>Estado civil.</w:t>
      </w:r>
    </w:p>
    <w:p w:rsidR="009513C9" w:rsidRPr="00DD6E6E" w:rsidRDefault="009513C9" w:rsidP="009513C9">
      <w:pPr>
        <w:numPr>
          <w:ilvl w:val="0"/>
          <w:numId w:val="1"/>
        </w:numPr>
        <w:spacing w:line="360" w:lineRule="auto"/>
        <w:ind w:left="0" w:right="1" w:firstLine="0"/>
        <w:jc w:val="both"/>
        <w:rPr>
          <w:rFonts w:ascii="Palatino Linotype" w:eastAsia="Palatino Linotype" w:hAnsi="Palatino Linotype" w:cs="Palatino Linotype"/>
        </w:rPr>
      </w:pPr>
      <w:r w:rsidRPr="00DD6E6E">
        <w:rPr>
          <w:rFonts w:ascii="Palatino Linotype" w:eastAsia="Palatino Linotype" w:hAnsi="Palatino Linotype" w:cs="Palatino Linotype"/>
        </w:rPr>
        <w:t xml:space="preserve">El estado civil es un atributo de la personalidad, de acuerdo al artículo 2.3 del Código Civil del Estado de México, e indica si las personas son solteras o casadas y sólo se comprueba </w:t>
      </w:r>
      <w:r w:rsidRPr="00DD6E6E">
        <w:rPr>
          <w:rFonts w:ascii="Palatino Linotype" w:eastAsia="Palatino Linotype" w:hAnsi="Palatino Linotype" w:cs="Palatino Linotype"/>
          <w:color w:val="000000"/>
        </w:rPr>
        <w:t>con</w:t>
      </w:r>
      <w:r w:rsidRPr="00DD6E6E">
        <w:rPr>
          <w:rFonts w:ascii="Palatino Linotype" w:eastAsia="Palatino Linotype" w:hAnsi="Palatino Linotype" w:cs="Palatino Linotype"/>
        </w:rPr>
        <w:t xml:space="preserve"> las constancias relativas del Registro Civil. Por lo que es un tema que tiene que ver con la vida privada, ya que, para acceder a un cargo público, el estado civil de las personas es irrelevante, ya que tener uno u otro no influye en el mejor o menor desempeño de un cargo público.</w:t>
      </w:r>
    </w:p>
    <w:p w:rsidR="009513C9" w:rsidRPr="00DD6E6E" w:rsidRDefault="009513C9" w:rsidP="009513C9">
      <w:pPr>
        <w:numPr>
          <w:ilvl w:val="0"/>
          <w:numId w:val="1"/>
        </w:numPr>
        <w:spacing w:line="360" w:lineRule="auto"/>
        <w:ind w:left="0" w:right="1" w:firstLine="0"/>
        <w:jc w:val="both"/>
        <w:rPr>
          <w:rFonts w:ascii="Palatino Linotype" w:eastAsia="Palatino Linotype" w:hAnsi="Palatino Linotype" w:cs="Palatino Linotype"/>
        </w:rPr>
      </w:pPr>
      <w:r w:rsidRPr="00DD6E6E">
        <w:rPr>
          <w:rFonts w:ascii="Palatino Linotype" w:eastAsia="Palatino Linotype" w:hAnsi="Palatino Linotype" w:cs="Palatino Linotype"/>
        </w:rPr>
        <w:lastRenderedPageBreak/>
        <w:t xml:space="preserve">De esta manera, se trata de un dato personal confidencial que tiene que ver únicamente con la vida privada de las personas, motivo por el cual se considera un dato personal en </w:t>
      </w:r>
      <w:r w:rsidRPr="00DD6E6E">
        <w:rPr>
          <w:rFonts w:ascii="Palatino Linotype" w:eastAsia="Palatino Linotype" w:hAnsi="Palatino Linotype" w:cs="Palatino Linotype"/>
          <w:color w:val="000000"/>
        </w:rPr>
        <w:t>términos</w:t>
      </w:r>
      <w:r w:rsidRPr="00DD6E6E">
        <w:rPr>
          <w:rFonts w:ascii="Palatino Linotype" w:eastAsia="Palatino Linotype" w:hAnsi="Palatino Linotype" w:cs="Palatino Linotype"/>
        </w:rPr>
        <w:t xml:space="preserve"> del artículo 143, fracción I de la Ley de Transparencia y Acceso a la Información Pública del Estado de México y Municipios.</w:t>
      </w:r>
    </w:p>
    <w:p w:rsidR="009513C9" w:rsidRPr="00DD6E6E" w:rsidRDefault="009513C9" w:rsidP="009513C9">
      <w:pPr>
        <w:pBdr>
          <w:top w:val="nil"/>
          <w:left w:val="nil"/>
          <w:bottom w:val="nil"/>
          <w:right w:val="nil"/>
          <w:between w:val="nil"/>
        </w:pBdr>
        <w:ind w:left="720"/>
        <w:rPr>
          <w:rFonts w:ascii="Palatino Linotype" w:eastAsia="Palatino Linotype" w:hAnsi="Palatino Linotype" w:cs="Palatino Linotype"/>
          <w:color w:val="000000"/>
        </w:rPr>
      </w:pPr>
    </w:p>
    <w:p w:rsidR="009513C9" w:rsidRPr="00DD6E6E" w:rsidRDefault="009513C9" w:rsidP="009513C9">
      <w:pPr>
        <w:spacing w:line="360" w:lineRule="auto"/>
        <w:jc w:val="both"/>
        <w:rPr>
          <w:rFonts w:ascii="Palatino Linotype" w:eastAsia="Palatino Linotype" w:hAnsi="Palatino Linotype" w:cs="Palatino Linotype"/>
        </w:rPr>
      </w:pPr>
      <w:r w:rsidRPr="00DD6E6E">
        <w:rPr>
          <w:rFonts w:ascii="Palatino Linotype" w:eastAsia="Palatino Linotype" w:hAnsi="Palatino Linotype" w:cs="Palatino Linotype"/>
          <w:b/>
        </w:rPr>
        <w:t>Teléfono y celular particular.</w:t>
      </w:r>
    </w:p>
    <w:p w:rsidR="009513C9" w:rsidRPr="00DD6E6E" w:rsidRDefault="009513C9" w:rsidP="009513C9">
      <w:pPr>
        <w:numPr>
          <w:ilvl w:val="0"/>
          <w:numId w:val="1"/>
        </w:numPr>
        <w:spacing w:line="360" w:lineRule="auto"/>
        <w:ind w:left="0" w:right="1" w:firstLine="0"/>
        <w:jc w:val="both"/>
        <w:rPr>
          <w:rFonts w:ascii="Palatino Linotype" w:eastAsia="Palatino Linotype" w:hAnsi="Palatino Linotype" w:cs="Palatino Linotype"/>
        </w:rPr>
      </w:pPr>
      <w:r w:rsidRPr="00DD6E6E">
        <w:rPr>
          <w:rFonts w:ascii="Palatino Linotype" w:eastAsia="Palatino Linotype" w:hAnsi="Palatino Linotype" w:cs="Palatino Linotype"/>
        </w:rPr>
        <w:t xml:space="preserve">El número asignado a un teléfono particular o celular permite localizar a una persona física </w:t>
      </w:r>
      <w:r w:rsidRPr="00DD6E6E">
        <w:rPr>
          <w:rFonts w:ascii="Palatino Linotype" w:eastAsia="Palatino Linotype" w:hAnsi="Palatino Linotype" w:cs="Palatino Linotype"/>
          <w:color w:val="000000"/>
        </w:rPr>
        <w:t>identificada</w:t>
      </w:r>
      <w:r w:rsidRPr="00DD6E6E">
        <w:rPr>
          <w:rFonts w:ascii="Palatino Linotype" w:eastAsia="Palatino Linotype" w:hAnsi="Palatino Linotype" w:cs="Palatino Linotype"/>
        </w:rPr>
        <w:t xml:space="preserve"> o identificable, ya sea a través de un dispositivo móvil o bien, en un lugar como el domicilio. </w:t>
      </w:r>
    </w:p>
    <w:p w:rsidR="009513C9" w:rsidRPr="00DD6E6E" w:rsidRDefault="009513C9" w:rsidP="009513C9">
      <w:pPr>
        <w:spacing w:line="360" w:lineRule="auto"/>
        <w:jc w:val="both"/>
        <w:rPr>
          <w:rFonts w:ascii="Palatino Linotype" w:eastAsia="Palatino Linotype" w:hAnsi="Palatino Linotype" w:cs="Palatino Linotype"/>
        </w:rPr>
      </w:pPr>
    </w:p>
    <w:p w:rsidR="009513C9" w:rsidRPr="00DD6E6E" w:rsidRDefault="009513C9" w:rsidP="009513C9">
      <w:pPr>
        <w:numPr>
          <w:ilvl w:val="0"/>
          <w:numId w:val="1"/>
        </w:numPr>
        <w:spacing w:line="360" w:lineRule="auto"/>
        <w:ind w:left="0" w:right="1" w:firstLine="0"/>
        <w:jc w:val="both"/>
        <w:rPr>
          <w:rFonts w:ascii="Palatino Linotype" w:eastAsia="Palatino Linotype" w:hAnsi="Palatino Linotype" w:cs="Palatino Linotype"/>
        </w:rPr>
      </w:pPr>
      <w:r w:rsidRPr="00DD6E6E">
        <w:rPr>
          <w:rFonts w:ascii="Palatino Linotype" w:eastAsia="Palatino Linotype" w:hAnsi="Palatino Linotype" w:cs="Palatino Linotype"/>
        </w:rPr>
        <w:t xml:space="preserve">En ese sentido, se colige que la </w:t>
      </w:r>
      <w:r w:rsidRPr="00DD6E6E">
        <w:rPr>
          <w:rFonts w:ascii="Palatino Linotype" w:eastAsia="Palatino Linotype" w:hAnsi="Palatino Linotype" w:cs="Palatino Linotype"/>
          <w:color w:val="000000"/>
        </w:rPr>
        <w:t>titularidad</w:t>
      </w:r>
      <w:r w:rsidRPr="00DD6E6E">
        <w:rPr>
          <w:rFonts w:ascii="Palatino Linotype" w:eastAsia="Palatino Linotype" w:hAnsi="Palatino Linotype" w:cs="Palatino Linotype"/>
        </w:rPr>
        <w:t xml:space="preserve"> de este, corresponde a la persona física en su calidad de particular y no como servidor público.</w:t>
      </w:r>
    </w:p>
    <w:p w:rsidR="009513C9" w:rsidRPr="00DD6E6E" w:rsidRDefault="009513C9" w:rsidP="009513C9">
      <w:pPr>
        <w:spacing w:line="360" w:lineRule="auto"/>
        <w:jc w:val="both"/>
        <w:rPr>
          <w:rFonts w:ascii="Palatino Linotype" w:eastAsia="Palatino Linotype" w:hAnsi="Palatino Linotype" w:cs="Palatino Linotype"/>
        </w:rPr>
      </w:pPr>
    </w:p>
    <w:p w:rsidR="009513C9" w:rsidRPr="00DD6E6E" w:rsidRDefault="009513C9" w:rsidP="009513C9">
      <w:pPr>
        <w:numPr>
          <w:ilvl w:val="0"/>
          <w:numId w:val="1"/>
        </w:numPr>
        <w:spacing w:line="360" w:lineRule="auto"/>
        <w:ind w:left="0" w:right="1" w:firstLine="0"/>
        <w:jc w:val="both"/>
        <w:rPr>
          <w:rFonts w:ascii="Palatino Linotype" w:eastAsia="Palatino Linotype" w:hAnsi="Palatino Linotype" w:cs="Palatino Linotype"/>
        </w:rPr>
      </w:pPr>
      <w:r w:rsidRPr="00DD6E6E">
        <w:rPr>
          <w:rFonts w:ascii="Palatino Linotype" w:eastAsia="Palatino Linotype" w:hAnsi="Palatino Linotype" w:cs="Palatino Linotype"/>
        </w:rPr>
        <w:t>En tales consideraciones, dicho dato personal es susceptible de ser clasificado como confidencial, con fundamento en el artículo 143, fracción I de la Ley de Transparencia y Acceso a la Información Pública.</w:t>
      </w:r>
    </w:p>
    <w:p w:rsidR="009513C9" w:rsidRPr="00DD6E6E" w:rsidRDefault="009513C9" w:rsidP="009513C9">
      <w:pPr>
        <w:pBdr>
          <w:top w:val="nil"/>
          <w:left w:val="nil"/>
          <w:bottom w:val="nil"/>
          <w:right w:val="nil"/>
          <w:between w:val="nil"/>
        </w:pBdr>
        <w:rPr>
          <w:rFonts w:ascii="Palatino Linotype" w:eastAsia="Palatino Linotype" w:hAnsi="Palatino Linotype" w:cs="Palatino Linotype"/>
          <w:color w:val="000000"/>
        </w:rPr>
      </w:pPr>
    </w:p>
    <w:p w:rsidR="009513C9" w:rsidRPr="00DD6E6E" w:rsidRDefault="009513C9" w:rsidP="009513C9">
      <w:pPr>
        <w:pBdr>
          <w:top w:val="nil"/>
          <w:left w:val="nil"/>
          <w:bottom w:val="nil"/>
          <w:right w:val="nil"/>
          <w:between w:val="nil"/>
        </w:pBdr>
        <w:ind w:left="720"/>
        <w:rPr>
          <w:rFonts w:ascii="Palatino Linotype" w:eastAsia="Palatino Linotype" w:hAnsi="Palatino Linotype" w:cs="Palatino Linotype"/>
          <w:color w:val="000000"/>
        </w:rPr>
      </w:pPr>
    </w:p>
    <w:p w:rsidR="009513C9" w:rsidRPr="00DD6E6E" w:rsidRDefault="009513C9" w:rsidP="009513C9">
      <w:pPr>
        <w:pStyle w:val="Prrafodelista"/>
        <w:numPr>
          <w:ilvl w:val="0"/>
          <w:numId w:val="12"/>
        </w:numPr>
        <w:spacing w:line="360" w:lineRule="auto"/>
        <w:jc w:val="both"/>
        <w:rPr>
          <w:rFonts w:ascii="Palatino Linotype" w:hAnsi="Palatino Linotype" w:cs="Tahoma"/>
          <w:sz w:val="24"/>
        </w:rPr>
      </w:pPr>
      <w:r w:rsidRPr="00DD6E6E">
        <w:rPr>
          <w:rFonts w:ascii="Palatino Linotype" w:hAnsi="Palatino Linotype" w:cs="Tahoma"/>
          <w:b/>
          <w:sz w:val="24"/>
        </w:rPr>
        <w:t>Correo electrónico particular.</w:t>
      </w:r>
    </w:p>
    <w:p w:rsidR="009513C9" w:rsidRPr="00DD6E6E" w:rsidRDefault="009513C9" w:rsidP="009513C9">
      <w:pPr>
        <w:numPr>
          <w:ilvl w:val="0"/>
          <w:numId w:val="1"/>
        </w:numPr>
        <w:spacing w:line="360" w:lineRule="auto"/>
        <w:ind w:left="0" w:right="1" w:firstLine="0"/>
        <w:jc w:val="both"/>
        <w:rPr>
          <w:rFonts w:ascii="Palatino Linotype" w:eastAsia="Calibri" w:hAnsi="Palatino Linotype" w:cs="Tahoma"/>
          <w:bCs/>
          <w:lang w:eastAsia="en-US"/>
        </w:rPr>
      </w:pPr>
      <w:r w:rsidRPr="00DD6E6E">
        <w:rPr>
          <w:rFonts w:ascii="Palatino Linotype" w:eastAsia="Calibri" w:hAnsi="Palatino Linotype" w:cs="Tahoma"/>
          <w:bCs/>
          <w:lang w:eastAsia="en-US"/>
        </w:rPr>
        <w:t>El correo electrónico es un sistema de transmisión de mensajes por computadora a través de redes informáticas. Dicho dato se puede asimilar al teléfono o domicilio particular, cuya nomenclatura, se considera como un dato personal, toda vez que es un medio para comunicarse con la persona titular del mismo, la hace localizable e incluso identificable, al poder estar conformado por parte de su nombre o bien, fecha de nacimiento.</w:t>
      </w:r>
    </w:p>
    <w:p w:rsidR="009513C9" w:rsidRPr="00DD6E6E" w:rsidRDefault="009513C9" w:rsidP="009513C9">
      <w:pPr>
        <w:spacing w:line="360" w:lineRule="auto"/>
        <w:jc w:val="both"/>
        <w:rPr>
          <w:rFonts w:ascii="Palatino Linotype" w:eastAsia="Calibri" w:hAnsi="Palatino Linotype" w:cs="Tahoma"/>
          <w:bCs/>
          <w:lang w:eastAsia="en-US"/>
        </w:rPr>
      </w:pPr>
    </w:p>
    <w:p w:rsidR="009513C9" w:rsidRPr="00DD6E6E" w:rsidRDefault="009513C9" w:rsidP="009513C9">
      <w:pPr>
        <w:numPr>
          <w:ilvl w:val="0"/>
          <w:numId w:val="1"/>
        </w:numPr>
        <w:spacing w:line="360" w:lineRule="auto"/>
        <w:ind w:left="0" w:right="1" w:firstLine="0"/>
        <w:jc w:val="both"/>
        <w:rPr>
          <w:rFonts w:ascii="Palatino Linotype" w:eastAsia="Calibri" w:hAnsi="Palatino Linotype" w:cs="Tahoma"/>
          <w:bCs/>
          <w:lang w:eastAsia="en-US"/>
        </w:rPr>
      </w:pPr>
      <w:r w:rsidRPr="00DD6E6E">
        <w:rPr>
          <w:rFonts w:ascii="Palatino Linotype" w:eastAsia="Calibri" w:hAnsi="Palatino Linotype" w:cs="Tahoma"/>
          <w:bCs/>
          <w:lang w:eastAsia="en-US"/>
        </w:rPr>
        <w:lastRenderedPageBreak/>
        <w:t xml:space="preserve">En ese sentido,  cabe señalar que el correo electrónico mantiene su carácter primigenio, es decir, que la titularidad de dicho dato corresponde a la persona física y no así en su calidad de trabajador </w:t>
      </w:r>
      <w:r w:rsidRPr="00DD6E6E">
        <w:rPr>
          <w:rFonts w:ascii="Palatino Linotype" w:eastAsia="Palatino Linotype" w:hAnsi="Palatino Linotype" w:cs="Palatino Linotype"/>
          <w:color w:val="000000"/>
        </w:rPr>
        <w:t>del</w:t>
      </w:r>
      <w:r w:rsidRPr="00DD6E6E">
        <w:rPr>
          <w:rFonts w:ascii="Palatino Linotype" w:eastAsia="Calibri" w:hAnsi="Palatino Linotype" w:cs="Tahoma"/>
          <w:bCs/>
          <w:lang w:eastAsia="en-US"/>
        </w:rPr>
        <w:t xml:space="preserve"> Gobierno; por lo que corresponde a un dato personal que actualiza la causal de clasificación establecida en el artículo 143, fracción I de la Ley de Transparencia y Acceso a la Información Pública del Estado de México y Municipios.</w:t>
      </w:r>
    </w:p>
    <w:p w:rsidR="009513C9" w:rsidRPr="00DD6E6E" w:rsidRDefault="009513C9" w:rsidP="009513C9">
      <w:pPr>
        <w:spacing w:line="360" w:lineRule="auto"/>
        <w:ind w:right="1"/>
        <w:jc w:val="both"/>
        <w:rPr>
          <w:rFonts w:ascii="Palatino Linotype" w:eastAsia="Palatino Linotype" w:hAnsi="Palatino Linotype" w:cs="Palatino Linotype"/>
          <w:color w:val="000000"/>
        </w:rPr>
      </w:pPr>
    </w:p>
    <w:p w:rsidR="00886D0F" w:rsidRPr="00DD6E6E" w:rsidRDefault="00886D0F" w:rsidP="00886D0F">
      <w:pPr>
        <w:numPr>
          <w:ilvl w:val="0"/>
          <w:numId w:val="1"/>
        </w:numPr>
        <w:spacing w:line="360" w:lineRule="auto"/>
        <w:ind w:left="0" w:right="1" w:firstLine="0"/>
        <w:jc w:val="both"/>
        <w:rPr>
          <w:rFonts w:ascii="Palatino Linotype" w:eastAsia="Palatino Linotype" w:hAnsi="Palatino Linotype" w:cs="Palatino Linotype"/>
          <w:color w:val="000000"/>
        </w:rPr>
      </w:pPr>
      <w:r w:rsidRPr="00DD6E6E">
        <w:rPr>
          <w:rFonts w:ascii="Palatino Linotype" w:eastAsia="Palatino Linotype" w:hAnsi="Palatino Linotype" w:cs="Palatino Linotype"/>
        </w:rPr>
        <w:t>Por lo anteriormente expuesto, este Órgano Garante considera fundadas las razones o motivos de inconformidad que plantea el</w:t>
      </w:r>
      <w:r w:rsidRPr="00DD6E6E">
        <w:rPr>
          <w:rFonts w:ascii="Palatino Linotype" w:eastAsia="Palatino Linotype" w:hAnsi="Palatino Linotype" w:cs="Palatino Linotype"/>
          <w:b/>
          <w:bCs/>
        </w:rPr>
        <w:t xml:space="preserve"> RECURRENTE</w:t>
      </w:r>
      <w:r w:rsidRPr="00DD6E6E">
        <w:rPr>
          <w:rFonts w:ascii="Palatino Linotype" w:eastAsia="Palatino Linotype" w:hAnsi="Palatino Linotype" w:cs="Palatino Linotype"/>
        </w:rPr>
        <w:t xml:space="preserve">, determinando </w:t>
      </w:r>
      <w:r w:rsidRPr="00DD6E6E">
        <w:rPr>
          <w:rFonts w:ascii="Palatino Linotype" w:eastAsia="Palatino Linotype" w:hAnsi="Palatino Linotype" w:cs="Palatino Linotype"/>
          <w:b/>
          <w:bCs/>
          <w:smallCaps/>
        </w:rPr>
        <w:t xml:space="preserve">REVOCAR </w:t>
      </w:r>
      <w:r w:rsidRPr="00DD6E6E">
        <w:rPr>
          <w:rFonts w:ascii="Palatino Linotype" w:eastAsia="Palatino Linotype" w:hAnsi="Palatino Linotype" w:cs="Palatino Linotype"/>
        </w:rPr>
        <w:t xml:space="preserve">la respuesta del </w:t>
      </w:r>
      <w:r w:rsidRPr="00DD6E6E">
        <w:rPr>
          <w:rFonts w:ascii="Palatino Linotype" w:eastAsia="Palatino Linotype" w:hAnsi="Palatino Linotype" w:cs="Palatino Linotype"/>
          <w:b/>
          <w:bCs/>
        </w:rPr>
        <w:t>SUJETO OBLIGADO</w:t>
      </w:r>
      <w:r w:rsidRPr="00DD6E6E">
        <w:rPr>
          <w:rFonts w:ascii="Palatino Linotype" w:eastAsia="Palatino Linotype" w:hAnsi="Palatino Linotype" w:cs="Palatino Linotype"/>
        </w:rPr>
        <w:t xml:space="preserve">, por lo que con fundamento en lo prescrito en los artículos 5 párrafos vigésimo noveno, trigésimo y trigésimo primero fracciones IV y V de la Constitución Política del Estado Libre y Soberano de México; 2, fracción II; 29, 36 fracciones I y II; 176, 178, 181, 185 de la Ley de Transparencia y Acceso a la Información Pública del Estado de México y Municipios, </w:t>
      </w:r>
      <w:r w:rsidRPr="00DD6E6E">
        <w:rPr>
          <w:rFonts w:ascii="Palatino Linotype" w:eastAsia="Palatino Linotype" w:hAnsi="Palatino Linotype" w:cs="Palatino Linotype"/>
          <w:color w:val="000000"/>
        </w:rPr>
        <w:t xml:space="preserve">este </w:t>
      </w:r>
      <w:r w:rsidRPr="00DD6E6E">
        <w:rPr>
          <w:rFonts w:ascii="Palatino Linotype" w:eastAsia="Palatino Linotype" w:hAnsi="Palatino Linotype" w:cs="Palatino Linotype"/>
          <w:b/>
          <w:bCs/>
          <w:color w:val="000000"/>
        </w:rPr>
        <w:t>ÓRGANO GARANTE</w:t>
      </w:r>
      <w:r w:rsidRPr="00DD6E6E">
        <w:rPr>
          <w:rFonts w:ascii="Palatino Linotype" w:eastAsia="Palatino Linotype" w:hAnsi="Palatino Linotype" w:cs="Palatino Linotype"/>
          <w:color w:val="000000"/>
        </w:rPr>
        <w:t xml:space="preserve"> emite los siguientes.</w:t>
      </w:r>
    </w:p>
    <w:p w:rsidR="00886D0F" w:rsidRPr="00DD6E6E" w:rsidRDefault="00886D0F" w:rsidP="00886D0F">
      <w:pPr>
        <w:pBdr>
          <w:top w:val="nil"/>
          <w:left w:val="nil"/>
          <w:bottom w:val="nil"/>
          <w:right w:val="nil"/>
          <w:between w:val="nil"/>
        </w:pBdr>
        <w:ind w:left="720" w:right="-787"/>
        <w:rPr>
          <w:rFonts w:ascii="Palatino Linotype" w:eastAsia="Palatino Linotype" w:hAnsi="Palatino Linotype" w:cs="Palatino Linotype"/>
          <w:color w:val="000000"/>
        </w:rPr>
      </w:pPr>
    </w:p>
    <w:p w:rsidR="00886D0F" w:rsidRPr="00DD6E6E" w:rsidRDefault="00886D0F" w:rsidP="00886D0F">
      <w:pPr>
        <w:pBdr>
          <w:top w:val="nil"/>
          <w:left w:val="nil"/>
          <w:bottom w:val="nil"/>
          <w:right w:val="nil"/>
          <w:between w:val="nil"/>
        </w:pBdr>
        <w:tabs>
          <w:tab w:val="left" w:pos="426"/>
        </w:tabs>
        <w:spacing w:line="360" w:lineRule="auto"/>
        <w:ind w:right="-787"/>
        <w:jc w:val="both"/>
        <w:rPr>
          <w:rFonts w:ascii="Palatino Linotype" w:eastAsia="Palatino Linotype" w:hAnsi="Palatino Linotype" w:cs="Palatino Linotype"/>
          <w:color w:val="000000"/>
        </w:rPr>
      </w:pPr>
    </w:p>
    <w:p w:rsidR="00886D0F" w:rsidRPr="00DD6E6E" w:rsidRDefault="00886D0F" w:rsidP="00886D0F">
      <w:pPr>
        <w:pStyle w:val="Ttulo1"/>
        <w:spacing w:before="0" w:line="360" w:lineRule="auto"/>
        <w:ind w:right="-787"/>
        <w:jc w:val="center"/>
        <w:rPr>
          <w:rFonts w:ascii="Palatino Linotype" w:eastAsia="Palatino Linotype" w:hAnsi="Palatino Linotype" w:cs="Palatino Linotype"/>
          <w:b/>
          <w:bCs/>
          <w:color w:val="000000"/>
          <w:sz w:val="24"/>
          <w:szCs w:val="24"/>
        </w:rPr>
      </w:pPr>
      <w:r w:rsidRPr="00DD6E6E">
        <w:rPr>
          <w:rFonts w:ascii="Palatino Linotype" w:eastAsia="Palatino Linotype" w:hAnsi="Palatino Linotype" w:cs="Palatino Linotype"/>
          <w:b/>
          <w:bCs/>
          <w:color w:val="000000"/>
          <w:sz w:val="24"/>
          <w:szCs w:val="24"/>
        </w:rPr>
        <w:t>R E S O L U T I V O S</w:t>
      </w:r>
    </w:p>
    <w:p w:rsidR="00886D0F" w:rsidRPr="00DD6E6E" w:rsidRDefault="00886D0F" w:rsidP="00886D0F">
      <w:pPr>
        <w:spacing w:line="360" w:lineRule="auto"/>
        <w:ind w:right="-787"/>
        <w:rPr>
          <w:rFonts w:ascii="Palatino Linotype" w:eastAsia="Palatino Linotype" w:hAnsi="Palatino Linotype" w:cs="Palatino Linotype"/>
        </w:rPr>
      </w:pPr>
    </w:p>
    <w:p w:rsidR="00886D0F" w:rsidRPr="00DD6E6E" w:rsidRDefault="00886D0F" w:rsidP="00886D0F">
      <w:pPr>
        <w:spacing w:line="360" w:lineRule="auto"/>
        <w:ind w:right="1"/>
        <w:jc w:val="both"/>
        <w:rPr>
          <w:rFonts w:ascii="Palatino Linotype" w:eastAsia="Palatino Linotype" w:hAnsi="Palatino Linotype" w:cs="Palatino Linotype"/>
        </w:rPr>
      </w:pPr>
      <w:r w:rsidRPr="00DD6E6E">
        <w:rPr>
          <w:rFonts w:ascii="Palatino Linotype" w:eastAsia="Palatino Linotype" w:hAnsi="Palatino Linotype" w:cs="Palatino Linotype"/>
          <w:b/>
          <w:bCs/>
        </w:rPr>
        <w:t>PRIMERO</w:t>
      </w:r>
      <w:r w:rsidRPr="00DD6E6E">
        <w:rPr>
          <w:rFonts w:ascii="Palatino Linotype" w:eastAsia="Palatino Linotype" w:hAnsi="Palatino Linotype" w:cs="Palatino Linotype"/>
        </w:rPr>
        <w:t xml:space="preserve">. Resultan fundadas las razones o motivos de inconformidad hechos valer en los Recursos de Revisión </w:t>
      </w:r>
      <w:r w:rsidRPr="00DD6E6E">
        <w:rPr>
          <w:rFonts w:ascii="Palatino Linotype" w:eastAsia="Palatino Linotype" w:hAnsi="Palatino Linotype" w:cs="Palatino Linotype"/>
          <w:b/>
          <w:bCs/>
        </w:rPr>
        <w:t xml:space="preserve">03843/INFOEM/IP/RR/2026, </w:t>
      </w:r>
      <w:r w:rsidRPr="00DD6E6E">
        <w:rPr>
          <w:rFonts w:ascii="Palatino Linotype" w:eastAsia="Palatino Linotype" w:hAnsi="Palatino Linotype" w:cs="Palatino Linotype"/>
        </w:rPr>
        <w:t xml:space="preserve">en términos del Considerando </w:t>
      </w:r>
      <w:r w:rsidRPr="00DD6E6E">
        <w:rPr>
          <w:rFonts w:ascii="Palatino Linotype" w:eastAsia="Palatino Linotype" w:hAnsi="Palatino Linotype" w:cs="Palatino Linotype"/>
          <w:b/>
          <w:bCs/>
        </w:rPr>
        <w:t xml:space="preserve">Cuarto </w:t>
      </w:r>
      <w:r w:rsidRPr="00DD6E6E">
        <w:rPr>
          <w:rFonts w:ascii="Palatino Linotype" w:eastAsia="Palatino Linotype" w:hAnsi="Palatino Linotype" w:cs="Palatino Linotype"/>
        </w:rPr>
        <w:t xml:space="preserve">de la presente resolución. </w:t>
      </w:r>
    </w:p>
    <w:p w:rsidR="00886D0F" w:rsidRPr="00DD6E6E" w:rsidRDefault="00886D0F" w:rsidP="00886D0F">
      <w:pPr>
        <w:spacing w:line="360" w:lineRule="auto"/>
        <w:ind w:right="-787"/>
        <w:jc w:val="both"/>
        <w:rPr>
          <w:rFonts w:ascii="Palatino Linotype" w:eastAsia="Palatino Linotype" w:hAnsi="Palatino Linotype" w:cs="Palatino Linotype"/>
        </w:rPr>
      </w:pPr>
    </w:p>
    <w:p w:rsidR="00886D0F" w:rsidRPr="00DD6E6E" w:rsidRDefault="00886D0F" w:rsidP="00886D0F">
      <w:pPr>
        <w:spacing w:line="360" w:lineRule="auto"/>
        <w:ind w:right="1"/>
        <w:jc w:val="both"/>
        <w:rPr>
          <w:rFonts w:ascii="Palatino Linotype" w:eastAsia="Palatino Linotype" w:hAnsi="Palatino Linotype" w:cs="Palatino Linotype"/>
        </w:rPr>
      </w:pPr>
      <w:bookmarkStart w:id="10" w:name="_heading=h.1ksv4uv" w:colFirst="0" w:colLast="0"/>
      <w:bookmarkEnd w:id="10"/>
      <w:r w:rsidRPr="00DD6E6E">
        <w:rPr>
          <w:rFonts w:ascii="Palatino Linotype" w:eastAsia="Palatino Linotype" w:hAnsi="Palatino Linotype" w:cs="Palatino Linotype"/>
          <w:b/>
          <w:bCs/>
        </w:rPr>
        <w:t xml:space="preserve">SEGUNDO. </w:t>
      </w:r>
      <w:r w:rsidRPr="00DD6E6E">
        <w:rPr>
          <w:rFonts w:ascii="Palatino Linotype" w:eastAsia="Palatino Linotype" w:hAnsi="Palatino Linotype" w:cs="Palatino Linotype"/>
          <w:color w:val="000000"/>
        </w:rPr>
        <w:t xml:space="preserve">Se </w:t>
      </w:r>
      <w:r w:rsidRPr="00DD6E6E">
        <w:rPr>
          <w:rFonts w:ascii="Palatino Linotype" w:eastAsia="Palatino Linotype" w:hAnsi="Palatino Linotype" w:cs="Palatino Linotype"/>
          <w:b/>
          <w:bCs/>
          <w:color w:val="000000"/>
        </w:rPr>
        <w:t xml:space="preserve">REVOCA </w:t>
      </w:r>
      <w:r w:rsidRPr="00DD6E6E">
        <w:rPr>
          <w:rFonts w:ascii="Palatino Linotype" w:eastAsia="Palatino Linotype" w:hAnsi="Palatino Linotype" w:cs="Palatino Linotype"/>
          <w:color w:val="000000"/>
        </w:rPr>
        <w:t xml:space="preserve">la respuesta emitida por el </w:t>
      </w:r>
      <w:r w:rsidRPr="00DD6E6E">
        <w:rPr>
          <w:rFonts w:ascii="Palatino Linotype" w:eastAsia="Palatino Linotype" w:hAnsi="Palatino Linotype" w:cs="Palatino Linotype"/>
          <w:b/>
          <w:bCs/>
          <w:color w:val="000000"/>
        </w:rPr>
        <w:t xml:space="preserve">Partido Acción Nacional </w:t>
      </w:r>
      <w:r w:rsidRPr="00DD6E6E">
        <w:rPr>
          <w:rFonts w:ascii="Palatino Linotype" w:eastAsia="Palatino Linotype" w:hAnsi="Palatino Linotype" w:cs="Palatino Linotype"/>
          <w:color w:val="000000"/>
        </w:rPr>
        <w:t xml:space="preserve">y se </w:t>
      </w:r>
      <w:r w:rsidRPr="00DD6E6E">
        <w:rPr>
          <w:rFonts w:ascii="Palatino Linotype" w:eastAsia="Palatino Linotype" w:hAnsi="Palatino Linotype" w:cs="Palatino Linotype"/>
          <w:b/>
          <w:bCs/>
          <w:color w:val="000000"/>
        </w:rPr>
        <w:t>ORDENA</w:t>
      </w:r>
      <w:r w:rsidRPr="00DD6E6E">
        <w:rPr>
          <w:rFonts w:ascii="Palatino Linotype" w:eastAsia="Palatino Linotype" w:hAnsi="Palatino Linotype" w:cs="Palatino Linotype"/>
          <w:color w:val="000000"/>
        </w:rPr>
        <w:t xml:space="preserve"> entregar vía Sistema de Acceso a la Información, la siguiente información. </w:t>
      </w:r>
    </w:p>
    <w:p w:rsidR="00886D0F" w:rsidRPr="00DD6E6E" w:rsidRDefault="00886D0F" w:rsidP="00886D0F">
      <w:pPr>
        <w:spacing w:line="360" w:lineRule="auto"/>
        <w:ind w:right="-787"/>
        <w:jc w:val="both"/>
        <w:rPr>
          <w:rFonts w:ascii="Palatino Linotype" w:eastAsia="Palatino Linotype" w:hAnsi="Palatino Linotype" w:cs="Palatino Linotype"/>
        </w:rPr>
      </w:pPr>
    </w:p>
    <w:p w:rsidR="00886D0F" w:rsidRPr="00DD6E6E" w:rsidRDefault="00886D0F" w:rsidP="00886D0F">
      <w:pPr>
        <w:ind w:left="1068" w:right="822" w:firstLine="66"/>
        <w:jc w:val="both"/>
        <w:rPr>
          <w:rFonts w:ascii="Palatino Linotype" w:eastAsia="Palatino Linotype" w:hAnsi="Palatino Linotype" w:cs="Palatino Linotype"/>
          <w:b/>
          <w:bCs/>
          <w:i/>
          <w:lang w:val="es-ES_tradnl"/>
        </w:rPr>
      </w:pPr>
      <w:r w:rsidRPr="00DD6E6E">
        <w:rPr>
          <w:rFonts w:ascii="Palatino Linotype" w:eastAsia="Palatino Linotype" w:hAnsi="Palatino Linotype" w:cs="Palatino Linotype"/>
          <w:b/>
          <w:bCs/>
          <w:i/>
        </w:rPr>
        <w:lastRenderedPageBreak/>
        <w:t xml:space="preserve">1.- </w:t>
      </w:r>
      <w:r w:rsidR="00E56F71" w:rsidRPr="00DD6E6E">
        <w:rPr>
          <w:rFonts w:ascii="Palatino Linotype" w:eastAsia="Palatino Linotype" w:hAnsi="Palatino Linotype" w:cs="Palatino Linotype"/>
          <w:b/>
          <w:bCs/>
          <w:i/>
        </w:rPr>
        <w:t xml:space="preserve">Documento donde conste o se advierta el nombre de los </w:t>
      </w:r>
      <w:r w:rsidR="002B591B" w:rsidRPr="00DD6E6E">
        <w:rPr>
          <w:rFonts w:ascii="Palatino Linotype" w:eastAsia="Palatino Linotype" w:hAnsi="Palatino Linotype" w:cs="Palatino Linotype"/>
          <w:b/>
          <w:bCs/>
          <w:i/>
        </w:rPr>
        <w:t xml:space="preserve">militantes que votaron </w:t>
      </w:r>
      <w:r w:rsidR="00E02F6F" w:rsidRPr="00DD6E6E">
        <w:rPr>
          <w:rFonts w:ascii="Palatino Linotype" w:eastAsia="Palatino Linotype" w:hAnsi="Palatino Linotype" w:cs="Palatino Linotype"/>
          <w:b/>
          <w:bCs/>
          <w:i/>
          <w:lang w:val="es-ES_tradnl"/>
        </w:rPr>
        <w:t>en la Asamblea Municipal de Naucalpan</w:t>
      </w:r>
      <w:r w:rsidR="002B591B" w:rsidRPr="00DD6E6E">
        <w:rPr>
          <w:rFonts w:ascii="Palatino Linotype" w:eastAsia="Palatino Linotype" w:hAnsi="Palatino Linotype" w:cs="Palatino Linotype"/>
          <w:b/>
          <w:bCs/>
          <w:i/>
          <w:lang w:val="es-ES_tradnl"/>
        </w:rPr>
        <w:t>,</w:t>
      </w:r>
      <w:r w:rsidR="00E02F6F" w:rsidRPr="00DD6E6E">
        <w:rPr>
          <w:rFonts w:ascii="Palatino Linotype" w:eastAsia="Palatino Linotype" w:hAnsi="Palatino Linotype" w:cs="Palatino Linotype"/>
          <w:b/>
          <w:bCs/>
          <w:i/>
          <w:lang w:val="es-ES_tradnl"/>
        </w:rPr>
        <w:t xml:space="preserve"> el treinta y uno de agosto de dos mil veinticinco.</w:t>
      </w:r>
    </w:p>
    <w:p w:rsidR="00DE79C3" w:rsidRPr="00DD6E6E" w:rsidRDefault="00DE79C3" w:rsidP="00DE79C3">
      <w:pPr>
        <w:tabs>
          <w:tab w:val="left" w:pos="8080"/>
        </w:tabs>
        <w:spacing w:line="360" w:lineRule="auto"/>
        <w:ind w:right="49"/>
        <w:jc w:val="both"/>
        <w:rPr>
          <w:rFonts w:ascii="Palatino Linotype" w:eastAsia="Calibri" w:hAnsi="Palatino Linotype" w:cs="Arial"/>
        </w:rPr>
      </w:pPr>
    </w:p>
    <w:p w:rsidR="00DE79C3" w:rsidRPr="00DD6E6E" w:rsidRDefault="00DE79C3" w:rsidP="00DE79C3">
      <w:pPr>
        <w:tabs>
          <w:tab w:val="left" w:pos="8080"/>
        </w:tabs>
        <w:spacing w:line="360" w:lineRule="auto"/>
        <w:ind w:right="49"/>
        <w:jc w:val="both"/>
        <w:rPr>
          <w:rFonts w:ascii="Palatino Linotype" w:eastAsia="Calibri" w:hAnsi="Palatino Linotype" w:cs="Arial"/>
          <w:b/>
        </w:rPr>
      </w:pPr>
      <w:r w:rsidRPr="00DD6E6E">
        <w:rPr>
          <w:rFonts w:ascii="Palatino Linotype" w:eastAsia="Calibri" w:hAnsi="Palatino Linotype" w:cs="Arial"/>
        </w:rPr>
        <w:t xml:space="preserve">Para efectos de lo anterior,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pongan a disposición del </w:t>
      </w:r>
      <w:r w:rsidRPr="00DD6E6E">
        <w:rPr>
          <w:rFonts w:ascii="Palatino Linotype" w:eastAsia="Calibri" w:hAnsi="Palatino Linotype" w:cs="Arial"/>
          <w:b/>
        </w:rPr>
        <w:t>RECURRENTE.</w:t>
      </w:r>
    </w:p>
    <w:p w:rsidR="00886D0F" w:rsidRPr="00DD6E6E" w:rsidRDefault="00886D0F" w:rsidP="00886D0F">
      <w:pPr>
        <w:tabs>
          <w:tab w:val="left" w:pos="8080"/>
        </w:tabs>
        <w:spacing w:line="360" w:lineRule="auto"/>
        <w:ind w:right="-787"/>
        <w:jc w:val="both"/>
        <w:rPr>
          <w:rFonts w:ascii="Palatino Linotype" w:eastAsia="Palatino Linotype" w:hAnsi="Palatino Linotype" w:cs="Palatino Linotype"/>
          <w:b/>
          <w:bCs/>
        </w:rPr>
      </w:pPr>
    </w:p>
    <w:p w:rsidR="00886D0F" w:rsidRPr="00DD6E6E" w:rsidRDefault="00886D0F" w:rsidP="00886D0F">
      <w:pPr>
        <w:spacing w:line="360" w:lineRule="auto"/>
        <w:ind w:right="1"/>
        <w:jc w:val="both"/>
        <w:rPr>
          <w:rFonts w:ascii="Palatino Linotype" w:eastAsia="Palatino Linotype" w:hAnsi="Palatino Linotype" w:cs="Palatino Linotype"/>
          <w:color w:val="222222"/>
        </w:rPr>
      </w:pPr>
      <w:r w:rsidRPr="00DD6E6E">
        <w:rPr>
          <w:rFonts w:ascii="Palatino Linotype" w:eastAsia="Palatino Linotype" w:hAnsi="Palatino Linotype" w:cs="Palatino Linotype"/>
          <w:b/>
          <w:bCs/>
        </w:rPr>
        <w:t xml:space="preserve">TERCERO. </w:t>
      </w:r>
      <w:r w:rsidRPr="00DD6E6E">
        <w:rPr>
          <w:rFonts w:ascii="Palatino Linotype" w:eastAsia="Palatino Linotype" w:hAnsi="Palatino Linotype" w:cs="Palatino Linotype"/>
          <w:color w:val="222222"/>
        </w:rPr>
        <w:t xml:space="preserve">NOTIFÍQUESE 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sidRPr="00DD6E6E">
        <w:rPr>
          <w:rFonts w:ascii="Palatino Linotype" w:eastAsia="Palatino Linotype" w:hAnsi="Palatino Linotype" w:cs="Palatino Linotype"/>
          <w:b/>
          <w:bCs/>
          <w:color w:val="222222"/>
        </w:rPr>
        <w:t xml:space="preserve">dé cumplimiento a lo ordenado dentro del plazo de diez días hábiles, </w:t>
      </w:r>
      <w:r w:rsidRPr="00DD6E6E">
        <w:rPr>
          <w:rFonts w:ascii="Palatino Linotype" w:eastAsia="Palatino Linotype" w:hAnsi="Palatino Linotype" w:cs="Palatino Linotype"/>
          <w:color w:val="222222"/>
        </w:rPr>
        <w:t xml:space="preserve">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 </w:t>
      </w:r>
    </w:p>
    <w:p w:rsidR="00886D0F" w:rsidRPr="00DD6E6E" w:rsidRDefault="00886D0F" w:rsidP="00886D0F">
      <w:pPr>
        <w:tabs>
          <w:tab w:val="left" w:pos="8080"/>
        </w:tabs>
        <w:spacing w:line="360" w:lineRule="auto"/>
        <w:ind w:right="-787"/>
        <w:jc w:val="both"/>
        <w:rPr>
          <w:rFonts w:ascii="Palatino Linotype" w:eastAsia="Palatino Linotype" w:hAnsi="Palatino Linotype" w:cs="Palatino Linotype"/>
          <w:color w:val="222222"/>
        </w:rPr>
      </w:pPr>
    </w:p>
    <w:p w:rsidR="00886D0F" w:rsidRPr="00DD6E6E" w:rsidRDefault="00886D0F" w:rsidP="00886D0F">
      <w:pPr>
        <w:spacing w:line="360" w:lineRule="auto"/>
        <w:ind w:right="1"/>
        <w:jc w:val="both"/>
        <w:rPr>
          <w:rFonts w:ascii="Palatino Linotype" w:eastAsia="Palatino Linotype" w:hAnsi="Palatino Linotype" w:cs="Palatino Linotype"/>
        </w:rPr>
      </w:pPr>
      <w:r w:rsidRPr="00DD6E6E">
        <w:rPr>
          <w:rFonts w:ascii="Palatino Linotype" w:eastAsia="Palatino Linotype" w:hAnsi="Palatino Linotype" w:cs="Palatino Linotype"/>
          <w:b/>
          <w:bCs/>
        </w:rPr>
        <w:t xml:space="preserve">CUARTO. </w:t>
      </w:r>
      <w:r w:rsidRPr="00DD6E6E">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w:t>
      </w:r>
      <w:r w:rsidRPr="00DD6E6E">
        <w:rPr>
          <w:rFonts w:ascii="Palatino Linotype" w:eastAsia="Palatino Linotype" w:hAnsi="Palatino Linotype" w:cs="Palatino Linotype"/>
          <w:b/>
          <w:bCs/>
        </w:rPr>
        <w:t>SUJETO OBLIGADO</w:t>
      </w:r>
      <w:r w:rsidRPr="00DD6E6E">
        <w:rPr>
          <w:rFonts w:ascii="Palatino Linotype" w:eastAsia="Palatino Linotype" w:hAnsi="Palatino Linotype" w:cs="Palatino Linotype"/>
        </w:rPr>
        <w:t xml:space="preserve"> de manera fundada y motivada, podrá solicitar una ampliación de plazo para el cumplimiento de la presente resolución.</w:t>
      </w:r>
    </w:p>
    <w:p w:rsidR="00886D0F" w:rsidRPr="00DD6E6E" w:rsidRDefault="00886D0F" w:rsidP="00886D0F">
      <w:pPr>
        <w:spacing w:line="360" w:lineRule="auto"/>
        <w:ind w:right="-787"/>
        <w:jc w:val="both"/>
        <w:rPr>
          <w:rFonts w:ascii="Palatino Linotype" w:eastAsia="Palatino Linotype" w:hAnsi="Palatino Linotype" w:cs="Palatino Linotype"/>
        </w:rPr>
      </w:pPr>
    </w:p>
    <w:p w:rsidR="00886D0F" w:rsidRPr="00DD6E6E" w:rsidRDefault="00886D0F" w:rsidP="00886D0F">
      <w:pPr>
        <w:spacing w:line="360" w:lineRule="auto"/>
        <w:ind w:right="1"/>
        <w:jc w:val="both"/>
        <w:rPr>
          <w:rFonts w:ascii="Palatino Linotype" w:eastAsia="Palatino Linotype" w:hAnsi="Palatino Linotype" w:cs="Palatino Linotype"/>
        </w:rPr>
      </w:pPr>
      <w:bookmarkStart w:id="11" w:name="_heading=h.2jxsxqh" w:colFirst="0" w:colLast="0"/>
      <w:bookmarkEnd w:id="11"/>
      <w:r w:rsidRPr="00DD6E6E">
        <w:rPr>
          <w:rFonts w:ascii="Palatino Linotype" w:eastAsia="Palatino Linotype" w:hAnsi="Palatino Linotype" w:cs="Palatino Linotype"/>
          <w:b/>
        </w:rPr>
        <w:lastRenderedPageBreak/>
        <w:t>QUINTO</w:t>
      </w:r>
      <w:r w:rsidRPr="00DD6E6E">
        <w:rPr>
          <w:rFonts w:ascii="Palatino Linotype" w:eastAsia="Palatino Linotype" w:hAnsi="Palatino Linotype" w:cs="Palatino Linotype"/>
          <w:b/>
          <w:bCs/>
        </w:rPr>
        <w:t xml:space="preserve">. </w:t>
      </w:r>
      <w:r w:rsidRPr="00DD6E6E">
        <w:rPr>
          <w:rFonts w:ascii="Palatino Linotype" w:eastAsia="Palatino Linotype" w:hAnsi="Palatino Linotype" w:cs="Palatino Linotype"/>
        </w:rPr>
        <w:t xml:space="preserve">Notifíquese a </w:t>
      </w:r>
      <w:r w:rsidRPr="00DD6E6E">
        <w:rPr>
          <w:rFonts w:ascii="Palatino Linotype" w:eastAsia="Palatino Linotype" w:hAnsi="Palatino Linotype" w:cs="Palatino Linotype"/>
          <w:b/>
          <w:bCs/>
        </w:rPr>
        <w:t>EL RECURRENTE</w:t>
      </w:r>
      <w:r w:rsidRPr="00DD6E6E">
        <w:rPr>
          <w:rFonts w:ascii="Palatino Linotype" w:eastAsia="Palatino Linotype" w:hAnsi="Palatino Linotype" w:cs="Palatino Linotype"/>
        </w:rPr>
        <w:t xml:space="preserve"> la presente resolución, vía SAIMEX.</w:t>
      </w:r>
    </w:p>
    <w:p w:rsidR="00886D0F" w:rsidRPr="00DD6E6E" w:rsidRDefault="00886D0F" w:rsidP="00886D0F">
      <w:pPr>
        <w:shd w:val="clear" w:color="auto" w:fill="FFFFFF"/>
        <w:spacing w:line="360" w:lineRule="auto"/>
        <w:ind w:right="-787"/>
        <w:jc w:val="both"/>
        <w:rPr>
          <w:rFonts w:ascii="Palatino Linotype" w:eastAsia="Palatino Linotype" w:hAnsi="Palatino Linotype" w:cs="Palatino Linotype"/>
        </w:rPr>
      </w:pPr>
    </w:p>
    <w:p w:rsidR="00886D0F" w:rsidRPr="00DD6E6E" w:rsidRDefault="00886D0F" w:rsidP="00886D0F">
      <w:pPr>
        <w:spacing w:line="360" w:lineRule="auto"/>
        <w:ind w:right="1"/>
        <w:jc w:val="both"/>
        <w:rPr>
          <w:rFonts w:ascii="Palatino Linotype" w:eastAsia="Palatino Linotype" w:hAnsi="Palatino Linotype" w:cs="Palatino Linotype"/>
        </w:rPr>
      </w:pPr>
      <w:r w:rsidRPr="00DD6E6E">
        <w:rPr>
          <w:rFonts w:ascii="Palatino Linotype" w:eastAsia="Palatino Linotype" w:hAnsi="Palatino Linotype" w:cs="Palatino Linotype"/>
          <w:b/>
        </w:rPr>
        <w:t>SEXTO</w:t>
      </w:r>
      <w:r w:rsidRPr="00DD6E6E">
        <w:rPr>
          <w:rFonts w:ascii="Palatino Linotype" w:eastAsia="Palatino Linotype" w:hAnsi="Palatino Linotype" w:cs="Palatino Linotype"/>
          <w:b/>
          <w:bCs/>
        </w:rPr>
        <w:t>.</w:t>
      </w:r>
      <w:r w:rsidRPr="00DD6E6E">
        <w:rPr>
          <w:rFonts w:ascii="Palatino Linotype" w:eastAsia="Palatino Linotype" w:hAnsi="Palatino Linotype" w:cs="Palatino Linotype"/>
        </w:rPr>
        <w:t xml:space="preserve"> Se hace del conocimiento de </w:t>
      </w:r>
      <w:r w:rsidRPr="00DD6E6E">
        <w:rPr>
          <w:rFonts w:ascii="Palatino Linotype" w:eastAsia="Palatino Linotype" w:hAnsi="Palatino Linotype" w:cs="Palatino Linotype"/>
          <w:b/>
          <w:bCs/>
        </w:rPr>
        <w:t>EL RECURRENTE</w:t>
      </w:r>
      <w:r w:rsidRPr="00DD6E6E">
        <w:rPr>
          <w:rFonts w:ascii="Palatino Linotype" w:eastAsia="Palatino Linotype" w:hAnsi="Palatino Linotype" w:cs="Palatino Linotype"/>
        </w:rPr>
        <w:t xml:space="preserve"> 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rsidR="00886D0F" w:rsidRPr="00DD6E6E" w:rsidRDefault="00886D0F" w:rsidP="00886D0F">
      <w:pPr>
        <w:shd w:val="clear" w:color="auto" w:fill="FFFFFF"/>
        <w:spacing w:line="360" w:lineRule="auto"/>
        <w:ind w:right="-787"/>
        <w:jc w:val="both"/>
        <w:rPr>
          <w:rFonts w:ascii="Palatino Linotype" w:eastAsia="Palatino Linotype" w:hAnsi="Palatino Linotype" w:cs="Palatino Linotype"/>
        </w:rPr>
      </w:pPr>
    </w:p>
    <w:bookmarkEnd w:id="8"/>
    <w:p w:rsidR="00F14588" w:rsidRPr="00DD6E6E" w:rsidRDefault="00F14588" w:rsidP="00F14588">
      <w:pPr>
        <w:spacing w:before="240" w:after="240" w:line="360" w:lineRule="auto"/>
        <w:ind w:firstLine="1"/>
        <w:jc w:val="both"/>
        <w:rPr>
          <w:rFonts w:ascii="Palatino Linotype" w:hAnsi="Palatino Linotype"/>
        </w:rPr>
      </w:pPr>
      <w:r w:rsidRPr="00DD6E6E">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SEGUNDA SESIÓN ORDINARIA, CELEBRADA EL DIECISIETE (17) DE JUNIO DE DOS MIL VEINTISÉIS, ANTE EL SECRETARIO TÉCNICO DEL PLENO </w:t>
      </w:r>
      <w:r w:rsidRPr="00DD6E6E">
        <w:rPr>
          <w:rFonts w:ascii="Palatino Linotype" w:hAnsi="Palatino Linotype" w:cs="Palatino Linotype"/>
          <w:color w:val="000000" w:themeColor="text1"/>
        </w:rPr>
        <w:t>ALEXIS TAPIA RAMÍREZ.</w:t>
      </w:r>
    </w:p>
    <w:p w:rsidR="00EB242F" w:rsidRPr="00DD6E6E" w:rsidRDefault="00EB242F" w:rsidP="00EB242F">
      <w:pPr>
        <w:spacing w:line="360" w:lineRule="auto"/>
        <w:ind w:right="-592"/>
        <w:jc w:val="both"/>
        <w:rPr>
          <w:rFonts w:ascii="Palatino Linotype" w:eastAsia="Palatino Linotype" w:hAnsi="Palatino Linotype" w:cs="Palatino Linotype"/>
        </w:rPr>
      </w:pPr>
    </w:p>
    <w:p w:rsidR="00EB242F" w:rsidRPr="00DD6E6E" w:rsidRDefault="00EB242F" w:rsidP="00EB242F">
      <w:pPr>
        <w:spacing w:line="360" w:lineRule="auto"/>
        <w:ind w:right="-592"/>
        <w:jc w:val="both"/>
        <w:rPr>
          <w:rFonts w:ascii="Palatino Linotype" w:eastAsia="Palatino Linotype" w:hAnsi="Palatino Linotype" w:cs="Palatino Linotype"/>
        </w:rPr>
      </w:pPr>
    </w:p>
    <w:p w:rsidR="00EB242F" w:rsidRPr="00DD6E6E" w:rsidRDefault="00EB242F" w:rsidP="00EB242F">
      <w:pPr>
        <w:spacing w:line="360" w:lineRule="auto"/>
        <w:ind w:right="-592"/>
        <w:jc w:val="both"/>
        <w:rPr>
          <w:rFonts w:ascii="Palatino Linotype" w:eastAsia="Palatino Linotype" w:hAnsi="Palatino Linotype" w:cs="Palatino Linotype"/>
        </w:rPr>
      </w:pPr>
    </w:p>
    <w:p w:rsidR="00EB242F" w:rsidRPr="00DD6E6E" w:rsidRDefault="00EB242F" w:rsidP="00EB242F">
      <w:pPr>
        <w:spacing w:line="360" w:lineRule="auto"/>
        <w:ind w:right="-592"/>
        <w:jc w:val="both"/>
        <w:rPr>
          <w:rFonts w:ascii="Palatino Linotype" w:eastAsia="Palatino Linotype" w:hAnsi="Palatino Linotype" w:cs="Palatino Linotype"/>
        </w:rPr>
      </w:pPr>
    </w:p>
    <w:p w:rsidR="00EB242F" w:rsidRPr="00DD6E6E" w:rsidRDefault="00EB242F" w:rsidP="00EB242F">
      <w:pPr>
        <w:spacing w:line="360" w:lineRule="auto"/>
        <w:ind w:right="-592"/>
        <w:jc w:val="both"/>
        <w:rPr>
          <w:rFonts w:ascii="Palatino Linotype" w:eastAsia="Palatino Linotype" w:hAnsi="Palatino Linotype" w:cs="Palatino Linotype"/>
        </w:rPr>
      </w:pPr>
    </w:p>
    <w:p w:rsidR="00EB242F" w:rsidRPr="00DD6E6E" w:rsidRDefault="00EB242F" w:rsidP="00EB242F">
      <w:pPr>
        <w:spacing w:line="360" w:lineRule="auto"/>
        <w:ind w:right="-592"/>
        <w:jc w:val="both"/>
        <w:rPr>
          <w:rFonts w:ascii="Palatino Linotype" w:eastAsia="Palatino Linotype" w:hAnsi="Palatino Linotype" w:cs="Palatino Linotype"/>
        </w:rPr>
      </w:pPr>
    </w:p>
    <w:p w:rsidR="00EB242F" w:rsidRPr="00DD6E6E" w:rsidRDefault="00EB242F" w:rsidP="00EB242F">
      <w:pPr>
        <w:spacing w:line="360" w:lineRule="auto"/>
        <w:ind w:right="-592"/>
        <w:jc w:val="both"/>
        <w:rPr>
          <w:rFonts w:ascii="Palatino Linotype" w:eastAsia="Palatino Linotype" w:hAnsi="Palatino Linotype" w:cs="Palatino Linotype"/>
        </w:rPr>
      </w:pPr>
    </w:p>
    <w:p w:rsidR="00EB242F" w:rsidRPr="00DD6E6E" w:rsidRDefault="00EB242F" w:rsidP="00EB242F">
      <w:pPr>
        <w:spacing w:line="360" w:lineRule="auto"/>
        <w:ind w:right="-592"/>
        <w:jc w:val="both"/>
        <w:rPr>
          <w:rFonts w:ascii="Palatino Linotype" w:eastAsia="Palatino Linotype" w:hAnsi="Palatino Linotype" w:cs="Palatino Linotype"/>
        </w:rPr>
      </w:pPr>
    </w:p>
    <w:p w:rsidR="00EB242F" w:rsidRPr="00DD6E6E" w:rsidRDefault="00EB242F" w:rsidP="00EB242F">
      <w:pPr>
        <w:spacing w:line="360" w:lineRule="auto"/>
        <w:ind w:right="-592"/>
        <w:jc w:val="both"/>
        <w:rPr>
          <w:rFonts w:ascii="Palatino Linotype" w:eastAsia="Palatino Linotype" w:hAnsi="Palatino Linotype" w:cs="Palatino Linotype"/>
        </w:rPr>
      </w:pPr>
    </w:p>
    <w:p w:rsidR="00EB242F" w:rsidRPr="00DD6E6E" w:rsidRDefault="00EB242F" w:rsidP="00EB242F">
      <w:pPr>
        <w:spacing w:line="360" w:lineRule="auto"/>
        <w:ind w:right="-592"/>
        <w:rPr>
          <w:rFonts w:ascii="Palatino Linotype" w:eastAsia="Palatino Linotype" w:hAnsi="Palatino Linotype" w:cs="Palatino Linotype"/>
        </w:rPr>
      </w:pPr>
    </w:p>
    <w:p w:rsidR="00EB242F" w:rsidRPr="00DD6E6E" w:rsidRDefault="00EB242F" w:rsidP="00EB242F">
      <w:pPr>
        <w:spacing w:line="360" w:lineRule="auto"/>
        <w:ind w:right="-592"/>
        <w:rPr>
          <w:rFonts w:ascii="Palatino Linotype" w:eastAsia="Palatino Linotype" w:hAnsi="Palatino Linotype" w:cs="Palatino Linotype"/>
        </w:rPr>
      </w:pPr>
    </w:p>
    <w:p w:rsidR="00EB242F" w:rsidRPr="00DD6E6E" w:rsidRDefault="00EB242F" w:rsidP="00EB242F">
      <w:pPr>
        <w:spacing w:line="360" w:lineRule="auto"/>
        <w:ind w:right="-592"/>
        <w:rPr>
          <w:rFonts w:ascii="Palatino Linotype" w:eastAsia="Palatino Linotype" w:hAnsi="Palatino Linotype" w:cs="Palatino Linotype"/>
        </w:rPr>
      </w:pPr>
    </w:p>
    <w:p w:rsidR="00EB242F" w:rsidRPr="00DD6E6E" w:rsidRDefault="00EB242F" w:rsidP="00EB242F">
      <w:pPr>
        <w:spacing w:line="360" w:lineRule="auto"/>
        <w:ind w:right="-592"/>
        <w:rPr>
          <w:rFonts w:ascii="Palatino Linotype" w:eastAsia="Palatino Linotype" w:hAnsi="Palatino Linotype" w:cs="Palatino Linotype"/>
        </w:rPr>
      </w:pPr>
    </w:p>
    <w:p w:rsidR="00EB242F" w:rsidRPr="00DD6E6E" w:rsidRDefault="00EB242F" w:rsidP="00EB242F">
      <w:pPr>
        <w:spacing w:line="360" w:lineRule="auto"/>
        <w:ind w:right="-592"/>
        <w:rPr>
          <w:rFonts w:ascii="Palatino Linotype" w:eastAsia="Palatino Linotype" w:hAnsi="Palatino Linotype" w:cs="Palatino Linotype"/>
        </w:rPr>
      </w:pPr>
    </w:p>
    <w:p w:rsidR="00EB242F" w:rsidRPr="00DD6E6E" w:rsidRDefault="00EB242F" w:rsidP="00EB242F">
      <w:pPr>
        <w:spacing w:line="360" w:lineRule="auto"/>
        <w:ind w:right="-592"/>
        <w:rPr>
          <w:rFonts w:ascii="Palatino Linotype" w:eastAsia="Palatino Linotype" w:hAnsi="Palatino Linotype" w:cs="Palatino Linotype"/>
        </w:rPr>
      </w:pPr>
    </w:p>
    <w:p w:rsidR="00EB242F" w:rsidRPr="00DD6E6E" w:rsidRDefault="00EB242F" w:rsidP="00EB242F">
      <w:pPr>
        <w:ind w:right="-592"/>
        <w:rPr>
          <w:rFonts w:ascii="Palatino Linotype" w:eastAsia="Palatino Linotype" w:hAnsi="Palatino Linotype" w:cs="Palatino Linotype"/>
        </w:rPr>
      </w:pPr>
    </w:p>
    <w:p w:rsidR="00EB242F" w:rsidRPr="00DD6E6E" w:rsidRDefault="00EB242F" w:rsidP="00EB242F"/>
    <w:p w:rsidR="00A47BEA" w:rsidRPr="00DD6E6E" w:rsidRDefault="00A47BEA"/>
    <w:sectPr w:rsidR="00A47BEA" w:rsidRPr="00DD6E6E" w:rsidSect="00DD6E6E">
      <w:headerReference w:type="even" r:id="rId8"/>
      <w:headerReference w:type="default" r:id="rId9"/>
      <w:footerReference w:type="default" r:id="rId10"/>
      <w:headerReference w:type="first" r:id="rId11"/>
      <w:footerReference w:type="first" r:id="rId12"/>
      <w:pgSz w:w="12240" w:h="15840"/>
      <w:pgMar w:top="80" w:right="758" w:bottom="1418" w:left="1588" w:header="709" w:footer="91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4139" w:rsidRDefault="00B54139" w:rsidP="00EB242F">
      <w:r>
        <w:separator/>
      </w:r>
    </w:p>
  </w:endnote>
  <w:endnote w:type="continuationSeparator" w:id="0">
    <w:p w:rsidR="00B54139" w:rsidRDefault="00B54139" w:rsidP="00EB24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0D41" w:rsidRPr="00DD6E6E" w:rsidRDefault="00260D41">
    <w:pPr>
      <w:pBdr>
        <w:top w:val="nil"/>
        <w:left w:val="nil"/>
        <w:bottom w:val="nil"/>
        <w:right w:val="nil"/>
        <w:between w:val="nil"/>
      </w:pBdr>
      <w:tabs>
        <w:tab w:val="center" w:pos="4419"/>
        <w:tab w:val="right" w:pos="8838"/>
      </w:tabs>
      <w:jc w:val="right"/>
      <w:rPr>
        <w:rFonts w:ascii="Palatino Linotype" w:hAnsi="Palatino Linotype"/>
        <w:color w:val="000000"/>
        <w:sz w:val="22"/>
      </w:rPr>
    </w:pPr>
    <w:r w:rsidRPr="00DD6E6E">
      <w:rPr>
        <w:rFonts w:ascii="Palatino Linotype" w:hAnsi="Palatino Linotype"/>
        <w:color w:val="000000"/>
        <w:sz w:val="22"/>
      </w:rPr>
      <w:t xml:space="preserve">Página </w:t>
    </w:r>
    <w:r w:rsidRPr="00DD6E6E">
      <w:rPr>
        <w:rFonts w:ascii="Palatino Linotype" w:hAnsi="Palatino Linotype"/>
        <w:b/>
        <w:bCs/>
        <w:color w:val="000000"/>
        <w:sz w:val="22"/>
      </w:rPr>
      <w:fldChar w:fldCharType="begin"/>
    </w:r>
    <w:r w:rsidRPr="00DD6E6E">
      <w:rPr>
        <w:rFonts w:ascii="Palatino Linotype" w:hAnsi="Palatino Linotype"/>
        <w:b/>
        <w:bCs/>
        <w:color w:val="000000"/>
        <w:sz w:val="22"/>
      </w:rPr>
      <w:instrText>PAGE</w:instrText>
    </w:r>
    <w:r w:rsidRPr="00DD6E6E">
      <w:rPr>
        <w:rFonts w:ascii="Palatino Linotype" w:hAnsi="Palatino Linotype"/>
        <w:b/>
        <w:bCs/>
        <w:color w:val="000000"/>
        <w:sz w:val="22"/>
      </w:rPr>
      <w:fldChar w:fldCharType="separate"/>
    </w:r>
    <w:r w:rsidR="00E938F2">
      <w:rPr>
        <w:rFonts w:ascii="Palatino Linotype" w:hAnsi="Palatino Linotype"/>
        <w:b/>
        <w:bCs/>
        <w:noProof/>
        <w:color w:val="000000"/>
        <w:sz w:val="22"/>
      </w:rPr>
      <w:t>21</w:t>
    </w:r>
    <w:r w:rsidRPr="00DD6E6E">
      <w:rPr>
        <w:rFonts w:ascii="Palatino Linotype" w:hAnsi="Palatino Linotype"/>
        <w:b/>
        <w:bCs/>
        <w:color w:val="000000"/>
        <w:sz w:val="22"/>
      </w:rPr>
      <w:fldChar w:fldCharType="end"/>
    </w:r>
    <w:r w:rsidRPr="00DD6E6E">
      <w:rPr>
        <w:rFonts w:ascii="Palatino Linotype" w:hAnsi="Palatino Linotype"/>
        <w:color w:val="000000"/>
        <w:sz w:val="22"/>
      </w:rPr>
      <w:t xml:space="preserve"> de </w:t>
    </w:r>
    <w:r w:rsidRPr="00DD6E6E">
      <w:rPr>
        <w:rFonts w:ascii="Palatino Linotype" w:hAnsi="Palatino Linotype"/>
        <w:b/>
        <w:bCs/>
        <w:color w:val="000000"/>
        <w:sz w:val="22"/>
      </w:rPr>
      <w:fldChar w:fldCharType="begin"/>
    </w:r>
    <w:r w:rsidRPr="00DD6E6E">
      <w:rPr>
        <w:rFonts w:ascii="Palatino Linotype" w:hAnsi="Palatino Linotype"/>
        <w:b/>
        <w:bCs/>
        <w:color w:val="000000"/>
        <w:sz w:val="22"/>
      </w:rPr>
      <w:instrText>NUMPAGES</w:instrText>
    </w:r>
    <w:r w:rsidRPr="00DD6E6E">
      <w:rPr>
        <w:rFonts w:ascii="Palatino Linotype" w:hAnsi="Palatino Linotype"/>
        <w:b/>
        <w:bCs/>
        <w:color w:val="000000"/>
        <w:sz w:val="22"/>
      </w:rPr>
      <w:fldChar w:fldCharType="separate"/>
    </w:r>
    <w:r w:rsidR="00E938F2">
      <w:rPr>
        <w:rFonts w:ascii="Palatino Linotype" w:hAnsi="Palatino Linotype"/>
        <w:b/>
        <w:bCs/>
        <w:noProof/>
        <w:color w:val="000000"/>
        <w:sz w:val="22"/>
      </w:rPr>
      <w:t>35</w:t>
    </w:r>
    <w:r w:rsidRPr="00DD6E6E">
      <w:rPr>
        <w:rFonts w:ascii="Palatino Linotype" w:hAnsi="Palatino Linotype"/>
        <w:b/>
        <w:bCs/>
        <w:color w:val="000000"/>
        <w:sz w:val="22"/>
      </w:rPr>
      <w:fldChar w:fldCharType="end"/>
    </w:r>
  </w:p>
  <w:p w:rsidR="00260D41" w:rsidRDefault="00260D41">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0D41" w:rsidRPr="00DD6E6E" w:rsidRDefault="00260D41">
    <w:pPr>
      <w:pBdr>
        <w:top w:val="nil"/>
        <w:left w:val="nil"/>
        <w:bottom w:val="nil"/>
        <w:right w:val="nil"/>
        <w:between w:val="nil"/>
      </w:pBdr>
      <w:tabs>
        <w:tab w:val="center" w:pos="4419"/>
        <w:tab w:val="right" w:pos="8838"/>
      </w:tabs>
      <w:jc w:val="right"/>
      <w:rPr>
        <w:rFonts w:ascii="Palatino Linotype" w:hAnsi="Palatino Linotype"/>
        <w:color w:val="000000"/>
        <w:sz w:val="22"/>
      </w:rPr>
    </w:pPr>
    <w:r w:rsidRPr="00DD6E6E">
      <w:rPr>
        <w:rFonts w:ascii="Palatino Linotype" w:hAnsi="Palatino Linotype"/>
        <w:color w:val="000000"/>
        <w:sz w:val="22"/>
      </w:rPr>
      <w:t xml:space="preserve">Página </w:t>
    </w:r>
    <w:r w:rsidRPr="00DD6E6E">
      <w:rPr>
        <w:rFonts w:ascii="Palatino Linotype" w:hAnsi="Palatino Linotype"/>
        <w:b/>
        <w:bCs/>
        <w:color w:val="000000"/>
        <w:sz w:val="22"/>
      </w:rPr>
      <w:fldChar w:fldCharType="begin"/>
    </w:r>
    <w:r w:rsidRPr="00DD6E6E">
      <w:rPr>
        <w:rFonts w:ascii="Palatino Linotype" w:hAnsi="Palatino Linotype"/>
        <w:b/>
        <w:bCs/>
        <w:color w:val="000000"/>
        <w:sz w:val="22"/>
      </w:rPr>
      <w:instrText>PAGE</w:instrText>
    </w:r>
    <w:r w:rsidRPr="00DD6E6E">
      <w:rPr>
        <w:rFonts w:ascii="Palatino Linotype" w:hAnsi="Palatino Linotype"/>
        <w:b/>
        <w:bCs/>
        <w:color w:val="000000"/>
        <w:sz w:val="22"/>
      </w:rPr>
      <w:fldChar w:fldCharType="separate"/>
    </w:r>
    <w:r w:rsidR="00E938F2">
      <w:rPr>
        <w:rFonts w:ascii="Palatino Linotype" w:hAnsi="Palatino Linotype"/>
        <w:b/>
        <w:bCs/>
        <w:noProof/>
        <w:color w:val="000000"/>
        <w:sz w:val="22"/>
      </w:rPr>
      <w:t>1</w:t>
    </w:r>
    <w:r w:rsidRPr="00DD6E6E">
      <w:rPr>
        <w:rFonts w:ascii="Palatino Linotype" w:hAnsi="Palatino Linotype"/>
        <w:b/>
        <w:bCs/>
        <w:color w:val="000000"/>
        <w:sz w:val="22"/>
      </w:rPr>
      <w:fldChar w:fldCharType="end"/>
    </w:r>
    <w:r w:rsidRPr="00DD6E6E">
      <w:rPr>
        <w:rFonts w:ascii="Palatino Linotype" w:hAnsi="Palatino Linotype"/>
        <w:color w:val="000000"/>
        <w:sz w:val="22"/>
      </w:rPr>
      <w:t xml:space="preserve"> de </w:t>
    </w:r>
    <w:r w:rsidRPr="00DD6E6E">
      <w:rPr>
        <w:rFonts w:ascii="Palatino Linotype" w:hAnsi="Palatino Linotype"/>
        <w:b/>
        <w:bCs/>
        <w:color w:val="000000"/>
        <w:sz w:val="22"/>
      </w:rPr>
      <w:fldChar w:fldCharType="begin"/>
    </w:r>
    <w:r w:rsidRPr="00DD6E6E">
      <w:rPr>
        <w:rFonts w:ascii="Palatino Linotype" w:hAnsi="Palatino Linotype"/>
        <w:b/>
        <w:bCs/>
        <w:color w:val="000000"/>
        <w:sz w:val="22"/>
      </w:rPr>
      <w:instrText>NUMPAGES</w:instrText>
    </w:r>
    <w:r w:rsidRPr="00DD6E6E">
      <w:rPr>
        <w:rFonts w:ascii="Palatino Linotype" w:hAnsi="Palatino Linotype"/>
        <w:b/>
        <w:bCs/>
        <w:color w:val="000000"/>
        <w:sz w:val="22"/>
      </w:rPr>
      <w:fldChar w:fldCharType="separate"/>
    </w:r>
    <w:r w:rsidR="00E938F2">
      <w:rPr>
        <w:rFonts w:ascii="Palatino Linotype" w:hAnsi="Palatino Linotype"/>
        <w:b/>
        <w:bCs/>
        <w:noProof/>
        <w:color w:val="000000"/>
        <w:sz w:val="22"/>
      </w:rPr>
      <w:t>35</w:t>
    </w:r>
    <w:r w:rsidRPr="00DD6E6E">
      <w:rPr>
        <w:rFonts w:ascii="Palatino Linotype" w:hAnsi="Palatino Linotype"/>
        <w:b/>
        <w:bCs/>
        <w:color w:val="000000"/>
        <w:sz w:val="22"/>
      </w:rPr>
      <w:fldChar w:fldCharType="end"/>
    </w:r>
  </w:p>
  <w:p w:rsidR="00260D41" w:rsidRDefault="00260D41">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4139" w:rsidRDefault="00B54139" w:rsidP="00EB242F">
      <w:r>
        <w:separator/>
      </w:r>
    </w:p>
  </w:footnote>
  <w:footnote w:type="continuationSeparator" w:id="0">
    <w:p w:rsidR="00B54139" w:rsidRDefault="00B54139" w:rsidP="00EB242F">
      <w:r>
        <w:continuationSeparator/>
      </w:r>
    </w:p>
  </w:footnote>
  <w:footnote w:id="1">
    <w:p w:rsidR="00260D41" w:rsidRDefault="00260D41" w:rsidP="00EB242F">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Convención Americana sobre Derechos Humanos. Artículo 13.</w:t>
      </w:r>
    </w:p>
  </w:footnote>
  <w:footnote w:id="2">
    <w:p w:rsidR="00260D41" w:rsidRDefault="00260D41" w:rsidP="00EB242F">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Constitución Política de los Estados Unidos Mexicanos. Artículo sexto, sección A, fracción I.</w:t>
      </w:r>
    </w:p>
  </w:footnote>
  <w:footnote w:id="3">
    <w:p w:rsidR="00260D41" w:rsidRDefault="00260D41" w:rsidP="00EB242F">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Corte Interamericana de Derechos Humanos. Caso Claude Reyes y otros vs. Chile. Sentencia de 19 de septiembre de 2006. Serie C. No. 151. Párr. 86.</w:t>
      </w:r>
    </w:p>
  </w:footnote>
  <w:footnote w:id="4">
    <w:p w:rsidR="00260D41" w:rsidRDefault="00260D41" w:rsidP="00EB242F">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Ibídem. Parr. 87.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0D41" w:rsidRDefault="00B54139">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1" type="#_x0000_t75" alt="" style="position:absolute;margin-left:0;margin-top:0;width:589.8pt;height:768pt;z-index:-251659776;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490" w:type="dxa"/>
      <w:tblLayout w:type="fixed"/>
      <w:tblLook w:val="0400" w:firstRow="0" w:lastRow="0" w:firstColumn="0" w:lastColumn="0" w:noHBand="0" w:noVBand="1"/>
    </w:tblPr>
    <w:tblGrid>
      <w:gridCol w:w="2268"/>
      <w:gridCol w:w="8222"/>
    </w:tblGrid>
    <w:tr w:rsidR="00260D41" w:rsidTr="00DD6E6E">
      <w:trPr>
        <w:trHeight w:val="1435"/>
      </w:trPr>
      <w:tc>
        <w:tcPr>
          <w:tcW w:w="2268" w:type="dxa"/>
          <w:shd w:val="clear" w:color="auto" w:fill="auto"/>
        </w:tcPr>
        <w:p w:rsidR="00260D41" w:rsidRDefault="00260D41">
          <w:pPr>
            <w:tabs>
              <w:tab w:val="right" w:pos="4273"/>
            </w:tabs>
            <w:rPr>
              <w:rFonts w:ascii="Garamond" w:eastAsia="Garamond" w:hAnsi="Garamond" w:cs="Garamond"/>
              <w:sz w:val="16"/>
              <w:szCs w:val="16"/>
            </w:rPr>
          </w:pPr>
        </w:p>
      </w:tc>
      <w:tc>
        <w:tcPr>
          <w:tcW w:w="8222" w:type="dxa"/>
          <w:shd w:val="clear" w:color="auto" w:fill="auto"/>
        </w:tcPr>
        <w:tbl>
          <w:tblPr>
            <w:tblW w:w="7385" w:type="dxa"/>
            <w:tblInd w:w="601" w:type="dxa"/>
            <w:tblLayout w:type="fixed"/>
            <w:tblLook w:val="0400" w:firstRow="0" w:lastRow="0" w:firstColumn="0" w:lastColumn="0" w:noHBand="0" w:noVBand="1"/>
          </w:tblPr>
          <w:tblGrid>
            <w:gridCol w:w="3680"/>
            <w:gridCol w:w="3705"/>
          </w:tblGrid>
          <w:tr w:rsidR="00260D41" w:rsidTr="00DD6E6E">
            <w:trPr>
              <w:trHeight w:val="150"/>
            </w:trPr>
            <w:tc>
              <w:tcPr>
                <w:tcW w:w="3680" w:type="dxa"/>
                <w:shd w:val="clear" w:color="auto" w:fill="auto"/>
              </w:tcPr>
              <w:p w:rsidR="00260D41" w:rsidRPr="00DD6E6E" w:rsidRDefault="00260D41">
                <w:pPr>
                  <w:tabs>
                    <w:tab w:val="right" w:pos="8838"/>
                  </w:tabs>
                  <w:ind w:left="850" w:right="-105"/>
                  <w:jc w:val="both"/>
                  <w:rPr>
                    <w:rFonts w:ascii="Palatino Linotype" w:eastAsia="Palatino Linotype" w:hAnsi="Palatino Linotype" w:cs="Palatino Linotype"/>
                    <w:b/>
                    <w:bCs/>
                    <w:szCs w:val="18"/>
                  </w:rPr>
                </w:pPr>
                <w:r w:rsidRPr="00DD6E6E">
                  <w:rPr>
                    <w:rFonts w:ascii="Palatino Linotype" w:eastAsia="Palatino Linotype" w:hAnsi="Palatino Linotype" w:cs="Palatino Linotype"/>
                    <w:b/>
                    <w:bCs/>
                    <w:szCs w:val="18"/>
                  </w:rPr>
                  <w:t>Recurso de Revisión:</w:t>
                </w:r>
              </w:p>
            </w:tc>
            <w:tc>
              <w:tcPr>
                <w:tcW w:w="3705" w:type="dxa"/>
                <w:shd w:val="clear" w:color="auto" w:fill="auto"/>
              </w:tcPr>
              <w:p w:rsidR="00260D41" w:rsidRPr="00DD6E6E" w:rsidRDefault="00260D41">
                <w:pPr>
                  <w:tabs>
                    <w:tab w:val="right" w:pos="8838"/>
                  </w:tabs>
                  <w:ind w:right="-781"/>
                  <w:jc w:val="both"/>
                  <w:rPr>
                    <w:rFonts w:ascii="Palatino Linotype" w:eastAsia="Palatino Linotype" w:hAnsi="Palatino Linotype" w:cs="Palatino Linotype"/>
                    <w:szCs w:val="18"/>
                  </w:rPr>
                </w:pPr>
                <w:r w:rsidRPr="00DD6E6E">
                  <w:rPr>
                    <w:rFonts w:ascii="Palatino Linotype" w:eastAsia="Palatino Linotype" w:hAnsi="Palatino Linotype" w:cs="Palatino Linotype"/>
                    <w:szCs w:val="18"/>
                  </w:rPr>
                  <w:t>03843/INFOEM/IP/RR/2026</w:t>
                </w:r>
              </w:p>
            </w:tc>
          </w:tr>
          <w:tr w:rsidR="00260D41" w:rsidTr="00DD6E6E">
            <w:trPr>
              <w:trHeight w:val="295"/>
            </w:trPr>
            <w:tc>
              <w:tcPr>
                <w:tcW w:w="3680" w:type="dxa"/>
                <w:shd w:val="clear" w:color="auto" w:fill="auto"/>
              </w:tcPr>
              <w:p w:rsidR="00260D41" w:rsidRPr="00DD6E6E" w:rsidRDefault="00260D41">
                <w:pPr>
                  <w:tabs>
                    <w:tab w:val="right" w:pos="8838"/>
                  </w:tabs>
                  <w:ind w:left="850" w:right="-105"/>
                  <w:jc w:val="both"/>
                  <w:rPr>
                    <w:rFonts w:ascii="Palatino Linotype" w:eastAsia="Palatino Linotype" w:hAnsi="Palatino Linotype" w:cs="Palatino Linotype"/>
                    <w:b/>
                    <w:bCs/>
                    <w:szCs w:val="18"/>
                  </w:rPr>
                </w:pPr>
                <w:r w:rsidRPr="00DD6E6E">
                  <w:rPr>
                    <w:rFonts w:ascii="Palatino Linotype" w:eastAsia="Palatino Linotype" w:hAnsi="Palatino Linotype" w:cs="Palatino Linotype"/>
                    <w:b/>
                    <w:bCs/>
                    <w:szCs w:val="18"/>
                  </w:rPr>
                  <w:t>Sujeto Obligado:</w:t>
                </w:r>
              </w:p>
            </w:tc>
            <w:tc>
              <w:tcPr>
                <w:tcW w:w="3705" w:type="dxa"/>
                <w:shd w:val="clear" w:color="auto" w:fill="auto"/>
              </w:tcPr>
              <w:p w:rsidR="00260D41" w:rsidRPr="00DD6E6E" w:rsidRDefault="00260D41" w:rsidP="00E3228B">
                <w:pPr>
                  <w:tabs>
                    <w:tab w:val="left" w:pos="2834"/>
                    <w:tab w:val="right" w:pos="8838"/>
                  </w:tabs>
                  <w:ind w:right="318"/>
                  <w:jc w:val="both"/>
                  <w:rPr>
                    <w:rFonts w:ascii="Palatino Linotype" w:eastAsia="Palatino Linotype" w:hAnsi="Palatino Linotype" w:cs="Palatino Linotype"/>
                    <w:b/>
                    <w:szCs w:val="18"/>
                  </w:rPr>
                </w:pPr>
                <w:r w:rsidRPr="00DD6E6E">
                  <w:rPr>
                    <w:rFonts w:ascii="Palatino Linotype" w:eastAsia="Palatino Linotype" w:hAnsi="Palatino Linotype" w:cs="Palatino Linotype"/>
                    <w:b/>
                    <w:szCs w:val="18"/>
                  </w:rPr>
                  <w:t>Partido Acción Nacional</w:t>
                </w:r>
              </w:p>
            </w:tc>
          </w:tr>
          <w:tr w:rsidR="00260D41" w:rsidTr="00DD6E6E">
            <w:trPr>
              <w:trHeight w:val="295"/>
            </w:trPr>
            <w:tc>
              <w:tcPr>
                <w:tcW w:w="3680" w:type="dxa"/>
                <w:shd w:val="clear" w:color="auto" w:fill="auto"/>
              </w:tcPr>
              <w:p w:rsidR="00260D41" w:rsidRPr="00DD6E6E" w:rsidRDefault="00260D41">
                <w:pPr>
                  <w:tabs>
                    <w:tab w:val="right" w:pos="8838"/>
                  </w:tabs>
                  <w:ind w:left="850" w:right="-105"/>
                  <w:jc w:val="both"/>
                  <w:rPr>
                    <w:rFonts w:ascii="Palatino Linotype" w:eastAsia="Palatino Linotype" w:hAnsi="Palatino Linotype" w:cs="Palatino Linotype"/>
                    <w:b/>
                    <w:bCs/>
                    <w:szCs w:val="18"/>
                  </w:rPr>
                </w:pPr>
                <w:r w:rsidRPr="00DD6E6E">
                  <w:rPr>
                    <w:rFonts w:ascii="Palatino Linotype" w:eastAsia="Palatino Linotype" w:hAnsi="Palatino Linotype" w:cs="Palatino Linotype"/>
                    <w:b/>
                    <w:bCs/>
                    <w:szCs w:val="18"/>
                  </w:rPr>
                  <w:t>Comisionada ponente:</w:t>
                </w:r>
              </w:p>
            </w:tc>
            <w:tc>
              <w:tcPr>
                <w:tcW w:w="3705" w:type="dxa"/>
                <w:shd w:val="clear" w:color="auto" w:fill="auto"/>
              </w:tcPr>
              <w:p w:rsidR="00260D41" w:rsidRPr="00DD6E6E" w:rsidRDefault="00260D41">
                <w:pPr>
                  <w:tabs>
                    <w:tab w:val="right" w:pos="8838"/>
                  </w:tabs>
                  <w:ind w:right="-781"/>
                  <w:jc w:val="both"/>
                  <w:rPr>
                    <w:rFonts w:ascii="Palatino Linotype" w:eastAsia="Palatino Linotype" w:hAnsi="Palatino Linotype" w:cs="Palatino Linotype"/>
                    <w:szCs w:val="18"/>
                  </w:rPr>
                </w:pPr>
                <w:r w:rsidRPr="00DD6E6E">
                  <w:rPr>
                    <w:rFonts w:ascii="Palatino Linotype" w:eastAsia="Palatino Linotype" w:hAnsi="Palatino Linotype" w:cs="Palatino Linotype"/>
                    <w:szCs w:val="18"/>
                  </w:rPr>
                  <w:t>María del Rosario Mejía Ayala</w:t>
                </w:r>
              </w:p>
              <w:p w:rsidR="00260D41" w:rsidRPr="00DD6E6E" w:rsidRDefault="00260D41">
                <w:pPr>
                  <w:tabs>
                    <w:tab w:val="right" w:pos="8838"/>
                  </w:tabs>
                  <w:ind w:left="141" w:right="-781"/>
                  <w:jc w:val="both"/>
                  <w:rPr>
                    <w:rFonts w:ascii="Palatino Linotype" w:eastAsia="Palatino Linotype" w:hAnsi="Palatino Linotype" w:cs="Palatino Linotype"/>
                    <w:szCs w:val="18"/>
                  </w:rPr>
                </w:pPr>
              </w:p>
            </w:tc>
          </w:tr>
        </w:tbl>
        <w:p w:rsidR="00260D41" w:rsidRDefault="00260D41">
          <w:pPr>
            <w:tabs>
              <w:tab w:val="right" w:pos="8838"/>
            </w:tabs>
            <w:ind w:left="-28"/>
            <w:jc w:val="both"/>
            <w:rPr>
              <w:rFonts w:ascii="Arial" w:eastAsia="Arial" w:hAnsi="Arial" w:cs="Arial"/>
              <w:b/>
              <w:bCs/>
              <w:sz w:val="18"/>
              <w:szCs w:val="18"/>
            </w:rPr>
          </w:pPr>
        </w:p>
      </w:tc>
    </w:tr>
  </w:tbl>
  <w:p w:rsidR="00260D41" w:rsidRDefault="00B54139">
    <w:pPr>
      <w:pBdr>
        <w:top w:val="nil"/>
        <w:left w:val="nil"/>
        <w:bottom w:val="nil"/>
        <w:right w:val="nil"/>
        <w:between w:val="nil"/>
      </w:pBdr>
      <w:tabs>
        <w:tab w:val="center" w:pos="4419"/>
        <w:tab w:val="right" w:pos="8838"/>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alt="" style="position:absolute;margin-left:-64.4pt;margin-top:-125.65pt;width:589.8pt;height:768pt;z-index:-251658752;mso-position-horizontal-relative:margin;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Layout w:type="fixed"/>
      <w:tblLook w:val="0400" w:firstRow="0" w:lastRow="0" w:firstColumn="0" w:lastColumn="0" w:noHBand="0" w:noVBand="1"/>
    </w:tblPr>
    <w:tblGrid>
      <w:gridCol w:w="2265"/>
      <w:gridCol w:w="7800"/>
    </w:tblGrid>
    <w:tr w:rsidR="00260D41">
      <w:trPr>
        <w:trHeight w:val="1435"/>
      </w:trPr>
      <w:tc>
        <w:tcPr>
          <w:tcW w:w="2265" w:type="dxa"/>
          <w:shd w:val="clear" w:color="auto" w:fill="auto"/>
        </w:tcPr>
        <w:p w:rsidR="00260D41" w:rsidRDefault="00260D41">
          <w:pPr>
            <w:tabs>
              <w:tab w:val="right" w:pos="4273"/>
            </w:tabs>
            <w:rPr>
              <w:rFonts w:ascii="Garamond" w:eastAsia="Garamond" w:hAnsi="Garamond" w:cs="Garamond"/>
              <w:sz w:val="22"/>
              <w:szCs w:val="22"/>
            </w:rPr>
          </w:pPr>
        </w:p>
      </w:tc>
      <w:tc>
        <w:tcPr>
          <w:tcW w:w="7800" w:type="dxa"/>
          <w:shd w:val="clear" w:color="auto" w:fill="auto"/>
        </w:tcPr>
        <w:tbl>
          <w:tblPr>
            <w:tblW w:w="7410" w:type="dxa"/>
            <w:tblInd w:w="1455" w:type="dxa"/>
            <w:tblLayout w:type="fixed"/>
            <w:tblLook w:val="0400" w:firstRow="0" w:lastRow="0" w:firstColumn="0" w:lastColumn="0" w:noHBand="0" w:noVBand="1"/>
          </w:tblPr>
          <w:tblGrid>
            <w:gridCol w:w="2490"/>
            <w:gridCol w:w="4920"/>
          </w:tblGrid>
          <w:tr w:rsidR="00260D41" w:rsidTr="00DD6E6E">
            <w:trPr>
              <w:trHeight w:val="144"/>
            </w:trPr>
            <w:tc>
              <w:tcPr>
                <w:tcW w:w="2490" w:type="dxa"/>
                <w:shd w:val="clear" w:color="auto" w:fill="auto"/>
              </w:tcPr>
              <w:p w:rsidR="00260D41" w:rsidRPr="00DD6E6E" w:rsidRDefault="00260D41">
                <w:pPr>
                  <w:tabs>
                    <w:tab w:val="right" w:pos="8838"/>
                  </w:tabs>
                  <w:ind w:left="-264" w:right="-105" w:firstLine="195"/>
                  <w:rPr>
                    <w:rFonts w:ascii="Palatino Linotype" w:eastAsia="Palatino Linotype" w:hAnsi="Palatino Linotype" w:cs="Palatino Linotype"/>
                    <w:b/>
                    <w:bCs/>
                    <w:szCs w:val="18"/>
                  </w:rPr>
                </w:pPr>
                <w:r w:rsidRPr="00DD6E6E">
                  <w:rPr>
                    <w:rFonts w:ascii="Palatino Linotype" w:eastAsia="Palatino Linotype" w:hAnsi="Palatino Linotype" w:cs="Palatino Linotype"/>
                    <w:b/>
                    <w:bCs/>
                    <w:szCs w:val="18"/>
                  </w:rPr>
                  <w:t>Recurso de Revisión:</w:t>
                </w:r>
              </w:p>
            </w:tc>
            <w:tc>
              <w:tcPr>
                <w:tcW w:w="4920" w:type="dxa"/>
                <w:shd w:val="clear" w:color="auto" w:fill="auto"/>
              </w:tcPr>
              <w:p w:rsidR="00260D41" w:rsidRPr="00DD6E6E" w:rsidRDefault="00260D41">
                <w:pPr>
                  <w:tabs>
                    <w:tab w:val="right" w:pos="8838"/>
                  </w:tabs>
                  <w:ind w:right="-1552"/>
                  <w:rPr>
                    <w:rFonts w:ascii="Palatino Linotype" w:eastAsia="Palatino Linotype" w:hAnsi="Palatino Linotype" w:cs="Palatino Linotype"/>
                    <w:szCs w:val="18"/>
                  </w:rPr>
                </w:pPr>
                <w:r w:rsidRPr="00DD6E6E">
                  <w:rPr>
                    <w:rFonts w:ascii="Palatino Linotype" w:eastAsia="Palatino Linotype" w:hAnsi="Palatino Linotype" w:cs="Palatino Linotype"/>
                    <w:szCs w:val="18"/>
                  </w:rPr>
                  <w:t>03843/INFOEM/IP/RR/2026</w:t>
                </w:r>
              </w:p>
            </w:tc>
          </w:tr>
          <w:tr w:rsidR="00260D41" w:rsidTr="00DD6E6E">
            <w:trPr>
              <w:trHeight w:val="144"/>
            </w:trPr>
            <w:tc>
              <w:tcPr>
                <w:tcW w:w="2490" w:type="dxa"/>
                <w:shd w:val="clear" w:color="auto" w:fill="auto"/>
              </w:tcPr>
              <w:p w:rsidR="00260D41" w:rsidRPr="00DD6E6E" w:rsidRDefault="00260D41">
                <w:pPr>
                  <w:tabs>
                    <w:tab w:val="right" w:pos="8838"/>
                  </w:tabs>
                  <w:ind w:left="-74" w:right="-105"/>
                  <w:rPr>
                    <w:rFonts w:ascii="Palatino Linotype" w:eastAsia="Palatino Linotype" w:hAnsi="Palatino Linotype" w:cs="Palatino Linotype"/>
                    <w:b/>
                    <w:bCs/>
                    <w:szCs w:val="18"/>
                  </w:rPr>
                </w:pPr>
                <w:r w:rsidRPr="00DD6E6E">
                  <w:rPr>
                    <w:rFonts w:ascii="Palatino Linotype" w:eastAsia="Palatino Linotype" w:hAnsi="Palatino Linotype" w:cs="Palatino Linotype"/>
                    <w:b/>
                    <w:bCs/>
                    <w:szCs w:val="18"/>
                  </w:rPr>
                  <w:t>Recurrente:</w:t>
                </w:r>
              </w:p>
            </w:tc>
            <w:tc>
              <w:tcPr>
                <w:tcW w:w="4920" w:type="dxa"/>
                <w:shd w:val="clear" w:color="auto" w:fill="auto"/>
              </w:tcPr>
              <w:p w:rsidR="00260D41" w:rsidRPr="00DD6E6E" w:rsidRDefault="00E938F2" w:rsidP="00E3228B">
                <w:pPr>
                  <w:tabs>
                    <w:tab w:val="left" w:pos="3122"/>
                    <w:tab w:val="right" w:pos="8838"/>
                  </w:tabs>
                  <w:ind w:right="-1552"/>
                  <w:rPr>
                    <w:rFonts w:ascii="Palatino Linotype" w:eastAsia="Palatino Linotype" w:hAnsi="Palatino Linotype" w:cs="Palatino Linotype"/>
                    <w:szCs w:val="18"/>
                  </w:rPr>
                </w:pPr>
                <w:r>
                  <w:rPr>
                    <w:rFonts w:ascii="Palatino Linotype" w:eastAsia="Palatino Linotype" w:hAnsi="Palatino Linotype" w:cs="Palatino Linotype"/>
                    <w:bCs/>
                    <w:szCs w:val="18"/>
                  </w:rPr>
                  <w:t>XXXX</w:t>
                </w:r>
              </w:p>
            </w:tc>
          </w:tr>
          <w:tr w:rsidR="00260D41" w:rsidTr="00DD6E6E">
            <w:trPr>
              <w:trHeight w:val="80"/>
            </w:trPr>
            <w:tc>
              <w:tcPr>
                <w:tcW w:w="2490" w:type="dxa"/>
                <w:shd w:val="clear" w:color="auto" w:fill="auto"/>
              </w:tcPr>
              <w:p w:rsidR="00260D41" w:rsidRPr="00DD6E6E" w:rsidRDefault="00260D41">
                <w:pPr>
                  <w:tabs>
                    <w:tab w:val="right" w:pos="8838"/>
                  </w:tabs>
                  <w:ind w:left="-74" w:right="-105"/>
                  <w:rPr>
                    <w:rFonts w:ascii="Palatino Linotype" w:eastAsia="Palatino Linotype" w:hAnsi="Palatino Linotype" w:cs="Palatino Linotype"/>
                    <w:b/>
                    <w:bCs/>
                    <w:szCs w:val="18"/>
                  </w:rPr>
                </w:pPr>
                <w:r w:rsidRPr="00DD6E6E">
                  <w:rPr>
                    <w:rFonts w:ascii="Palatino Linotype" w:eastAsia="Palatino Linotype" w:hAnsi="Palatino Linotype" w:cs="Palatino Linotype"/>
                    <w:b/>
                    <w:bCs/>
                    <w:szCs w:val="18"/>
                  </w:rPr>
                  <w:t>Sujeto Obligado:</w:t>
                </w:r>
              </w:p>
            </w:tc>
            <w:tc>
              <w:tcPr>
                <w:tcW w:w="4920" w:type="dxa"/>
                <w:shd w:val="clear" w:color="auto" w:fill="auto"/>
              </w:tcPr>
              <w:p w:rsidR="00260D41" w:rsidRPr="00DD6E6E" w:rsidRDefault="00260D41" w:rsidP="00E3228B">
                <w:pPr>
                  <w:tabs>
                    <w:tab w:val="left" w:pos="2834"/>
                    <w:tab w:val="right" w:pos="8838"/>
                  </w:tabs>
                  <w:ind w:right="-106"/>
                  <w:rPr>
                    <w:rFonts w:ascii="Palatino Linotype" w:eastAsia="Palatino Linotype" w:hAnsi="Palatino Linotype" w:cs="Palatino Linotype"/>
                    <w:szCs w:val="18"/>
                  </w:rPr>
                </w:pPr>
                <w:r w:rsidRPr="00DD6E6E">
                  <w:rPr>
                    <w:rFonts w:ascii="Palatino Linotype" w:eastAsia="Palatino Linotype" w:hAnsi="Palatino Linotype" w:cs="Palatino Linotype"/>
                    <w:bCs/>
                    <w:szCs w:val="18"/>
                  </w:rPr>
                  <w:t>Partido Acción Nacional</w:t>
                </w:r>
              </w:p>
            </w:tc>
          </w:tr>
          <w:tr w:rsidR="00260D41" w:rsidTr="00DD6E6E">
            <w:trPr>
              <w:trHeight w:val="283"/>
            </w:trPr>
            <w:tc>
              <w:tcPr>
                <w:tcW w:w="2490" w:type="dxa"/>
                <w:shd w:val="clear" w:color="auto" w:fill="auto"/>
              </w:tcPr>
              <w:p w:rsidR="00260D41" w:rsidRPr="00DD6E6E" w:rsidRDefault="00260D41" w:rsidP="00DD6E6E">
                <w:pPr>
                  <w:tabs>
                    <w:tab w:val="right" w:pos="8838"/>
                  </w:tabs>
                  <w:ind w:left="-108" w:right="-105"/>
                  <w:rPr>
                    <w:rFonts w:ascii="Palatino Linotype" w:eastAsia="Palatino Linotype" w:hAnsi="Palatino Linotype" w:cs="Palatino Linotype"/>
                    <w:b/>
                    <w:bCs/>
                    <w:szCs w:val="18"/>
                  </w:rPr>
                </w:pPr>
                <w:r w:rsidRPr="00DD6E6E">
                  <w:rPr>
                    <w:rFonts w:ascii="Palatino Linotype" w:eastAsia="Palatino Linotype" w:hAnsi="Palatino Linotype" w:cs="Palatino Linotype"/>
                    <w:b/>
                    <w:bCs/>
                    <w:szCs w:val="18"/>
                  </w:rPr>
                  <w:t>Comisionada ponente:</w:t>
                </w:r>
              </w:p>
            </w:tc>
            <w:tc>
              <w:tcPr>
                <w:tcW w:w="4920" w:type="dxa"/>
                <w:shd w:val="clear" w:color="auto" w:fill="auto"/>
              </w:tcPr>
              <w:p w:rsidR="00260D41" w:rsidRPr="00DD6E6E" w:rsidRDefault="00260D41">
                <w:pPr>
                  <w:tabs>
                    <w:tab w:val="right" w:pos="8838"/>
                  </w:tabs>
                  <w:ind w:right="-1552"/>
                  <w:rPr>
                    <w:rFonts w:ascii="Palatino Linotype" w:eastAsia="Palatino Linotype" w:hAnsi="Palatino Linotype" w:cs="Palatino Linotype"/>
                    <w:szCs w:val="18"/>
                  </w:rPr>
                </w:pPr>
                <w:r w:rsidRPr="00DD6E6E">
                  <w:rPr>
                    <w:rFonts w:ascii="Palatino Linotype" w:eastAsia="Palatino Linotype" w:hAnsi="Palatino Linotype" w:cs="Palatino Linotype"/>
                    <w:szCs w:val="18"/>
                  </w:rPr>
                  <w:t>María del Rosario Mejía Ayala</w:t>
                </w:r>
              </w:p>
              <w:p w:rsidR="00260D41" w:rsidRPr="00DD6E6E" w:rsidRDefault="00260D41">
                <w:pPr>
                  <w:tabs>
                    <w:tab w:val="right" w:pos="8838"/>
                  </w:tabs>
                  <w:ind w:right="-1552"/>
                  <w:rPr>
                    <w:rFonts w:ascii="Palatino Linotype" w:eastAsia="Palatino Linotype" w:hAnsi="Palatino Linotype" w:cs="Palatino Linotype"/>
                    <w:szCs w:val="18"/>
                  </w:rPr>
                </w:pPr>
              </w:p>
            </w:tc>
          </w:tr>
        </w:tbl>
        <w:p w:rsidR="00260D41" w:rsidRDefault="00260D41">
          <w:pPr>
            <w:tabs>
              <w:tab w:val="right" w:pos="8838"/>
            </w:tabs>
            <w:ind w:left="-28"/>
            <w:jc w:val="both"/>
            <w:rPr>
              <w:rFonts w:ascii="Arial" w:eastAsia="Arial" w:hAnsi="Arial" w:cs="Arial"/>
              <w:b/>
              <w:bCs/>
              <w:sz w:val="22"/>
              <w:szCs w:val="22"/>
            </w:rPr>
          </w:pPr>
        </w:p>
      </w:tc>
    </w:tr>
  </w:tbl>
  <w:p w:rsidR="00260D41" w:rsidRDefault="00B54139">
    <w:pPr>
      <w:pBdr>
        <w:top w:val="nil"/>
        <w:left w:val="nil"/>
        <w:bottom w:val="nil"/>
        <w:right w:val="nil"/>
        <w:between w:val="nil"/>
      </w:pBdr>
      <w:tabs>
        <w:tab w:val="center" w:pos="4419"/>
        <w:tab w:val="right" w:pos="8838"/>
      </w:tabs>
      <w:rPr>
        <w:color w:val="000000"/>
        <w:sz w:val="2"/>
        <w:szCs w:val="2"/>
      </w:rPr>
    </w:pPr>
    <w:r>
      <w:rPr>
        <w:color w:val="000000"/>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68.8pt;margin-top:-117.6pt;width:589.8pt;height:768pt;z-index:-251657728;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2A266F"/>
    <w:multiLevelType w:val="multilevel"/>
    <w:tmpl w:val="523C3042"/>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1" w15:restartNumberingAfterBreak="0">
    <w:nsid w:val="0B9A3549"/>
    <w:multiLevelType w:val="multilevel"/>
    <w:tmpl w:val="C1D49D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1E5415D"/>
    <w:multiLevelType w:val="multilevel"/>
    <w:tmpl w:val="77E03C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CA63D7F"/>
    <w:multiLevelType w:val="multilevel"/>
    <w:tmpl w:val="F5045D82"/>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15:restartNumberingAfterBreak="0">
    <w:nsid w:val="1FBA60E1"/>
    <w:multiLevelType w:val="hybridMultilevel"/>
    <w:tmpl w:val="3114294E"/>
    <w:lvl w:ilvl="0" w:tplc="087AAEF6">
      <w:numFmt w:val="bullet"/>
      <w:lvlText w:val="-"/>
      <w:lvlJc w:val="left"/>
      <w:pPr>
        <w:ind w:left="720" w:hanging="360"/>
      </w:pPr>
      <w:rPr>
        <w:rFonts w:ascii="Palatino Linotype" w:eastAsia="Times New Roman" w:hAnsi="Palatino Linotype" w:cs="Tahoma"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2D613A9"/>
    <w:multiLevelType w:val="multilevel"/>
    <w:tmpl w:val="EEFE3B20"/>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0A74619"/>
    <w:multiLevelType w:val="multilevel"/>
    <w:tmpl w:val="DD521FD4"/>
    <w:lvl w:ilvl="0">
      <w:start w:val="1"/>
      <w:numFmt w:val="decimal"/>
      <w:lvlText w:val="%1."/>
      <w:lvlJc w:val="left"/>
      <w:pPr>
        <w:ind w:left="502"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upperLetter"/>
      <w:lvlText w:val="%3)"/>
      <w:lvlJc w:val="left"/>
      <w:pPr>
        <w:ind w:left="2340" w:hanging="360"/>
      </w:pPr>
    </w:lvl>
    <w:lvl w:ilvl="3">
      <w:start w:val="1"/>
      <w:numFmt w:val="lowerLetter"/>
      <w:lvlText w:val="%4)"/>
      <w:lvlJc w:val="left"/>
      <w:pPr>
        <w:ind w:left="2880" w:hanging="360"/>
      </w:pPr>
      <w:rPr>
        <w:b w:val="0"/>
        <w:bCs w:val="0"/>
        <w:color w:val="00000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4CC0B56"/>
    <w:multiLevelType w:val="hybridMultilevel"/>
    <w:tmpl w:val="F0B6F672"/>
    <w:lvl w:ilvl="0" w:tplc="BCE89C04">
      <w:start w:val="1"/>
      <w:numFmt w:val="bullet"/>
      <w:lvlText w:val=""/>
      <w:lvlJc w:val="left"/>
      <w:pPr>
        <w:ind w:left="720" w:hanging="360"/>
      </w:pPr>
      <w:rPr>
        <w:rFonts w:ascii="Symbol" w:eastAsia="Palatino Linotype" w:hAnsi="Symbol" w:cs="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46DC2FF6"/>
    <w:multiLevelType w:val="multilevel"/>
    <w:tmpl w:val="51048D98"/>
    <w:lvl w:ilvl="0">
      <w:start w:val="1"/>
      <w:numFmt w:val="decimal"/>
      <w:lvlText w:val="%1."/>
      <w:lvlJc w:val="left"/>
      <w:pPr>
        <w:ind w:left="357" w:hanging="357"/>
      </w:pPr>
      <w:rPr>
        <w:rFonts w:ascii="Palatino Linotype" w:eastAsia="Palatino Linotype" w:hAnsi="Palatino Linotype" w:cs="Palatino Linotype"/>
        <w:b/>
        <w:bCs/>
        <w:i w:val="0"/>
        <w:iCs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bCs/>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0A51941"/>
    <w:multiLevelType w:val="multilevel"/>
    <w:tmpl w:val="0A8016B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0BC008E"/>
    <w:multiLevelType w:val="hybridMultilevel"/>
    <w:tmpl w:val="0F34873A"/>
    <w:lvl w:ilvl="0" w:tplc="080A0001">
      <w:start w:val="1"/>
      <w:numFmt w:val="bullet"/>
      <w:lvlText w:val=""/>
      <w:lvlJc w:val="left"/>
      <w:pPr>
        <w:ind w:left="1854" w:hanging="360"/>
      </w:pPr>
      <w:rPr>
        <w:rFonts w:ascii="Symbol" w:hAnsi="Symbol" w:hint="default"/>
      </w:rPr>
    </w:lvl>
    <w:lvl w:ilvl="1" w:tplc="080A0003" w:tentative="1">
      <w:start w:val="1"/>
      <w:numFmt w:val="bullet"/>
      <w:lvlText w:val="o"/>
      <w:lvlJc w:val="left"/>
      <w:pPr>
        <w:ind w:left="2574" w:hanging="360"/>
      </w:pPr>
      <w:rPr>
        <w:rFonts w:ascii="Courier New" w:hAnsi="Courier New" w:cs="Courier New" w:hint="default"/>
      </w:rPr>
    </w:lvl>
    <w:lvl w:ilvl="2" w:tplc="080A0005" w:tentative="1">
      <w:start w:val="1"/>
      <w:numFmt w:val="bullet"/>
      <w:lvlText w:val=""/>
      <w:lvlJc w:val="left"/>
      <w:pPr>
        <w:ind w:left="3294" w:hanging="360"/>
      </w:pPr>
      <w:rPr>
        <w:rFonts w:ascii="Wingdings" w:hAnsi="Wingdings" w:hint="default"/>
      </w:rPr>
    </w:lvl>
    <w:lvl w:ilvl="3" w:tplc="080A0001" w:tentative="1">
      <w:start w:val="1"/>
      <w:numFmt w:val="bullet"/>
      <w:lvlText w:val=""/>
      <w:lvlJc w:val="left"/>
      <w:pPr>
        <w:ind w:left="4014" w:hanging="360"/>
      </w:pPr>
      <w:rPr>
        <w:rFonts w:ascii="Symbol" w:hAnsi="Symbol" w:hint="default"/>
      </w:rPr>
    </w:lvl>
    <w:lvl w:ilvl="4" w:tplc="080A0003" w:tentative="1">
      <w:start w:val="1"/>
      <w:numFmt w:val="bullet"/>
      <w:lvlText w:val="o"/>
      <w:lvlJc w:val="left"/>
      <w:pPr>
        <w:ind w:left="4734" w:hanging="360"/>
      </w:pPr>
      <w:rPr>
        <w:rFonts w:ascii="Courier New" w:hAnsi="Courier New" w:cs="Courier New" w:hint="default"/>
      </w:rPr>
    </w:lvl>
    <w:lvl w:ilvl="5" w:tplc="080A0005" w:tentative="1">
      <w:start w:val="1"/>
      <w:numFmt w:val="bullet"/>
      <w:lvlText w:val=""/>
      <w:lvlJc w:val="left"/>
      <w:pPr>
        <w:ind w:left="5454" w:hanging="360"/>
      </w:pPr>
      <w:rPr>
        <w:rFonts w:ascii="Wingdings" w:hAnsi="Wingdings" w:hint="default"/>
      </w:rPr>
    </w:lvl>
    <w:lvl w:ilvl="6" w:tplc="080A0001" w:tentative="1">
      <w:start w:val="1"/>
      <w:numFmt w:val="bullet"/>
      <w:lvlText w:val=""/>
      <w:lvlJc w:val="left"/>
      <w:pPr>
        <w:ind w:left="6174" w:hanging="360"/>
      </w:pPr>
      <w:rPr>
        <w:rFonts w:ascii="Symbol" w:hAnsi="Symbol" w:hint="default"/>
      </w:rPr>
    </w:lvl>
    <w:lvl w:ilvl="7" w:tplc="080A0003" w:tentative="1">
      <w:start w:val="1"/>
      <w:numFmt w:val="bullet"/>
      <w:lvlText w:val="o"/>
      <w:lvlJc w:val="left"/>
      <w:pPr>
        <w:ind w:left="6894" w:hanging="360"/>
      </w:pPr>
      <w:rPr>
        <w:rFonts w:ascii="Courier New" w:hAnsi="Courier New" w:cs="Courier New" w:hint="default"/>
      </w:rPr>
    </w:lvl>
    <w:lvl w:ilvl="8" w:tplc="080A0005" w:tentative="1">
      <w:start w:val="1"/>
      <w:numFmt w:val="bullet"/>
      <w:lvlText w:val=""/>
      <w:lvlJc w:val="left"/>
      <w:pPr>
        <w:ind w:left="7614" w:hanging="360"/>
      </w:pPr>
      <w:rPr>
        <w:rFonts w:ascii="Wingdings" w:hAnsi="Wingdings" w:hint="default"/>
      </w:rPr>
    </w:lvl>
  </w:abstractNum>
  <w:abstractNum w:abstractNumId="11" w15:restartNumberingAfterBreak="0">
    <w:nsid w:val="582D7E1E"/>
    <w:multiLevelType w:val="multilevel"/>
    <w:tmpl w:val="21CE35B0"/>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B1571A3"/>
    <w:multiLevelType w:val="multilevel"/>
    <w:tmpl w:val="7AF6B05A"/>
    <w:lvl w:ilvl="0">
      <w:start w:val="1"/>
      <w:numFmt w:val="bullet"/>
      <w:lvlText w:val="●"/>
      <w:lvlJc w:val="left"/>
      <w:pPr>
        <w:ind w:left="778" w:hanging="360"/>
      </w:pPr>
      <w:rPr>
        <w:rFonts w:ascii="Noto Sans Symbols" w:eastAsia="Noto Sans Symbols" w:hAnsi="Noto Sans Symbols" w:cs="Noto Sans Symbols"/>
      </w:rPr>
    </w:lvl>
    <w:lvl w:ilvl="1">
      <w:start w:val="1"/>
      <w:numFmt w:val="bullet"/>
      <w:lvlText w:val="o"/>
      <w:lvlJc w:val="left"/>
      <w:pPr>
        <w:ind w:left="1498" w:hanging="360"/>
      </w:pPr>
      <w:rPr>
        <w:rFonts w:ascii="Courier New" w:eastAsia="Courier New" w:hAnsi="Courier New" w:cs="Courier New"/>
      </w:rPr>
    </w:lvl>
    <w:lvl w:ilvl="2">
      <w:start w:val="1"/>
      <w:numFmt w:val="bullet"/>
      <w:lvlText w:val="▪"/>
      <w:lvlJc w:val="left"/>
      <w:pPr>
        <w:ind w:left="2218" w:hanging="360"/>
      </w:pPr>
      <w:rPr>
        <w:rFonts w:ascii="Noto Sans Symbols" w:eastAsia="Noto Sans Symbols" w:hAnsi="Noto Sans Symbols" w:cs="Noto Sans Symbols"/>
      </w:rPr>
    </w:lvl>
    <w:lvl w:ilvl="3">
      <w:start w:val="1"/>
      <w:numFmt w:val="bullet"/>
      <w:lvlText w:val="●"/>
      <w:lvlJc w:val="left"/>
      <w:pPr>
        <w:ind w:left="2938" w:hanging="360"/>
      </w:pPr>
      <w:rPr>
        <w:rFonts w:ascii="Noto Sans Symbols" w:eastAsia="Noto Sans Symbols" w:hAnsi="Noto Sans Symbols" w:cs="Noto Sans Symbols"/>
      </w:rPr>
    </w:lvl>
    <w:lvl w:ilvl="4">
      <w:start w:val="1"/>
      <w:numFmt w:val="bullet"/>
      <w:lvlText w:val="o"/>
      <w:lvlJc w:val="left"/>
      <w:pPr>
        <w:ind w:left="3658" w:hanging="360"/>
      </w:pPr>
      <w:rPr>
        <w:rFonts w:ascii="Courier New" w:eastAsia="Courier New" w:hAnsi="Courier New" w:cs="Courier New"/>
      </w:rPr>
    </w:lvl>
    <w:lvl w:ilvl="5">
      <w:start w:val="1"/>
      <w:numFmt w:val="bullet"/>
      <w:lvlText w:val="▪"/>
      <w:lvlJc w:val="left"/>
      <w:pPr>
        <w:ind w:left="4378" w:hanging="360"/>
      </w:pPr>
      <w:rPr>
        <w:rFonts w:ascii="Noto Sans Symbols" w:eastAsia="Noto Sans Symbols" w:hAnsi="Noto Sans Symbols" w:cs="Noto Sans Symbols"/>
      </w:rPr>
    </w:lvl>
    <w:lvl w:ilvl="6">
      <w:start w:val="1"/>
      <w:numFmt w:val="bullet"/>
      <w:lvlText w:val="●"/>
      <w:lvlJc w:val="left"/>
      <w:pPr>
        <w:ind w:left="5098" w:hanging="360"/>
      </w:pPr>
      <w:rPr>
        <w:rFonts w:ascii="Noto Sans Symbols" w:eastAsia="Noto Sans Symbols" w:hAnsi="Noto Sans Symbols" w:cs="Noto Sans Symbols"/>
      </w:rPr>
    </w:lvl>
    <w:lvl w:ilvl="7">
      <w:start w:val="1"/>
      <w:numFmt w:val="bullet"/>
      <w:lvlText w:val="o"/>
      <w:lvlJc w:val="left"/>
      <w:pPr>
        <w:ind w:left="5818" w:hanging="360"/>
      </w:pPr>
      <w:rPr>
        <w:rFonts w:ascii="Courier New" w:eastAsia="Courier New" w:hAnsi="Courier New" w:cs="Courier New"/>
      </w:rPr>
    </w:lvl>
    <w:lvl w:ilvl="8">
      <w:start w:val="1"/>
      <w:numFmt w:val="bullet"/>
      <w:lvlText w:val="▪"/>
      <w:lvlJc w:val="left"/>
      <w:pPr>
        <w:ind w:left="6538" w:hanging="360"/>
      </w:pPr>
      <w:rPr>
        <w:rFonts w:ascii="Noto Sans Symbols" w:eastAsia="Noto Sans Symbols" w:hAnsi="Noto Sans Symbols" w:cs="Noto Sans Symbols"/>
      </w:rPr>
    </w:lvl>
  </w:abstractNum>
  <w:num w:numId="1">
    <w:abstractNumId w:val="8"/>
  </w:num>
  <w:num w:numId="2">
    <w:abstractNumId w:val="6"/>
  </w:num>
  <w:num w:numId="3">
    <w:abstractNumId w:val="7"/>
  </w:num>
  <w:num w:numId="4">
    <w:abstractNumId w:val="1"/>
  </w:num>
  <w:num w:numId="5">
    <w:abstractNumId w:val="3"/>
  </w:num>
  <w:num w:numId="6">
    <w:abstractNumId w:val="0"/>
  </w:num>
  <w:num w:numId="7">
    <w:abstractNumId w:val="9"/>
  </w:num>
  <w:num w:numId="8">
    <w:abstractNumId w:val="12"/>
  </w:num>
  <w:num w:numId="9">
    <w:abstractNumId w:val="2"/>
  </w:num>
  <w:num w:numId="10">
    <w:abstractNumId w:val="11"/>
  </w:num>
  <w:num w:numId="11">
    <w:abstractNumId w:val="5"/>
  </w:num>
  <w:num w:numId="12">
    <w:abstractNumId w:val="4"/>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242F"/>
    <w:rsid w:val="0006794D"/>
    <w:rsid w:val="00133210"/>
    <w:rsid w:val="00133EE7"/>
    <w:rsid w:val="001C1C20"/>
    <w:rsid w:val="00204133"/>
    <w:rsid w:val="0020739F"/>
    <w:rsid w:val="00251A63"/>
    <w:rsid w:val="00260D41"/>
    <w:rsid w:val="002B591B"/>
    <w:rsid w:val="002E6FD2"/>
    <w:rsid w:val="002F57C0"/>
    <w:rsid w:val="003A3435"/>
    <w:rsid w:val="004166F4"/>
    <w:rsid w:val="00460F08"/>
    <w:rsid w:val="0049594E"/>
    <w:rsid w:val="004E62A4"/>
    <w:rsid w:val="005171A9"/>
    <w:rsid w:val="005D0CB9"/>
    <w:rsid w:val="005D7283"/>
    <w:rsid w:val="005D7BB0"/>
    <w:rsid w:val="006529F6"/>
    <w:rsid w:val="006A70C9"/>
    <w:rsid w:val="006B107C"/>
    <w:rsid w:val="006B4195"/>
    <w:rsid w:val="006C2675"/>
    <w:rsid w:val="00716935"/>
    <w:rsid w:val="0072264C"/>
    <w:rsid w:val="007824E5"/>
    <w:rsid w:val="007A17CE"/>
    <w:rsid w:val="007C2D48"/>
    <w:rsid w:val="007D22E2"/>
    <w:rsid w:val="00842522"/>
    <w:rsid w:val="008711EF"/>
    <w:rsid w:val="00886D0F"/>
    <w:rsid w:val="008A6180"/>
    <w:rsid w:val="008D1491"/>
    <w:rsid w:val="009513C9"/>
    <w:rsid w:val="009B0A00"/>
    <w:rsid w:val="00A06D09"/>
    <w:rsid w:val="00A47BEA"/>
    <w:rsid w:val="00A75D63"/>
    <w:rsid w:val="00A93138"/>
    <w:rsid w:val="00B16E4C"/>
    <w:rsid w:val="00B54139"/>
    <w:rsid w:val="00B556AA"/>
    <w:rsid w:val="00B7630A"/>
    <w:rsid w:val="00BC0B80"/>
    <w:rsid w:val="00BD4B49"/>
    <w:rsid w:val="00C302BD"/>
    <w:rsid w:val="00C877EF"/>
    <w:rsid w:val="00DD6E6E"/>
    <w:rsid w:val="00DE4189"/>
    <w:rsid w:val="00DE79C3"/>
    <w:rsid w:val="00E02F6F"/>
    <w:rsid w:val="00E3228B"/>
    <w:rsid w:val="00E56F71"/>
    <w:rsid w:val="00E6032A"/>
    <w:rsid w:val="00E938F2"/>
    <w:rsid w:val="00EB242F"/>
    <w:rsid w:val="00ED3C89"/>
    <w:rsid w:val="00EE5808"/>
    <w:rsid w:val="00EF5DCD"/>
    <w:rsid w:val="00F14588"/>
    <w:rsid w:val="00FA4078"/>
    <w:rsid w:val="00FB078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DA0751FD-B949-4503-BC4A-B4A607972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B242F"/>
    <w:pPr>
      <w:spacing w:after="0" w:line="240" w:lineRule="auto"/>
    </w:pPr>
    <w:rPr>
      <w:rFonts w:ascii="Times New Roman" w:eastAsia="Times New Roman" w:hAnsi="Times New Roman" w:cs="Times New Roman"/>
      <w:sz w:val="24"/>
      <w:szCs w:val="24"/>
      <w:lang w:eastAsia="es-MX"/>
    </w:rPr>
  </w:style>
  <w:style w:type="paragraph" w:styleId="Ttulo1">
    <w:name w:val="heading 1"/>
    <w:basedOn w:val="Normal"/>
    <w:next w:val="Normal"/>
    <w:link w:val="Ttulo1Car"/>
    <w:uiPriority w:val="9"/>
    <w:qFormat/>
    <w:rsid w:val="00886D0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rsid w:val="00EB242F"/>
    <w:pPr>
      <w:keepNext/>
      <w:keepLines/>
      <w:spacing w:before="40" w:line="259" w:lineRule="auto"/>
      <w:outlineLvl w:val="1"/>
    </w:pPr>
    <w:rPr>
      <w:rFonts w:ascii="Calibri" w:eastAsia="Calibri" w:hAnsi="Calibri" w:cs="Calibri"/>
      <w:color w:val="2E75B5"/>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EB242F"/>
    <w:rPr>
      <w:rFonts w:ascii="Calibri" w:eastAsia="Calibri" w:hAnsi="Calibri" w:cs="Calibri"/>
      <w:color w:val="2E75B5"/>
      <w:sz w:val="26"/>
      <w:szCs w:val="26"/>
      <w:lang w:eastAsia="es-MX"/>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EB242F"/>
    <w:pPr>
      <w:ind w:left="720"/>
      <w:contextualSpacing/>
    </w:pPr>
    <w:rPr>
      <w:rFonts w:ascii="Century Gothic" w:hAnsi="Century Gothic"/>
      <w:sz w:val="22"/>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rsid w:val="00EB242F"/>
    <w:rPr>
      <w:rFonts w:ascii="Century Gothic" w:eastAsia="Times New Roman" w:hAnsi="Century Gothic" w:cs="Times New Roman"/>
      <w:szCs w:val="24"/>
      <w:lang w:eastAsia="es-MX"/>
    </w:rPr>
  </w:style>
  <w:style w:type="paragraph" w:styleId="Piedepgina">
    <w:name w:val="footer"/>
    <w:basedOn w:val="Normal"/>
    <w:link w:val="PiedepginaCar"/>
    <w:uiPriority w:val="99"/>
    <w:unhideWhenUsed/>
    <w:rsid w:val="00EB242F"/>
    <w:pPr>
      <w:tabs>
        <w:tab w:val="center" w:pos="4419"/>
        <w:tab w:val="right" w:pos="8838"/>
      </w:tabs>
    </w:pPr>
  </w:style>
  <w:style w:type="character" w:customStyle="1" w:styleId="PiedepginaCar">
    <w:name w:val="Pie de página Car"/>
    <w:basedOn w:val="Fuentedeprrafopredeter"/>
    <w:link w:val="Piedepgina"/>
    <w:uiPriority w:val="99"/>
    <w:rsid w:val="00EB242F"/>
    <w:rPr>
      <w:rFonts w:ascii="Times New Roman" w:eastAsia="Times New Roman" w:hAnsi="Times New Roman" w:cs="Times New Roman"/>
      <w:sz w:val="24"/>
      <w:szCs w:val="24"/>
      <w:lang w:eastAsia="es-MX"/>
    </w:rPr>
  </w:style>
  <w:style w:type="character" w:customStyle="1" w:styleId="Ttulo1Car">
    <w:name w:val="Título 1 Car"/>
    <w:basedOn w:val="Fuentedeprrafopredeter"/>
    <w:link w:val="Ttulo1"/>
    <w:uiPriority w:val="9"/>
    <w:rsid w:val="00886D0F"/>
    <w:rPr>
      <w:rFonts w:asciiTheme="majorHAnsi" w:eastAsiaTheme="majorEastAsia" w:hAnsiTheme="majorHAnsi" w:cstheme="majorBidi"/>
      <w:color w:val="2E74B5" w:themeColor="accent1" w:themeShade="BF"/>
      <w:sz w:val="32"/>
      <w:szCs w:val="32"/>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onsultas.curp.gob.mx/CurpSP/html/informacionecurpPS.html"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35</Pages>
  <Words>8916</Words>
  <Characters>49042</Characters>
  <Application>Microsoft Office Word</Application>
  <DocSecurity>0</DocSecurity>
  <Lines>408</Lines>
  <Paragraphs>115</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57843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INFOEM399</dc:creator>
  <cp:keywords/>
  <dc:description/>
  <cp:lastModifiedBy>Cuenta Microsoft</cp:lastModifiedBy>
  <cp:revision>10</cp:revision>
  <cp:lastPrinted>2026-06-18T18:45:00Z</cp:lastPrinted>
  <dcterms:created xsi:type="dcterms:W3CDTF">2026-06-15T20:12:00Z</dcterms:created>
  <dcterms:modified xsi:type="dcterms:W3CDTF">2026-06-24T00:25:00Z</dcterms:modified>
</cp:coreProperties>
</file>