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71E" w:rsidRPr="00B27992" w:rsidRDefault="00BF671E" w:rsidP="00BF671E">
      <w:pPr>
        <w:spacing w:line="360" w:lineRule="auto"/>
        <w:jc w:val="both"/>
        <w:rPr>
          <w:rFonts w:ascii="Palatino Linotype" w:eastAsia="Palatino Linotype" w:hAnsi="Palatino Linotype" w:cs="Palatino Linotype"/>
          <w:b/>
          <w:sz w:val="24"/>
          <w:szCs w:val="24"/>
        </w:rPr>
      </w:pPr>
      <w:bookmarkStart w:id="0" w:name="_Toc87549675"/>
      <w:bookmarkStart w:id="1" w:name="_GoBack"/>
      <w:bookmarkEnd w:id="1"/>
      <w:r w:rsidRPr="00AD24C5">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w:t>
      </w:r>
      <w:r w:rsidRPr="00B27992">
        <w:rPr>
          <w:rFonts w:ascii="Palatino Linotype" w:eastAsia="Palatino Linotype" w:hAnsi="Palatino Linotype" w:cs="Palatino Linotype"/>
          <w:b/>
          <w:sz w:val="24"/>
          <w:szCs w:val="24"/>
        </w:rPr>
        <w:t>de</w:t>
      </w:r>
      <w:r w:rsidR="00B27992" w:rsidRPr="00B27992">
        <w:rPr>
          <w:rFonts w:ascii="Palatino Linotype" w:eastAsia="Palatino Linotype" w:hAnsi="Palatino Linotype" w:cs="Palatino Linotype"/>
          <w:b/>
          <w:sz w:val="24"/>
          <w:szCs w:val="24"/>
        </w:rPr>
        <w:t xml:space="preserve"> fecha </w:t>
      </w:r>
      <w:r w:rsidRPr="00B27992">
        <w:rPr>
          <w:rFonts w:ascii="Palatino Linotype" w:eastAsia="Palatino Linotype" w:hAnsi="Palatino Linotype" w:cs="Palatino Linotype"/>
          <w:b/>
          <w:sz w:val="24"/>
          <w:szCs w:val="24"/>
        </w:rPr>
        <w:t xml:space="preserve">once </w:t>
      </w:r>
      <w:r w:rsidR="00B27992" w:rsidRPr="00B27992">
        <w:rPr>
          <w:rFonts w:ascii="Palatino Linotype" w:eastAsia="Palatino Linotype" w:hAnsi="Palatino Linotype" w:cs="Palatino Linotype"/>
          <w:b/>
          <w:sz w:val="24"/>
          <w:szCs w:val="24"/>
        </w:rPr>
        <w:t xml:space="preserve">(11) </w:t>
      </w:r>
      <w:r w:rsidRPr="00B27992">
        <w:rPr>
          <w:rFonts w:ascii="Palatino Linotype" w:eastAsia="Palatino Linotype" w:hAnsi="Palatino Linotype" w:cs="Palatino Linotype"/>
          <w:b/>
          <w:sz w:val="24"/>
          <w:szCs w:val="24"/>
        </w:rPr>
        <w:t>de febrero de dos mil veintiséis.</w:t>
      </w:r>
    </w:p>
    <w:p w:rsidR="00BF671E" w:rsidRPr="00AD24C5" w:rsidRDefault="00BF671E" w:rsidP="00BF671E">
      <w:pPr>
        <w:spacing w:line="360" w:lineRule="auto"/>
        <w:jc w:val="both"/>
        <w:rPr>
          <w:rFonts w:ascii="Palatino Linotype" w:eastAsia="Palatino Linotype" w:hAnsi="Palatino Linotype" w:cs="Palatino Linotype"/>
          <w:sz w:val="24"/>
          <w:szCs w:val="24"/>
        </w:rPr>
      </w:pPr>
    </w:p>
    <w:p w:rsidR="00BF671E" w:rsidRPr="00AD24C5" w:rsidRDefault="00BF671E" w:rsidP="00BF671E">
      <w:pPr>
        <w:spacing w:line="360" w:lineRule="auto"/>
        <w:jc w:val="both"/>
        <w:rPr>
          <w:rFonts w:ascii="Palatino Linotype" w:eastAsia="Palatino Linotype" w:hAnsi="Palatino Linotype" w:cs="Palatino Linotype"/>
          <w:b/>
          <w:sz w:val="24"/>
          <w:szCs w:val="24"/>
        </w:rPr>
      </w:pPr>
      <w:r w:rsidRPr="00AD24C5">
        <w:rPr>
          <w:rFonts w:ascii="Palatino Linotype" w:eastAsia="Palatino Linotype" w:hAnsi="Palatino Linotype" w:cs="Palatino Linotype"/>
          <w:b/>
          <w:sz w:val="24"/>
          <w:szCs w:val="24"/>
        </w:rPr>
        <w:t>VISTO</w:t>
      </w:r>
      <w:r w:rsidRPr="00AD24C5">
        <w:rPr>
          <w:rFonts w:ascii="Palatino Linotype" w:eastAsia="Palatino Linotype" w:hAnsi="Palatino Linotype" w:cs="Palatino Linotype"/>
          <w:sz w:val="24"/>
          <w:szCs w:val="24"/>
        </w:rPr>
        <w:t xml:space="preserve"> el expediente electrónico formado con motivo del recurso de revisión</w:t>
      </w:r>
      <w:r w:rsidRPr="00AD24C5">
        <w:rPr>
          <w:rFonts w:ascii="Palatino Linotype" w:eastAsia="Palatino Linotype" w:hAnsi="Palatino Linotype" w:cs="Palatino Linotype"/>
          <w:b/>
          <w:bCs/>
          <w:sz w:val="24"/>
          <w:szCs w:val="24"/>
        </w:rPr>
        <w:t xml:space="preserve">  05678/INFOEM/IP/RR/2025</w:t>
      </w:r>
      <w:r w:rsidRPr="00AD24C5">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sz w:val="24"/>
          <w:szCs w:val="24"/>
        </w:rPr>
        <w:t>promovido por</w:t>
      </w:r>
      <w:r w:rsidRPr="00AD24C5">
        <w:rPr>
          <w:rFonts w:ascii="Palatino Linotype" w:eastAsia="Palatino Linotype" w:hAnsi="Palatino Linotype" w:cs="Palatino Linotype"/>
          <w:b/>
          <w:color w:val="FF0000"/>
          <w:sz w:val="24"/>
          <w:szCs w:val="24"/>
        </w:rPr>
        <w:t xml:space="preserve"> </w:t>
      </w:r>
      <w:r w:rsidR="00474D44">
        <w:rPr>
          <w:rFonts w:ascii="Palatino Linotype" w:eastAsia="Palatino Linotype" w:hAnsi="Palatino Linotype" w:cs="Palatino Linotype"/>
          <w:b/>
          <w:bCs/>
          <w:sz w:val="24"/>
          <w:szCs w:val="24"/>
        </w:rPr>
        <w:t>XXXX</w:t>
      </w:r>
      <w:r w:rsidR="00B27992">
        <w:rPr>
          <w:rFonts w:ascii="Palatino Linotype" w:eastAsia="Palatino Linotype" w:hAnsi="Palatino Linotype" w:cs="Palatino Linotype"/>
          <w:b/>
          <w:bCs/>
          <w:sz w:val="24"/>
          <w:szCs w:val="24"/>
        </w:rPr>
        <w:t>,</w:t>
      </w:r>
      <w:r w:rsidRPr="00AD24C5">
        <w:rPr>
          <w:rFonts w:ascii="Palatino Linotype" w:eastAsia="Palatino Linotype" w:hAnsi="Palatino Linotype" w:cs="Palatino Linotype"/>
          <w:sz w:val="24"/>
          <w:szCs w:val="24"/>
        </w:rPr>
        <w:t xml:space="preserve"> a quien en lo sucesivo se identificará como </w:t>
      </w:r>
      <w:r w:rsidRPr="00AD24C5">
        <w:rPr>
          <w:rFonts w:ascii="Palatino Linotype" w:eastAsia="Palatino Linotype" w:hAnsi="Palatino Linotype" w:cs="Palatino Linotype"/>
          <w:b/>
          <w:sz w:val="24"/>
          <w:szCs w:val="24"/>
        </w:rPr>
        <w:t>EL RECURRENTE</w:t>
      </w:r>
      <w:r w:rsidRPr="00AD24C5">
        <w:rPr>
          <w:rFonts w:ascii="Palatino Linotype" w:eastAsia="Palatino Linotype" w:hAnsi="Palatino Linotype" w:cs="Palatino Linotype"/>
          <w:sz w:val="24"/>
          <w:szCs w:val="24"/>
        </w:rPr>
        <w:t xml:space="preserve">, en contra de la respuesta del </w:t>
      </w:r>
      <w:r w:rsidRPr="00AD24C5">
        <w:rPr>
          <w:rFonts w:ascii="Palatino Linotype" w:eastAsia="Palatino Linotype" w:hAnsi="Palatino Linotype" w:cs="Palatino Linotype"/>
          <w:b/>
          <w:bCs/>
          <w:sz w:val="24"/>
          <w:szCs w:val="24"/>
        </w:rPr>
        <w:t>Ayuntamiento de Toluca</w:t>
      </w:r>
      <w:r w:rsidRPr="00AD24C5">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sz w:val="24"/>
          <w:szCs w:val="24"/>
        </w:rPr>
        <w:t xml:space="preserve">en </w:t>
      </w:r>
      <w:r w:rsidR="00B27992">
        <w:rPr>
          <w:rFonts w:ascii="Palatino Linotype" w:eastAsia="Palatino Linotype" w:hAnsi="Palatino Linotype" w:cs="Palatino Linotype"/>
          <w:sz w:val="24"/>
          <w:szCs w:val="24"/>
        </w:rPr>
        <w:t>adelante</w:t>
      </w:r>
      <w:r w:rsidRPr="00AD24C5">
        <w:rPr>
          <w:rFonts w:ascii="Palatino Linotype" w:eastAsia="Palatino Linotype" w:hAnsi="Palatino Linotype" w:cs="Palatino Linotype"/>
          <w:sz w:val="24"/>
          <w:szCs w:val="24"/>
        </w:rPr>
        <w:t xml:space="preserve"> el</w:t>
      </w:r>
      <w:r w:rsidRPr="00AD24C5">
        <w:rPr>
          <w:rFonts w:ascii="Palatino Linotype" w:eastAsia="Palatino Linotype" w:hAnsi="Palatino Linotype" w:cs="Palatino Linotype"/>
          <w:b/>
          <w:sz w:val="24"/>
          <w:szCs w:val="24"/>
        </w:rPr>
        <w:t xml:space="preserve"> SUJETO OBLIGADO</w:t>
      </w:r>
      <w:r w:rsidRPr="00AD24C5">
        <w:rPr>
          <w:rFonts w:ascii="Palatino Linotype" w:eastAsia="Palatino Linotype" w:hAnsi="Palatino Linotype" w:cs="Palatino Linotype"/>
          <w:sz w:val="24"/>
          <w:szCs w:val="24"/>
        </w:rPr>
        <w:t>, por lo que se procede a dictar la presente resolución, con base en los siguientes:</w:t>
      </w:r>
    </w:p>
    <w:p w:rsidR="00BF671E" w:rsidRPr="00AD24C5" w:rsidRDefault="00BF671E" w:rsidP="00BF671E">
      <w:pPr>
        <w:spacing w:line="360" w:lineRule="auto"/>
        <w:jc w:val="both"/>
        <w:rPr>
          <w:rFonts w:ascii="Palatino Linotype" w:eastAsia="Palatino Linotype" w:hAnsi="Palatino Linotype" w:cs="Palatino Linotype"/>
          <w:b/>
          <w:sz w:val="24"/>
          <w:szCs w:val="24"/>
        </w:rPr>
      </w:pPr>
    </w:p>
    <w:p w:rsidR="00BF671E" w:rsidRPr="00AD24C5" w:rsidRDefault="00BF671E" w:rsidP="00BF671E">
      <w:pPr>
        <w:keepNext/>
        <w:keepLines/>
        <w:spacing w:line="360" w:lineRule="auto"/>
        <w:jc w:val="center"/>
        <w:rPr>
          <w:rFonts w:ascii="Palatino Linotype" w:eastAsia="Palatino Linotype" w:hAnsi="Palatino Linotype" w:cs="Palatino Linotype"/>
          <w:b/>
          <w:sz w:val="24"/>
          <w:szCs w:val="24"/>
        </w:rPr>
      </w:pPr>
      <w:bookmarkStart w:id="2" w:name="_heading=h.gjdgxs" w:colFirst="0" w:colLast="0"/>
      <w:bookmarkEnd w:id="2"/>
      <w:r w:rsidRPr="00AD24C5">
        <w:rPr>
          <w:rFonts w:ascii="Palatino Linotype" w:eastAsia="Palatino Linotype" w:hAnsi="Palatino Linotype" w:cs="Palatino Linotype"/>
          <w:b/>
          <w:sz w:val="24"/>
          <w:szCs w:val="24"/>
        </w:rPr>
        <w:t>A</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N</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T</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E</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C</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E</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D</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E</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N</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T</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E</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S</w:t>
      </w:r>
    </w:p>
    <w:p w:rsidR="00B27992" w:rsidRDefault="00B27992" w:rsidP="00B27992">
      <w:pPr>
        <w:spacing w:line="360" w:lineRule="auto"/>
        <w:jc w:val="both"/>
        <w:rPr>
          <w:rFonts w:ascii="Palatino Linotype" w:eastAsia="Palatino Linotype" w:hAnsi="Palatino Linotype" w:cs="Palatino Linotype"/>
          <w:sz w:val="24"/>
          <w:szCs w:val="24"/>
        </w:rPr>
      </w:pPr>
    </w:p>
    <w:p w:rsidR="00BF671E" w:rsidRPr="00AD24C5" w:rsidRDefault="00BF671E" w:rsidP="00BF671E">
      <w:pPr>
        <w:numPr>
          <w:ilvl w:val="0"/>
          <w:numId w:val="2"/>
        </w:numPr>
        <w:spacing w:line="360" w:lineRule="auto"/>
        <w:ind w:left="0"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El </w:t>
      </w:r>
      <w:r w:rsidRPr="00AD24C5">
        <w:rPr>
          <w:rFonts w:ascii="Palatino Linotype" w:eastAsia="Palatino Linotype" w:hAnsi="Palatino Linotype" w:cs="Palatino Linotype"/>
          <w:b/>
          <w:sz w:val="24"/>
          <w:szCs w:val="24"/>
        </w:rPr>
        <w:t>veintidós de abril de dos mil veinticinco</w:t>
      </w:r>
      <w:r w:rsidRPr="00AD24C5">
        <w:rPr>
          <w:rFonts w:ascii="Palatino Linotype" w:eastAsia="Palatino Linotype" w:hAnsi="Palatino Linotype" w:cs="Palatino Linotype"/>
          <w:sz w:val="24"/>
          <w:szCs w:val="24"/>
        </w:rPr>
        <w:t xml:space="preserve">, </w:t>
      </w:r>
      <w:r w:rsidRPr="00AD24C5">
        <w:rPr>
          <w:rFonts w:ascii="Palatino Linotype" w:eastAsia="Palatino Linotype" w:hAnsi="Palatino Linotype" w:cs="Palatino Linotype"/>
          <w:b/>
          <w:sz w:val="24"/>
          <w:szCs w:val="24"/>
        </w:rPr>
        <w:t>EL RECURRENTE,</w:t>
      </w:r>
      <w:r w:rsidRPr="00AD24C5">
        <w:rPr>
          <w:rFonts w:ascii="Palatino Linotype" w:eastAsia="Palatino Linotype" w:hAnsi="Palatino Linotype" w:cs="Palatino Linotype"/>
          <w:sz w:val="24"/>
          <w:szCs w:val="24"/>
        </w:rPr>
        <w:t xml:space="preserve"> ante el </w:t>
      </w:r>
      <w:r w:rsidRPr="00AD24C5">
        <w:rPr>
          <w:rFonts w:ascii="Palatino Linotype" w:eastAsia="Palatino Linotype" w:hAnsi="Palatino Linotype" w:cs="Palatino Linotype"/>
          <w:b/>
          <w:sz w:val="24"/>
          <w:szCs w:val="24"/>
        </w:rPr>
        <w:t>SUJETO OBLIGADO</w:t>
      </w:r>
      <w:r w:rsidRPr="00AD24C5">
        <w:rPr>
          <w:rFonts w:ascii="Palatino Linotype" w:eastAsia="Palatino Linotype" w:hAnsi="Palatino Linotype" w:cs="Palatino Linotype"/>
          <w:sz w:val="24"/>
          <w:szCs w:val="24"/>
        </w:rPr>
        <w:t xml:space="preserve"> vía Sistema de Acceso a la Información Mexiquense (</w:t>
      </w:r>
      <w:r w:rsidRPr="00AD24C5">
        <w:rPr>
          <w:rFonts w:ascii="Palatino Linotype" w:eastAsia="Palatino Linotype" w:hAnsi="Palatino Linotype" w:cs="Palatino Linotype"/>
          <w:b/>
          <w:sz w:val="24"/>
          <w:szCs w:val="24"/>
        </w:rPr>
        <w:t>SAIMEX)</w:t>
      </w:r>
      <w:r w:rsidRPr="00AD24C5">
        <w:rPr>
          <w:rFonts w:ascii="Palatino Linotype" w:eastAsia="Palatino Linotype" w:hAnsi="Palatino Linotype" w:cs="Palatino Linotype"/>
          <w:sz w:val="24"/>
          <w:szCs w:val="24"/>
        </w:rPr>
        <w:t>,presentó la solicitud de información registrada con el número</w:t>
      </w:r>
      <w:r w:rsidRPr="00AD24C5">
        <w:rPr>
          <w:rFonts w:ascii="Palatino Linotype" w:eastAsia="Palatino Linotype" w:hAnsi="Palatino Linotype" w:cs="Palatino Linotype"/>
          <w:b/>
          <w:bCs/>
          <w:sz w:val="24"/>
          <w:szCs w:val="24"/>
        </w:rPr>
        <w:t xml:space="preserve">  02390/TOLUCA/IP/2025,</w:t>
      </w:r>
      <w:r w:rsidRPr="00AD24C5">
        <w:rPr>
          <w:rFonts w:ascii="Palatino Linotype" w:eastAsia="Palatino Linotype" w:hAnsi="Palatino Linotype" w:cs="Palatino Linotype"/>
          <w:b/>
          <w:sz w:val="24"/>
          <w:szCs w:val="24"/>
        </w:rPr>
        <w:t xml:space="preserve"> </w:t>
      </w:r>
      <w:r w:rsidR="00B27992">
        <w:rPr>
          <w:rFonts w:ascii="Palatino Linotype" w:eastAsia="Palatino Linotype" w:hAnsi="Palatino Linotype" w:cs="Palatino Linotype"/>
          <w:sz w:val="24"/>
          <w:szCs w:val="24"/>
        </w:rPr>
        <w:t>en la que se</w:t>
      </w:r>
      <w:r w:rsidRPr="00AD24C5">
        <w:rPr>
          <w:rFonts w:ascii="Palatino Linotype" w:eastAsia="Palatino Linotype" w:hAnsi="Palatino Linotype" w:cs="Palatino Linotype"/>
          <w:sz w:val="24"/>
          <w:szCs w:val="24"/>
        </w:rPr>
        <w:t xml:space="preserve"> solicitó lo siguiente:</w:t>
      </w:r>
    </w:p>
    <w:p w:rsidR="00BF671E" w:rsidRPr="00AD24C5" w:rsidRDefault="00BF671E" w:rsidP="00BF671E">
      <w:pPr>
        <w:pBdr>
          <w:top w:val="nil"/>
          <w:left w:val="nil"/>
          <w:bottom w:val="nil"/>
          <w:right w:val="nil"/>
          <w:between w:val="nil"/>
        </w:pBdr>
        <w:spacing w:line="360" w:lineRule="auto"/>
        <w:ind w:left="1069" w:right="567"/>
        <w:jc w:val="both"/>
        <w:rPr>
          <w:rFonts w:ascii="Palatino Linotype" w:eastAsia="Palatino Linotype" w:hAnsi="Palatino Linotype" w:cs="Palatino Linotype"/>
          <w:i/>
          <w:color w:val="000000"/>
          <w:sz w:val="24"/>
          <w:szCs w:val="24"/>
        </w:rPr>
      </w:pPr>
    </w:p>
    <w:p w:rsidR="00BF671E" w:rsidRPr="00AD24C5" w:rsidRDefault="00BF671E" w:rsidP="009B37E7">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r w:rsidRPr="00AD24C5">
        <w:rPr>
          <w:rFonts w:ascii="Palatino Linotype" w:eastAsia="Palatino Linotype" w:hAnsi="Palatino Linotype" w:cs="Palatino Linotype"/>
          <w:i/>
          <w:color w:val="000000"/>
          <w:sz w:val="24"/>
          <w:szCs w:val="24"/>
        </w:rPr>
        <w:t>“Solicito se informe el desembolso que representó el pago de la primera quincena de abril de 2025, ya sea por cheque, transferencia o pago en efectivo de los servidores públicos de estructura del Ayuntamiento, solicito la poliza de cheque y el movimiento reflejado en la cuenta de cobro correspondiente a cada uno de los cheques emitidos y/o cobrados, así como se brinde información sobre que se realiza con el recurso económico de los cheques que no son cobrados. todo en versiones públicas y por este medio</w:t>
      </w:r>
      <w:r w:rsidR="009B37E7" w:rsidRPr="00AD24C5">
        <w:rPr>
          <w:rFonts w:ascii="Palatino Linotype" w:eastAsia="Palatino Linotype" w:hAnsi="Palatino Linotype" w:cs="Palatino Linotype"/>
          <w:i/>
          <w:color w:val="000000"/>
          <w:sz w:val="24"/>
          <w:szCs w:val="24"/>
        </w:rPr>
        <w:t xml:space="preserve"> </w:t>
      </w:r>
      <w:r w:rsidRPr="00AD24C5">
        <w:rPr>
          <w:rFonts w:ascii="Palatino Linotype" w:eastAsia="Palatino Linotype" w:hAnsi="Palatino Linotype" w:cs="Palatino Linotype"/>
          <w:i/>
          <w:color w:val="000000"/>
          <w:sz w:val="24"/>
          <w:szCs w:val="24"/>
        </w:rPr>
        <w:t xml:space="preserve">(Sic) </w:t>
      </w:r>
    </w:p>
    <w:p w:rsidR="00BF671E" w:rsidRDefault="00BF671E" w:rsidP="00BF671E">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p>
    <w:p w:rsidR="00B27992" w:rsidRPr="00AD24C5" w:rsidRDefault="00B27992" w:rsidP="00BF671E">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p>
    <w:p w:rsidR="00BF671E" w:rsidRPr="00AD24C5" w:rsidRDefault="00B27992" w:rsidP="00B27992">
      <w:pPr>
        <w:numPr>
          <w:ilvl w:val="0"/>
          <w:numId w:val="3"/>
        </w:numPr>
        <w:spacing w:line="360" w:lineRule="auto"/>
        <w:ind w:left="0" w:right="567" w:hanging="142"/>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     </w:t>
      </w:r>
      <w:r w:rsidR="00BF671E" w:rsidRPr="00AD24C5">
        <w:rPr>
          <w:rFonts w:ascii="Palatino Linotype" w:eastAsia="Palatino Linotype" w:hAnsi="Palatino Linotype" w:cs="Palatino Linotype"/>
          <w:sz w:val="24"/>
          <w:szCs w:val="24"/>
        </w:rPr>
        <w:t xml:space="preserve">Modalidad de entrega: </w:t>
      </w:r>
      <w:r w:rsidR="00BF671E" w:rsidRPr="00AD24C5">
        <w:rPr>
          <w:rFonts w:ascii="Palatino Linotype" w:eastAsia="Palatino Linotype" w:hAnsi="Palatino Linotype" w:cs="Palatino Linotype"/>
          <w:b/>
          <w:sz w:val="24"/>
          <w:szCs w:val="24"/>
        </w:rPr>
        <w:t>Vía SAIMEX.</w:t>
      </w:r>
    </w:p>
    <w:p w:rsidR="00BF671E" w:rsidRPr="00AD24C5" w:rsidRDefault="00BF671E" w:rsidP="00BF671E">
      <w:pPr>
        <w:numPr>
          <w:ilvl w:val="0"/>
          <w:numId w:val="2"/>
        </w:numPr>
        <w:spacing w:line="360" w:lineRule="auto"/>
        <w:ind w:left="0" w:firstLine="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sz w:val="24"/>
          <w:szCs w:val="24"/>
        </w:rPr>
        <w:lastRenderedPageBreak/>
        <w:t xml:space="preserve">El </w:t>
      </w:r>
      <w:r w:rsidR="009B37E7" w:rsidRPr="00AD24C5">
        <w:rPr>
          <w:rFonts w:ascii="Palatino Linotype" w:eastAsia="Palatino Linotype" w:hAnsi="Palatino Linotype" w:cs="Palatino Linotype"/>
          <w:b/>
          <w:sz w:val="24"/>
          <w:szCs w:val="24"/>
        </w:rPr>
        <w:t>catorce de mayo</w:t>
      </w:r>
      <w:r w:rsidRPr="00AD24C5">
        <w:rPr>
          <w:rFonts w:ascii="Palatino Linotype" w:eastAsia="Palatino Linotype" w:hAnsi="Palatino Linotype" w:cs="Palatino Linotype"/>
          <w:b/>
          <w:sz w:val="24"/>
          <w:szCs w:val="24"/>
        </w:rPr>
        <w:t xml:space="preserve"> de dos mil veinticinco, </w:t>
      </w:r>
      <w:r w:rsidRPr="00AD24C5">
        <w:rPr>
          <w:rFonts w:ascii="Palatino Linotype" w:eastAsia="Palatino Linotype" w:hAnsi="Palatino Linotype" w:cs="Palatino Linotype"/>
          <w:sz w:val="24"/>
          <w:szCs w:val="24"/>
        </w:rPr>
        <w:t xml:space="preserve">el </w:t>
      </w:r>
      <w:r w:rsidRPr="00AD24C5">
        <w:rPr>
          <w:rFonts w:ascii="Palatino Linotype" w:eastAsia="Palatino Linotype" w:hAnsi="Palatino Linotype" w:cs="Palatino Linotype"/>
          <w:b/>
          <w:sz w:val="24"/>
          <w:szCs w:val="24"/>
        </w:rPr>
        <w:t>SUJETO O</w:t>
      </w:r>
      <w:r w:rsidRPr="00AD24C5">
        <w:rPr>
          <w:rFonts w:ascii="Palatino Linotype" w:eastAsia="Palatino Linotype" w:hAnsi="Palatino Linotype" w:cs="Palatino Linotype"/>
          <w:sz w:val="24"/>
          <w:szCs w:val="24"/>
        </w:rPr>
        <w:t>B</w:t>
      </w:r>
      <w:r w:rsidRPr="00AD24C5">
        <w:rPr>
          <w:rFonts w:ascii="Palatino Linotype" w:eastAsia="Palatino Linotype" w:hAnsi="Palatino Linotype" w:cs="Palatino Linotype"/>
          <w:b/>
          <w:sz w:val="24"/>
          <w:szCs w:val="24"/>
        </w:rPr>
        <w:t xml:space="preserve">LIGADO </w:t>
      </w:r>
      <w:r w:rsidRPr="00AD24C5">
        <w:rPr>
          <w:rFonts w:ascii="Palatino Linotype" w:eastAsia="Palatino Linotype" w:hAnsi="Palatino Linotype" w:cs="Palatino Linotype"/>
          <w:sz w:val="24"/>
          <w:szCs w:val="24"/>
        </w:rPr>
        <w:t xml:space="preserve">dio </w:t>
      </w:r>
      <w:r w:rsidRPr="00AD24C5">
        <w:rPr>
          <w:rFonts w:ascii="Palatino Linotype" w:eastAsia="Palatino Linotype" w:hAnsi="Palatino Linotype" w:cs="Palatino Linotype"/>
          <w:b/>
          <w:sz w:val="24"/>
          <w:szCs w:val="24"/>
        </w:rPr>
        <w:t>RESPUESTA</w:t>
      </w:r>
      <w:r w:rsidRPr="00AD24C5">
        <w:rPr>
          <w:rFonts w:ascii="Palatino Linotype" w:eastAsia="Palatino Linotype" w:hAnsi="Palatino Linotype" w:cs="Palatino Linotype"/>
          <w:sz w:val="24"/>
          <w:szCs w:val="24"/>
        </w:rPr>
        <w:t xml:space="preserve"> a través </w:t>
      </w:r>
      <w:r w:rsidR="009B37E7" w:rsidRPr="00AD24C5">
        <w:rPr>
          <w:rFonts w:ascii="Palatino Linotype" w:eastAsia="Palatino Linotype" w:hAnsi="Palatino Linotype" w:cs="Palatino Linotype"/>
          <w:sz w:val="24"/>
          <w:szCs w:val="24"/>
        </w:rPr>
        <w:t>del archivo siguiente:</w:t>
      </w:r>
    </w:p>
    <w:p w:rsidR="00BF671E" w:rsidRPr="00AD24C5" w:rsidRDefault="009B37E7" w:rsidP="009B37E7">
      <w:pPr>
        <w:pStyle w:val="Prrafodelista"/>
        <w:numPr>
          <w:ilvl w:val="0"/>
          <w:numId w:val="10"/>
        </w:numPr>
        <w:spacing w:line="360" w:lineRule="auto"/>
        <w:jc w:val="both"/>
        <w:rPr>
          <w:rFonts w:ascii="Palatino Linotype" w:eastAsia="Palatino Linotype" w:hAnsi="Palatino Linotype" w:cs="Palatino Linotype"/>
          <w:b/>
          <w:i/>
          <w:sz w:val="24"/>
        </w:rPr>
      </w:pPr>
      <w:r w:rsidRPr="00AD24C5">
        <w:rPr>
          <w:rFonts w:ascii="Palatino Linotype" w:hAnsi="Palatino Linotype"/>
          <w:b/>
          <w:sz w:val="24"/>
        </w:rPr>
        <w:t xml:space="preserve">R. 02390. 2025.pdf: </w:t>
      </w:r>
      <w:r w:rsidRPr="00AD24C5">
        <w:rPr>
          <w:rFonts w:ascii="Palatino Linotype" w:hAnsi="Palatino Linotype"/>
          <w:sz w:val="24"/>
        </w:rPr>
        <w:t>Oficio de catorce de mayo de dos mil veinticinco, firmado por el Titular de la Unidad de Transparencia por el que informó que la Dirección General de Administración informó que la Dirección Recursos Humanos, después de haber realizado una búsqueda exhaustiva razonable en los archivos que obran en esta Dirección y el Departamento Nóminas, no se encontró documental alguno donde contenga lo requerido antelación.</w:t>
      </w:r>
    </w:p>
    <w:p w:rsidR="009B37E7" w:rsidRPr="00AD24C5" w:rsidRDefault="009B37E7" w:rsidP="009B37E7">
      <w:pPr>
        <w:pStyle w:val="Prrafodelista"/>
        <w:spacing w:line="360" w:lineRule="auto"/>
        <w:jc w:val="both"/>
        <w:rPr>
          <w:rFonts w:ascii="Palatino Linotype" w:eastAsia="Palatino Linotype" w:hAnsi="Palatino Linotype" w:cs="Palatino Linotype"/>
          <w:b/>
          <w:i/>
          <w:sz w:val="24"/>
        </w:rPr>
      </w:pPr>
    </w:p>
    <w:p w:rsidR="00BF671E" w:rsidRPr="00AD24C5" w:rsidRDefault="00BF671E" w:rsidP="00BF671E">
      <w:pPr>
        <w:numPr>
          <w:ilvl w:val="0"/>
          <w:numId w:val="2"/>
        </w:numPr>
        <w:spacing w:line="360" w:lineRule="auto"/>
        <w:ind w:left="0"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Inconforme con lo anterior, el </w:t>
      </w:r>
      <w:r w:rsidR="009B37E7" w:rsidRPr="00AD24C5">
        <w:rPr>
          <w:rFonts w:ascii="Palatino Linotype" w:eastAsia="Palatino Linotype" w:hAnsi="Palatino Linotype" w:cs="Palatino Linotype"/>
          <w:b/>
          <w:sz w:val="24"/>
          <w:szCs w:val="24"/>
        </w:rPr>
        <w:t>veinte de mayo</w:t>
      </w:r>
      <w:r w:rsidRPr="00AD24C5">
        <w:rPr>
          <w:rFonts w:ascii="Palatino Linotype" w:eastAsia="Palatino Linotype" w:hAnsi="Palatino Linotype" w:cs="Palatino Linotype"/>
          <w:b/>
          <w:sz w:val="24"/>
          <w:szCs w:val="24"/>
        </w:rPr>
        <w:t xml:space="preserve"> de dos mil veinticinco</w:t>
      </w:r>
      <w:r w:rsidRPr="00AD24C5">
        <w:rPr>
          <w:rFonts w:ascii="Palatino Linotype" w:eastAsia="Palatino Linotype" w:hAnsi="Palatino Linotype" w:cs="Palatino Linotype"/>
          <w:sz w:val="24"/>
          <w:szCs w:val="24"/>
        </w:rPr>
        <w:t xml:space="preserve">,  el </w:t>
      </w:r>
      <w:r w:rsidRPr="00AD24C5">
        <w:rPr>
          <w:rFonts w:ascii="Palatino Linotype" w:eastAsia="Palatino Linotype" w:hAnsi="Palatino Linotype" w:cs="Palatino Linotype"/>
          <w:b/>
          <w:sz w:val="24"/>
          <w:szCs w:val="24"/>
        </w:rPr>
        <w:t xml:space="preserve">SUJETO OBLIGADO </w:t>
      </w:r>
      <w:r w:rsidRPr="00AD24C5">
        <w:rPr>
          <w:rFonts w:ascii="Palatino Linotype" w:eastAsia="Palatino Linotype" w:hAnsi="Palatino Linotype" w:cs="Palatino Linotype"/>
          <w:sz w:val="24"/>
          <w:szCs w:val="24"/>
        </w:rPr>
        <w:t xml:space="preserve">interpuso recurso de revisión, arguyendo como </w:t>
      </w:r>
    </w:p>
    <w:p w:rsidR="00BF671E" w:rsidRPr="00AD24C5" w:rsidRDefault="00BF671E" w:rsidP="00BF671E">
      <w:pPr>
        <w:spacing w:line="360" w:lineRule="auto"/>
        <w:jc w:val="both"/>
        <w:rPr>
          <w:rFonts w:ascii="Palatino Linotype" w:eastAsia="Palatino Linotype" w:hAnsi="Palatino Linotype" w:cs="Palatino Linotype"/>
          <w:sz w:val="24"/>
          <w:szCs w:val="24"/>
        </w:rPr>
      </w:pPr>
    </w:p>
    <w:p w:rsidR="00BF671E" w:rsidRPr="00AD24C5" w:rsidRDefault="00B27992" w:rsidP="00B27992">
      <w:pPr>
        <w:pStyle w:val="Prrafodelista"/>
        <w:numPr>
          <w:ilvl w:val="0"/>
          <w:numId w:val="19"/>
        </w:numPr>
        <w:rPr>
          <w:rFonts w:ascii="Palatino Linotype" w:eastAsia="Palatino Linotype" w:hAnsi="Palatino Linotype" w:cs="Palatino Linotype"/>
          <w:i/>
          <w:color w:val="000000"/>
          <w:sz w:val="24"/>
        </w:rPr>
      </w:pPr>
      <w:r w:rsidRPr="00AD24C5">
        <w:rPr>
          <w:rFonts w:ascii="Palatino Linotype" w:eastAsia="Palatino Linotype" w:hAnsi="Palatino Linotype" w:cs="Palatino Linotype"/>
          <w:b/>
          <w:color w:val="000000"/>
          <w:sz w:val="24"/>
        </w:rPr>
        <w:t>ACTO IMPUGNADO</w:t>
      </w:r>
      <w:r w:rsidR="00BF671E" w:rsidRPr="00AD24C5">
        <w:rPr>
          <w:rFonts w:ascii="Palatino Linotype" w:eastAsia="Palatino Linotype" w:hAnsi="Palatino Linotype" w:cs="Palatino Linotype"/>
          <w:b/>
          <w:i/>
          <w:color w:val="000000"/>
          <w:sz w:val="24"/>
        </w:rPr>
        <w:t>:</w:t>
      </w:r>
      <w:r w:rsidR="00BF671E" w:rsidRPr="00AD24C5">
        <w:rPr>
          <w:rFonts w:ascii="Palatino Linotype" w:eastAsia="Palatino Linotype" w:hAnsi="Palatino Linotype" w:cs="Palatino Linotype"/>
          <w:color w:val="000000"/>
          <w:sz w:val="24"/>
        </w:rPr>
        <w:t xml:space="preserve"> </w:t>
      </w:r>
      <w:r w:rsidR="00BF671E" w:rsidRPr="00AD24C5">
        <w:rPr>
          <w:rFonts w:ascii="Palatino Linotype" w:eastAsia="Palatino Linotype" w:hAnsi="Palatino Linotype" w:cs="Palatino Linotype"/>
          <w:i/>
          <w:color w:val="000000"/>
          <w:sz w:val="24"/>
        </w:rPr>
        <w:t>“</w:t>
      </w:r>
      <w:r w:rsidR="009B37E7" w:rsidRPr="00AD24C5">
        <w:rPr>
          <w:rFonts w:ascii="Palatino Linotype" w:eastAsia="Palatino Linotype" w:hAnsi="Palatino Linotype" w:cs="Palatino Linotype"/>
          <w:i/>
          <w:color w:val="000000"/>
          <w:sz w:val="24"/>
        </w:rPr>
        <w:t>NO SE BRINDA LA INFORMACIÓN</w:t>
      </w:r>
      <w:r w:rsidR="00BF671E" w:rsidRPr="00AD24C5">
        <w:rPr>
          <w:rFonts w:ascii="Palatino Linotype" w:eastAsia="Palatino Linotype" w:hAnsi="Palatino Linotype" w:cs="Palatino Linotype"/>
          <w:i/>
          <w:color w:val="000000"/>
          <w:sz w:val="24"/>
        </w:rPr>
        <w:t>” (sic)</w:t>
      </w:r>
    </w:p>
    <w:p w:rsidR="00BF671E" w:rsidRPr="00AD24C5" w:rsidRDefault="00BF671E" w:rsidP="00BF671E">
      <w:pPr>
        <w:pBdr>
          <w:top w:val="nil"/>
          <w:left w:val="nil"/>
          <w:bottom w:val="nil"/>
          <w:right w:val="nil"/>
          <w:between w:val="nil"/>
        </w:pBdr>
        <w:spacing w:line="360" w:lineRule="auto"/>
        <w:ind w:left="720" w:right="539"/>
        <w:jc w:val="both"/>
        <w:rPr>
          <w:rFonts w:ascii="Palatino Linotype" w:eastAsia="Palatino Linotype" w:hAnsi="Palatino Linotype" w:cs="Palatino Linotype"/>
          <w:color w:val="000000"/>
          <w:sz w:val="24"/>
          <w:szCs w:val="24"/>
        </w:rPr>
      </w:pPr>
    </w:p>
    <w:p w:rsidR="00BF671E" w:rsidRPr="00AD24C5" w:rsidRDefault="00B27992" w:rsidP="00B27992">
      <w:pPr>
        <w:pStyle w:val="Listaconvietas2"/>
        <w:numPr>
          <w:ilvl w:val="0"/>
          <w:numId w:val="20"/>
        </w:numPr>
        <w:tabs>
          <w:tab w:val="clear" w:pos="643"/>
        </w:tabs>
        <w:ind w:right="539"/>
        <w:jc w:val="both"/>
        <w:rPr>
          <w:rFonts w:ascii="Palatino Linotype" w:eastAsia="Palatino Linotype" w:hAnsi="Palatino Linotype" w:cs="Palatino Linotype"/>
          <w:color w:val="000000"/>
          <w:sz w:val="24"/>
          <w:szCs w:val="24"/>
        </w:rPr>
      </w:pPr>
      <w:r w:rsidRPr="00AD24C5">
        <w:rPr>
          <w:rFonts w:ascii="Palatino Linotype" w:eastAsia="Palatino Linotype" w:hAnsi="Palatino Linotype" w:cs="Palatino Linotype"/>
          <w:b/>
          <w:color w:val="000000"/>
          <w:sz w:val="24"/>
          <w:szCs w:val="24"/>
        </w:rPr>
        <w:t xml:space="preserve">RAZONES O MOTIVOS DE INCONFORMIDAD: </w:t>
      </w:r>
      <w:r w:rsidR="00BF671E" w:rsidRPr="00AD24C5">
        <w:rPr>
          <w:rFonts w:ascii="Palatino Linotype" w:eastAsia="Palatino Linotype" w:hAnsi="Palatino Linotype" w:cs="Palatino Linotype"/>
          <w:b/>
          <w:color w:val="000000"/>
          <w:sz w:val="24"/>
          <w:szCs w:val="24"/>
        </w:rPr>
        <w:t>“</w:t>
      </w:r>
      <w:r w:rsidR="009B37E7" w:rsidRPr="00AD24C5">
        <w:rPr>
          <w:rFonts w:ascii="Palatino Linotype" w:eastAsia="Palatino Linotype" w:hAnsi="Palatino Linotype" w:cs="Palatino Linotype"/>
          <w:i/>
          <w:color w:val="000000"/>
          <w:sz w:val="24"/>
          <w:szCs w:val="24"/>
        </w:rPr>
        <w:t>NO SE DA RESPUESTA A LA INFORMACIÓN SOLICITADA Solicito se informe el desembolso que representó el pago de la primera quincena de abril de 2025, ya sea por cheque, transferencia o pago en efectivo de los servidores públicos de estructura del Ayuntamiento, solicito la poliza de cheque y el movimiento reflejado en la cuenta de cobro correspondiente a cada uno de los cheques emitidos y/o cobrados, así como se brinde información sobre que se realiza con el recurso económico de los cheques que no son cobrados. todo en versiones públicas y por este medio</w:t>
      </w:r>
      <w:r w:rsidR="00BF671E" w:rsidRPr="00AD24C5">
        <w:rPr>
          <w:rFonts w:ascii="Palatino Linotype" w:eastAsia="Palatino Linotype" w:hAnsi="Palatino Linotype" w:cs="Palatino Linotype"/>
          <w:i/>
          <w:color w:val="000000"/>
          <w:sz w:val="24"/>
          <w:szCs w:val="24"/>
        </w:rPr>
        <w:t xml:space="preserve"> “(Sic)</w:t>
      </w:r>
    </w:p>
    <w:p w:rsidR="00BF671E" w:rsidRPr="00AD24C5" w:rsidRDefault="00BF671E" w:rsidP="00BF671E">
      <w:pPr>
        <w:pStyle w:val="Prrafodelista"/>
        <w:rPr>
          <w:rFonts w:ascii="Palatino Linotype" w:eastAsia="Palatino Linotype" w:hAnsi="Palatino Linotype" w:cs="Palatino Linotype"/>
          <w:color w:val="000000"/>
          <w:sz w:val="24"/>
        </w:rPr>
      </w:pPr>
    </w:p>
    <w:p w:rsidR="00BF671E" w:rsidRPr="00AD24C5" w:rsidRDefault="00BF671E" w:rsidP="00BF671E">
      <w:pPr>
        <w:pStyle w:val="Listaconvietas2"/>
        <w:numPr>
          <w:ilvl w:val="0"/>
          <w:numId w:val="0"/>
        </w:numPr>
        <w:tabs>
          <w:tab w:val="clear" w:pos="643"/>
        </w:tabs>
        <w:ind w:left="720" w:right="539"/>
        <w:jc w:val="both"/>
        <w:rPr>
          <w:rFonts w:ascii="Palatino Linotype" w:eastAsia="Palatino Linotype" w:hAnsi="Palatino Linotype" w:cs="Palatino Linotype"/>
          <w:color w:val="000000"/>
          <w:sz w:val="24"/>
          <w:szCs w:val="24"/>
        </w:rPr>
      </w:pPr>
    </w:p>
    <w:p w:rsidR="00BF671E" w:rsidRPr="00AD24C5" w:rsidRDefault="00BF671E" w:rsidP="00BF671E">
      <w:pPr>
        <w:numPr>
          <w:ilvl w:val="0"/>
          <w:numId w:val="2"/>
        </w:numPr>
        <w:spacing w:line="360" w:lineRule="auto"/>
        <w:ind w:left="0"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Se registró el recurso de revisión bajo el número de expediente al rubro indicado, asimismo con fundamento en lo dispuesto por el artículo 185 fracción I de la </w:t>
      </w:r>
      <w:r w:rsidRPr="00AD24C5">
        <w:rPr>
          <w:rFonts w:ascii="Palatino Linotype" w:eastAsia="Palatino Linotype" w:hAnsi="Palatino Linotype" w:cs="Palatino Linotype"/>
          <w:b/>
          <w:sz w:val="24"/>
          <w:szCs w:val="24"/>
        </w:rPr>
        <w:t xml:space="preserve">Ley de </w:t>
      </w:r>
      <w:r w:rsidRPr="00AD24C5">
        <w:rPr>
          <w:rFonts w:ascii="Palatino Linotype" w:eastAsia="Palatino Linotype" w:hAnsi="Palatino Linotype" w:cs="Palatino Linotype"/>
          <w:b/>
          <w:sz w:val="24"/>
          <w:szCs w:val="24"/>
        </w:rPr>
        <w:lastRenderedPageBreak/>
        <w:t xml:space="preserve">Transparencia y Acceso a la Información Pública del Estado de México y Municipios </w:t>
      </w:r>
      <w:r w:rsidRPr="00AD24C5">
        <w:rPr>
          <w:rFonts w:ascii="Palatino Linotype" w:eastAsia="Palatino Linotype" w:hAnsi="Palatino Linotype" w:cs="Palatino Linotype"/>
          <w:sz w:val="24"/>
          <w:szCs w:val="24"/>
        </w:rPr>
        <w:t xml:space="preserve">se turnó a la </w:t>
      </w:r>
      <w:r w:rsidRPr="00AD24C5">
        <w:rPr>
          <w:rFonts w:ascii="Palatino Linotype" w:eastAsia="Palatino Linotype" w:hAnsi="Palatino Linotype" w:cs="Palatino Linotype"/>
          <w:b/>
          <w:sz w:val="24"/>
          <w:szCs w:val="24"/>
        </w:rPr>
        <w:t xml:space="preserve">Comisionada María del Rosario Mejía Ayala, </w:t>
      </w:r>
      <w:r w:rsidR="00B27992">
        <w:rPr>
          <w:rFonts w:ascii="Palatino Linotype" w:eastAsia="Palatino Linotype" w:hAnsi="Palatino Linotype" w:cs="Palatino Linotype"/>
          <w:sz w:val="24"/>
          <w:szCs w:val="24"/>
        </w:rPr>
        <w:t>para</w:t>
      </w:r>
      <w:r w:rsidRPr="00AD24C5">
        <w:rPr>
          <w:rFonts w:ascii="Palatino Linotype" w:eastAsia="Palatino Linotype" w:hAnsi="Palatino Linotype" w:cs="Palatino Linotype"/>
          <w:sz w:val="24"/>
          <w:szCs w:val="24"/>
        </w:rPr>
        <w:t xml:space="preserve"> su análisis. </w:t>
      </w:r>
    </w:p>
    <w:p w:rsidR="00BF671E" w:rsidRPr="00AD24C5" w:rsidRDefault="00BF671E" w:rsidP="00BF671E">
      <w:pPr>
        <w:spacing w:line="360" w:lineRule="auto"/>
        <w:jc w:val="both"/>
        <w:rPr>
          <w:rFonts w:ascii="Palatino Linotype" w:eastAsia="Palatino Linotype" w:hAnsi="Palatino Linotype" w:cs="Palatino Linotype"/>
          <w:sz w:val="24"/>
          <w:szCs w:val="24"/>
        </w:rPr>
      </w:pPr>
    </w:p>
    <w:p w:rsidR="00BF671E" w:rsidRPr="00AD24C5" w:rsidRDefault="00B27992" w:rsidP="00BF671E">
      <w:pPr>
        <w:numPr>
          <w:ilvl w:val="0"/>
          <w:numId w:val="2"/>
        </w:numPr>
        <w:spacing w:line="360" w:lineRule="auto"/>
        <w:ind w:left="0" w:firstLine="0"/>
        <w:jc w:val="both"/>
        <w:rPr>
          <w:rFonts w:ascii="Palatino Linotype" w:eastAsia="Palatino Linotype" w:hAnsi="Palatino Linotype" w:cs="Palatino Linotype"/>
          <w:i/>
          <w:sz w:val="24"/>
          <w:szCs w:val="24"/>
        </w:rPr>
      </w:pPr>
      <w:r>
        <w:rPr>
          <w:rFonts w:ascii="Palatino Linotype" w:eastAsia="Palatino Linotype" w:hAnsi="Palatino Linotype" w:cs="Palatino Linotype"/>
          <w:sz w:val="24"/>
          <w:szCs w:val="24"/>
        </w:rPr>
        <w:t>La Comisionada p</w:t>
      </w:r>
      <w:r w:rsidR="00BF671E" w:rsidRPr="00AD24C5">
        <w:rPr>
          <w:rFonts w:ascii="Palatino Linotype" w:eastAsia="Palatino Linotype" w:hAnsi="Palatino Linotype" w:cs="Palatino Linotype"/>
          <w:sz w:val="24"/>
          <w:szCs w:val="24"/>
        </w:rPr>
        <w:t xml:space="preserve">onente con fundamento en lo dispuesto por el artículo 18 fracción II de la ley de la materia, a través del acuerdo de admisión notificado el </w:t>
      </w:r>
      <w:r w:rsidR="009B37E7" w:rsidRPr="00AD24C5">
        <w:rPr>
          <w:rFonts w:ascii="Palatino Linotype" w:eastAsia="Palatino Linotype" w:hAnsi="Palatino Linotype" w:cs="Palatino Linotype"/>
          <w:b/>
          <w:sz w:val="24"/>
          <w:szCs w:val="24"/>
        </w:rPr>
        <w:t>veintiséis de junio</w:t>
      </w:r>
      <w:r w:rsidR="00BF671E" w:rsidRPr="00AD24C5">
        <w:rPr>
          <w:rFonts w:ascii="Palatino Linotype" w:eastAsia="Palatino Linotype" w:hAnsi="Palatino Linotype" w:cs="Palatino Linotype"/>
          <w:b/>
          <w:sz w:val="24"/>
          <w:szCs w:val="24"/>
        </w:rPr>
        <w:t xml:space="preserve"> de dos mil veinticinco,</w:t>
      </w:r>
      <w:r w:rsidR="00BF671E" w:rsidRPr="00AD24C5">
        <w:rPr>
          <w:rFonts w:ascii="Palatino Linotype" w:eastAsia="Palatino Linotype" w:hAnsi="Palatino Linotype" w:cs="Palatino Linotype"/>
          <w:sz w:val="24"/>
          <w:szCs w:val="24"/>
        </w:rPr>
        <w:t xml:space="preserve"> se puso a disposición de las partes el expediente electrónico vía </w:t>
      </w:r>
      <w:r w:rsidR="00BF671E" w:rsidRPr="00AD24C5">
        <w:rPr>
          <w:rFonts w:ascii="Palatino Linotype" w:eastAsia="Palatino Linotype" w:hAnsi="Palatino Linotype" w:cs="Palatino Linotype"/>
          <w:b/>
          <w:sz w:val="24"/>
          <w:szCs w:val="24"/>
        </w:rPr>
        <w:t xml:space="preserve">SAIMEX </w:t>
      </w:r>
      <w:r w:rsidR="00BF671E" w:rsidRPr="00AD24C5">
        <w:rPr>
          <w:rFonts w:ascii="Palatino Linotype" w:eastAsia="Palatino Linotype" w:hAnsi="Palatino Linotype" w:cs="Palatino Linotype"/>
          <w:sz w:val="24"/>
          <w:szCs w:val="24"/>
        </w:rPr>
        <w:t xml:space="preserve">a efecto de que en un plazo máximo de siete días manifestaran lo que a derecho convinieran, ofrecieran pruebas y alegatos según corresponda al caso concreto, de esta forma para que el </w:t>
      </w:r>
      <w:r w:rsidR="00BF671E" w:rsidRPr="00AD24C5">
        <w:rPr>
          <w:rFonts w:ascii="Palatino Linotype" w:eastAsia="Palatino Linotype" w:hAnsi="Palatino Linotype" w:cs="Palatino Linotype"/>
          <w:b/>
          <w:sz w:val="24"/>
          <w:szCs w:val="24"/>
        </w:rPr>
        <w:t>SUJETO OBLIGADO</w:t>
      </w:r>
      <w:r w:rsidR="00BF671E" w:rsidRPr="00AD24C5">
        <w:rPr>
          <w:rFonts w:ascii="Palatino Linotype" w:eastAsia="Palatino Linotype" w:hAnsi="Palatino Linotype" w:cs="Palatino Linotype"/>
          <w:sz w:val="24"/>
          <w:szCs w:val="24"/>
        </w:rPr>
        <w:t xml:space="preserve"> presentara el informe justificado procedente. </w:t>
      </w:r>
    </w:p>
    <w:p w:rsidR="00BF671E" w:rsidRPr="00AD24C5" w:rsidRDefault="00BF671E" w:rsidP="00BF671E">
      <w:pPr>
        <w:pBdr>
          <w:top w:val="nil"/>
          <w:left w:val="nil"/>
          <w:bottom w:val="nil"/>
          <w:right w:val="nil"/>
          <w:between w:val="nil"/>
        </w:pBdr>
        <w:ind w:left="720"/>
        <w:rPr>
          <w:rFonts w:ascii="Palatino Linotype" w:eastAsia="Palatino Linotype" w:hAnsi="Palatino Linotype" w:cs="Palatino Linotype"/>
          <w:i/>
          <w:color w:val="000000"/>
          <w:sz w:val="24"/>
          <w:szCs w:val="24"/>
        </w:rPr>
      </w:pPr>
    </w:p>
    <w:p w:rsidR="00BF671E" w:rsidRPr="00AD24C5" w:rsidRDefault="00BF671E" w:rsidP="00BF671E">
      <w:pPr>
        <w:numPr>
          <w:ilvl w:val="0"/>
          <w:numId w:val="2"/>
        </w:numPr>
        <w:spacing w:line="360" w:lineRule="auto"/>
        <w:ind w:left="0" w:firstLine="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sz w:val="24"/>
          <w:szCs w:val="24"/>
        </w:rPr>
        <w:t xml:space="preserve">De las constancias que obran en el expediente electrónico SAIMEX, se advierte que el </w:t>
      </w:r>
      <w:r w:rsidRPr="00AD24C5">
        <w:rPr>
          <w:rFonts w:ascii="Palatino Linotype" w:eastAsia="Palatino Linotype" w:hAnsi="Palatino Linotype" w:cs="Palatino Linotype"/>
          <w:b/>
          <w:sz w:val="24"/>
          <w:szCs w:val="24"/>
        </w:rPr>
        <w:t>PARTICULAR,</w:t>
      </w:r>
      <w:r w:rsidRPr="00AD24C5">
        <w:rPr>
          <w:rFonts w:ascii="Palatino Linotype" w:eastAsia="Palatino Linotype" w:hAnsi="Palatino Linotype" w:cs="Palatino Linotype"/>
          <w:sz w:val="24"/>
          <w:szCs w:val="24"/>
        </w:rPr>
        <w:t xml:space="preserve"> no realizo manifestación alguna.</w:t>
      </w:r>
    </w:p>
    <w:p w:rsidR="00BF671E" w:rsidRPr="00AD24C5" w:rsidRDefault="00BF671E" w:rsidP="00BF671E">
      <w:pPr>
        <w:spacing w:line="360" w:lineRule="auto"/>
        <w:jc w:val="both"/>
        <w:rPr>
          <w:rFonts w:ascii="Palatino Linotype" w:eastAsia="Palatino Linotype" w:hAnsi="Palatino Linotype" w:cs="Palatino Linotype"/>
          <w:i/>
          <w:sz w:val="24"/>
          <w:szCs w:val="24"/>
        </w:rPr>
      </w:pPr>
    </w:p>
    <w:p w:rsidR="00BF671E" w:rsidRPr="00AD24C5" w:rsidRDefault="00BF671E" w:rsidP="00BF671E">
      <w:pPr>
        <w:numPr>
          <w:ilvl w:val="0"/>
          <w:numId w:val="2"/>
        </w:numPr>
        <w:spacing w:line="360" w:lineRule="auto"/>
        <w:ind w:left="0" w:firstLine="0"/>
        <w:jc w:val="both"/>
        <w:rPr>
          <w:rFonts w:ascii="Palatino Linotype" w:eastAsia="Palatino Linotype" w:hAnsi="Palatino Linotype" w:cs="Palatino Linotype"/>
          <w:color w:val="FF0000"/>
          <w:sz w:val="24"/>
          <w:szCs w:val="24"/>
        </w:rPr>
      </w:pPr>
      <w:r w:rsidRPr="00AD24C5">
        <w:rPr>
          <w:rFonts w:ascii="Palatino Linotype" w:eastAsia="Palatino Linotype" w:hAnsi="Palatino Linotype" w:cs="Palatino Linotype"/>
          <w:sz w:val="24"/>
          <w:szCs w:val="24"/>
        </w:rPr>
        <w:t xml:space="preserve">El </w:t>
      </w:r>
      <w:r w:rsidRPr="00AD24C5">
        <w:rPr>
          <w:rFonts w:ascii="Palatino Linotype" w:eastAsia="Palatino Linotype" w:hAnsi="Palatino Linotype" w:cs="Palatino Linotype"/>
          <w:b/>
          <w:sz w:val="24"/>
          <w:szCs w:val="24"/>
        </w:rPr>
        <w:t xml:space="preserve">SUJETO OBLIGADO, </w:t>
      </w:r>
      <w:r w:rsidRPr="00AD24C5">
        <w:rPr>
          <w:rFonts w:ascii="Palatino Linotype" w:eastAsia="Palatino Linotype" w:hAnsi="Palatino Linotype" w:cs="Palatino Linotype"/>
          <w:sz w:val="24"/>
          <w:szCs w:val="24"/>
        </w:rPr>
        <w:t xml:space="preserve">el </w:t>
      </w:r>
      <w:r w:rsidR="009B37E7" w:rsidRPr="00AD24C5">
        <w:rPr>
          <w:rFonts w:ascii="Palatino Linotype" w:eastAsia="Palatino Linotype" w:hAnsi="Palatino Linotype" w:cs="Palatino Linotype"/>
          <w:sz w:val="24"/>
          <w:szCs w:val="24"/>
        </w:rPr>
        <w:t>cuatro de junio</w:t>
      </w:r>
      <w:r w:rsidRPr="00AD24C5">
        <w:rPr>
          <w:rFonts w:ascii="Palatino Linotype" w:eastAsia="Palatino Linotype" w:hAnsi="Palatino Linotype" w:cs="Palatino Linotype"/>
          <w:sz w:val="24"/>
          <w:szCs w:val="24"/>
        </w:rPr>
        <w:t xml:space="preserve"> de dos mil veinticinco, rindió el Informe Justificado a través de los archivos siguientes:</w:t>
      </w:r>
    </w:p>
    <w:p w:rsidR="00BF671E" w:rsidRPr="00AD24C5" w:rsidRDefault="009B37E7" w:rsidP="009B37E7">
      <w:pPr>
        <w:pStyle w:val="Prrafodelista"/>
        <w:numPr>
          <w:ilvl w:val="0"/>
          <w:numId w:val="5"/>
        </w:numPr>
        <w:ind w:right="680"/>
        <w:jc w:val="both"/>
        <w:rPr>
          <w:rFonts w:ascii="Palatino Linotype" w:hAnsi="Palatino Linotype"/>
          <w:sz w:val="24"/>
        </w:rPr>
      </w:pPr>
      <w:r w:rsidRPr="00AD24C5">
        <w:rPr>
          <w:rFonts w:ascii="Palatino Linotype" w:hAnsi="Palatino Linotype"/>
          <w:b/>
          <w:sz w:val="24"/>
        </w:rPr>
        <w:t>ANEXO RR 5678.pdf</w:t>
      </w:r>
      <w:r w:rsidR="00BF671E" w:rsidRPr="00AD24C5">
        <w:rPr>
          <w:rFonts w:ascii="Palatino Linotype" w:hAnsi="Palatino Linotype"/>
          <w:b/>
          <w:sz w:val="24"/>
        </w:rPr>
        <w:t xml:space="preserve">: </w:t>
      </w:r>
      <w:r w:rsidR="00BF671E" w:rsidRPr="00AD24C5">
        <w:rPr>
          <w:rFonts w:ascii="Palatino Linotype" w:hAnsi="Palatino Linotype"/>
          <w:sz w:val="24"/>
        </w:rPr>
        <w:t xml:space="preserve">Oficio firmado por </w:t>
      </w:r>
      <w:r w:rsidRPr="00AD24C5">
        <w:rPr>
          <w:rFonts w:ascii="Palatino Linotype" w:hAnsi="Palatino Linotype"/>
          <w:sz w:val="24"/>
        </w:rPr>
        <w:t>la Directora General de Administración, por el que ratifica su respuesta primigenia.</w:t>
      </w:r>
    </w:p>
    <w:p w:rsidR="00BF671E" w:rsidRPr="00AD24C5" w:rsidRDefault="00BF671E" w:rsidP="00BF671E">
      <w:pPr>
        <w:pStyle w:val="Prrafodelista"/>
        <w:ind w:right="680"/>
        <w:jc w:val="both"/>
        <w:rPr>
          <w:rFonts w:ascii="Palatino Linotype" w:hAnsi="Palatino Linotype"/>
          <w:b/>
          <w:sz w:val="24"/>
        </w:rPr>
      </w:pPr>
    </w:p>
    <w:p w:rsidR="00BF671E" w:rsidRPr="00AD24C5" w:rsidRDefault="009B37E7" w:rsidP="009B37E7">
      <w:pPr>
        <w:pStyle w:val="Prrafodelista"/>
        <w:numPr>
          <w:ilvl w:val="0"/>
          <w:numId w:val="5"/>
        </w:numPr>
        <w:ind w:right="680"/>
        <w:jc w:val="both"/>
        <w:rPr>
          <w:rFonts w:ascii="Palatino Linotype" w:hAnsi="Palatino Linotype"/>
          <w:sz w:val="24"/>
        </w:rPr>
      </w:pPr>
      <w:r w:rsidRPr="00AD24C5">
        <w:rPr>
          <w:rFonts w:ascii="Palatino Linotype" w:hAnsi="Palatino Linotype"/>
          <w:b/>
          <w:sz w:val="24"/>
        </w:rPr>
        <w:t>2. Ratificación RR-5678-2025.pdf</w:t>
      </w:r>
      <w:r w:rsidR="00BF671E" w:rsidRPr="00AD24C5">
        <w:rPr>
          <w:rFonts w:ascii="Palatino Linotype" w:hAnsi="Palatino Linotype"/>
          <w:b/>
          <w:sz w:val="24"/>
        </w:rPr>
        <w:t>:</w:t>
      </w:r>
      <w:r w:rsidR="00BF671E" w:rsidRPr="00AD24C5">
        <w:rPr>
          <w:rFonts w:ascii="Palatino Linotype" w:hAnsi="Palatino Linotype"/>
          <w:sz w:val="24"/>
        </w:rPr>
        <w:t xml:space="preserve"> Oficio firmado por el Titular de la Unidad de Transparencia por el que informó que ratifica la respuesta emitida por la Dirección General de Administración.</w:t>
      </w:r>
    </w:p>
    <w:p w:rsidR="00BF671E" w:rsidRDefault="00BF671E" w:rsidP="00BF671E">
      <w:pPr>
        <w:jc w:val="both"/>
        <w:rPr>
          <w:rFonts w:ascii="Palatino Linotype" w:hAnsi="Palatino Linotype"/>
          <w:sz w:val="24"/>
          <w:szCs w:val="24"/>
        </w:rPr>
      </w:pPr>
    </w:p>
    <w:p w:rsidR="00B27992" w:rsidRPr="00AD24C5" w:rsidRDefault="00B27992" w:rsidP="00BF671E">
      <w:pPr>
        <w:jc w:val="both"/>
        <w:rPr>
          <w:rFonts w:ascii="Palatino Linotype" w:hAnsi="Palatino Linotype"/>
          <w:sz w:val="24"/>
          <w:szCs w:val="24"/>
        </w:rPr>
      </w:pPr>
    </w:p>
    <w:p w:rsidR="00BF671E" w:rsidRPr="00AD24C5" w:rsidRDefault="00BF671E" w:rsidP="00BF671E">
      <w:pPr>
        <w:numPr>
          <w:ilvl w:val="0"/>
          <w:numId w:val="2"/>
        </w:numPr>
        <w:tabs>
          <w:tab w:val="left" w:pos="426"/>
        </w:tabs>
        <w:spacing w:line="360" w:lineRule="auto"/>
        <w:ind w:left="0" w:firstLine="0"/>
        <w:jc w:val="both"/>
        <w:rPr>
          <w:rFonts w:ascii="Palatino Linotype" w:eastAsia="Palatino Linotype" w:hAnsi="Palatino Linotype" w:cs="Palatino Linotype"/>
          <w:b/>
          <w:sz w:val="24"/>
          <w:szCs w:val="24"/>
          <w:u w:val="single"/>
        </w:rPr>
      </w:pPr>
      <w:r w:rsidRPr="00AD24C5">
        <w:rPr>
          <w:rFonts w:ascii="Palatino Linotype" w:eastAsia="Palatino Linotype" w:hAnsi="Palatino Linotype" w:cs="Palatino Linotype"/>
          <w:sz w:val="24"/>
          <w:szCs w:val="24"/>
        </w:rPr>
        <w:t xml:space="preserve">El </w:t>
      </w:r>
      <w:r w:rsidRPr="00AD24C5">
        <w:rPr>
          <w:rFonts w:ascii="Palatino Linotype" w:eastAsia="Palatino Linotype" w:hAnsi="Palatino Linotype" w:cs="Palatino Linotype"/>
          <w:b/>
          <w:sz w:val="24"/>
          <w:szCs w:val="24"/>
        </w:rPr>
        <w:t xml:space="preserve">cinco de febrero de dos mil veintiséis, </w:t>
      </w:r>
      <w:r w:rsidRPr="00AD24C5">
        <w:rPr>
          <w:rFonts w:ascii="Palatino Linotype" w:eastAsia="Palatino Linotype" w:hAnsi="Palatino Linotype" w:cs="Palatino Linotype"/>
          <w:sz w:val="24"/>
          <w:szCs w:val="24"/>
        </w:rPr>
        <w:t>se notificó el acuerdo por el que se amplió el plazo para resolver el recurso de revisión que nos ocupa.</w:t>
      </w:r>
    </w:p>
    <w:p w:rsidR="00BF671E" w:rsidRPr="00AD24C5" w:rsidRDefault="00BF671E" w:rsidP="00BF671E">
      <w:pPr>
        <w:tabs>
          <w:tab w:val="left" w:pos="426"/>
        </w:tabs>
        <w:spacing w:line="360" w:lineRule="auto"/>
        <w:jc w:val="both"/>
        <w:rPr>
          <w:rFonts w:ascii="Palatino Linotype" w:eastAsia="Palatino Linotype" w:hAnsi="Palatino Linotype" w:cs="Palatino Linotype"/>
          <w:b/>
          <w:sz w:val="24"/>
          <w:szCs w:val="24"/>
          <w:u w:val="single"/>
        </w:rPr>
      </w:pPr>
    </w:p>
    <w:p w:rsidR="00BF671E" w:rsidRPr="00AD24C5" w:rsidRDefault="00BF671E" w:rsidP="00BF671E">
      <w:pPr>
        <w:numPr>
          <w:ilvl w:val="0"/>
          <w:numId w:val="2"/>
        </w:numPr>
        <w:tabs>
          <w:tab w:val="left" w:pos="426"/>
        </w:tabs>
        <w:spacing w:line="360" w:lineRule="auto"/>
        <w:ind w:left="0" w:firstLine="0"/>
        <w:jc w:val="both"/>
        <w:rPr>
          <w:rFonts w:ascii="Palatino Linotype" w:eastAsia="Palatino Linotype" w:hAnsi="Palatino Linotype" w:cs="Palatino Linotype"/>
          <w:b/>
          <w:sz w:val="24"/>
          <w:szCs w:val="24"/>
          <w:u w:val="single"/>
        </w:rPr>
      </w:pPr>
      <w:r w:rsidRPr="00AD24C5">
        <w:rPr>
          <w:rFonts w:ascii="Palatino Linotype" w:eastAsia="Palatino Linotype" w:hAnsi="Palatino Linotype" w:cs="Palatino Linotype"/>
          <w:sz w:val="24"/>
          <w:szCs w:val="24"/>
        </w:rPr>
        <w:lastRenderedPageBreak/>
        <w:t>El</w:t>
      </w:r>
      <w:r w:rsidRPr="00AD24C5">
        <w:rPr>
          <w:rFonts w:ascii="Palatino Linotype" w:eastAsia="Palatino Linotype" w:hAnsi="Palatino Linotype" w:cs="Palatino Linotype"/>
          <w:b/>
          <w:sz w:val="24"/>
          <w:szCs w:val="24"/>
        </w:rPr>
        <w:t xml:space="preserve"> once de febrero de dos mil veintiséis</w:t>
      </w:r>
      <w:r w:rsidRPr="00AD24C5">
        <w:rPr>
          <w:rFonts w:ascii="Palatino Linotype" w:eastAsia="Palatino Linotype" w:hAnsi="Palatino Linotype" w:cs="Palatino Linotype"/>
          <w:sz w:val="24"/>
          <w:szCs w:val="24"/>
        </w:rPr>
        <w:t xml:space="preserve">, la Comisionada Ponente decretó el cierre de instrucción y al no existir diligencias por realizar y se turnó el expediente a resolución correspondiente, por lo que no habiendo más que hacer constar, y </w:t>
      </w:r>
    </w:p>
    <w:p w:rsidR="00BF671E" w:rsidRPr="00AD24C5" w:rsidRDefault="00BF671E" w:rsidP="00BF671E">
      <w:pPr>
        <w:tabs>
          <w:tab w:val="left" w:pos="426"/>
        </w:tabs>
        <w:spacing w:line="360" w:lineRule="auto"/>
        <w:jc w:val="both"/>
        <w:rPr>
          <w:rFonts w:ascii="Palatino Linotype" w:eastAsia="Palatino Linotype" w:hAnsi="Palatino Linotype" w:cs="Palatino Linotype"/>
          <w:b/>
          <w:sz w:val="24"/>
          <w:szCs w:val="24"/>
          <w:u w:val="single"/>
        </w:rPr>
      </w:pPr>
    </w:p>
    <w:p w:rsidR="00BF671E" w:rsidRPr="00AD24C5" w:rsidRDefault="00BF671E" w:rsidP="00BF671E">
      <w:pPr>
        <w:keepNext/>
        <w:keepLines/>
        <w:spacing w:line="360" w:lineRule="auto"/>
        <w:jc w:val="center"/>
        <w:rPr>
          <w:rFonts w:ascii="Palatino Linotype" w:eastAsia="Palatino Linotype" w:hAnsi="Palatino Linotype" w:cs="Palatino Linotype"/>
          <w:b/>
          <w:sz w:val="24"/>
          <w:szCs w:val="24"/>
        </w:rPr>
      </w:pPr>
      <w:bookmarkStart w:id="3" w:name="_heading=h.30j0zll" w:colFirst="0" w:colLast="0"/>
      <w:bookmarkEnd w:id="3"/>
      <w:r w:rsidRPr="00AD24C5">
        <w:rPr>
          <w:rFonts w:ascii="Palatino Linotype" w:eastAsia="Palatino Linotype" w:hAnsi="Palatino Linotype" w:cs="Palatino Linotype"/>
          <w:b/>
          <w:sz w:val="24"/>
          <w:szCs w:val="24"/>
        </w:rPr>
        <w:t>C</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O</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N</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S</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I</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D</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E</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R</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A</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N</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D</w:t>
      </w:r>
      <w:r w:rsidR="00B27992">
        <w:rPr>
          <w:rFonts w:ascii="Palatino Linotype" w:eastAsia="Palatino Linotype" w:hAnsi="Palatino Linotype" w:cs="Palatino Linotype"/>
          <w:b/>
          <w:sz w:val="24"/>
          <w:szCs w:val="24"/>
        </w:rPr>
        <w:t xml:space="preserve"> </w:t>
      </w:r>
      <w:r w:rsidRPr="00AD24C5">
        <w:rPr>
          <w:rFonts w:ascii="Palatino Linotype" w:eastAsia="Palatino Linotype" w:hAnsi="Palatino Linotype" w:cs="Palatino Linotype"/>
          <w:b/>
          <w:sz w:val="24"/>
          <w:szCs w:val="24"/>
        </w:rPr>
        <w:t xml:space="preserve">O </w:t>
      </w:r>
    </w:p>
    <w:p w:rsidR="00BF671E" w:rsidRPr="00AD24C5" w:rsidRDefault="00BF671E" w:rsidP="00BF671E">
      <w:pPr>
        <w:spacing w:line="360" w:lineRule="auto"/>
        <w:rPr>
          <w:rFonts w:ascii="Palatino Linotype" w:eastAsia="Palatino Linotype" w:hAnsi="Palatino Linotype" w:cs="Palatino Linotype"/>
          <w:sz w:val="24"/>
          <w:szCs w:val="24"/>
        </w:rPr>
      </w:pPr>
    </w:p>
    <w:p w:rsidR="00BF671E" w:rsidRPr="00AD24C5" w:rsidRDefault="00BF671E" w:rsidP="00BF671E">
      <w:pPr>
        <w:keepNext/>
        <w:keepLines/>
        <w:spacing w:line="360" w:lineRule="auto"/>
        <w:rPr>
          <w:rFonts w:ascii="Palatino Linotype" w:eastAsia="Palatino Linotype" w:hAnsi="Palatino Linotype" w:cs="Palatino Linotype"/>
          <w:b/>
          <w:sz w:val="24"/>
          <w:szCs w:val="24"/>
        </w:rPr>
      </w:pPr>
      <w:bookmarkStart w:id="4" w:name="_heading=h.1fob9te" w:colFirst="0" w:colLast="0"/>
      <w:bookmarkEnd w:id="4"/>
      <w:r w:rsidRPr="00AD24C5">
        <w:rPr>
          <w:rFonts w:ascii="Palatino Linotype" w:eastAsia="Palatino Linotype" w:hAnsi="Palatino Linotype" w:cs="Palatino Linotype"/>
          <w:b/>
          <w:sz w:val="24"/>
          <w:szCs w:val="24"/>
        </w:rPr>
        <w:t>PRIMERO. De la competencia</w:t>
      </w:r>
    </w:p>
    <w:p w:rsidR="00BF671E" w:rsidRPr="00AD24C5" w:rsidRDefault="00BF671E" w:rsidP="00BF671E">
      <w:pPr>
        <w:numPr>
          <w:ilvl w:val="0"/>
          <w:numId w:val="2"/>
        </w:numPr>
        <w:tabs>
          <w:tab w:val="left" w:pos="426"/>
        </w:tabs>
        <w:spacing w:line="360" w:lineRule="auto"/>
        <w:ind w:left="0" w:firstLine="0"/>
        <w:jc w:val="both"/>
        <w:rPr>
          <w:rFonts w:ascii="Palatino Linotype" w:eastAsia="Palatino Linotype" w:hAnsi="Palatino Linotype" w:cs="Palatino Linotype"/>
          <w:color w:val="000000"/>
          <w:sz w:val="24"/>
          <w:szCs w:val="24"/>
        </w:rPr>
      </w:pPr>
      <w:r w:rsidRPr="00AD24C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trigésimo, trigésimo primero y trigésimo segundo,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BF671E" w:rsidRPr="00AD24C5" w:rsidRDefault="00BF671E" w:rsidP="00BF671E">
      <w:pPr>
        <w:tabs>
          <w:tab w:val="left" w:pos="426"/>
        </w:tabs>
        <w:spacing w:line="360" w:lineRule="auto"/>
        <w:jc w:val="both"/>
        <w:rPr>
          <w:rFonts w:ascii="Palatino Linotype" w:eastAsia="Palatino Linotype" w:hAnsi="Palatino Linotype" w:cs="Palatino Linotype"/>
          <w:color w:val="000000"/>
          <w:sz w:val="24"/>
          <w:szCs w:val="24"/>
        </w:rPr>
      </w:pPr>
    </w:p>
    <w:p w:rsidR="00BF671E" w:rsidRPr="00AD24C5" w:rsidRDefault="00BF671E" w:rsidP="00BF671E">
      <w:pPr>
        <w:keepNext/>
        <w:keepLines/>
        <w:spacing w:line="360" w:lineRule="auto"/>
        <w:rPr>
          <w:rFonts w:ascii="Palatino Linotype" w:eastAsia="Palatino Linotype" w:hAnsi="Palatino Linotype" w:cs="Palatino Linotype"/>
          <w:b/>
          <w:sz w:val="24"/>
          <w:szCs w:val="24"/>
        </w:rPr>
      </w:pPr>
      <w:bookmarkStart w:id="5" w:name="_heading=h.3znysh7" w:colFirst="0" w:colLast="0"/>
      <w:bookmarkEnd w:id="5"/>
      <w:r w:rsidRPr="00AD24C5">
        <w:rPr>
          <w:rFonts w:ascii="Palatino Linotype" w:eastAsia="Palatino Linotype" w:hAnsi="Palatino Linotype" w:cs="Palatino Linotype"/>
          <w:b/>
          <w:sz w:val="24"/>
          <w:szCs w:val="24"/>
        </w:rPr>
        <w:t>SEGUNDO. De la oportunidad y procedencia.</w:t>
      </w:r>
    </w:p>
    <w:p w:rsidR="00BF671E" w:rsidRPr="00AD24C5" w:rsidRDefault="00BF671E" w:rsidP="00BF671E">
      <w:pPr>
        <w:numPr>
          <w:ilvl w:val="0"/>
          <w:numId w:val="2"/>
        </w:numPr>
        <w:spacing w:line="360" w:lineRule="auto"/>
        <w:ind w:left="0" w:right="48"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El medio de impugnación fue presentado a través del </w:t>
      </w:r>
      <w:r w:rsidRPr="00AD24C5">
        <w:rPr>
          <w:rFonts w:ascii="Palatino Linotype" w:eastAsia="Palatino Linotype" w:hAnsi="Palatino Linotype" w:cs="Palatino Linotype"/>
          <w:b/>
          <w:sz w:val="24"/>
          <w:szCs w:val="24"/>
        </w:rPr>
        <w:t>SAIMEX,</w:t>
      </w:r>
      <w:r w:rsidRPr="00AD24C5">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sidRPr="00AD24C5">
        <w:rPr>
          <w:rFonts w:ascii="Palatino Linotype" w:eastAsia="Palatino Linotype" w:hAnsi="Palatino Linotype" w:cs="Palatino Linotype"/>
          <w:b/>
          <w:sz w:val="24"/>
          <w:szCs w:val="24"/>
        </w:rPr>
        <w:t>SUJETO OBLIGADO</w:t>
      </w:r>
      <w:r w:rsidRPr="00AD24C5">
        <w:rPr>
          <w:rFonts w:ascii="Palatino Linotype" w:eastAsia="Palatino Linotype" w:hAnsi="Palatino Linotype" w:cs="Palatino Linotype"/>
          <w:sz w:val="24"/>
          <w:szCs w:val="24"/>
        </w:rPr>
        <w:t xml:space="preserve"> entregó respuesta el </w:t>
      </w:r>
      <w:r w:rsidR="009B37E7" w:rsidRPr="00AD24C5">
        <w:rPr>
          <w:rFonts w:ascii="Palatino Linotype" w:eastAsia="Palatino Linotype" w:hAnsi="Palatino Linotype" w:cs="Palatino Linotype"/>
          <w:b/>
          <w:sz w:val="24"/>
          <w:szCs w:val="24"/>
        </w:rPr>
        <w:t>catorce de mayo</w:t>
      </w:r>
      <w:r w:rsidRPr="00AD24C5">
        <w:rPr>
          <w:rFonts w:ascii="Palatino Linotype" w:eastAsia="Palatino Linotype" w:hAnsi="Palatino Linotype" w:cs="Palatino Linotype"/>
          <w:b/>
          <w:sz w:val="24"/>
          <w:szCs w:val="24"/>
        </w:rPr>
        <w:t xml:space="preserve"> de dos mil veinticinco</w:t>
      </w:r>
      <w:r w:rsidRPr="00AD24C5">
        <w:rPr>
          <w:rFonts w:ascii="Palatino Linotype" w:eastAsia="Palatino Linotype" w:hAnsi="Palatino Linotype" w:cs="Palatino Linotype"/>
          <w:sz w:val="24"/>
          <w:szCs w:val="24"/>
        </w:rPr>
        <w:t xml:space="preserve">, de tal forma que el plazo para </w:t>
      </w:r>
      <w:r w:rsidRPr="00AD24C5">
        <w:rPr>
          <w:rFonts w:ascii="Palatino Linotype" w:eastAsia="Palatino Linotype" w:hAnsi="Palatino Linotype" w:cs="Palatino Linotype"/>
          <w:sz w:val="24"/>
          <w:szCs w:val="24"/>
        </w:rPr>
        <w:lastRenderedPageBreak/>
        <w:t xml:space="preserve">interponer el recurso transcurrió del </w:t>
      </w:r>
      <w:r w:rsidR="009B37E7" w:rsidRPr="00AD24C5">
        <w:rPr>
          <w:rFonts w:ascii="Palatino Linotype" w:eastAsia="Palatino Linotype" w:hAnsi="Palatino Linotype" w:cs="Palatino Linotype"/>
          <w:b/>
          <w:sz w:val="24"/>
          <w:szCs w:val="24"/>
        </w:rPr>
        <w:t>quince de mayo</w:t>
      </w:r>
      <w:r w:rsidR="00B03067" w:rsidRPr="00AD24C5">
        <w:rPr>
          <w:rFonts w:ascii="Palatino Linotype" w:eastAsia="Palatino Linotype" w:hAnsi="Palatino Linotype" w:cs="Palatino Linotype"/>
          <w:b/>
          <w:sz w:val="24"/>
          <w:szCs w:val="24"/>
        </w:rPr>
        <w:t xml:space="preserve"> al cuatro de junio</w:t>
      </w:r>
      <w:r w:rsidRPr="00AD24C5">
        <w:rPr>
          <w:rFonts w:ascii="Palatino Linotype" w:eastAsia="Palatino Linotype" w:hAnsi="Palatino Linotype" w:cs="Palatino Linotype"/>
          <w:b/>
          <w:sz w:val="24"/>
          <w:szCs w:val="24"/>
        </w:rPr>
        <w:t xml:space="preserve"> de dos mil veinticinco, </w:t>
      </w:r>
      <w:r w:rsidRPr="00AD24C5">
        <w:rPr>
          <w:rFonts w:ascii="Palatino Linotype" w:eastAsia="Palatino Linotype" w:hAnsi="Palatino Linotype" w:cs="Palatino Linotype"/>
          <w:sz w:val="24"/>
          <w:szCs w:val="24"/>
        </w:rPr>
        <w:t xml:space="preserve">en consecuencia, si el </w:t>
      </w:r>
      <w:r w:rsidRPr="00AD24C5">
        <w:rPr>
          <w:rFonts w:ascii="Palatino Linotype" w:eastAsia="Palatino Linotype" w:hAnsi="Palatino Linotype" w:cs="Palatino Linotype"/>
          <w:b/>
          <w:sz w:val="24"/>
          <w:szCs w:val="24"/>
        </w:rPr>
        <w:t>PARTICULAR</w:t>
      </w:r>
      <w:r w:rsidRPr="00AD24C5">
        <w:rPr>
          <w:rFonts w:ascii="Palatino Linotype" w:eastAsia="Palatino Linotype" w:hAnsi="Palatino Linotype" w:cs="Palatino Linotype"/>
          <w:sz w:val="24"/>
          <w:szCs w:val="24"/>
        </w:rPr>
        <w:t xml:space="preserve"> presentó su inconformidad el </w:t>
      </w:r>
      <w:r w:rsidR="00B03067" w:rsidRPr="00AD24C5">
        <w:rPr>
          <w:rFonts w:ascii="Palatino Linotype" w:eastAsia="Palatino Linotype" w:hAnsi="Palatino Linotype" w:cs="Palatino Linotype"/>
          <w:b/>
          <w:sz w:val="24"/>
          <w:szCs w:val="24"/>
        </w:rPr>
        <w:t>veinte de mayo</w:t>
      </w:r>
      <w:r w:rsidRPr="00AD24C5">
        <w:rPr>
          <w:rFonts w:ascii="Palatino Linotype" w:eastAsia="Palatino Linotype" w:hAnsi="Palatino Linotype" w:cs="Palatino Linotype"/>
          <w:b/>
          <w:sz w:val="24"/>
          <w:szCs w:val="24"/>
        </w:rPr>
        <w:t xml:space="preserve"> de dos mil veinticinco</w:t>
      </w:r>
      <w:r w:rsidRPr="00AD24C5">
        <w:rPr>
          <w:rFonts w:ascii="Palatino Linotype" w:eastAsia="Palatino Linotype" w:hAnsi="Palatino Linotype" w:cs="Palatino Linotype"/>
          <w:sz w:val="24"/>
          <w:szCs w:val="24"/>
        </w:rPr>
        <w:t xml:space="preserve">, este  se encuentra dentro de los márgenes temporales previstos en el artículo 178 de la </w:t>
      </w:r>
      <w:r w:rsidRPr="00AD24C5">
        <w:rPr>
          <w:rFonts w:ascii="Palatino Linotype" w:eastAsia="Palatino Linotype" w:hAnsi="Palatino Linotype" w:cs="Palatino Linotype"/>
          <w:b/>
          <w:sz w:val="24"/>
          <w:szCs w:val="24"/>
        </w:rPr>
        <w:t xml:space="preserve">Ley de Transparencia y Acceso a la Información Pública del Estado de México y Municipios </w:t>
      </w:r>
      <w:r w:rsidRPr="00AD24C5">
        <w:rPr>
          <w:rFonts w:ascii="Palatino Linotype" w:eastAsia="Palatino Linotype" w:hAnsi="Palatino Linotype" w:cs="Palatino Linotype"/>
          <w:sz w:val="24"/>
          <w:szCs w:val="24"/>
        </w:rPr>
        <w:t xml:space="preserve">vigente. </w:t>
      </w:r>
    </w:p>
    <w:p w:rsidR="00BF671E" w:rsidRPr="00AD24C5" w:rsidRDefault="00BF671E" w:rsidP="00BF671E">
      <w:pPr>
        <w:spacing w:line="360" w:lineRule="auto"/>
        <w:ind w:right="49"/>
        <w:jc w:val="both"/>
        <w:rPr>
          <w:rFonts w:ascii="Palatino Linotype" w:eastAsia="Palatino Linotype" w:hAnsi="Palatino Linotype" w:cs="Palatino Linotype"/>
          <w:sz w:val="24"/>
          <w:szCs w:val="24"/>
        </w:rPr>
      </w:pPr>
      <w:bookmarkStart w:id="6" w:name="_heading=h.2et92p0" w:colFirst="0" w:colLast="0"/>
      <w:bookmarkEnd w:id="6"/>
    </w:p>
    <w:p w:rsidR="00BF671E" w:rsidRPr="00AD24C5" w:rsidRDefault="00BF671E" w:rsidP="00BF671E">
      <w:pPr>
        <w:pStyle w:val="Ttulo2"/>
        <w:rPr>
          <w:rFonts w:ascii="Palatino Linotype" w:eastAsia="Palatino Linotype" w:hAnsi="Palatino Linotype" w:cs="Palatino Linotype"/>
          <w:b/>
          <w:i/>
          <w:color w:val="000000"/>
          <w:sz w:val="24"/>
          <w:szCs w:val="24"/>
        </w:rPr>
      </w:pPr>
      <w:r w:rsidRPr="00AD24C5">
        <w:rPr>
          <w:rFonts w:ascii="Palatino Linotype" w:eastAsia="Palatino Linotype" w:hAnsi="Palatino Linotype" w:cs="Palatino Linotype"/>
          <w:b/>
          <w:color w:val="000000"/>
          <w:sz w:val="24"/>
          <w:szCs w:val="24"/>
        </w:rPr>
        <w:t xml:space="preserve">TERCERO. Del planteamiento de la </w:t>
      </w:r>
      <w:r w:rsidRPr="00AD24C5">
        <w:rPr>
          <w:rFonts w:ascii="Palatino Linotype" w:eastAsia="Palatino Linotype" w:hAnsi="Palatino Linotype" w:cs="Palatino Linotype"/>
          <w:b/>
          <w:i/>
          <w:color w:val="000000"/>
          <w:sz w:val="24"/>
          <w:szCs w:val="24"/>
        </w:rPr>
        <w:t>Litis.</w:t>
      </w:r>
    </w:p>
    <w:p w:rsidR="00BF671E" w:rsidRPr="00AD24C5" w:rsidRDefault="00BF671E" w:rsidP="00BF671E">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Se solicitó la información que a continuación se desagrega:</w:t>
      </w:r>
    </w:p>
    <w:p w:rsidR="00B03067" w:rsidRPr="00AD24C5" w:rsidRDefault="00B03067" w:rsidP="00B03067">
      <w:pPr>
        <w:pStyle w:val="Prrafodelista"/>
        <w:spacing w:line="276" w:lineRule="auto"/>
        <w:ind w:right="680"/>
        <w:jc w:val="both"/>
        <w:rPr>
          <w:rFonts w:ascii="Palatino Linotype" w:eastAsia="Palatino Linotype" w:hAnsi="Palatino Linotype" w:cs="Palatino Linotype"/>
          <w:color w:val="000000"/>
          <w:sz w:val="24"/>
        </w:rPr>
      </w:pPr>
      <w:r w:rsidRPr="00AD24C5">
        <w:rPr>
          <w:rFonts w:ascii="Palatino Linotype" w:eastAsia="Palatino Linotype" w:hAnsi="Palatino Linotype" w:cs="Palatino Linotype"/>
          <w:color w:val="000000"/>
          <w:sz w:val="24"/>
        </w:rPr>
        <w:t xml:space="preserve">Solicito se informe el desembolso que representó el pago de la primera quincena de abril de 2025, ya sea por cheque, transferencia o pago en efectivo de los servidores públicos de estructura del Ayuntamiento, </w:t>
      </w:r>
    </w:p>
    <w:p w:rsidR="00B03067" w:rsidRPr="00AD24C5" w:rsidRDefault="00B03067" w:rsidP="00B03067">
      <w:pPr>
        <w:pStyle w:val="Prrafodelista"/>
        <w:spacing w:line="276" w:lineRule="auto"/>
        <w:ind w:right="680"/>
        <w:jc w:val="both"/>
        <w:rPr>
          <w:rFonts w:ascii="Palatino Linotype" w:eastAsia="Palatino Linotype" w:hAnsi="Palatino Linotype" w:cs="Palatino Linotype"/>
          <w:color w:val="000000"/>
          <w:sz w:val="24"/>
        </w:rPr>
      </w:pPr>
    </w:p>
    <w:p w:rsidR="00B03067" w:rsidRPr="00AD24C5" w:rsidRDefault="00B03067" w:rsidP="00B03067">
      <w:pPr>
        <w:pStyle w:val="Prrafodelista"/>
        <w:spacing w:line="276" w:lineRule="auto"/>
        <w:ind w:right="680"/>
        <w:jc w:val="both"/>
        <w:rPr>
          <w:rFonts w:ascii="Palatino Linotype" w:eastAsia="Palatino Linotype" w:hAnsi="Palatino Linotype" w:cs="Palatino Linotype"/>
          <w:color w:val="000000"/>
          <w:sz w:val="24"/>
        </w:rPr>
      </w:pPr>
      <w:r w:rsidRPr="00AD24C5">
        <w:rPr>
          <w:rFonts w:ascii="Palatino Linotype" w:eastAsia="Palatino Linotype" w:hAnsi="Palatino Linotype" w:cs="Palatino Linotype"/>
          <w:color w:val="000000"/>
          <w:sz w:val="24"/>
        </w:rPr>
        <w:t xml:space="preserve">Solicito la póliza de cheque y el movimiento reflejado en la cuenta de cobro correspondiente a cada uno de los cheques emitidos y/o cobrados, así como </w:t>
      </w:r>
    </w:p>
    <w:p w:rsidR="00B03067" w:rsidRPr="00AD24C5" w:rsidRDefault="00B03067" w:rsidP="00B03067">
      <w:pPr>
        <w:pStyle w:val="Prrafodelista"/>
        <w:spacing w:line="276" w:lineRule="auto"/>
        <w:ind w:right="680"/>
        <w:jc w:val="both"/>
        <w:rPr>
          <w:rFonts w:ascii="Palatino Linotype" w:eastAsia="Palatino Linotype" w:hAnsi="Palatino Linotype" w:cs="Palatino Linotype"/>
          <w:color w:val="000000"/>
          <w:sz w:val="24"/>
        </w:rPr>
      </w:pPr>
    </w:p>
    <w:p w:rsidR="00BF671E" w:rsidRPr="00AD24C5" w:rsidRDefault="00B03067" w:rsidP="00B03067">
      <w:pPr>
        <w:pStyle w:val="Prrafodelista"/>
        <w:spacing w:line="276" w:lineRule="auto"/>
        <w:ind w:right="680"/>
        <w:jc w:val="both"/>
        <w:rPr>
          <w:rFonts w:ascii="Palatino Linotype" w:eastAsia="Palatino Linotype" w:hAnsi="Palatino Linotype" w:cs="Palatino Linotype"/>
          <w:color w:val="000000"/>
          <w:sz w:val="24"/>
        </w:rPr>
      </w:pPr>
      <w:r w:rsidRPr="00AD24C5">
        <w:rPr>
          <w:rFonts w:ascii="Palatino Linotype" w:eastAsia="Palatino Linotype" w:hAnsi="Palatino Linotype" w:cs="Palatino Linotype"/>
          <w:color w:val="000000"/>
          <w:sz w:val="24"/>
        </w:rPr>
        <w:t xml:space="preserve">Se brinde información sobre que se realiza con el recurso económico de los cheques que no son cobrados, </w:t>
      </w:r>
    </w:p>
    <w:p w:rsidR="00B03067" w:rsidRPr="00AD24C5" w:rsidRDefault="00B03067" w:rsidP="00B03067">
      <w:pPr>
        <w:pStyle w:val="Prrafodelista"/>
        <w:spacing w:line="276" w:lineRule="auto"/>
        <w:ind w:right="680"/>
        <w:jc w:val="both"/>
        <w:rPr>
          <w:rFonts w:ascii="Palatino Linotype" w:eastAsia="Palatino Linotype" w:hAnsi="Palatino Linotype" w:cs="Palatino Linotype"/>
          <w:color w:val="000000"/>
          <w:sz w:val="24"/>
        </w:rPr>
      </w:pPr>
    </w:p>
    <w:p w:rsidR="00B03067" w:rsidRPr="00AD24C5" w:rsidRDefault="00B03067" w:rsidP="00B03067">
      <w:pPr>
        <w:pStyle w:val="Prrafodelista"/>
        <w:spacing w:line="276" w:lineRule="auto"/>
        <w:ind w:right="680"/>
        <w:jc w:val="both"/>
        <w:rPr>
          <w:rFonts w:ascii="Palatino Linotype" w:eastAsia="Palatino Linotype" w:hAnsi="Palatino Linotype" w:cs="Palatino Linotype"/>
          <w:sz w:val="24"/>
        </w:rPr>
      </w:pPr>
    </w:p>
    <w:p w:rsidR="00BF671E" w:rsidRPr="00AD24C5" w:rsidRDefault="00BF671E" w:rsidP="00BF671E">
      <w:pPr>
        <w:numPr>
          <w:ilvl w:val="0"/>
          <w:numId w:val="2"/>
        </w:numPr>
        <w:spacing w:line="360" w:lineRule="auto"/>
        <w:ind w:left="0" w:right="49" w:firstLine="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sz w:val="24"/>
          <w:szCs w:val="24"/>
        </w:rPr>
        <w:t xml:space="preserve">El </w:t>
      </w:r>
      <w:r w:rsidRPr="00AD24C5">
        <w:rPr>
          <w:rFonts w:ascii="Palatino Linotype" w:eastAsia="Palatino Linotype" w:hAnsi="Palatino Linotype" w:cs="Palatino Linotype"/>
          <w:b/>
          <w:sz w:val="24"/>
          <w:szCs w:val="24"/>
        </w:rPr>
        <w:t xml:space="preserve">SUJETO OBLIGADO, </w:t>
      </w:r>
      <w:r w:rsidRPr="00AD24C5">
        <w:rPr>
          <w:rFonts w:ascii="Palatino Linotype" w:eastAsia="Palatino Linotype" w:hAnsi="Palatino Linotype" w:cs="Palatino Linotype"/>
          <w:sz w:val="24"/>
          <w:szCs w:val="24"/>
        </w:rPr>
        <w:t xml:space="preserve">dio respuesta como quedo referido en el numeral 2 de la presente resolución. </w:t>
      </w:r>
    </w:p>
    <w:p w:rsidR="00BF671E" w:rsidRPr="00AD24C5" w:rsidRDefault="00BF671E" w:rsidP="00BF671E">
      <w:pPr>
        <w:spacing w:line="360" w:lineRule="auto"/>
        <w:ind w:right="49"/>
        <w:jc w:val="both"/>
        <w:rPr>
          <w:rFonts w:ascii="Palatino Linotype" w:eastAsia="Palatino Linotype" w:hAnsi="Palatino Linotype" w:cs="Palatino Linotype"/>
          <w:sz w:val="24"/>
          <w:szCs w:val="24"/>
        </w:rPr>
      </w:pPr>
    </w:p>
    <w:p w:rsidR="00BF671E" w:rsidRPr="00AD24C5" w:rsidRDefault="00BF671E" w:rsidP="00BF671E">
      <w:pPr>
        <w:numPr>
          <w:ilvl w:val="0"/>
          <w:numId w:val="2"/>
        </w:numPr>
        <w:spacing w:line="360" w:lineRule="auto"/>
        <w:ind w:left="0" w:right="49" w:firstLine="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sz w:val="24"/>
          <w:szCs w:val="24"/>
        </w:rPr>
        <w:t xml:space="preserve">Inconforme con lo anterior, el ahora </w:t>
      </w:r>
      <w:r w:rsidRPr="00AD24C5">
        <w:rPr>
          <w:rFonts w:ascii="Palatino Linotype" w:eastAsia="Palatino Linotype" w:hAnsi="Palatino Linotype" w:cs="Palatino Linotype"/>
          <w:b/>
          <w:sz w:val="24"/>
          <w:szCs w:val="24"/>
        </w:rPr>
        <w:t xml:space="preserve">RECURRENTE </w:t>
      </w:r>
      <w:r w:rsidRPr="00AD24C5">
        <w:rPr>
          <w:rFonts w:ascii="Palatino Linotype" w:eastAsia="Palatino Linotype" w:hAnsi="Palatino Linotype" w:cs="Palatino Linotype"/>
          <w:sz w:val="24"/>
          <w:szCs w:val="24"/>
        </w:rPr>
        <w:t xml:space="preserve">interpuso Recurso de Revisión arguyendo medularmente la negativa de la entrega de la información </w:t>
      </w:r>
    </w:p>
    <w:p w:rsidR="00BF671E" w:rsidRPr="00AD24C5" w:rsidRDefault="00BF671E" w:rsidP="00BF671E">
      <w:pPr>
        <w:spacing w:line="360" w:lineRule="auto"/>
        <w:ind w:right="49"/>
        <w:jc w:val="both"/>
        <w:rPr>
          <w:rFonts w:ascii="Palatino Linotype" w:eastAsia="Palatino Linotype" w:hAnsi="Palatino Linotype" w:cs="Palatino Linotype"/>
          <w:i/>
          <w:sz w:val="24"/>
          <w:szCs w:val="24"/>
        </w:rPr>
      </w:pPr>
    </w:p>
    <w:p w:rsidR="00BF671E" w:rsidRPr="00AD24C5" w:rsidRDefault="00BF671E" w:rsidP="00BF671E">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lastRenderedPageBreak/>
        <w:t xml:space="preserve">En dichas condiciones, la </w:t>
      </w:r>
      <w:r w:rsidRPr="00AD24C5">
        <w:rPr>
          <w:rFonts w:ascii="Palatino Linotype" w:eastAsia="Palatino Linotype" w:hAnsi="Palatino Linotype" w:cs="Palatino Linotype"/>
          <w:i/>
          <w:sz w:val="24"/>
          <w:szCs w:val="24"/>
        </w:rPr>
        <w:t>Litis</w:t>
      </w:r>
      <w:r w:rsidRPr="00AD24C5">
        <w:rPr>
          <w:rFonts w:ascii="Palatino Linotype" w:eastAsia="Palatino Linotype" w:hAnsi="Palatino Linotype" w:cs="Palatino Linotype"/>
          <w:sz w:val="24"/>
          <w:szCs w:val="24"/>
        </w:rPr>
        <w:t xml:space="preserve"> a resolver en este recurso se circunscribe a determinar si se actualiza la causal de procedencia prevista en el artículo 179, fracción</w:t>
      </w:r>
      <w:r w:rsidRPr="00AD24C5">
        <w:rPr>
          <w:rFonts w:ascii="Palatino Linotype" w:eastAsia="Palatino Linotype" w:hAnsi="Palatino Linotype" w:cs="Palatino Linotype"/>
          <w:b/>
          <w:sz w:val="24"/>
          <w:szCs w:val="24"/>
        </w:rPr>
        <w:t xml:space="preserve"> I </w:t>
      </w:r>
      <w:r w:rsidRPr="00AD24C5">
        <w:rPr>
          <w:rFonts w:ascii="Palatino Linotype" w:eastAsia="Palatino Linotype" w:hAnsi="Palatino Linotype" w:cs="Palatino Linotype"/>
          <w:sz w:val="24"/>
          <w:szCs w:val="24"/>
        </w:rPr>
        <w:t xml:space="preserve">de la </w:t>
      </w:r>
      <w:r w:rsidRPr="00AD24C5">
        <w:rPr>
          <w:rFonts w:ascii="Palatino Linotype" w:eastAsia="Palatino Linotype" w:hAnsi="Palatino Linotype" w:cs="Palatino Linotype"/>
          <w:b/>
          <w:sz w:val="24"/>
          <w:szCs w:val="24"/>
        </w:rPr>
        <w:t>Ley de Transparencia y Acceso a la Información Pública del Estado de México y Municipios</w:t>
      </w:r>
      <w:r w:rsidRPr="00AD24C5">
        <w:rPr>
          <w:rFonts w:ascii="Palatino Linotype" w:eastAsia="Palatino Linotype" w:hAnsi="Palatino Linotype" w:cs="Palatino Linotype"/>
          <w:sz w:val="24"/>
          <w:szCs w:val="24"/>
        </w:rPr>
        <w:t xml:space="preserve">; </w:t>
      </w:r>
      <w:r w:rsidRPr="00AD24C5">
        <w:rPr>
          <w:rFonts w:ascii="Palatino Linotype" w:eastAsia="Palatino Linotype" w:hAnsi="Palatino Linotype" w:cs="Palatino Linotype"/>
          <w:color w:val="000000"/>
          <w:sz w:val="24"/>
          <w:szCs w:val="24"/>
        </w:rPr>
        <w:t xml:space="preserve">fracción que determina las hipótesis jurídica relativa la negativa a la información solicitada; </w:t>
      </w:r>
      <w:r w:rsidRPr="00AD24C5">
        <w:rPr>
          <w:rFonts w:ascii="Palatino Linotype" w:eastAsia="Palatino Linotype" w:hAnsi="Palatino Linotype" w:cs="Palatino Linotype"/>
          <w:sz w:val="24"/>
          <w:szCs w:val="24"/>
        </w:rPr>
        <w:t xml:space="preserve">contexto del cual se dolió </w:t>
      </w:r>
      <w:r w:rsidRPr="00AD24C5">
        <w:rPr>
          <w:rFonts w:ascii="Palatino Linotype" w:eastAsia="Palatino Linotype" w:hAnsi="Palatino Linotype" w:cs="Palatino Linotype"/>
          <w:b/>
          <w:sz w:val="24"/>
          <w:szCs w:val="24"/>
        </w:rPr>
        <w:t xml:space="preserve">EL RECURRENTE </w:t>
      </w:r>
      <w:r w:rsidRPr="00AD24C5">
        <w:rPr>
          <w:rFonts w:ascii="Palatino Linotype" w:eastAsia="Palatino Linotype" w:hAnsi="Palatino Linotype" w:cs="Palatino Linotype"/>
          <w:sz w:val="24"/>
          <w:szCs w:val="24"/>
        </w:rPr>
        <w:t>al momento de interponer su inconformidad.</w:t>
      </w:r>
    </w:p>
    <w:p w:rsidR="00BF671E" w:rsidRPr="00AD24C5" w:rsidRDefault="00BF671E" w:rsidP="00BF671E">
      <w:pPr>
        <w:spacing w:line="360" w:lineRule="auto"/>
        <w:ind w:right="49"/>
        <w:jc w:val="both"/>
        <w:rPr>
          <w:rFonts w:ascii="Palatino Linotype" w:eastAsia="Palatino Linotype" w:hAnsi="Palatino Linotype" w:cs="Palatino Linotype"/>
          <w:sz w:val="24"/>
          <w:szCs w:val="24"/>
        </w:rPr>
      </w:pPr>
    </w:p>
    <w:p w:rsidR="00BF671E" w:rsidRPr="00AD24C5" w:rsidRDefault="00BF671E" w:rsidP="00BF671E">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color w:val="000000"/>
          <w:sz w:val="24"/>
          <w:szCs w:val="24"/>
        </w:rPr>
        <w:t xml:space="preserve"> De modo tal que, el presente recurso de revisión se abocara en determinar si el </w:t>
      </w:r>
      <w:r w:rsidRPr="00AD24C5">
        <w:rPr>
          <w:rFonts w:ascii="Palatino Linotype" w:eastAsia="Palatino Linotype" w:hAnsi="Palatino Linotype" w:cs="Palatino Linotype"/>
          <w:b/>
          <w:color w:val="000000"/>
          <w:sz w:val="24"/>
          <w:szCs w:val="24"/>
        </w:rPr>
        <w:t>SUJETO</w:t>
      </w:r>
      <w:r w:rsidRPr="00AD24C5">
        <w:rPr>
          <w:rFonts w:ascii="Palatino Linotype" w:eastAsia="Palatino Linotype" w:hAnsi="Palatino Linotype" w:cs="Palatino Linotype"/>
          <w:color w:val="000000"/>
          <w:sz w:val="24"/>
          <w:szCs w:val="24"/>
        </w:rPr>
        <w:t xml:space="preserve"> </w:t>
      </w:r>
      <w:r w:rsidRPr="00AD24C5">
        <w:rPr>
          <w:rFonts w:ascii="Palatino Linotype" w:eastAsia="Palatino Linotype" w:hAnsi="Palatino Linotype" w:cs="Palatino Linotype"/>
          <w:b/>
          <w:color w:val="000000"/>
          <w:sz w:val="24"/>
          <w:szCs w:val="24"/>
        </w:rPr>
        <w:t>OBLIGADO</w:t>
      </w:r>
      <w:r w:rsidRPr="00AD24C5">
        <w:rPr>
          <w:rFonts w:ascii="Palatino Linotype" w:eastAsia="Palatino Linotype" w:hAnsi="Palatino Linotype" w:cs="Palatino Linotype"/>
          <w:color w:val="000000"/>
          <w:sz w:val="24"/>
          <w:szCs w:val="24"/>
        </w:rPr>
        <w:t xml:space="preserve"> con su respuesta ciertamente actualiza la causal de procedencia</w:t>
      </w:r>
      <w:r w:rsidRPr="00AD24C5">
        <w:rPr>
          <w:rFonts w:ascii="Palatino Linotype" w:eastAsia="Palatino Linotype" w:hAnsi="Palatino Linotype" w:cs="Palatino Linotype"/>
          <w:b/>
          <w:color w:val="000000"/>
          <w:sz w:val="24"/>
          <w:szCs w:val="24"/>
        </w:rPr>
        <w:t xml:space="preserve"> </w:t>
      </w:r>
      <w:r w:rsidRPr="00AD24C5">
        <w:rPr>
          <w:rFonts w:ascii="Palatino Linotype" w:eastAsia="Palatino Linotype" w:hAnsi="Palatino Linotype" w:cs="Palatino Linotype"/>
          <w:color w:val="000000"/>
          <w:sz w:val="24"/>
          <w:szCs w:val="24"/>
        </w:rPr>
        <w:t>antes señalada. Así como comprobar si la respuesta emitida resulta congruente e integral en términos del artículo 11 de la ley de la materia.</w:t>
      </w:r>
    </w:p>
    <w:p w:rsidR="00BF671E" w:rsidRPr="00AD24C5" w:rsidRDefault="00BF671E" w:rsidP="00BF671E">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BF671E" w:rsidRPr="00AD24C5" w:rsidRDefault="00BF671E" w:rsidP="00BF671E">
      <w:pPr>
        <w:pStyle w:val="Ttulo2"/>
        <w:rPr>
          <w:rFonts w:ascii="Palatino Linotype" w:eastAsia="Palatino Linotype" w:hAnsi="Palatino Linotype" w:cs="Palatino Linotype"/>
          <w:b/>
          <w:color w:val="000000"/>
          <w:sz w:val="24"/>
          <w:szCs w:val="24"/>
        </w:rPr>
      </w:pPr>
      <w:bookmarkStart w:id="7" w:name="_heading=h.3dy6vkm" w:colFirst="0" w:colLast="0"/>
      <w:bookmarkEnd w:id="7"/>
      <w:r w:rsidRPr="00AD24C5">
        <w:rPr>
          <w:rFonts w:ascii="Palatino Linotype" w:eastAsia="Palatino Linotype" w:hAnsi="Palatino Linotype" w:cs="Palatino Linotype"/>
          <w:b/>
          <w:color w:val="000000"/>
          <w:sz w:val="24"/>
          <w:szCs w:val="24"/>
        </w:rPr>
        <w:t>CUARTO. Del estudio y resolución del asunto.</w:t>
      </w:r>
    </w:p>
    <w:p w:rsidR="00BF671E" w:rsidRPr="00AD24C5" w:rsidRDefault="00BF671E" w:rsidP="00BF671E">
      <w:pPr>
        <w:numPr>
          <w:ilvl w:val="0"/>
          <w:numId w:val="2"/>
        </w:numPr>
        <w:spacing w:line="360" w:lineRule="auto"/>
        <w:ind w:left="0" w:right="49" w:firstLine="0"/>
        <w:jc w:val="both"/>
        <w:rPr>
          <w:rFonts w:ascii="Palatino Linotype" w:eastAsia="Palatino Linotype" w:hAnsi="Palatino Linotype" w:cs="Palatino Linotype"/>
          <w:sz w:val="24"/>
          <w:szCs w:val="24"/>
        </w:rPr>
      </w:pPr>
      <w:bookmarkStart w:id="8" w:name="_Toc34911390"/>
      <w:bookmarkEnd w:id="0"/>
      <w:r w:rsidRPr="00AD24C5">
        <w:rPr>
          <w:rFonts w:ascii="Palatino Linotype" w:hAnsi="Palatino Linotype"/>
          <w:bCs/>
          <w:sz w:val="24"/>
          <w:szCs w:val="24"/>
        </w:rPr>
        <w:t xml:space="preserve">Dicho lo anterior, este Órgano Resolutor se avocara a realizar el estudio en conjunto de todas las constancias que obran en el SAIMEX, con la finalidad de poder determinar si los motivos de inconformidad hechos valer por el ahora </w:t>
      </w:r>
      <w:r w:rsidRPr="00AD24C5">
        <w:rPr>
          <w:rFonts w:ascii="Palatino Linotype" w:hAnsi="Palatino Linotype"/>
          <w:b/>
          <w:bCs/>
          <w:sz w:val="24"/>
          <w:szCs w:val="24"/>
        </w:rPr>
        <w:t xml:space="preserve">RECURRENTE, </w:t>
      </w:r>
      <w:r w:rsidRPr="00AD24C5">
        <w:rPr>
          <w:rFonts w:ascii="Palatino Linotype" w:hAnsi="Palatino Linotype"/>
          <w:bCs/>
          <w:sz w:val="24"/>
          <w:szCs w:val="24"/>
        </w:rPr>
        <w:t>resultan fundados.</w:t>
      </w:r>
    </w:p>
    <w:p w:rsidR="00BF671E" w:rsidRPr="00AD24C5" w:rsidRDefault="00BF671E" w:rsidP="00BF671E">
      <w:pPr>
        <w:spacing w:line="360" w:lineRule="auto"/>
        <w:ind w:right="49"/>
        <w:jc w:val="both"/>
        <w:rPr>
          <w:rFonts w:ascii="Palatino Linotype" w:eastAsia="Palatino Linotype" w:hAnsi="Palatino Linotype" w:cs="Palatino Linotype"/>
          <w:sz w:val="24"/>
          <w:szCs w:val="24"/>
        </w:rPr>
      </w:pPr>
    </w:p>
    <w:p w:rsidR="00BF671E" w:rsidRPr="00AD24C5" w:rsidRDefault="00BF671E" w:rsidP="00B03067">
      <w:pPr>
        <w:numPr>
          <w:ilvl w:val="0"/>
          <w:numId w:val="2"/>
        </w:numPr>
        <w:spacing w:line="360" w:lineRule="auto"/>
        <w:ind w:left="0" w:right="49" w:firstLine="0"/>
        <w:jc w:val="both"/>
        <w:rPr>
          <w:rFonts w:ascii="Palatino Linotype" w:hAnsi="Palatino Linotype" w:cs="Arial"/>
          <w:sz w:val="24"/>
          <w:szCs w:val="24"/>
        </w:rPr>
      </w:pPr>
      <w:r w:rsidRPr="00AD24C5">
        <w:rPr>
          <w:rFonts w:ascii="Palatino Linotype" w:hAnsi="Palatino Linotype"/>
          <w:bCs/>
          <w:sz w:val="24"/>
          <w:szCs w:val="24"/>
        </w:rPr>
        <w:t xml:space="preserve">Ahora bien, por lo que hace a la fuente obligacional, </w:t>
      </w:r>
      <w:r w:rsidR="004C1780" w:rsidRPr="00AD24C5">
        <w:rPr>
          <w:rFonts w:ascii="Palatino Linotype" w:hAnsi="Palatino Linotype"/>
          <w:bCs/>
          <w:sz w:val="24"/>
          <w:szCs w:val="24"/>
        </w:rPr>
        <w:t>el Bando Municipal de Toluca refiere lo siguiente:</w:t>
      </w:r>
    </w:p>
    <w:p w:rsidR="004C1780" w:rsidRPr="00AD24C5" w:rsidRDefault="004C1780" w:rsidP="004C1780">
      <w:pPr>
        <w:spacing w:line="360" w:lineRule="auto"/>
        <w:ind w:right="49"/>
        <w:jc w:val="center"/>
        <w:rPr>
          <w:rFonts w:ascii="Palatino Linotype" w:hAnsi="Palatino Linotype"/>
          <w:b/>
          <w:bCs/>
          <w:sz w:val="24"/>
          <w:szCs w:val="24"/>
        </w:rPr>
      </w:pPr>
      <w:r w:rsidRPr="00AD24C5">
        <w:rPr>
          <w:rFonts w:ascii="Palatino Linotype" w:hAnsi="Palatino Linotype"/>
          <w:b/>
          <w:bCs/>
          <w:sz w:val="24"/>
          <w:szCs w:val="24"/>
        </w:rPr>
        <w:t>BANDO MUNICIPAL</w:t>
      </w:r>
    </w:p>
    <w:p w:rsidR="004C1780" w:rsidRPr="00AD24C5" w:rsidRDefault="004C1780" w:rsidP="004C1780">
      <w:pPr>
        <w:spacing w:line="360" w:lineRule="auto"/>
        <w:ind w:right="49"/>
        <w:jc w:val="center"/>
        <w:rPr>
          <w:rFonts w:ascii="Palatino Linotype" w:hAnsi="Palatino Linotype"/>
          <w:b/>
          <w:bCs/>
          <w:sz w:val="24"/>
          <w:szCs w:val="24"/>
        </w:rPr>
      </w:pPr>
    </w:p>
    <w:p w:rsidR="004C1780" w:rsidRPr="00AD24C5" w:rsidRDefault="004C1780" w:rsidP="004C1780">
      <w:pPr>
        <w:ind w:left="426" w:right="397"/>
        <w:jc w:val="center"/>
        <w:rPr>
          <w:rFonts w:ascii="Palatino Linotype" w:hAnsi="Palatino Linotype"/>
          <w:b/>
          <w:bCs/>
          <w:i/>
          <w:sz w:val="24"/>
          <w:szCs w:val="24"/>
        </w:rPr>
      </w:pPr>
      <w:r w:rsidRPr="00AD24C5">
        <w:rPr>
          <w:rFonts w:ascii="Palatino Linotype" w:hAnsi="Palatino Linotype"/>
          <w:b/>
          <w:bCs/>
          <w:i/>
          <w:sz w:val="24"/>
          <w:szCs w:val="24"/>
        </w:rPr>
        <w:t>TÍTULO SÉPTIMO: DE LA ADMINISTRACIÓN PÚBLICA MUNICIPAL CAPÍTULO PRIMERO: DEL GOBIERNO Y SU ORGANIZACIÓN</w:t>
      </w: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
          <w:bCs/>
          <w:i/>
          <w:sz w:val="24"/>
          <w:szCs w:val="24"/>
        </w:rPr>
        <w:lastRenderedPageBreak/>
        <w:t>Artículo 89</w:t>
      </w:r>
      <w:r w:rsidRPr="00AD24C5">
        <w:rPr>
          <w:rFonts w:ascii="Palatino Linotype" w:hAnsi="Palatino Linotype"/>
          <w:bCs/>
          <w:i/>
          <w:sz w:val="24"/>
          <w:szCs w:val="24"/>
        </w:rPr>
        <w:t>. El ejercicio del gobierno municipal se deposita en un cuerpo colegiado denominado Ayuntamiento. La ejecución de las atribuciones corresponde al Presidente Municipal, quien dirige la Administración Pública Municipal. Las competencias se ejercerán conforme al marco legal aplicable. La Administración Pública Municipal será centralizada, descentralizada y autónoma.</w:t>
      </w:r>
    </w:p>
    <w:p w:rsidR="004C1780" w:rsidRPr="00AD24C5" w:rsidRDefault="004C1780" w:rsidP="004C1780">
      <w:pPr>
        <w:ind w:left="426" w:right="397"/>
        <w:jc w:val="both"/>
        <w:rPr>
          <w:rFonts w:ascii="Palatino Linotype" w:hAnsi="Palatino Linotype"/>
          <w:bCs/>
          <w:i/>
          <w:sz w:val="24"/>
          <w:szCs w:val="24"/>
        </w:rPr>
      </w:pP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
          <w:bCs/>
          <w:i/>
          <w:sz w:val="24"/>
          <w:szCs w:val="24"/>
        </w:rPr>
        <w:t xml:space="preserve"> Artículo 90</w:t>
      </w:r>
      <w:r w:rsidRPr="00AD24C5">
        <w:rPr>
          <w:rFonts w:ascii="Palatino Linotype" w:hAnsi="Palatino Linotype"/>
          <w:bCs/>
          <w:i/>
          <w:sz w:val="24"/>
          <w:szCs w:val="24"/>
        </w:rPr>
        <w:t>. 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rsidR="004C1780" w:rsidRPr="00AD24C5" w:rsidRDefault="004C1780" w:rsidP="004C1780">
      <w:pPr>
        <w:ind w:left="426" w:right="397"/>
        <w:jc w:val="both"/>
        <w:rPr>
          <w:rFonts w:ascii="Palatino Linotype" w:hAnsi="Palatino Linotype"/>
          <w:bCs/>
          <w:i/>
          <w:sz w:val="24"/>
          <w:szCs w:val="24"/>
        </w:rPr>
      </w:pP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
          <w:bCs/>
          <w:i/>
          <w:sz w:val="24"/>
          <w:szCs w:val="24"/>
        </w:rPr>
        <w:t xml:space="preserve"> I. DEPENDENCIAS</w:t>
      </w:r>
      <w:r w:rsidRPr="00AD24C5">
        <w:rPr>
          <w:rFonts w:ascii="Palatino Linotype" w:hAnsi="Palatino Linotype"/>
          <w:bCs/>
          <w:i/>
          <w:sz w:val="24"/>
          <w:szCs w:val="24"/>
        </w:rPr>
        <w:t>:</w:t>
      </w:r>
    </w:p>
    <w:p w:rsidR="004C1780" w:rsidRPr="00AD24C5" w:rsidRDefault="004C1780" w:rsidP="004C1780">
      <w:pPr>
        <w:ind w:left="426" w:right="397"/>
        <w:jc w:val="both"/>
        <w:rPr>
          <w:rFonts w:ascii="Palatino Linotype" w:hAnsi="Palatino Linotype"/>
          <w:b/>
          <w:bCs/>
          <w:i/>
          <w:sz w:val="24"/>
          <w:szCs w:val="24"/>
        </w:rPr>
      </w:pPr>
      <w:r w:rsidRPr="00AD24C5">
        <w:rPr>
          <w:rFonts w:ascii="Palatino Linotype" w:hAnsi="Palatino Linotype"/>
          <w:b/>
          <w:bCs/>
          <w:i/>
          <w:sz w:val="24"/>
          <w:szCs w:val="24"/>
        </w:rPr>
        <w:t xml:space="preserve"> 1.Secretaría del Ayuntamiento; </w:t>
      </w: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Cs/>
          <w:i/>
          <w:sz w:val="24"/>
          <w:szCs w:val="24"/>
        </w:rPr>
        <w:t>2.Tesorería Municipal;</w:t>
      </w: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Cs/>
          <w:i/>
          <w:sz w:val="24"/>
          <w:szCs w:val="24"/>
        </w:rPr>
        <w:t xml:space="preserve"> 3.Órgano Interno de Control; </w:t>
      </w: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Cs/>
          <w:i/>
          <w:sz w:val="24"/>
          <w:szCs w:val="24"/>
        </w:rPr>
        <w:t xml:space="preserve">4.Dirección General de Gobierno; </w:t>
      </w: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Cs/>
          <w:i/>
          <w:sz w:val="24"/>
          <w:szCs w:val="24"/>
        </w:rPr>
        <w:t xml:space="preserve">5.Dirección General de Seguridad y Protección; </w:t>
      </w: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Cs/>
          <w:i/>
          <w:sz w:val="24"/>
          <w:szCs w:val="24"/>
        </w:rPr>
        <w:t xml:space="preserve">6.Dirección General de Administración; </w:t>
      </w: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Cs/>
          <w:i/>
          <w:sz w:val="24"/>
          <w:szCs w:val="24"/>
        </w:rPr>
        <w:t>7.Dirección General de Medio Ambiente;</w:t>
      </w: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Cs/>
          <w:i/>
          <w:sz w:val="24"/>
          <w:szCs w:val="24"/>
        </w:rPr>
        <w:t xml:space="preserve"> 8.Dirección General de Servicios Públicos;</w:t>
      </w: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Cs/>
          <w:i/>
          <w:sz w:val="24"/>
          <w:szCs w:val="24"/>
        </w:rPr>
        <w:t xml:space="preserve"> 9.Dirección General de Innovación, Planeación y Gestión Urbana;</w:t>
      </w: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Cs/>
          <w:i/>
          <w:sz w:val="24"/>
          <w:szCs w:val="24"/>
        </w:rPr>
        <w:t xml:space="preserve"> 10.Dirección General de Obras Públicas; </w:t>
      </w: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Cs/>
          <w:i/>
          <w:sz w:val="24"/>
          <w:szCs w:val="24"/>
        </w:rPr>
        <w:t xml:space="preserve">11.Dirección General de Desarrollo Económico; </w:t>
      </w: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Cs/>
          <w:i/>
          <w:sz w:val="24"/>
          <w:szCs w:val="24"/>
        </w:rPr>
        <w:t xml:space="preserve">12.Dirección General de Bienestar; y </w:t>
      </w: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Cs/>
          <w:i/>
          <w:sz w:val="24"/>
          <w:szCs w:val="24"/>
        </w:rPr>
        <w:t>13.Dirección General de Educación, Cultura y Turismo.</w:t>
      </w:r>
    </w:p>
    <w:p w:rsidR="004C1780" w:rsidRPr="00AD24C5" w:rsidRDefault="004C1780" w:rsidP="004C1780">
      <w:pPr>
        <w:ind w:left="426" w:right="397"/>
        <w:jc w:val="both"/>
        <w:rPr>
          <w:rFonts w:ascii="Palatino Linotype" w:hAnsi="Palatino Linotype"/>
          <w:bCs/>
          <w:i/>
          <w:sz w:val="24"/>
          <w:szCs w:val="24"/>
        </w:rPr>
      </w:pP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
          <w:bCs/>
          <w:i/>
          <w:sz w:val="24"/>
          <w:szCs w:val="24"/>
        </w:rPr>
        <w:t>Artículo 92.</w:t>
      </w:r>
      <w:r w:rsidRPr="00AD24C5">
        <w:rPr>
          <w:rFonts w:ascii="Palatino Linotype" w:hAnsi="Palatino Linotype"/>
          <w:bCs/>
          <w:i/>
          <w:sz w:val="24"/>
          <w:szCs w:val="24"/>
        </w:rPr>
        <w:t xml:space="preserve"> La administración pública municipal será centralizada, descentralizada y autónoma. Para el ejercicio del poder público municipal, las personas titulares de las Direcciones Generales, los Organismos Descentralizados y el Órgano Autónomo tendrán las atribuciones y facultades que le otorguen las disposiciones legales aplicables a su campo de actuación y las que este Bando y el Código Reglamentario les confiera.</w:t>
      </w:r>
    </w:p>
    <w:p w:rsidR="004C1780" w:rsidRPr="00AD24C5" w:rsidRDefault="004C1780" w:rsidP="004C1780">
      <w:pPr>
        <w:ind w:left="426" w:right="397"/>
        <w:jc w:val="both"/>
        <w:rPr>
          <w:rFonts w:ascii="Palatino Linotype" w:hAnsi="Palatino Linotype"/>
          <w:bCs/>
          <w:i/>
          <w:sz w:val="24"/>
          <w:szCs w:val="24"/>
        </w:rPr>
      </w:pP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Cs/>
          <w:i/>
          <w:sz w:val="24"/>
          <w:szCs w:val="24"/>
        </w:rPr>
        <w:t>…</w:t>
      </w: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Cs/>
          <w:i/>
          <w:sz w:val="24"/>
          <w:szCs w:val="24"/>
        </w:rPr>
        <w:lastRenderedPageBreak/>
        <w:t>II. La persona titular de la</w:t>
      </w:r>
      <w:r w:rsidRPr="00AD24C5">
        <w:rPr>
          <w:rFonts w:ascii="Palatino Linotype" w:hAnsi="Palatino Linotype"/>
          <w:b/>
          <w:bCs/>
          <w:i/>
          <w:sz w:val="24"/>
          <w:szCs w:val="24"/>
        </w:rPr>
        <w:t xml:space="preserve"> Tesorería Municipal </w:t>
      </w:r>
      <w:r w:rsidRPr="00AD24C5">
        <w:rPr>
          <w:rFonts w:ascii="Palatino Linotype" w:hAnsi="Palatino Linotype"/>
          <w:bCs/>
          <w:i/>
          <w:sz w:val="24"/>
          <w:szCs w:val="24"/>
        </w:rPr>
        <w:t>es responsable de la administración y control de los recursos financieros del municipio, asegurando el cumplimiento de las disposiciones fiscales y presupuestales. Sus funciones incluyen la recaudación, fiscalización y administración de ingresos municipales, así como la elaboración y supervisión de los informes financieros y la cuenta pública. Además, coordina la aplicación de políticas de racionalidad y austeridad presupuestal, otorga suficiencia presupuestaria a las dependencias municipales, y gestiona la nómina del personal, garantizando su pago oportuno</w:t>
      </w:r>
    </w:p>
    <w:p w:rsidR="004C1780" w:rsidRPr="00AD24C5" w:rsidRDefault="004C1780" w:rsidP="004C1780">
      <w:pPr>
        <w:ind w:right="397"/>
        <w:jc w:val="both"/>
        <w:rPr>
          <w:rFonts w:ascii="Palatino Linotype" w:hAnsi="Palatino Linotype"/>
          <w:bCs/>
          <w:i/>
          <w:sz w:val="24"/>
          <w:szCs w:val="24"/>
        </w:rPr>
      </w:pPr>
    </w:p>
    <w:p w:rsidR="004C1780" w:rsidRPr="00AD24C5" w:rsidRDefault="004C1780" w:rsidP="004C1780">
      <w:pPr>
        <w:ind w:left="426" w:right="397"/>
        <w:jc w:val="both"/>
        <w:rPr>
          <w:rFonts w:ascii="Palatino Linotype" w:hAnsi="Palatino Linotype"/>
          <w:bCs/>
          <w:i/>
          <w:sz w:val="24"/>
          <w:szCs w:val="24"/>
        </w:rPr>
      </w:pPr>
      <w:r w:rsidRPr="00AD24C5">
        <w:rPr>
          <w:rFonts w:ascii="Palatino Linotype" w:hAnsi="Palatino Linotype"/>
          <w:bCs/>
          <w:i/>
          <w:sz w:val="24"/>
          <w:szCs w:val="24"/>
        </w:rPr>
        <w:t>…</w:t>
      </w:r>
    </w:p>
    <w:p w:rsidR="004C1780" w:rsidRPr="00AD24C5" w:rsidRDefault="004C1780" w:rsidP="004C1780">
      <w:pPr>
        <w:ind w:left="426" w:right="397"/>
        <w:jc w:val="both"/>
        <w:rPr>
          <w:rFonts w:ascii="Palatino Linotype" w:hAnsi="Palatino Linotype"/>
          <w:bCs/>
          <w:i/>
          <w:sz w:val="24"/>
          <w:szCs w:val="24"/>
        </w:rPr>
      </w:pPr>
    </w:p>
    <w:p w:rsidR="004C1780" w:rsidRPr="00AD24C5" w:rsidRDefault="004C1780" w:rsidP="004C1780">
      <w:pPr>
        <w:ind w:left="426" w:right="397"/>
        <w:jc w:val="center"/>
        <w:rPr>
          <w:rFonts w:ascii="Palatino Linotype" w:hAnsi="Palatino Linotype"/>
          <w:b/>
          <w:bCs/>
          <w:sz w:val="24"/>
          <w:szCs w:val="24"/>
        </w:rPr>
      </w:pPr>
      <w:r w:rsidRPr="00AD24C5">
        <w:rPr>
          <w:rFonts w:ascii="Palatino Linotype" w:hAnsi="Palatino Linotype"/>
          <w:b/>
          <w:bCs/>
          <w:sz w:val="24"/>
          <w:szCs w:val="24"/>
        </w:rPr>
        <w:t>MANUAL DE ORGANIZACIÓN DE LA TESORERIA MUNICIPAL</w:t>
      </w:r>
    </w:p>
    <w:p w:rsidR="004C1780" w:rsidRPr="00AD24C5" w:rsidRDefault="004C1780" w:rsidP="004C1780">
      <w:pPr>
        <w:spacing w:line="360" w:lineRule="auto"/>
        <w:ind w:right="49"/>
        <w:jc w:val="both"/>
        <w:rPr>
          <w:rFonts w:ascii="Palatino Linotype" w:hAnsi="Palatino Linotype" w:cs="Arial"/>
          <w:sz w:val="24"/>
          <w:szCs w:val="24"/>
        </w:rPr>
      </w:pPr>
    </w:p>
    <w:p w:rsidR="004C1780" w:rsidRPr="00AD24C5" w:rsidRDefault="004C1780" w:rsidP="004C1780">
      <w:pPr>
        <w:ind w:left="426" w:right="397" w:firstLine="141"/>
        <w:jc w:val="both"/>
        <w:rPr>
          <w:rFonts w:ascii="Palatino Linotype" w:hAnsi="Palatino Linotype"/>
          <w:b/>
          <w:bCs/>
          <w:i/>
          <w:sz w:val="24"/>
          <w:szCs w:val="24"/>
        </w:rPr>
      </w:pPr>
      <w:r w:rsidRPr="00AD24C5">
        <w:rPr>
          <w:rFonts w:ascii="Palatino Linotype" w:hAnsi="Palatino Linotype"/>
          <w:b/>
          <w:bCs/>
          <w:i/>
          <w:sz w:val="24"/>
          <w:szCs w:val="24"/>
        </w:rPr>
        <w:t>OBJETIVO Y FUNCIONES DE LAS UNIDADES ADMINISTRATIVAS</w:t>
      </w:r>
    </w:p>
    <w:p w:rsidR="004C1780" w:rsidRPr="00AD24C5" w:rsidRDefault="004C1780" w:rsidP="004C1780">
      <w:pPr>
        <w:ind w:left="426" w:right="397" w:firstLine="141"/>
        <w:jc w:val="both"/>
        <w:rPr>
          <w:rFonts w:ascii="Palatino Linotype" w:hAnsi="Palatino Linotype"/>
          <w:b/>
          <w:bCs/>
          <w:i/>
          <w:sz w:val="24"/>
          <w:szCs w:val="24"/>
        </w:rPr>
      </w:pPr>
      <w:r w:rsidRPr="00AD24C5">
        <w:rPr>
          <w:rFonts w:ascii="Palatino Linotype" w:hAnsi="Palatino Linotype"/>
          <w:b/>
          <w:bCs/>
          <w:i/>
          <w:sz w:val="24"/>
          <w:szCs w:val="24"/>
        </w:rPr>
        <w:t>202010000 Tesorería Municipal</w:t>
      </w:r>
    </w:p>
    <w:p w:rsidR="004C1780" w:rsidRPr="00AD24C5" w:rsidRDefault="004C1780" w:rsidP="004C1780">
      <w:pPr>
        <w:ind w:left="426" w:right="397" w:firstLine="141"/>
        <w:jc w:val="both"/>
        <w:rPr>
          <w:rFonts w:ascii="Palatino Linotype" w:hAnsi="Palatino Linotype"/>
          <w:bCs/>
          <w:i/>
          <w:sz w:val="24"/>
          <w:szCs w:val="24"/>
        </w:rPr>
      </w:pPr>
      <w:r w:rsidRPr="00AD24C5">
        <w:rPr>
          <w:rFonts w:ascii="Palatino Linotype" w:hAnsi="Palatino Linotype"/>
          <w:b/>
          <w:bCs/>
          <w:i/>
          <w:sz w:val="24"/>
          <w:szCs w:val="24"/>
        </w:rPr>
        <w:t>Objetivo:</w:t>
      </w:r>
      <w:r w:rsidRPr="00AD24C5">
        <w:rPr>
          <w:rFonts w:ascii="Palatino Linotype" w:hAnsi="Palatino Linotype"/>
          <w:bCs/>
          <w:i/>
          <w:sz w:val="24"/>
          <w:szCs w:val="24"/>
        </w:rPr>
        <w:t xml:space="preserve"> Recaudar, administrar, operar, registrar y glosar los recursos que componen la hacienda pública con la finalidad de mantener finanzas sanas y contar con la suficiencia económica para cumplir con las obligaciones, funciones y atribuciones del gobierno municipal de Toluca.</w:t>
      </w:r>
    </w:p>
    <w:p w:rsidR="004C1780" w:rsidRPr="00AD24C5" w:rsidRDefault="004C1780" w:rsidP="004C1780">
      <w:pPr>
        <w:spacing w:line="360" w:lineRule="auto"/>
        <w:ind w:right="49"/>
        <w:jc w:val="both"/>
        <w:rPr>
          <w:rFonts w:ascii="Palatino Linotype" w:hAnsi="Palatino Linotype"/>
          <w:bCs/>
          <w:sz w:val="24"/>
          <w:szCs w:val="24"/>
        </w:rPr>
      </w:pPr>
    </w:p>
    <w:p w:rsidR="002F6AFA" w:rsidRPr="00AD24C5" w:rsidRDefault="004C1780" w:rsidP="002F6AFA">
      <w:pPr>
        <w:numPr>
          <w:ilvl w:val="0"/>
          <w:numId w:val="2"/>
        </w:numPr>
        <w:spacing w:line="360" w:lineRule="auto"/>
        <w:ind w:left="0" w:right="49" w:firstLine="0"/>
        <w:jc w:val="both"/>
        <w:rPr>
          <w:rFonts w:ascii="Palatino Linotype" w:hAnsi="Palatino Linotype"/>
          <w:bCs/>
          <w:sz w:val="24"/>
          <w:szCs w:val="24"/>
        </w:rPr>
      </w:pPr>
      <w:r w:rsidRPr="00AD24C5">
        <w:rPr>
          <w:rFonts w:ascii="Palatino Linotype" w:hAnsi="Palatino Linotype"/>
          <w:bCs/>
          <w:sz w:val="24"/>
          <w:szCs w:val="24"/>
        </w:rPr>
        <w:t>De lo anterior, se advierte que dada la naturaleza de la información solicitada, el área encargada de generar, poseer y/o adminístrala, es la Tesorería Municipal, área que de acuerdo a las constancias que integran el SAIMEX, no se pronunció, pues únicamente se advierte la respuesta proporcionada por la Dirección de Administración.</w:t>
      </w:r>
    </w:p>
    <w:p w:rsidR="002F6AFA" w:rsidRPr="00AD24C5" w:rsidRDefault="002F6AFA" w:rsidP="002F6AFA">
      <w:pPr>
        <w:spacing w:line="360" w:lineRule="auto"/>
        <w:ind w:right="49"/>
        <w:jc w:val="both"/>
        <w:rPr>
          <w:rFonts w:ascii="Palatino Linotype" w:hAnsi="Palatino Linotype"/>
          <w:bCs/>
          <w:sz w:val="24"/>
          <w:szCs w:val="24"/>
        </w:rPr>
      </w:pPr>
    </w:p>
    <w:p w:rsidR="002F6AFA" w:rsidRPr="00AD24C5" w:rsidRDefault="002F6AFA" w:rsidP="002F6AFA">
      <w:pPr>
        <w:numPr>
          <w:ilvl w:val="0"/>
          <w:numId w:val="2"/>
        </w:numPr>
        <w:spacing w:line="360" w:lineRule="auto"/>
        <w:ind w:left="0" w:right="49" w:firstLine="0"/>
        <w:jc w:val="both"/>
        <w:rPr>
          <w:rFonts w:ascii="Palatino Linotype" w:hAnsi="Palatino Linotype"/>
          <w:bCs/>
          <w:sz w:val="24"/>
          <w:szCs w:val="24"/>
        </w:rPr>
      </w:pPr>
      <w:r w:rsidRPr="00AD24C5">
        <w:rPr>
          <w:rFonts w:ascii="Palatino Linotype" w:eastAsia="MS Mincho" w:hAnsi="Palatino Linotype" w:cs="Arial"/>
          <w:sz w:val="24"/>
          <w:szCs w:val="24"/>
        </w:rPr>
        <w:t xml:space="preserve">Lo anterior, derivado de que de las constancias que obran en el expediente electrónico en que se actúa, no se </w:t>
      </w:r>
      <w:r w:rsidR="00370694" w:rsidRPr="00AD24C5">
        <w:rPr>
          <w:rFonts w:ascii="Palatino Linotype" w:eastAsia="MS Mincho" w:hAnsi="Palatino Linotype" w:cs="Arial"/>
          <w:sz w:val="24"/>
          <w:szCs w:val="24"/>
        </w:rPr>
        <w:t>realizó el requerimiento a las áreas que pudieran generar poseer y/o administrar la información solicitada, como lo es a la Tesorería Municipal, como se observa a continuación:</w:t>
      </w:r>
    </w:p>
    <w:p w:rsidR="002F6AFA" w:rsidRPr="00AD24C5" w:rsidRDefault="00370694" w:rsidP="002F6AFA">
      <w:pPr>
        <w:spacing w:line="360" w:lineRule="auto"/>
        <w:contextualSpacing/>
        <w:jc w:val="both"/>
        <w:rPr>
          <w:rFonts w:ascii="Palatino Linotype" w:eastAsia="MS Mincho" w:hAnsi="Palatino Linotype" w:cs="Arial"/>
          <w:sz w:val="24"/>
          <w:szCs w:val="24"/>
        </w:rPr>
      </w:pPr>
      <w:r w:rsidRPr="00AD24C5">
        <w:rPr>
          <w:rFonts w:ascii="Palatino Linotype" w:eastAsia="MS Mincho" w:hAnsi="Palatino Linotype" w:cs="Arial"/>
          <w:noProof/>
          <w:sz w:val="24"/>
          <w:szCs w:val="24"/>
          <w:lang w:eastAsia="es-MX"/>
        </w:rPr>
        <w:lastRenderedPageBreak/>
        <w:drawing>
          <wp:inline distT="0" distB="0" distL="0" distR="0" wp14:anchorId="2B29D06F" wp14:editId="17D43607">
            <wp:extent cx="5742940" cy="715645"/>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42940" cy="715645"/>
                    </a:xfrm>
                    <a:prstGeom prst="rect">
                      <a:avLst/>
                    </a:prstGeom>
                  </pic:spPr>
                </pic:pic>
              </a:graphicData>
            </a:graphic>
          </wp:inline>
        </w:drawing>
      </w:r>
    </w:p>
    <w:p w:rsidR="002F6AFA" w:rsidRPr="00AD24C5" w:rsidRDefault="002F6AFA" w:rsidP="002F6AFA">
      <w:pPr>
        <w:spacing w:line="360" w:lineRule="auto"/>
        <w:contextualSpacing/>
        <w:jc w:val="both"/>
        <w:rPr>
          <w:rFonts w:ascii="Palatino Linotype" w:eastAsia="MS Mincho" w:hAnsi="Palatino Linotype" w:cs="Arial"/>
          <w:sz w:val="24"/>
          <w:szCs w:val="24"/>
        </w:rPr>
      </w:pPr>
    </w:p>
    <w:p w:rsidR="002F6AFA" w:rsidRPr="00AD24C5" w:rsidRDefault="002F6AFA" w:rsidP="00370694">
      <w:pPr>
        <w:numPr>
          <w:ilvl w:val="0"/>
          <w:numId w:val="2"/>
        </w:numPr>
        <w:spacing w:line="360" w:lineRule="auto"/>
        <w:ind w:left="0" w:right="49" w:firstLine="0"/>
        <w:jc w:val="both"/>
        <w:rPr>
          <w:rFonts w:ascii="Palatino Linotype" w:eastAsia="MS Mincho" w:hAnsi="Palatino Linotype" w:cs="Arial"/>
          <w:sz w:val="24"/>
          <w:szCs w:val="24"/>
        </w:rPr>
      </w:pPr>
      <w:r w:rsidRPr="00AD24C5">
        <w:rPr>
          <w:rFonts w:ascii="Palatino Linotype" w:eastAsia="MS Mincho" w:hAnsi="Palatino Linotype" w:cs="Arial"/>
          <w:sz w:val="24"/>
          <w:szCs w:val="24"/>
        </w:rPr>
        <w:t>Al respecto, e</w:t>
      </w:r>
      <w:r w:rsidRPr="00AD24C5">
        <w:rPr>
          <w:rFonts w:ascii="Palatino Linotype" w:hAnsi="Palatino Linotype"/>
          <w:sz w:val="24"/>
          <w:szCs w:val="24"/>
        </w:rPr>
        <w:t xml:space="preserve">l derecho de acceso a la información pública es un derecho humano constitucionalmente reconocido en consecuencia todas las autoridades en el ámbito de sus competencias, funciones y atribuciones tienen la obligación de respetarlo, protegerlo y garantizarlo, así también </w:t>
      </w:r>
      <w:r w:rsidRPr="00AD24C5">
        <w:rPr>
          <w:rFonts w:ascii="Palatino Linotype" w:hAnsi="Palatino Linotype"/>
          <w:b/>
          <w:sz w:val="24"/>
          <w:szCs w:val="24"/>
        </w:rPr>
        <w:t>es su deber turnar la solicitud de información a todas las áreas dentro de su estructura orgánica que pudieran contar con lo solicitado</w:t>
      </w:r>
      <w:r w:rsidRPr="00AD24C5">
        <w:rPr>
          <w:rFonts w:ascii="Palatino Linotype" w:hAnsi="Palatino Linotype"/>
          <w:sz w:val="24"/>
          <w:szCs w:val="24"/>
        </w:rPr>
        <w:t>, a fin de dar cabal cumplimiento al derecho humano constitucionalmente reconocido.</w:t>
      </w:r>
    </w:p>
    <w:p w:rsidR="002F6AFA" w:rsidRPr="00AD24C5" w:rsidRDefault="002F6AFA" w:rsidP="002F6AFA">
      <w:pPr>
        <w:spacing w:line="360" w:lineRule="auto"/>
        <w:contextualSpacing/>
        <w:jc w:val="both"/>
        <w:rPr>
          <w:rFonts w:ascii="Palatino Linotype" w:eastAsia="MS Mincho" w:hAnsi="Palatino Linotype" w:cs="Arial"/>
          <w:sz w:val="24"/>
          <w:szCs w:val="24"/>
        </w:rPr>
      </w:pPr>
    </w:p>
    <w:p w:rsidR="002F6AFA" w:rsidRPr="00AD24C5" w:rsidRDefault="002F6AFA" w:rsidP="00370694">
      <w:pPr>
        <w:numPr>
          <w:ilvl w:val="0"/>
          <w:numId w:val="2"/>
        </w:numPr>
        <w:spacing w:line="360" w:lineRule="auto"/>
        <w:ind w:left="0" w:right="49" w:firstLine="0"/>
        <w:jc w:val="both"/>
        <w:rPr>
          <w:rFonts w:ascii="Palatino Linotype" w:eastAsia="MS Mincho" w:hAnsi="Palatino Linotype" w:cs="Arial"/>
          <w:b/>
          <w:sz w:val="24"/>
          <w:szCs w:val="24"/>
        </w:rPr>
      </w:pPr>
      <w:r w:rsidRPr="00AD24C5">
        <w:rPr>
          <w:rFonts w:ascii="Palatino Linotype" w:eastAsia="MS Mincho" w:hAnsi="Palatino Linotype" w:cs="Arial"/>
          <w:sz w:val="24"/>
          <w:szCs w:val="24"/>
        </w:rPr>
        <w:t>En esa tesitura, e</w:t>
      </w:r>
      <w:r w:rsidRPr="00AD24C5">
        <w:rPr>
          <w:rFonts w:ascii="Palatino Linotype" w:hAnsi="Palatino Linotype" w:cs="Arial"/>
          <w:sz w:val="24"/>
          <w:szCs w:val="24"/>
        </w:rPr>
        <w:t xml:space="preserve">l procedimiento de acceso a la información pública, descrito en el Título Séptimo de la Ley de Transparencia describe los pasos que debe seguir la autoridad para atender </w:t>
      </w:r>
      <w:r w:rsidRPr="00AD24C5">
        <w:rPr>
          <w:rFonts w:ascii="Palatino Linotype" w:eastAsia="MS Mincho" w:hAnsi="Palatino Linotype" w:cs="Arial"/>
          <w:sz w:val="24"/>
          <w:szCs w:val="24"/>
        </w:rPr>
        <w:t>las</w:t>
      </w:r>
      <w:r w:rsidRPr="00AD24C5">
        <w:rPr>
          <w:rFonts w:ascii="Palatino Linotype" w:hAnsi="Palatino Linotype" w:cs="Arial"/>
          <w:sz w:val="24"/>
          <w:szCs w:val="24"/>
        </w:rPr>
        <w:t xml:space="preserve"> solicitudes que presenten las personas en ejercicio de su derecho, entre los cuales se encuentra el deber de las Unidades de Transparencia de turnar a todas las áreas competentes que cuenten con la información o deban tenerla de acuerdo a sus facultades, competencias y funciones, con el objeto de que realicen una búsqueda exhaustiva y razonable de la información solicitada, según se asienta en el artículo 162 de la ley citada.</w:t>
      </w:r>
    </w:p>
    <w:p w:rsidR="002F6AFA" w:rsidRPr="00AD24C5" w:rsidRDefault="002F6AFA" w:rsidP="002F6AFA">
      <w:pPr>
        <w:spacing w:line="360" w:lineRule="auto"/>
        <w:ind w:left="567" w:right="616"/>
        <w:contextualSpacing/>
        <w:jc w:val="both"/>
        <w:rPr>
          <w:rFonts w:ascii="Palatino Linotype" w:eastAsia="MS Mincho" w:hAnsi="Palatino Linotype" w:cs="Arial"/>
          <w:i/>
          <w:sz w:val="24"/>
          <w:szCs w:val="24"/>
          <w:u w:val="single"/>
        </w:rPr>
      </w:pPr>
      <w:r w:rsidRPr="00AD24C5">
        <w:rPr>
          <w:rFonts w:ascii="Palatino Linotype" w:eastAsia="MS Mincho" w:hAnsi="Palatino Linotype" w:cs="Arial"/>
          <w:b/>
          <w:i/>
          <w:sz w:val="24"/>
          <w:szCs w:val="24"/>
        </w:rPr>
        <w:t>“Artículo 162.</w:t>
      </w:r>
      <w:r w:rsidRPr="00AD24C5">
        <w:rPr>
          <w:rFonts w:ascii="Palatino Linotype" w:eastAsia="MS Mincho" w:hAnsi="Palatino Linotype" w:cs="Arial"/>
          <w:i/>
          <w:sz w:val="24"/>
          <w:szCs w:val="24"/>
        </w:rPr>
        <w:t xml:space="preserve"> </w:t>
      </w:r>
      <w:r w:rsidRPr="00AD24C5">
        <w:rPr>
          <w:rFonts w:ascii="Palatino Linotype" w:eastAsia="MS Mincho" w:hAnsi="Palatino Linotype" w:cs="Arial"/>
          <w:i/>
          <w:sz w:val="24"/>
          <w:szCs w:val="24"/>
          <w:u w:val="singl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2F6AFA" w:rsidRPr="00AD24C5" w:rsidRDefault="002F6AFA" w:rsidP="00370694">
      <w:pPr>
        <w:numPr>
          <w:ilvl w:val="0"/>
          <w:numId w:val="2"/>
        </w:numPr>
        <w:spacing w:line="360" w:lineRule="auto"/>
        <w:ind w:left="0" w:right="49" w:firstLine="0"/>
        <w:jc w:val="both"/>
        <w:rPr>
          <w:rFonts w:ascii="Palatino Linotype" w:eastAsia="MS Mincho" w:hAnsi="Palatino Linotype" w:cs="Arial"/>
          <w:sz w:val="24"/>
          <w:szCs w:val="24"/>
        </w:rPr>
      </w:pPr>
      <w:r w:rsidRPr="00AD24C5">
        <w:rPr>
          <w:rFonts w:ascii="Palatino Linotype" w:hAnsi="Palatino Linotype" w:cs="Arial"/>
          <w:sz w:val="24"/>
          <w:szCs w:val="24"/>
        </w:rPr>
        <w:lastRenderedPageBreak/>
        <w:t>El buscar exhaustivamente en sus archivos, es identificar la unidad(s) administrativa(s) que resguarda el documento al que una persona pretende acceder, es practicar una adecuada gestión documental que nos permite localizar el documento, como bien señala el artículo 159 de la Ley de Transparencia local.</w:t>
      </w:r>
    </w:p>
    <w:p w:rsidR="002F6AFA" w:rsidRPr="00AD24C5" w:rsidRDefault="002F6AFA" w:rsidP="002F6AFA">
      <w:pPr>
        <w:spacing w:line="360" w:lineRule="auto"/>
        <w:contextualSpacing/>
        <w:jc w:val="both"/>
        <w:rPr>
          <w:rFonts w:ascii="Palatino Linotype" w:eastAsia="MS Mincho" w:hAnsi="Palatino Linotype" w:cs="Arial"/>
          <w:sz w:val="24"/>
          <w:szCs w:val="24"/>
        </w:rPr>
      </w:pPr>
    </w:p>
    <w:p w:rsidR="002F6AFA" w:rsidRPr="00AD24C5" w:rsidRDefault="002F6AFA" w:rsidP="00370694">
      <w:pPr>
        <w:numPr>
          <w:ilvl w:val="0"/>
          <w:numId w:val="2"/>
        </w:numPr>
        <w:spacing w:line="360" w:lineRule="auto"/>
        <w:ind w:left="0" w:right="49" w:firstLine="0"/>
        <w:jc w:val="both"/>
        <w:rPr>
          <w:rFonts w:ascii="Palatino Linotype" w:eastAsia="Calibri" w:hAnsi="Palatino Linotype"/>
          <w:sz w:val="24"/>
          <w:szCs w:val="24"/>
        </w:rPr>
      </w:pPr>
      <w:r w:rsidRPr="00AD24C5">
        <w:rPr>
          <w:rFonts w:ascii="Palatino Linotype" w:eastAsia="Calibri" w:hAnsi="Palatino Linotype"/>
          <w:sz w:val="24"/>
          <w:szCs w:val="24"/>
        </w:rPr>
        <w:t xml:space="preserve">De la </w:t>
      </w:r>
      <w:r w:rsidRPr="00AD24C5">
        <w:rPr>
          <w:rFonts w:ascii="Palatino Linotype" w:hAnsi="Palatino Linotype" w:cs="Arial"/>
          <w:sz w:val="24"/>
          <w:szCs w:val="24"/>
        </w:rPr>
        <w:t>normatividad</w:t>
      </w:r>
      <w:r w:rsidRPr="00AD24C5">
        <w:rPr>
          <w:rFonts w:ascii="Palatino Linotype" w:eastAsia="Calibri" w:hAnsi="Palatino Linotype"/>
          <w:sz w:val="24"/>
          <w:szCs w:val="24"/>
        </w:rPr>
        <w:t xml:space="preserve"> en cita, se desprende que las Unidades de Transparencia, se erigen como el área responsable en cada Sujeto Obligado que tiene a su cargo la atención de las solicitudes de información que se realicen al amparo de la Ley. </w:t>
      </w:r>
    </w:p>
    <w:p w:rsidR="002F6AFA" w:rsidRPr="00AD24C5" w:rsidRDefault="002F6AFA" w:rsidP="002F6AFA">
      <w:pPr>
        <w:pStyle w:val="Prrafodelista"/>
        <w:spacing w:line="360" w:lineRule="auto"/>
        <w:ind w:left="360"/>
        <w:jc w:val="both"/>
        <w:rPr>
          <w:rFonts w:ascii="Palatino Linotype" w:eastAsia="Calibri" w:hAnsi="Palatino Linotype"/>
          <w:sz w:val="24"/>
        </w:rPr>
      </w:pPr>
    </w:p>
    <w:p w:rsidR="002F6AFA" w:rsidRPr="00AD24C5" w:rsidRDefault="002F6AFA" w:rsidP="00370694">
      <w:pPr>
        <w:numPr>
          <w:ilvl w:val="0"/>
          <w:numId w:val="2"/>
        </w:numPr>
        <w:spacing w:line="360" w:lineRule="auto"/>
        <w:ind w:left="0" w:right="49" w:firstLine="0"/>
        <w:jc w:val="both"/>
        <w:rPr>
          <w:rFonts w:ascii="Palatino Linotype" w:eastAsia="Calibri" w:hAnsi="Palatino Linotype"/>
          <w:sz w:val="24"/>
          <w:szCs w:val="24"/>
        </w:rPr>
      </w:pPr>
      <w:r w:rsidRPr="00AD24C5">
        <w:rPr>
          <w:rFonts w:ascii="Palatino Linotype" w:eastAsia="Calibri" w:hAnsi="Palatino Linotype"/>
          <w:sz w:val="24"/>
          <w:szCs w:val="24"/>
        </w:rPr>
        <w:t xml:space="preserve">El responsable de dicha área funge como enlace entre </w:t>
      </w:r>
      <w:r w:rsidRPr="00AD24C5">
        <w:rPr>
          <w:rFonts w:ascii="Palatino Linotype" w:eastAsia="Calibri" w:hAnsi="Palatino Linotype"/>
          <w:b/>
          <w:sz w:val="24"/>
          <w:szCs w:val="24"/>
        </w:rPr>
        <w:t>EL SUJETO OBLIGADO</w:t>
      </w:r>
      <w:r w:rsidRPr="00AD24C5">
        <w:rPr>
          <w:rFonts w:ascii="Palatino Linotype" w:eastAsia="Calibri" w:hAnsi="Palatino Linotype"/>
          <w:sz w:val="24"/>
          <w:szCs w:val="24"/>
        </w:rPr>
        <w:t xml:space="preserve"> y los solicitantes, y tiene bajo su responsabilidad el tramitar internamente la solicitud de información.</w:t>
      </w:r>
    </w:p>
    <w:p w:rsidR="002F6AFA" w:rsidRPr="00AD24C5" w:rsidRDefault="002F6AFA" w:rsidP="002F6AFA">
      <w:pPr>
        <w:pStyle w:val="Prrafodelista"/>
        <w:spacing w:line="360" w:lineRule="auto"/>
        <w:ind w:left="360"/>
        <w:jc w:val="both"/>
        <w:rPr>
          <w:rFonts w:ascii="Palatino Linotype" w:eastAsia="Calibri" w:hAnsi="Palatino Linotype"/>
          <w:sz w:val="24"/>
        </w:rPr>
      </w:pPr>
    </w:p>
    <w:p w:rsidR="002F6AFA" w:rsidRPr="00AD24C5" w:rsidRDefault="002F6AFA" w:rsidP="00370694">
      <w:pPr>
        <w:numPr>
          <w:ilvl w:val="0"/>
          <w:numId w:val="2"/>
        </w:numPr>
        <w:spacing w:line="360" w:lineRule="auto"/>
        <w:ind w:left="0" w:right="49" w:firstLine="0"/>
        <w:jc w:val="both"/>
        <w:rPr>
          <w:rFonts w:ascii="Palatino Linotype" w:eastAsia="Calibri" w:hAnsi="Palatino Linotype"/>
          <w:sz w:val="24"/>
          <w:szCs w:val="24"/>
        </w:rPr>
      </w:pPr>
      <w:r w:rsidRPr="00AD24C5">
        <w:rPr>
          <w:rFonts w:ascii="Palatino Linotype" w:eastAsia="Calibri" w:hAnsi="Palatino Linotype"/>
          <w:sz w:val="24"/>
          <w:szCs w:val="24"/>
        </w:rPr>
        <w:t xml:space="preserve">De tal manera que, si bien, el Titular de la Unidad de Transparencia no tiene bajo su resguardo el archivo que contiene la documentación en donde consta la información solicitada, sino que pudiera obrar en las distintas áreas que conforman la estructura del </w:t>
      </w:r>
      <w:r w:rsidRPr="00AD24C5">
        <w:rPr>
          <w:rFonts w:ascii="Palatino Linotype" w:eastAsia="Calibri" w:hAnsi="Palatino Linotype"/>
          <w:b/>
          <w:sz w:val="24"/>
          <w:szCs w:val="24"/>
        </w:rPr>
        <w:t xml:space="preserve">SUJETO OBLIGADO; </w:t>
      </w:r>
      <w:r w:rsidRPr="00AD24C5">
        <w:rPr>
          <w:rFonts w:ascii="Palatino Linotype" w:eastAsia="Calibri" w:hAnsi="Palatino Linotype"/>
          <w:sz w:val="24"/>
          <w:szCs w:val="24"/>
        </w:rPr>
        <w:t xml:space="preserve">es por ello que, debe turnar la solicitud a </w:t>
      </w:r>
      <w:r w:rsidRPr="00AD24C5">
        <w:rPr>
          <w:rFonts w:ascii="Palatino Linotype" w:hAnsi="Palatino Linotype" w:cs="Arial"/>
          <w:sz w:val="24"/>
          <w:szCs w:val="24"/>
        </w:rPr>
        <w:t xml:space="preserve">todas las áreas que </w:t>
      </w:r>
      <w:r w:rsidRPr="00AD24C5">
        <w:rPr>
          <w:rFonts w:ascii="Palatino Linotype" w:eastAsia="Calibri" w:hAnsi="Palatino Linotype"/>
          <w:sz w:val="24"/>
          <w:szCs w:val="24"/>
        </w:rPr>
        <w:t>conforme a sus atribuciones y funciones generen, administren o posean la información requerida por la particular; pues tienen como función, buscar, localizar y poseer la información, así como entregarla.</w:t>
      </w:r>
    </w:p>
    <w:p w:rsidR="002F6AFA" w:rsidRPr="00AD24C5" w:rsidRDefault="002F6AFA" w:rsidP="002F6AFA">
      <w:pPr>
        <w:pStyle w:val="Prrafodelista"/>
        <w:spacing w:line="360" w:lineRule="auto"/>
        <w:ind w:left="360"/>
        <w:jc w:val="both"/>
        <w:rPr>
          <w:rFonts w:ascii="Palatino Linotype" w:hAnsi="Palatino Linotype" w:cs="Arial"/>
          <w:sz w:val="24"/>
        </w:rPr>
      </w:pPr>
    </w:p>
    <w:p w:rsidR="002F6AFA" w:rsidRPr="00AD24C5" w:rsidRDefault="002F6AFA" w:rsidP="00370694">
      <w:pPr>
        <w:numPr>
          <w:ilvl w:val="0"/>
          <w:numId w:val="2"/>
        </w:numPr>
        <w:spacing w:line="360" w:lineRule="auto"/>
        <w:ind w:left="0" w:right="49" w:firstLine="0"/>
        <w:jc w:val="both"/>
        <w:rPr>
          <w:rFonts w:ascii="Palatino Linotype" w:eastAsia="Calibri" w:hAnsi="Palatino Linotype"/>
          <w:sz w:val="24"/>
          <w:szCs w:val="24"/>
        </w:rPr>
      </w:pPr>
      <w:r w:rsidRPr="00AD24C5">
        <w:rPr>
          <w:rFonts w:ascii="Palatino Linotype" w:eastAsia="Calibri" w:hAnsi="Palatino Linotype"/>
          <w:sz w:val="24"/>
          <w:szCs w:val="24"/>
        </w:rPr>
        <w:t xml:space="preserve">Es así que, le corresponde al Titular de la Unidad de Transparencia el garantizar que las solicitudes se turnen a las áreas competentes que puedan contar con la </w:t>
      </w:r>
      <w:r w:rsidRPr="00AD24C5">
        <w:rPr>
          <w:rFonts w:ascii="Palatino Linotype" w:eastAsia="Calibri" w:hAnsi="Palatino Linotype"/>
          <w:sz w:val="24"/>
          <w:szCs w:val="24"/>
        </w:rPr>
        <w:lastRenderedPageBreak/>
        <w:t xml:space="preserve">información, con el objeto de que se realice una búsqueda exhaustiva y razonable de la misma. </w:t>
      </w:r>
    </w:p>
    <w:p w:rsidR="002F6AFA" w:rsidRPr="00AD24C5" w:rsidRDefault="002F6AFA" w:rsidP="002F6AFA">
      <w:pPr>
        <w:rPr>
          <w:sz w:val="24"/>
          <w:szCs w:val="24"/>
        </w:rPr>
      </w:pPr>
    </w:p>
    <w:p w:rsidR="004C1780" w:rsidRPr="00AD24C5" w:rsidRDefault="00370694" w:rsidP="00370694">
      <w:pPr>
        <w:numPr>
          <w:ilvl w:val="0"/>
          <w:numId w:val="2"/>
        </w:numPr>
        <w:spacing w:line="360" w:lineRule="auto"/>
        <w:ind w:left="0" w:right="49" w:firstLine="0"/>
        <w:jc w:val="both"/>
        <w:rPr>
          <w:rFonts w:ascii="Palatino Linotype" w:hAnsi="Palatino Linotype"/>
          <w:bCs/>
          <w:sz w:val="24"/>
          <w:szCs w:val="24"/>
        </w:rPr>
      </w:pPr>
      <w:r w:rsidRPr="00AD24C5">
        <w:rPr>
          <w:rFonts w:ascii="Palatino Linotype" w:hAnsi="Palatino Linotype"/>
          <w:bCs/>
          <w:sz w:val="24"/>
          <w:szCs w:val="24"/>
        </w:rPr>
        <w:t xml:space="preserve">Es por lo anterior que no se puede tener por colmada en su totalidad la solicitud de información que nos ocupa, resultando dable REVOCAR, la respuesta proporcionada del </w:t>
      </w:r>
      <w:r w:rsidRPr="00AD24C5">
        <w:rPr>
          <w:rFonts w:ascii="Palatino Linotype" w:hAnsi="Palatino Linotype"/>
          <w:b/>
          <w:bCs/>
          <w:sz w:val="24"/>
          <w:szCs w:val="24"/>
        </w:rPr>
        <w:t xml:space="preserve">SUJETO OBLIGADO, </w:t>
      </w:r>
      <w:r w:rsidRPr="00AD24C5">
        <w:rPr>
          <w:rFonts w:ascii="Palatino Linotype" w:hAnsi="Palatino Linotype"/>
          <w:bCs/>
          <w:sz w:val="24"/>
          <w:szCs w:val="24"/>
        </w:rPr>
        <w:t>y ordenar turne la solicitud que nos ocupa a la Tesorería Municipal a efecto de que dé cuenta de lo solicitado.</w:t>
      </w:r>
    </w:p>
    <w:p w:rsidR="00370694" w:rsidRPr="00AD24C5" w:rsidRDefault="00370694" w:rsidP="00370694">
      <w:pPr>
        <w:spacing w:line="360" w:lineRule="auto"/>
        <w:ind w:right="49"/>
        <w:jc w:val="both"/>
        <w:rPr>
          <w:rFonts w:ascii="Palatino Linotype" w:hAnsi="Palatino Linotype"/>
          <w:bCs/>
          <w:sz w:val="24"/>
          <w:szCs w:val="24"/>
        </w:rPr>
      </w:pPr>
    </w:p>
    <w:p w:rsidR="00AD24C5" w:rsidRPr="00AD24C5" w:rsidRDefault="00370694" w:rsidP="00AD24C5">
      <w:pPr>
        <w:numPr>
          <w:ilvl w:val="0"/>
          <w:numId w:val="2"/>
        </w:numPr>
        <w:spacing w:line="360" w:lineRule="auto"/>
        <w:ind w:left="0" w:right="49" w:firstLine="0"/>
        <w:jc w:val="both"/>
        <w:rPr>
          <w:rFonts w:ascii="Palatino Linotype" w:hAnsi="Palatino Linotype"/>
          <w:bCs/>
          <w:sz w:val="24"/>
          <w:szCs w:val="24"/>
        </w:rPr>
      </w:pPr>
      <w:r w:rsidRPr="00AD24C5">
        <w:rPr>
          <w:rFonts w:ascii="Palatino Linotype" w:hAnsi="Palatino Linotype"/>
          <w:bCs/>
          <w:sz w:val="24"/>
          <w:szCs w:val="24"/>
        </w:rPr>
        <w:t xml:space="preserve">Ahora bien, respecto la información que se ordena entregar, es la relativa al gasto que se realizó por el pago de la primera quincena del mes de abril del dos mil veinticinco, ya sea por </w:t>
      </w:r>
      <w:r w:rsidRPr="00AD24C5">
        <w:rPr>
          <w:rFonts w:ascii="Palatino Linotype" w:hAnsi="Palatino Linotype"/>
          <w:bCs/>
          <w:sz w:val="24"/>
          <w:szCs w:val="24"/>
          <w:u w:val="single"/>
        </w:rPr>
        <w:t>cheque,</w:t>
      </w:r>
      <w:r w:rsidRPr="00AD24C5">
        <w:rPr>
          <w:rFonts w:ascii="Palatino Linotype" w:hAnsi="Palatino Linotype"/>
          <w:bCs/>
          <w:sz w:val="24"/>
          <w:szCs w:val="24"/>
        </w:rPr>
        <w:t xml:space="preserve"> </w:t>
      </w:r>
      <w:r w:rsidRPr="00AD24C5">
        <w:rPr>
          <w:rFonts w:ascii="Palatino Linotype" w:hAnsi="Palatino Linotype"/>
          <w:bCs/>
          <w:sz w:val="24"/>
          <w:szCs w:val="24"/>
          <w:u w:val="single"/>
        </w:rPr>
        <w:t>transferencia</w:t>
      </w:r>
      <w:r w:rsidRPr="00AD24C5">
        <w:rPr>
          <w:rFonts w:ascii="Palatino Linotype" w:hAnsi="Palatino Linotype"/>
          <w:bCs/>
          <w:sz w:val="24"/>
          <w:szCs w:val="24"/>
        </w:rPr>
        <w:t xml:space="preserve"> o </w:t>
      </w:r>
      <w:r w:rsidRPr="00AD24C5">
        <w:rPr>
          <w:rFonts w:ascii="Palatino Linotype" w:hAnsi="Palatino Linotype"/>
          <w:bCs/>
          <w:sz w:val="24"/>
          <w:szCs w:val="24"/>
          <w:u w:val="single"/>
        </w:rPr>
        <w:t>pago en efectivo</w:t>
      </w:r>
      <w:r w:rsidRPr="00AD24C5">
        <w:rPr>
          <w:rFonts w:ascii="Palatino Linotype" w:hAnsi="Palatino Linotype"/>
          <w:bCs/>
          <w:sz w:val="24"/>
          <w:szCs w:val="24"/>
        </w:rPr>
        <w:t xml:space="preserve"> de los servidores públicos</w:t>
      </w:r>
      <w:r w:rsidR="00AD24C5" w:rsidRPr="00AD24C5">
        <w:rPr>
          <w:rFonts w:ascii="Palatino Linotype" w:hAnsi="Palatino Linotype"/>
          <w:bCs/>
          <w:sz w:val="24"/>
          <w:szCs w:val="24"/>
        </w:rPr>
        <w:t xml:space="preserve"> de estructura, por lo que, en</w:t>
      </w:r>
      <w:r w:rsidR="00DD50C0" w:rsidRPr="00AD24C5">
        <w:rPr>
          <w:rFonts w:ascii="Palatino Linotype" w:hAnsi="Palatino Linotype"/>
          <w:bCs/>
          <w:sz w:val="24"/>
          <w:szCs w:val="24"/>
        </w:rPr>
        <w:t xml:space="preserve"> fecha </w:t>
      </w:r>
      <w:r w:rsidR="00DD50C0" w:rsidRPr="00AD24C5">
        <w:rPr>
          <w:rFonts w:ascii="Palatino Linotype" w:hAnsi="Palatino Linotype"/>
          <w:b/>
          <w:bCs/>
          <w:sz w:val="24"/>
          <w:szCs w:val="24"/>
        </w:rPr>
        <w:t xml:space="preserve">treinta de enero de dos mil veinticinco, </w:t>
      </w:r>
      <w:r w:rsidR="00DD50C0" w:rsidRPr="00AD24C5">
        <w:rPr>
          <w:rFonts w:ascii="Palatino Linotype" w:hAnsi="Palatino Linotype"/>
          <w:bCs/>
          <w:sz w:val="24"/>
          <w:szCs w:val="24"/>
        </w:rPr>
        <w:t xml:space="preserve">a efecto de un mejor proveer, se realizó requerimiento de información adicional al </w:t>
      </w:r>
      <w:r w:rsidR="00DD50C0" w:rsidRPr="00AD24C5">
        <w:rPr>
          <w:rFonts w:ascii="Palatino Linotype" w:hAnsi="Palatino Linotype"/>
          <w:b/>
          <w:bCs/>
          <w:sz w:val="24"/>
          <w:szCs w:val="24"/>
        </w:rPr>
        <w:t xml:space="preserve">SUJETO OBLIGADO, </w:t>
      </w:r>
      <w:r w:rsidR="00DD50C0" w:rsidRPr="00AD24C5">
        <w:rPr>
          <w:rFonts w:ascii="Palatino Linotype" w:hAnsi="Palatino Linotype"/>
          <w:bCs/>
          <w:sz w:val="24"/>
          <w:szCs w:val="24"/>
        </w:rPr>
        <w:t>a efecto de que informara de que manera realiza el pago quincenal a los servidores públicos que integran el Ayuntamiento de Toluca, informando el Tesorero Municipal que este se realiza a través</w:t>
      </w:r>
      <w:r w:rsidR="00AD24C5" w:rsidRPr="00AD24C5">
        <w:rPr>
          <w:rFonts w:ascii="Palatino Linotype" w:hAnsi="Palatino Linotype"/>
          <w:bCs/>
          <w:sz w:val="24"/>
          <w:szCs w:val="24"/>
        </w:rPr>
        <w:t xml:space="preserve"> de cheque o transferencia bancaria, como se inserta a continuación:</w:t>
      </w:r>
    </w:p>
    <w:p w:rsidR="00DD50C0" w:rsidRPr="00AD24C5" w:rsidRDefault="008944A5" w:rsidP="00AD24C5">
      <w:pPr>
        <w:spacing w:line="360" w:lineRule="auto"/>
        <w:ind w:right="49"/>
        <w:jc w:val="center"/>
        <w:rPr>
          <w:rFonts w:ascii="Palatino Linotype" w:hAnsi="Palatino Linotype"/>
          <w:bCs/>
          <w:sz w:val="24"/>
          <w:szCs w:val="24"/>
        </w:rPr>
      </w:pPr>
      <w:r w:rsidRPr="00AD24C5">
        <w:rPr>
          <w:rFonts w:ascii="Palatino Linotype" w:hAnsi="Palatino Linotype"/>
          <w:bCs/>
          <w:noProof/>
          <w:sz w:val="24"/>
          <w:szCs w:val="24"/>
          <w:lang w:eastAsia="es-MX"/>
        </w:rPr>
        <w:lastRenderedPageBreak/>
        <mc:AlternateContent>
          <mc:Choice Requires="wps">
            <w:drawing>
              <wp:anchor distT="0" distB="0" distL="114300" distR="114300" simplePos="0" relativeHeight="251661312" behindDoc="0" locked="0" layoutInCell="1" allowOverlap="1" wp14:anchorId="2DE100F6" wp14:editId="2BEEA5C0">
                <wp:simplePos x="0" y="0"/>
                <wp:positionH relativeFrom="column">
                  <wp:posOffset>220345</wp:posOffset>
                </wp:positionH>
                <wp:positionV relativeFrom="paragraph">
                  <wp:posOffset>5203825</wp:posOffset>
                </wp:positionV>
                <wp:extent cx="2095500" cy="19050"/>
                <wp:effectExtent l="0" t="0" r="19050" b="19050"/>
                <wp:wrapNone/>
                <wp:docPr id="4" name="Conector recto 4"/>
                <wp:cNvGraphicFramePr/>
                <a:graphic xmlns:a="http://schemas.openxmlformats.org/drawingml/2006/main">
                  <a:graphicData uri="http://schemas.microsoft.com/office/word/2010/wordprocessingShape">
                    <wps:wsp>
                      <wps:cNvCnPr/>
                      <wps:spPr>
                        <a:xfrm>
                          <a:off x="0" y="0"/>
                          <a:ext cx="2095500" cy="190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33DC28" id="Conector recto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35pt,409.75pt" to="182.35pt,4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" strokecolor="red" strokeweight=".5pt">
                <v:stroke joinstyle="miter"/>
              </v:line>
            </w:pict>
          </mc:Fallback>
        </mc:AlternateContent>
      </w:r>
      <w:r w:rsidRPr="00AD24C5">
        <w:rPr>
          <w:rFonts w:ascii="Palatino Linotype" w:hAnsi="Palatino Linotype"/>
          <w:bCs/>
          <w:noProof/>
          <w:sz w:val="24"/>
          <w:szCs w:val="24"/>
          <w:lang w:eastAsia="es-MX"/>
        </w:rPr>
        <mc:AlternateContent>
          <mc:Choice Requires="wps">
            <w:drawing>
              <wp:anchor distT="0" distB="0" distL="114300" distR="114300" simplePos="0" relativeHeight="251660288" behindDoc="0" locked="0" layoutInCell="1" allowOverlap="1" wp14:anchorId="76218D4A" wp14:editId="00364F6A">
                <wp:simplePos x="0" y="0"/>
                <wp:positionH relativeFrom="column">
                  <wp:posOffset>2125345</wp:posOffset>
                </wp:positionH>
                <wp:positionV relativeFrom="paragraph">
                  <wp:posOffset>5032375</wp:posOffset>
                </wp:positionV>
                <wp:extent cx="3467100" cy="38100"/>
                <wp:effectExtent l="0" t="0" r="19050" b="19050"/>
                <wp:wrapNone/>
                <wp:docPr id="3" name="Conector recto 3"/>
                <wp:cNvGraphicFramePr/>
                <a:graphic xmlns:a="http://schemas.openxmlformats.org/drawingml/2006/main">
                  <a:graphicData uri="http://schemas.microsoft.com/office/word/2010/wordprocessingShape">
                    <wps:wsp>
                      <wps:cNvCnPr/>
                      <wps:spPr>
                        <a:xfrm>
                          <a:off x="0" y="0"/>
                          <a:ext cx="3467100" cy="381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CEFC22" id="Conector recto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7.35pt,396.25pt" to="440.35pt,3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" strokecolor="red" strokeweight=".5pt">
                <v:stroke joinstyle="miter"/>
              </v:line>
            </w:pict>
          </mc:Fallback>
        </mc:AlternateContent>
      </w:r>
      <w:r w:rsidR="00AD24C5" w:rsidRPr="00AD24C5">
        <w:rPr>
          <w:rFonts w:ascii="Palatino Linotype" w:hAnsi="Palatino Linotype"/>
          <w:bCs/>
          <w:noProof/>
          <w:sz w:val="24"/>
          <w:szCs w:val="24"/>
          <w:lang w:eastAsia="es-MX"/>
        </w:rPr>
        <w:drawing>
          <wp:inline distT="0" distB="0" distL="0" distR="0" wp14:anchorId="746D75AA" wp14:editId="6775AF91">
            <wp:extent cx="5556141" cy="6912000"/>
            <wp:effectExtent l="0" t="0" r="6985"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56141" cy="6912000"/>
                    </a:xfrm>
                    <a:prstGeom prst="rect">
                      <a:avLst/>
                    </a:prstGeom>
                  </pic:spPr>
                </pic:pic>
              </a:graphicData>
            </a:graphic>
          </wp:inline>
        </w:drawing>
      </w:r>
    </w:p>
    <w:p w:rsidR="00DD50C0" w:rsidRPr="00AD24C5" w:rsidRDefault="00AD24C5" w:rsidP="00370694">
      <w:pPr>
        <w:numPr>
          <w:ilvl w:val="0"/>
          <w:numId w:val="2"/>
        </w:numPr>
        <w:spacing w:line="360" w:lineRule="auto"/>
        <w:ind w:left="0" w:right="49" w:firstLine="0"/>
        <w:jc w:val="both"/>
        <w:rPr>
          <w:rFonts w:ascii="Palatino Linotype" w:hAnsi="Palatino Linotype"/>
          <w:bCs/>
          <w:sz w:val="24"/>
          <w:szCs w:val="24"/>
        </w:rPr>
      </w:pPr>
      <w:r w:rsidRPr="00AD24C5">
        <w:rPr>
          <w:rFonts w:ascii="Palatino Linotype" w:hAnsi="Palatino Linotype"/>
          <w:bCs/>
          <w:sz w:val="24"/>
          <w:szCs w:val="24"/>
        </w:rPr>
        <w:lastRenderedPageBreak/>
        <w:t>Derivado de lo anterior, se</w:t>
      </w:r>
      <w:r w:rsidR="00DD50C0" w:rsidRPr="00AD24C5">
        <w:rPr>
          <w:rFonts w:ascii="Palatino Linotype" w:hAnsi="Palatino Linotype"/>
          <w:bCs/>
          <w:sz w:val="24"/>
          <w:szCs w:val="24"/>
        </w:rPr>
        <w:t xml:space="preserve"> permite descartar ordenar la información relativa a un pago en efectivo, pues –se insiste- esta se realiza a través de cheque o transferencia</w:t>
      </w:r>
      <w:r w:rsidR="008944A5">
        <w:rPr>
          <w:rFonts w:ascii="Palatino Linotype" w:hAnsi="Palatino Linotype"/>
          <w:bCs/>
          <w:sz w:val="24"/>
          <w:szCs w:val="24"/>
        </w:rPr>
        <w:t xml:space="preserve"> bancaria</w:t>
      </w:r>
      <w:r w:rsidR="00DD50C0" w:rsidRPr="00AD24C5">
        <w:rPr>
          <w:rFonts w:ascii="Palatino Linotype" w:hAnsi="Palatino Linotype"/>
          <w:bCs/>
          <w:sz w:val="24"/>
          <w:szCs w:val="24"/>
        </w:rPr>
        <w:t xml:space="preserve">. </w:t>
      </w:r>
    </w:p>
    <w:p w:rsidR="00AD24C5" w:rsidRPr="00AD24C5" w:rsidRDefault="00AD24C5" w:rsidP="00AD24C5">
      <w:pPr>
        <w:spacing w:line="360" w:lineRule="auto"/>
        <w:ind w:right="49"/>
        <w:jc w:val="both"/>
        <w:rPr>
          <w:rFonts w:ascii="Palatino Linotype" w:hAnsi="Palatino Linotype"/>
          <w:bCs/>
          <w:sz w:val="24"/>
          <w:szCs w:val="24"/>
        </w:rPr>
      </w:pPr>
    </w:p>
    <w:p w:rsidR="00563400" w:rsidRPr="00AD24C5" w:rsidRDefault="00DD50C0" w:rsidP="00563400">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hAnsi="Palatino Linotype"/>
          <w:bCs/>
          <w:sz w:val="24"/>
          <w:szCs w:val="24"/>
        </w:rPr>
        <w:t>En ese</w:t>
      </w:r>
      <w:r w:rsidR="00563400" w:rsidRPr="00AD24C5">
        <w:rPr>
          <w:rFonts w:ascii="Palatino Linotype" w:hAnsi="Palatino Linotype"/>
          <w:bCs/>
          <w:sz w:val="24"/>
          <w:szCs w:val="24"/>
        </w:rPr>
        <w:t xml:space="preserve"> orden de ideas, se precisa que el Ayuntamiento tiene como obligación el pago de prestaciones a los servidores públicos que lo integran, misma que se realiza de manera quincenal, como en el caso que nos ocupa a través de transferencia</w:t>
      </w:r>
      <w:r w:rsidR="00AD24C5" w:rsidRPr="00AD24C5">
        <w:rPr>
          <w:rFonts w:ascii="Palatino Linotype" w:hAnsi="Palatino Linotype"/>
          <w:bCs/>
          <w:sz w:val="24"/>
          <w:szCs w:val="24"/>
        </w:rPr>
        <w:t xml:space="preserve"> bancaria</w:t>
      </w:r>
      <w:r w:rsidR="00563400" w:rsidRPr="00AD24C5">
        <w:rPr>
          <w:rFonts w:ascii="Palatino Linotype" w:hAnsi="Palatino Linotype"/>
          <w:bCs/>
          <w:sz w:val="24"/>
          <w:szCs w:val="24"/>
        </w:rPr>
        <w:t xml:space="preserve"> o cheques. </w:t>
      </w:r>
    </w:p>
    <w:p w:rsidR="00563400" w:rsidRPr="00AD24C5" w:rsidRDefault="00563400" w:rsidP="00563400">
      <w:pPr>
        <w:spacing w:line="360" w:lineRule="auto"/>
        <w:ind w:right="49"/>
        <w:jc w:val="both"/>
        <w:rPr>
          <w:rFonts w:ascii="Palatino Linotype" w:eastAsia="Palatino Linotype" w:hAnsi="Palatino Linotype" w:cs="Palatino Linotype"/>
          <w:sz w:val="24"/>
          <w:szCs w:val="24"/>
        </w:rPr>
      </w:pPr>
    </w:p>
    <w:p w:rsidR="00563400" w:rsidRPr="00AD24C5" w:rsidRDefault="00563400" w:rsidP="00563400">
      <w:pPr>
        <w:numPr>
          <w:ilvl w:val="0"/>
          <w:numId w:val="2"/>
        </w:numPr>
        <w:spacing w:line="360" w:lineRule="auto"/>
        <w:ind w:left="0" w:right="49" w:firstLine="0"/>
        <w:jc w:val="both"/>
        <w:rPr>
          <w:rFonts w:ascii="Palatino Linotype" w:eastAsia="Palatino Linotype" w:hAnsi="Palatino Linotype" w:cs="Palatino Linotype"/>
          <w:sz w:val="24"/>
          <w:szCs w:val="24"/>
          <w:lang w:val="es-ES_tradnl"/>
        </w:rPr>
      </w:pPr>
      <w:r w:rsidRPr="00AD24C5">
        <w:rPr>
          <w:rFonts w:ascii="Palatino Linotype" w:eastAsia="Palatino Linotype" w:hAnsi="Palatino Linotype" w:cs="Palatino Linotype"/>
          <w:sz w:val="24"/>
          <w:szCs w:val="24"/>
        </w:rPr>
        <w:t xml:space="preserve">Es por lo anterior que, respecto los cheques, </w:t>
      </w:r>
      <w:r w:rsidRPr="00AD24C5">
        <w:rPr>
          <w:rFonts w:ascii="Palatino Linotype" w:eastAsia="Palatino Linotype" w:hAnsi="Palatino Linotype" w:cs="Palatino Linotype"/>
          <w:sz w:val="24"/>
          <w:szCs w:val="24"/>
          <w:lang w:val="es-ES_tradnl"/>
        </w:rPr>
        <w:t xml:space="preserve">resulta oportuno traer a colación el Instructivo del Módulo 1 del 2024 del Órgano Superior de Fiscalización del Estado de México (OSFEM) en su apartado denominado “Pólizas de Egresos con Documentos comprobatorios” siendo aquella póliza que refleja cualquier operación contable en la que se produzca una salida de efectivo o erogaciones, a través de transferencias bancarias electrónicas. </w:t>
      </w:r>
      <w:r w:rsidRPr="00AD24C5">
        <w:rPr>
          <w:rFonts w:ascii="Palatino Linotype" w:eastAsia="Palatino Linotype" w:hAnsi="Palatino Linotype" w:cs="Palatino Linotype"/>
          <w:sz w:val="24"/>
          <w:szCs w:val="24"/>
          <w:u w:val="single"/>
          <w:lang w:val="es-ES_tradnl"/>
        </w:rPr>
        <w:t>No obstante, si dicha erogación se realiza a través de un cheque bancario, la póliza contable será una póliza de cheque</w:t>
      </w:r>
      <w:r w:rsidRPr="00AD24C5">
        <w:rPr>
          <w:rFonts w:ascii="Palatino Linotype" w:eastAsia="Palatino Linotype" w:hAnsi="Palatino Linotype" w:cs="Palatino Linotype"/>
          <w:sz w:val="24"/>
          <w:szCs w:val="24"/>
          <w:lang w:val="es-ES_tradnl"/>
        </w:rPr>
        <w:t xml:space="preserve">. </w:t>
      </w:r>
    </w:p>
    <w:p w:rsidR="00563400" w:rsidRPr="00AD24C5" w:rsidRDefault="00563400" w:rsidP="00563400">
      <w:pPr>
        <w:spacing w:line="360" w:lineRule="auto"/>
        <w:ind w:right="49"/>
        <w:jc w:val="both"/>
        <w:rPr>
          <w:rFonts w:ascii="Palatino Linotype" w:eastAsia="Palatino Linotype" w:hAnsi="Palatino Linotype" w:cs="Palatino Linotype"/>
          <w:sz w:val="24"/>
          <w:szCs w:val="24"/>
        </w:rPr>
      </w:pPr>
    </w:p>
    <w:p w:rsidR="00563400" w:rsidRPr="00AD24C5" w:rsidRDefault="00563400" w:rsidP="00563400">
      <w:pPr>
        <w:spacing w:line="360" w:lineRule="auto"/>
        <w:ind w:right="49"/>
        <w:jc w:val="both"/>
        <w:rPr>
          <w:rFonts w:ascii="Palatino Linotype" w:eastAsia="Palatino Linotype" w:hAnsi="Palatino Linotype" w:cs="Palatino Linotype"/>
          <w:sz w:val="24"/>
          <w:szCs w:val="24"/>
        </w:rPr>
      </w:pPr>
    </w:p>
    <w:p w:rsidR="00563400" w:rsidRPr="00AD24C5" w:rsidRDefault="00563400" w:rsidP="00563400">
      <w:pPr>
        <w:numPr>
          <w:ilvl w:val="0"/>
          <w:numId w:val="2"/>
        </w:numPr>
        <w:spacing w:line="360" w:lineRule="auto"/>
        <w:ind w:left="0" w:right="49" w:firstLine="0"/>
        <w:jc w:val="both"/>
        <w:rPr>
          <w:rFonts w:ascii="Palatino Linotype" w:hAnsi="Palatino Linotype"/>
          <w:sz w:val="24"/>
          <w:szCs w:val="24"/>
        </w:rPr>
      </w:pPr>
      <w:r w:rsidRPr="00AD24C5">
        <w:rPr>
          <w:rFonts w:ascii="Palatino Linotype" w:eastAsia="Palatino Linotype" w:hAnsi="Palatino Linotype" w:cs="Palatino Linotype"/>
          <w:sz w:val="24"/>
          <w:szCs w:val="24"/>
        </w:rPr>
        <w:t>De lo anterior la Póliza de Cheque es un tipo de póliza que se utiliza en caso de</w:t>
      </w:r>
      <w:r w:rsidRPr="00AD24C5">
        <w:rPr>
          <w:rFonts w:ascii="Palatino Linotype" w:hAnsi="Palatino Linotype"/>
          <w:sz w:val="24"/>
          <w:szCs w:val="24"/>
        </w:rPr>
        <w:t xml:space="preserve"> erogaciones realizadas a través de un cheque, la cual debe tener el formato siguiente; </w:t>
      </w:r>
    </w:p>
    <w:p w:rsidR="00563400" w:rsidRPr="00AD24C5" w:rsidRDefault="00563400" w:rsidP="00563400">
      <w:pPr>
        <w:pBdr>
          <w:top w:val="nil"/>
          <w:left w:val="nil"/>
          <w:bottom w:val="nil"/>
          <w:right w:val="nil"/>
          <w:between w:val="nil"/>
        </w:pBdr>
        <w:spacing w:line="360" w:lineRule="auto"/>
        <w:contextualSpacing/>
        <w:jc w:val="center"/>
        <w:rPr>
          <w:rFonts w:ascii="Palatino Linotype" w:hAnsi="Palatino Linotype"/>
          <w:sz w:val="24"/>
          <w:szCs w:val="24"/>
        </w:rPr>
      </w:pPr>
      <w:r w:rsidRPr="00AD24C5">
        <w:rPr>
          <w:rFonts w:ascii="Palatino Linotype" w:hAnsi="Palatino Linotype"/>
          <w:noProof/>
          <w:sz w:val="24"/>
          <w:szCs w:val="24"/>
          <w:lang w:eastAsia="es-MX"/>
        </w:rPr>
        <w:lastRenderedPageBreak/>
        <w:drawing>
          <wp:inline distT="0" distB="0" distL="0" distR="0" wp14:anchorId="51736D39" wp14:editId="54320FAE">
            <wp:extent cx="4744093" cy="2491740"/>
            <wp:effectExtent l="0" t="0" r="0" b="3810"/>
            <wp:docPr id="180564095"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4095" name="Imagen 1" descr="Interfaz de usuario gráfica, Texto, Aplicación&#10;&#10;Descripción generada automáticamente"/>
                    <pic:cNvPicPr/>
                  </pic:nvPicPr>
                  <pic:blipFill>
                    <a:blip r:embed="rId9"/>
                    <a:stretch>
                      <a:fillRect/>
                    </a:stretch>
                  </pic:blipFill>
                  <pic:spPr>
                    <a:xfrm>
                      <a:off x="0" y="0"/>
                      <a:ext cx="4748924" cy="2494277"/>
                    </a:xfrm>
                    <a:prstGeom prst="rect">
                      <a:avLst/>
                    </a:prstGeom>
                  </pic:spPr>
                </pic:pic>
              </a:graphicData>
            </a:graphic>
          </wp:inline>
        </w:drawing>
      </w:r>
    </w:p>
    <w:p w:rsidR="00563400" w:rsidRPr="00AD24C5" w:rsidRDefault="00563400" w:rsidP="00563400">
      <w:pPr>
        <w:pBdr>
          <w:top w:val="nil"/>
          <w:left w:val="nil"/>
          <w:bottom w:val="nil"/>
          <w:right w:val="nil"/>
          <w:between w:val="nil"/>
        </w:pBdr>
        <w:tabs>
          <w:tab w:val="left" w:pos="2880"/>
        </w:tabs>
        <w:spacing w:line="360" w:lineRule="auto"/>
        <w:contextualSpacing/>
        <w:rPr>
          <w:rFonts w:ascii="Palatino Linotype" w:hAnsi="Palatino Linotype"/>
          <w:sz w:val="24"/>
          <w:szCs w:val="24"/>
        </w:rPr>
      </w:pPr>
      <w:r w:rsidRPr="00AD24C5">
        <w:rPr>
          <w:rFonts w:ascii="Palatino Linotype" w:hAnsi="Palatino Linotype"/>
          <w:sz w:val="24"/>
          <w:szCs w:val="24"/>
        </w:rPr>
        <w:tab/>
      </w:r>
    </w:p>
    <w:p w:rsidR="00563400" w:rsidRPr="00AD24C5" w:rsidRDefault="00563400" w:rsidP="00563400">
      <w:pPr>
        <w:numPr>
          <w:ilvl w:val="0"/>
          <w:numId w:val="2"/>
        </w:numPr>
        <w:spacing w:line="360" w:lineRule="auto"/>
        <w:ind w:left="0" w:right="49" w:firstLine="0"/>
        <w:jc w:val="both"/>
        <w:rPr>
          <w:rFonts w:ascii="Palatino Linotype" w:hAnsi="Palatino Linotype"/>
          <w:sz w:val="24"/>
          <w:szCs w:val="24"/>
        </w:rPr>
      </w:pPr>
      <w:r w:rsidRPr="00AD24C5">
        <w:rPr>
          <w:rFonts w:ascii="Palatino Linotype" w:hAnsi="Palatino Linotype"/>
          <w:sz w:val="24"/>
          <w:szCs w:val="24"/>
        </w:rPr>
        <w:t xml:space="preserve">Las “Pólizas de Cheques con los documentos comprobatorios” se deben de presentar en formato TIFF considerando las siguientes especificaciones: </w:t>
      </w:r>
    </w:p>
    <w:p w:rsidR="00563400" w:rsidRPr="00AD24C5" w:rsidRDefault="00563400" w:rsidP="00563400">
      <w:pPr>
        <w:pStyle w:val="Prrafodelista"/>
        <w:numPr>
          <w:ilvl w:val="0"/>
          <w:numId w:val="13"/>
        </w:numPr>
        <w:pBdr>
          <w:top w:val="nil"/>
          <w:left w:val="nil"/>
          <w:bottom w:val="nil"/>
          <w:right w:val="nil"/>
          <w:between w:val="nil"/>
        </w:pBdr>
        <w:spacing w:line="360" w:lineRule="auto"/>
        <w:ind w:right="964"/>
        <w:jc w:val="both"/>
        <w:rPr>
          <w:rFonts w:ascii="Palatino Linotype" w:hAnsi="Palatino Linotype"/>
          <w:i/>
          <w:iCs/>
          <w:sz w:val="24"/>
        </w:rPr>
      </w:pPr>
      <w:r w:rsidRPr="00AD24C5">
        <w:rPr>
          <w:rFonts w:ascii="Palatino Linotype" w:hAnsi="Palatino Linotype"/>
          <w:b/>
          <w:bCs/>
          <w:i/>
          <w:iCs/>
          <w:sz w:val="24"/>
        </w:rPr>
        <w:t>NP</w:t>
      </w:r>
      <w:r w:rsidRPr="00AD24C5">
        <w:rPr>
          <w:rFonts w:ascii="Palatino Linotype" w:hAnsi="Palatino Linotype"/>
          <w:i/>
          <w:iCs/>
          <w:sz w:val="24"/>
        </w:rPr>
        <w:t xml:space="preserve">: Número progresivo de los movimientos contables. </w:t>
      </w:r>
    </w:p>
    <w:p w:rsidR="00563400" w:rsidRPr="00AD24C5" w:rsidRDefault="00563400" w:rsidP="00563400">
      <w:pPr>
        <w:pStyle w:val="Prrafodelista"/>
        <w:numPr>
          <w:ilvl w:val="0"/>
          <w:numId w:val="13"/>
        </w:numPr>
        <w:pBdr>
          <w:top w:val="nil"/>
          <w:left w:val="nil"/>
          <w:bottom w:val="nil"/>
          <w:right w:val="nil"/>
          <w:between w:val="nil"/>
        </w:pBdr>
        <w:spacing w:line="360" w:lineRule="auto"/>
        <w:ind w:right="964"/>
        <w:jc w:val="both"/>
        <w:rPr>
          <w:rFonts w:ascii="Palatino Linotype" w:hAnsi="Palatino Linotype"/>
          <w:i/>
          <w:iCs/>
          <w:sz w:val="24"/>
        </w:rPr>
      </w:pPr>
      <w:r w:rsidRPr="00AD24C5">
        <w:rPr>
          <w:rFonts w:ascii="Palatino Linotype" w:hAnsi="Palatino Linotype"/>
          <w:b/>
          <w:bCs/>
          <w:i/>
          <w:iCs/>
          <w:sz w:val="24"/>
        </w:rPr>
        <w:t>Cta</w:t>
      </w:r>
      <w:r w:rsidRPr="00AD24C5">
        <w:rPr>
          <w:rFonts w:ascii="Palatino Linotype" w:hAnsi="Palatino Linotype"/>
          <w:i/>
          <w:iCs/>
          <w:sz w:val="24"/>
        </w:rPr>
        <w:t>: Cuenta contable al primer nivel de acuerdo a la Lista de Cuentas Específico Municipal del Manual Único de Contabilidad Gubernamental para las Dependencias y Entidades Públicas del Gobierno y Municipios del Estado de México.</w:t>
      </w:r>
    </w:p>
    <w:p w:rsidR="00563400" w:rsidRPr="00AD24C5" w:rsidRDefault="00563400" w:rsidP="00563400">
      <w:pPr>
        <w:pStyle w:val="Prrafodelista"/>
        <w:numPr>
          <w:ilvl w:val="0"/>
          <w:numId w:val="13"/>
        </w:numPr>
        <w:pBdr>
          <w:top w:val="nil"/>
          <w:left w:val="nil"/>
          <w:bottom w:val="nil"/>
          <w:right w:val="nil"/>
          <w:between w:val="nil"/>
        </w:pBdr>
        <w:spacing w:line="360" w:lineRule="auto"/>
        <w:ind w:right="964"/>
        <w:jc w:val="both"/>
        <w:rPr>
          <w:rFonts w:ascii="Palatino Linotype" w:hAnsi="Palatino Linotype"/>
          <w:i/>
          <w:iCs/>
          <w:sz w:val="24"/>
        </w:rPr>
      </w:pPr>
      <w:r w:rsidRPr="00AD24C5">
        <w:rPr>
          <w:rFonts w:ascii="Palatino Linotype" w:hAnsi="Palatino Linotype"/>
          <w:i/>
          <w:iCs/>
          <w:sz w:val="24"/>
        </w:rPr>
        <w:t xml:space="preserve"> </w:t>
      </w:r>
      <w:r w:rsidRPr="00AD24C5">
        <w:rPr>
          <w:rFonts w:ascii="Palatino Linotype" w:hAnsi="Palatino Linotype"/>
          <w:b/>
          <w:bCs/>
          <w:i/>
          <w:iCs/>
          <w:sz w:val="24"/>
        </w:rPr>
        <w:t>Scta</w:t>
      </w:r>
      <w:r w:rsidRPr="00AD24C5">
        <w:rPr>
          <w:rFonts w:ascii="Palatino Linotype" w:hAnsi="Palatino Linotype"/>
          <w:i/>
          <w:iCs/>
          <w:sz w:val="24"/>
        </w:rPr>
        <w:t>: Cuenta contable al segundo nivel de acuerdo a la Lista de Cuentas Específico Municipal del Manual Único de Contabilidad Gubernamental para las Dependencias y Entidades Públicas del Gobierno y Municipios del Estado de México.</w:t>
      </w:r>
    </w:p>
    <w:p w:rsidR="00563400" w:rsidRPr="00AD24C5" w:rsidRDefault="00563400" w:rsidP="00563400">
      <w:pPr>
        <w:pStyle w:val="Prrafodelista"/>
        <w:numPr>
          <w:ilvl w:val="0"/>
          <w:numId w:val="13"/>
        </w:numPr>
        <w:pBdr>
          <w:top w:val="nil"/>
          <w:left w:val="nil"/>
          <w:bottom w:val="nil"/>
          <w:right w:val="nil"/>
          <w:between w:val="nil"/>
        </w:pBdr>
        <w:spacing w:line="360" w:lineRule="auto"/>
        <w:ind w:right="964"/>
        <w:jc w:val="both"/>
        <w:rPr>
          <w:rFonts w:ascii="Palatino Linotype" w:hAnsi="Palatino Linotype"/>
          <w:i/>
          <w:iCs/>
          <w:sz w:val="24"/>
        </w:rPr>
      </w:pPr>
      <w:r w:rsidRPr="00AD24C5">
        <w:rPr>
          <w:rFonts w:ascii="Palatino Linotype" w:hAnsi="Palatino Linotype"/>
          <w:b/>
          <w:bCs/>
          <w:i/>
          <w:iCs/>
          <w:sz w:val="24"/>
        </w:rPr>
        <w:t>Sscta:</w:t>
      </w:r>
      <w:r w:rsidRPr="00AD24C5">
        <w:rPr>
          <w:rFonts w:ascii="Palatino Linotype" w:hAnsi="Palatino Linotype"/>
          <w:i/>
          <w:iCs/>
          <w:sz w:val="24"/>
        </w:rPr>
        <w:t xml:space="preserve"> Cuenta contable al tercer nivel de acuerdo a la Lista de Cuentas Específico Municipal del Manual Único de Contabilidad Gubernamental para </w:t>
      </w:r>
      <w:r w:rsidRPr="00AD24C5">
        <w:rPr>
          <w:rFonts w:ascii="Palatino Linotype" w:hAnsi="Palatino Linotype"/>
          <w:i/>
          <w:iCs/>
          <w:sz w:val="24"/>
        </w:rPr>
        <w:lastRenderedPageBreak/>
        <w:t xml:space="preserve">las Dependencias y Entidades Públicas del Gobierno y Municipios del Estado de México. </w:t>
      </w:r>
    </w:p>
    <w:p w:rsidR="00563400" w:rsidRPr="00AD24C5" w:rsidRDefault="00563400" w:rsidP="00563400">
      <w:pPr>
        <w:pStyle w:val="Prrafodelista"/>
        <w:numPr>
          <w:ilvl w:val="0"/>
          <w:numId w:val="13"/>
        </w:numPr>
        <w:pBdr>
          <w:top w:val="nil"/>
          <w:left w:val="nil"/>
          <w:bottom w:val="nil"/>
          <w:right w:val="nil"/>
          <w:between w:val="nil"/>
        </w:pBdr>
        <w:spacing w:line="360" w:lineRule="auto"/>
        <w:ind w:right="964"/>
        <w:jc w:val="both"/>
        <w:rPr>
          <w:rFonts w:ascii="Palatino Linotype" w:hAnsi="Palatino Linotype"/>
          <w:i/>
          <w:iCs/>
          <w:sz w:val="24"/>
        </w:rPr>
      </w:pPr>
      <w:r w:rsidRPr="00AD24C5">
        <w:rPr>
          <w:rFonts w:ascii="Palatino Linotype" w:hAnsi="Palatino Linotype"/>
          <w:i/>
          <w:iCs/>
          <w:sz w:val="24"/>
        </w:rPr>
        <w:t xml:space="preserve"> </w:t>
      </w:r>
      <w:r w:rsidRPr="00AD24C5">
        <w:rPr>
          <w:rFonts w:ascii="Palatino Linotype" w:hAnsi="Palatino Linotype"/>
          <w:b/>
          <w:bCs/>
          <w:i/>
          <w:iCs/>
          <w:sz w:val="24"/>
        </w:rPr>
        <w:t>Ssscta</w:t>
      </w:r>
      <w:r w:rsidRPr="00AD24C5">
        <w:rPr>
          <w:rFonts w:ascii="Palatino Linotype" w:hAnsi="Palatino Linotype"/>
          <w:i/>
          <w:iCs/>
          <w:sz w:val="24"/>
        </w:rPr>
        <w:t xml:space="preserve">: Cuenta contable al cuarto nivel de acuerdo a la Lista de Cuentas Específico Municipal del Manual Único de Contabilidad Gubernamental para las Dependencias y Entidades Públicas del Gobierno y Municipios del Estado de México. </w:t>
      </w:r>
    </w:p>
    <w:p w:rsidR="00563400" w:rsidRPr="00AD24C5" w:rsidRDefault="00563400" w:rsidP="00563400">
      <w:pPr>
        <w:pStyle w:val="Prrafodelista"/>
        <w:numPr>
          <w:ilvl w:val="0"/>
          <w:numId w:val="13"/>
        </w:numPr>
        <w:pBdr>
          <w:top w:val="nil"/>
          <w:left w:val="nil"/>
          <w:bottom w:val="nil"/>
          <w:right w:val="nil"/>
          <w:between w:val="nil"/>
        </w:pBdr>
        <w:spacing w:line="360" w:lineRule="auto"/>
        <w:ind w:right="964"/>
        <w:jc w:val="both"/>
        <w:rPr>
          <w:rFonts w:ascii="Palatino Linotype" w:hAnsi="Palatino Linotype"/>
          <w:i/>
          <w:iCs/>
          <w:sz w:val="24"/>
        </w:rPr>
      </w:pPr>
      <w:r w:rsidRPr="00AD24C5">
        <w:rPr>
          <w:rFonts w:ascii="Palatino Linotype" w:hAnsi="Palatino Linotype"/>
          <w:b/>
          <w:bCs/>
          <w:i/>
          <w:iCs/>
          <w:sz w:val="24"/>
        </w:rPr>
        <w:t>Sssscta:</w:t>
      </w:r>
      <w:r w:rsidRPr="00AD24C5">
        <w:rPr>
          <w:rFonts w:ascii="Palatino Linotype" w:hAnsi="Palatino Linotype"/>
          <w:i/>
          <w:iCs/>
          <w:sz w:val="24"/>
        </w:rPr>
        <w:t xml:space="preserve"> Cuenta contable al quinto nivel de acuerdo a la Lista de Cuentas Específico Municipal del Manual Único de Contabilidad Gubernamental para las Dependencias y Entidades Públicas del Gobierno y Municipios del Estado de México. </w:t>
      </w:r>
    </w:p>
    <w:p w:rsidR="00563400" w:rsidRPr="00AD24C5" w:rsidRDefault="00563400" w:rsidP="00563400">
      <w:pPr>
        <w:pStyle w:val="Prrafodelista"/>
        <w:numPr>
          <w:ilvl w:val="0"/>
          <w:numId w:val="13"/>
        </w:numPr>
        <w:pBdr>
          <w:top w:val="nil"/>
          <w:left w:val="nil"/>
          <w:bottom w:val="nil"/>
          <w:right w:val="nil"/>
          <w:between w:val="nil"/>
        </w:pBdr>
        <w:spacing w:line="360" w:lineRule="auto"/>
        <w:ind w:right="964"/>
        <w:jc w:val="both"/>
        <w:rPr>
          <w:rFonts w:ascii="Palatino Linotype" w:hAnsi="Palatino Linotype"/>
          <w:i/>
          <w:iCs/>
          <w:sz w:val="24"/>
        </w:rPr>
      </w:pPr>
      <w:r w:rsidRPr="00AD24C5">
        <w:rPr>
          <w:rFonts w:ascii="Palatino Linotype" w:hAnsi="Palatino Linotype"/>
          <w:b/>
          <w:bCs/>
          <w:i/>
          <w:iCs/>
          <w:sz w:val="24"/>
        </w:rPr>
        <w:t>Ref</w:t>
      </w:r>
      <w:r w:rsidRPr="00AD24C5">
        <w:rPr>
          <w:rFonts w:ascii="Palatino Linotype" w:hAnsi="Palatino Linotype"/>
          <w:i/>
          <w:iCs/>
          <w:sz w:val="24"/>
        </w:rPr>
        <w:t xml:space="preserve">: Las pólizas hacen referencia al documento en el que se registran las distintas operaciones contables, por ejemplo: CH-12. </w:t>
      </w:r>
    </w:p>
    <w:p w:rsidR="00563400" w:rsidRPr="00AD24C5" w:rsidRDefault="00563400" w:rsidP="00563400">
      <w:pPr>
        <w:pStyle w:val="Prrafodelista"/>
        <w:numPr>
          <w:ilvl w:val="0"/>
          <w:numId w:val="13"/>
        </w:numPr>
        <w:pBdr>
          <w:top w:val="nil"/>
          <w:left w:val="nil"/>
          <w:bottom w:val="nil"/>
          <w:right w:val="nil"/>
          <w:between w:val="nil"/>
        </w:pBdr>
        <w:spacing w:line="360" w:lineRule="auto"/>
        <w:ind w:right="964"/>
        <w:jc w:val="both"/>
        <w:rPr>
          <w:rFonts w:ascii="Palatino Linotype" w:hAnsi="Palatino Linotype"/>
          <w:i/>
          <w:iCs/>
          <w:sz w:val="24"/>
        </w:rPr>
      </w:pPr>
      <w:r w:rsidRPr="00AD24C5">
        <w:rPr>
          <w:rFonts w:ascii="Palatino Linotype" w:hAnsi="Palatino Linotype"/>
          <w:b/>
          <w:bCs/>
          <w:i/>
          <w:iCs/>
          <w:sz w:val="24"/>
        </w:rPr>
        <w:t>Concepto</w:t>
      </w:r>
      <w:r w:rsidRPr="00AD24C5">
        <w:rPr>
          <w:rFonts w:ascii="Palatino Linotype" w:hAnsi="Palatino Linotype"/>
          <w:i/>
          <w:iCs/>
          <w:sz w:val="24"/>
        </w:rPr>
        <w:t>: Anotar de acuerdo al Manual Único de Contabilidad Gubernamental para las Dependencias y Entidades Públicas del Gobierno y Municipios del Estado de México, a su registro contable y presupuestal: el nombre del concepto del clasificador por objeto del gasto y el nombre del beneficiario o proveedor completo, el nombre de la descripción de la lista de cuentas y el nombre del concepto de la lista de Lista de Cuentas Específico Municipal, nombre de la institución bancaria, número de cuenta bancaria, número de cheque y fondo.</w:t>
      </w:r>
    </w:p>
    <w:p w:rsidR="00563400" w:rsidRPr="00AD24C5" w:rsidRDefault="00563400" w:rsidP="00563400">
      <w:pPr>
        <w:pStyle w:val="Prrafodelista"/>
        <w:numPr>
          <w:ilvl w:val="0"/>
          <w:numId w:val="13"/>
        </w:numPr>
        <w:pBdr>
          <w:top w:val="nil"/>
          <w:left w:val="nil"/>
          <w:bottom w:val="nil"/>
          <w:right w:val="nil"/>
          <w:between w:val="nil"/>
        </w:pBdr>
        <w:spacing w:line="360" w:lineRule="auto"/>
        <w:ind w:right="964"/>
        <w:jc w:val="both"/>
        <w:rPr>
          <w:rFonts w:ascii="Palatino Linotype" w:hAnsi="Palatino Linotype"/>
          <w:i/>
          <w:iCs/>
          <w:sz w:val="24"/>
        </w:rPr>
      </w:pPr>
      <w:r w:rsidRPr="00AD24C5">
        <w:rPr>
          <w:rFonts w:ascii="Palatino Linotype" w:hAnsi="Palatino Linotype"/>
          <w:b/>
          <w:bCs/>
          <w:i/>
          <w:iCs/>
          <w:sz w:val="24"/>
        </w:rPr>
        <w:t>Debe:</w:t>
      </w:r>
      <w:r w:rsidRPr="00AD24C5">
        <w:rPr>
          <w:rFonts w:ascii="Palatino Linotype" w:hAnsi="Palatino Linotype"/>
          <w:i/>
          <w:iCs/>
          <w:sz w:val="24"/>
        </w:rPr>
        <w:t xml:space="preserve"> Importe total de los cargos contables correspondientes de cada una de las cuentas contables. </w:t>
      </w:r>
    </w:p>
    <w:p w:rsidR="00563400" w:rsidRPr="00AD24C5" w:rsidRDefault="00563400" w:rsidP="00563400">
      <w:pPr>
        <w:pStyle w:val="Prrafodelista"/>
        <w:spacing w:line="360" w:lineRule="auto"/>
        <w:ind w:right="964"/>
        <w:rPr>
          <w:rFonts w:ascii="Palatino Linotype" w:hAnsi="Palatino Linotype"/>
          <w:i/>
          <w:iCs/>
          <w:sz w:val="24"/>
        </w:rPr>
      </w:pPr>
    </w:p>
    <w:p w:rsidR="00563400" w:rsidRPr="00AD24C5" w:rsidRDefault="00563400" w:rsidP="00563400">
      <w:pPr>
        <w:pStyle w:val="Prrafodelista"/>
        <w:numPr>
          <w:ilvl w:val="0"/>
          <w:numId w:val="13"/>
        </w:numPr>
        <w:pBdr>
          <w:top w:val="nil"/>
          <w:left w:val="nil"/>
          <w:bottom w:val="nil"/>
          <w:right w:val="nil"/>
          <w:between w:val="nil"/>
        </w:pBdr>
        <w:spacing w:line="360" w:lineRule="auto"/>
        <w:ind w:right="964"/>
        <w:jc w:val="both"/>
        <w:rPr>
          <w:rFonts w:ascii="Palatino Linotype" w:hAnsi="Palatino Linotype"/>
          <w:i/>
          <w:iCs/>
          <w:sz w:val="24"/>
        </w:rPr>
      </w:pPr>
      <w:r w:rsidRPr="00AD24C5">
        <w:rPr>
          <w:rFonts w:ascii="Palatino Linotype" w:hAnsi="Palatino Linotype"/>
          <w:i/>
          <w:iCs/>
          <w:sz w:val="24"/>
        </w:rPr>
        <w:lastRenderedPageBreak/>
        <w:t xml:space="preserve"> </w:t>
      </w:r>
      <w:r w:rsidRPr="00AD24C5">
        <w:rPr>
          <w:rFonts w:ascii="Palatino Linotype" w:hAnsi="Palatino Linotype"/>
          <w:b/>
          <w:bCs/>
          <w:i/>
          <w:iCs/>
          <w:sz w:val="24"/>
        </w:rPr>
        <w:t>Haber</w:t>
      </w:r>
      <w:r w:rsidRPr="00AD24C5">
        <w:rPr>
          <w:rFonts w:ascii="Palatino Linotype" w:hAnsi="Palatino Linotype"/>
          <w:i/>
          <w:iCs/>
          <w:sz w:val="24"/>
        </w:rPr>
        <w:t xml:space="preserve">: Importe total de los abonos contables correspondientes de cada una de las cuentas contables. </w:t>
      </w:r>
    </w:p>
    <w:p w:rsidR="00563400" w:rsidRPr="00AD24C5" w:rsidRDefault="00563400" w:rsidP="00563400">
      <w:pPr>
        <w:pStyle w:val="Prrafodelista"/>
        <w:numPr>
          <w:ilvl w:val="0"/>
          <w:numId w:val="13"/>
        </w:numPr>
        <w:pBdr>
          <w:top w:val="nil"/>
          <w:left w:val="nil"/>
          <w:bottom w:val="nil"/>
          <w:right w:val="nil"/>
          <w:between w:val="nil"/>
        </w:pBdr>
        <w:spacing w:line="360" w:lineRule="auto"/>
        <w:ind w:right="964"/>
        <w:jc w:val="both"/>
        <w:rPr>
          <w:rFonts w:ascii="Palatino Linotype" w:hAnsi="Palatino Linotype"/>
          <w:i/>
          <w:iCs/>
          <w:sz w:val="24"/>
        </w:rPr>
      </w:pPr>
      <w:r w:rsidRPr="00AD24C5">
        <w:rPr>
          <w:rFonts w:ascii="Palatino Linotype" w:hAnsi="Palatino Linotype"/>
          <w:i/>
          <w:iCs/>
          <w:sz w:val="24"/>
        </w:rPr>
        <w:t xml:space="preserve"> </w:t>
      </w:r>
      <w:r w:rsidRPr="00AD24C5">
        <w:rPr>
          <w:rFonts w:ascii="Palatino Linotype" w:hAnsi="Palatino Linotype"/>
          <w:b/>
          <w:bCs/>
          <w:i/>
          <w:iCs/>
          <w:sz w:val="24"/>
        </w:rPr>
        <w:t>Saldo Total de la Póliza</w:t>
      </w:r>
      <w:r w:rsidRPr="00AD24C5">
        <w:rPr>
          <w:rFonts w:ascii="Palatino Linotype" w:hAnsi="Palatino Linotype"/>
          <w:i/>
          <w:iCs/>
          <w:sz w:val="24"/>
        </w:rPr>
        <w:t xml:space="preserve">: Suma de los importes registrados en cada una de las columnas del debe y haber. </w:t>
      </w:r>
    </w:p>
    <w:p w:rsidR="00563400" w:rsidRPr="00AD24C5" w:rsidRDefault="00563400" w:rsidP="00563400">
      <w:pPr>
        <w:pStyle w:val="Prrafodelista"/>
        <w:numPr>
          <w:ilvl w:val="0"/>
          <w:numId w:val="13"/>
        </w:numPr>
        <w:pBdr>
          <w:top w:val="nil"/>
          <w:left w:val="nil"/>
          <w:bottom w:val="nil"/>
          <w:right w:val="nil"/>
          <w:between w:val="nil"/>
        </w:pBdr>
        <w:spacing w:line="360" w:lineRule="auto"/>
        <w:ind w:right="964"/>
        <w:jc w:val="both"/>
        <w:rPr>
          <w:rFonts w:ascii="Palatino Linotype" w:hAnsi="Palatino Linotype"/>
          <w:i/>
          <w:iCs/>
          <w:sz w:val="24"/>
        </w:rPr>
      </w:pPr>
      <w:r w:rsidRPr="00AD24C5">
        <w:rPr>
          <w:rFonts w:ascii="Palatino Linotype" w:hAnsi="Palatino Linotype"/>
          <w:b/>
          <w:bCs/>
          <w:i/>
          <w:iCs/>
          <w:sz w:val="24"/>
        </w:rPr>
        <w:t>Descripción</w:t>
      </w:r>
      <w:r w:rsidRPr="00AD24C5">
        <w:rPr>
          <w:rFonts w:ascii="Palatino Linotype" w:hAnsi="Palatino Linotype"/>
          <w:i/>
          <w:iCs/>
          <w:sz w:val="24"/>
        </w:rPr>
        <w:t xml:space="preserve">: De manera breve y específica anotar el hecho que generó el asiento contable. </w:t>
      </w:r>
    </w:p>
    <w:p w:rsidR="00563400" w:rsidRPr="00AD24C5" w:rsidRDefault="00563400" w:rsidP="00563400">
      <w:pPr>
        <w:pBdr>
          <w:top w:val="nil"/>
          <w:left w:val="nil"/>
          <w:bottom w:val="nil"/>
          <w:right w:val="nil"/>
          <w:between w:val="nil"/>
        </w:pBdr>
        <w:spacing w:line="360" w:lineRule="auto"/>
        <w:ind w:left="708" w:right="964"/>
        <w:contextualSpacing/>
        <w:rPr>
          <w:rFonts w:ascii="Palatino Linotype" w:hAnsi="Palatino Linotype"/>
          <w:i/>
          <w:iCs/>
          <w:sz w:val="24"/>
          <w:szCs w:val="24"/>
        </w:rPr>
      </w:pPr>
      <w:r w:rsidRPr="00AD24C5">
        <w:rPr>
          <w:rFonts w:ascii="Palatino Linotype" w:hAnsi="Palatino Linotype"/>
          <w:i/>
          <w:iCs/>
          <w:sz w:val="24"/>
          <w:szCs w:val="24"/>
        </w:rPr>
        <w:t xml:space="preserve">La información de pólizas se presenta de manera física a través de CD junto con el Oficio de Presentación, el CD debe de tener la etiqueta con los datos de identificación de la Entidad, especificando la información que se presenta y la certificación correspondiente </w:t>
      </w:r>
    </w:p>
    <w:p w:rsidR="00563400" w:rsidRPr="00AD24C5" w:rsidRDefault="00563400" w:rsidP="00563400">
      <w:pPr>
        <w:pBdr>
          <w:top w:val="nil"/>
          <w:left w:val="nil"/>
          <w:bottom w:val="nil"/>
          <w:right w:val="nil"/>
          <w:between w:val="nil"/>
        </w:pBdr>
        <w:spacing w:line="360" w:lineRule="auto"/>
        <w:ind w:right="964"/>
        <w:contextualSpacing/>
        <w:rPr>
          <w:rFonts w:ascii="Palatino Linotype" w:hAnsi="Palatino Linotype"/>
          <w:sz w:val="24"/>
          <w:szCs w:val="24"/>
        </w:rPr>
      </w:pPr>
    </w:p>
    <w:p w:rsidR="00563400" w:rsidRPr="00AD24C5" w:rsidRDefault="00563400" w:rsidP="00563400">
      <w:pPr>
        <w:numPr>
          <w:ilvl w:val="0"/>
          <w:numId w:val="2"/>
        </w:numPr>
        <w:spacing w:line="360" w:lineRule="auto"/>
        <w:ind w:left="0" w:right="49" w:firstLine="0"/>
        <w:jc w:val="both"/>
        <w:rPr>
          <w:rFonts w:ascii="Palatino Linotype" w:hAnsi="Palatino Linotype"/>
          <w:sz w:val="24"/>
          <w:szCs w:val="24"/>
        </w:rPr>
      </w:pPr>
      <w:r w:rsidRPr="00AD24C5">
        <w:rPr>
          <w:rFonts w:ascii="Palatino Linotype" w:eastAsia="Palatino Linotype" w:hAnsi="Palatino Linotype" w:cs="Palatino Linotype"/>
          <w:sz w:val="24"/>
          <w:szCs w:val="24"/>
        </w:rPr>
        <w:t>Como</w:t>
      </w:r>
      <w:r w:rsidRPr="00AD24C5">
        <w:rPr>
          <w:rFonts w:ascii="Palatino Linotype" w:hAnsi="Palatino Linotype"/>
          <w:sz w:val="24"/>
          <w:szCs w:val="24"/>
        </w:rPr>
        <w:t xml:space="preserve"> se puedo observar, el documento referido resulta el idóneo para colmar la pretensión del Recurrente, pues contiene la información solicitada; no obstante, este formato se genera de manera mensual, como lo dispone los lineamientos para la integración, presentación y envío de los informes trimestrales munic</w:t>
      </w:r>
      <w:r w:rsidR="00786E9C" w:rsidRPr="00AD24C5">
        <w:rPr>
          <w:rFonts w:ascii="Palatino Linotype" w:hAnsi="Palatino Linotype"/>
          <w:sz w:val="24"/>
          <w:szCs w:val="24"/>
        </w:rPr>
        <w:t>ipales del ejercicio fiscal 2025</w:t>
      </w:r>
      <w:r w:rsidRPr="00AD24C5">
        <w:rPr>
          <w:rFonts w:ascii="Palatino Linotype" w:hAnsi="Palatino Linotype"/>
          <w:sz w:val="24"/>
          <w:szCs w:val="24"/>
        </w:rPr>
        <w:t>, como se observa a continuación,</w:t>
      </w:r>
    </w:p>
    <w:p w:rsidR="00563400" w:rsidRPr="00AD24C5" w:rsidRDefault="00563400" w:rsidP="00563400">
      <w:pPr>
        <w:pBdr>
          <w:top w:val="nil"/>
          <w:left w:val="nil"/>
          <w:bottom w:val="nil"/>
          <w:right w:val="nil"/>
          <w:between w:val="nil"/>
        </w:pBdr>
        <w:spacing w:line="360" w:lineRule="auto"/>
        <w:contextualSpacing/>
        <w:rPr>
          <w:rFonts w:ascii="Palatino Linotype" w:hAnsi="Palatino Linotype"/>
          <w:sz w:val="24"/>
          <w:szCs w:val="24"/>
        </w:rPr>
      </w:pPr>
    </w:p>
    <w:p w:rsidR="00563400" w:rsidRPr="00AD24C5" w:rsidRDefault="00563400" w:rsidP="00563400">
      <w:pPr>
        <w:pBdr>
          <w:top w:val="nil"/>
          <w:left w:val="nil"/>
          <w:bottom w:val="nil"/>
          <w:right w:val="nil"/>
          <w:between w:val="nil"/>
        </w:pBdr>
        <w:spacing w:line="360" w:lineRule="auto"/>
        <w:contextualSpacing/>
        <w:rPr>
          <w:rFonts w:ascii="Palatino Linotype" w:hAnsi="Palatino Linotype"/>
          <w:sz w:val="24"/>
          <w:szCs w:val="24"/>
        </w:rPr>
      </w:pPr>
      <w:r w:rsidRPr="00AD24C5">
        <w:rPr>
          <w:rFonts w:ascii="Palatino Linotype" w:hAnsi="Palatino Linotype"/>
          <w:noProof/>
          <w:sz w:val="24"/>
          <w:szCs w:val="24"/>
          <w:lang w:eastAsia="es-MX"/>
        </w:rPr>
        <w:lastRenderedPageBreak/>
        <w:drawing>
          <wp:inline distT="0" distB="0" distL="0" distR="0" wp14:anchorId="1F90563D" wp14:editId="7F491555">
            <wp:extent cx="5987120" cy="1927860"/>
            <wp:effectExtent l="0" t="0" r="0" b="0"/>
            <wp:docPr id="1038990133"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90133" name="Imagen 1" descr="Interfaz de usuario gráfica, Aplicación&#10;&#10;Descripción generada automáticamente"/>
                    <pic:cNvPicPr/>
                  </pic:nvPicPr>
                  <pic:blipFill>
                    <a:blip r:embed="rId10"/>
                    <a:stretch>
                      <a:fillRect/>
                    </a:stretch>
                  </pic:blipFill>
                  <pic:spPr>
                    <a:xfrm>
                      <a:off x="0" y="0"/>
                      <a:ext cx="5991787" cy="1929363"/>
                    </a:xfrm>
                    <a:prstGeom prst="rect">
                      <a:avLst/>
                    </a:prstGeom>
                  </pic:spPr>
                </pic:pic>
              </a:graphicData>
            </a:graphic>
          </wp:inline>
        </w:drawing>
      </w:r>
    </w:p>
    <w:p w:rsidR="00563400" w:rsidRPr="00AD24C5" w:rsidRDefault="00563400" w:rsidP="00563400">
      <w:pPr>
        <w:pBdr>
          <w:top w:val="nil"/>
          <w:left w:val="nil"/>
          <w:bottom w:val="nil"/>
          <w:right w:val="nil"/>
          <w:between w:val="nil"/>
        </w:pBdr>
        <w:spacing w:line="360" w:lineRule="auto"/>
        <w:contextualSpacing/>
        <w:rPr>
          <w:rFonts w:ascii="Palatino Linotype" w:hAnsi="Palatino Linotype"/>
          <w:sz w:val="24"/>
          <w:szCs w:val="24"/>
        </w:rPr>
      </w:pPr>
    </w:p>
    <w:p w:rsidR="00786E9C" w:rsidRPr="00AD24C5" w:rsidRDefault="00563400" w:rsidP="004E39B3">
      <w:pPr>
        <w:numPr>
          <w:ilvl w:val="0"/>
          <w:numId w:val="2"/>
        </w:numPr>
        <w:spacing w:line="360" w:lineRule="auto"/>
        <w:ind w:left="0" w:right="49" w:firstLine="0"/>
        <w:contextualSpacing/>
        <w:jc w:val="both"/>
        <w:rPr>
          <w:rFonts w:ascii="Palatino Linotype" w:hAnsi="Palatino Linotype"/>
          <w:sz w:val="24"/>
          <w:szCs w:val="24"/>
        </w:rPr>
      </w:pPr>
      <w:r w:rsidRPr="00AD24C5">
        <w:rPr>
          <w:rFonts w:ascii="Palatino Linotype" w:hAnsi="Palatino Linotype"/>
          <w:sz w:val="24"/>
          <w:szCs w:val="24"/>
        </w:rPr>
        <w:t xml:space="preserve">De lo anterior y cómo podemos apreciar </w:t>
      </w:r>
      <w:r w:rsidR="00786E9C" w:rsidRPr="00AD24C5">
        <w:rPr>
          <w:rFonts w:ascii="Palatino Linotype" w:hAnsi="Palatino Linotype"/>
          <w:sz w:val="24"/>
          <w:szCs w:val="24"/>
        </w:rPr>
        <w:t xml:space="preserve">del requerimiento de información , </w:t>
      </w:r>
      <w:r w:rsidRPr="00AD24C5">
        <w:rPr>
          <w:rFonts w:ascii="Palatino Linotype" w:hAnsi="Palatino Linotype"/>
          <w:sz w:val="24"/>
          <w:szCs w:val="24"/>
        </w:rPr>
        <w:t xml:space="preserve">el </w:t>
      </w:r>
      <w:r w:rsidR="00786E9C" w:rsidRPr="00AD24C5">
        <w:rPr>
          <w:rFonts w:ascii="Palatino Linotype" w:hAnsi="Palatino Linotype"/>
          <w:b/>
          <w:sz w:val="24"/>
          <w:szCs w:val="24"/>
        </w:rPr>
        <w:t>SUJETO OBLIGADO</w:t>
      </w:r>
      <w:r w:rsidR="00786E9C" w:rsidRPr="00AD24C5">
        <w:rPr>
          <w:rFonts w:ascii="Palatino Linotype" w:hAnsi="Palatino Linotype"/>
          <w:sz w:val="24"/>
          <w:szCs w:val="24"/>
        </w:rPr>
        <w:t xml:space="preserve"> </w:t>
      </w:r>
      <w:r w:rsidRPr="00AD24C5">
        <w:rPr>
          <w:rFonts w:ascii="Palatino Linotype" w:hAnsi="Palatino Linotype"/>
          <w:sz w:val="24"/>
          <w:szCs w:val="24"/>
        </w:rPr>
        <w:t xml:space="preserve">no niega contar con la información </w:t>
      </w:r>
      <w:r w:rsidR="00786E9C" w:rsidRPr="00AD24C5">
        <w:rPr>
          <w:rFonts w:ascii="Palatino Linotype" w:hAnsi="Palatino Linotype"/>
          <w:sz w:val="24"/>
          <w:szCs w:val="24"/>
        </w:rPr>
        <w:t>solicitada, pues este refirió que el pago de la quincena en comento se realiza a través de pago de cheque o transferencia, en consecuencia se ordena entregar las pólizas de cheques de la primera quincena de abril del año dos mil veinticinco, así como y el movimiento reflejado en la cuenta de cobro correspondiente de los cheques emitidos y/o cobrados así como informar que sucede con el dine</w:t>
      </w:r>
      <w:r w:rsidR="00AD24C5" w:rsidRPr="00AD24C5">
        <w:rPr>
          <w:rFonts w:ascii="Palatino Linotype" w:hAnsi="Palatino Linotype"/>
          <w:sz w:val="24"/>
          <w:szCs w:val="24"/>
        </w:rPr>
        <w:t xml:space="preserve">ro de un cheque que no se cobró (con salvedad) </w:t>
      </w:r>
      <w:r w:rsidR="00786E9C" w:rsidRPr="00AD24C5">
        <w:rPr>
          <w:rFonts w:ascii="Palatino Linotype" w:hAnsi="Palatino Linotype"/>
          <w:sz w:val="24"/>
          <w:szCs w:val="24"/>
        </w:rPr>
        <w:t xml:space="preserve"> lo anterior de acuerdo a lo siguiente:</w:t>
      </w:r>
    </w:p>
    <w:p w:rsidR="00786E9C" w:rsidRPr="00AD24C5" w:rsidRDefault="00A8606B" w:rsidP="00A8606B">
      <w:pPr>
        <w:spacing w:line="276" w:lineRule="auto"/>
        <w:ind w:right="49"/>
        <w:contextualSpacing/>
        <w:jc w:val="center"/>
        <w:rPr>
          <w:rFonts w:ascii="Palatino Linotype" w:hAnsi="Palatino Linotype"/>
          <w:b/>
          <w:i/>
          <w:sz w:val="24"/>
          <w:szCs w:val="24"/>
        </w:rPr>
      </w:pPr>
      <w:r w:rsidRPr="00AD24C5">
        <w:rPr>
          <w:rFonts w:ascii="Palatino Linotype" w:hAnsi="Palatino Linotype"/>
          <w:b/>
          <w:i/>
          <w:sz w:val="24"/>
          <w:szCs w:val="24"/>
        </w:rPr>
        <w:t>Manual de Organización de la Tesorería Municipal</w:t>
      </w:r>
    </w:p>
    <w:p w:rsidR="00786E9C" w:rsidRPr="00AD24C5" w:rsidRDefault="00786E9C" w:rsidP="00A8606B">
      <w:pPr>
        <w:spacing w:line="276" w:lineRule="auto"/>
        <w:ind w:right="49"/>
        <w:contextualSpacing/>
        <w:jc w:val="both"/>
        <w:rPr>
          <w:rFonts w:ascii="Palatino Linotype" w:hAnsi="Palatino Linotype"/>
          <w:i/>
          <w:sz w:val="24"/>
          <w:szCs w:val="24"/>
        </w:rPr>
      </w:pPr>
    </w:p>
    <w:p w:rsidR="00786E9C" w:rsidRPr="00AD24C5" w:rsidRDefault="00A8606B" w:rsidP="00A8606B">
      <w:pPr>
        <w:spacing w:line="276" w:lineRule="auto"/>
        <w:ind w:left="709" w:right="539" w:hanging="709"/>
        <w:contextualSpacing/>
        <w:jc w:val="both"/>
        <w:rPr>
          <w:rFonts w:ascii="Palatino Linotype" w:hAnsi="Palatino Linotype"/>
          <w:b/>
          <w:i/>
          <w:sz w:val="24"/>
          <w:szCs w:val="24"/>
        </w:rPr>
      </w:pPr>
      <w:r w:rsidRPr="00AD24C5">
        <w:rPr>
          <w:rFonts w:ascii="Palatino Linotype" w:hAnsi="Palatino Linotype"/>
          <w:b/>
          <w:i/>
          <w:sz w:val="24"/>
          <w:szCs w:val="24"/>
        </w:rPr>
        <w:t>202012001 Departamento de Cuenta Pública, Informes Mensuales y Solventaciones</w:t>
      </w:r>
    </w:p>
    <w:p w:rsidR="00A8606B" w:rsidRPr="00AD24C5" w:rsidRDefault="00A8606B" w:rsidP="00A8606B">
      <w:pPr>
        <w:spacing w:line="276" w:lineRule="auto"/>
        <w:ind w:left="709" w:right="539" w:hanging="709"/>
        <w:contextualSpacing/>
        <w:jc w:val="both"/>
        <w:rPr>
          <w:rFonts w:ascii="Palatino Linotype" w:hAnsi="Palatino Linotype"/>
          <w:b/>
          <w:i/>
          <w:sz w:val="24"/>
          <w:szCs w:val="24"/>
        </w:rPr>
      </w:pPr>
    </w:p>
    <w:p w:rsidR="00A8606B" w:rsidRPr="00AD24C5" w:rsidRDefault="00A8606B" w:rsidP="00A8606B">
      <w:pPr>
        <w:spacing w:line="276" w:lineRule="auto"/>
        <w:ind w:left="709" w:right="539" w:hanging="709"/>
        <w:contextualSpacing/>
        <w:jc w:val="both"/>
        <w:rPr>
          <w:rFonts w:ascii="Palatino Linotype" w:hAnsi="Palatino Linotype"/>
          <w:b/>
          <w:i/>
          <w:sz w:val="24"/>
          <w:szCs w:val="24"/>
        </w:rPr>
      </w:pPr>
      <w:r w:rsidRPr="00AD24C5">
        <w:rPr>
          <w:rFonts w:ascii="Palatino Linotype" w:hAnsi="Palatino Linotype"/>
          <w:b/>
          <w:i/>
          <w:sz w:val="24"/>
          <w:szCs w:val="24"/>
        </w:rPr>
        <w:t>Objetivo:</w:t>
      </w:r>
    </w:p>
    <w:p w:rsidR="00A8606B" w:rsidRPr="00AD24C5" w:rsidRDefault="00A8606B" w:rsidP="00A8606B">
      <w:pPr>
        <w:spacing w:line="276" w:lineRule="auto"/>
        <w:ind w:left="709" w:right="539" w:hanging="709"/>
        <w:contextualSpacing/>
        <w:jc w:val="both"/>
        <w:rPr>
          <w:rFonts w:ascii="Palatino Linotype" w:hAnsi="Palatino Linotype"/>
          <w:b/>
          <w:i/>
          <w:sz w:val="24"/>
          <w:szCs w:val="24"/>
        </w:rPr>
      </w:pPr>
    </w:p>
    <w:p w:rsidR="00A8606B" w:rsidRPr="00AD24C5" w:rsidRDefault="00A8606B" w:rsidP="00A8606B">
      <w:pPr>
        <w:spacing w:line="276" w:lineRule="auto"/>
        <w:ind w:left="709" w:right="539" w:hanging="709"/>
        <w:contextualSpacing/>
        <w:jc w:val="both"/>
        <w:rPr>
          <w:rFonts w:ascii="Palatino Linotype" w:hAnsi="Palatino Linotype"/>
          <w:i/>
          <w:sz w:val="24"/>
          <w:szCs w:val="24"/>
        </w:rPr>
      </w:pPr>
      <w:r w:rsidRPr="00AD24C5">
        <w:rPr>
          <w:rFonts w:ascii="Palatino Linotype" w:hAnsi="Palatino Linotype"/>
          <w:i/>
          <w:sz w:val="24"/>
          <w:szCs w:val="24"/>
        </w:rPr>
        <w:t xml:space="preserve">Coordinar las actividades que se desarrollan para la integración del informe mensual y la cuenta pública anual, y dar cumplimiento oportuno en tiempo y forma con la entrega ante la H. Legislatura del Estado de México y/o el Órgano Superior de Fiscalización </w:t>
      </w:r>
      <w:r w:rsidRPr="00AD24C5">
        <w:rPr>
          <w:rFonts w:ascii="Palatino Linotype" w:hAnsi="Palatino Linotype"/>
          <w:i/>
          <w:sz w:val="24"/>
          <w:szCs w:val="24"/>
        </w:rPr>
        <w:lastRenderedPageBreak/>
        <w:t>del Estado de México, anteponiendo una política de calidad con eficiencia y eficacia en todas las funciones inherentes a esta área.</w:t>
      </w:r>
    </w:p>
    <w:p w:rsidR="00A8606B" w:rsidRPr="00AD24C5" w:rsidRDefault="00A8606B" w:rsidP="00A8606B">
      <w:pPr>
        <w:spacing w:line="276" w:lineRule="auto"/>
        <w:ind w:left="709" w:right="539" w:hanging="709"/>
        <w:contextualSpacing/>
        <w:jc w:val="both"/>
        <w:rPr>
          <w:rFonts w:ascii="Palatino Linotype" w:hAnsi="Palatino Linotype"/>
          <w:i/>
          <w:sz w:val="24"/>
          <w:szCs w:val="24"/>
        </w:rPr>
      </w:pPr>
    </w:p>
    <w:p w:rsidR="00A8606B" w:rsidRPr="00AD24C5" w:rsidRDefault="00A8606B" w:rsidP="00A8606B">
      <w:pPr>
        <w:spacing w:line="276" w:lineRule="auto"/>
        <w:ind w:left="709" w:right="539" w:hanging="709"/>
        <w:contextualSpacing/>
        <w:jc w:val="both"/>
        <w:rPr>
          <w:rFonts w:ascii="Palatino Linotype" w:hAnsi="Palatino Linotype"/>
          <w:b/>
          <w:i/>
          <w:sz w:val="24"/>
          <w:szCs w:val="24"/>
        </w:rPr>
      </w:pPr>
      <w:r w:rsidRPr="00AD24C5">
        <w:rPr>
          <w:rFonts w:ascii="Palatino Linotype" w:hAnsi="Palatino Linotype"/>
          <w:b/>
          <w:i/>
          <w:sz w:val="24"/>
          <w:szCs w:val="24"/>
        </w:rPr>
        <w:t>Funciones:</w:t>
      </w:r>
    </w:p>
    <w:p w:rsidR="00A8606B" w:rsidRPr="00AD24C5" w:rsidRDefault="00A8606B" w:rsidP="00A8606B">
      <w:pPr>
        <w:spacing w:line="360" w:lineRule="auto"/>
        <w:ind w:left="709" w:right="539" w:hanging="709"/>
        <w:contextualSpacing/>
        <w:jc w:val="both"/>
        <w:rPr>
          <w:rFonts w:ascii="Palatino Linotype" w:hAnsi="Palatino Linotype"/>
          <w:b/>
          <w:sz w:val="24"/>
          <w:szCs w:val="24"/>
        </w:rPr>
      </w:pPr>
    </w:p>
    <w:p w:rsidR="00A8606B" w:rsidRPr="00AD24C5" w:rsidRDefault="00A8606B" w:rsidP="00A8606B">
      <w:pPr>
        <w:spacing w:line="276" w:lineRule="auto"/>
        <w:ind w:left="709" w:right="539" w:firstLine="142"/>
        <w:contextualSpacing/>
        <w:jc w:val="both"/>
        <w:rPr>
          <w:rFonts w:ascii="Palatino Linotype" w:hAnsi="Palatino Linotype"/>
          <w:i/>
          <w:sz w:val="24"/>
          <w:szCs w:val="24"/>
        </w:rPr>
      </w:pPr>
      <w:r w:rsidRPr="00AD24C5">
        <w:rPr>
          <w:rFonts w:ascii="Palatino Linotype" w:hAnsi="Palatino Linotype"/>
          <w:i/>
          <w:sz w:val="24"/>
          <w:szCs w:val="24"/>
        </w:rPr>
        <w:t>1. Recibir, integrar y registrar la totalidad de los estados de cuenta bancarios a nombre del ayuntamiento, para la elaboración de las conciliaciones bancarias;</w:t>
      </w:r>
    </w:p>
    <w:p w:rsidR="00A8606B" w:rsidRPr="00AD24C5" w:rsidRDefault="00A8606B" w:rsidP="00A8606B">
      <w:pPr>
        <w:spacing w:line="276" w:lineRule="auto"/>
        <w:ind w:left="709" w:right="539"/>
        <w:contextualSpacing/>
        <w:jc w:val="both"/>
        <w:rPr>
          <w:rFonts w:ascii="Palatino Linotype" w:hAnsi="Palatino Linotype"/>
          <w:i/>
          <w:sz w:val="24"/>
          <w:szCs w:val="24"/>
          <w:u w:val="single"/>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 xml:space="preserve"> 2. Analizar, controlar y supervisar la realización del registro contable de los servicios bancarios reflejados en los estados de cuenta, referente a comisiones, transferencias electrónicas de recursos propios y rendimientos ganados en el periodo; </w:t>
      </w: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 xml:space="preserve">3. Recopilar, integrar y sistematizar la </w:t>
      </w:r>
      <w:r w:rsidRPr="00AD24C5">
        <w:rPr>
          <w:rFonts w:ascii="Palatino Linotype" w:hAnsi="Palatino Linotype"/>
          <w:i/>
          <w:sz w:val="24"/>
          <w:szCs w:val="24"/>
          <w:u w:val="single"/>
        </w:rPr>
        <w:t>documentación soporte de las pólizas de egresos, ingresos, diario y nóminas que haya sido supervisada y validada por la Dirección de Contaduría, así como el informe de obras públicas, y los estados financieros del ayuntamiento para su digitalización</w:t>
      </w:r>
      <w:r w:rsidRPr="00AD24C5">
        <w:rPr>
          <w:rFonts w:ascii="Palatino Linotype" w:hAnsi="Palatino Linotype"/>
          <w:i/>
          <w:sz w:val="24"/>
          <w:szCs w:val="24"/>
        </w:rPr>
        <w:t>;</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 xml:space="preserve"> 4. Organizar y consolidar la documentación procesada en las diferentes áreas para integrar el informe mensual y la cuenta pública anual, respectivamente; para su entrega a la H. Legislatura del Estado de México y/o Órgano Superior de Fiscalización del Estado de México; </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u w:val="single"/>
        </w:rPr>
      </w:pPr>
      <w:r w:rsidRPr="00AD24C5">
        <w:rPr>
          <w:rFonts w:ascii="Palatino Linotype" w:hAnsi="Palatino Linotype"/>
          <w:i/>
          <w:sz w:val="24"/>
          <w:szCs w:val="24"/>
          <w:u w:val="single"/>
        </w:rPr>
        <w:t xml:space="preserve">5. Recopilar, controlar y resguardar los formatos de: </w:t>
      </w:r>
      <w:r w:rsidRPr="00AD24C5">
        <w:rPr>
          <w:rFonts w:ascii="Palatino Linotype" w:hAnsi="Palatino Linotype"/>
          <w:b/>
          <w:i/>
          <w:sz w:val="24"/>
          <w:szCs w:val="24"/>
          <w:u w:val="single"/>
        </w:rPr>
        <w:t>cheques devueltos</w:t>
      </w:r>
      <w:r w:rsidRPr="00AD24C5">
        <w:rPr>
          <w:rFonts w:ascii="Palatino Linotype" w:hAnsi="Palatino Linotype"/>
          <w:i/>
          <w:sz w:val="24"/>
          <w:szCs w:val="24"/>
          <w:u w:val="single"/>
        </w:rPr>
        <w:t xml:space="preserve">, documentos por pagar, relación de préstamos por pagar al Gobierno del Estado de México, así como los formatos de evaluación programática que generan las diferentes áreas y que forman parte integrante del informe mensual; </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6. Supervisar y revisar la correcta digitalización y generación en medio magnético de la documentación que integra el informe mensual para su entrega a la H. Legislatura del Estado de México y/o Órgano Superior de Fiscalización del Estado de México;</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lastRenderedPageBreak/>
        <w:t>7. Coordinar con los delegados administrativos la atención oportuna de los pliegos de observaciones emitidos por el Órgano Superior de Fiscalización del Estado de México, derivados de la revisión a los informes mensuales y a la cuenta pública anual, así como de las auditorías financieras practicadas por las dependencias fiscalizadoras;</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 xml:space="preserve"> 8. Ordenar y controlar la documentación generada correspondiente a los informes mensuales a través del archivo en trámite; y </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9. Realizar todas aquellas actividades que sean inherentes y aplicables al área de su competencia</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b/>
          <w:i/>
          <w:sz w:val="24"/>
          <w:szCs w:val="24"/>
        </w:rPr>
      </w:pPr>
      <w:r w:rsidRPr="00AD24C5">
        <w:rPr>
          <w:rFonts w:ascii="Palatino Linotype" w:hAnsi="Palatino Linotype"/>
          <w:b/>
          <w:i/>
          <w:sz w:val="24"/>
          <w:szCs w:val="24"/>
        </w:rPr>
        <w:t>202013003 Departamento de Fiscalización</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b/>
          <w:i/>
          <w:sz w:val="24"/>
          <w:szCs w:val="24"/>
        </w:rPr>
      </w:pPr>
      <w:r w:rsidRPr="00AD24C5">
        <w:rPr>
          <w:rFonts w:ascii="Palatino Linotype" w:hAnsi="Palatino Linotype"/>
          <w:b/>
          <w:i/>
          <w:sz w:val="24"/>
          <w:szCs w:val="24"/>
        </w:rPr>
        <w:t>Objetivo:</w:t>
      </w:r>
    </w:p>
    <w:p w:rsidR="00A8606B" w:rsidRPr="00AD24C5" w:rsidRDefault="00A8606B" w:rsidP="00A8606B">
      <w:pPr>
        <w:spacing w:line="276" w:lineRule="auto"/>
        <w:ind w:left="709" w:right="539"/>
        <w:contextualSpacing/>
        <w:jc w:val="both"/>
        <w:rPr>
          <w:rFonts w:ascii="Palatino Linotype" w:hAnsi="Palatino Linotype"/>
          <w:b/>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Recuperar los créditos fiscales a favor de la Hacienda Pública Municipal de aquellos contribuyentes que no hayan pagado en tiempo y voluntariamente, aplicando para ello la legislación fiscal federal y municipal vigente, mediante el cobro coactivo de los mismos a través de la aplicación del procedimiento administrativo de ejecución; supervisar la operación, y en su caso, tomar las medidas correctivas que sean necesarias a las personas físicas y jurídico colectivas que realicen eventos públicos masivos a través de intervenciones en la revisión, conteo y sellado de boletos, que sirva como base en la determinación de la contribución.</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b/>
          <w:i/>
          <w:sz w:val="24"/>
          <w:szCs w:val="24"/>
        </w:rPr>
      </w:pPr>
      <w:r w:rsidRPr="00AD24C5">
        <w:rPr>
          <w:rFonts w:ascii="Palatino Linotype" w:hAnsi="Palatino Linotype"/>
          <w:b/>
          <w:i/>
          <w:sz w:val="24"/>
          <w:szCs w:val="24"/>
        </w:rPr>
        <w:t>Funciones:</w:t>
      </w:r>
    </w:p>
    <w:p w:rsidR="00A8606B" w:rsidRPr="00AD24C5" w:rsidRDefault="00A8606B" w:rsidP="00A8606B">
      <w:pPr>
        <w:spacing w:line="276" w:lineRule="auto"/>
        <w:ind w:left="709" w:right="539"/>
        <w:contextualSpacing/>
        <w:jc w:val="both"/>
        <w:rPr>
          <w:rFonts w:ascii="Palatino Linotype" w:hAnsi="Palatino Linotype"/>
          <w:b/>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lastRenderedPageBreak/>
        <w:t xml:space="preserve">1. Detectar y registrar en forma oportuna las inconsistencias a las disposiciones legales y normativas en el desarrollo de las notificaciones y aplicación del Procedimiento Administrativo de Ejecución, mediante la supervisión a la operación en campo; </w:t>
      </w: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 xml:space="preserve">2. Documentar, integrar, registrar, actualizar y resguardar el control de las diligencias practicadas por el personal notificador-ejecutor, a través del registro de créditos fiscales municipales y control de notificación de ejecución y atender el origen de los créditos, a saber: predial, gobernación, multas federales no fiscales, garantías de audiencia y diversos; </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3. Planear, organizar y ejecutar las interventorías para la determinación del impuesto respectivo y liquidación en dinero sobre los espectáculos públicos realizados con fines de lucro, ya sea en espacios abiertos o en establecimientos cerrados;</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 xml:space="preserve"> 4. Elaborar, distribuir y controlar las órdenes de pago por concepto de publicidad, espectáculos públicos con fines de lucro, liquidación del impuesto predial y </w:t>
      </w:r>
      <w:r w:rsidRPr="00AD24C5">
        <w:rPr>
          <w:rFonts w:ascii="Palatino Linotype" w:hAnsi="Palatino Linotype"/>
          <w:b/>
          <w:i/>
          <w:sz w:val="24"/>
          <w:szCs w:val="24"/>
        </w:rPr>
        <w:t>cheques devueltos</w:t>
      </w:r>
      <w:r w:rsidRPr="00AD24C5">
        <w:rPr>
          <w:rFonts w:ascii="Palatino Linotype" w:hAnsi="Palatino Linotype"/>
          <w:i/>
          <w:sz w:val="24"/>
          <w:szCs w:val="24"/>
        </w:rPr>
        <w:t xml:space="preserve">, actualizando la suerte principal y calculando el monto de sus accesorios; </w:t>
      </w: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b/>
          <w:i/>
          <w:sz w:val="24"/>
          <w:szCs w:val="24"/>
        </w:rPr>
      </w:pPr>
      <w:r w:rsidRPr="00AD24C5">
        <w:rPr>
          <w:rFonts w:ascii="Palatino Linotype" w:hAnsi="Palatino Linotype"/>
          <w:b/>
          <w:i/>
          <w:sz w:val="24"/>
          <w:szCs w:val="24"/>
        </w:rPr>
        <w:t>Departamento de Recursos Propios</w:t>
      </w:r>
    </w:p>
    <w:p w:rsidR="00A8606B" w:rsidRPr="00AD24C5" w:rsidRDefault="00A8606B" w:rsidP="00A8606B">
      <w:pPr>
        <w:spacing w:line="276" w:lineRule="auto"/>
        <w:ind w:left="709" w:right="539"/>
        <w:contextualSpacing/>
        <w:jc w:val="both"/>
        <w:rPr>
          <w:rFonts w:ascii="Palatino Linotype" w:hAnsi="Palatino Linotype"/>
          <w:b/>
          <w:i/>
          <w:sz w:val="24"/>
          <w:szCs w:val="24"/>
        </w:rPr>
      </w:pPr>
    </w:p>
    <w:p w:rsidR="00A8606B" w:rsidRPr="00AD24C5" w:rsidRDefault="00A8606B" w:rsidP="00A8606B">
      <w:pPr>
        <w:spacing w:line="276" w:lineRule="auto"/>
        <w:ind w:left="709" w:right="539"/>
        <w:contextualSpacing/>
        <w:jc w:val="both"/>
        <w:rPr>
          <w:rFonts w:ascii="Palatino Linotype" w:hAnsi="Palatino Linotype"/>
          <w:b/>
          <w:i/>
          <w:sz w:val="24"/>
          <w:szCs w:val="24"/>
        </w:rPr>
      </w:pPr>
      <w:r w:rsidRPr="00AD24C5">
        <w:rPr>
          <w:rFonts w:ascii="Palatino Linotype" w:hAnsi="Palatino Linotype"/>
          <w:b/>
          <w:i/>
          <w:sz w:val="24"/>
          <w:szCs w:val="24"/>
        </w:rPr>
        <w:t>Objetivo:</w:t>
      </w:r>
    </w:p>
    <w:p w:rsidR="00A8606B" w:rsidRPr="00AD24C5" w:rsidRDefault="00A8606B" w:rsidP="00A8606B">
      <w:pPr>
        <w:spacing w:line="276" w:lineRule="auto"/>
        <w:ind w:left="709" w:right="539"/>
        <w:contextualSpacing/>
        <w:jc w:val="both"/>
        <w:rPr>
          <w:rFonts w:ascii="Palatino Linotype" w:hAnsi="Palatino Linotype"/>
          <w:b/>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Establecer los lineamientos para la recepción de los documentos necesarios en el proceso de pago a los proveedores, prestadores de servicios y contratistas; por los servicios o bienes adquiridos por el Ayuntamiento de Toluca; así como mantener actualizado el flujo de efectivo.</w:t>
      </w:r>
    </w:p>
    <w:p w:rsidR="00A8606B" w:rsidRPr="00AD24C5" w:rsidRDefault="00A8606B" w:rsidP="00A8606B">
      <w:pPr>
        <w:spacing w:line="276" w:lineRule="auto"/>
        <w:ind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b/>
          <w:i/>
          <w:sz w:val="24"/>
          <w:szCs w:val="24"/>
        </w:rPr>
        <w:t xml:space="preserve">Funciones: </w:t>
      </w: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 xml:space="preserve">1. Elaborar y mantener actualizado el flujo de efectivo, así como informarlo a la Dirección de Egresos y al titular de la Tesorería Municipal; </w:t>
      </w: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lastRenderedPageBreak/>
        <w:t>2. Recibir y organizar, a través de la ventanilla única, la documentación soporte derivada de la adquisición de bienes y contratación de servicios para su revisión, elaboración de contra recibo y envío al Departamento de Programación y Control Presupuestal;</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 xml:space="preserve">3. Integrar y enviar a la Dirección de Contaduría la documentación soporte del gasto de inversión ejercido por las unidades administrativas; </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4. Elaborar y proponer, de acuerdo al flujo de efectivo, la programación de pagos con recursos municipales y/o de intermediarios financieros, para revisión de la Dirección de Egresos y autorización del titular de la Tesorería Municipal;</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u w:val="single"/>
        </w:rPr>
      </w:pPr>
      <w:r w:rsidRPr="00AD24C5">
        <w:rPr>
          <w:rFonts w:ascii="Palatino Linotype" w:hAnsi="Palatino Linotype"/>
          <w:i/>
          <w:sz w:val="24"/>
          <w:szCs w:val="24"/>
          <w:u w:val="single"/>
        </w:rPr>
        <w:t xml:space="preserve"> 5. Elaborar y dar seguimiento a los cheques para la validación de la Dirección de Egresos y autorización de la Tesorería Municipal; </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6</w:t>
      </w:r>
      <w:r w:rsidRPr="00AD24C5">
        <w:rPr>
          <w:rFonts w:ascii="Palatino Linotype" w:hAnsi="Palatino Linotype"/>
          <w:i/>
          <w:sz w:val="24"/>
          <w:szCs w:val="24"/>
          <w:u w:val="single"/>
        </w:rPr>
        <w:t>. Elaborar y dar seguimiento a las transferencias electrónicas para la autorización del titular de la Tesorería Municipal y la Presidencia Municipal</w:t>
      </w:r>
      <w:r w:rsidRPr="00AD24C5">
        <w:rPr>
          <w:rFonts w:ascii="Palatino Linotype" w:hAnsi="Palatino Linotype"/>
          <w:i/>
          <w:sz w:val="24"/>
          <w:szCs w:val="24"/>
        </w:rPr>
        <w:t xml:space="preserve">; </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u w:val="single"/>
        </w:rPr>
      </w:pPr>
      <w:r w:rsidRPr="00AD24C5">
        <w:rPr>
          <w:rFonts w:ascii="Palatino Linotype" w:hAnsi="Palatino Linotype"/>
          <w:i/>
          <w:sz w:val="24"/>
          <w:szCs w:val="24"/>
          <w:u w:val="single"/>
        </w:rPr>
        <w:t xml:space="preserve">7. Integrar y enviar al Departamento de Caja General los cheques, relación de pagos y/o transferencias electrónicas autorizadas para su trámite correspondiente; </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u w:val="single"/>
        </w:rPr>
      </w:pPr>
      <w:r w:rsidRPr="00AD24C5">
        <w:rPr>
          <w:rFonts w:ascii="Palatino Linotype" w:hAnsi="Palatino Linotype"/>
          <w:i/>
          <w:sz w:val="24"/>
          <w:szCs w:val="24"/>
          <w:u w:val="single"/>
        </w:rPr>
        <w:t xml:space="preserve">8. Elaborar y emitir al cierre de cada mes, el reporte que muestre la situación de las cuentas por pagar; </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u w:val="single"/>
        </w:rPr>
        <w:t>9. Conciliar con la Dirección de Contaduría y el Departamento de Caja General los saldos de cuentas por pagar;</w:t>
      </w:r>
      <w:r w:rsidRPr="00AD24C5">
        <w:rPr>
          <w:rFonts w:ascii="Palatino Linotype" w:hAnsi="Palatino Linotype"/>
          <w:i/>
          <w:sz w:val="24"/>
          <w:szCs w:val="24"/>
        </w:rPr>
        <w:t xml:space="preserve"> y </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u w:val="single"/>
        </w:rPr>
      </w:pPr>
      <w:r w:rsidRPr="00AD24C5">
        <w:rPr>
          <w:rFonts w:ascii="Palatino Linotype" w:hAnsi="Palatino Linotype"/>
          <w:i/>
          <w:sz w:val="24"/>
          <w:szCs w:val="24"/>
        </w:rPr>
        <w:t>10. Realizar todas aquellas actividades que sean inherentes y aplicables al área de su competencia.</w:t>
      </w:r>
    </w:p>
    <w:p w:rsidR="00A8606B" w:rsidRPr="00AD24C5" w:rsidRDefault="00A8606B" w:rsidP="00A8606B">
      <w:pPr>
        <w:spacing w:line="276" w:lineRule="auto"/>
        <w:ind w:left="709" w:right="539"/>
        <w:contextualSpacing/>
        <w:jc w:val="both"/>
        <w:rPr>
          <w:rFonts w:ascii="Palatino Linotype" w:hAnsi="Palatino Linotype"/>
          <w:b/>
          <w:i/>
          <w:sz w:val="24"/>
          <w:szCs w:val="24"/>
        </w:rPr>
      </w:pPr>
    </w:p>
    <w:p w:rsidR="00A8606B" w:rsidRPr="00AD24C5" w:rsidRDefault="00A8606B" w:rsidP="00A8606B">
      <w:pPr>
        <w:spacing w:line="276" w:lineRule="auto"/>
        <w:ind w:left="709" w:right="539"/>
        <w:contextualSpacing/>
        <w:jc w:val="both"/>
        <w:rPr>
          <w:rFonts w:ascii="Palatino Linotype" w:hAnsi="Palatino Linotype"/>
          <w:b/>
          <w:i/>
          <w:sz w:val="24"/>
          <w:szCs w:val="24"/>
        </w:rPr>
      </w:pPr>
      <w:r w:rsidRPr="00AD24C5">
        <w:rPr>
          <w:rFonts w:ascii="Palatino Linotype" w:hAnsi="Palatino Linotype"/>
          <w:b/>
          <w:i/>
          <w:sz w:val="24"/>
          <w:szCs w:val="24"/>
        </w:rPr>
        <w:lastRenderedPageBreak/>
        <w:t>Departamento de Caja General</w:t>
      </w:r>
    </w:p>
    <w:p w:rsidR="00A8606B" w:rsidRPr="00AD24C5" w:rsidRDefault="00A8606B" w:rsidP="00A8606B">
      <w:pPr>
        <w:spacing w:line="276" w:lineRule="auto"/>
        <w:ind w:left="709" w:right="539"/>
        <w:contextualSpacing/>
        <w:jc w:val="both"/>
        <w:rPr>
          <w:rFonts w:ascii="Palatino Linotype" w:hAnsi="Palatino Linotype"/>
          <w:b/>
          <w:i/>
          <w:sz w:val="24"/>
          <w:szCs w:val="24"/>
        </w:rPr>
      </w:pPr>
    </w:p>
    <w:p w:rsidR="00A8606B" w:rsidRPr="00AD24C5" w:rsidRDefault="00A8606B" w:rsidP="00A8606B">
      <w:pPr>
        <w:spacing w:line="276" w:lineRule="auto"/>
        <w:ind w:left="709" w:right="539"/>
        <w:contextualSpacing/>
        <w:jc w:val="both"/>
        <w:rPr>
          <w:rFonts w:ascii="Palatino Linotype" w:hAnsi="Palatino Linotype"/>
          <w:b/>
          <w:i/>
          <w:sz w:val="24"/>
          <w:szCs w:val="24"/>
        </w:rPr>
      </w:pPr>
      <w:r w:rsidRPr="00AD24C5">
        <w:rPr>
          <w:rFonts w:ascii="Palatino Linotype" w:hAnsi="Palatino Linotype"/>
          <w:b/>
          <w:i/>
          <w:sz w:val="24"/>
          <w:szCs w:val="24"/>
        </w:rPr>
        <w:t>Objetivo:</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Concentrar y administrar las cuentas bancarias del municipio, el efectivo y los valores de realización inmediata recaudados por el gobierno municipal, para proporcionar información veraz y oportuna para la toma de decisiones.</w:t>
      </w:r>
    </w:p>
    <w:p w:rsidR="00A8606B" w:rsidRPr="00AD24C5" w:rsidRDefault="00A8606B" w:rsidP="00A8606B">
      <w:pPr>
        <w:spacing w:line="276" w:lineRule="auto"/>
        <w:ind w:left="709" w:right="539"/>
        <w:contextualSpacing/>
        <w:jc w:val="both"/>
        <w:rPr>
          <w:rFonts w:ascii="Palatino Linotype" w:hAnsi="Palatino Linotype"/>
          <w:i/>
          <w:sz w:val="24"/>
          <w:szCs w:val="24"/>
        </w:rPr>
      </w:pPr>
    </w:p>
    <w:p w:rsidR="00A8606B" w:rsidRPr="00AD24C5" w:rsidRDefault="00A8606B" w:rsidP="00A8606B">
      <w:pPr>
        <w:spacing w:line="276" w:lineRule="auto"/>
        <w:ind w:left="709" w:right="539"/>
        <w:contextualSpacing/>
        <w:jc w:val="both"/>
        <w:rPr>
          <w:rFonts w:ascii="Palatino Linotype" w:hAnsi="Palatino Linotype"/>
          <w:b/>
          <w:i/>
          <w:sz w:val="24"/>
          <w:szCs w:val="24"/>
        </w:rPr>
      </w:pPr>
      <w:r w:rsidRPr="00AD24C5">
        <w:rPr>
          <w:rFonts w:ascii="Palatino Linotype" w:hAnsi="Palatino Linotype"/>
          <w:b/>
          <w:i/>
          <w:sz w:val="24"/>
          <w:szCs w:val="24"/>
        </w:rPr>
        <w:t>Funciones:</w:t>
      </w:r>
    </w:p>
    <w:p w:rsidR="00A8606B" w:rsidRPr="00AD24C5" w:rsidRDefault="00A8606B" w:rsidP="00A8606B">
      <w:pPr>
        <w:spacing w:line="276" w:lineRule="auto"/>
        <w:ind w:left="709" w:right="539"/>
        <w:contextualSpacing/>
        <w:jc w:val="both"/>
        <w:rPr>
          <w:rFonts w:ascii="Palatino Linotype" w:hAnsi="Palatino Linotype"/>
          <w:b/>
          <w:i/>
          <w:sz w:val="24"/>
          <w:szCs w:val="24"/>
        </w:rPr>
      </w:pPr>
    </w:p>
    <w:p w:rsidR="004E39B3"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1. Colaborar en las actividades del proceso de renovación de la calificación quirografaria del Municipio de Toluca por parte de las calificadoras de valores;</w:t>
      </w:r>
    </w:p>
    <w:p w:rsidR="004E39B3" w:rsidRPr="00AD24C5" w:rsidRDefault="004E39B3" w:rsidP="00A8606B">
      <w:pPr>
        <w:spacing w:line="276" w:lineRule="auto"/>
        <w:ind w:left="709" w:right="539"/>
        <w:contextualSpacing/>
        <w:jc w:val="both"/>
        <w:rPr>
          <w:rFonts w:ascii="Palatino Linotype" w:hAnsi="Palatino Linotype"/>
          <w:i/>
          <w:sz w:val="24"/>
          <w:szCs w:val="24"/>
        </w:rPr>
      </w:pPr>
    </w:p>
    <w:p w:rsidR="004E39B3"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 xml:space="preserve"> 2. Organizar y colaborar en el proceso de contratación de créditos bancarios; </w:t>
      </w:r>
    </w:p>
    <w:p w:rsidR="004E39B3" w:rsidRPr="00AD24C5" w:rsidRDefault="004E39B3" w:rsidP="00A8606B">
      <w:pPr>
        <w:spacing w:line="276" w:lineRule="auto"/>
        <w:ind w:left="709" w:right="539"/>
        <w:contextualSpacing/>
        <w:jc w:val="both"/>
        <w:rPr>
          <w:rFonts w:ascii="Palatino Linotype" w:hAnsi="Palatino Linotype"/>
          <w:i/>
          <w:sz w:val="24"/>
          <w:szCs w:val="24"/>
        </w:rPr>
      </w:pPr>
    </w:p>
    <w:p w:rsidR="004E39B3"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 xml:space="preserve">3. Dar seguimiento, analizar y reportar los estados de cuentas bancarios; </w:t>
      </w:r>
    </w:p>
    <w:p w:rsidR="004E39B3" w:rsidRPr="00AD24C5" w:rsidRDefault="004E39B3" w:rsidP="00A8606B">
      <w:pPr>
        <w:spacing w:line="276" w:lineRule="auto"/>
        <w:ind w:left="709" w:right="539"/>
        <w:contextualSpacing/>
        <w:jc w:val="both"/>
        <w:rPr>
          <w:rFonts w:ascii="Palatino Linotype" w:hAnsi="Palatino Linotype"/>
          <w:i/>
          <w:sz w:val="24"/>
          <w:szCs w:val="24"/>
        </w:rPr>
      </w:pPr>
    </w:p>
    <w:p w:rsidR="004E39B3" w:rsidRPr="00AD24C5" w:rsidRDefault="00A8606B" w:rsidP="00A8606B">
      <w:pPr>
        <w:spacing w:line="276" w:lineRule="auto"/>
        <w:ind w:left="709" w:right="539"/>
        <w:contextualSpacing/>
        <w:jc w:val="both"/>
        <w:rPr>
          <w:rFonts w:ascii="Palatino Linotype" w:hAnsi="Palatino Linotype"/>
          <w:i/>
          <w:sz w:val="24"/>
          <w:szCs w:val="24"/>
          <w:u w:val="single"/>
        </w:rPr>
      </w:pPr>
      <w:r w:rsidRPr="00AD24C5">
        <w:rPr>
          <w:rFonts w:ascii="Palatino Linotype" w:hAnsi="Palatino Linotype"/>
          <w:i/>
          <w:sz w:val="24"/>
          <w:szCs w:val="24"/>
          <w:u w:val="single"/>
        </w:rPr>
        <w:t>4. Elaborar y emitir los oficios de transferencias electrónicas y disposiciones de efectivo para el pago de nómina del personal del ayuntamiento;</w:t>
      </w:r>
    </w:p>
    <w:p w:rsidR="004E39B3" w:rsidRPr="00AD24C5" w:rsidRDefault="004E39B3" w:rsidP="00A8606B">
      <w:pPr>
        <w:spacing w:line="276" w:lineRule="auto"/>
        <w:ind w:left="709" w:right="539"/>
        <w:contextualSpacing/>
        <w:jc w:val="both"/>
        <w:rPr>
          <w:rFonts w:ascii="Palatino Linotype" w:hAnsi="Palatino Linotype"/>
          <w:i/>
          <w:sz w:val="24"/>
          <w:szCs w:val="24"/>
        </w:rPr>
      </w:pPr>
    </w:p>
    <w:p w:rsidR="004E39B3" w:rsidRPr="00AD24C5" w:rsidRDefault="00A8606B" w:rsidP="00A8606B">
      <w:pPr>
        <w:spacing w:line="276" w:lineRule="auto"/>
        <w:ind w:left="709" w:right="539"/>
        <w:contextualSpacing/>
        <w:jc w:val="both"/>
        <w:rPr>
          <w:rFonts w:ascii="Palatino Linotype" w:hAnsi="Palatino Linotype"/>
          <w:i/>
          <w:sz w:val="24"/>
          <w:szCs w:val="24"/>
          <w:u w:val="single"/>
        </w:rPr>
      </w:pPr>
      <w:r w:rsidRPr="00AD24C5">
        <w:rPr>
          <w:rFonts w:ascii="Palatino Linotype" w:hAnsi="Palatino Linotype"/>
          <w:i/>
          <w:sz w:val="24"/>
          <w:szCs w:val="24"/>
          <w:u w:val="single"/>
        </w:rPr>
        <w:t xml:space="preserve"> 5. Recibir, concentrar y resguardar el efectivo, cheques y comprobantes de pagos a través de tarjeta de crédito, que las oficinas recaudadoras de la administración pública municipal cobraron, para ser depositados en las diferentes cuentas bancarias a nombre del Municipio de Toluca; </w:t>
      </w:r>
    </w:p>
    <w:p w:rsidR="004E39B3" w:rsidRPr="00AD24C5" w:rsidRDefault="004E39B3" w:rsidP="00A8606B">
      <w:pPr>
        <w:spacing w:line="276" w:lineRule="auto"/>
        <w:ind w:left="709" w:right="539"/>
        <w:contextualSpacing/>
        <w:jc w:val="both"/>
        <w:rPr>
          <w:rFonts w:ascii="Palatino Linotype" w:hAnsi="Palatino Linotype"/>
          <w:i/>
          <w:sz w:val="24"/>
          <w:szCs w:val="24"/>
        </w:rPr>
      </w:pPr>
    </w:p>
    <w:p w:rsidR="004E39B3"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6. Clasificar y preparar el efectivo resguardado para ser entregado a la empresa de traslado de valores cumpliendo con las medidas de seguridad;</w:t>
      </w:r>
    </w:p>
    <w:p w:rsidR="004E39B3" w:rsidRPr="00AD24C5" w:rsidRDefault="004E39B3" w:rsidP="00A8606B">
      <w:pPr>
        <w:spacing w:line="276" w:lineRule="auto"/>
        <w:ind w:left="709" w:right="539"/>
        <w:contextualSpacing/>
        <w:jc w:val="both"/>
        <w:rPr>
          <w:rFonts w:ascii="Palatino Linotype" w:hAnsi="Palatino Linotype"/>
          <w:i/>
          <w:sz w:val="24"/>
          <w:szCs w:val="24"/>
        </w:rPr>
      </w:pPr>
    </w:p>
    <w:p w:rsidR="004E39B3" w:rsidRPr="00AD24C5" w:rsidRDefault="00A8606B" w:rsidP="00A8606B">
      <w:pPr>
        <w:spacing w:line="276" w:lineRule="auto"/>
        <w:ind w:left="709" w:right="539"/>
        <w:contextualSpacing/>
        <w:jc w:val="both"/>
        <w:rPr>
          <w:rFonts w:ascii="Palatino Linotype" w:hAnsi="Palatino Linotype"/>
          <w:i/>
          <w:sz w:val="24"/>
          <w:szCs w:val="24"/>
          <w:u w:val="single"/>
        </w:rPr>
      </w:pPr>
      <w:r w:rsidRPr="00AD24C5">
        <w:rPr>
          <w:rFonts w:ascii="Palatino Linotype" w:hAnsi="Palatino Linotype"/>
          <w:i/>
          <w:sz w:val="24"/>
          <w:szCs w:val="24"/>
          <w:u w:val="single"/>
        </w:rPr>
        <w:t xml:space="preserve">7. Realizar y controlar los depósitos de efectivo complementarios y cheques a favor del municipio; </w:t>
      </w:r>
    </w:p>
    <w:p w:rsidR="004E39B3" w:rsidRPr="00AD24C5" w:rsidRDefault="004E39B3" w:rsidP="00A8606B">
      <w:pPr>
        <w:spacing w:line="276" w:lineRule="auto"/>
        <w:ind w:left="709" w:right="539"/>
        <w:contextualSpacing/>
        <w:jc w:val="both"/>
        <w:rPr>
          <w:rFonts w:ascii="Palatino Linotype" w:hAnsi="Palatino Linotype"/>
          <w:i/>
          <w:sz w:val="24"/>
          <w:szCs w:val="24"/>
        </w:rPr>
      </w:pPr>
    </w:p>
    <w:p w:rsidR="004E39B3"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u w:val="single"/>
        </w:rPr>
        <w:t>8. Elaborar y emitir los recibos de ingresos y el corte de caja para ser entregados a la Dirección de Contaduría adjuntando el soporte documental correspondiente, así como turnar copias a las áreas interesadas</w:t>
      </w:r>
      <w:r w:rsidRPr="00AD24C5">
        <w:rPr>
          <w:rFonts w:ascii="Palatino Linotype" w:hAnsi="Palatino Linotype"/>
          <w:i/>
          <w:sz w:val="24"/>
          <w:szCs w:val="24"/>
        </w:rPr>
        <w:t>;</w:t>
      </w:r>
    </w:p>
    <w:p w:rsidR="004E39B3" w:rsidRPr="00AD24C5" w:rsidRDefault="004E39B3" w:rsidP="00A8606B">
      <w:pPr>
        <w:spacing w:line="276" w:lineRule="auto"/>
        <w:ind w:left="709" w:right="539"/>
        <w:contextualSpacing/>
        <w:jc w:val="both"/>
        <w:rPr>
          <w:rFonts w:ascii="Palatino Linotype" w:hAnsi="Palatino Linotype"/>
          <w:i/>
          <w:sz w:val="24"/>
          <w:szCs w:val="24"/>
        </w:rPr>
      </w:pPr>
    </w:p>
    <w:p w:rsidR="004E39B3"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 xml:space="preserve"> 9. Verificar y diariamente los saldos que se obtienen de los reportes bancarios e inversiones y que las transacciones sean acordes con los saldos contables;</w:t>
      </w:r>
    </w:p>
    <w:p w:rsidR="004E39B3" w:rsidRPr="00AD24C5" w:rsidRDefault="004E39B3" w:rsidP="00A8606B">
      <w:pPr>
        <w:spacing w:line="276" w:lineRule="auto"/>
        <w:ind w:left="709" w:right="539"/>
        <w:contextualSpacing/>
        <w:jc w:val="both"/>
        <w:rPr>
          <w:rFonts w:ascii="Palatino Linotype" w:hAnsi="Palatino Linotype"/>
          <w:i/>
          <w:sz w:val="24"/>
          <w:szCs w:val="24"/>
        </w:rPr>
      </w:pPr>
    </w:p>
    <w:p w:rsidR="004E39B3" w:rsidRPr="00AD24C5" w:rsidRDefault="00A8606B" w:rsidP="00A8606B">
      <w:pPr>
        <w:spacing w:line="276" w:lineRule="auto"/>
        <w:ind w:left="709" w:right="539"/>
        <w:contextualSpacing/>
        <w:jc w:val="both"/>
        <w:rPr>
          <w:rFonts w:ascii="Palatino Linotype" w:hAnsi="Palatino Linotype"/>
          <w:i/>
          <w:sz w:val="24"/>
          <w:szCs w:val="24"/>
          <w:u w:val="single"/>
        </w:rPr>
      </w:pPr>
      <w:r w:rsidRPr="00AD24C5">
        <w:rPr>
          <w:rFonts w:ascii="Palatino Linotype" w:hAnsi="Palatino Linotype"/>
          <w:i/>
          <w:sz w:val="24"/>
          <w:szCs w:val="24"/>
          <w:u w:val="single"/>
        </w:rPr>
        <w:t xml:space="preserve">10. Registrar diariamente los cargos y abonos de todas las cuentas bancarias que afectan el saldo contable incluyendo los productos financieros que se obtengan; </w:t>
      </w:r>
    </w:p>
    <w:p w:rsidR="004E39B3" w:rsidRPr="00AD24C5" w:rsidRDefault="004E39B3" w:rsidP="00A8606B">
      <w:pPr>
        <w:spacing w:line="276" w:lineRule="auto"/>
        <w:ind w:left="709" w:right="539"/>
        <w:contextualSpacing/>
        <w:jc w:val="both"/>
        <w:rPr>
          <w:rFonts w:ascii="Palatino Linotype" w:hAnsi="Palatino Linotype"/>
          <w:i/>
          <w:sz w:val="24"/>
          <w:szCs w:val="24"/>
          <w:u w:val="single"/>
        </w:rPr>
      </w:pPr>
    </w:p>
    <w:p w:rsidR="004E39B3" w:rsidRPr="00AD24C5" w:rsidRDefault="00A8606B" w:rsidP="00A8606B">
      <w:pPr>
        <w:spacing w:line="276" w:lineRule="auto"/>
        <w:ind w:left="709" w:right="539"/>
        <w:contextualSpacing/>
        <w:jc w:val="both"/>
        <w:rPr>
          <w:rFonts w:ascii="Palatino Linotype" w:hAnsi="Palatino Linotype"/>
          <w:i/>
          <w:sz w:val="24"/>
          <w:szCs w:val="24"/>
          <w:u w:val="single"/>
        </w:rPr>
      </w:pPr>
      <w:r w:rsidRPr="00AD24C5">
        <w:rPr>
          <w:rFonts w:ascii="Palatino Linotype" w:hAnsi="Palatino Linotype"/>
          <w:i/>
          <w:sz w:val="24"/>
          <w:szCs w:val="24"/>
          <w:u w:val="single"/>
        </w:rPr>
        <w:t>11. Elaborar y entregar a la Dirección de Egresos el reporte diario de los saldos en las cuentas bancarias, cheques en tránsito y las inversiones realizadas;</w:t>
      </w:r>
    </w:p>
    <w:p w:rsidR="004E39B3" w:rsidRPr="00AD24C5" w:rsidRDefault="004E39B3" w:rsidP="00A8606B">
      <w:pPr>
        <w:spacing w:line="276" w:lineRule="auto"/>
        <w:ind w:left="709" w:right="539"/>
        <w:contextualSpacing/>
        <w:jc w:val="both"/>
        <w:rPr>
          <w:rFonts w:ascii="Palatino Linotype" w:hAnsi="Palatino Linotype"/>
          <w:i/>
          <w:sz w:val="24"/>
          <w:szCs w:val="24"/>
        </w:rPr>
      </w:pPr>
    </w:p>
    <w:p w:rsidR="004E39B3" w:rsidRPr="00AD24C5" w:rsidRDefault="00A8606B" w:rsidP="00A8606B">
      <w:pPr>
        <w:spacing w:line="276" w:lineRule="auto"/>
        <w:ind w:left="709" w:right="539"/>
        <w:contextualSpacing/>
        <w:jc w:val="both"/>
        <w:rPr>
          <w:rFonts w:ascii="Palatino Linotype" w:hAnsi="Palatino Linotype"/>
          <w:i/>
          <w:sz w:val="24"/>
          <w:szCs w:val="24"/>
          <w:u w:val="single"/>
        </w:rPr>
      </w:pPr>
      <w:r w:rsidRPr="00AD24C5">
        <w:rPr>
          <w:rFonts w:ascii="Palatino Linotype" w:hAnsi="Palatino Linotype"/>
          <w:i/>
          <w:sz w:val="24"/>
          <w:szCs w:val="24"/>
          <w:u w:val="single"/>
        </w:rPr>
        <w:t>12. Recibir y revisar los cheques, pagos y transferencias electrónicas, así como dar seguimiento a los que se encuentran en tránsito;</w:t>
      </w:r>
    </w:p>
    <w:p w:rsidR="004E39B3" w:rsidRPr="00AD24C5" w:rsidRDefault="004E39B3" w:rsidP="00A8606B">
      <w:pPr>
        <w:spacing w:line="276" w:lineRule="auto"/>
        <w:ind w:left="709" w:right="539"/>
        <w:contextualSpacing/>
        <w:jc w:val="both"/>
        <w:rPr>
          <w:rFonts w:ascii="Palatino Linotype" w:hAnsi="Palatino Linotype"/>
          <w:i/>
          <w:sz w:val="24"/>
          <w:szCs w:val="24"/>
          <w:u w:val="single"/>
        </w:rPr>
      </w:pPr>
    </w:p>
    <w:p w:rsidR="004E39B3" w:rsidRPr="00AD24C5" w:rsidRDefault="00A8606B" w:rsidP="00A8606B">
      <w:pPr>
        <w:spacing w:line="276" w:lineRule="auto"/>
        <w:ind w:left="709" w:right="539"/>
        <w:contextualSpacing/>
        <w:jc w:val="both"/>
        <w:rPr>
          <w:rFonts w:ascii="Palatino Linotype" w:hAnsi="Palatino Linotype"/>
          <w:i/>
          <w:sz w:val="24"/>
          <w:szCs w:val="24"/>
          <w:u w:val="single"/>
        </w:rPr>
      </w:pPr>
      <w:r w:rsidRPr="00AD24C5">
        <w:rPr>
          <w:rFonts w:ascii="Palatino Linotype" w:hAnsi="Palatino Linotype"/>
          <w:i/>
          <w:sz w:val="24"/>
          <w:szCs w:val="24"/>
          <w:u w:val="single"/>
        </w:rPr>
        <w:t xml:space="preserve"> 13. Verificar que los pagos en cheques y transferencias electrónicas se realicen a los beneficiarios o a la persona autorizada;</w:t>
      </w:r>
    </w:p>
    <w:p w:rsidR="004E39B3" w:rsidRPr="00AD24C5" w:rsidRDefault="004E39B3" w:rsidP="00A8606B">
      <w:pPr>
        <w:spacing w:line="276" w:lineRule="auto"/>
        <w:ind w:left="709" w:right="539"/>
        <w:contextualSpacing/>
        <w:jc w:val="both"/>
        <w:rPr>
          <w:rFonts w:ascii="Palatino Linotype" w:hAnsi="Palatino Linotype"/>
          <w:i/>
          <w:sz w:val="24"/>
          <w:szCs w:val="24"/>
        </w:rPr>
      </w:pPr>
    </w:p>
    <w:p w:rsidR="004E39B3" w:rsidRPr="00AD24C5" w:rsidRDefault="00A8606B" w:rsidP="00A8606B">
      <w:pPr>
        <w:spacing w:line="276" w:lineRule="auto"/>
        <w:ind w:left="709" w:right="539"/>
        <w:contextualSpacing/>
        <w:jc w:val="both"/>
        <w:rPr>
          <w:rFonts w:ascii="Palatino Linotype" w:hAnsi="Palatino Linotype"/>
          <w:i/>
          <w:sz w:val="24"/>
          <w:szCs w:val="24"/>
          <w:u w:val="single"/>
        </w:rPr>
      </w:pPr>
      <w:r w:rsidRPr="00AD24C5">
        <w:rPr>
          <w:rFonts w:ascii="Palatino Linotype" w:hAnsi="Palatino Linotype"/>
          <w:i/>
          <w:sz w:val="24"/>
          <w:szCs w:val="24"/>
          <w:u w:val="single"/>
        </w:rPr>
        <w:t xml:space="preserve"> 14. Realizar y controlar los pagos y movimientos bancarios autorizados;</w:t>
      </w:r>
    </w:p>
    <w:p w:rsidR="004E39B3" w:rsidRPr="00AD24C5" w:rsidRDefault="004E39B3" w:rsidP="00A8606B">
      <w:pPr>
        <w:spacing w:line="276" w:lineRule="auto"/>
        <w:ind w:left="709" w:right="539"/>
        <w:contextualSpacing/>
        <w:jc w:val="both"/>
        <w:rPr>
          <w:rFonts w:ascii="Palatino Linotype" w:hAnsi="Palatino Linotype"/>
          <w:i/>
          <w:sz w:val="24"/>
          <w:szCs w:val="24"/>
          <w:u w:val="single"/>
        </w:rPr>
      </w:pPr>
    </w:p>
    <w:p w:rsidR="00A8606B" w:rsidRPr="00AD24C5" w:rsidRDefault="00A8606B" w:rsidP="004E39B3">
      <w:pPr>
        <w:spacing w:line="276" w:lineRule="auto"/>
        <w:ind w:left="709" w:right="539"/>
        <w:contextualSpacing/>
        <w:jc w:val="both"/>
        <w:rPr>
          <w:rFonts w:ascii="Palatino Linotype" w:hAnsi="Palatino Linotype"/>
          <w:b/>
          <w:i/>
          <w:sz w:val="24"/>
          <w:szCs w:val="24"/>
          <w:u w:val="single"/>
        </w:rPr>
      </w:pPr>
      <w:r w:rsidRPr="00AD24C5">
        <w:rPr>
          <w:rFonts w:ascii="Palatino Linotype" w:hAnsi="Palatino Linotype"/>
          <w:i/>
          <w:sz w:val="24"/>
          <w:szCs w:val="24"/>
          <w:u w:val="single"/>
        </w:rPr>
        <w:t xml:space="preserve"> 15. Entregar al Departamento de Recursos Propios las pólizas de egresos que amparan el pago de un cheque, así como los comprobantes de las transferencias electrónicas realizadas;</w:t>
      </w:r>
    </w:p>
    <w:p w:rsidR="004E39B3" w:rsidRPr="00AD24C5" w:rsidRDefault="004E39B3" w:rsidP="004E39B3">
      <w:pPr>
        <w:spacing w:line="276" w:lineRule="auto"/>
        <w:ind w:left="709" w:right="539"/>
        <w:contextualSpacing/>
        <w:jc w:val="both"/>
        <w:rPr>
          <w:rFonts w:ascii="Palatino Linotype" w:hAnsi="Palatino Linotype"/>
          <w:b/>
          <w:i/>
          <w:sz w:val="24"/>
          <w:szCs w:val="24"/>
          <w:u w:val="single"/>
        </w:rPr>
      </w:pPr>
    </w:p>
    <w:p w:rsidR="004E39B3"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 xml:space="preserve">16. Controlar y resguardar los cheques devueltos, enviarlos a la Dirección de Ingresos para su recuperación, e informar a la Dirección de Contaduría para su registro; </w:t>
      </w:r>
    </w:p>
    <w:p w:rsidR="004E39B3" w:rsidRPr="00AD24C5" w:rsidRDefault="004E39B3" w:rsidP="00A8606B">
      <w:pPr>
        <w:spacing w:line="276" w:lineRule="auto"/>
        <w:ind w:left="709" w:right="539"/>
        <w:contextualSpacing/>
        <w:jc w:val="both"/>
        <w:rPr>
          <w:rFonts w:ascii="Palatino Linotype" w:hAnsi="Palatino Linotype"/>
          <w:i/>
          <w:sz w:val="24"/>
          <w:szCs w:val="24"/>
        </w:rPr>
      </w:pPr>
    </w:p>
    <w:p w:rsidR="004E39B3"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lastRenderedPageBreak/>
        <w:t xml:space="preserve">17. Determinar, de acuerdo a los excedentes de liquidez, los importes que se deben invertir así como pactar las condiciones aceptables en las inversiones de valores que se concretan con las instituciones bancarias; </w:t>
      </w:r>
    </w:p>
    <w:p w:rsidR="004E39B3" w:rsidRPr="00AD24C5" w:rsidRDefault="004E39B3" w:rsidP="00A8606B">
      <w:pPr>
        <w:spacing w:line="276" w:lineRule="auto"/>
        <w:ind w:left="709" w:right="539"/>
        <w:contextualSpacing/>
        <w:jc w:val="both"/>
        <w:rPr>
          <w:rFonts w:ascii="Palatino Linotype" w:hAnsi="Palatino Linotype"/>
          <w:i/>
          <w:sz w:val="24"/>
          <w:szCs w:val="24"/>
        </w:rPr>
      </w:pPr>
    </w:p>
    <w:p w:rsidR="004E39B3" w:rsidRPr="00AD24C5" w:rsidRDefault="00A8606B" w:rsidP="00A8606B">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18. Diseñar, proponer, establecer e instrumentar y controles para clasificar y registrar los rendimientos financieros de las inversiones y solicitar la elaboración de los recibos de ingresos correspondientes, así como informar a la Dirección de Contaduría para su registro;</w:t>
      </w:r>
    </w:p>
    <w:p w:rsidR="004E39B3" w:rsidRPr="00AD24C5" w:rsidRDefault="004E39B3" w:rsidP="00A8606B">
      <w:pPr>
        <w:spacing w:line="276" w:lineRule="auto"/>
        <w:ind w:left="709" w:right="539"/>
        <w:contextualSpacing/>
        <w:jc w:val="both"/>
        <w:rPr>
          <w:rFonts w:ascii="Palatino Linotype" w:hAnsi="Palatino Linotype"/>
          <w:i/>
          <w:sz w:val="24"/>
          <w:szCs w:val="24"/>
        </w:rPr>
      </w:pPr>
    </w:p>
    <w:p w:rsidR="004E39B3" w:rsidRPr="00AD24C5" w:rsidRDefault="00474D44" w:rsidP="004E39B3">
      <w:pPr>
        <w:spacing w:line="276" w:lineRule="auto"/>
        <w:ind w:left="709" w:right="539"/>
        <w:contextualSpacing/>
        <w:jc w:val="both"/>
        <w:rPr>
          <w:rFonts w:ascii="Palatino Linotype" w:hAnsi="Palatino Linotype"/>
          <w:i/>
          <w:sz w:val="24"/>
          <w:szCs w:val="24"/>
          <w:u w:val="single"/>
        </w:rPr>
      </w:pPr>
      <w:r>
        <w:rPr>
          <w:rFonts w:ascii="Palatino Linotype" w:hAnsi="Palatino Linotype"/>
          <w:i/>
          <w:sz w:val="24"/>
          <w:szCs w:val="24"/>
          <w:u w:val="single"/>
        </w:rPr>
        <w:t xml:space="preserve"> 19. </w:t>
      </w:r>
      <w:r w:rsidR="00A8606B" w:rsidRPr="00AD24C5">
        <w:rPr>
          <w:rFonts w:ascii="Palatino Linotype" w:hAnsi="Palatino Linotype"/>
          <w:i/>
          <w:sz w:val="24"/>
          <w:szCs w:val="24"/>
          <w:u w:val="single"/>
        </w:rPr>
        <w:t xml:space="preserve"> Integrar, organizar y proporcionar a la Dirección de Contaduría la información y/o documentación que se tenga disponible para contribuir a la realización de las conciliaciones bancarias;</w:t>
      </w:r>
    </w:p>
    <w:p w:rsidR="004E39B3" w:rsidRPr="00AD24C5" w:rsidRDefault="004E39B3" w:rsidP="004E39B3">
      <w:pPr>
        <w:spacing w:line="276" w:lineRule="auto"/>
        <w:ind w:left="709" w:right="539"/>
        <w:contextualSpacing/>
        <w:jc w:val="both"/>
        <w:rPr>
          <w:rFonts w:ascii="Palatino Linotype" w:hAnsi="Palatino Linotype"/>
          <w:i/>
          <w:sz w:val="24"/>
          <w:szCs w:val="24"/>
        </w:rPr>
      </w:pPr>
    </w:p>
    <w:p w:rsidR="004E39B3" w:rsidRPr="00AD24C5" w:rsidRDefault="00A8606B" w:rsidP="004E39B3">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 xml:space="preserve"> 20. Documentar e informar, según corresponda, a las Direcciones de Ingresos, Egresos y Contaduría sobre los ingresos recibidos por recursos federales, estatales y/o de cualquier otro origen distinto a contribuciones Municipales;</w:t>
      </w:r>
    </w:p>
    <w:p w:rsidR="004E39B3" w:rsidRPr="00AD24C5" w:rsidRDefault="004E39B3" w:rsidP="004E39B3">
      <w:pPr>
        <w:spacing w:line="276" w:lineRule="auto"/>
        <w:ind w:left="709" w:right="539"/>
        <w:contextualSpacing/>
        <w:jc w:val="both"/>
        <w:rPr>
          <w:rFonts w:ascii="Palatino Linotype" w:hAnsi="Palatino Linotype"/>
          <w:i/>
          <w:sz w:val="24"/>
          <w:szCs w:val="24"/>
        </w:rPr>
      </w:pPr>
    </w:p>
    <w:p w:rsidR="004E39B3" w:rsidRPr="00AD24C5" w:rsidRDefault="00A8606B" w:rsidP="004E39B3">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 xml:space="preserve"> 21. Documentar y tramitar la apertura de cuentas y servicios bancarios; y</w:t>
      </w:r>
    </w:p>
    <w:p w:rsidR="004E39B3" w:rsidRPr="00AD24C5" w:rsidRDefault="004E39B3" w:rsidP="004E39B3">
      <w:pPr>
        <w:spacing w:line="276" w:lineRule="auto"/>
        <w:ind w:left="709" w:right="539"/>
        <w:contextualSpacing/>
        <w:jc w:val="both"/>
        <w:rPr>
          <w:rFonts w:ascii="Palatino Linotype" w:hAnsi="Palatino Linotype"/>
          <w:i/>
          <w:sz w:val="24"/>
          <w:szCs w:val="24"/>
        </w:rPr>
      </w:pPr>
    </w:p>
    <w:p w:rsidR="00A8606B" w:rsidRPr="00AD24C5" w:rsidRDefault="00A8606B" w:rsidP="004E39B3">
      <w:pPr>
        <w:spacing w:line="276" w:lineRule="auto"/>
        <w:ind w:left="709" w:right="539"/>
        <w:contextualSpacing/>
        <w:jc w:val="both"/>
        <w:rPr>
          <w:rFonts w:ascii="Palatino Linotype" w:hAnsi="Palatino Linotype"/>
          <w:i/>
          <w:sz w:val="24"/>
          <w:szCs w:val="24"/>
        </w:rPr>
      </w:pPr>
      <w:r w:rsidRPr="00AD24C5">
        <w:rPr>
          <w:rFonts w:ascii="Palatino Linotype" w:hAnsi="Palatino Linotype"/>
          <w:i/>
          <w:sz w:val="24"/>
          <w:szCs w:val="24"/>
        </w:rPr>
        <w:t xml:space="preserve"> 22. Realizar todas aquellas actividades que sean inherentes y aplicables al área de su competencia.</w:t>
      </w:r>
    </w:p>
    <w:p w:rsidR="00A8606B" w:rsidRPr="00AD24C5" w:rsidRDefault="00A8606B" w:rsidP="00A8606B">
      <w:pPr>
        <w:spacing w:line="276" w:lineRule="auto"/>
        <w:ind w:left="709" w:right="539"/>
        <w:contextualSpacing/>
        <w:jc w:val="both"/>
        <w:rPr>
          <w:rFonts w:ascii="Palatino Linotype" w:hAnsi="Palatino Linotype"/>
          <w:b/>
          <w:i/>
          <w:sz w:val="24"/>
          <w:szCs w:val="24"/>
        </w:rPr>
      </w:pPr>
    </w:p>
    <w:p w:rsidR="00786E9C" w:rsidRPr="00AD24C5" w:rsidRDefault="00786E9C" w:rsidP="00786E9C">
      <w:pPr>
        <w:spacing w:line="360" w:lineRule="auto"/>
        <w:ind w:right="49"/>
        <w:contextualSpacing/>
        <w:jc w:val="both"/>
        <w:rPr>
          <w:rFonts w:ascii="Palatino Linotype" w:hAnsi="Palatino Linotype"/>
          <w:sz w:val="24"/>
          <w:szCs w:val="24"/>
        </w:rPr>
      </w:pPr>
    </w:p>
    <w:p w:rsidR="004E39B3" w:rsidRPr="00AD24C5" w:rsidRDefault="004E39B3" w:rsidP="00563400">
      <w:pPr>
        <w:numPr>
          <w:ilvl w:val="0"/>
          <w:numId w:val="2"/>
        </w:numPr>
        <w:spacing w:line="360" w:lineRule="auto"/>
        <w:ind w:left="0" w:right="49" w:firstLine="0"/>
        <w:jc w:val="both"/>
        <w:rPr>
          <w:rFonts w:ascii="Palatino Linotype" w:eastAsiaTheme="minorEastAsia" w:hAnsi="Palatino Linotype"/>
          <w:color w:val="000000" w:themeColor="text1"/>
          <w:sz w:val="24"/>
          <w:szCs w:val="24"/>
        </w:rPr>
      </w:pPr>
      <w:r w:rsidRPr="00AD24C5">
        <w:rPr>
          <w:rFonts w:ascii="Palatino Linotype" w:eastAsiaTheme="minorEastAsia" w:hAnsi="Palatino Linotype"/>
          <w:color w:val="000000" w:themeColor="text1"/>
          <w:sz w:val="24"/>
          <w:szCs w:val="24"/>
        </w:rPr>
        <w:t xml:space="preserve">De lo anterior se establece la fuente obligacional que tienen las áreas que integran a la Tesorería Municipal que de manera enunciativa más no limitativa pueden generar, poseer y/o administrar la información relacionada con los cheques solicitados; asimismo, dentro de las funciones y atribuciones de las áreas anteriormente referidas, se encuentra las de realizar la conciliación bancaria, que es un proceso de control financiero que consiste </w:t>
      </w:r>
      <w:r w:rsidRPr="00AD24C5">
        <w:rPr>
          <w:rFonts w:ascii="Palatino Linotype" w:eastAsiaTheme="minorEastAsia" w:hAnsi="Palatino Linotype"/>
          <w:color w:val="000000" w:themeColor="text1"/>
          <w:sz w:val="24"/>
          <w:szCs w:val="24"/>
        </w:rPr>
        <w:lastRenderedPageBreak/>
        <w:t xml:space="preserve">en comparar los registros contables de la empresa (libro auxiliar de bancos) con el extracto o estado de cuenta enviado por el banco. Su objetivo es asegurar que ambos saldos coincidan, detectando diferencias, errores u omisiones, </w:t>
      </w:r>
      <w:r w:rsidRPr="00AD24C5">
        <w:rPr>
          <w:rFonts w:ascii="Palatino Linotype" w:eastAsiaTheme="minorEastAsia" w:hAnsi="Palatino Linotype"/>
          <w:color w:val="000000" w:themeColor="text1"/>
          <w:sz w:val="24"/>
          <w:szCs w:val="24"/>
          <w:u w:val="single"/>
        </w:rPr>
        <w:t>como cheques no cobrados</w:t>
      </w:r>
      <w:r w:rsidRPr="00AD24C5">
        <w:rPr>
          <w:rFonts w:ascii="Palatino Linotype" w:eastAsiaTheme="minorEastAsia" w:hAnsi="Palatino Linotype"/>
          <w:color w:val="000000" w:themeColor="text1"/>
          <w:sz w:val="24"/>
          <w:szCs w:val="24"/>
        </w:rPr>
        <w:t xml:space="preserve"> o comisiones bancarias. </w:t>
      </w:r>
    </w:p>
    <w:p w:rsidR="004E39B3" w:rsidRPr="00AD24C5" w:rsidRDefault="004E39B3" w:rsidP="004E39B3">
      <w:pPr>
        <w:spacing w:line="360" w:lineRule="auto"/>
        <w:ind w:right="49"/>
        <w:jc w:val="both"/>
        <w:rPr>
          <w:rFonts w:ascii="Palatino Linotype" w:eastAsiaTheme="minorEastAsia" w:hAnsi="Palatino Linotype"/>
          <w:color w:val="000000" w:themeColor="text1"/>
          <w:sz w:val="24"/>
          <w:szCs w:val="24"/>
        </w:rPr>
      </w:pPr>
    </w:p>
    <w:p w:rsidR="004E39B3" w:rsidRDefault="004E39B3" w:rsidP="00563400">
      <w:pPr>
        <w:numPr>
          <w:ilvl w:val="0"/>
          <w:numId w:val="2"/>
        </w:numPr>
        <w:spacing w:line="360" w:lineRule="auto"/>
        <w:ind w:left="0" w:right="49" w:firstLine="0"/>
        <w:jc w:val="both"/>
        <w:rPr>
          <w:rFonts w:ascii="Palatino Linotype" w:eastAsiaTheme="minorEastAsia" w:hAnsi="Palatino Linotype"/>
          <w:color w:val="000000" w:themeColor="text1"/>
          <w:sz w:val="24"/>
          <w:szCs w:val="24"/>
        </w:rPr>
      </w:pPr>
      <w:r w:rsidRPr="00AD24C5">
        <w:rPr>
          <w:rFonts w:ascii="Palatino Linotype" w:eastAsiaTheme="minorEastAsia" w:hAnsi="Palatino Linotype"/>
          <w:color w:val="000000" w:themeColor="text1"/>
          <w:sz w:val="24"/>
          <w:szCs w:val="24"/>
        </w:rPr>
        <w:t>Es por lo anterior, que este Órgano Resolutor establece la existenc</w:t>
      </w:r>
      <w:r w:rsidR="008944A5">
        <w:rPr>
          <w:rFonts w:ascii="Palatino Linotype" w:eastAsiaTheme="minorEastAsia" w:hAnsi="Palatino Linotype"/>
          <w:color w:val="000000" w:themeColor="text1"/>
          <w:sz w:val="24"/>
          <w:szCs w:val="24"/>
        </w:rPr>
        <w:t>ia de la información solicitada, por lo que resulta necesario precisar que al ordenar el soporte documental en donde se advierta el pago realizado y sea por transferencia bancaria o por cheque, se da cuenta del monto que represento el pago de la quincena referida en la solicitud de información, por lo que a efecto de obviar repeticiones, únicamente se ordena el soporte documental que dé cuenta del pago.</w:t>
      </w:r>
    </w:p>
    <w:p w:rsidR="008944A5" w:rsidRDefault="008944A5" w:rsidP="008944A5">
      <w:pPr>
        <w:spacing w:line="360" w:lineRule="auto"/>
        <w:ind w:right="49"/>
        <w:jc w:val="both"/>
        <w:rPr>
          <w:rFonts w:ascii="Palatino Linotype" w:eastAsiaTheme="minorEastAsia" w:hAnsi="Palatino Linotype"/>
          <w:color w:val="000000" w:themeColor="text1"/>
          <w:sz w:val="24"/>
          <w:szCs w:val="24"/>
        </w:rPr>
      </w:pPr>
    </w:p>
    <w:p w:rsidR="008944A5" w:rsidRPr="00AD24C5" w:rsidRDefault="008944A5" w:rsidP="00563400">
      <w:pPr>
        <w:numPr>
          <w:ilvl w:val="0"/>
          <w:numId w:val="2"/>
        </w:numPr>
        <w:spacing w:line="360" w:lineRule="auto"/>
        <w:ind w:left="0" w:right="49" w:firstLine="0"/>
        <w:jc w:val="both"/>
        <w:rPr>
          <w:rFonts w:ascii="Palatino Linotype" w:eastAsiaTheme="minorEastAsia" w:hAnsi="Palatino Linotype"/>
          <w:color w:val="000000" w:themeColor="text1"/>
          <w:sz w:val="24"/>
          <w:szCs w:val="24"/>
        </w:rPr>
      </w:pPr>
      <w:r>
        <w:rPr>
          <w:rFonts w:ascii="Palatino Linotype" w:eastAsiaTheme="minorEastAsia" w:hAnsi="Palatino Linotype"/>
          <w:color w:val="000000" w:themeColor="text1"/>
          <w:sz w:val="24"/>
          <w:szCs w:val="24"/>
        </w:rPr>
        <w:t xml:space="preserve">Asimismo, respecto se informe el destino del recurso económico de los cheque que no fueron cobrados, resulta dable ordenarse con salvedad, es así que de ser el caso que no obre soporte documental que dé cuenta de lo solicitado, bastara  con que lo haga de conocimiento de manera clara y precisa al ahora </w:t>
      </w:r>
      <w:r>
        <w:rPr>
          <w:rFonts w:ascii="Palatino Linotype" w:eastAsiaTheme="minorEastAsia" w:hAnsi="Palatino Linotype"/>
          <w:b/>
          <w:color w:val="000000" w:themeColor="text1"/>
          <w:sz w:val="24"/>
          <w:szCs w:val="24"/>
        </w:rPr>
        <w:t xml:space="preserve">RECURRENTE,  </w:t>
      </w:r>
      <w:r>
        <w:rPr>
          <w:rFonts w:ascii="Palatino Linotype" w:eastAsiaTheme="minorEastAsia" w:hAnsi="Palatino Linotype"/>
          <w:color w:val="000000" w:themeColor="text1"/>
          <w:sz w:val="24"/>
          <w:szCs w:val="24"/>
        </w:rPr>
        <w:t xml:space="preserve">a través del SAIMEX, ya que el ordenarlo sin salvedad podría implicar la elaboración de un documento ad hoc o bien ordenar al </w:t>
      </w:r>
      <w:r>
        <w:rPr>
          <w:rFonts w:ascii="Palatino Linotype" w:eastAsiaTheme="minorEastAsia" w:hAnsi="Palatino Linotype"/>
          <w:b/>
          <w:color w:val="000000" w:themeColor="text1"/>
          <w:sz w:val="24"/>
          <w:szCs w:val="24"/>
        </w:rPr>
        <w:t xml:space="preserve">SUJETO OBLIGADO </w:t>
      </w:r>
      <w:r>
        <w:rPr>
          <w:rFonts w:ascii="Palatino Linotype" w:eastAsiaTheme="minorEastAsia" w:hAnsi="Palatino Linotype"/>
          <w:color w:val="000000" w:themeColor="text1"/>
          <w:sz w:val="24"/>
          <w:szCs w:val="24"/>
        </w:rPr>
        <w:t xml:space="preserve">emita un pronunciamiento. </w:t>
      </w:r>
    </w:p>
    <w:p w:rsidR="004E39B3" w:rsidRPr="00AD24C5" w:rsidRDefault="004E39B3" w:rsidP="004E39B3">
      <w:pPr>
        <w:spacing w:line="360" w:lineRule="auto"/>
        <w:ind w:right="49"/>
        <w:jc w:val="both"/>
        <w:rPr>
          <w:rFonts w:ascii="Palatino Linotype" w:eastAsiaTheme="minorEastAsia" w:hAnsi="Palatino Linotype"/>
          <w:color w:val="000000" w:themeColor="text1"/>
          <w:sz w:val="24"/>
          <w:szCs w:val="24"/>
        </w:rPr>
      </w:pPr>
    </w:p>
    <w:p w:rsidR="004E39B3" w:rsidRPr="00AD24C5" w:rsidRDefault="004E39B3" w:rsidP="00563400">
      <w:pPr>
        <w:numPr>
          <w:ilvl w:val="0"/>
          <w:numId w:val="2"/>
        </w:numPr>
        <w:spacing w:line="360" w:lineRule="auto"/>
        <w:ind w:left="0" w:right="49" w:firstLine="0"/>
        <w:jc w:val="both"/>
        <w:rPr>
          <w:rFonts w:ascii="Palatino Linotype" w:eastAsiaTheme="minorEastAsia" w:hAnsi="Palatino Linotype"/>
          <w:color w:val="000000" w:themeColor="text1"/>
          <w:sz w:val="24"/>
          <w:szCs w:val="24"/>
        </w:rPr>
      </w:pPr>
      <w:r w:rsidRPr="00AD24C5">
        <w:rPr>
          <w:rFonts w:ascii="Palatino Linotype" w:eastAsiaTheme="minorEastAsia" w:hAnsi="Palatino Linotype"/>
          <w:color w:val="000000" w:themeColor="text1"/>
          <w:sz w:val="24"/>
          <w:szCs w:val="24"/>
        </w:rPr>
        <w:t>Ahora bien, por lo que hace a los pagos realizados por transferencia</w:t>
      </w:r>
      <w:r w:rsidR="008944A5">
        <w:rPr>
          <w:rFonts w:ascii="Palatino Linotype" w:eastAsiaTheme="minorEastAsia" w:hAnsi="Palatino Linotype"/>
          <w:color w:val="000000" w:themeColor="text1"/>
          <w:sz w:val="24"/>
          <w:szCs w:val="24"/>
        </w:rPr>
        <w:t xml:space="preserve"> bancaria</w:t>
      </w:r>
      <w:r w:rsidRPr="00AD24C5">
        <w:rPr>
          <w:rFonts w:ascii="Palatino Linotype" w:eastAsiaTheme="minorEastAsia" w:hAnsi="Palatino Linotype"/>
          <w:color w:val="000000" w:themeColor="text1"/>
          <w:sz w:val="24"/>
          <w:szCs w:val="24"/>
        </w:rPr>
        <w:t>, se colige que el documento que pudiera dar cuenta de lo solicitado, de manera enunciativa más no limitativa</w:t>
      </w:r>
      <w:r w:rsidR="008944A5">
        <w:rPr>
          <w:rFonts w:ascii="Palatino Linotype" w:eastAsiaTheme="minorEastAsia" w:hAnsi="Palatino Linotype"/>
          <w:color w:val="000000" w:themeColor="text1"/>
          <w:sz w:val="24"/>
          <w:szCs w:val="24"/>
        </w:rPr>
        <w:t>,</w:t>
      </w:r>
      <w:r w:rsidRPr="00AD24C5">
        <w:rPr>
          <w:rFonts w:ascii="Palatino Linotype" w:eastAsiaTheme="minorEastAsia" w:hAnsi="Palatino Linotype"/>
          <w:color w:val="000000" w:themeColor="text1"/>
          <w:sz w:val="24"/>
          <w:szCs w:val="24"/>
        </w:rPr>
        <w:t xml:space="preserve"> son los recibos de nómina, por lo que al respecto se refiere lo siguiente:</w:t>
      </w:r>
    </w:p>
    <w:p w:rsidR="004E39B3" w:rsidRPr="00AD24C5" w:rsidRDefault="004E39B3" w:rsidP="004E39B3">
      <w:pPr>
        <w:spacing w:line="360" w:lineRule="auto"/>
        <w:ind w:right="49"/>
        <w:jc w:val="both"/>
        <w:rPr>
          <w:rFonts w:ascii="Palatino Linotype" w:eastAsiaTheme="minorEastAsia" w:hAnsi="Palatino Linotype"/>
          <w:color w:val="000000" w:themeColor="text1"/>
          <w:sz w:val="24"/>
          <w:szCs w:val="24"/>
        </w:rPr>
      </w:pPr>
    </w:p>
    <w:p w:rsidR="004E39B3" w:rsidRPr="00AD24C5" w:rsidRDefault="004E39B3" w:rsidP="004E39B3">
      <w:pPr>
        <w:numPr>
          <w:ilvl w:val="0"/>
          <w:numId w:val="14"/>
        </w:numPr>
        <w:tabs>
          <w:tab w:val="left" w:pos="284"/>
        </w:tabs>
        <w:spacing w:line="360" w:lineRule="auto"/>
        <w:jc w:val="both"/>
        <w:rPr>
          <w:rFonts w:ascii="Palatino Linotype" w:eastAsia="Palatino Linotype" w:hAnsi="Palatino Linotype" w:cs="Palatino Linotype"/>
          <w:b/>
          <w:sz w:val="24"/>
          <w:szCs w:val="24"/>
        </w:rPr>
      </w:pPr>
      <w:r w:rsidRPr="00AD24C5">
        <w:rPr>
          <w:rFonts w:ascii="Palatino Linotype" w:eastAsia="Palatino Linotype" w:hAnsi="Palatino Linotype" w:cs="Palatino Linotype"/>
          <w:b/>
          <w:sz w:val="24"/>
          <w:szCs w:val="24"/>
        </w:rPr>
        <w:lastRenderedPageBreak/>
        <w:t>Recibos de Nómina</w:t>
      </w:r>
    </w:p>
    <w:p w:rsidR="004E39B3" w:rsidRPr="00AD24C5" w:rsidRDefault="004E39B3" w:rsidP="004E39B3">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En ese sentido, se debe precisarse que si bien en nuestra legislación no existe como tal una definición de “nómina”; no obstante,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4E39B3">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Como </w:t>
      </w:r>
      <w:r w:rsidRPr="00AD24C5">
        <w:rPr>
          <w:rFonts w:ascii="Palatino Linotype" w:eastAsia="Palatino Linotype" w:hAnsi="Palatino Linotype" w:cs="Palatino Linotype"/>
          <w:color w:val="000000"/>
          <w:sz w:val="24"/>
          <w:szCs w:val="24"/>
        </w:rPr>
        <w:t>ya</w:t>
      </w:r>
      <w:r w:rsidRPr="00AD24C5">
        <w:rPr>
          <w:rFonts w:ascii="Palatino Linotype" w:eastAsia="Palatino Linotype" w:hAnsi="Palatino Linotype" w:cs="Palatino Linotype"/>
          <w:sz w:val="24"/>
          <w:szCs w:val="24"/>
        </w:rPr>
        <w:t xml:space="preserve"> se apuntó, si bien es cierto nuestra legislación no establece la definición de “nómina”, este término es mencionado en diferentes ordenamientos legales, así el artículo 804 fracción II de la Ley Federal de Trabajo, señala lo siguiente: </w:t>
      </w:r>
    </w:p>
    <w:p w:rsidR="004E39B3" w:rsidRPr="00AD24C5" w:rsidRDefault="004E39B3" w:rsidP="004E39B3">
      <w:pPr>
        <w:spacing w:before="120" w:after="12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w:t>
      </w:r>
      <w:r w:rsidRPr="00AD24C5">
        <w:rPr>
          <w:rFonts w:ascii="Palatino Linotype" w:eastAsia="Palatino Linotype" w:hAnsi="Palatino Linotype" w:cs="Palatino Linotype"/>
          <w:b/>
          <w:i/>
          <w:sz w:val="24"/>
          <w:szCs w:val="24"/>
        </w:rPr>
        <w:t>Artículo 804.-</w:t>
      </w:r>
      <w:r w:rsidRPr="00AD24C5">
        <w:rPr>
          <w:rFonts w:ascii="Palatino Linotype" w:eastAsia="Palatino Linotype" w:hAnsi="Palatino Linotype" w:cs="Palatino Linotype"/>
          <w:i/>
          <w:sz w:val="24"/>
          <w:szCs w:val="24"/>
        </w:rPr>
        <w:t xml:space="preserve"> </w:t>
      </w:r>
      <w:r w:rsidRPr="00AD24C5">
        <w:rPr>
          <w:rFonts w:ascii="Palatino Linotype" w:eastAsia="Palatino Linotype" w:hAnsi="Palatino Linotype" w:cs="Palatino Linotype"/>
          <w:b/>
          <w:i/>
          <w:sz w:val="24"/>
          <w:szCs w:val="24"/>
          <w:u w:val="single"/>
        </w:rPr>
        <w:t>El patrón tiene obligación de conservar y exhibir en juicio los documentos que a continuación se precisan</w:t>
      </w:r>
      <w:r w:rsidRPr="00AD24C5">
        <w:rPr>
          <w:rFonts w:ascii="Palatino Linotype" w:eastAsia="Palatino Linotype" w:hAnsi="Palatino Linotype" w:cs="Palatino Linotype"/>
          <w:i/>
          <w:sz w:val="24"/>
          <w:szCs w:val="24"/>
        </w:rPr>
        <w:t xml:space="preserve">: </w:t>
      </w:r>
    </w:p>
    <w:p w:rsidR="004E39B3" w:rsidRPr="00AD24C5" w:rsidRDefault="004E39B3" w:rsidP="004E39B3">
      <w:pPr>
        <w:spacing w:before="120" w:after="12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w:t>
      </w:r>
    </w:p>
    <w:p w:rsidR="004E39B3" w:rsidRPr="00AD24C5" w:rsidRDefault="004E39B3" w:rsidP="004E39B3">
      <w:pPr>
        <w:spacing w:before="120" w:after="12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b/>
          <w:i/>
          <w:sz w:val="24"/>
          <w:szCs w:val="24"/>
        </w:rPr>
        <w:t>II.</w:t>
      </w:r>
      <w:r w:rsidRPr="00AD24C5">
        <w:rPr>
          <w:rFonts w:ascii="Palatino Linotype" w:eastAsia="Palatino Linotype" w:hAnsi="Palatino Linotype" w:cs="Palatino Linotype"/>
          <w:i/>
          <w:sz w:val="24"/>
          <w:szCs w:val="24"/>
        </w:rPr>
        <w:t xml:space="preserve"> Listas de raya o </w:t>
      </w:r>
      <w:r w:rsidRPr="00AD24C5">
        <w:rPr>
          <w:rFonts w:ascii="Palatino Linotype" w:eastAsia="Palatino Linotype" w:hAnsi="Palatino Linotype" w:cs="Palatino Linotype"/>
          <w:b/>
          <w:i/>
          <w:sz w:val="24"/>
          <w:szCs w:val="24"/>
          <w:u w:val="single"/>
        </w:rPr>
        <w:t>nómina de personal</w:t>
      </w:r>
      <w:r w:rsidRPr="00AD24C5">
        <w:rPr>
          <w:rFonts w:ascii="Palatino Linotype" w:eastAsia="Palatino Linotype" w:hAnsi="Palatino Linotype" w:cs="Palatino Linotype"/>
          <w:i/>
          <w:sz w:val="24"/>
          <w:szCs w:val="24"/>
        </w:rPr>
        <w:t xml:space="preserve">, cuando se lleven en el centro de trabajo; o recibos de pagos de salarios; </w:t>
      </w:r>
    </w:p>
    <w:p w:rsidR="004E39B3" w:rsidRPr="00AD24C5" w:rsidRDefault="004E39B3" w:rsidP="004E39B3">
      <w:pPr>
        <w:spacing w:before="120" w:after="12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w:t>
      </w:r>
    </w:p>
    <w:p w:rsidR="004E39B3" w:rsidRPr="00AD24C5" w:rsidRDefault="004E39B3" w:rsidP="004E39B3">
      <w:pPr>
        <w:spacing w:before="120" w:after="12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b/>
          <w:i/>
          <w:sz w:val="24"/>
          <w:szCs w:val="24"/>
          <w:u w:val="single"/>
        </w:rPr>
        <w:t>Los documentos</w:t>
      </w:r>
      <w:r w:rsidRPr="00AD24C5">
        <w:rPr>
          <w:rFonts w:ascii="Palatino Linotype" w:eastAsia="Palatino Linotype" w:hAnsi="Palatino Linotype" w:cs="Palatino Linotype"/>
          <w:i/>
          <w:sz w:val="24"/>
          <w:szCs w:val="24"/>
        </w:rPr>
        <w:t xml:space="preserve"> señalados en la fracción I </w:t>
      </w:r>
      <w:r w:rsidRPr="00AD24C5">
        <w:rPr>
          <w:rFonts w:ascii="Palatino Linotype" w:eastAsia="Palatino Linotype" w:hAnsi="Palatino Linotype" w:cs="Palatino Linotype"/>
          <w:b/>
          <w:i/>
          <w:sz w:val="24"/>
          <w:szCs w:val="24"/>
          <w:u w:val="single"/>
        </w:rPr>
        <w:t>deberán conservarse</w:t>
      </w:r>
      <w:r w:rsidRPr="00AD24C5">
        <w:rPr>
          <w:rFonts w:ascii="Palatino Linotype" w:eastAsia="Palatino Linotype" w:hAnsi="Palatino Linotype" w:cs="Palatino Linotype"/>
          <w:i/>
          <w:sz w:val="24"/>
          <w:szCs w:val="24"/>
        </w:rPr>
        <w:t xml:space="preserve"> mientras dure la relación laboral y hasta un año después; los </w:t>
      </w:r>
      <w:r w:rsidRPr="00AD24C5">
        <w:rPr>
          <w:rFonts w:ascii="Palatino Linotype" w:eastAsia="Palatino Linotype" w:hAnsi="Palatino Linotype" w:cs="Palatino Linotype"/>
          <w:b/>
          <w:i/>
          <w:sz w:val="24"/>
          <w:szCs w:val="24"/>
          <w:u w:val="single"/>
        </w:rPr>
        <w:t>señalados en las fracciones II</w:t>
      </w:r>
      <w:r w:rsidRPr="00AD24C5">
        <w:rPr>
          <w:rFonts w:ascii="Palatino Linotype" w:eastAsia="Palatino Linotype" w:hAnsi="Palatino Linotype" w:cs="Palatino Linotype"/>
          <w:i/>
          <w:sz w:val="24"/>
          <w:szCs w:val="24"/>
        </w:rPr>
        <w:t xml:space="preserve">, III y IV, </w:t>
      </w:r>
      <w:r w:rsidRPr="00AD24C5">
        <w:rPr>
          <w:rFonts w:ascii="Palatino Linotype" w:eastAsia="Palatino Linotype" w:hAnsi="Palatino Linotype" w:cs="Palatino Linotype"/>
          <w:b/>
          <w:i/>
          <w:sz w:val="24"/>
          <w:szCs w:val="24"/>
          <w:u w:val="single"/>
        </w:rPr>
        <w:t xml:space="preserve">durante el último año y un año después de que se </w:t>
      </w:r>
      <w:r w:rsidRPr="00AD24C5">
        <w:rPr>
          <w:rFonts w:ascii="Palatino Linotype" w:eastAsia="Palatino Linotype" w:hAnsi="Palatino Linotype" w:cs="Palatino Linotype"/>
          <w:b/>
          <w:i/>
          <w:sz w:val="24"/>
          <w:szCs w:val="24"/>
          <w:u w:val="single"/>
        </w:rPr>
        <w:lastRenderedPageBreak/>
        <w:t>extinga la relación laboral</w:t>
      </w:r>
      <w:r w:rsidRPr="00AD24C5">
        <w:rPr>
          <w:rFonts w:ascii="Palatino Linotype" w:eastAsia="Palatino Linotype" w:hAnsi="Palatino Linotype" w:cs="Palatino Linotype"/>
          <w:i/>
          <w:sz w:val="24"/>
          <w:szCs w:val="24"/>
        </w:rPr>
        <w:t>; y los mencionados en la fracción V, conforme lo señalen las Leyes que los rijan.</w:t>
      </w:r>
    </w:p>
    <w:p w:rsidR="004E39B3" w:rsidRPr="00AD24C5" w:rsidRDefault="004E39B3" w:rsidP="004E39B3">
      <w:pPr>
        <w:spacing w:before="120" w:after="120"/>
        <w:ind w:left="1134" w:right="90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(Énfasis añadido)</w:t>
      </w:r>
    </w:p>
    <w:p w:rsidR="004E39B3" w:rsidRPr="00AD24C5" w:rsidRDefault="004E39B3" w:rsidP="004E39B3">
      <w:pPr>
        <w:spacing w:before="120" w:after="120"/>
        <w:ind w:left="709" w:right="709"/>
        <w:jc w:val="both"/>
        <w:rPr>
          <w:rFonts w:ascii="Palatino Linotype" w:eastAsia="Palatino Linotype" w:hAnsi="Palatino Linotype" w:cs="Palatino Linotype"/>
          <w:sz w:val="24"/>
          <w:szCs w:val="24"/>
        </w:rPr>
      </w:pPr>
    </w:p>
    <w:p w:rsidR="004E39B3" w:rsidRPr="00AD24C5" w:rsidRDefault="004E39B3" w:rsidP="004E39B3">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Atento a lo transcrito, es que resulta dable señalar que la nómina es el listado de los trabajadores de una institución para realizar los pagos periódicos de los </w:t>
      </w:r>
      <w:r w:rsidRPr="00AD24C5">
        <w:rPr>
          <w:rFonts w:ascii="Palatino Linotype" w:eastAsia="Palatino Linotype" w:hAnsi="Palatino Linotype" w:cs="Palatino Linotype"/>
          <w:color w:val="000000"/>
          <w:sz w:val="24"/>
          <w:szCs w:val="24"/>
        </w:rPr>
        <w:t>trabajadores</w:t>
      </w:r>
      <w:r w:rsidRPr="00AD24C5">
        <w:rPr>
          <w:rFonts w:ascii="Palatino Linotype" w:eastAsia="Palatino Linotype" w:hAnsi="Palatino Linotype" w:cs="Palatino Linotype"/>
          <w:sz w:val="24"/>
          <w:szCs w:val="24"/>
        </w:rPr>
        <w:t>, que deberá incluir las percepciones brutas, deducciones y el neto a recibir.</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4E39B3">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De igual forma, la Constitución Política del Estado Libre y Soberano de México </w:t>
      </w:r>
      <w:r w:rsidRPr="00AD24C5">
        <w:rPr>
          <w:rFonts w:ascii="Palatino Linotype" w:eastAsia="Palatino Linotype" w:hAnsi="Palatino Linotype" w:cs="Palatino Linotype"/>
          <w:color w:val="000000"/>
          <w:sz w:val="24"/>
          <w:szCs w:val="24"/>
        </w:rPr>
        <w:t>dispone</w:t>
      </w:r>
      <w:r w:rsidRPr="00AD24C5">
        <w:rPr>
          <w:rFonts w:ascii="Palatino Linotype" w:eastAsia="Palatino Linotype" w:hAnsi="Palatino Linotype" w:cs="Palatino Linotype"/>
          <w:sz w:val="24"/>
          <w:szCs w:val="24"/>
        </w:rPr>
        <w:t xml:space="preserve"> en lo relativo a las remuneraciones de los servidores públicos, lo </w:t>
      </w:r>
      <w:r w:rsidRPr="00AD24C5">
        <w:rPr>
          <w:rFonts w:ascii="Palatino Linotype" w:eastAsia="Palatino Linotype" w:hAnsi="Palatino Linotype" w:cs="Palatino Linotype"/>
          <w:color w:val="000000"/>
          <w:sz w:val="24"/>
          <w:szCs w:val="24"/>
        </w:rPr>
        <w:t>siguiente</w:t>
      </w:r>
      <w:r w:rsidRPr="00AD24C5">
        <w:rPr>
          <w:rFonts w:ascii="Palatino Linotype" w:eastAsia="Palatino Linotype" w:hAnsi="Palatino Linotype" w:cs="Palatino Linotype"/>
          <w:sz w:val="24"/>
          <w:szCs w:val="24"/>
        </w:rPr>
        <w:t>:</w:t>
      </w:r>
    </w:p>
    <w:p w:rsidR="004E39B3" w:rsidRPr="00AD24C5" w:rsidRDefault="004E39B3" w:rsidP="004E39B3">
      <w:pPr>
        <w:spacing w:before="120" w:after="120"/>
        <w:ind w:left="1134" w:right="900"/>
        <w:jc w:val="both"/>
        <w:rPr>
          <w:rFonts w:ascii="Palatino Linotype" w:eastAsia="Palatino Linotype" w:hAnsi="Palatino Linotype" w:cs="Palatino Linotype"/>
          <w:b/>
          <w:i/>
          <w:sz w:val="24"/>
          <w:szCs w:val="24"/>
        </w:rPr>
      </w:pPr>
      <w:r w:rsidRPr="00AD24C5">
        <w:rPr>
          <w:rFonts w:ascii="Palatino Linotype" w:eastAsia="Palatino Linotype" w:hAnsi="Palatino Linotype" w:cs="Palatino Linotype"/>
          <w:b/>
          <w:i/>
          <w:sz w:val="24"/>
          <w:szCs w:val="24"/>
        </w:rPr>
        <w:t xml:space="preserve">“Artículo 147.- </w:t>
      </w:r>
      <w:r w:rsidRPr="00AD24C5">
        <w:rPr>
          <w:rFonts w:ascii="Palatino Linotype" w:eastAsia="Palatino Linotype" w:hAnsi="Palatino Linotype" w:cs="Palatino Linotype"/>
          <w:i/>
          <w:sz w:val="24"/>
          <w:szCs w:val="24"/>
        </w:rPr>
        <w:t xml:space="preserve">El Gobernador, los diputados, los magistrados de los Tribunales Superior de Justicia y de lo Contencioso Administrativo, los miembros del Consejo de la Judicatura, los trabajadores al servicio del Estado, los integrantes y servidores de los organismos autónomos, así como los miembros de los ayuntamientos y demás servidores públicos municipales </w:t>
      </w:r>
      <w:r w:rsidRPr="00AD24C5">
        <w:rPr>
          <w:rFonts w:ascii="Palatino Linotype" w:eastAsia="Palatino Linotype" w:hAnsi="Palatino Linotype" w:cs="Palatino Linotype"/>
          <w:b/>
          <w:i/>
          <w:sz w:val="24"/>
          <w:szCs w:val="24"/>
        </w:rPr>
        <w:t>recibirán una retribución adecuada e irrenunciable por el desempeño de su empleo, cargo o comisión, que será determinada en el presupuesto de egresos que corresponda.”</w:t>
      </w:r>
    </w:p>
    <w:p w:rsidR="004E39B3" w:rsidRPr="00AD24C5" w:rsidRDefault="004E39B3" w:rsidP="004E39B3">
      <w:pPr>
        <w:spacing w:before="120" w:after="120"/>
        <w:ind w:left="1134" w:right="900"/>
        <w:jc w:val="both"/>
        <w:rPr>
          <w:rFonts w:ascii="Palatino Linotype" w:eastAsia="Palatino Linotype" w:hAnsi="Palatino Linotype" w:cs="Palatino Linotype"/>
          <w:b/>
          <w:i/>
          <w:sz w:val="24"/>
          <w:szCs w:val="24"/>
        </w:rPr>
      </w:pPr>
    </w:p>
    <w:p w:rsidR="004E39B3" w:rsidRPr="00AD24C5" w:rsidRDefault="004E39B3" w:rsidP="004E39B3">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color w:val="000000"/>
          <w:sz w:val="24"/>
          <w:szCs w:val="24"/>
        </w:rPr>
        <w:t>En</w:t>
      </w:r>
      <w:r w:rsidRPr="00AD24C5">
        <w:rPr>
          <w:rFonts w:ascii="Palatino Linotype" w:eastAsia="Palatino Linotype" w:hAnsi="Palatino Linotype" w:cs="Palatino Linotype"/>
          <w:sz w:val="24"/>
          <w:szCs w:val="24"/>
        </w:rPr>
        <w:t xml:space="preserve"> </w:t>
      </w:r>
      <w:r w:rsidRPr="00AD24C5">
        <w:rPr>
          <w:rFonts w:ascii="Palatino Linotype" w:eastAsia="Palatino Linotype" w:hAnsi="Palatino Linotype" w:cs="Palatino Linotype"/>
          <w:color w:val="000000"/>
          <w:sz w:val="24"/>
          <w:szCs w:val="24"/>
        </w:rPr>
        <w:t>este</w:t>
      </w:r>
      <w:r w:rsidRPr="00AD24C5">
        <w:rPr>
          <w:rFonts w:ascii="Palatino Linotype" w:eastAsia="Palatino Linotype" w:hAnsi="Palatino Linotype" w:cs="Palatino Linotype"/>
          <w:sz w:val="24"/>
          <w:szCs w:val="24"/>
        </w:rPr>
        <w:t xml:space="preserve"> contexto, el Código Financiero del Estado de México y Municipios, establece que todos los servidores públicos tienen derecho a recibir una remuneración irrenunciable por el desempeño de su empleo, cargo o comisión, el cual será en función a las responsabilidades asumidas, esto es así, según lo previsto por el artículo 3 fracción XXXII, que es del tenor literal siguiente:</w:t>
      </w:r>
    </w:p>
    <w:p w:rsidR="004E39B3" w:rsidRPr="00AD24C5" w:rsidRDefault="004E39B3" w:rsidP="004E39B3">
      <w:pPr>
        <w:spacing w:before="120" w:after="12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w:t>
      </w:r>
      <w:r w:rsidRPr="00AD24C5">
        <w:rPr>
          <w:rFonts w:ascii="Palatino Linotype" w:eastAsia="Palatino Linotype" w:hAnsi="Palatino Linotype" w:cs="Palatino Linotype"/>
          <w:b/>
          <w:i/>
          <w:sz w:val="24"/>
          <w:szCs w:val="24"/>
        </w:rPr>
        <w:t>Artículo 3.-</w:t>
      </w:r>
      <w:r w:rsidRPr="00AD24C5">
        <w:rPr>
          <w:rFonts w:ascii="Palatino Linotype" w:eastAsia="Palatino Linotype" w:hAnsi="Palatino Linotype" w:cs="Palatino Linotype"/>
          <w:i/>
          <w:sz w:val="24"/>
          <w:szCs w:val="24"/>
        </w:rPr>
        <w:t xml:space="preserve"> Para efectos de este Código, Ley de Ingresos del Estado y del Presupuesto de Egresos se entenderá por:</w:t>
      </w:r>
    </w:p>
    <w:p w:rsidR="004E39B3" w:rsidRPr="00AD24C5" w:rsidRDefault="004E39B3" w:rsidP="004E39B3">
      <w:pPr>
        <w:spacing w:before="120" w:after="12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lastRenderedPageBreak/>
        <w:t>[…]</w:t>
      </w:r>
    </w:p>
    <w:p w:rsidR="004E39B3" w:rsidRPr="00AD24C5" w:rsidRDefault="004E39B3" w:rsidP="004E39B3">
      <w:pPr>
        <w:spacing w:before="120" w:after="12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b/>
          <w:i/>
          <w:sz w:val="24"/>
          <w:szCs w:val="24"/>
        </w:rPr>
        <w:t xml:space="preserve">XXXII. Remuneración: </w:t>
      </w:r>
      <w:r w:rsidRPr="00AD24C5">
        <w:rPr>
          <w:rFonts w:ascii="Palatino Linotype" w:eastAsia="Palatino Linotype" w:hAnsi="Palatino Linotype" w:cs="Palatino Linotype"/>
          <w:i/>
          <w:sz w:val="24"/>
          <w:szCs w:val="24"/>
        </w:rPr>
        <w:t>A los pagos hechos por concepto de sueldo, compensaciones, gratificaciones, habitación, primas, comisiones, prestaciones en especie y cualquier otra percepción o prestación que se entregue al servidor público por su trabajo. Esta definición no será aplicable para los efectos del Impuesto sobre Erogaciones por Remuneraciones al Trabajo Personal;”</w:t>
      </w:r>
    </w:p>
    <w:p w:rsidR="004E39B3" w:rsidRPr="00AD24C5" w:rsidRDefault="004E39B3" w:rsidP="004E39B3">
      <w:pPr>
        <w:spacing w:line="360" w:lineRule="auto"/>
        <w:ind w:right="49"/>
        <w:jc w:val="both"/>
        <w:rPr>
          <w:rFonts w:ascii="Palatino Linotype" w:eastAsiaTheme="minorEastAsia" w:hAnsi="Palatino Linotype"/>
          <w:color w:val="000000" w:themeColor="text1"/>
          <w:sz w:val="24"/>
          <w:szCs w:val="24"/>
        </w:rPr>
      </w:pPr>
    </w:p>
    <w:p w:rsidR="004E39B3" w:rsidRPr="00AD24C5" w:rsidRDefault="004E39B3" w:rsidP="004E39B3">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Al respecto, la Ley de Transparencia y Acceso a la Información Pública del Estado </w:t>
      </w:r>
      <w:r w:rsidRPr="00AD24C5">
        <w:rPr>
          <w:rFonts w:ascii="Palatino Linotype" w:eastAsia="Palatino Linotype" w:hAnsi="Palatino Linotype" w:cs="Palatino Linotype"/>
          <w:color w:val="000000"/>
          <w:sz w:val="24"/>
          <w:szCs w:val="24"/>
        </w:rPr>
        <w:t>de</w:t>
      </w:r>
      <w:r w:rsidRPr="00AD24C5">
        <w:rPr>
          <w:rFonts w:ascii="Palatino Linotype" w:eastAsia="Palatino Linotype" w:hAnsi="Palatino Linotype" w:cs="Palatino Linotype"/>
          <w:sz w:val="24"/>
          <w:szCs w:val="24"/>
        </w:rPr>
        <w:t xml:space="preserve"> </w:t>
      </w:r>
      <w:r w:rsidRPr="00AD24C5">
        <w:rPr>
          <w:rFonts w:ascii="Palatino Linotype" w:eastAsia="Palatino Linotype" w:hAnsi="Palatino Linotype" w:cs="Palatino Linotype"/>
          <w:color w:val="000000"/>
          <w:sz w:val="24"/>
          <w:szCs w:val="24"/>
        </w:rPr>
        <w:t>México</w:t>
      </w:r>
      <w:r w:rsidRPr="00AD24C5">
        <w:rPr>
          <w:rFonts w:ascii="Palatino Linotype" w:eastAsia="Palatino Linotype" w:hAnsi="Palatino Linotype" w:cs="Palatino Linotype"/>
          <w:sz w:val="24"/>
          <w:szCs w:val="24"/>
        </w:rPr>
        <w:t xml:space="preserve"> y Municipios, dispone en su penúltimo párrafo del artículo 23, que los Sujetos Obligados deberán hacer pública toda aquella información relativa a los montos y personas a las que entreguen recursos, atento a ello es que surge la obligación de generar la información relacionada con las gratificaciones solicitadas.</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4E39B3">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color w:val="000000"/>
          <w:sz w:val="24"/>
          <w:szCs w:val="24"/>
        </w:rPr>
        <w:t>Ahora</w:t>
      </w:r>
      <w:r w:rsidRPr="00AD24C5">
        <w:rPr>
          <w:rFonts w:ascii="Palatino Linotype" w:eastAsia="Palatino Linotype" w:hAnsi="Palatino Linotype" w:cs="Palatino Linotype"/>
          <w:sz w:val="24"/>
          <w:szCs w:val="24"/>
        </w:rPr>
        <w:t xml:space="preserve"> bien, tratándose de servidores públicos de los Municipios la Ley del Trabajo de los Servidores Públicos del Estado y Municipios, en su artículo 220-K fracciones II y IV y último párrafo, establecen lo siguiente:</w:t>
      </w:r>
    </w:p>
    <w:p w:rsidR="004E39B3" w:rsidRPr="00AD24C5" w:rsidRDefault="004E39B3" w:rsidP="004E39B3">
      <w:pPr>
        <w:spacing w:before="160" w:after="16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w:t>
      </w:r>
      <w:r w:rsidRPr="00AD24C5">
        <w:rPr>
          <w:rFonts w:ascii="Palatino Linotype" w:eastAsia="Palatino Linotype" w:hAnsi="Palatino Linotype" w:cs="Palatino Linotype"/>
          <w:b/>
          <w:i/>
          <w:sz w:val="24"/>
          <w:szCs w:val="24"/>
        </w:rPr>
        <w:t>ARTÍCULO 220 K.-</w:t>
      </w:r>
      <w:r w:rsidRPr="00AD24C5">
        <w:rPr>
          <w:rFonts w:ascii="Palatino Linotype" w:eastAsia="Palatino Linotype" w:hAnsi="Palatino Linotype" w:cs="Palatino Linotype"/>
          <w:i/>
          <w:sz w:val="24"/>
          <w:szCs w:val="24"/>
        </w:rPr>
        <w:t xml:space="preserve"> La institución o dependencia pública tiene la obligación de conservar y exhibir en el proceso los documentos que a continuación se precisan:</w:t>
      </w:r>
    </w:p>
    <w:p w:rsidR="004E39B3" w:rsidRPr="00AD24C5" w:rsidRDefault="004E39B3" w:rsidP="004E39B3">
      <w:pPr>
        <w:spacing w:before="160" w:after="16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w:t>
      </w:r>
    </w:p>
    <w:p w:rsidR="004E39B3" w:rsidRPr="00AD24C5" w:rsidRDefault="004E39B3" w:rsidP="004E39B3">
      <w:pPr>
        <w:spacing w:before="160" w:after="16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b/>
          <w:i/>
          <w:sz w:val="24"/>
          <w:szCs w:val="24"/>
        </w:rPr>
        <w:t>IV.</w:t>
      </w:r>
      <w:r w:rsidRPr="00AD24C5">
        <w:rPr>
          <w:rFonts w:ascii="Palatino Linotype" w:eastAsia="Palatino Linotype" w:hAnsi="Palatino Linotype" w:cs="Palatino Linotype"/>
          <w:i/>
          <w:sz w:val="24"/>
          <w:szCs w:val="24"/>
        </w:rPr>
        <w:t xml:space="preserve"> </w:t>
      </w:r>
      <w:r w:rsidRPr="00AD24C5">
        <w:rPr>
          <w:rFonts w:ascii="Palatino Linotype" w:eastAsia="Palatino Linotype" w:hAnsi="Palatino Linotype" w:cs="Palatino Linotype"/>
          <w:b/>
          <w:i/>
          <w:sz w:val="24"/>
          <w:szCs w:val="24"/>
          <w:u w:val="single"/>
        </w:rPr>
        <w:t>Recibos o las constancias de depósito o del medio de información magnética o electrónica que sean utilizadas para el pago de</w:t>
      </w:r>
      <w:r w:rsidRPr="00AD24C5">
        <w:rPr>
          <w:rFonts w:ascii="Palatino Linotype" w:eastAsia="Palatino Linotype" w:hAnsi="Palatino Linotype" w:cs="Palatino Linotype"/>
          <w:i/>
          <w:sz w:val="24"/>
          <w:szCs w:val="24"/>
        </w:rPr>
        <w:t xml:space="preserve"> salarios, prima vacacional,</w:t>
      </w:r>
      <w:r w:rsidRPr="00AD24C5">
        <w:rPr>
          <w:rFonts w:ascii="Palatino Linotype" w:eastAsia="Palatino Linotype" w:hAnsi="Palatino Linotype" w:cs="Palatino Linotype"/>
          <w:b/>
          <w:i/>
          <w:sz w:val="24"/>
          <w:szCs w:val="24"/>
          <w:u w:val="single"/>
        </w:rPr>
        <w:t xml:space="preserve"> aguinaldo y demás prestaciones</w:t>
      </w:r>
      <w:r w:rsidRPr="00AD24C5">
        <w:rPr>
          <w:rFonts w:ascii="Palatino Linotype" w:eastAsia="Palatino Linotype" w:hAnsi="Palatino Linotype" w:cs="Palatino Linotype"/>
          <w:i/>
          <w:sz w:val="24"/>
          <w:szCs w:val="24"/>
        </w:rPr>
        <w:t xml:space="preserve"> establecidas en la presente ley; y</w:t>
      </w:r>
    </w:p>
    <w:p w:rsidR="004E39B3" w:rsidRPr="00AD24C5" w:rsidRDefault="004E39B3" w:rsidP="004E39B3">
      <w:pPr>
        <w:spacing w:before="160" w:after="16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 xml:space="preserve">Los documentos señalados en la fracción I de este artículo, deberán conservarse mientras dure la relación laboral y hasta un año después; los señalados por las fracciones </w:t>
      </w:r>
      <w:r w:rsidRPr="00AD24C5">
        <w:rPr>
          <w:rFonts w:ascii="Palatino Linotype" w:eastAsia="Palatino Linotype" w:hAnsi="Palatino Linotype" w:cs="Palatino Linotype"/>
          <w:b/>
          <w:i/>
          <w:sz w:val="24"/>
          <w:szCs w:val="24"/>
          <w:u w:val="single"/>
        </w:rPr>
        <w:t xml:space="preserve">II, III, IV durante el último año y un año después de que se </w:t>
      </w:r>
      <w:r w:rsidRPr="00AD24C5">
        <w:rPr>
          <w:rFonts w:ascii="Palatino Linotype" w:eastAsia="Palatino Linotype" w:hAnsi="Palatino Linotype" w:cs="Palatino Linotype"/>
          <w:b/>
          <w:i/>
          <w:sz w:val="24"/>
          <w:szCs w:val="24"/>
          <w:u w:val="single"/>
        </w:rPr>
        <w:lastRenderedPageBreak/>
        <w:t>extinga la relación laboral</w:t>
      </w:r>
      <w:r w:rsidRPr="00AD24C5">
        <w:rPr>
          <w:rFonts w:ascii="Palatino Linotype" w:eastAsia="Palatino Linotype" w:hAnsi="Palatino Linotype" w:cs="Palatino Linotype"/>
          <w:b/>
          <w:i/>
          <w:sz w:val="24"/>
          <w:szCs w:val="24"/>
        </w:rPr>
        <w:t>,</w:t>
      </w:r>
      <w:r w:rsidRPr="00AD24C5">
        <w:rPr>
          <w:rFonts w:ascii="Palatino Linotype" w:eastAsia="Palatino Linotype" w:hAnsi="Palatino Linotype" w:cs="Palatino Linotype"/>
          <w:i/>
          <w:sz w:val="24"/>
          <w:szCs w:val="24"/>
        </w:rPr>
        <w:t xml:space="preserve"> y los mencionados en la fracción V, conforme lo señalen las leyes que los rijan.</w:t>
      </w:r>
    </w:p>
    <w:p w:rsidR="004E39B3" w:rsidRPr="00AD24C5" w:rsidRDefault="004E39B3" w:rsidP="004E39B3">
      <w:pPr>
        <w:spacing w:before="160" w:after="16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rsidR="004E39B3" w:rsidRPr="00AD24C5" w:rsidRDefault="004E39B3" w:rsidP="004E39B3">
      <w:pPr>
        <w:spacing w:before="160" w:after="16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El incumplimiento por lo dispuesto por este artículo, establecerá la presunción de ser ciertos los hechos que el actor exprese en su demanda, en relación con tales documentos, salvo prueba en contrario.”</w:t>
      </w:r>
    </w:p>
    <w:p w:rsidR="004E39B3" w:rsidRPr="00AD24C5" w:rsidRDefault="004E39B3" w:rsidP="004E39B3">
      <w:pPr>
        <w:spacing w:before="160" w:after="160"/>
        <w:ind w:left="1134" w:right="90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(Énfasis añadido)</w:t>
      </w:r>
    </w:p>
    <w:p w:rsidR="004E39B3" w:rsidRPr="00AD24C5" w:rsidRDefault="004E39B3" w:rsidP="004E39B3">
      <w:pPr>
        <w:spacing w:line="360" w:lineRule="auto"/>
        <w:ind w:right="49"/>
        <w:jc w:val="both"/>
        <w:rPr>
          <w:rFonts w:ascii="Palatino Linotype" w:eastAsia="Palatino Linotype" w:hAnsi="Palatino Linotype" w:cs="Palatino Linotype"/>
          <w:sz w:val="24"/>
          <w:szCs w:val="24"/>
        </w:rPr>
      </w:pPr>
    </w:p>
    <w:p w:rsidR="004E39B3" w:rsidRPr="00AD24C5" w:rsidRDefault="004E39B3" w:rsidP="004E39B3">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De lo anterior, se advierte que toda institución pública o dependencia pública del Estado de México debe conservar los recibos o constancias de pago de salarios, prima vacacional, aguinaldo y demás prestaciones legales de acuerdo con la forma en que se haya realizado el pago, es decir, en efectivo, </w:t>
      </w:r>
      <w:r w:rsidRPr="00AD24C5">
        <w:rPr>
          <w:rFonts w:ascii="Palatino Linotype" w:eastAsia="Palatino Linotype" w:hAnsi="Palatino Linotype" w:cs="Palatino Linotype"/>
          <w:sz w:val="24"/>
          <w:szCs w:val="24"/>
          <w:u w:val="single"/>
        </w:rPr>
        <w:t>cheque,</w:t>
      </w:r>
      <w:r w:rsidRPr="00AD24C5">
        <w:rPr>
          <w:rFonts w:ascii="Palatino Linotype" w:eastAsia="Palatino Linotype" w:hAnsi="Palatino Linotype" w:cs="Palatino Linotype"/>
          <w:sz w:val="24"/>
          <w:szCs w:val="24"/>
        </w:rPr>
        <w:t xml:space="preserve"> depósito, </w:t>
      </w:r>
      <w:r w:rsidRPr="00AD24C5">
        <w:rPr>
          <w:rFonts w:ascii="Palatino Linotype" w:eastAsia="Palatino Linotype" w:hAnsi="Palatino Linotype" w:cs="Palatino Linotype"/>
          <w:sz w:val="24"/>
          <w:szCs w:val="24"/>
          <w:u w:val="single"/>
        </w:rPr>
        <w:t>transferencia</w:t>
      </w:r>
      <w:r w:rsidRPr="00AD24C5">
        <w:rPr>
          <w:rFonts w:ascii="Palatino Linotype" w:eastAsia="Palatino Linotype" w:hAnsi="Palatino Linotype" w:cs="Palatino Linotype"/>
          <w:sz w:val="24"/>
          <w:szCs w:val="24"/>
        </w:rPr>
        <w:t xml:space="preserve"> u otra, </w:t>
      </w:r>
      <w:r w:rsidRPr="00AD24C5">
        <w:rPr>
          <w:rFonts w:ascii="Palatino Linotype" w:eastAsia="Palatino Linotype" w:hAnsi="Palatino Linotype" w:cs="Palatino Linotype"/>
          <w:color w:val="000000"/>
          <w:sz w:val="24"/>
          <w:szCs w:val="24"/>
        </w:rPr>
        <w:t>debiendo</w:t>
      </w:r>
      <w:r w:rsidRPr="00AD24C5">
        <w:rPr>
          <w:rFonts w:ascii="Palatino Linotype" w:eastAsia="Palatino Linotype" w:hAnsi="Palatino Linotype" w:cs="Palatino Linotype"/>
          <w:sz w:val="24"/>
          <w:szCs w:val="24"/>
        </w:rPr>
        <w:t xml:space="preserve"> conservar dicha documentación durante el último año y un año después de que se extingue la relación laboral a través de los sistemas de digitalización o de información magnética o electrónica.</w:t>
      </w:r>
    </w:p>
    <w:p w:rsidR="004E39B3" w:rsidRPr="00AD24C5" w:rsidRDefault="004E39B3" w:rsidP="004E39B3">
      <w:pPr>
        <w:pBdr>
          <w:top w:val="nil"/>
          <w:left w:val="nil"/>
          <w:bottom w:val="nil"/>
          <w:right w:val="nil"/>
          <w:between w:val="nil"/>
        </w:pBdr>
        <w:spacing w:line="360" w:lineRule="auto"/>
        <w:ind w:right="-787"/>
        <w:jc w:val="both"/>
        <w:rPr>
          <w:rFonts w:ascii="Palatino Linotype" w:eastAsia="Palatino Linotype" w:hAnsi="Palatino Linotype" w:cs="Palatino Linotype"/>
          <w:sz w:val="24"/>
          <w:szCs w:val="24"/>
        </w:rPr>
      </w:pPr>
    </w:p>
    <w:p w:rsidR="004E39B3" w:rsidRPr="00AD24C5" w:rsidRDefault="004E39B3" w:rsidP="004E39B3">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Seguidamente el Manual General de Organización del Ayuntamiento de Villa del Carbón faculta a la Dirección General de Administración para validar la elaboración y distribución de la nómina del personal que labora en la administración pública municipal con la finalidad de que devenguen el sueldo correspondiente, lo anterior conforme a la normatividad aplicable y el presupuesto autorizado.</w:t>
      </w:r>
    </w:p>
    <w:p w:rsidR="004E39B3" w:rsidRPr="00AD24C5" w:rsidRDefault="004E39B3" w:rsidP="004E39B3">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color w:val="000000"/>
          <w:sz w:val="24"/>
          <w:szCs w:val="24"/>
        </w:rPr>
        <w:lastRenderedPageBreak/>
        <w:t>Ahora</w:t>
      </w:r>
      <w:r w:rsidRPr="00AD24C5">
        <w:rPr>
          <w:rFonts w:ascii="Palatino Linotype" w:eastAsia="Palatino Linotype" w:hAnsi="Palatino Linotype" w:cs="Palatino Linotype"/>
          <w:sz w:val="24"/>
          <w:szCs w:val="24"/>
        </w:rPr>
        <w:t xml:space="preserve"> bien, el artículo 350 del Código Financiero del Estado de México dispone lo que se transcribe a continuación:</w:t>
      </w:r>
    </w:p>
    <w:p w:rsidR="004E39B3" w:rsidRPr="00AD24C5" w:rsidRDefault="004E39B3" w:rsidP="004E39B3">
      <w:pPr>
        <w:spacing w:before="120" w:after="12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w:t>
      </w:r>
      <w:r w:rsidRPr="00AD24C5">
        <w:rPr>
          <w:rFonts w:ascii="Palatino Linotype" w:eastAsia="Palatino Linotype" w:hAnsi="Palatino Linotype" w:cs="Palatino Linotype"/>
          <w:b/>
          <w:i/>
          <w:sz w:val="24"/>
          <w:szCs w:val="24"/>
        </w:rPr>
        <w:t>Artículo 350.-</w:t>
      </w:r>
      <w:r w:rsidRPr="00AD24C5">
        <w:rPr>
          <w:rFonts w:ascii="Palatino Linotype" w:eastAsia="Palatino Linotype" w:hAnsi="Palatino Linotype" w:cs="Palatino Linotype"/>
          <w:i/>
          <w:sz w:val="24"/>
          <w:szCs w:val="24"/>
        </w:rPr>
        <w:t xml:space="preserve"> Mensualmente </w:t>
      </w:r>
      <w:r w:rsidRPr="00AD24C5">
        <w:rPr>
          <w:rFonts w:ascii="Palatino Linotype" w:eastAsia="Palatino Linotype" w:hAnsi="Palatino Linotype" w:cs="Palatino Linotype"/>
          <w:b/>
          <w:i/>
          <w:sz w:val="24"/>
          <w:szCs w:val="24"/>
          <w:u w:val="single"/>
        </w:rPr>
        <w:t>dentro de los primeros veinte días hábiles</w:t>
      </w:r>
      <w:r w:rsidRPr="00AD24C5">
        <w:rPr>
          <w:rFonts w:ascii="Palatino Linotype" w:eastAsia="Palatino Linotype" w:hAnsi="Palatino Linotype" w:cs="Palatino Linotype"/>
          <w:i/>
          <w:sz w:val="24"/>
          <w:szCs w:val="24"/>
        </w:rPr>
        <w:t xml:space="preserve">, la Secretaría y </w:t>
      </w:r>
      <w:r w:rsidRPr="00AD24C5">
        <w:rPr>
          <w:rFonts w:ascii="Palatino Linotype" w:eastAsia="Palatino Linotype" w:hAnsi="Palatino Linotype" w:cs="Palatino Linotype"/>
          <w:b/>
          <w:i/>
          <w:sz w:val="24"/>
          <w:szCs w:val="24"/>
          <w:u w:val="single"/>
        </w:rPr>
        <w:t>las Tesorerías, enviarán para su análisis y evaluación al Órgano Superior de Fiscalización del Estado de México, la siguiente información</w:t>
      </w:r>
      <w:r w:rsidRPr="00AD24C5">
        <w:rPr>
          <w:rFonts w:ascii="Palatino Linotype" w:eastAsia="Palatino Linotype" w:hAnsi="Palatino Linotype" w:cs="Palatino Linotype"/>
          <w:i/>
          <w:sz w:val="24"/>
          <w:szCs w:val="24"/>
        </w:rPr>
        <w:t xml:space="preserve">: </w:t>
      </w:r>
    </w:p>
    <w:p w:rsidR="004E39B3" w:rsidRPr="00AD24C5" w:rsidRDefault="004E39B3" w:rsidP="004E39B3">
      <w:pPr>
        <w:spacing w:before="120" w:after="12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w:t>
      </w:r>
    </w:p>
    <w:p w:rsidR="004E39B3" w:rsidRPr="00AD24C5" w:rsidRDefault="004E39B3" w:rsidP="004E39B3">
      <w:pPr>
        <w:spacing w:before="120" w:after="12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b/>
          <w:i/>
          <w:sz w:val="24"/>
          <w:szCs w:val="24"/>
        </w:rPr>
        <w:t xml:space="preserve">IV. </w:t>
      </w:r>
      <w:r w:rsidRPr="00AD24C5">
        <w:rPr>
          <w:rFonts w:ascii="Palatino Linotype" w:eastAsia="Palatino Linotype" w:hAnsi="Palatino Linotype" w:cs="Palatino Linotype"/>
          <w:b/>
          <w:i/>
          <w:sz w:val="24"/>
          <w:szCs w:val="24"/>
          <w:u w:val="single"/>
        </w:rPr>
        <w:t>Información de nómina</w:t>
      </w:r>
      <w:r w:rsidRPr="00AD24C5">
        <w:rPr>
          <w:rFonts w:ascii="Palatino Linotype" w:eastAsia="Palatino Linotype" w:hAnsi="Palatino Linotype" w:cs="Palatino Linotype"/>
          <w:i/>
          <w:sz w:val="24"/>
          <w:szCs w:val="24"/>
        </w:rPr>
        <w:t>.”</w:t>
      </w:r>
    </w:p>
    <w:p w:rsidR="004E39B3" w:rsidRPr="00AD24C5" w:rsidRDefault="004E39B3" w:rsidP="004E39B3">
      <w:pPr>
        <w:spacing w:before="120" w:after="120"/>
        <w:ind w:left="1134" w:right="90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(Énfasis añadido)</w:t>
      </w:r>
    </w:p>
    <w:p w:rsidR="004E39B3" w:rsidRPr="00AD24C5" w:rsidRDefault="004E39B3" w:rsidP="004E39B3">
      <w:pPr>
        <w:spacing w:before="120" w:after="120"/>
        <w:ind w:right="1106"/>
        <w:jc w:val="both"/>
        <w:rPr>
          <w:rFonts w:ascii="Palatino Linotype" w:eastAsia="Palatino Linotype" w:hAnsi="Palatino Linotype" w:cs="Palatino Linotype"/>
          <w:sz w:val="24"/>
          <w:szCs w:val="24"/>
        </w:rPr>
      </w:pPr>
    </w:p>
    <w:p w:rsidR="004E39B3" w:rsidRPr="00AD24C5" w:rsidRDefault="004E39B3" w:rsidP="004E39B3">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De igual forma, las disposiciones administrativas que rigen a las Entidades </w:t>
      </w:r>
      <w:r w:rsidRPr="00AD24C5">
        <w:rPr>
          <w:rFonts w:ascii="Palatino Linotype" w:eastAsia="Palatino Linotype" w:hAnsi="Palatino Linotype" w:cs="Palatino Linotype"/>
          <w:color w:val="000000"/>
          <w:sz w:val="24"/>
          <w:szCs w:val="24"/>
        </w:rPr>
        <w:t>Fiscalizables</w:t>
      </w:r>
      <w:r w:rsidRPr="00AD24C5">
        <w:rPr>
          <w:rFonts w:ascii="Palatino Linotype" w:eastAsia="Palatino Linotype" w:hAnsi="Palatino Linotype" w:cs="Palatino Linotype"/>
          <w:sz w:val="24"/>
          <w:szCs w:val="24"/>
        </w:rPr>
        <w:t xml:space="preserve"> en el Estado de México, se encuentran los Lineamientos para la integración del Informe Mensual emitidos anualmente por el Órgano Superior de Fiscalización del Estado de México (OSFEM) en ejercicio de sus atribuciones, los cuales representan una herramienta para elaborar y presentar los Informes Mensuales por parte de las Entidades Fiscalizables, en cuanto a los requerimientos financieros, contables, patrimoniales, presupuestales, programáticos y administrativos que nos señalan los ordenamientos legales respectivos, que entre otros destacan: la Ley Orgánica Municipal, Ley de Ingresos de los Municipios, Presupuesto de Egresos y Manual Único de Contabilidad Gubernamental para las Dependencias y Entidades Públicas del Gobierno y Municipios, todos del Estado de México.</w:t>
      </w:r>
    </w:p>
    <w:p w:rsidR="004E39B3" w:rsidRPr="00AD24C5" w:rsidRDefault="004E39B3" w:rsidP="004E39B3">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4E39B3" w:rsidRPr="00AD24C5" w:rsidRDefault="004E39B3" w:rsidP="004E39B3">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Así, </w:t>
      </w:r>
      <w:r w:rsidRPr="00AD24C5">
        <w:rPr>
          <w:rFonts w:ascii="Palatino Linotype" w:eastAsia="Palatino Linotype" w:hAnsi="Palatino Linotype" w:cs="Palatino Linotype"/>
          <w:color w:val="000000"/>
          <w:sz w:val="24"/>
          <w:szCs w:val="24"/>
        </w:rPr>
        <w:t>los</w:t>
      </w:r>
      <w:r w:rsidRPr="00AD24C5">
        <w:rPr>
          <w:rFonts w:ascii="Palatino Linotype" w:eastAsia="Palatino Linotype" w:hAnsi="Palatino Linotype" w:cs="Palatino Linotype"/>
          <w:sz w:val="24"/>
          <w:szCs w:val="24"/>
        </w:rPr>
        <w:t xml:space="preserve"> Lineamientos en comento sirven para definir los criterios, formatos y documentación necesaria para presentar los informes mensuales. Entre los criterios que se </w:t>
      </w:r>
      <w:r w:rsidRPr="00AD24C5">
        <w:rPr>
          <w:rFonts w:ascii="Palatino Linotype" w:eastAsia="Palatino Linotype" w:hAnsi="Palatino Linotype" w:cs="Palatino Linotype"/>
          <w:sz w:val="24"/>
          <w:szCs w:val="24"/>
        </w:rPr>
        <w:lastRenderedPageBreak/>
        <w:t xml:space="preserve">manejan en tales Lineamientos esta aquel que se refiere a la integración de información de nómina, tal y como se muestra en la siguiente captura: </w:t>
      </w:r>
    </w:p>
    <w:p w:rsidR="004E39B3" w:rsidRDefault="004E39B3" w:rsidP="004E39B3">
      <w:pPr>
        <w:spacing w:line="360" w:lineRule="auto"/>
        <w:jc w:val="center"/>
        <w:rPr>
          <w:rFonts w:ascii="Palatino Linotype" w:eastAsia="Palatino Linotype" w:hAnsi="Palatino Linotype" w:cs="Palatino Linotype"/>
          <w:sz w:val="24"/>
          <w:szCs w:val="24"/>
        </w:rPr>
      </w:pPr>
      <w:r w:rsidRPr="00AD24C5">
        <w:rPr>
          <w:rFonts w:ascii="Palatino Linotype" w:eastAsia="Palatino Linotype" w:hAnsi="Palatino Linotype" w:cs="Palatino Linotype"/>
          <w:noProof/>
          <w:sz w:val="24"/>
          <w:szCs w:val="24"/>
          <w:lang w:eastAsia="es-MX"/>
        </w:rPr>
        <w:drawing>
          <wp:inline distT="0" distB="0" distL="0" distR="0" wp14:anchorId="35A0A5A3" wp14:editId="6EFF24DF">
            <wp:extent cx="4305316" cy="2705771"/>
            <wp:effectExtent l="0" t="0" r="0" b="0"/>
            <wp:docPr id="5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4305316" cy="2705771"/>
                    </a:xfrm>
                    <a:prstGeom prst="rect">
                      <a:avLst/>
                    </a:prstGeom>
                    <a:ln/>
                  </pic:spPr>
                </pic:pic>
              </a:graphicData>
            </a:graphic>
          </wp:inline>
        </w:drawing>
      </w:r>
    </w:p>
    <w:p w:rsidR="00B27992" w:rsidRPr="00AD24C5" w:rsidRDefault="00B27992" w:rsidP="004E39B3">
      <w:pPr>
        <w:spacing w:line="360" w:lineRule="auto"/>
        <w:jc w:val="center"/>
        <w:rPr>
          <w:rFonts w:ascii="Palatino Linotype" w:eastAsia="Palatino Linotype" w:hAnsi="Palatino Linotype" w:cs="Palatino Linotype"/>
          <w:sz w:val="24"/>
          <w:szCs w:val="24"/>
        </w:rPr>
      </w:pPr>
    </w:p>
    <w:p w:rsidR="004E39B3" w:rsidRPr="00AD24C5" w:rsidRDefault="004E39B3" w:rsidP="004E39B3">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De la imagen insertada, se desprende que, se puede obtener la información requerida por </w:t>
      </w:r>
      <w:r w:rsidRPr="00AD24C5">
        <w:rPr>
          <w:rFonts w:ascii="Palatino Linotype" w:eastAsia="Palatino Linotype" w:hAnsi="Palatino Linotype" w:cs="Palatino Linotype"/>
          <w:b/>
          <w:sz w:val="24"/>
          <w:szCs w:val="24"/>
        </w:rPr>
        <w:t>EL RECURRENTE</w:t>
      </w:r>
      <w:r w:rsidRPr="00AD24C5">
        <w:rPr>
          <w:rFonts w:ascii="Palatino Linotype" w:eastAsia="Palatino Linotype" w:hAnsi="Palatino Linotype" w:cs="Palatino Linotype"/>
          <w:sz w:val="24"/>
          <w:szCs w:val="24"/>
        </w:rPr>
        <w:t xml:space="preserve">; puesto que resulta claro que existe la obligación por parte del </w:t>
      </w:r>
      <w:r w:rsidRPr="00AD24C5">
        <w:rPr>
          <w:rFonts w:ascii="Palatino Linotype" w:eastAsia="Palatino Linotype" w:hAnsi="Palatino Linotype" w:cs="Palatino Linotype"/>
          <w:b/>
          <w:sz w:val="24"/>
          <w:szCs w:val="24"/>
        </w:rPr>
        <w:t>SUJETO OBLIGADO</w:t>
      </w:r>
      <w:r w:rsidRPr="00AD24C5">
        <w:rPr>
          <w:rFonts w:ascii="Palatino Linotype" w:eastAsia="Palatino Linotype" w:hAnsi="Palatino Linotype" w:cs="Palatino Linotype"/>
          <w:sz w:val="24"/>
          <w:szCs w:val="24"/>
        </w:rPr>
        <w:t xml:space="preserve">, de realizar los informes para que remita los reportes mensuales al Órgano Superior de Fiscalización del Estado de México de conformidad con el artículo 32 de la Ley de Fiscalización Superior del Estado de México, en los cuales se incluyen los </w:t>
      </w:r>
      <w:r w:rsidRPr="00AD24C5">
        <w:rPr>
          <w:rFonts w:ascii="Palatino Linotype" w:eastAsia="Palatino Linotype" w:hAnsi="Palatino Linotype" w:cs="Palatino Linotype"/>
          <w:b/>
          <w:sz w:val="24"/>
          <w:szCs w:val="24"/>
        </w:rPr>
        <w:t>Comprobantes Fiscales Digitales por Internet por concepto de nómina</w:t>
      </w:r>
      <w:r w:rsidRPr="00AD24C5">
        <w:rPr>
          <w:rFonts w:ascii="Palatino Linotype" w:eastAsia="Palatino Linotype" w:hAnsi="Palatino Linotype" w:cs="Palatino Linotype"/>
          <w:sz w:val="24"/>
          <w:szCs w:val="24"/>
        </w:rPr>
        <w:t xml:space="preserve">, que comprende la información relativa </w:t>
      </w:r>
      <w:r w:rsidRPr="00AD24C5">
        <w:rPr>
          <w:rFonts w:ascii="Palatino Linotype" w:eastAsia="Palatino Linotype" w:hAnsi="Palatino Linotype" w:cs="Palatino Linotype"/>
          <w:b/>
          <w:sz w:val="24"/>
          <w:szCs w:val="24"/>
        </w:rPr>
        <w:t>al pago de las remuneraciones de cada uno de los servidores públicos correspondiente a un periodo determinado, incluyendo el aguinaldo y las gratificaciones;</w:t>
      </w:r>
      <w:r w:rsidRPr="00AD24C5">
        <w:rPr>
          <w:rFonts w:ascii="Palatino Linotype" w:eastAsia="Palatino Linotype" w:hAnsi="Palatino Linotype" w:cs="Palatino Linotype"/>
          <w:sz w:val="24"/>
          <w:szCs w:val="24"/>
        </w:rPr>
        <w:t xml:space="preserve"> en consecuencia, la información solicitada puede ser colmada por el </w:t>
      </w:r>
      <w:r w:rsidRPr="00AD24C5">
        <w:rPr>
          <w:rFonts w:ascii="Palatino Linotype" w:eastAsia="Palatino Linotype" w:hAnsi="Palatino Linotype" w:cs="Palatino Linotype"/>
          <w:b/>
          <w:sz w:val="24"/>
          <w:szCs w:val="24"/>
        </w:rPr>
        <w:t xml:space="preserve">SUJETO OBLIGADO, toda vez que  los Comprobantes Fiscales Digitales por Internet se emiten quincenalmente. </w:t>
      </w:r>
    </w:p>
    <w:p w:rsidR="004E39B3" w:rsidRPr="00AD24C5" w:rsidRDefault="004E39B3" w:rsidP="004E39B3">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lastRenderedPageBreak/>
        <w:t xml:space="preserve">Sirve </w:t>
      </w:r>
      <w:r w:rsidRPr="00AD24C5">
        <w:rPr>
          <w:rFonts w:ascii="Palatino Linotype" w:eastAsia="Palatino Linotype" w:hAnsi="Palatino Linotype" w:cs="Palatino Linotype"/>
          <w:color w:val="000000"/>
          <w:sz w:val="24"/>
          <w:szCs w:val="24"/>
        </w:rPr>
        <w:t>de</w:t>
      </w:r>
      <w:r w:rsidRPr="00AD24C5">
        <w:rPr>
          <w:rFonts w:ascii="Palatino Linotype" w:eastAsia="Palatino Linotype" w:hAnsi="Palatino Linotype" w:cs="Palatino Linotype"/>
          <w:sz w:val="24"/>
          <w:szCs w:val="24"/>
        </w:rPr>
        <w:t xml:space="preserve"> sustento por analogía, para justificar la publicidad sobre los datos </w:t>
      </w:r>
      <w:r w:rsidRPr="00AD24C5">
        <w:rPr>
          <w:rFonts w:ascii="Palatino Linotype" w:eastAsia="Palatino Linotype" w:hAnsi="Palatino Linotype" w:cs="Palatino Linotype"/>
          <w:color w:val="000000"/>
          <w:sz w:val="24"/>
          <w:szCs w:val="24"/>
        </w:rPr>
        <w:t>relativos</w:t>
      </w:r>
      <w:r w:rsidRPr="00AD24C5">
        <w:rPr>
          <w:rFonts w:ascii="Palatino Linotype" w:eastAsia="Palatino Linotype" w:hAnsi="Palatino Linotype" w:cs="Palatino Linotype"/>
          <w:sz w:val="24"/>
          <w:szCs w:val="24"/>
        </w:rPr>
        <w:t xml:space="preserve"> a los montos por concepto de pago de las remuneraciones, los criterios 01/2003 y 02/2003 emitidos por el Comité de Acceso a la Información Pública y Protección de Datos Personales de la Suprema Corte de Justicia de la Nación que a continuación se citan: </w:t>
      </w:r>
    </w:p>
    <w:p w:rsidR="004E39B3" w:rsidRPr="00AD24C5" w:rsidRDefault="004E39B3" w:rsidP="004E39B3">
      <w:pPr>
        <w:spacing w:before="160" w:after="200"/>
        <w:ind w:left="1134" w:right="900"/>
        <w:jc w:val="both"/>
        <w:rPr>
          <w:rFonts w:ascii="Palatino Linotype" w:eastAsia="Palatino Linotype" w:hAnsi="Palatino Linotype" w:cs="Palatino Linotype"/>
          <w:b/>
          <w:i/>
          <w:sz w:val="24"/>
          <w:szCs w:val="24"/>
        </w:rPr>
      </w:pPr>
      <w:r w:rsidRPr="00AD24C5">
        <w:rPr>
          <w:rFonts w:ascii="Palatino Linotype" w:eastAsia="Palatino Linotype" w:hAnsi="Palatino Linotype" w:cs="Palatino Linotype"/>
          <w:i/>
          <w:sz w:val="24"/>
          <w:szCs w:val="24"/>
        </w:rPr>
        <w:t>“</w:t>
      </w:r>
      <w:r w:rsidRPr="00AD24C5">
        <w:rPr>
          <w:rFonts w:ascii="Palatino Linotype" w:eastAsia="Palatino Linotype" w:hAnsi="Palatino Linotype" w:cs="Palatino Linotype"/>
          <w:b/>
          <w:i/>
          <w:sz w:val="24"/>
          <w:szCs w:val="24"/>
        </w:rPr>
        <w:t>Criterio 01/2003.</w:t>
      </w:r>
    </w:p>
    <w:p w:rsidR="004E39B3" w:rsidRPr="00AD24C5" w:rsidRDefault="004E39B3" w:rsidP="004E39B3">
      <w:pPr>
        <w:spacing w:before="160" w:after="20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b/>
          <w:i/>
          <w:sz w:val="24"/>
          <w:szCs w:val="24"/>
        </w:rPr>
        <w:t>INGRESOS DE LOS SERVIDORES PÚBLICOS. CONSTITUYEN INFORMACIÓN PÚBLICA AÚN Y CUANDO SU DIFUSIÓN PUEDE AFECTAR LA VIDA O LA SEGURIDAD DE AQUELLOS.</w:t>
      </w:r>
      <w:r w:rsidRPr="00AD24C5">
        <w:rPr>
          <w:rFonts w:ascii="Palatino Linotype" w:eastAsia="Palatino Linotype" w:hAnsi="Palatino Linotype" w:cs="Palatino Linotype"/>
          <w:i/>
          <w:sz w:val="24"/>
          <w:szCs w:val="24"/>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AD24C5">
        <w:rPr>
          <w:rFonts w:ascii="Palatino Linotype" w:eastAsia="Palatino Linotype" w:hAnsi="Palatino Linotype" w:cs="Palatino Linotype"/>
          <w:b/>
          <w:i/>
          <w:sz w:val="24"/>
          <w:szCs w:val="24"/>
        </w:rPr>
        <w:t xml:space="preserve">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 </w:t>
      </w:r>
      <w:r w:rsidRPr="00AD24C5">
        <w:rPr>
          <w:rFonts w:ascii="Palatino Linotype" w:eastAsia="Palatino Linotype" w:hAnsi="Palatino Linotype" w:cs="Palatino Linotype"/>
          <w:i/>
          <w:sz w:val="24"/>
          <w:szCs w:val="24"/>
        </w:rPr>
        <w:t>…”</w:t>
      </w:r>
    </w:p>
    <w:p w:rsidR="004E39B3" w:rsidRPr="00AD24C5" w:rsidRDefault="004E39B3" w:rsidP="004E39B3">
      <w:pPr>
        <w:spacing w:before="360" w:after="200"/>
        <w:ind w:left="1134" w:right="900"/>
        <w:jc w:val="both"/>
        <w:rPr>
          <w:rFonts w:ascii="Palatino Linotype" w:eastAsia="Palatino Linotype" w:hAnsi="Palatino Linotype" w:cs="Palatino Linotype"/>
          <w:b/>
          <w:i/>
          <w:sz w:val="24"/>
          <w:szCs w:val="24"/>
        </w:rPr>
      </w:pPr>
      <w:r w:rsidRPr="00AD24C5">
        <w:rPr>
          <w:rFonts w:ascii="Palatino Linotype" w:eastAsia="Palatino Linotype" w:hAnsi="Palatino Linotype" w:cs="Palatino Linotype"/>
          <w:i/>
          <w:sz w:val="24"/>
          <w:szCs w:val="24"/>
        </w:rPr>
        <w:t>“</w:t>
      </w:r>
      <w:r w:rsidRPr="00AD24C5">
        <w:rPr>
          <w:rFonts w:ascii="Palatino Linotype" w:eastAsia="Palatino Linotype" w:hAnsi="Palatino Linotype" w:cs="Palatino Linotype"/>
          <w:b/>
          <w:i/>
          <w:sz w:val="24"/>
          <w:szCs w:val="24"/>
        </w:rPr>
        <w:t>Criterio 02/2003.</w:t>
      </w:r>
    </w:p>
    <w:p w:rsidR="004E39B3" w:rsidRPr="00AD24C5" w:rsidRDefault="004E39B3" w:rsidP="004E39B3">
      <w:pPr>
        <w:spacing w:before="160" w:after="200"/>
        <w:ind w:left="1134" w:right="90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b/>
          <w:i/>
          <w:sz w:val="24"/>
          <w:szCs w:val="24"/>
        </w:rPr>
        <w:t>INGRESOS DE LOS SERVIDORES PÚBLICOS, SON INFORMACIÓN PÚBLICA AÚN Y CUANDO CONSTITUYEN DATOS PERSONALES QUE SE REFIEREN AL PATRIMONIO DE AQUÉLLOS.</w:t>
      </w:r>
      <w:r w:rsidRPr="00AD24C5">
        <w:rPr>
          <w:rFonts w:ascii="Palatino Linotype" w:eastAsia="Palatino Linotype" w:hAnsi="Palatino Linotype" w:cs="Palatino Linotype"/>
          <w:i/>
          <w:sz w:val="24"/>
          <w:szCs w:val="24"/>
        </w:rPr>
        <w:t xml:space="preserve"> De la interpretación sistemática de lo previsto en los artículos </w:t>
      </w:r>
      <w:r w:rsidRPr="00AD24C5">
        <w:rPr>
          <w:rFonts w:ascii="Palatino Linotype" w:eastAsia="Palatino Linotype" w:hAnsi="Palatino Linotype" w:cs="Palatino Linotype"/>
          <w:i/>
          <w:sz w:val="24"/>
          <w:szCs w:val="24"/>
        </w:rPr>
        <w:lastRenderedPageBreak/>
        <w:t xml:space="preserve">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AD24C5">
        <w:rPr>
          <w:rFonts w:ascii="Palatino Linotype" w:eastAsia="Palatino Linotype" w:hAnsi="Palatino Linotype" w:cs="Palatino Linotype"/>
          <w:b/>
          <w:i/>
          <w:sz w:val="24"/>
          <w:szCs w:val="24"/>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AD24C5">
        <w:rPr>
          <w:rFonts w:ascii="Palatino Linotype" w:eastAsia="Palatino Linotype" w:hAnsi="Palatino Linotype" w:cs="Palatino Linotype"/>
          <w:i/>
          <w:sz w:val="24"/>
          <w:szCs w:val="24"/>
        </w:rPr>
        <w:t xml:space="preserve"> el sistema de compensación …”</w:t>
      </w:r>
    </w:p>
    <w:p w:rsidR="004E39B3" w:rsidRPr="00AD24C5" w:rsidRDefault="004E39B3" w:rsidP="004E39B3">
      <w:pPr>
        <w:spacing w:before="160" w:after="200"/>
        <w:ind w:left="1134" w:right="90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(Énfasis añadido)</w:t>
      </w:r>
    </w:p>
    <w:p w:rsidR="004E39B3" w:rsidRPr="00AD24C5" w:rsidRDefault="004E39B3" w:rsidP="00AD24C5">
      <w:pPr>
        <w:rPr>
          <w:rFonts w:ascii="Palatino Linotype" w:eastAsia="Palatino Linotype" w:hAnsi="Palatino Linotype" w:cs="Palatino Linotype"/>
          <w:sz w:val="24"/>
          <w:szCs w:val="24"/>
        </w:rPr>
      </w:pPr>
    </w:p>
    <w:p w:rsidR="004E39B3" w:rsidRPr="00AD24C5" w:rsidRDefault="004E39B3" w:rsidP="004E39B3">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En el caso específico, los recibos de nómina contienen los datos personales de los servidores,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lastRenderedPageBreak/>
        <w:t xml:space="preserve">Por </w:t>
      </w:r>
      <w:r w:rsidRPr="00AD24C5">
        <w:rPr>
          <w:rFonts w:ascii="Palatino Linotype" w:eastAsia="Palatino Linotype" w:hAnsi="Palatino Linotype" w:cs="Palatino Linotype"/>
          <w:color w:val="000000"/>
          <w:sz w:val="24"/>
          <w:szCs w:val="24"/>
        </w:rPr>
        <w:t>cuanto</w:t>
      </w:r>
      <w:r w:rsidRPr="00AD24C5">
        <w:rPr>
          <w:rFonts w:ascii="Palatino Linotype" w:eastAsia="Palatino Linotype" w:hAnsi="Palatino Linotype" w:cs="Palatino Linotype"/>
          <w:sz w:val="24"/>
          <w:szCs w:val="24"/>
        </w:rPr>
        <w:t xml:space="preserve"> hace al </w:t>
      </w:r>
      <w:r w:rsidRPr="00AD24C5">
        <w:rPr>
          <w:rFonts w:ascii="Palatino Linotype" w:eastAsia="Palatino Linotype" w:hAnsi="Palatino Linotype" w:cs="Palatino Linotype"/>
          <w:b/>
          <w:sz w:val="24"/>
          <w:szCs w:val="24"/>
        </w:rPr>
        <w:t>Registro Federal de Contribuyentes (RFC),</w:t>
      </w:r>
      <w:r w:rsidRPr="00AD24C5">
        <w:rPr>
          <w:rFonts w:ascii="Palatino Linotype" w:eastAsia="Palatino Linotype" w:hAnsi="Palatino Linotype" w:cs="Palatino Linotype"/>
          <w:sz w:val="24"/>
          <w:szCs w:val="24"/>
        </w:rPr>
        <w:t xml:space="preserve"> de las personas </w:t>
      </w:r>
      <w:r w:rsidRPr="00AD24C5">
        <w:rPr>
          <w:rFonts w:ascii="Palatino Linotype" w:eastAsia="Palatino Linotype" w:hAnsi="Palatino Linotype" w:cs="Palatino Linotype"/>
          <w:color w:val="000000"/>
          <w:sz w:val="24"/>
          <w:szCs w:val="24"/>
        </w:rPr>
        <w:t>físicas</w:t>
      </w:r>
      <w:r w:rsidRPr="00AD24C5">
        <w:rPr>
          <w:rFonts w:ascii="Palatino Linotype" w:eastAsia="Palatino Linotype" w:hAnsi="Palatino Linotype" w:cs="Palatino Linotype"/>
          <w:sz w:val="24"/>
          <w:szCs w:val="24"/>
        </w:rPr>
        <w:t>,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Ahora bien, las personas físicas tramitan su inscripción en el registro con el </w:t>
      </w:r>
      <w:r w:rsidRPr="00AD24C5">
        <w:rPr>
          <w:rFonts w:ascii="Palatino Linotype" w:eastAsia="Palatino Linotype" w:hAnsi="Palatino Linotype" w:cs="Palatino Linotype"/>
          <w:color w:val="000000"/>
          <w:sz w:val="24"/>
          <w:szCs w:val="24"/>
        </w:rPr>
        <w:t>propósito</w:t>
      </w:r>
      <w:r w:rsidRPr="00AD24C5">
        <w:rPr>
          <w:rFonts w:ascii="Palatino Linotype" w:eastAsia="Palatino Linotype" w:hAnsi="Palatino Linotype" w:cs="Palatino Linotype"/>
          <w:sz w:val="24"/>
          <w:szCs w:val="24"/>
        </w:rPr>
        <w:t xml:space="preserve"> </w:t>
      </w:r>
      <w:r w:rsidRPr="00AD24C5">
        <w:rPr>
          <w:rFonts w:ascii="Palatino Linotype" w:eastAsia="Palatino Linotype" w:hAnsi="Palatino Linotype" w:cs="Palatino Linotype"/>
          <w:color w:val="000000"/>
          <w:sz w:val="24"/>
          <w:szCs w:val="24"/>
        </w:rPr>
        <w:t>de</w:t>
      </w:r>
      <w:r w:rsidRPr="00AD24C5">
        <w:rPr>
          <w:rFonts w:ascii="Palatino Linotype" w:eastAsia="Palatino Linotype" w:hAnsi="Palatino Linotype" w:cs="Palatino Linotype"/>
          <w:sz w:val="24"/>
          <w:szCs w:val="24"/>
        </w:rPr>
        <w:t xml:space="preserve"> realizar —mediante esa clave de identificación— operaciones o actividades de naturaleza fiscal, la cual, les permite hacerse identificables respecto de una situación fiscal determinada.</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Lo </w:t>
      </w:r>
      <w:r w:rsidRPr="00AD24C5">
        <w:rPr>
          <w:rFonts w:ascii="Palatino Linotype" w:eastAsia="Palatino Linotype" w:hAnsi="Palatino Linotype" w:cs="Palatino Linotype"/>
          <w:color w:val="000000"/>
          <w:sz w:val="24"/>
          <w:szCs w:val="24"/>
        </w:rPr>
        <w:t>anterior</w:t>
      </w:r>
      <w:r w:rsidRPr="00AD24C5">
        <w:rPr>
          <w:rFonts w:ascii="Palatino Linotype" w:eastAsia="Palatino Linotype" w:hAnsi="Palatino Linotype" w:cs="Palatino Linotype"/>
          <w:sz w:val="24"/>
          <w:szCs w:val="24"/>
        </w:rPr>
        <w:t xml:space="preserve"> es compartido por el entonces Instituto Federal de Acceso a la </w:t>
      </w:r>
      <w:r w:rsidRPr="00AD24C5">
        <w:rPr>
          <w:rFonts w:ascii="Palatino Linotype" w:eastAsia="Palatino Linotype" w:hAnsi="Palatino Linotype" w:cs="Palatino Linotype"/>
          <w:color w:val="000000"/>
          <w:sz w:val="24"/>
          <w:szCs w:val="24"/>
        </w:rPr>
        <w:t>Información</w:t>
      </w:r>
      <w:r w:rsidRPr="00AD24C5">
        <w:rPr>
          <w:rFonts w:ascii="Palatino Linotype" w:eastAsia="Palatino Linotype" w:hAnsi="Palatino Linotype" w:cs="Palatino Linotype"/>
          <w:sz w:val="24"/>
          <w:szCs w:val="24"/>
        </w:rPr>
        <w:t xml:space="preserve"> Pública y Protección de Datos Personales (IFAI) a través del Criterio 19/17, que utilizado de manera orientadora y que a la fecha de la solicitud se encontraba vigente, el cual refiere lo siguiente:</w:t>
      </w:r>
    </w:p>
    <w:p w:rsidR="004E39B3" w:rsidRPr="00AD24C5" w:rsidRDefault="004E39B3" w:rsidP="004C1DAD">
      <w:pPr>
        <w:ind w:left="1134" w:right="680"/>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b/>
          <w:i/>
          <w:sz w:val="24"/>
          <w:szCs w:val="24"/>
        </w:rPr>
        <w:t>“Registro Federal de Contribuyentes (RFC) de personas físicas</w:t>
      </w:r>
      <w:r w:rsidRPr="00AD24C5">
        <w:rPr>
          <w:rFonts w:ascii="Palatino Linotype" w:eastAsia="Palatino Linotype" w:hAnsi="Palatino Linotype" w:cs="Palatino Linotype"/>
          <w:i/>
          <w:sz w:val="24"/>
          <w:szCs w:val="24"/>
        </w:rPr>
        <w:t>. El RFC es una clave de carácter fiscal, única e irrepetible, que permite identificar al titular, su edad y fecha de nacimiento, por lo que es un dato personal de carácter confidencial.”</w:t>
      </w:r>
    </w:p>
    <w:p w:rsidR="004E39B3" w:rsidRPr="00AD24C5" w:rsidRDefault="004E39B3" w:rsidP="004E39B3">
      <w:pPr>
        <w:ind w:left="567" w:right="900"/>
        <w:jc w:val="both"/>
        <w:rPr>
          <w:rFonts w:ascii="Palatino Linotype" w:eastAsia="Palatino Linotype" w:hAnsi="Palatino Linotype" w:cs="Palatino Linotype"/>
          <w:i/>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Así, </w:t>
      </w:r>
      <w:r w:rsidRPr="00AD24C5">
        <w:rPr>
          <w:rFonts w:ascii="Palatino Linotype" w:eastAsia="Palatino Linotype" w:hAnsi="Palatino Linotype" w:cs="Palatino Linotype"/>
          <w:color w:val="000000"/>
          <w:sz w:val="24"/>
          <w:szCs w:val="24"/>
        </w:rPr>
        <w:t>el</w:t>
      </w:r>
      <w:r w:rsidRPr="00AD24C5">
        <w:rPr>
          <w:rFonts w:ascii="Palatino Linotype" w:eastAsia="Palatino Linotype" w:hAnsi="Palatino Linotype" w:cs="Palatino Linotype"/>
          <w:sz w:val="24"/>
          <w:szCs w:val="24"/>
        </w:rPr>
        <w:t xml:space="preserve"> </w:t>
      </w:r>
      <w:r w:rsidRPr="00AD24C5">
        <w:rPr>
          <w:rFonts w:ascii="Palatino Linotype" w:eastAsia="Palatino Linotype" w:hAnsi="Palatino Linotype" w:cs="Palatino Linotype"/>
          <w:b/>
          <w:sz w:val="24"/>
          <w:szCs w:val="24"/>
        </w:rPr>
        <w:t>Registro Federal de Contribuyentes, RFC</w:t>
      </w:r>
      <w:r w:rsidRPr="00AD24C5">
        <w:rPr>
          <w:rFonts w:ascii="Palatino Linotype" w:eastAsia="Palatino Linotype" w:hAnsi="Palatino Linotype" w:cs="Palatino Linotype"/>
          <w:sz w:val="24"/>
          <w:szCs w:val="24"/>
        </w:rPr>
        <w:t xml:space="preserve">,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w:t>
      </w:r>
      <w:r w:rsidRPr="00AD24C5">
        <w:rPr>
          <w:rFonts w:ascii="Palatino Linotype" w:eastAsia="Palatino Linotype" w:hAnsi="Palatino Linotype" w:cs="Palatino Linotype"/>
          <w:sz w:val="24"/>
          <w:szCs w:val="24"/>
        </w:rPr>
        <w:lastRenderedPageBreak/>
        <w:t>Transparencia y Acceso a la Información Pública del Estado de México y Municipios, y  4 fracciones XI y XII de la Ley de Protección de Datos Personales en Posesión de los Sujetos Obligados del Estado de México y Municipios.</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color w:val="000000"/>
          <w:sz w:val="24"/>
          <w:szCs w:val="24"/>
        </w:rPr>
        <w:t>De</w:t>
      </w:r>
      <w:r w:rsidRPr="00AD24C5">
        <w:rPr>
          <w:rFonts w:ascii="Palatino Linotype" w:eastAsia="Palatino Linotype" w:hAnsi="Palatino Linotype" w:cs="Palatino Linotype"/>
          <w:sz w:val="24"/>
          <w:szCs w:val="24"/>
        </w:rPr>
        <w:t xml:space="preserve"> igual manera la </w:t>
      </w:r>
      <w:r w:rsidRPr="00AD24C5">
        <w:rPr>
          <w:rFonts w:ascii="Palatino Linotype" w:eastAsia="Palatino Linotype" w:hAnsi="Palatino Linotype" w:cs="Palatino Linotype"/>
          <w:b/>
          <w:sz w:val="24"/>
          <w:szCs w:val="24"/>
        </w:rPr>
        <w:t>Clave Única de Registro de Población (CURP),</w:t>
      </w:r>
      <w:r w:rsidRPr="00AD24C5">
        <w:rPr>
          <w:rFonts w:ascii="Palatino Linotype" w:eastAsia="Palatino Linotype" w:hAnsi="Palatino Linotype" w:cs="Palatino Linotype"/>
          <w:sz w:val="24"/>
          <w:szCs w:val="24"/>
        </w:rPr>
        <w:t xml:space="preserve"> constituye un dato </w:t>
      </w:r>
      <w:r w:rsidRPr="00AD24C5">
        <w:rPr>
          <w:rFonts w:ascii="Palatino Linotype" w:eastAsia="Palatino Linotype" w:hAnsi="Palatino Linotype" w:cs="Palatino Linotype"/>
          <w:color w:val="000000"/>
          <w:sz w:val="24"/>
          <w:szCs w:val="24"/>
        </w:rPr>
        <w:t>personal</w:t>
      </w:r>
      <w:r w:rsidRPr="00AD24C5">
        <w:rPr>
          <w:rFonts w:ascii="Palatino Linotype" w:eastAsia="Palatino Linotype" w:hAnsi="Palatino Linotype" w:cs="Palatino Linotype"/>
          <w:sz w:val="24"/>
          <w:szCs w:val="24"/>
        </w:rPr>
        <w:t>,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color w:val="000000"/>
          <w:sz w:val="24"/>
          <w:szCs w:val="24"/>
        </w:rPr>
        <w:t>Argumento</w:t>
      </w:r>
      <w:r w:rsidRPr="00AD24C5">
        <w:rPr>
          <w:rFonts w:ascii="Palatino Linotype" w:eastAsia="Palatino Linotype" w:hAnsi="Palatino Linotype" w:cs="Palatino Linotype"/>
          <w:sz w:val="24"/>
          <w:szCs w:val="24"/>
        </w:rPr>
        <w:t xml:space="preserve"> que es compartido por el Instituto Nacional de Transparencia, Acceso a la </w:t>
      </w:r>
      <w:r w:rsidRPr="00AD24C5">
        <w:rPr>
          <w:rFonts w:ascii="Palatino Linotype" w:eastAsia="Palatino Linotype" w:hAnsi="Palatino Linotype" w:cs="Palatino Linotype"/>
          <w:color w:val="000000"/>
          <w:sz w:val="24"/>
          <w:szCs w:val="24"/>
        </w:rPr>
        <w:t>Información</w:t>
      </w:r>
      <w:r w:rsidRPr="00AD24C5">
        <w:rPr>
          <w:rFonts w:ascii="Palatino Linotype" w:eastAsia="Palatino Linotype" w:hAnsi="Palatino Linotype" w:cs="Palatino Linotype"/>
          <w:sz w:val="24"/>
          <w:szCs w:val="24"/>
        </w:rPr>
        <w:t xml:space="preserve"> y Protección de Datos Personales, INAI, conforme al criterio 18/17, que utilizado de manera orientadora, </w:t>
      </w:r>
      <w:r w:rsidRPr="00AD24C5">
        <w:rPr>
          <w:rFonts w:ascii="Palatino Linotype" w:eastAsia="Palatino Linotype" w:hAnsi="Palatino Linotype" w:cs="Palatino Linotype"/>
          <w:b/>
          <w:sz w:val="24"/>
          <w:szCs w:val="24"/>
        </w:rPr>
        <w:t>toda vez que a la fecha de la solicitud de encontraba vigente, mismo que refiere</w:t>
      </w:r>
      <w:r w:rsidRPr="00AD24C5">
        <w:rPr>
          <w:rFonts w:ascii="Palatino Linotype" w:eastAsia="Palatino Linotype" w:hAnsi="Palatino Linotype" w:cs="Palatino Linotype"/>
          <w:sz w:val="24"/>
          <w:szCs w:val="24"/>
        </w:rPr>
        <w:t xml:space="preserve">: </w:t>
      </w:r>
    </w:p>
    <w:p w:rsidR="004E39B3" w:rsidRPr="00AD24C5" w:rsidRDefault="004E39B3" w:rsidP="004E39B3">
      <w:pPr>
        <w:ind w:left="1134" w:right="844"/>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b/>
          <w:i/>
          <w:sz w:val="24"/>
          <w:szCs w:val="24"/>
        </w:rPr>
        <w:t xml:space="preserve">“Clave Única de Registro de Población (CURP). </w:t>
      </w:r>
      <w:r w:rsidRPr="00AD24C5">
        <w:rPr>
          <w:rFonts w:ascii="Palatino Linotype" w:eastAsia="Palatino Linotype" w:hAnsi="Palatino Linotype" w:cs="Palatino Linotype"/>
          <w:i/>
          <w:sz w:val="24"/>
          <w:szCs w:val="24"/>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4E39B3" w:rsidRPr="00AD24C5" w:rsidRDefault="004E39B3" w:rsidP="004E39B3">
      <w:pPr>
        <w:ind w:left="851" w:right="333"/>
        <w:jc w:val="both"/>
        <w:rPr>
          <w:rFonts w:ascii="Palatino Linotype" w:eastAsia="Palatino Linotype" w:hAnsi="Palatino Linotype" w:cs="Palatino Linotype"/>
          <w:i/>
          <w:sz w:val="24"/>
          <w:szCs w:val="24"/>
        </w:rPr>
      </w:pPr>
    </w:p>
    <w:p w:rsidR="004E39B3" w:rsidRPr="00AD24C5" w:rsidRDefault="004E39B3" w:rsidP="004E39B3">
      <w:pPr>
        <w:ind w:left="851" w:right="333"/>
        <w:jc w:val="both"/>
        <w:rPr>
          <w:rFonts w:ascii="Palatino Linotype" w:eastAsia="Palatino Linotype" w:hAnsi="Palatino Linotype" w:cs="Palatino Linotype"/>
          <w:i/>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Por </w:t>
      </w:r>
      <w:r w:rsidRPr="00AD24C5">
        <w:rPr>
          <w:rFonts w:ascii="Palatino Linotype" w:eastAsia="Palatino Linotype" w:hAnsi="Palatino Linotype" w:cs="Palatino Linotype"/>
          <w:color w:val="000000"/>
          <w:sz w:val="24"/>
          <w:szCs w:val="24"/>
        </w:rPr>
        <w:t>cuanto</w:t>
      </w:r>
      <w:r w:rsidRPr="00AD24C5">
        <w:rPr>
          <w:rFonts w:ascii="Palatino Linotype" w:eastAsia="Palatino Linotype" w:hAnsi="Palatino Linotype" w:cs="Palatino Linotype"/>
          <w:sz w:val="24"/>
          <w:szCs w:val="24"/>
        </w:rPr>
        <w:t xml:space="preserve"> hace a la </w:t>
      </w:r>
      <w:r w:rsidRPr="00AD24C5">
        <w:rPr>
          <w:rFonts w:ascii="Palatino Linotype" w:eastAsia="Palatino Linotype" w:hAnsi="Palatino Linotype" w:cs="Palatino Linotype"/>
          <w:b/>
          <w:sz w:val="24"/>
          <w:szCs w:val="24"/>
        </w:rPr>
        <w:t>Clave de cualquier tipo de seguridad social (ISSEMyM, u otros</w:t>
      </w:r>
      <w:r w:rsidRPr="00AD24C5">
        <w:rPr>
          <w:rFonts w:ascii="Palatino Linotype" w:eastAsia="Palatino Linotype" w:hAnsi="Palatino Linotype" w:cs="Palatino Linotype"/>
          <w:sz w:val="24"/>
          <w:szCs w:val="24"/>
        </w:rPr>
        <w:t xml:space="preserve">), está integrado por una secuencia de números con los que se identifica a los </w:t>
      </w:r>
      <w:r w:rsidRPr="00AD24C5">
        <w:rPr>
          <w:rFonts w:ascii="Palatino Linotype" w:eastAsia="Palatino Linotype" w:hAnsi="Palatino Linotype" w:cs="Palatino Linotype"/>
          <w:sz w:val="24"/>
          <w:szCs w:val="24"/>
        </w:rPr>
        <w:lastRenderedPageBreak/>
        <w:t>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El artículo 9° del mismo ordenamiento, dispone que el ISSEMYM expedirá documentos de identificación para facilitar el acceso a las prestaciones a que tengan derecho. En </w:t>
      </w:r>
      <w:r w:rsidRPr="00AD24C5">
        <w:rPr>
          <w:rFonts w:ascii="Palatino Linotype" w:eastAsia="Palatino Linotype" w:hAnsi="Palatino Linotype" w:cs="Palatino Linotype"/>
          <w:color w:val="000000"/>
          <w:sz w:val="24"/>
          <w:szCs w:val="24"/>
        </w:rPr>
        <w:t>este</w:t>
      </w:r>
      <w:r w:rsidRPr="00AD24C5">
        <w:rPr>
          <w:rFonts w:ascii="Palatino Linotype" w:eastAsia="Palatino Linotype" w:hAnsi="Palatino Linotype" w:cs="Palatino Linotype"/>
          <w:sz w:val="24"/>
          <w:szCs w:val="24"/>
        </w:rPr>
        <w:t xml:space="preserve"> orden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Como se advierte, la clave ISSEMYM es un dato personal que permite </w:t>
      </w:r>
      <w:r w:rsidRPr="00AD24C5">
        <w:rPr>
          <w:rFonts w:ascii="Palatino Linotype" w:eastAsia="Palatino Linotype" w:hAnsi="Palatino Linotype" w:cs="Palatino Linotype"/>
          <w:color w:val="000000"/>
          <w:sz w:val="24"/>
          <w:szCs w:val="24"/>
        </w:rPr>
        <w:t>identificar</w:t>
      </w:r>
      <w:r w:rsidRPr="00AD24C5">
        <w:rPr>
          <w:rFonts w:ascii="Palatino Linotype" w:eastAsia="Palatino Linotype" w:hAnsi="Palatino Linotype" w:cs="Palatino Linotype"/>
          <w:sz w:val="24"/>
          <w:szCs w:val="24"/>
        </w:rPr>
        <w:t xml:space="preserve"> que una persona ya trabajó o trabaja en alguna institución pública del Estado de México, por la que tiene o tuvo derecho a esta prestación de seguridad social; es de destacar que la clave ISSEMYM no cambia, aunque el trabajador se dé de baja y alta en diversas </w:t>
      </w:r>
      <w:r w:rsidRPr="00AD24C5">
        <w:rPr>
          <w:rFonts w:ascii="Palatino Linotype" w:eastAsia="Palatino Linotype" w:hAnsi="Palatino Linotype" w:cs="Palatino Linotype"/>
          <w:sz w:val="24"/>
          <w:szCs w:val="24"/>
        </w:rPr>
        <w:lastRenderedPageBreak/>
        <w:t xml:space="preserve">ocasiones, con motivo de haber trabajado en diferentes instituciones públicas de la Entidad. </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Contar con la prestación de seguridad social que brinda el ISSEMYM no es una </w:t>
      </w:r>
      <w:r w:rsidRPr="00AD24C5">
        <w:rPr>
          <w:rFonts w:ascii="Palatino Linotype" w:eastAsia="Palatino Linotype" w:hAnsi="Palatino Linotype" w:cs="Palatino Linotype"/>
          <w:color w:val="000000"/>
          <w:sz w:val="24"/>
          <w:szCs w:val="24"/>
        </w:rPr>
        <w:t>obligación</w:t>
      </w:r>
      <w:r w:rsidRPr="00AD24C5">
        <w:rPr>
          <w:rFonts w:ascii="Palatino Linotype" w:eastAsia="Palatino Linotype" w:hAnsi="Palatino Linotype" w:cs="Palatino Linotype"/>
          <w:sz w:val="24"/>
          <w:szCs w:val="24"/>
        </w:rPr>
        <w:t xml:space="preserve"> para entrar a trabajar a una institución pública, por el contrario es un derecho que se adquiere cuando se ingresa al servicio público, por tal motivo, es un dato personal confidencial, por lo que es procedente su eliminación en las versiones públicas que </w:t>
      </w:r>
      <w:r w:rsidRPr="00AD24C5">
        <w:rPr>
          <w:rFonts w:ascii="Palatino Linotype" w:eastAsia="Palatino Linotype" w:hAnsi="Palatino Linotype" w:cs="Palatino Linotype"/>
          <w:color w:val="000000"/>
          <w:sz w:val="24"/>
          <w:szCs w:val="24"/>
        </w:rPr>
        <w:t>se</w:t>
      </w:r>
      <w:r w:rsidRPr="00AD24C5">
        <w:rPr>
          <w:rFonts w:ascii="Palatino Linotype" w:eastAsia="Palatino Linotype" w:hAnsi="Palatino Linotype" w:cs="Palatino Linotype"/>
          <w:sz w:val="24"/>
          <w:szCs w:val="24"/>
        </w:rPr>
        <w:t xml:space="preserve"> elaboren, toda vez que actualiza el supuesto de confidencialidad del artículo 143, fracción I de la Ley de Transparencia y Acceso a la Información Pública del Estado de México y Municipios.</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Respecto de los préstamos o descuentos de carácter personal, estos no deben tener relación con la prestación del servicio; es decir, son confidenciales los </w:t>
      </w:r>
      <w:r w:rsidRPr="00AD24C5">
        <w:rPr>
          <w:rFonts w:ascii="Palatino Linotype" w:eastAsia="Palatino Linotype" w:hAnsi="Palatino Linotype" w:cs="Palatino Linotype"/>
          <w:color w:val="000000"/>
          <w:sz w:val="24"/>
          <w:szCs w:val="24"/>
        </w:rPr>
        <w:t>préstamos</w:t>
      </w:r>
      <w:r w:rsidRPr="00AD24C5">
        <w:rPr>
          <w:rFonts w:ascii="Palatino Linotype" w:eastAsia="Palatino Linotype" w:hAnsi="Palatino Linotype" w:cs="Palatino Linotype"/>
          <w:sz w:val="24"/>
          <w:szCs w:val="24"/>
        </w:rPr>
        <w:t xml:space="preserve"> o descuentos que se le hagan a la persona en los que no se involucren instituciones públicas, en </w:t>
      </w:r>
      <w:r w:rsidRPr="00AD24C5">
        <w:rPr>
          <w:rFonts w:ascii="Palatino Linotype" w:eastAsia="Palatino Linotype" w:hAnsi="Palatino Linotype" w:cs="Palatino Linotype"/>
          <w:color w:val="000000"/>
          <w:sz w:val="24"/>
          <w:szCs w:val="24"/>
        </w:rPr>
        <w:t>virtud</w:t>
      </w:r>
      <w:r w:rsidRPr="00AD24C5">
        <w:rPr>
          <w:rFonts w:ascii="Palatino Linotype" w:eastAsia="Palatino Linotype" w:hAnsi="Palatino Linotype" w:cs="Palatino Linotype"/>
          <w:sz w:val="24"/>
          <w:szCs w:val="24"/>
        </w:rPr>
        <w:t xml:space="preserve"> de no favorecer en la transparencia y rendición de cuentas, sino, por el contrario, con ello se violentaba la protección de información confidencial, porque incide en la intimidad de un individuo identificado.</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Por </w:t>
      </w:r>
      <w:r w:rsidRPr="00AD24C5">
        <w:rPr>
          <w:rFonts w:ascii="Palatino Linotype" w:eastAsia="Palatino Linotype" w:hAnsi="Palatino Linotype" w:cs="Palatino Linotype"/>
          <w:color w:val="000000"/>
          <w:sz w:val="24"/>
          <w:szCs w:val="24"/>
        </w:rPr>
        <w:t>su</w:t>
      </w:r>
      <w:r w:rsidRPr="00AD24C5">
        <w:rPr>
          <w:rFonts w:ascii="Palatino Linotype" w:eastAsia="Palatino Linotype" w:hAnsi="Palatino Linotype" w:cs="Palatino Linotype"/>
          <w:sz w:val="24"/>
          <w:szCs w:val="24"/>
        </w:rPr>
        <w:t xml:space="preserve"> </w:t>
      </w:r>
      <w:r w:rsidRPr="00AD24C5">
        <w:rPr>
          <w:rFonts w:ascii="Palatino Linotype" w:eastAsia="Palatino Linotype" w:hAnsi="Palatino Linotype" w:cs="Palatino Linotype"/>
          <w:color w:val="000000"/>
          <w:sz w:val="24"/>
          <w:szCs w:val="24"/>
        </w:rPr>
        <w:t>parte</w:t>
      </w:r>
      <w:r w:rsidRPr="00AD24C5">
        <w:rPr>
          <w:rFonts w:ascii="Palatino Linotype" w:eastAsia="Palatino Linotype" w:hAnsi="Palatino Linotype" w:cs="Palatino Linotype"/>
          <w:sz w:val="24"/>
          <w:szCs w:val="24"/>
        </w:rPr>
        <w:t>, el artículo 84 de la Ley del Trabajo de los Servidores Públicos del Estado y Municipios, señala:</w:t>
      </w:r>
    </w:p>
    <w:p w:rsidR="004E39B3" w:rsidRPr="00AD24C5" w:rsidRDefault="004E39B3" w:rsidP="00AD24C5">
      <w:pPr>
        <w:ind w:left="709" w:right="68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i/>
          <w:sz w:val="24"/>
          <w:szCs w:val="24"/>
        </w:rPr>
        <w:t>“</w:t>
      </w:r>
      <w:r w:rsidRPr="00AD24C5">
        <w:rPr>
          <w:rFonts w:ascii="Palatino Linotype" w:eastAsia="Palatino Linotype" w:hAnsi="Palatino Linotype" w:cs="Palatino Linotype"/>
          <w:b/>
          <w:i/>
          <w:sz w:val="24"/>
          <w:szCs w:val="24"/>
        </w:rPr>
        <w:t>ARTICULO 84. Sólo podrán hacerse retenciones, descuentos o deducciones al sueldo de los servidores públicos por concepto de:</w:t>
      </w:r>
    </w:p>
    <w:p w:rsidR="004E39B3" w:rsidRPr="00AD24C5" w:rsidRDefault="004E39B3" w:rsidP="00AD24C5">
      <w:pPr>
        <w:ind w:left="709" w:right="68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i/>
          <w:sz w:val="24"/>
          <w:szCs w:val="24"/>
        </w:rPr>
        <w:t>I. Gravámenes fiscales relacionados con el sueldo;</w:t>
      </w:r>
    </w:p>
    <w:p w:rsidR="004E39B3" w:rsidRPr="00AD24C5" w:rsidRDefault="004E39B3" w:rsidP="00AD24C5">
      <w:pPr>
        <w:ind w:left="709" w:right="68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b/>
          <w:i/>
          <w:sz w:val="24"/>
          <w:szCs w:val="24"/>
        </w:rPr>
        <w:lastRenderedPageBreak/>
        <w:t>II. Deudas contraídas con las instituciones públicas o dependencias</w:t>
      </w:r>
      <w:r w:rsidRPr="00AD24C5">
        <w:rPr>
          <w:rFonts w:ascii="Palatino Linotype" w:eastAsia="Palatino Linotype" w:hAnsi="Palatino Linotype" w:cs="Palatino Linotype"/>
          <w:i/>
          <w:sz w:val="24"/>
          <w:szCs w:val="24"/>
        </w:rPr>
        <w:t xml:space="preserve"> por concepto de anticipos de sueldo, pagos hechos con exceso, errores o pérdidas debidamente comprobados;</w:t>
      </w:r>
    </w:p>
    <w:p w:rsidR="004E39B3" w:rsidRPr="00AD24C5" w:rsidRDefault="004E39B3" w:rsidP="00AD24C5">
      <w:pPr>
        <w:ind w:left="709" w:right="68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b/>
          <w:i/>
          <w:sz w:val="24"/>
          <w:szCs w:val="24"/>
        </w:rPr>
        <w:t>III. Cuotas sindicales</w:t>
      </w:r>
      <w:r w:rsidRPr="00AD24C5">
        <w:rPr>
          <w:rFonts w:ascii="Palatino Linotype" w:eastAsia="Palatino Linotype" w:hAnsi="Palatino Linotype" w:cs="Palatino Linotype"/>
          <w:i/>
          <w:sz w:val="24"/>
          <w:szCs w:val="24"/>
        </w:rPr>
        <w:t>;</w:t>
      </w:r>
    </w:p>
    <w:p w:rsidR="004E39B3" w:rsidRPr="00AD24C5" w:rsidRDefault="004E39B3" w:rsidP="00AD24C5">
      <w:pPr>
        <w:ind w:left="709" w:right="68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i/>
          <w:sz w:val="24"/>
          <w:szCs w:val="24"/>
        </w:rPr>
        <w:t>IV. Cuotas de aportación a fondos para la constitución de cooperativas y de cajas de ahorro, siempre que el servidor público hubiese manifestado previamente, de manera expresa, su conformidad;</w:t>
      </w:r>
    </w:p>
    <w:p w:rsidR="004E39B3" w:rsidRPr="00AD24C5" w:rsidRDefault="004E39B3" w:rsidP="00AD24C5">
      <w:pPr>
        <w:ind w:left="709" w:right="68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i/>
          <w:sz w:val="24"/>
          <w:szCs w:val="24"/>
        </w:rPr>
        <w:t>V. Descuentos ordenados por el Instituto de Seguridad Social del Estado de México y Municipios, con motivo de cuotas y obligaciones contraídas con éste por los servidores públicos;</w:t>
      </w:r>
    </w:p>
    <w:p w:rsidR="004E39B3" w:rsidRPr="00AD24C5" w:rsidRDefault="004E39B3" w:rsidP="00AD24C5">
      <w:pPr>
        <w:ind w:left="709" w:right="68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b/>
          <w:i/>
          <w:sz w:val="24"/>
          <w:szCs w:val="24"/>
        </w:rPr>
        <w:t>VI. Obligaciones a cargo del servidor público con las que haya consentido</w:t>
      </w:r>
      <w:r w:rsidRPr="00AD24C5">
        <w:rPr>
          <w:rFonts w:ascii="Palatino Linotype" w:eastAsia="Palatino Linotype" w:hAnsi="Palatino Linotype" w:cs="Palatino Linotype"/>
          <w:i/>
          <w:sz w:val="24"/>
          <w:szCs w:val="24"/>
        </w:rPr>
        <w:t>, derivadas de la adquisición o del uso de habitaciones consideradas como de interés social;</w:t>
      </w:r>
    </w:p>
    <w:p w:rsidR="004E39B3" w:rsidRPr="00AD24C5" w:rsidRDefault="004E39B3" w:rsidP="00AD24C5">
      <w:pPr>
        <w:ind w:left="709" w:right="68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i/>
          <w:sz w:val="24"/>
          <w:szCs w:val="24"/>
        </w:rPr>
        <w:t>VII. Faltas de puntualidad o de asistencia injustificadas;</w:t>
      </w:r>
    </w:p>
    <w:p w:rsidR="004E39B3" w:rsidRPr="00AD24C5" w:rsidRDefault="004E39B3" w:rsidP="00AD24C5">
      <w:pPr>
        <w:ind w:left="709" w:right="68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b/>
          <w:i/>
          <w:sz w:val="24"/>
          <w:szCs w:val="24"/>
        </w:rPr>
        <w:t>VIII. Pensiones alimenticias ordenadas por la autoridad judicial;</w:t>
      </w:r>
      <w:r w:rsidRPr="00AD24C5">
        <w:rPr>
          <w:rFonts w:ascii="Palatino Linotype" w:eastAsia="Palatino Linotype" w:hAnsi="Palatino Linotype" w:cs="Palatino Linotype"/>
          <w:i/>
          <w:sz w:val="24"/>
          <w:szCs w:val="24"/>
        </w:rPr>
        <w:t xml:space="preserve"> o</w:t>
      </w:r>
    </w:p>
    <w:p w:rsidR="004E39B3" w:rsidRPr="00AD24C5" w:rsidRDefault="004E39B3" w:rsidP="00AD24C5">
      <w:pPr>
        <w:ind w:left="709" w:right="68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b/>
          <w:i/>
          <w:sz w:val="24"/>
          <w:szCs w:val="24"/>
        </w:rPr>
        <w:t>IX. Cualquier otro convenido con instituciones de servicios y aceptado por el servidor público.</w:t>
      </w:r>
    </w:p>
    <w:p w:rsidR="004E39B3" w:rsidRPr="00AD24C5" w:rsidRDefault="004E39B3" w:rsidP="00AD24C5">
      <w:pPr>
        <w:ind w:left="709" w:right="68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i/>
          <w:sz w:val="24"/>
          <w:szCs w:val="24"/>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rsidR="004E39B3" w:rsidRPr="00AD24C5" w:rsidRDefault="004E39B3" w:rsidP="00AD24C5">
      <w:pPr>
        <w:ind w:left="709" w:right="68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(Énfasis añadido)</w:t>
      </w:r>
    </w:p>
    <w:p w:rsidR="004E39B3" w:rsidRPr="00AD24C5" w:rsidRDefault="004E39B3" w:rsidP="004E39B3">
      <w:pPr>
        <w:spacing w:line="360" w:lineRule="auto"/>
        <w:ind w:left="851" w:right="-929"/>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color w:val="000000"/>
          <w:sz w:val="24"/>
          <w:szCs w:val="24"/>
        </w:rPr>
        <w:t>Derivado</w:t>
      </w:r>
      <w:r w:rsidRPr="00AD24C5">
        <w:rPr>
          <w:rFonts w:ascii="Palatino Linotype" w:eastAsia="Palatino Linotype" w:hAnsi="Palatino Linotype" w:cs="Palatino Linotype"/>
          <w:sz w:val="24"/>
          <w:szCs w:val="24"/>
        </w:rPr>
        <w:t xml:space="preserve"> de lo anterior, la ley establece claramente cuáles son esos descuentos o gravámenes que directamente se relacionan con las obligaciones adquiridas como servidores públicos y aquéllos que </w:t>
      </w:r>
      <w:r w:rsidRPr="00AD24C5">
        <w:rPr>
          <w:rFonts w:ascii="Palatino Linotype" w:eastAsia="Palatino Linotype" w:hAnsi="Palatino Linotype" w:cs="Palatino Linotype"/>
          <w:b/>
          <w:sz w:val="24"/>
          <w:szCs w:val="24"/>
          <w:u w:val="single"/>
        </w:rPr>
        <w:t>únicamente inciden en su vida privada</w:t>
      </w:r>
      <w:r w:rsidRPr="00AD24C5">
        <w:rPr>
          <w:rFonts w:ascii="Palatino Linotype" w:eastAsia="Palatino Linotype" w:hAnsi="Palatino Linotype" w:cs="Palatino Linotype"/>
          <w:sz w:val="24"/>
          <w:szCs w:val="24"/>
        </w:rPr>
        <w:t xml:space="preserve">. De este modo, descuentos por pensiones alimenticias o créditos adquiridos con instituciones privadas o </w:t>
      </w:r>
      <w:r w:rsidRPr="00AD24C5">
        <w:rPr>
          <w:rFonts w:ascii="Palatino Linotype" w:eastAsia="Palatino Linotype" w:hAnsi="Palatino Linotype" w:cs="Palatino Linotype"/>
          <w:sz w:val="24"/>
          <w:szCs w:val="24"/>
        </w:rPr>
        <w:lastRenderedPageBreak/>
        <w:t>públicas pero que fueron contraídas en forma individual, son información que debe clasificarse como confidencial.</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 Con base en lo expuesto, se insiste que los datos mencionados, que como se ha dicho, </w:t>
      </w:r>
      <w:r w:rsidRPr="00AD24C5">
        <w:rPr>
          <w:rFonts w:ascii="Palatino Linotype" w:eastAsia="Palatino Linotype" w:hAnsi="Palatino Linotype" w:cs="Palatino Linotype"/>
          <w:color w:val="000000"/>
          <w:sz w:val="24"/>
          <w:szCs w:val="24"/>
        </w:rPr>
        <w:t>deben</w:t>
      </w:r>
      <w:r w:rsidRPr="00AD24C5">
        <w:rPr>
          <w:rFonts w:ascii="Palatino Linotype" w:eastAsia="Palatino Linotype" w:hAnsi="Palatino Linotype" w:cs="Palatino Linotype"/>
          <w:sz w:val="24"/>
          <w:szCs w:val="24"/>
        </w:rPr>
        <w:t xml:space="preserve">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Sirven de sustento a lo anterior, las tesis jurisprudenciales P. LX/2000 y 2a. XLIII/2008 </w:t>
      </w:r>
      <w:r w:rsidRPr="00AD24C5">
        <w:rPr>
          <w:rFonts w:ascii="Palatino Linotype" w:eastAsia="Palatino Linotype" w:hAnsi="Palatino Linotype" w:cs="Palatino Linotype"/>
          <w:color w:val="000000"/>
          <w:sz w:val="24"/>
          <w:szCs w:val="24"/>
        </w:rPr>
        <w:t>emitidas</w:t>
      </w:r>
      <w:r w:rsidRPr="00AD24C5">
        <w:rPr>
          <w:rFonts w:ascii="Palatino Linotype" w:eastAsia="Palatino Linotype" w:hAnsi="Palatino Linotype" w:cs="Palatino Linotype"/>
          <w:sz w:val="24"/>
          <w:szCs w:val="24"/>
        </w:rPr>
        <w:t xml:space="preserve"> por el Peno y la Segunda Sala de la Suprema Corte de Justicia de la Nación, respectivamente, que son del tenor literal siguiente:</w:t>
      </w:r>
    </w:p>
    <w:p w:rsidR="004E39B3" w:rsidRPr="00AD24C5" w:rsidRDefault="004E39B3" w:rsidP="004E39B3">
      <w:pPr>
        <w:ind w:left="1134" w:right="844"/>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b/>
          <w:i/>
          <w:sz w:val="24"/>
          <w:szCs w:val="24"/>
        </w:rPr>
        <w:t xml:space="preserve">“DERECHO A LA INFORMACIÓN. SU EJERCICIO SE ENCUENTRA LIMITADO TANTO POR LOS INTERESES NACIONALES Y DE LA SOCIEDAD, COMO POR LOS DERECHOS DE TERCEROS. </w:t>
      </w:r>
      <w:r w:rsidRPr="00AD24C5">
        <w:rPr>
          <w:rFonts w:ascii="Palatino Linotype" w:eastAsia="Palatino Linotype" w:hAnsi="Palatino Linotype" w:cs="Palatino Linotype"/>
          <w:i/>
          <w:sz w:val="24"/>
          <w:szCs w:val="24"/>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w:t>
      </w:r>
      <w:r w:rsidRPr="00AD24C5">
        <w:rPr>
          <w:rFonts w:ascii="Palatino Linotype" w:eastAsia="Palatino Linotype" w:hAnsi="Palatino Linotype" w:cs="Palatino Linotype"/>
          <w:i/>
          <w:sz w:val="24"/>
          <w:szCs w:val="24"/>
        </w:rPr>
        <w:lastRenderedPageBreak/>
        <w:t xml:space="preserve">así, en cuanto a la seguridad nacional, se tienen normas que, por un lado, </w:t>
      </w:r>
      <w:r w:rsidRPr="00AD24C5">
        <w:rPr>
          <w:rFonts w:ascii="Palatino Linotype" w:eastAsia="Palatino Linotype" w:hAnsi="Palatino Linotype" w:cs="Palatino Linotype"/>
          <w:b/>
          <w:i/>
          <w:sz w:val="24"/>
          <w:szCs w:val="24"/>
        </w:rPr>
        <w:t>restringen el acceso a la información en esta materia, en razón de que su conocimiento público puede generar daños a los intereses nacionales y, por el otro, sancionan la inobservancia de esa reserva</w:t>
      </w:r>
      <w:r w:rsidRPr="00AD24C5">
        <w:rPr>
          <w:rFonts w:ascii="Palatino Linotype" w:eastAsia="Palatino Linotype" w:hAnsi="Palatino Linotype" w:cs="Palatino Linotype"/>
          <w:i/>
          <w:sz w:val="24"/>
          <w:szCs w:val="24"/>
        </w:rPr>
        <w:t xml:space="preserve">; por lo que hace al interés social, se cuenta con normas que tienden a proteger la averiguación de los delitos, la salud y la moral públicas, </w:t>
      </w:r>
      <w:r w:rsidRPr="00AD24C5">
        <w:rPr>
          <w:rFonts w:ascii="Palatino Linotype" w:eastAsia="Palatino Linotype" w:hAnsi="Palatino Linotype" w:cs="Palatino Linotype"/>
          <w:b/>
          <w:i/>
          <w:sz w:val="24"/>
          <w:szCs w:val="24"/>
        </w:rPr>
        <w:t>mientras que por lo que respecta a la protección de la persona existen normas que protegen el derecho a la vida o a la privacidad de los gobernados</w:t>
      </w:r>
      <w:r w:rsidRPr="00AD24C5">
        <w:rPr>
          <w:rFonts w:ascii="Palatino Linotype" w:eastAsia="Palatino Linotype" w:hAnsi="Palatino Linotype" w:cs="Palatino Linotype"/>
          <w:i/>
          <w:sz w:val="24"/>
          <w:szCs w:val="24"/>
        </w:rPr>
        <w:t>.”</w:t>
      </w:r>
    </w:p>
    <w:p w:rsidR="004E39B3" w:rsidRPr="00AD24C5" w:rsidRDefault="004E39B3" w:rsidP="004E39B3">
      <w:pPr>
        <w:ind w:left="1134" w:right="844"/>
        <w:jc w:val="both"/>
        <w:rPr>
          <w:rFonts w:ascii="Palatino Linotype" w:eastAsia="Palatino Linotype" w:hAnsi="Palatino Linotype" w:cs="Palatino Linotype"/>
          <w:i/>
          <w:sz w:val="24"/>
          <w:szCs w:val="24"/>
        </w:rPr>
      </w:pPr>
    </w:p>
    <w:p w:rsidR="004E39B3" w:rsidRPr="00AD24C5" w:rsidRDefault="004E39B3" w:rsidP="004E39B3">
      <w:pPr>
        <w:ind w:left="1134" w:right="844"/>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b/>
          <w:i/>
          <w:sz w:val="24"/>
          <w:szCs w:val="24"/>
        </w:rPr>
        <w:t xml:space="preserve">“TRANSPARENCIA Y ACCESO A LA INFORMACIÓN PÚBLICA GUBERNAMENTAL. EL ARTÍCULO 14, FRACCIÓN I, DE LA LEY FEDERAL RELATIVA, NO VIOLA LA GARANTÍA DE ACCESO A LA INFORMACIÓN. </w:t>
      </w:r>
      <w:r w:rsidRPr="00AD24C5">
        <w:rPr>
          <w:rFonts w:ascii="Palatino Linotype" w:eastAsia="Palatino Linotype" w:hAnsi="Palatino Linotype" w:cs="Palatino Linotype"/>
          <w:i/>
          <w:sz w:val="24"/>
          <w:szCs w:val="24"/>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AD24C5">
        <w:rPr>
          <w:rFonts w:ascii="Palatino Linotype" w:eastAsia="Palatino Linotype" w:hAnsi="Palatino Linotype" w:cs="Palatino Linotype"/>
          <w:b/>
          <w:i/>
          <w:sz w:val="24"/>
          <w:szCs w:val="24"/>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AD24C5">
        <w:rPr>
          <w:rFonts w:ascii="Palatino Linotype" w:eastAsia="Palatino Linotype" w:hAnsi="Palatino Linotype" w:cs="Palatino Linotype"/>
          <w:i/>
          <w:sz w:val="24"/>
          <w:szCs w:val="24"/>
        </w:rPr>
        <w:t xml:space="preserve"> la cual debe ser adecuada y necesaria para </w:t>
      </w:r>
      <w:r w:rsidRPr="00AD24C5">
        <w:rPr>
          <w:rFonts w:ascii="Palatino Linotype" w:eastAsia="Palatino Linotype" w:hAnsi="Palatino Linotype" w:cs="Palatino Linotype"/>
          <w:i/>
          <w:sz w:val="24"/>
          <w:szCs w:val="24"/>
        </w:rPr>
        <w:lastRenderedPageBreak/>
        <w:t>alcanzar el fin perseguido, de manera que las ventajas obtenidas con la reserva compensen el sacrificio que ésta implique para los titulares de la garantía individual mencionada o para la sociedad en general.”</w:t>
      </w:r>
    </w:p>
    <w:p w:rsidR="004E39B3" w:rsidRDefault="004E39B3" w:rsidP="004E39B3">
      <w:pPr>
        <w:ind w:left="1134" w:right="-929"/>
        <w:jc w:val="both"/>
        <w:rPr>
          <w:rFonts w:ascii="Palatino Linotype" w:eastAsia="Palatino Linotype" w:hAnsi="Palatino Linotype" w:cs="Palatino Linotype"/>
          <w:i/>
          <w:sz w:val="24"/>
          <w:szCs w:val="24"/>
        </w:rPr>
      </w:pPr>
    </w:p>
    <w:p w:rsidR="00B27992" w:rsidRPr="00AD24C5" w:rsidRDefault="00B27992" w:rsidP="004E39B3">
      <w:pPr>
        <w:ind w:left="1134" w:right="-929"/>
        <w:jc w:val="both"/>
        <w:rPr>
          <w:rFonts w:ascii="Palatino Linotype" w:eastAsia="Palatino Linotype" w:hAnsi="Palatino Linotype" w:cs="Palatino Linotype"/>
          <w:i/>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color w:val="000000"/>
          <w:sz w:val="24"/>
          <w:szCs w:val="24"/>
        </w:rPr>
        <w:t>También</w:t>
      </w:r>
      <w:r w:rsidRPr="00AD24C5">
        <w:rPr>
          <w:rFonts w:ascii="Palatino Linotype" w:eastAsia="Palatino Linotype" w:hAnsi="Palatino Linotype" w:cs="Palatino Linotype"/>
          <w:sz w:val="24"/>
          <w:szCs w:val="24"/>
        </w:rPr>
        <w:t xml:space="preserve">, el número de cuenta bancario, en el Criterio 10/17 emitido por el Pleno del Instituto Nacional de Transparencia, Acceso a la Información y Protección de Datos </w:t>
      </w:r>
      <w:r w:rsidRPr="00AD24C5">
        <w:rPr>
          <w:rFonts w:ascii="Palatino Linotype" w:eastAsia="Palatino Linotype" w:hAnsi="Palatino Linotype" w:cs="Palatino Linotype"/>
          <w:color w:val="000000"/>
          <w:sz w:val="24"/>
          <w:szCs w:val="24"/>
        </w:rPr>
        <w:t>Personales</w:t>
      </w:r>
      <w:r w:rsidRPr="00AD24C5">
        <w:rPr>
          <w:rFonts w:ascii="Palatino Linotype" w:eastAsia="Palatino Linotype" w:hAnsi="Palatino Linotype" w:cs="Palatino Linotype"/>
          <w:sz w:val="24"/>
          <w:szCs w:val="24"/>
        </w:rPr>
        <w:t xml:space="preserve"> , que en el presente asunto se refiere como criterio orientador, toda vez que a la fecha de la solicitud se encontraba vigente. </w:t>
      </w:r>
    </w:p>
    <w:p w:rsidR="004E39B3" w:rsidRPr="00AD24C5" w:rsidRDefault="004E39B3" w:rsidP="004E39B3">
      <w:pPr>
        <w:shd w:val="clear" w:color="auto" w:fill="FFFFFF"/>
        <w:ind w:left="1134" w:right="844"/>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w:t>
      </w:r>
      <w:r w:rsidRPr="00AD24C5">
        <w:rPr>
          <w:rFonts w:ascii="Palatino Linotype" w:eastAsia="Palatino Linotype" w:hAnsi="Palatino Linotype" w:cs="Palatino Linotype"/>
          <w:b/>
          <w:i/>
          <w:sz w:val="24"/>
          <w:szCs w:val="24"/>
        </w:rPr>
        <w:t>Cuentas bancarias y/o CLABE interbancaria de personas físicas y morales privadas.</w:t>
      </w:r>
      <w:r w:rsidRPr="00AD24C5">
        <w:rPr>
          <w:rFonts w:ascii="Palatino Linotype" w:eastAsia="Palatino Linotype" w:hAnsi="Palatino Linotype" w:cs="Palatino Linotype"/>
          <w:i/>
          <w:sz w:val="24"/>
          <w:szCs w:val="24"/>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AD24C5">
        <w:rPr>
          <w:rFonts w:ascii="Palatino Linotype" w:eastAsia="Palatino Linotype" w:hAnsi="Palatino Linotype" w:cs="Palatino Linotype"/>
          <w:sz w:val="24"/>
          <w:szCs w:val="24"/>
        </w:rPr>
        <w:t>.”</w:t>
      </w:r>
    </w:p>
    <w:p w:rsidR="004E39B3" w:rsidRDefault="004E39B3" w:rsidP="004E39B3">
      <w:pPr>
        <w:ind w:left="1134" w:right="-929"/>
        <w:jc w:val="both"/>
        <w:rPr>
          <w:rFonts w:ascii="Palatino Linotype" w:eastAsia="Palatino Linotype" w:hAnsi="Palatino Linotype" w:cs="Palatino Linotype"/>
          <w:sz w:val="24"/>
          <w:szCs w:val="24"/>
        </w:rPr>
      </w:pPr>
    </w:p>
    <w:p w:rsidR="00B27992" w:rsidRPr="00AD24C5" w:rsidRDefault="00B27992" w:rsidP="004E39B3">
      <w:pPr>
        <w:ind w:left="1134" w:right="-929"/>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Esta </w:t>
      </w:r>
      <w:r w:rsidRPr="00AD24C5">
        <w:rPr>
          <w:rFonts w:ascii="Palatino Linotype" w:eastAsia="Palatino Linotype" w:hAnsi="Palatino Linotype" w:cs="Palatino Linotype"/>
          <w:color w:val="000000"/>
          <w:sz w:val="24"/>
          <w:szCs w:val="24"/>
        </w:rPr>
        <w:t>cuenta</w:t>
      </w:r>
      <w:r w:rsidRPr="00AD24C5">
        <w:rPr>
          <w:rFonts w:ascii="Palatino Linotype" w:eastAsia="Palatino Linotype" w:hAnsi="Palatino Linotype" w:cs="Palatino Linotype"/>
          <w:sz w:val="24"/>
          <w:szCs w:val="24"/>
        </w:rPr>
        <w:t xml:space="preserve"> es de uso personal y no guarda relación con el servicio público ni con los </w:t>
      </w:r>
      <w:r w:rsidRPr="00AD24C5">
        <w:rPr>
          <w:rFonts w:ascii="Palatino Linotype" w:eastAsia="Palatino Linotype" w:hAnsi="Palatino Linotype" w:cs="Palatino Linotype"/>
          <w:color w:val="000000"/>
          <w:sz w:val="24"/>
          <w:szCs w:val="24"/>
        </w:rPr>
        <w:t>recursos</w:t>
      </w:r>
      <w:r w:rsidRPr="00AD24C5">
        <w:rPr>
          <w:rFonts w:ascii="Palatino Linotype" w:eastAsia="Palatino Linotype" w:hAnsi="Palatino Linotype" w:cs="Palatino Linotype"/>
          <w:sz w:val="24"/>
          <w:szCs w:val="24"/>
        </w:rPr>
        <w:t xml:space="preserve"> públicos, ya que es elección del trabajador 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w:t>
      </w:r>
      <w:r w:rsidRPr="00AD24C5">
        <w:rPr>
          <w:rFonts w:ascii="Palatino Linotype" w:eastAsia="Palatino Linotype" w:hAnsi="Palatino Linotype" w:cs="Palatino Linotype"/>
          <w:sz w:val="24"/>
          <w:szCs w:val="24"/>
        </w:rPr>
        <w:lastRenderedPageBreak/>
        <w:t>143, fracción I de la Ley de Transparencia y Acceso a la Información Pública del Estado de México y Municipios.</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color w:val="000000"/>
          <w:sz w:val="24"/>
          <w:szCs w:val="24"/>
        </w:rPr>
        <w:t>El</w:t>
      </w:r>
      <w:r w:rsidRPr="00AD24C5">
        <w:rPr>
          <w:rFonts w:ascii="Palatino Linotype" w:eastAsia="Palatino Linotype" w:hAnsi="Palatino Linotype" w:cs="Palatino Linotype"/>
          <w:sz w:val="24"/>
          <w:szCs w:val="24"/>
        </w:rPr>
        <w:t xml:space="preserve"> </w:t>
      </w:r>
      <w:r w:rsidRPr="00AD24C5">
        <w:rPr>
          <w:rFonts w:ascii="Palatino Linotype" w:eastAsia="Palatino Linotype" w:hAnsi="Palatino Linotype" w:cs="Palatino Linotype"/>
          <w:b/>
          <w:sz w:val="24"/>
          <w:szCs w:val="24"/>
        </w:rPr>
        <w:t>Código de barras bidimensional (QR</w:t>
      </w:r>
      <w:r w:rsidRPr="00AD24C5">
        <w:rPr>
          <w:rFonts w:ascii="Palatino Linotype" w:eastAsia="Palatino Linotype" w:hAnsi="Palatino Linotype" w:cs="Palatino Linotype"/>
          <w:sz w:val="24"/>
          <w:szCs w:val="24"/>
        </w:rPr>
        <w:t xml:space="preserve">), resulta necesario señalar que los </w:t>
      </w:r>
      <w:r w:rsidRPr="00AD24C5">
        <w:rPr>
          <w:rFonts w:ascii="Palatino Linotype" w:eastAsia="Palatino Linotype" w:hAnsi="Palatino Linotype" w:cs="Palatino Linotype"/>
          <w:color w:val="000000"/>
          <w:sz w:val="24"/>
          <w:szCs w:val="24"/>
        </w:rPr>
        <w:t>comprobantes</w:t>
      </w:r>
      <w:r w:rsidRPr="00AD24C5">
        <w:rPr>
          <w:rFonts w:ascii="Palatino Linotype" w:eastAsia="Palatino Linotype" w:hAnsi="Palatino Linotype" w:cs="Palatino Linotype"/>
          <w:sz w:val="24"/>
          <w:szCs w:val="24"/>
        </w:rPr>
        <w:t xml:space="preserve"> fiscales digitales por Internet, deben de incluir un código bidimensional conforme al formato QR Code (Quick Response Code), el cual contiene el Registro Federal de Contribuyentes del receptor, del emisor, o de ambos; lo anterior, conforme al Anexo 20 de la Segunda Resolución de modificación a la Resolución Miscelánea Fiscal para el 2017, localizada en la página electrónica  </w:t>
      </w:r>
      <w:hyperlink r:id="rId12">
        <w:r w:rsidRPr="00AD24C5">
          <w:rPr>
            <w:rFonts w:ascii="Palatino Linotype" w:eastAsia="Palatino Linotype" w:hAnsi="Palatino Linotype" w:cs="Palatino Linotype"/>
            <w:sz w:val="24"/>
            <w:szCs w:val="24"/>
          </w:rPr>
          <w:t>http://dof.gob.mx/nota_detalle.php?codigo=5492254&amp;fecha=28/07/2017</w:t>
        </w:r>
      </w:hyperlink>
      <w:r w:rsidRPr="00AD24C5">
        <w:rPr>
          <w:rFonts w:ascii="Palatino Linotype" w:eastAsia="Palatino Linotype" w:hAnsi="Palatino Linotype" w:cs="Palatino Linotype"/>
          <w:sz w:val="24"/>
          <w:szCs w:val="24"/>
        </w:rPr>
        <w:t>. Incluso con la captura de dicho código, a través de la aplicación móvil del Servicio de Administración Tributaria, permite el acceso al Registro Federal de Contribuyentes, como del Sujeto Obligado, como de la persona física o moral correspondiente.</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De </w:t>
      </w:r>
      <w:r w:rsidRPr="00AD24C5">
        <w:rPr>
          <w:rFonts w:ascii="Palatino Linotype" w:eastAsia="Palatino Linotype" w:hAnsi="Palatino Linotype" w:cs="Palatino Linotype"/>
          <w:color w:val="000000"/>
          <w:sz w:val="24"/>
          <w:szCs w:val="24"/>
        </w:rPr>
        <w:t>tales</w:t>
      </w:r>
      <w:r w:rsidRPr="00AD24C5">
        <w:rPr>
          <w:rFonts w:ascii="Palatino Linotype" w:eastAsia="Palatino Linotype" w:hAnsi="Palatino Linotype" w:cs="Palatino Linotype"/>
          <w:sz w:val="24"/>
          <w:szCs w:val="24"/>
        </w:rPr>
        <w:t xml:space="preserve"> circunstancias, se considera que se actualiza la causal de clasificación prevista en el </w:t>
      </w:r>
      <w:r w:rsidRPr="00AD24C5">
        <w:rPr>
          <w:rFonts w:ascii="Palatino Linotype" w:eastAsia="Palatino Linotype" w:hAnsi="Palatino Linotype" w:cs="Palatino Linotype"/>
          <w:color w:val="000000"/>
          <w:sz w:val="24"/>
          <w:szCs w:val="24"/>
        </w:rPr>
        <w:t>artículo</w:t>
      </w:r>
      <w:r w:rsidRPr="00AD24C5">
        <w:rPr>
          <w:rFonts w:ascii="Palatino Linotype" w:eastAsia="Palatino Linotype" w:hAnsi="Palatino Linotype" w:cs="Palatino Linotype"/>
          <w:sz w:val="24"/>
          <w:szCs w:val="24"/>
        </w:rPr>
        <w:t xml:space="preserve"> 143, fracción I de la Ley de la materia, toda vez que el Registro Federal de Contribuyentes corresponde a los servidores públicos, pues como se señaló en párrafos anteriores el mismo hace identificable o identificada al mismo.</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Por otra parte y respecto a la clave de seguridad social y en su caso clave o número del servidor público –trabajador-, en virtud de que su divulgación no aporta a la transparencia o a la rendición de cuentas y sí provoca una transgresión a la vida privada e intimidad de la persona, esta información también resulta ser de carácter confidencial; </w:t>
      </w:r>
      <w:r w:rsidRPr="00AD24C5">
        <w:rPr>
          <w:rFonts w:ascii="Palatino Linotype" w:eastAsia="Palatino Linotype" w:hAnsi="Palatino Linotype" w:cs="Palatino Linotype"/>
          <w:color w:val="000000"/>
          <w:sz w:val="24"/>
          <w:szCs w:val="24"/>
        </w:rPr>
        <w:lastRenderedPageBreak/>
        <w:t>siendo</w:t>
      </w:r>
      <w:r w:rsidRPr="00AD24C5">
        <w:rPr>
          <w:rFonts w:ascii="Palatino Linotype" w:eastAsia="Palatino Linotype" w:hAnsi="Palatino Linotype" w:cs="Palatino Linotype"/>
          <w:sz w:val="24"/>
          <w:szCs w:val="24"/>
        </w:rPr>
        <w:t xml:space="preserve"> aplicable como orientador el criterio número 15/10 emitido por el entonces Instituto Federal de Transparencia y Acceso a la Información (INAI, cuyo texto y sentido literal es el siguiente, del cual se debe de referir que se usa como criterio orientador, toda vez que a la fecha de la solicitud de encontraba vigente. </w:t>
      </w:r>
    </w:p>
    <w:p w:rsidR="004E39B3" w:rsidRPr="00AD24C5" w:rsidRDefault="004E39B3" w:rsidP="004E39B3">
      <w:pPr>
        <w:shd w:val="clear" w:color="auto" w:fill="FFFFFF"/>
        <w:ind w:left="1134" w:right="844"/>
        <w:jc w:val="both"/>
        <w:rPr>
          <w:rFonts w:ascii="Palatino Linotype" w:eastAsia="Palatino Linotype" w:hAnsi="Palatino Linotype" w:cs="Palatino Linotype"/>
          <w:i/>
          <w:color w:val="222222"/>
          <w:sz w:val="24"/>
          <w:szCs w:val="24"/>
        </w:rPr>
      </w:pPr>
      <w:r w:rsidRPr="00AD24C5">
        <w:rPr>
          <w:rFonts w:ascii="Palatino Linotype" w:eastAsia="Palatino Linotype" w:hAnsi="Palatino Linotype" w:cs="Palatino Linotype"/>
          <w:b/>
          <w:i/>
          <w:color w:val="222222"/>
          <w:sz w:val="24"/>
          <w:szCs w:val="24"/>
        </w:rPr>
        <w:t>“El número de ficha de identificación única de los trabajadores es información de carácter confidencial.</w:t>
      </w:r>
      <w:r w:rsidRPr="00AD24C5">
        <w:rPr>
          <w:rFonts w:ascii="Palatino Linotype" w:eastAsia="Palatino Linotype" w:hAnsi="Palatino Linotype" w:cs="Palatino Linotype"/>
          <w:i/>
          <w:color w:val="222222"/>
          <w:sz w:val="24"/>
          <w:szCs w:val="24"/>
        </w:rPr>
        <w:t> </w:t>
      </w:r>
      <w:r w:rsidRPr="00AD24C5">
        <w:rPr>
          <w:rFonts w:ascii="Palatino Linotype" w:eastAsia="Palatino Linotype" w:hAnsi="Palatino Linotype" w:cs="Palatino Linotype"/>
          <w:i/>
          <w:color w:val="222222"/>
          <w:sz w:val="24"/>
          <w:szCs w:val="24"/>
          <w:u w:val="single"/>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AD24C5">
        <w:rPr>
          <w:rFonts w:ascii="Palatino Linotype" w:eastAsia="Palatino Linotype" w:hAnsi="Palatino Linotype" w:cs="Palatino Linotype"/>
          <w:i/>
          <w:color w:val="222222"/>
          <w:sz w:val="24"/>
          <w:szCs w:val="24"/>
        </w:rPr>
        <w:t>, </w:t>
      </w:r>
      <w:r w:rsidRPr="00AD24C5">
        <w:rPr>
          <w:rFonts w:ascii="Palatino Linotype" w:eastAsia="Palatino Linotype" w:hAnsi="Palatino Linotype" w:cs="Palatino Linotype"/>
          <w:i/>
          <w:color w:val="222222"/>
          <w:sz w:val="24"/>
          <w:szCs w:val="24"/>
          <w:u w:val="single"/>
        </w:rPr>
        <w:t>dicha información es susceptible de clasificarse con el carácter de confidencial</w:t>
      </w:r>
      <w:r w:rsidRPr="00AD24C5">
        <w:rPr>
          <w:rFonts w:ascii="Palatino Linotype" w:eastAsia="Palatino Linotype" w:hAnsi="Palatino Linotype" w:cs="Palatino Linotype"/>
          <w:i/>
          <w:color w:val="222222"/>
          <w:sz w:val="24"/>
          <w:szCs w:val="24"/>
        </w:rPr>
        <w:t>, en términos de lo establecido en el artículo 18, fracción II de la Ley Federal de Transparencia y Acceso a la Información Pública Gubernamental, en virtud de que a través de la misma es posible conocer información personal de su titular.”</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Por </w:t>
      </w:r>
      <w:r w:rsidRPr="00AD24C5">
        <w:rPr>
          <w:rFonts w:ascii="Palatino Linotype" w:eastAsia="Palatino Linotype" w:hAnsi="Palatino Linotype" w:cs="Palatino Linotype"/>
          <w:color w:val="000000"/>
          <w:sz w:val="24"/>
          <w:szCs w:val="24"/>
        </w:rPr>
        <w:t>cuanto</w:t>
      </w:r>
      <w:r w:rsidRPr="00AD24C5">
        <w:rPr>
          <w:rFonts w:ascii="Palatino Linotype" w:eastAsia="Palatino Linotype" w:hAnsi="Palatino Linotype" w:cs="Palatino Linotype"/>
          <w:sz w:val="24"/>
          <w:szCs w:val="24"/>
        </w:rPr>
        <w:t xml:space="preserve"> hace </w:t>
      </w:r>
      <w:r w:rsidRPr="00AD24C5">
        <w:rPr>
          <w:rFonts w:ascii="Palatino Linotype" w:eastAsia="Palatino Linotype" w:hAnsi="Palatino Linotype" w:cs="Palatino Linotype"/>
          <w:b/>
          <w:sz w:val="24"/>
          <w:szCs w:val="24"/>
        </w:rPr>
        <w:t>al Folio Fiscal</w:t>
      </w:r>
      <w:r w:rsidRPr="00AD24C5">
        <w:rPr>
          <w:rFonts w:ascii="Palatino Linotype" w:eastAsia="Palatino Linotype" w:hAnsi="Palatino Linotype" w:cs="Palatino Linotype"/>
          <w:sz w:val="24"/>
          <w:szCs w:val="24"/>
        </w:rPr>
        <w:t xml:space="preserve">, cabe precisar que conforme al ANEXO 20 de la Segunda </w:t>
      </w:r>
      <w:r w:rsidRPr="00AD24C5">
        <w:rPr>
          <w:rFonts w:ascii="Palatino Linotype" w:eastAsia="Palatino Linotype" w:hAnsi="Palatino Linotype" w:cs="Palatino Linotype"/>
          <w:color w:val="000000"/>
          <w:sz w:val="24"/>
          <w:szCs w:val="24"/>
        </w:rPr>
        <w:t>Resolución</w:t>
      </w:r>
      <w:r w:rsidRPr="00AD24C5">
        <w:rPr>
          <w:rFonts w:ascii="Palatino Linotype" w:eastAsia="Palatino Linotype" w:hAnsi="Palatino Linotype" w:cs="Palatino Linotype"/>
          <w:sz w:val="24"/>
          <w:szCs w:val="24"/>
        </w:rPr>
        <w:t xml:space="preserve">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Default="004E39B3" w:rsidP="004E39B3">
      <w:pPr>
        <w:pBdr>
          <w:top w:val="nil"/>
          <w:left w:val="nil"/>
          <w:bottom w:val="nil"/>
          <w:right w:val="nil"/>
          <w:between w:val="nil"/>
        </w:pBdr>
        <w:spacing w:line="360" w:lineRule="auto"/>
        <w:ind w:right="-787"/>
        <w:jc w:val="center"/>
        <w:rPr>
          <w:rFonts w:ascii="Palatino Linotype" w:eastAsia="Palatino Linotype" w:hAnsi="Palatino Linotype" w:cs="Palatino Linotype"/>
          <w:sz w:val="24"/>
          <w:szCs w:val="24"/>
        </w:rPr>
      </w:pPr>
      <w:r w:rsidRPr="00AD24C5">
        <w:rPr>
          <w:rFonts w:ascii="Palatino Linotype" w:eastAsia="Palatino Linotype" w:hAnsi="Palatino Linotype" w:cs="Palatino Linotype"/>
          <w:noProof/>
          <w:color w:val="000000"/>
          <w:sz w:val="24"/>
          <w:szCs w:val="24"/>
          <w:lang w:eastAsia="es-MX"/>
        </w:rPr>
        <w:lastRenderedPageBreak/>
        <w:drawing>
          <wp:inline distT="0" distB="0" distL="0" distR="0" wp14:anchorId="4D3663DD" wp14:editId="3AA20202">
            <wp:extent cx="4667250" cy="1181100"/>
            <wp:effectExtent l="0" t="0" r="0" b="0"/>
            <wp:docPr id="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b="32787"/>
                    <a:stretch>
                      <a:fillRect/>
                    </a:stretch>
                  </pic:blipFill>
                  <pic:spPr>
                    <a:xfrm>
                      <a:off x="0" y="0"/>
                      <a:ext cx="4667250" cy="1181100"/>
                    </a:xfrm>
                    <a:prstGeom prst="rect">
                      <a:avLst/>
                    </a:prstGeom>
                    <a:ln/>
                  </pic:spPr>
                </pic:pic>
              </a:graphicData>
            </a:graphic>
          </wp:inline>
        </w:drawing>
      </w:r>
    </w:p>
    <w:p w:rsidR="00B27992" w:rsidRPr="00AD24C5" w:rsidRDefault="00B27992" w:rsidP="004E39B3">
      <w:pPr>
        <w:pBdr>
          <w:top w:val="nil"/>
          <w:left w:val="nil"/>
          <w:bottom w:val="nil"/>
          <w:right w:val="nil"/>
          <w:between w:val="nil"/>
        </w:pBdr>
        <w:spacing w:line="360" w:lineRule="auto"/>
        <w:ind w:right="-787"/>
        <w:jc w:val="center"/>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color w:val="000000"/>
          <w:sz w:val="24"/>
          <w:szCs w:val="24"/>
        </w:rPr>
        <w:t>En</w:t>
      </w:r>
      <w:r w:rsidRPr="00AD24C5">
        <w:rPr>
          <w:rFonts w:ascii="Palatino Linotype" w:eastAsia="Palatino Linotype" w:hAnsi="Palatino Linotype" w:cs="Palatino Linotype"/>
          <w:sz w:val="24"/>
          <w:szCs w:val="24"/>
        </w:rPr>
        <w:t xml:space="preserve"> ese contexto,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w:t>
      </w:r>
      <w:r w:rsidRPr="00AD24C5">
        <w:rPr>
          <w:rFonts w:ascii="Palatino Linotype" w:eastAsia="Palatino Linotype" w:hAnsi="Palatino Linotype" w:cs="Palatino Linotype"/>
          <w:color w:val="000000"/>
          <w:sz w:val="24"/>
          <w:szCs w:val="24"/>
        </w:rPr>
        <w:t>necesidad</w:t>
      </w:r>
      <w:r w:rsidRPr="00AD24C5">
        <w:rPr>
          <w:rFonts w:ascii="Palatino Linotype" w:eastAsia="Palatino Linotype" w:hAnsi="Palatino Linotype" w:cs="Palatino Linotype"/>
          <w:sz w:val="24"/>
          <w:szCs w:val="24"/>
        </w:rPr>
        <w:t xml:space="preserve"> de algún dato personal, por lo que, no se actualiza la clasificación, en términos del artículo 143, fracción I de la Ley de la materia.</w:t>
      </w:r>
    </w:p>
    <w:p w:rsidR="004E39B3" w:rsidRPr="00AD24C5" w:rsidRDefault="004E39B3" w:rsidP="004E39B3">
      <w:pPr>
        <w:tabs>
          <w:tab w:val="left" w:pos="284"/>
        </w:tabs>
        <w:spacing w:line="360" w:lineRule="auto"/>
        <w:jc w:val="both"/>
        <w:rPr>
          <w:rFonts w:ascii="Palatino Linotype" w:eastAsia="Palatino Linotype" w:hAnsi="Palatino Linotype" w:cs="Palatino Linotype"/>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En </w:t>
      </w:r>
      <w:r w:rsidRPr="00AD24C5">
        <w:rPr>
          <w:rFonts w:ascii="Palatino Linotype" w:eastAsia="Palatino Linotype" w:hAnsi="Palatino Linotype" w:cs="Palatino Linotype"/>
          <w:color w:val="000000"/>
          <w:sz w:val="24"/>
          <w:szCs w:val="24"/>
        </w:rPr>
        <w:t>esa</w:t>
      </w:r>
      <w:r w:rsidRPr="00AD24C5">
        <w:rPr>
          <w:rFonts w:ascii="Palatino Linotype" w:eastAsia="Palatino Linotype" w:hAnsi="Palatino Linotype" w:cs="Palatino Linotype"/>
          <w:sz w:val="24"/>
          <w:szCs w:val="24"/>
        </w:rPr>
        <w:t xml:space="preserve"> </w:t>
      </w:r>
      <w:r w:rsidRPr="00AD24C5">
        <w:rPr>
          <w:rFonts w:ascii="Palatino Linotype" w:eastAsia="Palatino Linotype" w:hAnsi="Palatino Linotype" w:cs="Palatino Linotype"/>
          <w:color w:val="000000"/>
          <w:sz w:val="24"/>
          <w:szCs w:val="24"/>
        </w:rPr>
        <w:t>línea</w:t>
      </w:r>
      <w:r w:rsidRPr="00AD24C5">
        <w:rPr>
          <w:rFonts w:ascii="Palatino Linotype" w:eastAsia="Palatino Linotype" w:hAnsi="Palatino Linotype" w:cs="Palatino Linotype"/>
          <w:sz w:val="24"/>
          <w:szCs w:val="24"/>
        </w:rPr>
        <w:t xml:space="preserve"> de estudio, las cadenas originales y sellos que se agregan a las facturas,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4E39B3" w:rsidRPr="00AD24C5" w:rsidRDefault="004E39B3" w:rsidP="004E39B3">
      <w:pPr>
        <w:ind w:left="1134" w:right="844"/>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“Elementos utilizados en la generación de Sellos Digitales:</w:t>
      </w:r>
    </w:p>
    <w:p w:rsidR="004E39B3" w:rsidRPr="00AD24C5" w:rsidRDefault="004E39B3" w:rsidP="004E39B3">
      <w:pPr>
        <w:ind w:left="1134" w:right="844"/>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w:t>
      </w:r>
      <w:r w:rsidRPr="00AD24C5">
        <w:rPr>
          <w:rFonts w:ascii="Palatino Linotype" w:eastAsia="Palatino Linotype" w:hAnsi="Palatino Linotype" w:cs="Palatino Linotype"/>
          <w:i/>
          <w:sz w:val="24"/>
          <w:szCs w:val="24"/>
        </w:rPr>
        <w:tab/>
        <w:t>Cadena Original, el elemento a sellar, en este caso de un comprobante fiscal digital a través de Internet.</w:t>
      </w:r>
    </w:p>
    <w:p w:rsidR="004E39B3" w:rsidRPr="00AD24C5" w:rsidRDefault="004E39B3" w:rsidP="004E39B3">
      <w:pPr>
        <w:ind w:left="1134" w:right="844"/>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w:t>
      </w:r>
      <w:r w:rsidRPr="00AD24C5">
        <w:rPr>
          <w:rFonts w:ascii="Palatino Linotype" w:eastAsia="Palatino Linotype" w:hAnsi="Palatino Linotype" w:cs="Palatino Linotype"/>
          <w:i/>
          <w:sz w:val="24"/>
          <w:szCs w:val="24"/>
        </w:rPr>
        <w:tab/>
        <w:t>Certificado de Sello Digital y su correspondiente clave privada.</w:t>
      </w:r>
    </w:p>
    <w:p w:rsidR="004E39B3" w:rsidRPr="00AD24C5" w:rsidRDefault="004E39B3" w:rsidP="004E39B3">
      <w:pPr>
        <w:ind w:left="1134" w:right="844"/>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w:t>
      </w:r>
      <w:r w:rsidRPr="00AD24C5">
        <w:rPr>
          <w:rFonts w:ascii="Palatino Linotype" w:eastAsia="Palatino Linotype" w:hAnsi="Palatino Linotype" w:cs="Palatino Linotype"/>
          <w:i/>
          <w:sz w:val="24"/>
          <w:szCs w:val="24"/>
        </w:rPr>
        <w:tab/>
        <w:t>Algoritmos de criptografía de clave pública para firma electrónica avanzada.</w:t>
      </w:r>
    </w:p>
    <w:p w:rsidR="004E39B3" w:rsidRPr="00AD24C5" w:rsidRDefault="004E39B3" w:rsidP="004E39B3">
      <w:pPr>
        <w:ind w:left="1134" w:right="844"/>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w:t>
      </w:r>
      <w:r w:rsidRPr="00AD24C5">
        <w:rPr>
          <w:rFonts w:ascii="Palatino Linotype" w:eastAsia="Palatino Linotype" w:hAnsi="Palatino Linotype" w:cs="Palatino Linotype"/>
          <w:i/>
          <w:sz w:val="24"/>
          <w:szCs w:val="24"/>
        </w:rPr>
        <w:tab/>
        <w:t>Especificaciones de conversión de la firma electrónica avanzada a Base 64.</w:t>
      </w:r>
    </w:p>
    <w:p w:rsidR="004E39B3" w:rsidRPr="00AD24C5" w:rsidRDefault="004E39B3" w:rsidP="004E39B3">
      <w:pPr>
        <w:ind w:left="1134" w:right="844"/>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lastRenderedPageBreak/>
        <w:t>Para la generación de sellos digitales se utiliza criptografía de clave pública aplicada a una cadena original.</w:t>
      </w:r>
    </w:p>
    <w:p w:rsidR="004E39B3" w:rsidRPr="00AD24C5" w:rsidRDefault="004E39B3" w:rsidP="004E39B3">
      <w:pPr>
        <w:ind w:left="1134" w:right="844"/>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Criptografía de la Clave Pública</w:t>
      </w:r>
    </w:p>
    <w:p w:rsidR="004E39B3" w:rsidRPr="00AD24C5" w:rsidRDefault="004E39B3" w:rsidP="004E39B3">
      <w:pPr>
        <w:ind w:left="1134" w:right="844"/>
        <w:jc w:val="both"/>
        <w:rPr>
          <w:rFonts w:ascii="Palatino Linotype" w:eastAsia="Palatino Linotype" w:hAnsi="Palatino Linotype" w:cs="Palatino Linotype"/>
          <w:i/>
          <w:sz w:val="24"/>
          <w:szCs w:val="24"/>
        </w:rPr>
      </w:pPr>
      <w:r w:rsidRPr="00AD24C5">
        <w:rPr>
          <w:rFonts w:ascii="Palatino Linotype" w:eastAsia="Palatino Linotype" w:hAnsi="Palatino Linotype" w:cs="Palatino Linotype"/>
          <w:i/>
          <w:sz w:val="24"/>
          <w:szCs w:val="24"/>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4E39B3" w:rsidRPr="00AD24C5" w:rsidRDefault="004E39B3" w:rsidP="004E39B3">
      <w:pPr>
        <w:ind w:right="277"/>
        <w:jc w:val="both"/>
        <w:rPr>
          <w:rFonts w:ascii="Palatino Linotype" w:eastAsia="Palatino Linotype" w:hAnsi="Palatino Linotype" w:cs="Palatino Linotype"/>
          <w:i/>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color w:val="000000"/>
          <w:sz w:val="24"/>
          <w:szCs w:val="24"/>
        </w:rPr>
        <w:t>Es</w:t>
      </w:r>
      <w:r w:rsidRPr="00AD24C5">
        <w:rPr>
          <w:rFonts w:ascii="Palatino Linotype" w:eastAsia="Palatino Linotype" w:hAnsi="Palatino Linotype" w:cs="Palatino Linotype"/>
          <w:sz w:val="24"/>
          <w:szCs w:val="24"/>
        </w:rPr>
        <w:t xml:space="preserve"> </w:t>
      </w:r>
      <w:r w:rsidRPr="00AD24C5">
        <w:rPr>
          <w:rFonts w:ascii="Palatino Linotype" w:eastAsia="Palatino Linotype" w:hAnsi="Palatino Linotype" w:cs="Palatino Linotype"/>
          <w:color w:val="000000"/>
          <w:sz w:val="24"/>
          <w:szCs w:val="24"/>
        </w:rPr>
        <w:t>decir</w:t>
      </w:r>
      <w:r w:rsidRPr="00AD24C5">
        <w:rPr>
          <w:rFonts w:ascii="Palatino Linotype" w:eastAsia="Palatino Linotype" w:hAnsi="Palatino Linotype" w:cs="Palatino Linotype"/>
          <w:sz w:val="24"/>
          <w:szCs w:val="24"/>
        </w:rPr>
        <w:t xml:space="preserve">, por sí solos las cadenas originales y los sellos originales no contienen datos personales confidenciales, por lo que se considera que </w:t>
      </w:r>
      <w:r w:rsidRPr="00AD24C5">
        <w:rPr>
          <w:rFonts w:ascii="Palatino Linotype" w:eastAsia="Palatino Linotype" w:hAnsi="Palatino Linotype" w:cs="Palatino Linotype"/>
          <w:b/>
          <w:sz w:val="24"/>
          <w:szCs w:val="24"/>
        </w:rPr>
        <w:t>no actualizan el supuesto de confidencialidad previsto en el artículo 143, fracción I</w:t>
      </w:r>
      <w:r w:rsidRPr="00AD24C5">
        <w:rPr>
          <w:rFonts w:ascii="Palatino Linotype" w:eastAsia="Palatino Linotype" w:hAnsi="Palatino Linotype" w:cs="Palatino Linotype"/>
          <w:sz w:val="24"/>
          <w:szCs w:val="24"/>
        </w:rPr>
        <w:t>, de la Ley de Transparencia y Acceso a la Información Pública del Estado de México y Municipios y, por el contrario, son información que permite corroborar la legitimidad de la factura, de ser el caso, por lo que guardan el carácter de público.</w:t>
      </w:r>
    </w:p>
    <w:p w:rsidR="004E39B3" w:rsidRPr="00AD24C5" w:rsidRDefault="004E39B3" w:rsidP="004E39B3">
      <w:pPr>
        <w:spacing w:line="360" w:lineRule="auto"/>
        <w:ind w:right="-929"/>
        <w:jc w:val="both"/>
        <w:rPr>
          <w:rFonts w:ascii="Palatino Linotype" w:eastAsia="Palatino Linotype" w:hAnsi="Palatino Linotype" w:cs="Palatino Linotype"/>
          <w:b/>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Cabe señalar que, en algunos casos, las cadenas originales y sellos digitales, se pueden conformar de datos confidenciales, tales como el Registro Federal de Contribuyentes o la Clave Única de Registro de Población o las deducciones personales; por lo que, de ser el caso que los mismos contengas datos personales, actualizarán la clasificación, en términos del artículo 143, fracción I, de la Ley de la materia.</w:t>
      </w:r>
    </w:p>
    <w:p w:rsidR="004E39B3" w:rsidRPr="00AD24C5" w:rsidRDefault="004E39B3" w:rsidP="004E39B3">
      <w:pPr>
        <w:ind w:left="708"/>
        <w:rPr>
          <w:rFonts w:ascii="Palatino Linotype" w:eastAsia="Palatino Linotype" w:hAnsi="Palatino Linotype" w:cs="Palatino Linotype"/>
          <w:color w:val="000000"/>
          <w:sz w:val="24"/>
          <w:szCs w:val="24"/>
        </w:rPr>
      </w:pPr>
    </w:p>
    <w:p w:rsidR="004E39B3" w:rsidRPr="00AD24C5" w:rsidRDefault="004E39B3" w:rsidP="00772106">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color w:val="000000"/>
          <w:sz w:val="24"/>
          <w:szCs w:val="24"/>
        </w:rPr>
        <w:t>Por</w:t>
      </w:r>
      <w:r w:rsidRPr="00AD24C5">
        <w:rPr>
          <w:rFonts w:ascii="Palatino Linotype" w:eastAsia="Palatino Linotype" w:hAnsi="Palatino Linotype" w:cs="Palatino Linotype"/>
          <w:sz w:val="24"/>
          <w:szCs w:val="24"/>
        </w:rPr>
        <w:t xml:space="preserve"> otra parte, por lo que hace al </w:t>
      </w:r>
      <w:r w:rsidRPr="00AD24C5">
        <w:rPr>
          <w:rFonts w:ascii="Palatino Linotype" w:eastAsia="Palatino Linotype" w:hAnsi="Palatino Linotype" w:cs="Palatino Linotype"/>
          <w:b/>
          <w:sz w:val="24"/>
          <w:szCs w:val="24"/>
        </w:rPr>
        <w:t>número de serie de los certificados de Sello Digitales del emisor y del Servicio de Administración Tributaria</w:t>
      </w:r>
      <w:r w:rsidRPr="00AD24C5">
        <w:rPr>
          <w:rFonts w:ascii="Palatino Linotype" w:eastAsia="Palatino Linotype" w:hAnsi="Palatino Linotype" w:cs="Palatino Linotype"/>
          <w:sz w:val="24"/>
          <w:szCs w:val="24"/>
        </w:rPr>
        <w:t xml:space="preserve">, el ANEXO 20 de la Segunda Resolución de modificaciones a la Resolución Miscelánea Fiscal para dos mil  </w:t>
      </w:r>
      <w:r w:rsidRPr="00AD24C5">
        <w:rPr>
          <w:rFonts w:ascii="Palatino Linotype" w:eastAsia="Palatino Linotype" w:hAnsi="Palatino Linotype" w:cs="Palatino Linotype"/>
          <w:sz w:val="24"/>
          <w:szCs w:val="24"/>
        </w:rPr>
        <w:lastRenderedPageBreak/>
        <w:t xml:space="preserve">diecisiete, precisa que dichos datos se conforman por veinte caracteres numéricos; dicha situación se robustece con el ejemplo localizado en el documento denominado “Cómo ubicar el Folio Fiscal en una factura”, emitido por el Instituto Nacional electoral (consultado el veinticinco de junio de dos mil diecinueve, a las dieciséis horas con diez minutos, en la página electrónica </w:t>
      </w:r>
      <w:hyperlink r:id="rId14">
        <w:r w:rsidRPr="00AD24C5">
          <w:rPr>
            <w:rFonts w:ascii="Palatino Linotype" w:eastAsia="Palatino Linotype" w:hAnsi="Palatino Linotype" w:cs="Palatino Linotype"/>
            <w:sz w:val="24"/>
            <w:szCs w:val="24"/>
          </w:rPr>
          <w:t>https://portalanterior.ine.mx/archivos2/tutoriales/sistemas/ApoyoInstitucional/SIF/docs/candidatos/folioFiscalFactura.pdf</w:t>
        </w:r>
      </w:hyperlink>
      <w:r w:rsidRPr="00AD24C5">
        <w:rPr>
          <w:rFonts w:ascii="Palatino Linotype" w:eastAsia="Palatino Linotype" w:hAnsi="Palatino Linotype" w:cs="Palatino Linotype"/>
          <w:sz w:val="24"/>
          <w:szCs w:val="24"/>
        </w:rPr>
        <w:t>), en la cual se advierte que únicamente se encuentra conformado por números, se muestra a continuación:</w:t>
      </w:r>
    </w:p>
    <w:p w:rsidR="004E39B3" w:rsidRPr="00AD24C5" w:rsidRDefault="004E39B3" w:rsidP="004E39B3">
      <w:pPr>
        <w:spacing w:line="360" w:lineRule="auto"/>
        <w:ind w:right="-929"/>
        <w:jc w:val="center"/>
        <w:rPr>
          <w:rFonts w:ascii="Palatino Linotype" w:eastAsia="Palatino Linotype" w:hAnsi="Palatino Linotype" w:cs="Palatino Linotype"/>
          <w:sz w:val="24"/>
          <w:szCs w:val="24"/>
        </w:rPr>
      </w:pPr>
      <w:r w:rsidRPr="00AD24C5">
        <w:rPr>
          <w:rFonts w:ascii="Palatino Linotype" w:eastAsia="Palatino Linotype" w:hAnsi="Palatino Linotype" w:cs="Palatino Linotype"/>
          <w:noProof/>
          <w:sz w:val="24"/>
          <w:szCs w:val="24"/>
          <w:lang w:eastAsia="es-MX"/>
        </w:rPr>
        <w:drawing>
          <wp:inline distT="0" distB="0" distL="0" distR="0" wp14:anchorId="7433CFB4" wp14:editId="02B42973">
            <wp:extent cx="5189855" cy="1009650"/>
            <wp:effectExtent l="0" t="0" r="0" b="0"/>
            <wp:docPr id="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189855" cy="1009650"/>
                    </a:xfrm>
                    <a:prstGeom prst="rect">
                      <a:avLst/>
                    </a:prstGeom>
                    <a:ln/>
                  </pic:spPr>
                </pic:pic>
              </a:graphicData>
            </a:graphic>
          </wp:inline>
        </w:drawing>
      </w:r>
      <w:r w:rsidRPr="00AD24C5">
        <w:rPr>
          <w:noProof/>
          <w:sz w:val="24"/>
          <w:szCs w:val="24"/>
          <w:lang w:eastAsia="es-MX"/>
        </w:rPr>
        <mc:AlternateContent>
          <mc:Choice Requires="wps">
            <w:drawing>
              <wp:anchor distT="0" distB="0" distL="114300" distR="114300" simplePos="0" relativeHeight="251659264" behindDoc="0" locked="0" layoutInCell="1" hidden="0" allowOverlap="1" wp14:anchorId="54A6DA65" wp14:editId="201548AF">
                <wp:simplePos x="0" y="0"/>
                <wp:positionH relativeFrom="column">
                  <wp:posOffset>632530</wp:posOffset>
                </wp:positionH>
                <wp:positionV relativeFrom="paragraph">
                  <wp:posOffset>649316</wp:posOffset>
                </wp:positionV>
                <wp:extent cx="3571875" cy="352425"/>
                <wp:effectExtent l="0" t="0" r="0" b="0"/>
                <wp:wrapNone/>
                <wp:docPr id="49" name="Rectángulo 49"/>
                <wp:cNvGraphicFramePr/>
                <a:graphic xmlns:a="http://schemas.openxmlformats.org/drawingml/2006/main">
                  <a:graphicData uri="http://schemas.microsoft.com/office/word/2010/wordprocessingShape">
                    <wps:wsp>
                      <wps:cNvSpPr/>
                      <wps:spPr>
                        <a:xfrm>
                          <a:off x="3574350" y="3618075"/>
                          <a:ext cx="3543300" cy="323850"/>
                        </a:xfrm>
                        <a:prstGeom prst="rect">
                          <a:avLst/>
                        </a:prstGeom>
                        <a:noFill/>
                        <a:ln w="28575" cap="flat" cmpd="sng">
                          <a:solidFill>
                            <a:srgbClr val="000000"/>
                          </a:solidFill>
                          <a:prstDash val="solid"/>
                          <a:miter lim="800000"/>
                          <a:headEnd type="none" w="sm" len="sm"/>
                          <a:tailEnd type="none" w="sm" len="sm"/>
                        </a:ln>
                      </wps:spPr>
                      <wps:txbx>
                        <w:txbxContent>
                          <w:p w:rsidR="004C1DAD" w:rsidRDefault="004C1DAD" w:rsidP="004E39B3">
                            <w:pPr>
                              <w:textDirection w:val="btLr"/>
                            </w:pPr>
                          </w:p>
                        </w:txbxContent>
                      </wps:txbx>
                      <wps:bodyPr spcFirstLastPara="1" wrap="square" lIns="91425" tIns="91425" rIns="91425" bIns="91425" anchor="ctr" anchorCtr="0">
                        <a:noAutofit/>
                      </wps:bodyPr>
                    </wps:wsp>
                  </a:graphicData>
                </a:graphic>
              </wp:anchor>
            </w:drawing>
          </mc:Choice>
          <mc:Fallback>
            <w:pict>
              <v:rect w14:anchorId="54A6DA65" id="Rectángulo 49" o:spid="_x0000_s1026" style="position:absolute;left:0;text-align:left;margin-left:49.8pt;margin-top:51.15pt;width:281.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" filled="f" strokeweight="2.25pt">
                <v:stroke startarrowwidth="narrow" startarrowlength="short" endarrowwidth="narrow" endarrowlength="short"/>
                <v:textbox inset="2.53958mm,2.53958mm,2.53958mm,2.53958mm">
                  <w:txbxContent>
                    <w:p w:rsidR="004C1DAD" w:rsidRDefault="004C1DAD" w:rsidP="004E39B3">
                      <w:pPr>
                        <w:textDirection w:val="btLr"/>
                      </w:pPr>
                    </w:p>
                  </w:txbxContent>
                </v:textbox>
              </v:rect>
            </w:pict>
          </mc:Fallback>
        </mc:AlternateContent>
      </w:r>
    </w:p>
    <w:p w:rsidR="004E39B3" w:rsidRPr="00AD24C5" w:rsidRDefault="004E39B3" w:rsidP="004E39B3">
      <w:pPr>
        <w:spacing w:line="360" w:lineRule="auto"/>
        <w:ind w:right="-929"/>
        <w:jc w:val="center"/>
        <w:rPr>
          <w:rFonts w:ascii="Palatino Linotype" w:eastAsia="Palatino Linotype" w:hAnsi="Palatino Linotype" w:cs="Palatino Linotype"/>
          <w:sz w:val="24"/>
          <w:szCs w:val="24"/>
        </w:rPr>
      </w:pPr>
    </w:p>
    <w:p w:rsidR="00AD24C5" w:rsidRDefault="004E39B3" w:rsidP="008944A5">
      <w:pPr>
        <w:numPr>
          <w:ilvl w:val="0"/>
          <w:numId w:val="2"/>
        </w:numPr>
        <w:spacing w:line="360" w:lineRule="auto"/>
        <w:ind w:left="0" w:right="49" w:firstLine="0"/>
        <w:jc w:val="both"/>
        <w:rPr>
          <w:rFonts w:ascii="Palatino Linotype" w:eastAsia="Palatino Linotype" w:hAnsi="Palatino Linotype" w:cs="Palatino Linotype"/>
          <w:sz w:val="24"/>
          <w:szCs w:val="24"/>
        </w:rPr>
      </w:pPr>
      <w:r w:rsidRPr="00AD24C5">
        <w:rPr>
          <w:rFonts w:ascii="Palatino Linotype" w:eastAsia="Palatino Linotype" w:hAnsi="Palatino Linotype" w:cs="Palatino Linotype"/>
          <w:sz w:val="24"/>
          <w:szCs w:val="24"/>
        </w:rPr>
        <w:t xml:space="preserve">Cómo se logra observar, los números de serie del certificado de sello digital no contiene datos personales y con dichos dígitos tampoco se puede obtener información de carácter confidencial, por lo que, tampoco actualizan la causal de clasificación, </w:t>
      </w:r>
      <w:r w:rsidRPr="00AD24C5">
        <w:rPr>
          <w:rFonts w:ascii="Palatino Linotype" w:eastAsia="Palatino Linotype" w:hAnsi="Palatino Linotype" w:cs="Palatino Linotype"/>
          <w:color w:val="000000"/>
          <w:sz w:val="24"/>
          <w:szCs w:val="24"/>
        </w:rPr>
        <w:t>establecida</w:t>
      </w:r>
      <w:r w:rsidRPr="00AD24C5">
        <w:rPr>
          <w:rFonts w:ascii="Palatino Linotype" w:eastAsia="Palatino Linotype" w:hAnsi="Palatino Linotype" w:cs="Palatino Linotype"/>
          <w:sz w:val="24"/>
          <w:szCs w:val="24"/>
        </w:rPr>
        <w:t xml:space="preserve"> en el artículo 143, fracción I, de la Ley de Transparencia y Acceso a la Información Pública del Estado de México y Municipios. Máxime que permite corroborar la legitimidad a la factura, pues amparan la utilización de los certificados de sellos digitales válidos.</w:t>
      </w:r>
    </w:p>
    <w:p w:rsidR="004C1DAD" w:rsidRDefault="004C1DAD" w:rsidP="004C1DAD">
      <w:pPr>
        <w:spacing w:line="360" w:lineRule="auto"/>
        <w:ind w:right="49"/>
        <w:jc w:val="both"/>
        <w:rPr>
          <w:rFonts w:ascii="Palatino Linotype" w:eastAsia="Palatino Linotype" w:hAnsi="Palatino Linotype" w:cs="Palatino Linotype"/>
          <w:sz w:val="24"/>
          <w:szCs w:val="24"/>
        </w:rPr>
      </w:pPr>
    </w:p>
    <w:p w:rsidR="003E5232" w:rsidRPr="00592B53" w:rsidRDefault="004C1DAD" w:rsidP="003E5232">
      <w:pPr>
        <w:numPr>
          <w:ilvl w:val="0"/>
          <w:numId w:val="2"/>
        </w:numPr>
        <w:spacing w:line="360" w:lineRule="auto"/>
        <w:ind w:left="0" w:right="49" w:firstLine="0"/>
        <w:jc w:val="both"/>
        <w:rPr>
          <w:rFonts w:ascii="Palatino Linotype" w:eastAsia="Palatino Linotype" w:hAnsi="Palatino Linotype" w:cs="Palatino Linotype"/>
          <w:color w:val="000000" w:themeColor="text1"/>
          <w:sz w:val="24"/>
          <w:szCs w:val="24"/>
        </w:rPr>
      </w:pPr>
      <w:r w:rsidRPr="00592B53">
        <w:rPr>
          <w:rFonts w:ascii="Palatino Linotype" w:eastAsia="Palatino Linotype" w:hAnsi="Palatino Linotype" w:cs="Palatino Linotype"/>
          <w:sz w:val="24"/>
          <w:szCs w:val="24"/>
        </w:rPr>
        <w:t>Finalmente, respecto los servidores públicos de estructura, se refiere que estos se conforman por los int</w:t>
      </w:r>
      <w:r w:rsidR="003E5232" w:rsidRPr="00592B53">
        <w:rPr>
          <w:rFonts w:ascii="Palatino Linotype" w:eastAsia="Palatino Linotype" w:hAnsi="Palatino Linotype" w:cs="Palatino Linotype"/>
          <w:sz w:val="24"/>
          <w:szCs w:val="24"/>
        </w:rPr>
        <w:t>egrantes de cabildo, titulares y directores de área y/o direcciones que refiere el Bando Municipal en su artículo 90.</w:t>
      </w:r>
    </w:p>
    <w:p w:rsidR="00BF671E" w:rsidRPr="00AD24C5" w:rsidRDefault="00BF671E" w:rsidP="003E5232">
      <w:pPr>
        <w:spacing w:line="360" w:lineRule="auto"/>
        <w:ind w:right="49"/>
        <w:jc w:val="both"/>
        <w:rPr>
          <w:rFonts w:ascii="Palatino Linotype" w:eastAsia="Palatino Linotype" w:hAnsi="Palatino Linotype" w:cs="Palatino Linotype"/>
          <w:color w:val="000000" w:themeColor="text1"/>
          <w:sz w:val="24"/>
          <w:szCs w:val="24"/>
        </w:rPr>
      </w:pPr>
      <w:r w:rsidRPr="00AD24C5">
        <w:rPr>
          <w:rFonts w:ascii="Palatino Linotype" w:eastAsia="Palatino Linotype" w:hAnsi="Palatino Linotype" w:cs="Palatino Linotype"/>
          <w:b/>
          <w:color w:val="000000" w:themeColor="text1"/>
          <w:sz w:val="24"/>
          <w:szCs w:val="24"/>
        </w:rPr>
        <w:lastRenderedPageBreak/>
        <w:t>QUINTO. De la versión pública.</w:t>
      </w:r>
    </w:p>
    <w:p w:rsidR="00BF671E" w:rsidRPr="00AD24C5" w:rsidRDefault="00BF671E" w:rsidP="00BF671E">
      <w:pPr>
        <w:numPr>
          <w:ilvl w:val="0"/>
          <w:numId w:val="6"/>
        </w:numPr>
        <w:pBdr>
          <w:top w:val="nil"/>
          <w:left w:val="nil"/>
          <w:bottom w:val="nil"/>
          <w:right w:val="nil"/>
          <w:between w:val="nil"/>
        </w:pBdr>
        <w:tabs>
          <w:tab w:val="left" w:pos="851"/>
        </w:tabs>
        <w:spacing w:after="160" w:line="360" w:lineRule="auto"/>
        <w:ind w:right="333"/>
        <w:jc w:val="both"/>
        <w:rPr>
          <w:rFonts w:ascii="Palatino Linotype" w:eastAsia="Palatino Linotype" w:hAnsi="Palatino Linotype" w:cs="Palatino Linotype"/>
          <w:color w:val="000000" w:themeColor="text1"/>
          <w:sz w:val="24"/>
          <w:szCs w:val="24"/>
        </w:rPr>
      </w:pPr>
      <w:r w:rsidRPr="00AD24C5">
        <w:rPr>
          <w:rFonts w:ascii="Palatino Linotype" w:eastAsia="Palatino Linotype" w:hAnsi="Palatino Linotype" w:cs="Palatino Linotype"/>
          <w:b/>
          <w:color w:val="000000" w:themeColor="text1"/>
          <w:sz w:val="24"/>
          <w:szCs w:val="24"/>
        </w:rPr>
        <w:t xml:space="preserve">Nociones generales. </w:t>
      </w:r>
    </w:p>
    <w:p w:rsidR="00BF671E" w:rsidRPr="00AD24C5" w:rsidRDefault="00BF671E" w:rsidP="00BF671E">
      <w:pPr>
        <w:numPr>
          <w:ilvl w:val="0"/>
          <w:numId w:val="2"/>
        </w:numPr>
        <w:spacing w:line="360" w:lineRule="auto"/>
        <w:ind w:left="0" w:right="113" w:firstLine="0"/>
        <w:jc w:val="both"/>
        <w:rPr>
          <w:rFonts w:ascii="Palatino Linotype" w:eastAsia="Palatino Linotype" w:hAnsi="Palatino Linotype" w:cs="Palatino Linotype"/>
          <w:color w:val="000000" w:themeColor="text1"/>
          <w:sz w:val="24"/>
          <w:szCs w:val="24"/>
        </w:rPr>
      </w:pPr>
      <w:r w:rsidRPr="00AD24C5">
        <w:rPr>
          <w:rFonts w:ascii="Palatino Linotype" w:eastAsia="Palatino Linotype" w:hAnsi="Palatino Linotype" w:cs="Palatino Linotype"/>
          <w:color w:val="000000" w:themeColor="text1"/>
          <w:sz w:val="24"/>
          <w:szCs w:val="24"/>
        </w:rPr>
        <w:t>Debe destacarse que, debido a la naturaleza de la información solicitada</w:t>
      </w:r>
      <w:r w:rsidRPr="00AD24C5">
        <w:rPr>
          <w:rFonts w:ascii="Palatino Linotype" w:eastAsia="Palatino Linotype" w:hAnsi="Palatino Linotype" w:cs="Palatino Linotype"/>
          <w:b/>
          <w:color w:val="000000" w:themeColor="text1"/>
          <w:sz w:val="24"/>
          <w:szCs w:val="24"/>
        </w:rPr>
        <w:t xml:space="preserve">, </w:t>
      </w:r>
      <w:r w:rsidRPr="00AD24C5">
        <w:rPr>
          <w:rFonts w:ascii="Palatino Linotype" w:eastAsia="Palatino Linotype" w:hAnsi="Palatino Linotype" w:cs="Palatino Linotype"/>
          <w:color w:val="000000" w:themeColor="text1"/>
          <w:sz w:val="24"/>
          <w:szCs w:val="24"/>
        </w:rPr>
        <w:t xml:space="preserve">eventualmente pudiera obrar datos personales susceptibles de protegerse, el </w:t>
      </w:r>
      <w:r w:rsidRPr="00AD24C5">
        <w:rPr>
          <w:rFonts w:ascii="Palatino Linotype" w:eastAsia="Palatino Linotype" w:hAnsi="Palatino Linotype" w:cs="Palatino Linotype"/>
          <w:b/>
          <w:color w:val="000000" w:themeColor="text1"/>
          <w:sz w:val="24"/>
          <w:szCs w:val="24"/>
        </w:rPr>
        <w:t xml:space="preserve">SUJETO OBLIGADO </w:t>
      </w:r>
      <w:r w:rsidRPr="00AD24C5">
        <w:rPr>
          <w:rFonts w:ascii="Palatino Linotype" w:eastAsia="Palatino Linotype" w:hAnsi="Palatino Linotype" w:cs="Palatino Linotype"/>
          <w:color w:val="000000" w:themeColor="text1"/>
          <w:sz w:val="24"/>
          <w:szCs w:val="24"/>
        </w:rPr>
        <w:t xml:space="preserve">deberá de hacer la adecuada versión pública, protegiendo los datos que no son susceptibles de ser proporcionados. </w:t>
      </w:r>
    </w:p>
    <w:p w:rsidR="00BF671E" w:rsidRPr="00AD24C5" w:rsidRDefault="00BF671E" w:rsidP="00BF671E">
      <w:pPr>
        <w:pStyle w:val="Prrafodelista"/>
        <w:spacing w:line="360" w:lineRule="auto"/>
        <w:ind w:left="0" w:right="113"/>
        <w:jc w:val="both"/>
        <w:rPr>
          <w:rFonts w:ascii="Palatino Linotype" w:eastAsia="Palatino Linotype" w:hAnsi="Palatino Linotype" w:cs="Palatino Linotype"/>
          <w:color w:val="000000" w:themeColor="text1"/>
          <w:sz w:val="24"/>
        </w:rPr>
      </w:pPr>
    </w:p>
    <w:p w:rsidR="00BF671E" w:rsidRPr="00AD24C5" w:rsidRDefault="00BF671E" w:rsidP="00BF671E">
      <w:pPr>
        <w:numPr>
          <w:ilvl w:val="0"/>
          <w:numId w:val="2"/>
        </w:numPr>
        <w:spacing w:line="360" w:lineRule="auto"/>
        <w:ind w:left="0" w:right="113" w:firstLine="0"/>
        <w:jc w:val="both"/>
        <w:rPr>
          <w:rFonts w:ascii="Palatino Linotype" w:eastAsia="Palatino Linotype" w:hAnsi="Palatino Linotype" w:cs="Palatino Linotype"/>
          <w:color w:val="000000" w:themeColor="text1"/>
          <w:sz w:val="24"/>
          <w:szCs w:val="24"/>
        </w:rPr>
      </w:pPr>
      <w:r w:rsidRPr="00AD24C5">
        <w:rPr>
          <w:rFonts w:ascii="Palatino Linotype" w:eastAsia="Palatino Linotype" w:hAnsi="Palatino Linotype" w:cs="Palatino Linotype"/>
          <w:color w:val="000000" w:themeColor="text1"/>
          <w:sz w:val="24"/>
          <w:szCs w:val="24"/>
        </w:rPr>
        <w:t>No pasa desapercibido para este Órgano Garante que los Sujetos Obligados 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BF671E" w:rsidRPr="00AD24C5" w:rsidRDefault="00BF671E" w:rsidP="00BF671E">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themeColor="text1"/>
          <w:sz w:val="24"/>
          <w:szCs w:val="24"/>
          <w:lang w:val="es-ES_tradnl"/>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521"/>
      </w:tblGrid>
      <w:tr w:rsidR="00BF671E" w:rsidRPr="00AD24C5" w:rsidTr="00B27992">
        <w:tc>
          <w:tcPr>
            <w:tcW w:w="2835" w:type="dxa"/>
          </w:tcPr>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a) Requisitos previos.</w:t>
            </w:r>
          </w:p>
        </w:tc>
        <w:tc>
          <w:tcPr>
            <w:tcW w:w="6521" w:type="dxa"/>
          </w:tcPr>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 xml:space="preserve">Los artículos 100 y 122 de la Ley Estatal y de la Ley General, vigente al momento de interponer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lastRenderedPageBreak/>
              <w:t>Al hacerlo tienen que precisar de qué información se trata, señalando el supuesto de clasificación (confidencialidad o reserva).</w:t>
            </w:r>
          </w:p>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Además, se debe señalar el procedimiento, de los tres que establecen los artículos 132 y 106 de la Ley Estatal y General vigente al momento de interponer la solicitud de información, respectivamente.</w:t>
            </w:r>
          </w:p>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p>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 xml:space="preserve">El último de estos requisitos previos consiste en que no se pueden emitir acuerdos de carácter general ni particular, esto es, </w:t>
            </w:r>
            <w:r w:rsidRPr="00AD24C5">
              <w:rPr>
                <w:rFonts w:ascii="Palatino Linotype" w:eastAsia="Palatino Linotype" w:hAnsi="Palatino Linotype" w:cs="Palatino Linotype"/>
                <w:color w:val="000000" w:themeColor="text1"/>
                <w:sz w:val="24"/>
                <w:szCs w:val="24"/>
                <w:u w:val="single"/>
                <w:lang w:val="es-ES_tradnl"/>
              </w:rPr>
              <w:t>no se puede hacer un acuerdo para clasificar de manera general todos los documentos de un expediente o área, sin</w:t>
            </w:r>
            <w:r w:rsidRPr="00AD24C5">
              <w:rPr>
                <w:rFonts w:ascii="Palatino Linotype" w:eastAsia="Palatino Linotype" w:hAnsi="Palatino Linotype" w:cs="Palatino Linotype"/>
                <w:color w:val="000000" w:themeColor="text1"/>
                <w:sz w:val="24"/>
                <w:szCs w:val="24"/>
                <w:lang w:val="es-ES_tradnl"/>
              </w:rPr>
              <w:t xml:space="preserve"> individualizar su análisis y tampoco se puede hacer un acuerdo por cada dato que se vaya a clasificar dentro de un documento con diez datos, por ejemplo, susceptibles de ser clasificados.</w:t>
            </w:r>
          </w:p>
        </w:tc>
      </w:tr>
      <w:tr w:rsidR="00BF671E" w:rsidRPr="00AD24C5" w:rsidTr="00B27992">
        <w:tc>
          <w:tcPr>
            <w:tcW w:w="2835" w:type="dxa"/>
          </w:tcPr>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lastRenderedPageBreak/>
              <w:t>b) Supuestos de clasificación.</w:t>
            </w:r>
          </w:p>
        </w:tc>
        <w:tc>
          <w:tcPr>
            <w:tcW w:w="6521" w:type="dxa"/>
          </w:tcPr>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Las disposiciones constitucionales y legales en la materia establecen los dos supuestos generales para clasificar la información: por reserva y por confidencialidad.</w:t>
            </w:r>
          </w:p>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 xml:space="preserve">Los artículos 116 y 143 de la Ley Estatal y de la Ley General, vigente al momento de interponer la solicitud de información, respectivamente, señalan los supuestos para que la información pueda ser clasificada como </w:t>
            </w:r>
            <w:r w:rsidRPr="00AD24C5">
              <w:rPr>
                <w:rFonts w:ascii="Palatino Linotype" w:eastAsia="Palatino Linotype" w:hAnsi="Palatino Linotype" w:cs="Palatino Linotype"/>
                <w:color w:val="000000" w:themeColor="text1"/>
                <w:sz w:val="24"/>
                <w:szCs w:val="24"/>
                <w:lang w:val="es-ES_tradnl"/>
              </w:rPr>
              <w:lastRenderedPageBreak/>
              <w:t>confidencial. Mientras que los artículos 105 y 130 de la Ley Estatal y de la Ley General, vigente al momento de interponer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 xml:space="preserve">El </w:t>
            </w:r>
            <w:r w:rsidRPr="00AD24C5">
              <w:rPr>
                <w:rFonts w:ascii="Palatino Linotype" w:eastAsia="Palatino Linotype" w:hAnsi="Palatino Linotype" w:cs="Palatino Linotype"/>
                <w:b/>
                <w:color w:val="000000" w:themeColor="text1"/>
                <w:sz w:val="24"/>
                <w:szCs w:val="24"/>
                <w:lang w:val="es-ES_tradnl"/>
              </w:rPr>
              <w:t>Sujeto Obligado</w:t>
            </w:r>
            <w:r w:rsidRPr="00AD24C5">
              <w:rPr>
                <w:rFonts w:ascii="Palatino Linotype" w:eastAsia="Palatino Linotype" w:hAnsi="Palatino Linotype" w:cs="Palatino Linotype"/>
                <w:color w:val="000000" w:themeColor="text1"/>
                <w:sz w:val="24"/>
                <w:szCs w:val="24"/>
                <w:lang w:val="es-ES_tradnl"/>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BF671E" w:rsidRPr="00AD24C5" w:rsidTr="00B27992">
        <w:tc>
          <w:tcPr>
            <w:tcW w:w="2835" w:type="dxa"/>
          </w:tcPr>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lastRenderedPageBreak/>
              <w:t>c) Formalidades para emitir el acuerdo de clasificación.</w:t>
            </w:r>
          </w:p>
        </w:tc>
        <w:tc>
          <w:tcPr>
            <w:tcW w:w="6521" w:type="dxa"/>
          </w:tcPr>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 xml:space="preserve">El Comité de Transparencia, según lo dispuesto en los artículos cuenta con las facultades para aprobar, modificar o revocar la clasificación de la información que haya propuesto. </w:t>
            </w:r>
          </w:p>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 xml:space="preserve">Es necesario que </w:t>
            </w:r>
            <w:r w:rsidRPr="00AD24C5">
              <w:rPr>
                <w:rFonts w:ascii="Palatino Linotype" w:eastAsia="Palatino Linotype" w:hAnsi="Palatino Linotype" w:cs="Palatino Linotype"/>
                <w:b/>
                <w:color w:val="000000" w:themeColor="text1"/>
                <w:sz w:val="24"/>
                <w:szCs w:val="24"/>
                <w:u w:val="single"/>
                <w:lang w:val="es-ES_tradnl"/>
              </w:rPr>
              <w:t>el acto reúna con los requisitos elementales</w:t>
            </w:r>
            <w:r w:rsidRPr="00AD24C5">
              <w:rPr>
                <w:rFonts w:ascii="Palatino Linotype" w:eastAsia="Palatino Linotype" w:hAnsi="Palatino Linotype" w:cs="Palatino Linotype"/>
                <w:color w:val="000000" w:themeColor="text1"/>
                <w:sz w:val="24"/>
                <w:szCs w:val="24"/>
                <w:lang w:val="es-ES_tradnl"/>
              </w:rPr>
              <w:t>, entre ellos, que la autoridad que va a emitir el acto de autoridad sea la legalmente facultada para ello.</w:t>
            </w:r>
          </w:p>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 xml:space="preserve">La decisión de aprobar, modificar o revocar la clasificación deberá de asentarse en un documento que </w:t>
            </w:r>
            <w:r w:rsidRPr="00AD24C5">
              <w:rPr>
                <w:rFonts w:ascii="Palatino Linotype" w:eastAsia="Palatino Linotype" w:hAnsi="Palatino Linotype" w:cs="Palatino Linotype"/>
                <w:color w:val="000000" w:themeColor="text1"/>
                <w:sz w:val="24"/>
                <w:szCs w:val="24"/>
                <w:lang w:val="es-ES_tradnl"/>
              </w:rPr>
              <w:lastRenderedPageBreak/>
              <w:t>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BF671E" w:rsidRPr="00AD24C5" w:rsidTr="00B27992">
        <w:tc>
          <w:tcPr>
            <w:tcW w:w="2835" w:type="dxa"/>
          </w:tcPr>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p>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 xml:space="preserve">d) Requisitos de fondo del acuerdo de clasificación. </w:t>
            </w:r>
          </w:p>
        </w:tc>
        <w:tc>
          <w:tcPr>
            <w:tcW w:w="6521" w:type="dxa"/>
          </w:tcPr>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AD24C5">
              <w:rPr>
                <w:rFonts w:ascii="Palatino Linotype" w:eastAsia="Palatino Linotype" w:hAnsi="Palatino Linotype" w:cs="Palatino Linotype"/>
                <w:b/>
                <w:color w:val="000000" w:themeColor="text1"/>
                <w:sz w:val="24"/>
                <w:szCs w:val="24"/>
                <w:lang w:val="es-ES_tradnl"/>
              </w:rPr>
              <w:t>Sujetos Obligados</w:t>
            </w:r>
            <w:r w:rsidRPr="00AD24C5">
              <w:rPr>
                <w:rFonts w:ascii="Palatino Linotype" w:eastAsia="Palatino Linotype" w:hAnsi="Palatino Linotype" w:cs="Palatino Linotype"/>
                <w:color w:val="000000" w:themeColor="text1"/>
                <w:sz w:val="24"/>
                <w:szCs w:val="24"/>
                <w:lang w:val="es-ES_tradnl"/>
              </w:rPr>
              <w:t xml:space="preserve">, por lo que deberán fundar y motivar debidamente la clasificación. </w:t>
            </w:r>
          </w:p>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 xml:space="preserve">De lo anterior, se desprende que para una correcta </w:t>
            </w:r>
            <w:r w:rsidRPr="00AD24C5">
              <w:rPr>
                <w:rFonts w:ascii="Palatino Linotype" w:eastAsia="Palatino Linotype" w:hAnsi="Palatino Linotype" w:cs="Palatino Linotype"/>
                <w:b/>
                <w:color w:val="000000" w:themeColor="text1"/>
                <w:sz w:val="24"/>
                <w:szCs w:val="24"/>
                <w:lang w:val="es-ES_tradnl"/>
              </w:rPr>
              <w:t>clasificación total o parcial</w:t>
            </w:r>
            <w:r w:rsidRPr="00AD24C5">
              <w:rPr>
                <w:rFonts w:ascii="Palatino Linotype" w:eastAsia="Palatino Linotype" w:hAnsi="Palatino Linotype" w:cs="Palatino Linotype"/>
                <w:color w:val="000000" w:themeColor="text1"/>
                <w:sz w:val="24"/>
                <w:szCs w:val="24"/>
                <w:lang w:val="es-ES_tradnl"/>
              </w:rPr>
              <w:t xml:space="preserve">, esto es determinar los datos que se suprimen en las versiones públicas, es necesario fundar y motivar, de manera correcta, la clasificación; considerando que todo acto que la autoridad pronuncie en el ejercicio de sus atribuciones, debe expresar los </w:t>
            </w:r>
            <w:r w:rsidRPr="00AD24C5">
              <w:rPr>
                <w:rFonts w:ascii="Palatino Linotype" w:eastAsia="Palatino Linotype" w:hAnsi="Palatino Linotype" w:cs="Palatino Linotype"/>
                <w:color w:val="000000" w:themeColor="text1"/>
                <w:sz w:val="24"/>
                <w:szCs w:val="24"/>
                <w:lang w:val="es-ES_tradnl"/>
              </w:rPr>
              <w:lastRenderedPageBreak/>
              <w:t>fundamentos legales que le dieron origen y las razones por las que se deben aplicar al caso concreto.</w:t>
            </w:r>
          </w:p>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En ese mismo sentido, el numeral trigésimo tercero fracción V de los Lineamientos Generales, precisa que para motivar la clasificación se deben acreditar las circunstancias de tiempo, modo y lugar.</w:t>
            </w:r>
          </w:p>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 xml:space="preserve">Ahora bien, </w:t>
            </w:r>
            <w:r w:rsidRPr="00AD24C5">
              <w:rPr>
                <w:rFonts w:ascii="Palatino Linotype" w:eastAsia="Palatino Linotype" w:hAnsi="Palatino Linotype" w:cs="Palatino Linotype"/>
                <w:b/>
                <w:color w:val="000000" w:themeColor="text1"/>
                <w:sz w:val="24"/>
                <w:szCs w:val="24"/>
                <w:u w:val="single"/>
                <w:lang w:val="es-ES_tradnl"/>
              </w:rPr>
              <w:t>para cada caso además de fundar y motivar</w:t>
            </w:r>
            <w:r w:rsidRPr="00AD24C5">
              <w:rPr>
                <w:rFonts w:ascii="Palatino Linotype" w:eastAsia="Palatino Linotype" w:hAnsi="Palatino Linotype" w:cs="Palatino Linotype"/>
                <w:color w:val="000000" w:themeColor="text1"/>
                <w:sz w:val="24"/>
                <w:szCs w:val="24"/>
                <w:lang w:val="es-ES_tradnl"/>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BF671E" w:rsidRPr="00AD24C5" w:rsidTr="00B27992">
        <w:tc>
          <w:tcPr>
            <w:tcW w:w="2835" w:type="dxa"/>
          </w:tcPr>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lastRenderedPageBreak/>
              <w:t xml:space="preserve">e) Condiciones especiales de la clasificación de la información como confidencial. </w:t>
            </w:r>
          </w:p>
        </w:tc>
        <w:tc>
          <w:tcPr>
            <w:tcW w:w="6521" w:type="dxa"/>
          </w:tcPr>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 xml:space="preserve">Los artículos 148 y 120 de la Ley Estatal y de la Ley General vigente al momento de interponer la solicitud de información, respectivamente, establecen que aun tratándose de datos personales, se podrán proporcionar, incluso sin solicitar el consentimiento de su titular. </w:t>
            </w:r>
          </w:p>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BF671E" w:rsidRPr="00AD24C5" w:rsidRDefault="00BF671E" w:rsidP="00B27992">
            <w:pPr>
              <w:pBdr>
                <w:top w:val="nil"/>
                <w:left w:val="nil"/>
                <w:bottom w:val="nil"/>
                <w:right w:val="nil"/>
                <w:between w:val="nil"/>
              </w:pBdr>
              <w:spacing w:line="360" w:lineRule="auto"/>
              <w:ind w:right="333"/>
              <w:jc w:val="both"/>
              <w:rPr>
                <w:rFonts w:ascii="Palatino Linotype" w:eastAsia="Palatino Linotype" w:hAnsi="Palatino Linotype" w:cs="Palatino Linotype"/>
                <w:color w:val="000000" w:themeColor="text1"/>
                <w:sz w:val="24"/>
                <w:szCs w:val="24"/>
                <w:lang w:val="es-ES_tradnl"/>
              </w:rPr>
            </w:pPr>
            <w:r w:rsidRPr="00AD24C5">
              <w:rPr>
                <w:rFonts w:ascii="Palatino Linotype" w:eastAsia="Palatino Linotype" w:hAnsi="Palatino Linotype" w:cs="Palatino Linotype"/>
                <w:color w:val="000000" w:themeColor="text1"/>
                <w:sz w:val="24"/>
                <w:szCs w:val="24"/>
                <w:lang w:val="es-ES_tradnl"/>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BF671E" w:rsidRPr="00AD24C5" w:rsidRDefault="00BF671E" w:rsidP="00BF671E">
      <w:pPr>
        <w:spacing w:line="360" w:lineRule="auto"/>
        <w:ind w:right="49"/>
        <w:jc w:val="both"/>
        <w:rPr>
          <w:rFonts w:ascii="Palatino Linotype" w:hAnsi="Palatino Linotype"/>
          <w:color w:val="000000"/>
          <w:sz w:val="24"/>
          <w:szCs w:val="24"/>
        </w:rPr>
      </w:pPr>
      <w:bookmarkStart w:id="9" w:name="_heading=h.4d34og8" w:colFirst="0" w:colLast="0"/>
      <w:bookmarkEnd w:id="9"/>
    </w:p>
    <w:p w:rsidR="00BF671E" w:rsidRPr="00AD24C5" w:rsidRDefault="00BF671E" w:rsidP="00BF671E">
      <w:pPr>
        <w:numPr>
          <w:ilvl w:val="0"/>
          <w:numId w:val="2"/>
        </w:numPr>
        <w:spacing w:line="360" w:lineRule="auto"/>
        <w:ind w:left="0" w:right="49" w:firstLine="0"/>
        <w:jc w:val="both"/>
        <w:rPr>
          <w:rFonts w:ascii="Palatino Linotype" w:hAnsi="Palatino Linotype"/>
          <w:color w:val="000000"/>
          <w:sz w:val="24"/>
          <w:szCs w:val="24"/>
        </w:rPr>
      </w:pPr>
      <w:r w:rsidRPr="00AD24C5">
        <w:rPr>
          <w:rFonts w:ascii="Palatino Linotype" w:eastAsia="Palatino Linotype" w:hAnsi="Palatino Linotype" w:cs="Palatino Linotype"/>
          <w:sz w:val="24"/>
          <w:szCs w:val="24"/>
        </w:rPr>
        <w:t xml:space="preserve">Por lo anteriormente expuesto, este Órgano Garante considera parcialmente fundadas las </w:t>
      </w:r>
      <w:r w:rsidRPr="00AD24C5">
        <w:rPr>
          <w:rFonts w:ascii="Palatino Linotype" w:hAnsi="Palatino Linotype" w:cs="Arial"/>
          <w:sz w:val="24"/>
          <w:szCs w:val="24"/>
        </w:rPr>
        <w:t>razones</w:t>
      </w:r>
      <w:r w:rsidRPr="00AD24C5">
        <w:rPr>
          <w:rFonts w:ascii="Palatino Linotype" w:eastAsia="Palatino Linotype" w:hAnsi="Palatino Linotype" w:cs="Palatino Linotype"/>
          <w:sz w:val="24"/>
          <w:szCs w:val="24"/>
        </w:rPr>
        <w:t xml:space="preserve"> o motivos de inconformidad que plantea el</w:t>
      </w:r>
      <w:r w:rsidRPr="00AD24C5">
        <w:rPr>
          <w:rFonts w:ascii="Palatino Linotype" w:eastAsia="Palatino Linotype" w:hAnsi="Palatino Linotype" w:cs="Palatino Linotype"/>
          <w:b/>
          <w:sz w:val="24"/>
          <w:szCs w:val="24"/>
        </w:rPr>
        <w:t xml:space="preserve"> RECURRENTE</w:t>
      </w:r>
      <w:r w:rsidRPr="00AD24C5">
        <w:rPr>
          <w:rFonts w:ascii="Palatino Linotype" w:eastAsia="Palatino Linotype" w:hAnsi="Palatino Linotype" w:cs="Palatino Linotype"/>
          <w:sz w:val="24"/>
          <w:szCs w:val="24"/>
        </w:rPr>
        <w:t xml:space="preserve">, determinando </w:t>
      </w:r>
      <w:r w:rsidRPr="00AD24C5">
        <w:rPr>
          <w:rFonts w:ascii="Palatino Linotype" w:eastAsia="Palatino Linotype" w:hAnsi="Palatino Linotype" w:cs="Palatino Linotype"/>
          <w:b/>
          <w:smallCaps/>
          <w:sz w:val="24"/>
          <w:szCs w:val="24"/>
        </w:rPr>
        <w:t xml:space="preserve">REVOCAR  </w:t>
      </w:r>
      <w:r w:rsidRPr="00AD24C5">
        <w:rPr>
          <w:rFonts w:ascii="Palatino Linotype" w:eastAsia="Palatino Linotype" w:hAnsi="Palatino Linotype" w:cs="Palatino Linotype"/>
          <w:sz w:val="24"/>
          <w:szCs w:val="24"/>
        </w:rPr>
        <w:t xml:space="preserve">la respuesta del </w:t>
      </w:r>
      <w:r w:rsidRPr="00AD24C5">
        <w:rPr>
          <w:rFonts w:ascii="Palatino Linotype" w:eastAsia="Palatino Linotype" w:hAnsi="Palatino Linotype" w:cs="Palatino Linotype"/>
          <w:b/>
          <w:sz w:val="24"/>
          <w:szCs w:val="24"/>
        </w:rPr>
        <w:t>SUJETO OBLIGADO</w:t>
      </w:r>
      <w:r w:rsidRPr="00AD24C5">
        <w:rPr>
          <w:rFonts w:ascii="Palatino Linotype" w:eastAsia="Palatino Linotype" w:hAnsi="Palatino Linotype" w:cs="Palatino Linotype"/>
          <w:sz w:val="24"/>
          <w:szCs w:val="24"/>
        </w:rPr>
        <w:t xml:space="preserve">, por lo que con fundamento en lo prescrito en los artículos 5 párrafos vigésimo noveno, trigésimo y trigésimo primero fracciones IV y V de la Constitución Política del Estado Libre y </w:t>
      </w:r>
      <w:r w:rsidRPr="00AD24C5">
        <w:rPr>
          <w:rFonts w:ascii="Palatino Linotype" w:eastAsia="Palatino Linotype" w:hAnsi="Palatino Linotype" w:cs="Palatino Linotype"/>
          <w:sz w:val="24"/>
          <w:szCs w:val="24"/>
        </w:rPr>
        <w:lastRenderedPageBreak/>
        <w:t xml:space="preserve">Soberano de México; 2, fracción II; 29, 36 fracciones I y II; 176, 178, 181, 185 de la Ley de Transparencia y Acceso a la Información Pública del Estado de México y Municipios, </w:t>
      </w:r>
      <w:r w:rsidRPr="00AD24C5">
        <w:rPr>
          <w:rFonts w:ascii="Palatino Linotype" w:eastAsia="Palatino Linotype" w:hAnsi="Palatino Linotype" w:cs="Palatino Linotype"/>
          <w:color w:val="000000"/>
          <w:sz w:val="24"/>
          <w:szCs w:val="24"/>
        </w:rPr>
        <w:t xml:space="preserve">este </w:t>
      </w:r>
      <w:r w:rsidRPr="00AD24C5">
        <w:rPr>
          <w:rFonts w:ascii="Palatino Linotype" w:eastAsia="Palatino Linotype" w:hAnsi="Palatino Linotype" w:cs="Palatino Linotype"/>
          <w:b/>
          <w:color w:val="000000"/>
          <w:sz w:val="24"/>
          <w:szCs w:val="24"/>
        </w:rPr>
        <w:t>ÓRGANO GARANTE</w:t>
      </w:r>
      <w:r w:rsidRPr="00AD24C5">
        <w:rPr>
          <w:rFonts w:ascii="Palatino Linotype" w:eastAsia="Palatino Linotype" w:hAnsi="Palatino Linotype" w:cs="Palatino Linotype"/>
          <w:color w:val="000000"/>
          <w:sz w:val="24"/>
          <w:szCs w:val="24"/>
        </w:rPr>
        <w:t xml:space="preserve"> emite los siguientes.</w:t>
      </w:r>
    </w:p>
    <w:p w:rsidR="00BF671E" w:rsidRPr="00AD24C5" w:rsidRDefault="00BF671E" w:rsidP="00BF671E">
      <w:pPr>
        <w:spacing w:line="360" w:lineRule="auto"/>
        <w:ind w:right="113"/>
        <w:contextualSpacing/>
        <w:jc w:val="both"/>
        <w:rPr>
          <w:rFonts w:ascii="Palatino Linotype" w:hAnsi="Palatino Linotype"/>
          <w:i/>
          <w:color w:val="000000"/>
          <w:sz w:val="24"/>
          <w:szCs w:val="24"/>
        </w:rPr>
      </w:pPr>
    </w:p>
    <w:p w:rsidR="00BF671E" w:rsidRPr="00AD24C5" w:rsidRDefault="00BF671E" w:rsidP="00BF671E">
      <w:pPr>
        <w:pStyle w:val="Prrafodelista"/>
        <w:ind w:right="113"/>
        <w:rPr>
          <w:rFonts w:ascii="Palatino Linotype" w:eastAsia="MS Mincho" w:hAnsi="Palatino Linotype" w:cs="Arial"/>
          <w:sz w:val="24"/>
        </w:rPr>
      </w:pPr>
    </w:p>
    <w:p w:rsidR="00BF671E" w:rsidRPr="00AD24C5" w:rsidRDefault="00BF671E" w:rsidP="00BF671E">
      <w:pPr>
        <w:pStyle w:val="Ttulo1"/>
        <w:spacing w:before="0" w:line="360" w:lineRule="auto"/>
        <w:ind w:right="113"/>
        <w:jc w:val="center"/>
        <w:rPr>
          <w:rFonts w:ascii="Palatino Linotype" w:eastAsia="Calibri" w:hAnsi="Palatino Linotype"/>
          <w:b/>
          <w:color w:val="000000" w:themeColor="text1"/>
          <w:sz w:val="24"/>
          <w:szCs w:val="24"/>
        </w:rPr>
      </w:pPr>
      <w:r w:rsidRPr="00AD24C5">
        <w:rPr>
          <w:rFonts w:ascii="Palatino Linotype" w:eastAsia="Calibri" w:hAnsi="Palatino Linotype"/>
          <w:b/>
          <w:color w:val="000000" w:themeColor="text1"/>
          <w:sz w:val="24"/>
          <w:szCs w:val="24"/>
        </w:rPr>
        <w:t>R E S O L U T I V O S</w:t>
      </w:r>
    </w:p>
    <w:p w:rsidR="00BF671E" w:rsidRPr="00AD24C5" w:rsidRDefault="00BF671E" w:rsidP="00BF671E">
      <w:pPr>
        <w:spacing w:line="360" w:lineRule="auto"/>
        <w:ind w:right="113"/>
        <w:rPr>
          <w:rFonts w:ascii="Palatino Linotype" w:hAnsi="Palatino Linotype"/>
          <w:sz w:val="24"/>
          <w:szCs w:val="24"/>
        </w:rPr>
      </w:pPr>
    </w:p>
    <w:p w:rsidR="00BF671E" w:rsidRPr="00AD24C5" w:rsidRDefault="00BF671E" w:rsidP="00BF671E">
      <w:pPr>
        <w:spacing w:line="360" w:lineRule="auto"/>
        <w:ind w:right="113"/>
        <w:jc w:val="both"/>
        <w:rPr>
          <w:rFonts w:ascii="Palatino Linotype" w:hAnsi="Palatino Linotype" w:cs="Arial"/>
          <w:bCs/>
          <w:sz w:val="24"/>
          <w:szCs w:val="24"/>
        </w:rPr>
      </w:pPr>
      <w:r w:rsidRPr="00AD24C5">
        <w:rPr>
          <w:rFonts w:ascii="Palatino Linotype" w:hAnsi="Palatino Linotype" w:cs="Arial"/>
          <w:b/>
          <w:bCs/>
          <w:sz w:val="24"/>
          <w:szCs w:val="24"/>
        </w:rPr>
        <w:t>PRIMERO</w:t>
      </w:r>
      <w:r w:rsidRPr="00AD24C5">
        <w:rPr>
          <w:rFonts w:ascii="Palatino Linotype" w:hAnsi="Palatino Linotype" w:cs="Arial"/>
          <w:sz w:val="24"/>
          <w:szCs w:val="24"/>
        </w:rPr>
        <w:t>. Resultan fundadas las</w:t>
      </w:r>
      <w:r w:rsidRPr="00AD24C5">
        <w:rPr>
          <w:rFonts w:ascii="Palatino Linotype" w:hAnsi="Palatino Linotype" w:cs="Arial"/>
          <w:b/>
          <w:sz w:val="24"/>
          <w:szCs w:val="24"/>
        </w:rPr>
        <w:t xml:space="preserve"> </w:t>
      </w:r>
      <w:r w:rsidRPr="00AD24C5">
        <w:rPr>
          <w:rFonts w:ascii="Palatino Linotype" w:hAnsi="Palatino Linotype" w:cs="Arial"/>
          <w:sz w:val="24"/>
          <w:szCs w:val="24"/>
        </w:rPr>
        <w:t xml:space="preserve">razones o motivos de inconformidad hechos valer </w:t>
      </w:r>
      <w:r w:rsidRPr="00AD24C5">
        <w:rPr>
          <w:rFonts w:ascii="Palatino Linotype" w:eastAsia="Calibri" w:hAnsi="Palatino Linotype" w:cs="Arial"/>
          <w:sz w:val="24"/>
          <w:szCs w:val="24"/>
        </w:rPr>
        <w:t xml:space="preserve">en el Recurso de Revisión </w:t>
      </w:r>
      <w:r w:rsidR="008944A5" w:rsidRPr="008944A5">
        <w:rPr>
          <w:rFonts w:ascii="Palatino Linotype" w:hAnsi="Palatino Linotype"/>
          <w:b/>
          <w:bCs/>
          <w:sz w:val="24"/>
          <w:szCs w:val="24"/>
        </w:rPr>
        <w:t>05678/INFOEM/IP/RR/2025</w:t>
      </w:r>
      <w:r w:rsidRPr="00AD24C5">
        <w:rPr>
          <w:rFonts w:ascii="Palatino Linotype" w:hAnsi="Palatino Linotype" w:cs="Arial"/>
          <w:b/>
          <w:bCs/>
          <w:sz w:val="24"/>
          <w:szCs w:val="24"/>
        </w:rPr>
        <w:t xml:space="preserve">, </w:t>
      </w:r>
      <w:r w:rsidRPr="00AD24C5">
        <w:rPr>
          <w:rFonts w:ascii="Palatino Linotype" w:hAnsi="Palatino Linotype" w:cs="Arial"/>
          <w:bCs/>
          <w:sz w:val="24"/>
          <w:szCs w:val="24"/>
        </w:rPr>
        <w:t xml:space="preserve">en términos del </w:t>
      </w:r>
      <w:r w:rsidRPr="00AD24C5">
        <w:rPr>
          <w:rFonts w:ascii="Palatino Linotype" w:hAnsi="Palatino Linotype" w:cs="Arial"/>
          <w:b/>
          <w:bCs/>
          <w:sz w:val="24"/>
          <w:szCs w:val="24"/>
        </w:rPr>
        <w:t xml:space="preserve">Considerando Cuarto y Quinto </w:t>
      </w:r>
      <w:r w:rsidRPr="00AD24C5">
        <w:rPr>
          <w:rFonts w:ascii="Palatino Linotype" w:hAnsi="Palatino Linotype" w:cs="Arial"/>
          <w:bCs/>
          <w:sz w:val="24"/>
          <w:szCs w:val="24"/>
        </w:rPr>
        <w:t>de la presente resolución.</w:t>
      </w:r>
    </w:p>
    <w:p w:rsidR="00BF671E" w:rsidRPr="00AD24C5" w:rsidRDefault="00BF671E" w:rsidP="00BF671E">
      <w:pPr>
        <w:spacing w:line="360" w:lineRule="auto"/>
        <w:ind w:right="113"/>
        <w:jc w:val="both"/>
        <w:rPr>
          <w:rFonts w:ascii="Palatino Linotype" w:hAnsi="Palatino Linotype" w:cs="Arial"/>
          <w:sz w:val="24"/>
          <w:szCs w:val="24"/>
        </w:rPr>
      </w:pPr>
    </w:p>
    <w:p w:rsidR="00BF671E" w:rsidRPr="00AD24C5" w:rsidRDefault="00BF671E" w:rsidP="00BF671E">
      <w:pPr>
        <w:spacing w:line="360" w:lineRule="auto"/>
        <w:ind w:right="113"/>
        <w:jc w:val="both"/>
        <w:rPr>
          <w:rFonts w:ascii="Palatino Linotype" w:eastAsia="MS Mincho" w:hAnsi="Palatino Linotype"/>
          <w:color w:val="000000" w:themeColor="text1"/>
          <w:sz w:val="24"/>
          <w:szCs w:val="24"/>
        </w:rPr>
      </w:pPr>
      <w:r w:rsidRPr="00AD24C5">
        <w:rPr>
          <w:rFonts w:ascii="Palatino Linotype" w:hAnsi="Palatino Linotype"/>
          <w:b/>
          <w:sz w:val="24"/>
          <w:szCs w:val="24"/>
        </w:rPr>
        <w:t>SEGUNDO.</w:t>
      </w:r>
      <w:r w:rsidRPr="00AD24C5">
        <w:rPr>
          <w:rStyle w:val="Ttulo2Car"/>
          <w:rFonts w:ascii="Palatino Linotype" w:hAnsi="Palatino Linotype"/>
          <w:sz w:val="24"/>
          <w:szCs w:val="24"/>
        </w:rPr>
        <w:t xml:space="preserve"> </w:t>
      </w:r>
      <w:r w:rsidRPr="00AD24C5">
        <w:rPr>
          <w:rFonts w:ascii="Palatino Linotype" w:eastAsia="MS Mincho" w:hAnsi="Palatino Linotype"/>
          <w:color w:val="000000" w:themeColor="text1"/>
          <w:sz w:val="24"/>
          <w:szCs w:val="24"/>
        </w:rPr>
        <w:t xml:space="preserve">Se </w:t>
      </w:r>
      <w:r w:rsidRPr="00AD24C5">
        <w:rPr>
          <w:rFonts w:ascii="Palatino Linotype" w:eastAsia="MS Mincho" w:hAnsi="Palatino Linotype"/>
          <w:b/>
          <w:color w:val="000000" w:themeColor="text1"/>
          <w:sz w:val="24"/>
          <w:szCs w:val="24"/>
        </w:rPr>
        <w:t xml:space="preserve">REVOCA </w:t>
      </w:r>
      <w:r w:rsidRPr="00AD24C5">
        <w:rPr>
          <w:rFonts w:ascii="Palatino Linotype" w:eastAsia="MS Mincho" w:hAnsi="Palatino Linotype"/>
          <w:color w:val="000000" w:themeColor="text1"/>
          <w:sz w:val="24"/>
          <w:szCs w:val="24"/>
        </w:rPr>
        <w:t xml:space="preserve">la respuesta emitida por el </w:t>
      </w:r>
      <w:r w:rsidRPr="00AD24C5">
        <w:rPr>
          <w:rFonts w:ascii="Palatino Linotype" w:eastAsia="MS Mincho" w:hAnsi="Palatino Linotype"/>
          <w:b/>
          <w:bCs/>
          <w:color w:val="000000" w:themeColor="text1"/>
          <w:sz w:val="24"/>
          <w:szCs w:val="24"/>
        </w:rPr>
        <w:t xml:space="preserve">Ayuntamiento de Toluca </w:t>
      </w:r>
      <w:r w:rsidRPr="00AD24C5">
        <w:rPr>
          <w:rFonts w:ascii="Palatino Linotype" w:eastAsia="MS Mincho" w:hAnsi="Palatino Linotype"/>
          <w:color w:val="000000" w:themeColor="text1"/>
          <w:sz w:val="24"/>
          <w:szCs w:val="24"/>
        </w:rPr>
        <w:t xml:space="preserve">y se </w:t>
      </w:r>
      <w:r w:rsidRPr="00AD24C5">
        <w:rPr>
          <w:rFonts w:ascii="Palatino Linotype" w:eastAsia="MS Mincho" w:hAnsi="Palatino Linotype"/>
          <w:b/>
          <w:color w:val="000000" w:themeColor="text1"/>
          <w:sz w:val="24"/>
          <w:szCs w:val="24"/>
        </w:rPr>
        <w:t>ORDENA</w:t>
      </w:r>
      <w:r w:rsidRPr="00AD24C5">
        <w:rPr>
          <w:rFonts w:ascii="Palatino Linotype" w:eastAsia="MS Mincho" w:hAnsi="Palatino Linotype"/>
          <w:color w:val="000000" w:themeColor="text1"/>
          <w:sz w:val="24"/>
          <w:szCs w:val="24"/>
        </w:rPr>
        <w:t xml:space="preserve"> entregar vía Sistema de Acceso a la Información Mexiquense </w:t>
      </w:r>
      <w:r w:rsidR="00C11A16">
        <w:rPr>
          <w:rFonts w:ascii="Palatino Linotype" w:eastAsia="MS Mincho" w:hAnsi="Palatino Linotype"/>
          <w:b/>
          <w:color w:val="000000" w:themeColor="text1"/>
          <w:sz w:val="24"/>
          <w:szCs w:val="24"/>
        </w:rPr>
        <w:t>(SAIMEX),</w:t>
      </w:r>
      <w:r w:rsidRPr="00AD24C5">
        <w:rPr>
          <w:rFonts w:ascii="Palatino Linotype" w:eastAsia="MS Mincho" w:hAnsi="Palatino Linotype"/>
          <w:color w:val="000000" w:themeColor="text1"/>
          <w:sz w:val="24"/>
          <w:szCs w:val="24"/>
        </w:rPr>
        <w:t xml:space="preserve"> de ser procedente en versión pública, lo siguiente:</w:t>
      </w:r>
    </w:p>
    <w:p w:rsidR="00BA38D5" w:rsidRPr="00AD24C5" w:rsidRDefault="00BA38D5" w:rsidP="00BF671E">
      <w:pPr>
        <w:spacing w:line="360" w:lineRule="auto"/>
        <w:ind w:right="113"/>
        <w:jc w:val="both"/>
        <w:rPr>
          <w:rFonts w:ascii="Palatino Linotype" w:eastAsia="MS Mincho" w:hAnsi="Palatino Linotype"/>
          <w:color w:val="000000" w:themeColor="text1"/>
          <w:sz w:val="24"/>
          <w:szCs w:val="24"/>
        </w:rPr>
      </w:pPr>
    </w:p>
    <w:p w:rsidR="00BA38D5" w:rsidRPr="008944A5" w:rsidRDefault="00BA38D5" w:rsidP="008944A5">
      <w:pPr>
        <w:spacing w:line="276" w:lineRule="auto"/>
        <w:ind w:left="284" w:right="539"/>
        <w:jc w:val="both"/>
        <w:rPr>
          <w:rFonts w:ascii="Palatino Linotype" w:eastAsia="Calibri" w:hAnsi="Palatino Linotype" w:cs="Arial"/>
          <w:b/>
          <w:sz w:val="24"/>
          <w:szCs w:val="24"/>
        </w:rPr>
      </w:pPr>
      <w:r w:rsidRPr="008944A5">
        <w:rPr>
          <w:rFonts w:ascii="Palatino Linotype" w:eastAsia="Calibri" w:hAnsi="Palatino Linotype" w:cs="Arial"/>
          <w:b/>
          <w:sz w:val="24"/>
          <w:szCs w:val="24"/>
        </w:rPr>
        <w:t>De la quincena que va del primero al quince de abril de dos mil veinticinco</w:t>
      </w:r>
      <w:r w:rsidR="008944A5" w:rsidRPr="008944A5">
        <w:rPr>
          <w:rFonts w:ascii="Palatino Linotype" w:eastAsia="Calibri" w:hAnsi="Palatino Linotype" w:cs="Arial"/>
          <w:b/>
          <w:sz w:val="24"/>
          <w:szCs w:val="24"/>
        </w:rPr>
        <w:t>:</w:t>
      </w:r>
    </w:p>
    <w:p w:rsidR="00BA38D5" w:rsidRPr="008944A5" w:rsidRDefault="00BA38D5" w:rsidP="00772106">
      <w:pPr>
        <w:spacing w:line="276" w:lineRule="auto"/>
        <w:ind w:right="539"/>
        <w:jc w:val="both"/>
        <w:rPr>
          <w:rFonts w:ascii="Palatino Linotype" w:eastAsia="Calibri" w:hAnsi="Palatino Linotype" w:cs="Arial"/>
          <w:b/>
          <w:sz w:val="24"/>
          <w:szCs w:val="24"/>
        </w:rPr>
      </w:pPr>
    </w:p>
    <w:p w:rsidR="00BA38D5" w:rsidRPr="008944A5" w:rsidRDefault="008944A5" w:rsidP="00BA38D5">
      <w:pPr>
        <w:pStyle w:val="Prrafodelista"/>
        <w:numPr>
          <w:ilvl w:val="0"/>
          <w:numId w:val="18"/>
        </w:numPr>
        <w:spacing w:line="276" w:lineRule="auto"/>
        <w:ind w:right="539"/>
        <w:jc w:val="both"/>
        <w:rPr>
          <w:rFonts w:ascii="Palatino Linotype" w:eastAsia="Calibri" w:hAnsi="Palatino Linotype" w:cs="Arial"/>
          <w:b/>
          <w:sz w:val="24"/>
        </w:rPr>
      </w:pPr>
      <w:r>
        <w:rPr>
          <w:rFonts w:ascii="Palatino Linotype" w:eastAsia="Calibri" w:hAnsi="Palatino Linotype" w:cs="Arial"/>
          <w:b/>
          <w:sz w:val="24"/>
        </w:rPr>
        <w:t>S</w:t>
      </w:r>
      <w:r w:rsidR="00772106" w:rsidRPr="008944A5">
        <w:rPr>
          <w:rFonts w:ascii="Palatino Linotype" w:eastAsia="Calibri" w:hAnsi="Palatino Linotype" w:cs="Arial"/>
          <w:b/>
          <w:sz w:val="24"/>
        </w:rPr>
        <w:t xml:space="preserve">oporte documental que </w:t>
      </w:r>
      <w:r w:rsidR="00BA38D5" w:rsidRPr="008944A5">
        <w:rPr>
          <w:rFonts w:ascii="Palatino Linotype" w:eastAsia="Calibri" w:hAnsi="Palatino Linotype" w:cs="Arial"/>
          <w:b/>
          <w:sz w:val="24"/>
        </w:rPr>
        <w:t>dé</w:t>
      </w:r>
      <w:r w:rsidR="00772106" w:rsidRPr="008944A5">
        <w:rPr>
          <w:rFonts w:ascii="Palatino Linotype" w:eastAsia="Calibri" w:hAnsi="Palatino Linotype" w:cs="Arial"/>
          <w:b/>
          <w:sz w:val="24"/>
        </w:rPr>
        <w:t xml:space="preserve"> cue</w:t>
      </w:r>
      <w:r w:rsidR="00BA38D5" w:rsidRPr="008944A5">
        <w:rPr>
          <w:rFonts w:ascii="Palatino Linotype" w:eastAsia="Calibri" w:hAnsi="Palatino Linotype" w:cs="Arial"/>
          <w:b/>
          <w:sz w:val="24"/>
        </w:rPr>
        <w:t>n</w:t>
      </w:r>
      <w:r w:rsidR="00772106" w:rsidRPr="008944A5">
        <w:rPr>
          <w:rFonts w:ascii="Palatino Linotype" w:eastAsia="Calibri" w:hAnsi="Palatino Linotype" w:cs="Arial"/>
          <w:b/>
          <w:sz w:val="24"/>
        </w:rPr>
        <w:t xml:space="preserve">ta del pago realizado </w:t>
      </w:r>
      <w:r w:rsidR="00BA38D5" w:rsidRPr="008944A5">
        <w:rPr>
          <w:rFonts w:ascii="Palatino Linotype" w:eastAsia="Calibri" w:hAnsi="Palatino Linotype" w:cs="Arial"/>
          <w:b/>
          <w:sz w:val="24"/>
        </w:rPr>
        <w:t>a los servidores públicos de estructura, ya sea por cheque o transferencia.</w:t>
      </w:r>
    </w:p>
    <w:p w:rsidR="00BA38D5" w:rsidRPr="008944A5" w:rsidRDefault="00BA38D5" w:rsidP="00BA38D5">
      <w:pPr>
        <w:spacing w:line="276" w:lineRule="auto"/>
        <w:ind w:left="360" w:right="539"/>
        <w:jc w:val="both"/>
        <w:rPr>
          <w:rFonts w:ascii="Palatino Linotype" w:eastAsia="Calibri" w:hAnsi="Palatino Linotype" w:cs="Arial"/>
          <w:b/>
          <w:sz w:val="24"/>
          <w:szCs w:val="24"/>
        </w:rPr>
      </w:pPr>
    </w:p>
    <w:p w:rsidR="00772106" w:rsidRPr="008944A5" w:rsidRDefault="00BA38D5" w:rsidP="00BA38D5">
      <w:pPr>
        <w:pStyle w:val="Prrafodelista"/>
        <w:numPr>
          <w:ilvl w:val="0"/>
          <w:numId w:val="18"/>
        </w:numPr>
        <w:spacing w:line="276" w:lineRule="auto"/>
        <w:ind w:right="539"/>
        <w:jc w:val="both"/>
        <w:rPr>
          <w:rFonts w:ascii="Palatino Linotype" w:eastAsia="Calibri" w:hAnsi="Palatino Linotype" w:cs="Arial"/>
          <w:b/>
          <w:sz w:val="24"/>
        </w:rPr>
      </w:pPr>
      <w:r w:rsidRPr="008944A5">
        <w:rPr>
          <w:rFonts w:ascii="Palatino Linotype" w:eastAsia="Calibri" w:hAnsi="Palatino Linotype" w:cs="Arial"/>
          <w:b/>
          <w:sz w:val="24"/>
        </w:rPr>
        <w:t>Documento en donde conste o se advierta el uso o destino de los montos de los cheques no cobrados</w:t>
      </w:r>
    </w:p>
    <w:p w:rsidR="00BF671E" w:rsidRPr="00AD24C5" w:rsidRDefault="00BF671E" w:rsidP="00BF671E">
      <w:pPr>
        <w:pStyle w:val="Prrafodelista"/>
        <w:spacing w:line="360" w:lineRule="auto"/>
        <w:ind w:left="780" w:right="113"/>
        <w:jc w:val="both"/>
        <w:rPr>
          <w:rFonts w:ascii="Palatino Linotype" w:eastAsia="Calibri" w:hAnsi="Palatino Linotype" w:cs="Arial"/>
          <w:sz w:val="24"/>
        </w:rPr>
      </w:pPr>
    </w:p>
    <w:p w:rsidR="00BF671E" w:rsidRPr="00AD24C5" w:rsidRDefault="00BF671E" w:rsidP="00BF671E">
      <w:pPr>
        <w:spacing w:line="360" w:lineRule="auto"/>
        <w:ind w:right="113"/>
        <w:jc w:val="both"/>
        <w:rPr>
          <w:rFonts w:ascii="Palatino Linotype" w:eastAsia="Palatino Linotype" w:hAnsi="Palatino Linotype" w:cs="Palatino Linotype"/>
          <w:b/>
          <w:sz w:val="24"/>
          <w:szCs w:val="24"/>
        </w:rPr>
      </w:pPr>
      <w:r w:rsidRPr="00AD24C5">
        <w:rPr>
          <w:rFonts w:ascii="Palatino Linotype" w:eastAsia="Palatino Linotype" w:hAnsi="Palatino Linotype" w:cs="Palatino Linotype"/>
          <w:sz w:val="24"/>
          <w:szCs w:val="24"/>
        </w:rPr>
        <w:t xml:space="preserve">Para efectos de lo anterior, se deberá emitir el Acuerdo del Comité de Transparencia en términos de los artículos 49, fracción VIII y 132, fracción II de la Ley de Transparencia y </w:t>
      </w:r>
      <w:r w:rsidRPr="00AD24C5">
        <w:rPr>
          <w:rFonts w:ascii="Palatino Linotype" w:eastAsia="Palatino Linotype" w:hAnsi="Palatino Linotype" w:cs="Palatino Linotype"/>
          <w:sz w:val="24"/>
          <w:szCs w:val="24"/>
        </w:rPr>
        <w:lastRenderedPageBreak/>
        <w:t xml:space="preserve">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AD24C5">
        <w:rPr>
          <w:rFonts w:ascii="Palatino Linotype" w:eastAsia="Palatino Linotype" w:hAnsi="Palatino Linotype" w:cs="Palatino Linotype"/>
          <w:b/>
          <w:sz w:val="24"/>
          <w:szCs w:val="24"/>
        </w:rPr>
        <w:t>RECURRENTE.</w:t>
      </w:r>
    </w:p>
    <w:p w:rsidR="00BF671E" w:rsidRPr="00AD24C5" w:rsidRDefault="00BF671E" w:rsidP="00BF671E">
      <w:pPr>
        <w:ind w:right="113"/>
        <w:rPr>
          <w:rFonts w:ascii="Palatino Linotype" w:hAnsi="Palatino Linotype"/>
          <w:i/>
          <w:color w:val="000000"/>
          <w:sz w:val="24"/>
          <w:szCs w:val="24"/>
        </w:rPr>
      </w:pPr>
    </w:p>
    <w:p w:rsidR="00BA38D5" w:rsidRPr="00AD24C5" w:rsidRDefault="00BA38D5" w:rsidP="00BA38D5">
      <w:pPr>
        <w:tabs>
          <w:tab w:val="left" w:pos="2947"/>
        </w:tabs>
        <w:spacing w:line="360" w:lineRule="auto"/>
        <w:ind w:right="113"/>
        <w:jc w:val="both"/>
        <w:rPr>
          <w:rFonts w:ascii="Palatino Linotype" w:eastAsia="Calibri" w:hAnsi="Palatino Linotype" w:cs="Arial"/>
          <w:sz w:val="24"/>
          <w:szCs w:val="24"/>
          <w:lang w:val="es-ES_tradnl"/>
        </w:rPr>
      </w:pPr>
      <w:r w:rsidRPr="00AD24C5">
        <w:rPr>
          <w:rFonts w:ascii="Palatino Linotype" w:eastAsia="Calibri" w:hAnsi="Palatino Linotype" w:cs="Arial"/>
          <w:sz w:val="24"/>
          <w:szCs w:val="24"/>
          <w:lang w:val="es-ES_tradnl"/>
        </w:rPr>
        <w:t>Para el caso de que la información que se ordena entregar en el inciso b) no obre en algún soporte documental que dé cuenta de lo solicitado, bastará que, de forma clara y precisa, se haga del conocimiento del Particular.</w:t>
      </w:r>
    </w:p>
    <w:p w:rsidR="00BF671E" w:rsidRPr="00AD24C5" w:rsidRDefault="00BF671E" w:rsidP="00BF671E">
      <w:pPr>
        <w:tabs>
          <w:tab w:val="left" w:pos="2947"/>
        </w:tabs>
        <w:spacing w:line="360" w:lineRule="auto"/>
        <w:ind w:right="113"/>
        <w:jc w:val="both"/>
        <w:rPr>
          <w:rFonts w:ascii="Palatino Linotype" w:eastAsia="Calibri" w:hAnsi="Palatino Linotype" w:cs="Arial"/>
          <w:sz w:val="24"/>
          <w:szCs w:val="24"/>
        </w:rPr>
      </w:pPr>
      <w:r w:rsidRPr="00AD24C5">
        <w:rPr>
          <w:rFonts w:ascii="Palatino Linotype" w:eastAsia="Calibri" w:hAnsi="Palatino Linotype" w:cs="Arial"/>
          <w:sz w:val="24"/>
          <w:szCs w:val="24"/>
        </w:rPr>
        <w:tab/>
      </w:r>
    </w:p>
    <w:p w:rsidR="00BF671E" w:rsidRPr="00AD24C5" w:rsidRDefault="00BF671E" w:rsidP="00BF671E">
      <w:pPr>
        <w:tabs>
          <w:tab w:val="left" w:pos="8080"/>
        </w:tabs>
        <w:spacing w:line="360" w:lineRule="auto"/>
        <w:ind w:right="113"/>
        <w:jc w:val="both"/>
        <w:rPr>
          <w:rFonts w:ascii="Palatino Linotype" w:eastAsia="Palatino Linotype" w:hAnsi="Palatino Linotype" w:cs="Palatino Linotype"/>
          <w:color w:val="222222"/>
          <w:sz w:val="24"/>
          <w:szCs w:val="24"/>
        </w:rPr>
      </w:pPr>
      <w:r w:rsidRPr="00AD24C5">
        <w:rPr>
          <w:rFonts w:ascii="Palatino Linotype" w:hAnsi="Palatino Linotype" w:cs="Arial"/>
          <w:b/>
          <w:bCs/>
          <w:sz w:val="24"/>
          <w:szCs w:val="24"/>
        </w:rPr>
        <w:t xml:space="preserve">TERCERO. </w:t>
      </w:r>
      <w:r w:rsidRPr="00AD24C5">
        <w:rPr>
          <w:rFonts w:ascii="Palatino Linotype" w:eastAsia="Palatino Linotype" w:hAnsi="Palatino Linotype" w:cs="Palatino Linotype"/>
          <w:b/>
          <w:color w:val="222222"/>
          <w:sz w:val="24"/>
          <w:szCs w:val="24"/>
        </w:rPr>
        <w:t xml:space="preserve">NOTIFÍQUESE </w:t>
      </w:r>
      <w:r w:rsidRPr="00AD24C5">
        <w:rPr>
          <w:rFonts w:ascii="Palatino Linotype" w:eastAsia="Palatino Linotype" w:hAnsi="Palatino Linotype" w:cs="Palatino Linotype"/>
          <w:color w:val="222222"/>
          <w:sz w:val="24"/>
          <w:szCs w:val="24"/>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AD24C5">
        <w:rPr>
          <w:rFonts w:ascii="Palatino Linotype" w:eastAsia="Palatino Linotype" w:hAnsi="Palatino Linotype" w:cs="Palatino Linotype"/>
          <w:b/>
          <w:color w:val="222222"/>
          <w:sz w:val="24"/>
          <w:szCs w:val="24"/>
        </w:rPr>
        <w:t xml:space="preserve">dé cumplimiento a lo ordenado dentro del plazo de diez días hábiles, </w:t>
      </w:r>
      <w:r w:rsidRPr="00AD24C5">
        <w:rPr>
          <w:rFonts w:ascii="Palatino Linotype" w:eastAsia="Palatino Linotype" w:hAnsi="Palatino Linotype" w:cs="Palatino Linotype"/>
          <w:color w:val="222222"/>
          <w:sz w:val="24"/>
          <w:szCs w:val="24"/>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BF671E" w:rsidRPr="00AD24C5" w:rsidRDefault="00BF671E" w:rsidP="00BF671E">
      <w:pPr>
        <w:spacing w:line="360" w:lineRule="auto"/>
        <w:ind w:right="113"/>
        <w:jc w:val="both"/>
        <w:rPr>
          <w:rFonts w:ascii="Palatino Linotype" w:hAnsi="Palatino Linotype" w:cs="Arial"/>
          <w:bCs/>
          <w:sz w:val="24"/>
          <w:szCs w:val="24"/>
        </w:rPr>
      </w:pPr>
    </w:p>
    <w:p w:rsidR="00BF671E" w:rsidRPr="00AD24C5" w:rsidRDefault="00BF671E" w:rsidP="00BF671E">
      <w:pPr>
        <w:spacing w:line="360" w:lineRule="auto"/>
        <w:ind w:right="113"/>
        <w:jc w:val="both"/>
        <w:rPr>
          <w:rFonts w:ascii="Palatino Linotype" w:eastAsia="Calibri" w:hAnsi="Palatino Linotype" w:cs="Arial"/>
          <w:bCs/>
          <w:sz w:val="24"/>
          <w:szCs w:val="24"/>
        </w:rPr>
      </w:pPr>
      <w:r w:rsidRPr="00AD24C5">
        <w:rPr>
          <w:rFonts w:ascii="Palatino Linotype" w:hAnsi="Palatino Linotype" w:cs="Arial"/>
          <w:b/>
          <w:sz w:val="24"/>
          <w:szCs w:val="24"/>
        </w:rPr>
        <w:t xml:space="preserve">CUARTO. </w:t>
      </w:r>
      <w:r w:rsidRPr="00AD24C5">
        <w:rPr>
          <w:rFonts w:ascii="Palatino Linotype" w:eastAsia="Calibri" w:hAnsi="Palatino Linotype" w:cs="Arial"/>
          <w:bCs/>
          <w:sz w:val="24"/>
          <w:szCs w:val="24"/>
        </w:rPr>
        <w:t xml:space="preserve">De conformidad con el artículo 198 de la Ley de Transparencia y Acceso a la Información Pública del Estado de México y Municipios, de considerarlo procedente, el </w:t>
      </w:r>
      <w:r w:rsidRPr="00AD24C5">
        <w:rPr>
          <w:rFonts w:ascii="Palatino Linotype" w:eastAsia="Calibri" w:hAnsi="Palatino Linotype" w:cs="Arial"/>
          <w:bCs/>
          <w:sz w:val="24"/>
          <w:szCs w:val="24"/>
        </w:rPr>
        <w:lastRenderedPageBreak/>
        <w:t>Sujeto Obligado de manera fundada y motivada, podrá solicitar una ampliación de plazo para el cumplimiento de la presente resolución.</w:t>
      </w:r>
    </w:p>
    <w:p w:rsidR="00BF671E" w:rsidRPr="00AD24C5" w:rsidRDefault="00BF671E" w:rsidP="00BF671E">
      <w:pPr>
        <w:spacing w:line="360" w:lineRule="auto"/>
        <w:ind w:right="113"/>
        <w:jc w:val="both"/>
        <w:rPr>
          <w:rFonts w:ascii="Palatino Linotype" w:eastAsia="Calibri" w:hAnsi="Palatino Linotype" w:cs="Arial"/>
          <w:bCs/>
          <w:sz w:val="24"/>
          <w:szCs w:val="24"/>
        </w:rPr>
      </w:pPr>
    </w:p>
    <w:p w:rsidR="00BF671E" w:rsidRPr="00AD24C5" w:rsidRDefault="00BF671E" w:rsidP="00BF671E">
      <w:pPr>
        <w:autoSpaceDE w:val="0"/>
        <w:autoSpaceDN w:val="0"/>
        <w:adjustRightInd w:val="0"/>
        <w:spacing w:line="360" w:lineRule="auto"/>
        <w:ind w:right="113"/>
        <w:jc w:val="both"/>
        <w:rPr>
          <w:rFonts w:ascii="Palatino Linotype" w:hAnsi="Palatino Linotype"/>
          <w:sz w:val="24"/>
          <w:szCs w:val="24"/>
        </w:rPr>
      </w:pPr>
      <w:r w:rsidRPr="00AD24C5">
        <w:rPr>
          <w:rFonts w:ascii="Palatino Linotype" w:hAnsi="Palatino Linotype" w:cs="Arial"/>
          <w:b/>
          <w:sz w:val="24"/>
          <w:szCs w:val="24"/>
        </w:rPr>
        <w:t xml:space="preserve">QUINTO. </w:t>
      </w:r>
      <w:r w:rsidRPr="00AD24C5">
        <w:rPr>
          <w:rFonts w:ascii="Palatino Linotype" w:hAnsi="Palatino Linotype"/>
          <w:b/>
          <w:bCs/>
          <w:color w:val="222222"/>
          <w:sz w:val="24"/>
          <w:szCs w:val="24"/>
        </w:rPr>
        <w:t xml:space="preserve">Notifíquese </w:t>
      </w:r>
      <w:r w:rsidRPr="00AD24C5">
        <w:rPr>
          <w:rFonts w:ascii="Palatino Linotype" w:hAnsi="Palatino Linotype"/>
          <w:bCs/>
          <w:color w:val="222222"/>
          <w:sz w:val="24"/>
          <w:szCs w:val="24"/>
        </w:rPr>
        <w:t xml:space="preserve">a </w:t>
      </w:r>
      <w:r w:rsidRPr="00AD24C5">
        <w:rPr>
          <w:rFonts w:ascii="Palatino Linotype" w:hAnsi="Palatino Linotype"/>
          <w:b/>
          <w:sz w:val="24"/>
          <w:szCs w:val="24"/>
        </w:rPr>
        <w:t>LA</w:t>
      </w:r>
      <w:r w:rsidRPr="00AD24C5">
        <w:rPr>
          <w:rFonts w:ascii="Palatino Linotype" w:eastAsia="Calibri" w:hAnsi="Palatino Linotype" w:cs="Arial"/>
          <w:b/>
          <w:sz w:val="24"/>
          <w:szCs w:val="24"/>
        </w:rPr>
        <w:t xml:space="preserve"> RECURRENTE</w:t>
      </w:r>
      <w:r w:rsidRPr="00AD24C5">
        <w:rPr>
          <w:rFonts w:ascii="Palatino Linotype" w:hAnsi="Palatino Linotype"/>
          <w:sz w:val="24"/>
          <w:szCs w:val="24"/>
        </w:rPr>
        <w:t xml:space="preserve"> la presente resolución, vía SAIMEX.</w:t>
      </w:r>
    </w:p>
    <w:p w:rsidR="00BF671E" w:rsidRPr="00AD24C5" w:rsidRDefault="00BF671E" w:rsidP="00BF671E">
      <w:pPr>
        <w:autoSpaceDE w:val="0"/>
        <w:autoSpaceDN w:val="0"/>
        <w:adjustRightInd w:val="0"/>
        <w:spacing w:line="360" w:lineRule="auto"/>
        <w:ind w:right="113"/>
        <w:jc w:val="both"/>
        <w:rPr>
          <w:rFonts w:ascii="Palatino Linotype" w:hAnsi="Palatino Linotype"/>
          <w:sz w:val="24"/>
          <w:szCs w:val="24"/>
        </w:rPr>
      </w:pPr>
    </w:p>
    <w:p w:rsidR="00BF671E" w:rsidRPr="00AD24C5" w:rsidRDefault="00BF671E" w:rsidP="00BF671E">
      <w:pPr>
        <w:autoSpaceDE w:val="0"/>
        <w:autoSpaceDN w:val="0"/>
        <w:adjustRightInd w:val="0"/>
        <w:spacing w:line="360" w:lineRule="auto"/>
        <w:ind w:right="113"/>
        <w:jc w:val="both"/>
        <w:rPr>
          <w:rFonts w:ascii="Palatino Linotype" w:eastAsia="Palatino Linotype" w:hAnsi="Palatino Linotype" w:cs="Palatino Linotype"/>
          <w:sz w:val="24"/>
          <w:szCs w:val="24"/>
        </w:rPr>
      </w:pPr>
      <w:r w:rsidRPr="00AD24C5">
        <w:rPr>
          <w:rFonts w:ascii="Palatino Linotype" w:eastAsia="MS Mincho" w:hAnsi="Palatino Linotype"/>
          <w:b/>
          <w:sz w:val="24"/>
          <w:szCs w:val="24"/>
        </w:rPr>
        <w:t>SEXTO.</w:t>
      </w:r>
      <w:r w:rsidRPr="00AD24C5">
        <w:rPr>
          <w:rFonts w:ascii="Palatino Linotype" w:eastAsia="MS Mincho" w:hAnsi="Palatino Linotype"/>
          <w:sz w:val="24"/>
          <w:szCs w:val="24"/>
        </w:rPr>
        <w:t xml:space="preserve"> </w:t>
      </w:r>
      <w:r w:rsidRPr="00AD24C5">
        <w:rPr>
          <w:rFonts w:ascii="Palatino Linotype" w:hAnsi="Palatino Linotype"/>
          <w:sz w:val="24"/>
          <w:szCs w:val="24"/>
          <w:lang w:eastAsia="es-MX"/>
        </w:rPr>
        <w:t xml:space="preserve">Se hace del conocimiento de </w:t>
      </w:r>
      <w:r w:rsidRPr="00AD24C5">
        <w:rPr>
          <w:rFonts w:ascii="Palatino Linotype" w:hAnsi="Palatino Linotype"/>
          <w:b/>
          <w:sz w:val="24"/>
          <w:szCs w:val="24"/>
          <w:lang w:eastAsia="es-MX"/>
        </w:rPr>
        <w:t>LA RECURRENTE</w:t>
      </w:r>
      <w:r w:rsidRPr="00AD24C5">
        <w:rPr>
          <w:rFonts w:ascii="Palatino Linotype" w:hAnsi="Palatino Linotype"/>
          <w:sz w:val="24"/>
          <w:szCs w:val="24"/>
          <w:lang w:eastAsia="es-MX"/>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AD24C5">
        <w:rPr>
          <w:rFonts w:ascii="Palatino Linotype" w:hAnsi="Palatino Linotype"/>
          <w:bCs/>
          <w:sz w:val="24"/>
          <w:szCs w:val="24"/>
          <w:lang w:eastAsia="es-MX"/>
        </w:rPr>
        <w:t>vía juicio de amparo</w:t>
      </w:r>
      <w:r w:rsidRPr="00AD24C5">
        <w:rPr>
          <w:rFonts w:ascii="Palatino Linotype" w:hAnsi="Palatino Linotype"/>
          <w:sz w:val="24"/>
          <w:szCs w:val="24"/>
          <w:lang w:eastAsia="es-MX"/>
        </w:rPr>
        <w:t> en los términos de las leyes aplicables</w:t>
      </w:r>
      <w:r w:rsidRPr="00AD24C5">
        <w:rPr>
          <w:rFonts w:ascii="Palatino Linotype" w:eastAsia="Palatino Linotype" w:hAnsi="Palatino Linotype" w:cs="Palatino Linotype"/>
          <w:sz w:val="24"/>
          <w:szCs w:val="24"/>
        </w:rPr>
        <w:t>.</w:t>
      </w:r>
    </w:p>
    <w:p w:rsidR="00BF671E" w:rsidRPr="00AD24C5" w:rsidRDefault="00BF671E" w:rsidP="00BF671E">
      <w:pPr>
        <w:autoSpaceDE w:val="0"/>
        <w:autoSpaceDN w:val="0"/>
        <w:adjustRightInd w:val="0"/>
        <w:spacing w:line="360" w:lineRule="auto"/>
        <w:ind w:right="113"/>
        <w:jc w:val="both"/>
        <w:rPr>
          <w:rFonts w:ascii="Palatino Linotype" w:eastAsia="MS Mincho" w:hAnsi="Palatino Linotype"/>
          <w:sz w:val="24"/>
          <w:szCs w:val="24"/>
        </w:rPr>
      </w:pPr>
    </w:p>
    <w:p w:rsidR="00C11A16" w:rsidRPr="00C11A16" w:rsidRDefault="00C11A16" w:rsidP="008C1874">
      <w:pPr>
        <w:spacing w:before="240" w:after="240" w:line="360" w:lineRule="auto"/>
        <w:ind w:firstLine="1"/>
        <w:jc w:val="both"/>
        <w:rPr>
          <w:rFonts w:ascii="Palatino Linotype" w:hAnsi="Palatino Linotype"/>
          <w:sz w:val="24"/>
        </w:rPr>
      </w:pPr>
      <w:bookmarkStart w:id="10" w:name="_Hlk99014733"/>
      <w:bookmarkEnd w:id="8"/>
      <w:r w:rsidRPr="00C11A16">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w:t>
      </w:r>
      <w:r w:rsidR="008C1874">
        <w:rPr>
          <w:rFonts w:ascii="Palatino Linotype" w:hAnsi="Palatino Linotype"/>
          <w:sz w:val="24"/>
        </w:rPr>
        <w:t xml:space="preserve">EMITIENDO VOTO PARTICULAR </w:t>
      </w:r>
      <w:r w:rsidRPr="00C11A16">
        <w:rPr>
          <w:rFonts w:ascii="Palatino Linotype" w:hAnsi="Palatino Linotype" w:cs="Palatino Linotype"/>
          <w:sz w:val="24"/>
        </w:rPr>
        <w:t xml:space="preserve">Y GUADALUPE RAMÍREZ PEÑA; EN LA QUINTA SESIÓN ORDINARIA, CELEBRADA EL ONCE (11) DE FEBRERO DE DOS MIL VEINTISÉIS, ANTE EL SECRETARIO TÉCNICO DEL PLENO </w:t>
      </w:r>
      <w:r w:rsidRPr="00C11A16">
        <w:rPr>
          <w:rFonts w:ascii="Palatino Linotype" w:hAnsi="Palatino Linotype" w:cs="Palatino Linotype"/>
          <w:color w:val="000000" w:themeColor="text1"/>
          <w:sz w:val="24"/>
        </w:rPr>
        <w:t>ALEXIS TAPIA RAMÍREZ.</w:t>
      </w:r>
    </w:p>
    <w:bookmarkEnd w:id="10"/>
    <w:p w:rsidR="00BF671E" w:rsidRPr="00C11A16" w:rsidRDefault="00BF671E" w:rsidP="00BF671E">
      <w:pPr>
        <w:rPr>
          <w:sz w:val="32"/>
          <w:szCs w:val="24"/>
        </w:rPr>
      </w:pPr>
    </w:p>
    <w:p w:rsidR="004C1780" w:rsidRDefault="004C1780">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Default="00592B53">
      <w:pPr>
        <w:rPr>
          <w:sz w:val="24"/>
          <w:szCs w:val="24"/>
        </w:rPr>
      </w:pPr>
    </w:p>
    <w:p w:rsidR="00592B53" w:rsidRPr="00AD24C5" w:rsidRDefault="00592B53">
      <w:pPr>
        <w:rPr>
          <w:sz w:val="24"/>
          <w:szCs w:val="24"/>
        </w:rPr>
      </w:pPr>
    </w:p>
    <w:sectPr w:rsidR="00592B53" w:rsidRPr="00AD24C5" w:rsidSect="00B27992">
      <w:headerReference w:type="even" r:id="rId16"/>
      <w:headerReference w:type="default" r:id="rId17"/>
      <w:footerReference w:type="default" r:id="rId18"/>
      <w:headerReference w:type="first" r:id="rId19"/>
      <w:footerReference w:type="first" r:id="rId20"/>
      <w:pgSz w:w="12240" w:h="15840"/>
      <w:pgMar w:top="80" w:right="900" w:bottom="1418" w:left="1843" w:header="709"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698" w:rsidRDefault="00124698" w:rsidP="00BF671E">
      <w:r>
        <w:separator/>
      </w:r>
    </w:p>
  </w:endnote>
  <w:endnote w:type="continuationSeparator" w:id="0">
    <w:p w:rsidR="00124698" w:rsidRDefault="00124698" w:rsidP="00BF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2259552"/>
      <w:docPartObj>
        <w:docPartGallery w:val="AutoText"/>
      </w:docPartObj>
    </w:sdtPr>
    <w:sdtEndPr/>
    <w:sdtContent>
      <w:sdt>
        <w:sdtPr>
          <w:id w:val="348449556"/>
          <w:docPartObj>
            <w:docPartGallery w:val="AutoText"/>
          </w:docPartObj>
        </w:sdtPr>
        <w:sdtEndPr/>
        <w:sdtContent>
          <w:p w:rsidR="004C1DAD" w:rsidRDefault="004C1DAD">
            <w:pPr>
              <w:pStyle w:val="Piedepgina"/>
              <w:jc w:val="right"/>
            </w:pPr>
          </w:p>
          <w:p w:rsidR="004C1DAD" w:rsidRDefault="004C1DAD">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474D44">
              <w:rPr>
                <w:b/>
                <w:bCs/>
                <w:noProof/>
              </w:rPr>
              <w:t>21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474D44">
              <w:rPr>
                <w:b/>
                <w:bCs/>
                <w:noProof/>
              </w:rPr>
              <w:t>56</w:t>
            </w:r>
            <w:r>
              <w:rPr>
                <w:b/>
                <w:bCs/>
                <w:sz w:val="24"/>
                <w:szCs w:val="24"/>
              </w:rPr>
              <w:fldChar w:fldCharType="end"/>
            </w:r>
          </w:p>
        </w:sdtContent>
      </w:sdt>
    </w:sdtContent>
  </w:sdt>
  <w:p w:rsidR="004C1DAD" w:rsidRDefault="004C1DAD">
    <w:pPr>
      <w:pStyle w:val="Piedepgina"/>
    </w:pPr>
  </w:p>
  <w:p w:rsidR="004C1DAD" w:rsidRDefault="004C1DAD"/>
  <w:p w:rsidR="004C1DAD" w:rsidRDefault="004C1DAD"/>
  <w:p w:rsidR="004C1DAD" w:rsidRDefault="004C1DA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1124007"/>
      <w:docPartObj>
        <w:docPartGallery w:val="AutoText"/>
      </w:docPartObj>
    </w:sdtPr>
    <w:sdtEndPr/>
    <w:sdtContent>
      <w:sdt>
        <w:sdtPr>
          <w:id w:val="-1393808712"/>
          <w:docPartObj>
            <w:docPartGallery w:val="AutoText"/>
          </w:docPartObj>
        </w:sdtPr>
        <w:sdtEndPr/>
        <w:sdtContent>
          <w:p w:rsidR="004C1DAD" w:rsidRDefault="004C1DAD">
            <w:pPr>
              <w:pStyle w:val="Piedepgina"/>
              <w:jc w:val="right"/>
            </w:pPr>
            <w:r w:rsidRPr="00B27992">
              <w:rPr>
                <w:rFonts w:ascii="Palatino Linotype" w:hAnsi="Palatino Linotype"/>
                <w:b/>
                <w:sz w:val="22"/>
                <w:szCs w:val="22"/>
                <w:lang w:val="es-ES"/>
              </w:rPr>
              <w:t xml:space="preserve">Página </w:t>
            </w:r>
            <w:r w:rsidRPr="00B27992">
              <w:rPr>
                <w:rFonts w:ascii="Palatino Linotype" w:hAnsi="Palatino Linotype"/>
                <w:b/>
                <w:bCs/>
                <w:sz w:val="22"/>
                <w:szCs w:val="22"/>
              </w:rPr>
              <w:fldChar w:fldCharType="begin"/>
            </w:r>
            <w:r w:rsidRPr="00B27992">
              <w:rPr>
                <w:rFonts w:ascii="Palatino Linotype" w:hAnsi="Palatino Linotype"/>
                <w:b/>
                <w:bCs/>
                <w:sz w:val="22"/>
                <w:szCs w:val="22"/>
              </w:rPr>
              <w:instrText>PAGE</w:instrText>
            </w:r>
            <w:r w:rsidRPr="00B27992">
              <w:rPr>
                <w:rFonts w:ascii="Palatino Linotype" w:hAnsi="Palatino Linotype"/>
                <w:b/>
                <w:bCs/>
                <w:sz w:val="22"/>
                <w:szCs w:val="22"/>
              </w:rPr>
              <w:fldChar w:fldCharType="separate"/>
            </w:r>
            <w:r w:rsidR="00474D44">
              <w:rPr>
                <w:rFonts w:ascii="Palatino Linotype" w:hAnsi="Palatino Linotype"/>
                <w:b/>
                <w:bCs/>
                <w:noProof/>
                <w:sz w:val="22"/>
                <w:szCs w:val="22"/>
              </w:rPr>
              <w:t>1</w:t>
            </w:r>
            <w:r w:rsidRPr="00B27992">
              <w:rPr>
                <w:rFonts w:ascii="Palatino Linotype" w:hAnsi="Palatino Linotype"/>
                <w:b/>
                <w:bCs/>
                <w:sz w:val="22"/>
                <w:szCs w:val="22"/>
              </w:rPr>
              <w:fldChar w:fldCharType="end"/>
            </w:r>
            <w:r w:rsidRPr="00B27992">
              <w:rPr>
                <w:rFonts w:ascii="Palatino Linotype" w:hAnsi="Palatino Linotype"/>
                <w:b/>
                <w:sz w:val="22"/>
                <w:szCs w:val="22"/>
                <w:lang w:val="es-ES"/>
              </w:rPr>
              <w:t xml:space="preserve"> de </w:t>
            </w:r>
            <w:r w:rsidRPr="00B27992">
              <w:rPr>
                <w:rFonts w:ascii="Palatino Linotype" w:hAnsi="Palatino Linotype"/>
                <w:b/>
                <w:bCs/>
                <w:sz w:val="22"/>
                <w:szCs w:val="22"/>
              </w:rPr>
              <w:fldChar w:fldCharType="begin"/>
            </w:r>
            <w:r w:rsidRPr="00B27992">
              <w:rPr>
                <w:rFonts w:ascii="Palatino Linotype" w:hAnsi="Palatino Linotype"/>
                <w:b/>
                <w:bCs/>
                <w:sz w:val="22"/>
                <w:szCs w:val="22"/>
              </w:rPr>
              <w:instrText>NUMPAGES</w:instrText>
            </w:r>
            <w:r w:rsidRPr="00B27992">
              <w:rPr>
                <w:rFonts w:ascii="Palatino Linotype" w:hAnsi="Palatino Linotype"/>
                <w:b/>
                <w:bCs/>
                <w:sz w:val="22"/>
                <w:szCs w:val="22"/>
              </w:rPr>
              <w:fldChar w:fldCharType="separate"/>
            </w:r>
            <w:r w:rsidR="00474D44">
              <w:rPr>
                <w:rFonts w:ascii="Palatino Linotype" w:hAnsi="Palatino Linotype"/>
                <w:b/>
                <w:bCs/>
                <w:noProof/>
                <w:sz w:val="22"/>
                <w:szCs w:val="22"/>
              </w:rPr>
              <w:t>56</w:t>
            </w:r>
            <w:r w:rsidRPr="00B27992">
              <w:rPr>
                <w:rFonts w:ascii="Palatino Linotype" w:hAnsi="Palatino Linotype"/>
                <w:b/>
                <w:bCs/>
                <w:sz w:val="22"/>
                <w:szCs w:val="22"/>
              </w:rPr>
              <w:fldChar w:fldCharType="end"/>
            </w:r>
          </w:p>
        </w:sdtContent>
      </w:sdt>
    </w:sdtContent>
  </w:sdt>
  <w:p w:rsidR="004C1DAD" w:rsidRDefault="004C1DAD">
    <w:pPr>
      <w:pStyle w:val="Piedepgina"/>
    </w:pPr>
  </w:p>
  <w:p w:rsidR="004C1DAD" w:rsidRDefault="004C1DAD"/>
  <w:p w:rsidR="004C1DAD" w:rsidRDefault="004C1DAD"/>
  <w:p w:rsidR="004C1DAD" w:rsidRDefault="004C1DA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698" w:rsidRDefault="00124698" w:rsidP="00BF671E">
      <w:r>
        <w:separator/>
      </w:r>
    </w:p>
  </w:footnote>
  <w:footnote w:type="continuationSeparator" w:id="0">
    <w:p w:rsidR="00124698" w:rsidRDefault="00124698" w:rsidP="00BF6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DAD" w:rsidRDefault="00124698">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0" o:spid="_x0000_s2049" type="#_x0000_t75" alt="" style="position:absolute;margin-left:0;margin-top:0;width:663.5pt;height:12in;z-index:-251659776;mso-wrap-edited:f;mso-width-percent:0;mso-height-percent:0;mso-position-horizontal:center;mso-position-horizontal-relative:margin;mso-position-vertical:center;mso-position-vertical-relative:margin;mso-width-percent:0;mso-height-percent:0" o:allowincell="f">
          <v:imagedata r:id="rId1" o:title="marcaaguaINFOEM"/>
          <w10:wrap anchorx="margin" anchory="margin"/>
        </v:shape>
      </w:pict>
    </w:r>
  </w:p>
  <w:p w:rsidR="004C1DAD" w:rsidRDefault="004C1DAD"/>
  <w:p w:rsidR="004C1DAD" w:rsidRDefault="004C1DAD"/>
  <w:p w:rsidR="004C1DAD" w:rsidRDefault="004C1DA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Look w:val="04A0" w:firstRow="1" w:lastRow="0" w:firstColumn="1" w:lastColumn="0" w:noHBand="0" w:noVBand="1"/>
    </w:tblPr>
    <w:tblGrid>
      <w:gridCol w:w="1843"/>
      <w:gridCol w:w="7938"/>
    </w:tblGrid>
    <w:tr w:rsidR="004C1DAD" w:rsidTr="00B27992">
      <w:trPr>
        <w:trHeight w:val="1435"/>
      </w:trPr>
      <w:tc>
        <w:tcPr>
          <w:tcW w:w="1843" w:type="dxa"/>
          <w:shd w:val="clear" w:color="auto" w:fill="auto"/>
        </w:tcPr>
        <w:p w:rsidR="004C1DAD" w:rsidRDefault="004C1DAD">
          <w:pPr>
            <w:tabs>
              <w:tab w:val="right" w:pos="4273"/>
            </w:tabs>
            <w:rPr>
              <w:rFonts w:ascii="Garamond" w:eastAsia="Calibri" w:hAnsi="Garamond"/>
              <w:sz w:val="16"/>
              <w:szCs w:val="16"/>
              <w:lang w:eastAsia="en-US"/>
            </w:rPr>
          </w:pPr>
          <w:r>
            <w:rPr>
              <w:rFonts w:ascii="Garamond" w:eastAsia="Calibri" w:hAnsi="Garamond"/>
              <w:sz w:val="16"/>
              <w:szCs w:val="16"/>
              <w:lang w:eastAsia="en-US"/>
            </w:rPr>
            <w:t xml:space="preserve"> </w:t>
          </w:r>
        </w:p>
      </w:tc>
      <w:tc>
        <w:tcPr>
          <w:tcW w:w="7938" w:type="dxa"/>
          <w:shd w:val="clear" w:color="auto" w:fill="auto"/>
        </w:tcPr>
        <w:tbl>
          <w:tblPr>
            <w:tblStyle w:val="Tablaconcuadrcula"/>
            <w:tblW w:w="6945" w:type="dxa"/>
            <w:tblInd w:w="15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4"/>
            <w:gridCol w:w="4111"/>
          </w:tblGrid>
          <w:tr w:rsidR="004C1DAD" w:rsidRPr="00B27992" w:rsidTr="00B27992">
            <w:trPr>
              <w:trHeight w:val="338"/>
            </w:trPr>
            <w:tc>
              <w:tcPr>
                <w:tcW w:w="2834" w:type="dxa"/>
              </w:tcPr>
              <w:p w:rsidR="004C1DAD" w:rsidRPr="00B27992" w:rsidRDefault="004C1DAD">
                <w:pPr>
                  <w:tabs>
                    <w:tab w:val="right" w:pos="8838"/>
                  </w:tabs>
                  <w:ind w:right="-105"/>
                  <w:rPr>
                    <w:rFonts w:ascii="Palatino Linotype" w:eastAsia="Calibri" w:hAnsi="Palatino Linotype" w:cs="Tahoma"/>
                    <w:b/>
                    <w:sz w:val="24"/>
                    <w:lang w:eastAsia="en-US"/>
                  </w:rPr>
                </w:pPr>
                <w:r w:rsidRPr="00B27992">
                  <w:rPr>
                    <w:rFonts w:ascii="Palatino Linotype" w:eastAsia="Calibri" w:hAnsi="Palatino Linotype" w:cs="Tahoma"/>
                    <w:b/>
                    <w:sz w:val="24"/>
                    <w:lang w:eastAsia="en-US"/>
                  </w:rPr>
                  <w:t>Recurso de Revisión:</w:t>
                </w:r>
              </w:p>
            </w:tc>
            <w:tc>
              <w:tcPr>
                <w:tcW w:w="4111" w:type="dxa"/>
              </w:tcPr>
              <w:p w:rsidR="004C1DAD" w:rsidRPr="00B27992" w:rsidRDefault="004C1DAD" w:rsidP="00B27992">
                <w:pPr>
                  <w:tabs>
                    <w:tab w:val="right" w:pos="8838"/>
                  </w:tabs>
                  <w:ind w:left="-108" w:right="-105"/>
                  <w:rPr>
                    <w:rFonts w:ascii="Palatino Linotype" w:eastAsia="Calibri" w:hAnsi="Palatino Linotype" w:cs="Tahoma"/>
                    <w:sz w:val="24"/>
                    <w:lang w:eastAsia="en-US"/>
                  </w:rPr>
                </w:pPr>
                <w:r w:rsidRPr="00B27992">
                  <w:rPr>
                    <w:rFonts w:ascii="Palatino Linotype" w:eastAsia="Calibri" w:hAnsi="Palatino Linotype" w:cs="Tahoma"/>
                    <w:bCs/>
                    <w:sz w:val="24"/>
                    <w:lang w:val="es-MX" w:eastAsia="en-US"/>
                  </w:rPr>
                  <w:t>05678/INFOEM/IP/RR/2025</w:t>
                </w:r>
              </w:p>
            </w:tc>
          </w:tr>
          <w:tr w:rsidR="004C1DAD" w:rsidRPr="00B27992" w:rsidTr="00B27992">
            <w:trPr>
              <w:trHeight w:val="283"/>
            </w:trPr>
            <w:tc>
              <w:tcPr>
                <w:tcW w:w="2834" w:type="dxa"/>
              </w:tcPr>
              <w:p w:rsidR="004C1DAD" w:rsidRPr="00B27992" w:rsidRDefault="004C1DAD">
                <w:pPr>
                  <w:tabs>
                    <w:tab w:val="right" w:pos="8838"/>
                  </w:tabs>
                  <w:ind w:right="-105"/>
                  <w:rPr>
                    <w:rFonts w:ascii="Palatino Linotype" w:eastAsia="Calibri" w:hAnsi="Palatino Linotype" w:cs="Tahoma"/>
                    <w:b/>
                    <w:sz w:val="24"/>
                    <w:lang w:eastAsia="en-US"/>
                  </w:rPr>
                </w:pPr>
                <w:bookmarkStart w:id="11" w:name="_Hlk33010189"/>
                <w:r w:rsidRPr="00B27992">
                  <w:rPr>
                    <w:rFonts w:ascii="Palatino Linotype" w:eastAsia="Calibri" w:hAnsi="Palatino Linotype" w:cs="Tahoma"/>
                    <w:b/>
                    <w:sz w:val="24"/>
                    <w:lang w:eastAsia="en-US"/>
                  </w:rPr>
                  <w:t>Sujeto Obligado:</w:t>
                </w:r>
              </w:p>
            </w:tc>
            <w:tc>
              <w:tcPr>
                <w:tcW w:w="4111" w:type="dxa"/>
              </w:tcPr>
              <w:p w:rsidR="004C1DAD" w:rsidRPr="00B27992" w:rsidRDefault="004C1DAD" w:rsidP="00B27992">
                <w:pPr>
                  <w:tabs>
                    <w:tab w:val="left" w:pos="2834"/>
                    <w:tab w:val="right" w:pos="8838"/>
                  </w:tabs>
                  <w:ind w:left="-108" w:right="-107"/>
                  <w:rPr>
                    <w:rFonts w:ascii="Palatino Linotype" w:hAnsi="Palatino Linotype"/>
                    <w:bCs/>
                    <w:color w:val="000000"/>
                    <w:sz w:val="24"/>
                    <w:lang w:val="es-MX"/>
                  </w:rPr>
                </w:pPr>
                <w:r w:rsidRPr="00B27992">
                  <w:rPr>
                    <w:rFonts w:ascii="Palatino Linotype" w:hAnsi="Palatino Linotype"/>
                    <w:bCs/>
                    <w:color w:val="000000"/>
                    <w:sz w:val="24"/>
                    <w:lang w:val="es-MX"/>
                  </w:rPr>
                  <w:t>Ayuntamiento de Toluca</w:t>
                </w:r>
              </w:p>
            </w:tc>
          </w:tr>
          <w:bookmarkEnd w:id="11"/>
          <w:tr w:rsidR="004C1DAD" w:rsidRPr="00B27992" w:rsidTr="00B27992">
            <w:trPr>
              <w:trHeight w:val="283"/>
            </w:trPr>
            <w:tc>
              <w:tcPr>
                <w:tcW w:w="2834" w:type="dxa"/>
              </w:tcPr>
              <w:p w:rsidR="004C1DAD" w:rsidRPr="00B27992" w:rsidRDefault="004C1DAD">
                <w:pPr>
                  <w:tabs>
                    <w:tab w:val="right" w:pos="8838"/>
                  </w:tabs>
                  <w:ind w:right="-105"/>
                  <w:rPr>
                    <w:rFonts w:ascii="Palatino Linotype" w:eastAsia="Calibri" w:hAnsi="Palatino Linotype" w:cs="Tahoma"/>
                    <w:b/>
                    <w:sz w:val="24"/>
                    <w:lang w:eastAsia="en-US"/>
                  </w:rPr>
                </w:pPr>
                <w:r w:rsidRPr="00B27992">
                  <w:rPr>
                    <w:rFonts w:ascii="Palatino Linotype" w:eastAsia="Calibri" w:hAnsi="Palatino Linotype" w:cs="Tahoma"/>
                    <w:b/>
                    <w:sz w:val="24"/>
                    <w:lang w:eastAsia="en-US"/>
                  </w:rPr>
                  <w:t>Comisionada Ponente:</w:t>
                </w:r>
              </w:p>
            </w:tc>
            <w:tc>
              <w:tcPr>
                <w:tcW w:w="4111" w:type="dxa"/>
              </w:tcPr>
              <w:p w:rsidR="004C1DAD" w:rsidRPr="00B27992" w:rsidRDefault="004C1DAD" w:rsidP="00B27992">
                <w:pPr>
                  <w:tabs>
                    <w:tab w:val="right" w:pos="8838"/>
                  </w:tabs>
                  <w:ind w:left="-108" w:right="-105"/>
                  <w:rPr>
                    <w:rFonts w:ascii="Palatino Linotype" w:eastAsia="Calibri" w:hAnsi="Palatino Linotype" w:cs="Tahoma"/>
                    <w:sz w:val="24"/>
                    <w:lang w:eastAsia="en-US"/>
                  </w:rPr>
                </w:pPr>
                <w:r w:rsidRPr="00B27992">
                  <w:rPr>
                    <w:rFonts w:ascii="Palatino Linotype" w:eastAsia="Calibri" w:hAnsi="Palatino Linotype" w:cs="Tahoma"/>
                    <w:sz w:val="24"/>
                    <w:lang w:eastAsia="en-US"/>
                  </w:rPr>
                  <w:t>María del Rosario Mejía Ayala</w:t>
                </w:r>
              </w:p>
            </w:tc>
          </w:tr>
        </w:tbl>
        <w:p w:rsidR="004C1DAD" w:rsidRDefault="004C1DAD">
          <w:pPr>
            <w:tabs>
              <w:tab w:val="right" w:pos="8838"/>
            </w:tabs>
            <w:ind w:left="-28"/>
            <w:jc w:val="both"/>
            <w:rPr>
              <w:rFonts w:ascii="Arial" w:eastAsia="Calibri" w:hAnsi="Arial" w:cs="Arial"/>
              <w:b/>
              <w:sz w:val="22"/>
              <w:szCs w:val="22"/>
              <w:lang w:eastAsia="en-US"/>
            </w:rPr>
          </w:pPr>
        </w:p>
      </w:tc>
    </w:tr>
  </w:tbl>
  <w:p w:rsidR="004C1DAD" w:rsidRDefault="00124698" w:rsidP="00B27992">
    <w:pPr>
      <w:pStyle w:val="Encabezado"/>
      <w:tabs>
        <w:tab w:val="clear" w:pos="4419"/>
      </w:tabs>
      <w:rPr>
        <w:sz w:val="14"/>
      </w:rPr>
    </w:pPr>
    <w:r>
      <w:rPr>
        <w:noProof/>
        <w:sz w:val="1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1" o:spid="_x0000_s2050" type="#_x0000_t75" alt="" style="position:absolute;margin-left:-74.4pt;margin-top:-142.95pt;width:663.5pt;height:12in;z-index:-251658752;mso-wrap-edited:f;mso-width-percent:0;mso-height-percent:0;mso-position-horizontal-relative:margin;mso-position-vertical-relative:margin;mso-width-percent:0;mso-height-percent:0" o:allowincell="f">
          <v:imagedata r:id="rId1" o:title="marcaaguaINFOEM"/>
          <w10:wrap anchorx="margin" anchory="margin"/>
        </v:shape>
      </w:pict>
    </w:r>
  </w:p>
  <w:p w:rsidR="00B27992" w:rsidRPr="00B27992" w:rsidRDefault="00B27992" w:rsidP="00B27992">
    <w:pPr>
      <w:pStyle w:val="Encabezado"/>
      <w:tabs>
        <w:tab w:val="clear" w:pos="4419"/>
      </w:tabs>
      <w:rPr>
        <w:sz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Layout w:type="fixed"/>
      <w:tblLook w:val="04A0" w:firstRow="1" w:lastRow="0" w:firstColumn="1" w:lastColumn="0" w:noHBand="0" w:noVBand="1"/>
    </w:tblPr>
    <w:tblGrid>
      <w:gridCol w:w="1560"/>
      <w:gridCol w:w="8505"/>
    </w:tblGrid>
    <w:tr w:rsidR="004C1DAD" w:rsidTr="00B27992">
      <w:trPr>
        <w:trHeight w:val="1435"/>
      </w:trPr>
      <w:tc>
        <w:tcPr>
          <w:tcW w:w="1560" w:type="dxa"/>
          <w:shd w:val="clear" w:color="auto" w:fill="auto"/>
        </w:tcPr>
        <w:p w:rsidR="004C1DAD" w:rsidRDefault="004C1DAD">
          <w:pPr>
            <w:tabs>
              <w:tab w:val="right" w:pos="4273"/>
            </w:tabs>
            <w:rPr>
              <w:rFonts w:ascii="Garamond" w:eastAsia="Calibri" w:hAnsi="Garamond"/>
              <w:sz w:val="22"/>
              <w:szCs w:val="22"/>
              <w:lang w:eastAsia="en-US"/>
            </w:rPr>
          </w:pPr>
        </w:p>
      </w:tc>
      <w:tc>
        <w:tcPr>
          <w:tcW w:w="8505" w:type="dxa"/>
          <w:shd w:val="clear" w:color="auto" w:fill="auto"/>
        </w:tcPr>
        <w:tbl>
          <w:tblPr>
            <w:tblStyle w:val="Tablaconcuadrcula"/>
            <w:tblW w:w="9780" w:type="dxa"/>
            <w:tblInd w:w="1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0"/>
            <w:gridCol w:w="4111"/>
            <w:gridCol w:w="2979"/>
          </w:tblGrid>
          <w:tr w:rsidR="004C1DAD" w:rsidTr="00B27992">
            <w:trPr>
              <w:trHeight w:val="144"/>
            </w:trPr>
            <w:tc>
              <w:tcPr>
                <w:tcW w:w="2690" w:type="dxa"/>
              </w:tcPr>
              <w:p w:rsidR="004C1DAD" w:rsidRPr="00B27992" w:rsidRDefault="004C1DAD" w:rsidP="00B27992">
                <w:pPr>
                  <w:tabs>
                    <w:tab w:val="right" w:pos="8838"/>
                  </w:tabs>
                  <w:ind w:left="-111" w:right="-105" w:firstLine="37"/>
                  <w:rPr>
                    <w:rFonts w:ascii="Palatino Linotype" w:eastAsia="Calibri" w:hAnsi="Palatino Linotype" w:cs="Tahoma"/>
                    <w:b/>
                    <w:sz w:val="24"/>
                    <w:szCs w:val="24"/>
                    <w:lang w:eastAsia="en-US"/>
                  </w:rPr>
                </w:pPr>
                <w:bookmarkStart w:id="12" w:name="_Hlk12526980"/>
                <w:r w:rsidRPr="00B27992">
                  <w:rPr>
                    <w:rFonts w:ascii="Palatino Linotype" w:eastAsia="Calibri" w:hAnsi="Palatino Linotype" w:cs="Tahoma"/>
                    <w:b/>
                    <w:sz w:val="24"/>
                    <w:szCs w:val="24"/>
                    <w:lang w:eastAsia="en-US"/>
                  </w:rPr>
                  <w:t>Recurso de Revisión:</w:t>
                </w:r>
              </w:p>
            </w:tc>
            <w:tc>
              <w:tcPr>
                <w:tcW w:w="4111" w:type="dxa"/>
              </w:tcPr>
              <w:p w:rsidR="004C1DAD" w:rsidRPr="00B27992" w:rsidRDefault="004C1DAD" w:rsidP="00BF671E">
                <w:pPr>
                  <w:tabs>
                    <w:tab w:val="right" w:pos="8838"/>
                  </w:tabs>
                  <w:ind w:right="-105"/>
                  <w:jc w:val="both"/>
                  <w:rPr>
                    <w:rFonts w:ascii="Palatino Linotype" w:eastAsia="Calibri" w:hAnsi="Palatino Linotype" w:cs="Tahoma"/>
                    <w:sz w:val="24"/>
                    <w:szCs w:val="24"/>
                    <w:lang w:eastAsia="en-US"/>
                  </w:rPr>
                </w:pPr>
                <w:r w:rsidRPr="00B27992">
                  <w:rPr>
                    <w:rFonts w:ascii="Palatino Linotype" w:eastAsia="Calibri" w:hAnsi="Palatino Linotype" w:cs="Tahoma"/>
                    <w:bCs/>
                    <w:sz w:val="24"/>
                    <w:szCs w:val="24"/>
                    <w:lang w:val="es-MX" w:eastAsia="en-US"/>
                  </w:rPr>
                  <w:t>05678/INFOEM/IP/RR/2025</w:t>
                </w:r>
              </w:p>
            </w:tc>
            <w:tc>
              <w:tcPr>
                <w:tcW w:w="2979" w:type="dxa"/>
              </w:tcPr>
              <w:p w:rsidR="004C1DAD" w:rsidRDefault="004C1DAD">
                <w:pPr>
                  <w:tabs>
                    <w:tab w:val="right" w:pos="8838"/>
                  </w:tabs>
                  <w:ind w:left="-74" w:right="-105"/>
                  <w:jc w:val="both"/>
                  <w:rPr>
                    <w:rFonts w:ascii="Palatino Linotype" w:eastAsia="Calibri" w:hAnsi="Palatino Linotype" w:cs="Tahoma"/>
                    <w:bCs/>
                    <w:sz w:val="22"/>
                    <w:szCs w:val="22"/>
                    <w:lang w:eastAsia="en-US"/>
                  </w:rPr>
                </w:pPr>
              </w:p>
            </w:tc>
          </w:tr>
          <w:tr w:rsidR="004C1DAD" w:rsidTr="00B27992">
            <w:trPr>
              <w:trHeight w:val="144"/>
            </w:trPr>
            <w:tc>
              <w:tcPr>
                <w:tcW w:w="2690" w:type="dxa"/>
              </w:tcPr>
              <w:p w:rsidR="004C1DAD" w:rsidRPr="00B27992" w:rsidRDefault="004C1DAD" w:rsidP="004C1780">
                <w:pPr>
                  <w:tabs>
                    <w:tab w:val="right" w:pos="8838"/>
                  </w:tabs>
                  <w:ind w:left="-74" w:right="-105"/>
                  <w:rPr>
                    <w:rFonts w:ascii="Palatino Linotype" w:eastAsia="Calibri" w:hAnsi="Palatino Linotype" w:cs="Tahoma"/>
                    <w:b/>
                    <w:sz w:val="24"/>
                    <w:szCs w:val="24"/>
                    <w:lang w:eastAsia="en-US"/>
                  </w:rPr>
                </w:pPr>
                <w:bookmarkStart w:id="13" w:name="_Hlk10641523"/>
                <w:bookmarkEnd w:id="12"/>
                <w:r w:rsidRPr="00B27992">
                  <w:rPr>
                    <w:rFonts w:ascii="Palatino Linotype" w:eastAsia="Calibri" w:hAnsi="Palatino Linotype" w:cs="Tahoma"/>
                    <w:b/>
                    <w:sz w:val="24"/>
                    <w:szCs w:val="24"/>
                    <w:lang w:eastAsia="en-US"/>
                  </w:rPr>
                  <w:t>Recurrente:</w:t>
                </w:r>
              </w:p>
            </w:tc>
            <w:tc>
              <w:tcPr>
                <w:tcW w:w="4111" w:type="dxa"/>
              </w:tcPr>
              <w:p w:rsidR="004C1DAD" w:rsidRPr="00B27992" w:rsidRDefault="00474D44" w:rsidP="004C1780">
                <w:pPr>
                  <w:tabs>
                    <w:tab w:val="left" w:pos="3122"/>
                    <w:tab w:val="right" w:pos="8838"/>
                  </w:tabs>
                  <w:ind w:right="1457"/>
                  <w:jc w:val="both"/>
                  <w:rPr>
                    <w:rFonts w:ascii="Palatino Linotype" w:eastAsia="Calibri" w:hAnsi="Palatino Linotype" w:cs="Tahoma"/>
                    <w:sz w:val="24"/>
                    <w:szCs w:val="24"/>
                    <w:lang w:eastAsia="en-US"/>
                  </w:rPr>
                </w:pPr>
                <w:r>
                  <w:rPr>
                    <w:rFonts w:ascii="Palatino Linotype" w:eastAsia="Calibri" w:hAnsi="Palatino Linotype" w:cs="Tahoma"/>
                    <w:bCs/>
                    <w:sz w:val="24"/>
                    <w:szCs w:val="24"/>
                    <w:lang w:val="es-MX" w:eastAsia="en-US"/>
                  </w:rPr>
                  <w:t>XXXX</w:t>
                </w:r>
              </w:p>
            </w:tc>
            <w:tc>
              <w:tcPr>
                <w:tcW w:w="2979" w:type="dxa"/>
              </w:tcPr>
              <w:p w:rsidR="004C1DAD" w:rsidRDefault="004C1DAD" w:rsidP="004C1780">
                <w:pPr>
                  <w:tabs>
                    <w:tab w:val="left" w:pos="3122"/>
                    <w:tab w:val="right" w:pos="8838"/>
                  </w:tabs>
                  <w:ind w:right="-105"/>
                  <w:jc w:val="both"/>
                  <w:rPr>
                    <w:rFonts w:ascii="Palatino Linotype" w:eastAsia="Calibri" w:hAnsi="Palatino Linotype" w:cs="Tahoma"/>
                    <w:sz w:val="22"/>
                    <w:szCs w:val="22"/>
                    <w:lang w:eastAsia="en-US"/>
                  </w:rPr>
                </w:pPr>
              </w:p>
            </w:tc>
          </w:tr>
          <w:bookmarkEnd w:id="13"/>
          <w:tr w:rsidR="004C1DAD" w:rsidTr="00B27992">
            <w:trPr>
              <w:trHeight w:val="283"/>
            </w:trPr>
            <w:tc>
              <w:tcPr>
                <w:tcW w:w="2690" w:type="dxa"/>
              </w:tcPr>
              <w:p w:rsidR="004C1DAD" w:rsidRPr="00B27992" w:rsidRDefault="004C1DAD" w:rsidP="004C1780">
                <w:pPr>
                  <w:tabs>
                    <w:tab w:val="right" w:pos="8838"/>
                  </w:tabs>
                  <w:ind w:left="-74" w:right="-105"/>
                  <w:rPr>
                    <w:rFonts w:ascii="Palatino Linotype" w:eastAsia="Calibri" w:hAnsi="Palatino Linotype" w:cs="Tahoma"/>
                    <w:b/>
                    <w:sz w:val="24"/>
                    <w:szCs w:val="24"/>
                    <w:lang w:eastAsia="en-US"/>
                  </w:rPr>
                </w:pPr>
                <w:r w:rsidRPr="00B27992">
                  <w:rPr>
                    <w:rFonts w:ascii="Palatino Linotype" w:eastAsia="Calibri" w:hAnsi="Palatino Linotype" w:cs="Tahoma"/>
                    <w:b/>
                    <w:sz w:val="24"/>
                    <w:szCs w:val="24"/>
                    <w:lang w:eastAsia="en-US"/>
                  </w:rPr>
                  <w:t>Sujeto Obligado:</w:t>
                </w:r>
              </w:p>
            </w:tc>
            <w:tc>
              <w:tcPr>
                <w:tcW w:w="4111" w:type="dxa"/>
              </w:tcPr>
              <w:p w:rsidR="004C1DAD" w:rsidRPr="00B27992" w:rsidRDefault="004C1DAD" w:rsidP="004C1780">
                <w:pPr>
                  <w:tabs>
                    <w:tab w:val="left" w:pos="2834"/>
                    <w:tab w:val="right" w:pos="8838"/>
                  </w:tabs>
                  <w:ind w:left="-3" w:right="-105"/>
                  <w:jc w:val="both"/>
                  <w:rPr>
                    <w:rFonts w:ascii="Palatino Linotype" w:eastAsia="Calibri" w:hAnsi="Palatino Linotype" w:cs="Tahoma"/>
                    <w:sz w:val="24"/>
                    <w:szCs w:val="24"/>
                    <w:lang w:eastAsia="en-US"/>
                  </w:rPr>
                </w:pPr>
                <w:r w:rsidRPr="00B27992">
                  <w:rPr>
                    <w:rFonts w:ascii="Palatino Linotype" w:hAnsi="Palatino Linotype"/>
                    <w:bCs/>
                    <w:color w:val="000000"/>
                    <w:sz w:val="24"/>
                    <w:szCs w:val="24"/>
                    <w:lang w:val="es-MX"/>
                  </w:rPr>
                  <w:t>Ayuntamiento de Toluca</w:t>
                </w:r>
              </w:p>
            </w:tc>
            <w:tc>
              <w:tcPr>
                <w:tcW w:w="2979" w:type="dxa"/>
              </w:tcPr>
              <w:p w:rsidR="004C1DAD" w:rsidRPr="006751E8" w:rsidRDefault="004C1DAD">
                <w:pPr>
                  <w:tabs>
                    <w:tab w:val="left" w:pos="2834"/>
                    <w:tab w:val="right" w:pos="8838"/>
                  </w:tabs>
                  <w:ind w:left="-74" w:right="-105"/>
                  <w:jc w:val="both"/>
                  <w:rPr>
                    <w:rFonts w:ascii="Palatino Linotype" w:eastAsia="Calibri" w:hAnsi="Palatino Linotype" w:cs="Tahoma"/>
                    <w:b/>
                    <w:bCs/>
                    <w:lang w:eastAsia="en-US"/>
                  </w:rPr>
                </w:pPr>
              </w:p>
            </w:tc>
          </w:tr>
          <w:tr w:rsidR="004C1DAD" w:rsidTr="00B27992">
            <w:trPr>
              <w:trHeight w:val="283"/>
            </w:trPr>
            <w:tc>
              <w:tcPr>
                <w:tcW w:w="2690" w:type="dxa"/>
              </w:tcPr>
              <w:p w:rsidR="004C1DAD" w:rsidRPr="00B27992" w:rsidRDefault="004C1DAD" w:rsidP="004C1780">
                <w:pPr>
                  <w:tabs>
                    <w:tab w:val="right" w:pos="8838"/>
                  </w:tabs>
                  <w:ind w:left="-74" w:right="-105"/>
                  <w:rPr>
                    <w:rFonts w:ascii="Palatino Linotype" w:eastAsia="Calibri" w:hAnsi="Palatino Linotype" w:cs="Tahoma"/>
                    <w:b/>
                    <w:sz w:val="24"/>
                    <w:szCs w:val="24"/>
                    <w:lang w:eastAsia="en-US"/>
                  </w:rPr>
                </w:pPr>
                <w:r w:rsidRPr="00B27992">
                  <w:rPr>
                    <w:rFonts w:ascii="Palatino Linotype" w:eastAsia="Calibri" w:hAnsi="Palatino Linotype" w:cs="Tahoma"/>
                    <w:b/>
                    <w:sz w:val="24"/>
                    <w:szCs w:val="24"/>
                    <w:lang w:eastAsia="en-US"/>
                  </w:rPr>
                  <w:t>Comisionada Ponente:</w:t>
                </w:r>
              </w:p>
            </w:tc>
            <w:tc>
              <w:tcPr>
                <w:tcW w:w="4111" w:type="dxa"/>
              </w:tcPr>
              <w:p w:rsidR="004C1DAD" w:rsidRPr="00B27992" w:rsidRDefault="004C1DAD" w:rsidP="004C1780">
                <w:pPr>
                  <w:tabs>
                    <w:tab w:val="right" w:pos="8838"/>
                  </w:tabs>
                  <w:ind w:left="-3" w:right="-105"/>
                  <w:jc w:val="both"/>
                  <w:rPr>
                    <w:rFonts w:ascii="Palatino Linotype" w:eastAsia="Calibri" w:hAnsi="Palatino Linotype" w:cs="Tahoma"/>
                    <w:sz w:val="24"/>
                    <w:szCs w:val="24"/>
                    <w:lang w:eastAsia="en-US"/>
                  </w:rPr>
                </w:pPr>
                <w:r w:rsidRPr="00B27992">
                  <w:rPr>
                    <w:rFonts w:ascii="Palatino Linotype" w:eastAsia="Calibri" w:hAnsi="Palatino Linotype" w:cs="Tahoma"/>
                    <w:sz w:val="24"/>
                    <w:szCs w:val="24"/>
                    <w:lang w:eastAsia="en-US"/>
                  </w:rPr>
                  <w:t>María del Rosario Mejía Ayala</w:t>
                </w:r>
              </w:p>
            </w:tc>
            <w:tc>
              <w:tcPr>
                <w:tcW w:w="2979" w:type="dxa"/>
              </w:tcPr>
              <w:p w:rsidR="004C1DAD" w:rsidRPr="006751E8" w:rsidRDefault="004C1DAD">
                <w:pPr>
                  <w:tabs>
                    <w:tab w:val="right" w:pos="8838"/>
                  </w:tabs>
                  <w:ind w:left="-74" w:right="-105"/>
                  <w:jc w:val="both"/>
                  <w:rPr>
                    <w:rFonts w:ascii="Palatino Linotype" w:eastAsia="Calibri" w:hAnsi="Palatino Linotype" w:cs="Tahoma"/>
                    <w:b/>
                    <w:bCs/>
                    <w:lang w:eastAsia="en-US"/>
                  </w:rPr>
                </w:pPr>
              </w:p>
            </w:tc>
          </w:tr>
        </w:tbl>
        <w:p w:rsidR="004C1DAD" w:rsidRDefault="004C1DAD">
          <w:pPr>
            <w:tabs>
              <w:tab w:val="right" w:pos="8838"/>
            </w:tabs>
            <w:ind w:left="-28"/>
            <w:jc w:val="both"/>
            <w:rPr>
              <w:rFonts w:ascii="Arial" w:eastAsia="Calibri" w:hAnsi="Arial" w:cs="Arial"/>
              <w:b/>
              <w:sz w:val="22"/>
              <w:szCs w:val="22"/>
              <w:lang w:eastAsia="en-US"/>
            </w:rPr>
          </w:pPr>
        </w:p>
      </w:tc>
    </w:tr>
  </w:tbl>
  <w:p w:rsidR="004C1DAD" w:rsidRDefault="00124698" w:rsidP="00B27992">
    <w:pPr>
      <w:pStyle w:val="Encabezado"/>
      <w:tabs>
        <w:tab w:val="clear" w:pos="4419"/>
        <w:tab w:val="clear" w:pos="8838"/>
        <w:tab w:val="center" w:pos="4522"/>
      </w:tabs>
    </w:pPr>
    <w:r>
      <w:rPr>
        <w:noProof/>
        <w:sz w:val="14"/>
        <w:szCs w:val="22"/>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09" o:spid="_x0000_s2051" type="#_x0000_t75" alt="" style="position:absolute;margin-left:-71.15pt;margin-top:-134.35pt;width:663.5pt;height:12in;z-index:-251657728;mso-wrap-edited:f;mso-width-percent:0;mso-height-percent:0;mso-position-horizontal-relative:margin;mso-position-vertical-relative:margin;mso-width-percent:0;mso-height-percent:0" o:allowincell="f">
          <v:imagedata r:id="rId1" o:title="marcaagua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7BE27E2"/>
    <w:lvl w:ilvl="0">
      <w:start w:val="1"/>
      <w:numFmt w:val="bullet"/>
      <w:pStyle w:val="Listaconvietas2"/>
      <w:lvlText w:val=""/>
      <w:lvlJc w:val="left"/>
      <w:pPr>
        <w:tabs>
          <w:tab w:val="left" w:pos="643"/>
        </w:tabs>
        <w:ind w:left="643" w:hanging="360"/>
      </w:pPr>
      <w:rPr>
        <w:rFonts w:ascii="Symbol" w:hAnsi="Symbol" w:hint="default"/>
      </w:rPr>
    </w:lvl>
  </w:abstractNum>
  <w:abstractNum w:abstractNumId="1" w15:restartNumberingAfterBreak="0">
    <w:nsid w:val="0A825148"/>
    <w:multiLevelType w:val="hybridMultilevel"/>
    <w:tmpl w:val="E410E7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B2002C"/>
    <w:multiLevelType w:val="multilevel"/>
    <w:tmpl w:val="0C0C87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15:restartNumberingAfterBreak="0">
    <w:nsid w:val="19CE2619"/>
    <w:multiLevelType w:val="hybridMultilevel"/>
    <w:tmpl w:val="35A43E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B65B42"/>
    <w:multiLevelType w:val="multilevel"/>
    <w:tmpl w:val="7F8474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B891CF8"/>
    <w:multiLevelType w:val="multilevel"/>
    <w:tmpl w:val="1DB62F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ED047B3"/>
    <w:multiLevelType w:val="multilevel"/>
    <w:tmpl w:val="9E187D88"/>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4317490"/>
    <w:multiLevelType w:val="hybridMultilevel"/>
    <w:tmpl w:val="02EC67D8"/>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66384B"/>
    <w:multiLevelType w:val="hybridMultilevel"/>
    <w:tmpl w:val="B95A4030"/>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90003B1"/>
    <w:multiLevelType w:val="multilevel"/>
    <w:tmpl w:val="BDD644D0"/>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CF55418"/>
    <w:multiLevelType w:val="hybridMultilevel"/>
    <w:tmpl w:val="ECB6C5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E5670D3"/>
    <w:multiLevelType w:val="multilevel"/>
    <w:tmpl w:val="1EAC08F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9943FD"/>
    <w:multiLevelType w:val="multilevel"/>
    <w:tmpl w:val="14DE070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6984492"/>
    <w:multiLevelType w:val="multilevel"/>
    <w:tmpl w:val="CE96C6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B504943"/>
    <w:multiLevelType w:val="multilevel"/>
    <w:tmpl w:val="A10CCB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96E6BC1"/>
    <w:multiLevelType w:val="hybridMultilevel"/>
    <w:tmpl w:val="5156E6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BB2662F"/>
    <w:multiLevelType w:val="hybridMultilevel"/>
    <w:tmpl w:val="A33EFAF8"/>
    <w:lvl w:ilvl="0" w:tplc="A110709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 w15:restartNumberingAfterBreak="0">
    <w:nsid w:val="6D871F0A"/>
    <w:multiLevelType w:val="multilevel"/>
    <w:tmpl w:val="04AA3E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3927D7B"/>
    <w:multiLevelType w:val="hybridMultilevel"/>
    <w:tmpl w:val="6054EE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7375022"/>
    <w:multiLevelType w:val="multilevel"/>
    <w:tmpl w:val="C4404F38"/>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9"/>
  </w:num>
  <w:num w:numId="3">
    <w:abstractNumId w:val="2"/>
  </w:num>
  <w:num w:numId="4">
    <w:abstractNumId w:val="5"/>
  </w:num>
  <w:num w:numId="5">
    <w:abstractNumId w:val="3"/>
  </w:num>
  <w:num w:numId="6">
    <w:abstractNumId w:val="12"/>
  </w:num>
  <w:num w:numId="7">
    <w:abstractNumId w:val="6"/>
  </w:num>
  <w:num w:numId="8">
    <w:abstractNumId w:val="9"/>
  </w:num>
  <w:num w:numId="9">
    <w:abstractNumId w:val="10"/>
  </w:num>
  <w:num w:numId="10">
    <w:abstractNumId w:val="18"/>
  </w:num>
  <w:num w:numId="11">
    <w:abstractNumId w:val="7"/>
  </w:num>
  <w:num w:numId="12">
    <w:abstractNumId w:val="11"/>
  </w:num>
  <w:num w:numId="13">
    <w:abstractNumId w:val="16"/>
  </w:num>
  <w:num w:numId="14">
    <w:abstractNumId w:val="14"/>
  </w:num>
  <w:num w:numId="15">
    <w:abstractNumId w:val="17"/>
  </w:num>
  <w:num w:numId="16">
    <w:abstractNumId w:val="15"/>
  </w:num>
  <w:num w:numId="17">
    <w:abstractNumId w:val="1"/>
  </w:num>
  <w:num w:numId="18">
    <w:abstractNumId w:val="8"/>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71E"/>
    <w:rsid w:val="00054D46"/>
    <w:rsid w:val="000E72FD"/>
    <w:rsid w:val="000F0359"/>
    <w:rsid w:val="00124698"/>
    <w:rsid w:val="002F6AFA"/>
    <w:rsid w:val="00317AA9"/>
    <w:rsid w:val="00370694"/>
    <w:rsid w:val="003E5232"/>
    <w:rsid w:val="00462DF3"/>
    <w:rsid w:val="00474D44"/>
    <w:rsid w:val="00486B6E"/>
    <w:rsid w:val="004C1780"/>
    <w:rsid w:val="004C1DAD"/>
    <w:rsid w:val="004E39B3"/>
    <w:rsid w:val="004E6A11"/>
    <w:rsid w:val="00563400"/>
    <w:rsid w:val="00563C1A"/>
    <w:rsid w:val="00592B53"/>
    <w:rsid w:val="00772106"/>
    <w:rsid w:val="00786E9C"/>
    <w:rsid w:val="008944A5"/>
    <w:rsid w:val="008C1874"/>
    <w:rsid w:val="009B37E7"/>
    <w:rsid w:val="00A8606B"/>
    <w:rsid w:val="00AD24C5"/>
    <w:rsid w:val="00B03067"/>
    <w:rsid w:val="00B27992"/>
    <w:rsid w:val="00BA38D5"/>
    <w:rsid w:val="00BF671E"/>
    <w:rsid w:val="00C11A16"/>
    <w:rsid w:val="00DC1210"/>
    <w:rsid w:val="00DD50C0"/>
    <w:rsid w:val="00DE7CD4"/>
    <w:rsid w:val="00EC34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CCAD7C73-A870-4A72-B74D-A9FB5F6C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71E"/>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BF67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F67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671E"/>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BF671E"/>
    <w:rPr>
      <w:rFonts w:asciiTheme="majorHAnsi" w:eastAsiaTheme="majorEastAsia" w:hAnsiTheme="majorHAnsi" w:cstheme="majorBidi"/>
      <w:color w:val="2E74B5" w:themeColor="accent1" w:themeShade="BF"/>
      <w:sz w:val="26"/>
      <w:szCs w:val="26"/>
      <w:lang w:eastAsia="es-ES"/>
    </w:rPr>
  </w:style>
  <w:style w:type="paragraph" w:styleId="Encabezado">
    <w:name w:val="header"/>
    <w:basedOn w:val="Normal"/>
    <w:link w:val="EncabezadoCar"/>
    <w:uiPriority w:val="99"/>
    <w:unhideWhenUsed/>
    <w:qFormat/>
    <w:rsid w:val="00BF671E"/>
    <w:pPr>
      <w:tabs>
        <w:tab w:val="center" w:pos="4419"/>
        <w:tab w:val="right" w:pos="8838"/>
      </w:tabs>
    </w:pPr>
  </w:style>
  <w:style w:type="character" w:customStyle="1" w:styleId="EncabezadoCar">
    <w:name w:val="Encabezado Car"/>
    <w:basedOn w:val="Fuentedeprrafopredeter"/>
    <w:link w:val="Encabezado"/>
    <w:uiPriority w:val="99"/>
    <w:qFormat/>
    <w:rsid w:val="00BF671E"/>
    <w:rPr>
      <w:rFonts w:ascii="Times New Roman" w:eastAsia="Times New Roman" w:hAnsi="Times New Roman" w:cs="Times New Roman"/>
      <w:sz w:val="20"/>
      <w:szCs w:val="20"/>
      <w:lang w:eastAsia="es-ES"/>
    </w:rPr>
  </w:style>
  <w:style w:type="paragraph" w:styleId="Listaconvietas2">
    <w:name w:val="List Bullet 2"/>
    <w:basedOn w:val="Normal"/>
    <w:uiPriority w:val="99"/>
    <w:unhideWhenUsed/>
    <w:qFormat/>
    <w:rsid w:val="00BF671E"/>
    <w:pPr>
      <w:numPr>
        <w:numId w:val="1"/>
      </w:numPr>
      <w:contextualSpacing/>
    </w:pPr>
  </w:style>
  <w:style w:type="paragraph" w:styleId="Piedepgina">
    <w:name w:val="footer"/>
    <w:basedOn w:val="Normal"/>
    <w:link w:val="PiedepginaCar"/>
    <w:uiPriority w:val="99"/>
    <w:unhideWhenUsed/>
    <w:qFormat/>
    <w:rsid w:val="00BF671E"/>
    <w:pPr>
      <w:tabs>
        <w:tab w:val="center" w:pos="4419"/>
        <w:tab w:val="right" w:pos="8838"/>
      </w:tabs>
    </w:pPr>
  </w:style>
  <w:style w:type="character" w:customStyle="1" w:styleId="PiedepginaCar">
    <w:name w:val="Pie de página Car"/>
    <w:basedOn w:val="Fuentedeprrafopredeter"/>
    <w:link w:val="Piedepgina"/>
    <w:uiPriority w:val="99"/>
    <w:qFormat/>
    <w:rsid w:val="00BF671E"/>
    <w:rPr>
      <w:rFonts w:ascii="Times New Roman" w:eastAsia="Times New Roman" w:hAnsi="Times New Roman" w:cs="Times New Roman"/>
      <w:sz w:val="20"/>
      <w:szCs w:val="20"/>
      <w:lang w:eastAsia="es-ES"/>
    </w:rPr>
  </w:style>
  <w:style w:type="table" w:styleId="Tablaconcuadrcula">
    <w:name w:val="Table Grid"/>
    <w:basedOn w:val="Tablanormal"/>
    <w:uiPriority w:val="39"/>
    <w:qFormat/>
    <w:rsid w:val="00BF671E"/>
    <w:pPr>
      <w:spacing w:after="0" w:line="240" w:lineRule="auto"/>
    </w:pPr>
    <w:rPr>
      <w:rFonts w:ascii="Times New Roman" w:eastAsia="SimSun" w:hAnsi="Times New Roman"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BF671E"/>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rsid w:val="00BF671E"/>
    <w:rPr>
      <w:rFonts w:ascii="Century Gothic" w:eastAsia="Times New Roman" w:hAnsi="Century Gothic"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06778">
      <w:bodyDiv w:val="1"/>
      <w:marLeft w:val="0"/>
      <w:marRight w:val="0"/>
      <w:marTop w:val="0"/>
      <w:marBottom w:val="0"/>
      <w:divBdr>
        <w:top w:val="none" w:sz="0" w:space="0" w:color="auto"/>
        <w:left w:val="none" w:sz="0" w:space="0" w:color="auto"/>
        <w:bottom w:val="none" w:sz="0" w:space="0" w:color="auto"/>
        <w:right w:val="none" w:sz="0" w:space="0" w:color="auto"/>
      </w:divBdr>
    </w:div>
    <w:div w:id="661278205">
      <w:bodyDiv w:val="1"/>
      <w:marLeft w:val="0"/>
      <w:marRight w:val="0"/>
      <w:marTop w:val="0"/>
      <w:marBottom w:val="0"/>
      <w:divBdr>
        <w:top w:val="none" w:sz="0" w:space="0" w:color="auto"/>
        <w:left w:val="none" w:sz="0" w:space="0" w:color="auto"/>
        <w:bottom w:val="none" w:sz="0" w:space="0" w:color="auto"/>
        <w:right w:val="none" w:sz="0" w:space="0" w:color="auto"/>
      </w:divBdr>
    </w:div>
    <w:div w:id="1352562991">
      <w:bodyDiv w:val="1"/>
      <w:marLeft w:val="0"/>
      <w:marRight w:val="0"/>
      <w:marTop w:val="0"/>
      <w:marBottom w:val="0"/>
      <w:divBdr>
        <w:top w:val="none" w:sz="0" w:space="0" w:color="auto"/>
        <w:left w:val="none" w:sz="0" w:space="0" w:color="auto"/>
        <w:bottom w:val="none" w:sz="0" w:space="0" w:color="auto"/>
        <w:right w:val="none" w:sz="0" w:space="0" w:color="auto"/>
      </w:divBdr>
    </w:div>
    <w:div w:id="146809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dof.gob.mx/nota_detalle.php?codigo=5492254&amp;fecha=28/07/2017"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portalanterior.ine.mx/archivos2/tutoriales/sistemas/ApoyoInstitucional/SIF/docs/candidatos/folioFiscalFactura.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56</Pages>
  <Words>12049</Words>
  <Characters>66275</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78168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10</cp:revision>
  <cp:lastPrinted>2026-02-13T15:46:00Z</cp:lastPrinted>
  <dcterms:created xsi:type="dcterms:W3CDTF">2026-02-09T18:51:00Z</dcterms:created>
  <dcterms:modified xsi:type="dcterms:W3CDTF">2026-02-23T23:47:00Z</dcterms:modified>
</cp:coreProperties>
</file>