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D3BA1B" w14:textId="5E4B9877" w:rsidR="00DF404C" w:rsidRPr="00F01CE7" w:rsidRDefault="00DF404C" w:rsidP="00DF404C">
      <w:pPr>
        <w:spacing w:after="0" w:line="360" w:lineRule="auto"/>
        <w:contextualSpacing/>
        <w:jc w:val="both"/>
        <w:rPr>
          <w:rFonts w:ascii="Palatino Linotype" w:eastAsia="Times New Roman" w:hAnsi="Palatino Linotype" w:cs="Palatino Linotype"/>
          <w:color w:val="000000"/>
          <w:sz w:val="24"/>
          <w:szCs w:val="24"/>
          <w:lang w:val="es-ES_tradnl" w:eastAsia="es-MX"/>
        </w:rPr>
      </w:pPr>
      <w:r w:rsidRPr="00F01CE7">
        <w:rPr>
          <w:rFonts w:ascii="Palatino Linotype" w:eastAsia="Times New Roman" w:hAnsi="Palatino Linotype" w:cs="Palatino Linotype"/>
          <w:color w:val="000000"/>
          <w:sz w:val="24"/>
          <w:szCs w:val="24"/>
          <w:lang w:val="es-ES_tradnl" w:eastAsia="es-MX"/>
        </w:rPr>
        <w:t xml:space="preserve">Resolución del Pleno del Instituto de Transparencia, Acceso a la Información Pública y Protección de Datos Personales del Estado de México y Municipios, con domicilio en Metepec, Estado de México, </w:t>
      </w:r>
      <w:r w:rsidR="00897F84" w:rsidRPr="00F01CE7">
        <w:rPr>
          <w:rFonts w:ascii="Palatino Linotype" w:eastAsia="Times New Roman" w:hAnsi="Palatino Linotype" w:cs="Palatino Linotype"/>
          <w:b/>
          <w:color w:val="000000"/>
          <w:sz w:val="24"/>
          <w:szCs w:val="24"/>
          <w:lang w:val="es-ES_tradnl" w:eastAsia="es-MX"/>
        </w:rPr>
        <w:t xml:space="preserve">diecisiete </w:t>
      </w:r>
      <w:r w:rsidRPr="00F01CE7">
        <w:rPr>
          <w:rFonts w:ascii="Palatino Linotype" w:eastAsia="Times New Roman" w:hAnsi="Palatino Linotype" w:cs="Palatino Linotype"/>
          <w:b/>
          <w:color w:val="000000"/>
          <w:sz w:val="24"/>
          <w:szCs w:val="24"/>
          <w:lang w:val="es-ES_tradnl" w:eastAsia="es-MX"/>
        </w:rPr>
        <w:t xml:space="preserve">de septiembre de dos mil veintiséis. </w:t>
      </w:r>
    </w:p>
    <w:p w14:paraId="1D9790FA" w14:textId="77777777" w:rsidR="00DF404C" w:rsidRPr="00F01CE7" w:rsidRDefault="00DF404C" w:rsidP="00DF404C">
      <w:pPr>
        <w:spacing w:after="0" w:line="360" w:lineRule="auto"/>
        <w:contextualSpacing/>
        <w:jc w:val="both"/>
        <w:rPr>
          <w:rFonts w:ascii="Palatino Linotype" w:eastAsia="Times New Roman" w:hAnsi="Palatino Linotype" w:cs="Palatino Linotype"/>
          <w:color w:val="000000"/>
          <w:sz w:val="24"/>
          <w:szCs w:val="24"/>
          <w:lang w:val="es-ES_tradnl" w:eastAsia="es-MX"/>
        </w:rPr>
      </w:pPr>
    </w:p>
    <w:p w14:paraId="48D5874E" w14:textId="77777777" w:rsidR="00320B40" w:rsidRPr="00F01CE7" w:rsidRDefault="00320B40" w:rsidP="00DF404C">
      <w:pPr>
        <w:spacing w:after="0" w:line="360" w:lineRule="auto"/>
        <w:contextualSpacing/>
        <w:jc w:val="both"/>
        <w:rPr>
          <w:rFonts w:ascii="Palatino Linotype" w:eastAsia="Times New Roman" w:hAnsi="Palatino Linotype" w:cs="Palatino Linotype"/>
          <w:color w:val="000000"/>
          <w:sz w:val="24"/>
          <w:szCs w:val="24"/>
          <w:lang w:val="es-ES_tradnl" w:eastAsia="es-MX"/>
        </w:rPr>
      </w:pPr>
    </w:p>
    <w:p w14:paraId="5AA18143" w14:textId="77777777" w:rsidR="00DF404C" w:rsidRPr="00F01CE7" w:rsidRDefault="00DF404C" w:rsidP="00DF404C">
      <w:pPr>
        <w:spacing w:after="0" w:line="360" w:lineRule="auto"/>
        <w:contextualSpacing/>
        <w:jc w:val="both"/>
        <w:rPr>
          <w:rFonts w:ascii="Palatino Linotype" w:eastAsia="Times New Roman" w:hAnsi="Palatino Linotype" w:cs="Palatino Linotype"/>
          <w:color w:val="000000"/>
          <w:sz w:val="24"/>
          <w:szCs w:val="24"/>
          <w:lang w:val="es-ES_tradnl" w:eastAsia="es-MX"/>
        </w:rPr>
      </w:pPr>
      <w:r w:rsidRPr="00F01CE7">
        <w:rPr>
          <w:rFonts w:ascii="Palatino Linotype" w:eastAsia="Times New Roman" w:hAnsi="Palatino Linotype" w:cs="Palatino Linotype"/>
          <w:b/>
          <w:color w:val="000000"/>
          <w:sz w:val="24"/>
          <w:szCs w:val="24"/>
          <w:lang w:val="es-ES_tradnl" w:eastAsia="es-MX"/>
        </w:rPr>
        <w:t>VISTO</w:t>
      </w:r>
      <w:r w:rsidRPr="00F01CE7">
        <w:rPr>
          <w:rFonts w:ascii="Palatino Linotype" w:eastAsia="Times New Roman" w:hAnsi="Palatino Linotype" w:cs="Palatino Linotype"/>
          <w:color w:val="000000"/>
          <w:sz w:val="24"/>
          <w:szCs w:val="24"/>
          <w:lang w:val="es-ES_tradnl" w:eastAsia="es-MX"/>
        </w:rPr>
        <w:t xml:space="preserve"> el expediente electrónico formado con motivo del recurso de revisión número </w:t>
      </w:r>
      <w:r w:rsidRPr="00F01CE7">
        <w:rPr>
          <w:rFonts w:ascii="Palatino Linotype" w:eastAsia="Times New Roman" w:hAnsi="Palatino Linotype" w:cs="Palatino Linotype"/>
          <w:b/>
          <w:color w:val="000000"/>
          <w:sz w:val="24"/>
          <w:szCs w:val="24"/>
          <w:lang w:val="es-ES_tradnl" w:eastAsia="es-MX"/>
        </w:rPr>
        <w:t>07787/INFOEM/IP/RR/2026</w:t>
      </w:r>
      <w:r w:rsidRPr="00F01CE7">
        <w:rPr>
          <w:rFonts w:ascii="Palatino Linotype" w:eastAsia="Times New Roman" w:hAnsi="Palatino Linotype" w:cs="Palatino Linotype"/>
          <w:color w:val="000000"/>
          <w:sz w:val="24"/>
          <w:szCs w:val="24"/>
          <w:lang w:val="es-ES_tradnl" w:eastAsia="es-MX"/>
        </w:rPr>
        <w:t>, interpuesto por</w:t>
      </w:r>
      <w:r w:rsidRPr="00F01CE7">
        <w:rPr>
          <w:rFonts w:ascii="Palatino Linotype" w:hAnsi="Palatino Linotype" w:cs="Arial"/>
          <w:b/>
          <w:bCs/>
          <w:sz w:val="24"/>
          <w:szCs w:val="24"/>
        </w:rPr>
        <w:t xml:space="preserve"> un particular que no proporciono nombre o seudónimo para ser identificado</w:t>
      </w:r>
      <w:r w:rsidRPr="00F01CE7">
        <w:rPr>
          <w:rFonts w:ascii="Palatino Linotype" w:eastAsia="Times New Roman" w:hAnsi="Palatino Linotype" w:cs="Arial"/>
          <w:sz w:val="24"/>
          <w:szCs w:val="24"/>
          <w:lang w:val="es-ES_tradnl" w:eastAsia="es-MX"/>
        </w:rPr>
        <w:t xml:space="preserve">, </w:t>
      </w:r>
      <w:r w:rsidRPr="00F01CE7">
        <w:rPr>
          <w:rFonts w:ascii="Palatino Linotype" w:eastAsia="Times New Roman" w:hAnsi="Palatino Linotype" w:cs="Palatino Linotype"/>
          <w:color w:val="000000"/>
          <w:sz w:val="24"/>
          <w:szCs w:val="24"/>
          <w:lang w:val="es-ES_tradnl" w:eastAsia="es-MX"/>
        </w:rPr>
        <w:t xml:space="preserve">en lo sucesivo el </w:t>
      </w:r>
      <w:r w:rsidRPr="00F01CE7">
        <w:rPr>
          <w:rFonts w:ascii="Palatino Linotype" w:eastAsia="Times New Roman" w:hAnsi="Palatino Linotype" w:cs="Palatino Linotype"/>
          <w:b/>
          <w:color w:val="000000"/>
          <w:sz w:val="24"/>
          <w:szCs w:val="24"/>
          <w:lang w:val="es-ES_tradnl" w:eastAsia="es-MX"/>
        </w:rPr>
        <w:t>Recurrente</w:t>
      </w:r>
      <w:r w:rsidRPr="00F01CE7">
        <w:rPr>
          <w:rFonts w:ascii="Palatino Linotype" w:eastAsia="Times New Roman" w:hAnsi="Palatino Linotype" w:cs="Palatino Linotype"/>
          <w:color w:val="000000"/>
          <w:sz w:val="24"/>
          <w:szCs w:val="24"/>
          <w:lang w:val="es-ES_tradnl" w:eastAsia="es-MX"/>
        </w:rPr>
        <w:t>, en contra de la falta de respuesta del</w:t>
      </w:r>
      <w:r w:rsidRPr="00F01CE7">
        <w:rPr>
          <w:rFonts w:ascii="Palatino Linotype" w:hAnsi="Palatino Linotype"/>
          <w:b/>
          <w:bCs/>
          <w:color w:val="000000"/>
          <w:sz w:val="24"/>
          <w:szCs w:val="24"/>
        </w:rPr>
        <w:t xml:space="preserve"> Sistema Municipal Para el Desarrollo Integral de la Familia de Ixtapaluca</w:t>
      </w:r>
      <w:r w:rsidRPr="00F01CE7">
        <w:rPr>
          <w:rFonts w:ascii="Palatino Linotype" w:eastAsia="Times New Roman" w:hAnsi="Palatino Linotype" w:cs="Palatino Linotype"/>
          <w:color w:val="000000"/>
          <w:sz w:val="24"/>
          <w:szCs w:val="24"/>
          <w:lang w:val="es-ES_tradnl" w:eastAsia="es-MX"/>
        </w:rPr>
        <w:t>, en lo subsecuente</w:t>
      </w:r>
      <w:r w:rsidRPr="00F01CE7">
        <w:rPr>
          <w:rFonts w:ascii="Palatino Linotype" w:eastAsia="Times New Roman" w:hAnsi="Palatino Linotype" w:cs="Palatino Linotype"/>
          <w:b/>
          <w:color w:val="000000"/>
          <w:sz w:val="24"/>
          <w:szCs w:val="24"/>
          <w:lang w:val="es-ES_tradnl" w:eastAsia="es-MX"/>
        </w:rPr>
        <w:t xml:space="preserve"> </w:t>
      </w:r>
      <w:r w:rsidRPr="00F01CE7">
        <w:rPr>
          <w:rFonts w:ascii="Palatino Linotype" w:eastAsia="Times New Roman" w:hAnsi="Palatino Linotype" w:cs="Palatino Linotype"/>
          <w:color w:val="000000"/>
          <w:sz w:val="24"/>
          <w:szCs w:val="24"/>
          <w:lang w:val="es-ES_tradnl" w:eastAsia="es-MX"/>
        </w:rPr>
        <w:t>el</w:t>
      </w:r>
      <w:r w:rsidRPr="00F01CE7">
        <w:rPr>
          <w:rFonts w:ascii="Palatino Linotype" w:eastAsia="Times New Roman" w:hAnsi="Palatino Linotype" w:cs="Palatino Linotype"/>
          <w:b/>
          <w:color w:val="000000"/>
          <w:sz w:val="24"/>
          <w:szCs w:val="24"/>
          <w:lang w:val="es-ES_tradnl" w:eastAsia="es-MX"/>
        </w:rPr>
        <w:t xml:space="preserve"> Sujeto Obligado, </w:t>
      </w:r>
      <w:r w:rsidRPr="00F01CE7">
        <w:rPr>
          <w:rFonts w:ascii="Palatino Linotype" w:eastAsia="Times New Roman" w:hAnsi="Palatino Linotype" w:cs="Palatino Linotype"/>
          <w:color w:val="000000"/>
          <w:sz w:val="24"/>
          <w:szCs w:val="24"/>
          <w:lang w:val="es-ES_tradnl" w:eastAsia="es-MX"/>
        </w:rPr>
        <w:t>se procede a dictar la presente resolución.</w:t>
      </w:r>
    </w:p>
    <w:p w14:paraId="00E8DB42" w14:textId="77777777" w:rsidR="00DF404C" w:rsidRPr="00F01CE7" w:rsidRDefault="00DF404C" w:rsidP="00DF404C">
      <w:pPr>
        <w:spacing w:after="0" w:line="360" w:lineRule="auto"/>
        <w:contextualSpacing/>
        <w:jc w:val="both"/>
        <w:rPr>
          <w:rFonts w:ascii="Palatino Linotype" w:eastAsia="Times New Roman" w:hAnsi="Palatino Linotype" w:cs="Palatino Linotype"/>
          <w:color w:val="000000"/>
          <w:sz w:val="24"/>
          <w:szCs w:val="24"/>
          <w:lang w:val="es-ES_tradnl" w:eastAsia="es-MX"/>
        </w:rPr>
      </w:pPr>
    </w:p>
    <w:p w14:paraId="00302662" w14:textId="77777777" w:rsidR="00DF404C" w:rsidRPr="00F01CE7" w:rsidRDefault="00DF404C" w:rsidP="00DF404C">
      <w:pPr>
        <w:keepNext/>
        <w:keepLines/>
        <w:spacing w:after="0" w:line="360" w:lineRule="auto"/>
        <w:jc w:val="center"/>
        <w:outlineLvl w:val="0"/>
        <w:rPr>
          <w:rFonts w:ascii="Palatino Linotype" w:eastAsia="Times New Roman" w:hAnsi="Palatino Linotype" w:cs="Times New Roman"/>
          <w:b/>
          <w:color w:val="000000" w:themeColor="text1"/>
          <w:sz w:val="32"/>
          <w:szCs w:val="32"/>
          <w:lang w:val="es-ES_tradnl" w:eastAsia="es-ES"/>
        </w:rPr>
      </w:pPr>
      <w:r w:rsidRPr="00F01CE7">
        <w:rPr>
          <w:rFonts w:ascii="Palatino Linotype" w:eastAsia="Times New Roman" w:hAnsi="Palatino Linotype" w:cs="Times New Roman"/>
          <w:b/>
          <w:color w:val="000000" w:themeColor="text1"/>
          <w:sz w:val="32"/>
          <w:szCs w:val="32"/>
          <w:lang w:val="es-ES_tradnl" w:eastAsia="es-ES"/>
        </w:rPr>
        <w:t>ANTECEDENTES</w:t>
      </w:r>
    </w:p>
    <w:p w14:paraId="523D21F1" w14:textId="77777777" w:rsidR="00DF404C" w:rsidRPr="00F01CE7" w:rsidRDefault="00DF404C" w:rsidP="00DF404C">
      <w:pPr>
        <w:spacing w:after="0" w:line="360" w:lineRule="auto"/>
        <w:contextualSpacing/>
        <w:jc w:val="both"/>
        <w:rPr>
          <w:rFonts w:ascii="Palatino Linotype" w:eastAsia="Times New Roman" w:hAnsi="Palatino Linotype" w:cs="Palatino Linotype"/>
          <w:color w:val="000000"/>
          <w:sz w:val="24"/>
          <w:szCs w:val="24"/>
          <w:lang w:val="es-ES_tradnl" w:eastAsia="es-MX"/>
        </w:rPr>
      </w:pPr>
    </w:p>
    <w:p w14:paraId="0E4C0390" w14:textId="77777777" w:rsidR="00DF404C" w:rsidRPr="00F01CE7" w:rsidRDefault="00DF404C" w:rsidP="00DF404C">
      <w:pPr>
        <w:spacing w:after="0" w:line="360" w:lineRule="auto"/>
        <w:contextualSpacing/>
        <w:jc w:val="both"/>
        <w:rPr>
          <w:rFonts w:ascii="Palatino Linotype" w:eastAsia="Times New Roman" w:hAnsi="Palatino Linotype" w:cs="Palatino Linotype"/>
          <w:color w:val="000000"/>
          <w:sz w:val="24"/>
          <w:szCs w:val="24"/>
          <w:lang w:val="es-ES_tradnl" w:eastAsia="es-MX"/>
        </w:rPr>
      </w:pPr>
    </w:p>
    <w:p w14:paraId="153173B2" w14:textId="77777777" w:rsidR="00DF404C" w:rsidRPr="00F01CE7" w:rsidRDefault="00DF404C" w:rsidP="00DF404C">
      <w:pPr>
        <w:keepNext/>
        <w:keepLines/>
        <w:spacing w:after="0" w:line="360" w:lineRule="auto"/>
        <w:jc w:val="both"/>
        <w:outlineLvl w:val="1"/>
        <w:rPr>
          <w:rFonts w:ascii="Palatino Linotype" w:eastAsia="Times New Roman" w:hAnsi="Palatino Linotype" w:cs="Times New Roman"/>
          <w:b/>
          <w:color w:val="000000" w:themeColor="text1"/>
          <w:sz w:val="28"/>
          <w:szCs w:val="28"/>
          <w:lang w:val="es-ES_tradnl" w:eastAsia="es-MX"/>
        </w:rPr>
      </w:pPr>
      <w:r w:rsidRPr="00F01CE7">
        <w:rPr>
          <w:rFonts w:ascii="Palatino Linotype" w:eastAsia="Times New Roman" w:hAnsi="Palatino Linotype" w:cs="Times New Roman"/>
          <w:b/>
          <w:color w:val="000000" w:themeColor="text1"/>
          <w:sz w:val="28"/>
          <w:szCs w:val="28"/>
          <w:lang w:val="es-ES_tradnl" w:eastAsia="es-MX"/>
        </w:rPr>
        <w:t>PRIMERO. De la Solicitud de Información.</w:t>
      </w:r>
    </w:p>
    <w:p w14:paraId="253038FA" w14:textId="77777777" w:rsidR="00DF404C" w:rsidRPr="00F01CE7" w:rsidRDefault="00DF404C" w:rsidP="00DF404C">
      <w:pPr>
        <w:spacing w:after="0" w:line="360" w:lineRule="auto"/>
        <w:contextualSpacing/>
        <w:jc w:val="both"/>
        <w:rPr>
          <w:rFonts w:ascii="Palatino Linotype" w:eastAsia="Times New Roman" w:hAnsi="Palatino Linotype" w:cs="Palatino Linotype"/>
          <w:color w:val="000000"/>
          <w:sz w:val="24"/>
          <w:szCs w:val="24"/>
          <w:lang w:val="es-ES_tradnl" w:eastAsia="es-MX"/>
        </w:rPr>
      </w:pPr>
      <w:r w:rsidRPr="00F01CE7">
        <w:rPr>
          <w:rFonts w:ascii="Palatino Linotype" w:eastAsia="Times New Roman" w:hAnsi="Palatino Linotype" w:cs="Palatino Linotype"/>
          <w:color w:val="000000"/>
          <w:sz w:val="24"/>
          <w:szCs w:val="24"/>
          <w:lang w:val="es-ES_tradnl" w:eastAsia="es-MX"/>
        </w:rPr>
        <w:t>Con fecha ocho de julio de dos mil veintiséis, el Recurrente presentó mediante el Sistema de Acceso a la Información Mexiquense (</w:t>
      </w:r>
      <w:r w:rsidRPr="00F01CE7">
        <w:rPr>
          <w:rFonts w:ascii="Palatino Linotype" w:eastAsia="Times New Roman" w:hAnsi="Palatino Linotype" w:cs="Palatino Linotype"/>
          <w:b/>
          <w:color w:val="000000"/>
          <w:sz w:val="24"/>
          <w:szCs w:val="24"/>
          <w:lang w:val="es-ES_tradnl" w:eastAsia="es-MX"/>
        </w:rPr>
        <w:t>SAIMEX</w:t>
      </w:r>
      <w:r w:rsidRPr="00F01CE7">
        <w:rPr>
          <w:rFonts w:ascii="Palatino Linotype" w:eastAsia="Times New Roman" w:hAnsi="Palatino Linotype" w:cs="Palatino Linotype"/>
          <w:color w:val="000000"/>
          <w:sz w:val="24"/>
          <w:szCs w:val="24"/>
          <w:lang w:val="es-ES_tradnl" w:eastAsia="es-MX"/>
        </w:rPr>
        <w:t xml:space="preserve">), solicitud de información registrada con el número de </w:t>
      </w:r>
      <w:r w:rsidRPr="00F01CE7">
        <w:rPr>
          <w:rFonts w:ascii="Palatino Linotype" w:eastAsia="Times New Roman" w:hAnsi="Palatino Linotype" w:cs="Palatino Linotype"/>
          <w:sz w:val="24"/>
          <w:szCs w:val="24"/>
          <w:lang w:val="es-ES_tradnl" w:eastAsia="es-MX"/>
        </w:rPr>
        <w:t>expediente</w:t>
      </w:r>
      <w:r w:rsidRPr="00F01CE7">
        <w:rPr>
          <w:rFonts w:ascii="Palatino Linotype" w:eastAsia="Times New Roman" w:hAnsi="Palatino Linotype" w:cs="Calibri"/>
          <w:b/>
          <w:bCs/>
          <w:color w:val="FF0000"/>
          <w:sz w:val="24"/>
          <w:szCs w:val="24"/>
          <w:lang w:val="es-ES_tradnl" w:eastAsia="es-MX"/>
        </w:rPr>
        <w:t> </w:t>
      </w:r>
      <w:r w:rsidRPr="00F01CE7">
        <w:rPr>
          <w:rFonts w:ascii="Palatino Linotype" w:hAnsi="Palatino Linotype"/>
          <w:color w:val="000000"/>
          <w:sz w:val="24"/>
          <w:szCs w:val="24"/>
        </w:rPr>
        <w:t> </w:t>
      </w:r>
      <w:r w:rsidRPr="00F01CE7">
        <w:rPr>
          <w:rFonts w:ascii="Palatino Linotype" w:hAnsi="Palatino Linotype"/>
          <w:b/>
          <w:bCs/>
          <w:sz w:val="24"/>
          <w:szCs w:val="24"/>
        </w:rPr>
        <w:t>00216/DIFIXTAPAL/IP/2026</w:t>
      </w:r>
      <w:r w:rsidRPr="00F01CE7">
        <w:rPr>
          <w:rFonts w:ascii="Palatino Linotype" w:eastAsia="Times New Roman" w:hAnsi="Palatino Linotype" w:cs="Palatino Linotype"/>
          <w:sz w:val="24"/>
          <w:szCs w:val="24"/>
          <w:lang w:val="es-ES_tradnl" w:eastAsia="es-MX"/>
        </w:rPr>
        <w:t>,</w:t>
      </w:r>
      <w:r w:rsidRPr="00F01CE7">
        <w:rPr>
          <w:rFonts w:ascii="Palatino Linotype" w:eastAsia="Times New Roman" w:hAnsi="Palatino Linotype" w:cs="Palatino Linotype"/>
          <w:b/>
          <w:sz w:val="24"/>
          <w:szCs w:val="24"/>
          <w:lang w:val="es-ES_tradnl" w:eastAsia="es-MX"/>
        </w:rPr>
        <w:t xml:space="preserve"> </w:t>
      </w:r>
      <w:r w:rsidRPr="00F01CE7">
        <w:rPr>
          <w:rFonts w:ascii="Palatino Linotype" w:eastAsia="Times New Roman" w:hAnsi="Palatino Linotype" w:cs="Palatino Linotype"/>
          <w:color w:val="000000"/>
          <w:sz w:val="24"/>
          <w:szCs w:val="24"/>
          <w:lang w:val="es-ES_tradnl" w:eastAsia="es-MX"/>
        </w:rPr>
        <w:t>mediante la cual solicitó información en el tenor siguiente:</w:t>
      </w:r>
    </w:p>
    <w:p w14:paraId="460682F8" w14:textId="77777777" w:rsidR="00DF404C" w:rsidRPr="00F01CE7" w:rsidRDefault="00DF404C" w:rsidP="00DF404C">
      <w:pPr>
        <w:spacing w:after="0" w:line="360" w:lineRule="auto"/>
        <w:ind w:left="567" w:right="567"/>
        <w:contextualSpacing/>
        <w:jc w:val="both"/>
        <w:rPr>
          <w:rFonts w:ascii="Palatino Linotype" w:hAnsi="Palatino Linotype"/>
          <w:i/>
          <w:color w:val="000000"/>
          <w:sz w:val="24"/>
          <w:szCs w:val="24"/>
        </w:rPr>
      </w:pPr>
      <w:r w:rsidRPr="00F01CE7">
        <w:rPr>
          <w:rFonts w:ascii="Palatino Linotype" w:hAnsi="Palatino Linotype"/>
          <w:i/>
          <w:color w:val="000000"/>
          <w:sz w:val="24"/>
          <w:szCs w:val="24"/>
        </w:rPr>
        <w:t xml:space="preserve">“Se solicita copia de los oficios ejecutivos firmados por el Director General mediante los cuales presentó las aclaraciones y pruebas para la solventación definitiva de los </w:t>
      </w:r>
      <w:r w:rsidRPr="00F01CE7">
        <w:rPr>
          <w:rFonts w:ascii="Palatino Linotype" w:hAnsi="Palatino Linotype"/>
          <w:i/>
          <w:color w:val="000000"/>
          <w:sz w:val="24"/>
          <w:szCs w:val="24"/>
        </w:rPr>
        <w:lastRenderedPageBreak/>
        <w:t>pliegos de observaciones de la Cuenta Pública de los ejercicios 2022 y 2023 ante el OSFEM.</w:t>
      </w:r>
      <w:r w:rsidRPr="00F01CE7">
        <w:rPr>
          <w:rFonts w:ascii="Palatino Linotype" w:hAnsi="Palatino Linotype"/>
          <w:i/>
          <w:color w:val="000000"/>
          <w:sz w:val="24"/>
          <w:szCs w:val="24"/>
          <w:lang w:val="es-ES_tradnl"/>
        </w:rPr>
        <w:t xml:space="preserve">” </w:t>
      </w:r>
      <w:r w:rsidRPr="00F01CE7">
        <w:rPr>
          <w:rFonts w:ascii="Palatino Linotype" w:eastAsia="Times New Roman" w:hAnsi="Palatino Linotype" w:cs="Palatino Linotype"/>
          <w:i/>
          <w:color w:val="000000"/>
          <w:sz w:val="24"/>
          <w:szCs w:val="24"/>
          <w:lang w:val="es-ES_tradnl" w:eastAsia="es-MX"/>
        </w:rPr>
        <w:t>(Sic)</w:t>
      </w:r>
    </w:p>
    <w:p w14:paraId="02DB4E1F" w14:textId="77777777" w:rsidR="00DF404C" w:rsidRPr="00F01CE7" w:rsidRDefault="00DF404C" w:rsidP="00DF404C">
      <w:pPr>
        <w:spacing w:after="0" w:line="360" w:lineRule="auto"/>
        <w:contextualSpacing/>
        <w:jc w:val="both"/>
        <w:rPr>
          <w:rFonts w:ascii="Palatino Linotype" w:eastAsia="Times New Roman" w:hAnsi="Palatino Linotype" w:cs="Palatino Linotype"/>
          <w:color w:val="000000"/>
          <w:sz w:val="24"/>
          <w:szCs w:val="24"/>
          <w:lang w:val="es-ES_tradnl" w:eastAsia="es-MX"/>
        </w:rPr>
      </w:pPr>
      <w:r w:rsidRPr="00F01CE7">
        <w:rPr>
          <w:rFonts w:ascii="Palatino Linotype" w:eastAsia="Times New Roman" w:hAnsi="Palatino Linotype" w:cs="Palatino Linotype"/>
          <w:color w:val="000000"/>
          <w:sz w:val="24"/>
          <w:szCs w:val="24"/>
          <w:lang w:val="es-ES_tradnl" w:eastAsia="es-MX"/>
        </w:rPr>
        <w:t xml:space="preserve">Modalidad de entrega: </w:t>
      </w:r>
      <w:r w:rsidRPr="00F01CE7">
        <w:rPr>
          <w:rFonts w:ascii="Palatino Linotype" w:eastAsia="Times New Roman" w:hAnsi="Palatino Linotype" w:cs="Palatino Linotype"/>
          <w:b/>
          <w:color w:val="000000"/>
          <w:sz w:val="24"/>
          <w:szCs w:val="24"/>
          <w:lang w:val="es-ES_tradnl" w:eastAsia="es-MX"/>
        </w:rPr>
        <w:t>A través del SAIMEX</w:t>
      </w:r>
      <w:r w:rsidRPr="00F01CE7">
        <w:rPr>
          <w:rFonts w:ascii="Palatino Linotype" w:eastAsia="Times New Roman" w:hAnsi="Palatino Linotype" w:cs="Palatino Linotype"/>
          <w:color w:val="000000"/>
          <w:sz w:val="24"/>
          <w:szCs w:val="24"/>
          <w:lang w:val="es-ES_tradnl" w:eastAsia="es-MX"/>
        </w:rPr>
        <w:t>.</w:t>
      </w:r>
    </w:p>
    <w:p w14:paraId="3250AF90" w14:textId="77777777" w:rsidR="00DF404C" w:rsidRPr="00F01CE7" w:rsidRDefault="00DF404C" w:rsidP="00DF404C">
      <w:pPr>
        <w:spacing w:after="0" w:line="360" w:lineRule="auto"/>
        <w:contextualSpacing/>
        <w:jc w:val="both"/>
        <w:rPr>
          <w:rFonts w:ascii="Palatino Linotype" w:eastAsia="Times New Roman" w:hAnsi="Palatino Linotype" w:cs="Palatino Linotype"/>
          <w:color w:val="000000"/>
          <w:sz w:val="24"/>
          <w:szCs w:val="24"/>
          <w:lang w:val="es-ES_tradnl" w:eastAsia="es-MX"/>
        </w:rPr>
      </w:pPr>
    </w:p>
    <w:p w14:paraId="5C6BF8E9" w14:textId="77777777" w:rsidR="00DF404C" w:rsidRPr="00F01CE7" w:rsidRDefault="00DF404C" w:rsidP="00DF404C">
      <w:pPr>
        <w:spacing w:line="360" w:lineRule="auto"/>
        <w:jc w:val="both"/>
        <w:rPr>
          <w:rFonts w:ascii="Palatino Linotype" w:hAnsi="Palatino Linotype" w:cs="Arial"/>
          <w:sz w:val="24"/>
        </w:rPr>
      </w:pPr>
      <w:r w:rsidRPr="00F01CE7">
        <w:rPr>
          <w:rFonts w:ascii="Palatino Linotype" w:hAnsi="Palatino Linotype" w:cs="Arial"/>
          <w:b/>
          <w:sz w:val="28"/>
        </w:rPr>
        <w:t>SEGUNDO.</w:t>
      </w:r>
      <w:r w:rsidRPr="00F01CE7">
        <w:rPr>
          <w:rFonts w:ascii="Palatino Linotype" w:hAnsi="Palatino Linotype" w:cs="Arial"/>
          <w:b/>
          <w:sz w:val="24"/>
          <w:szCs w:val="24"/>
        </w:rPr>
        <w:t xml:space="preserve"> </w:t>
      </w:r>
      <w:r w:rsidRPr="00F01CE7">
        <w:rPr>
          <w:rFonts w:ascii="Palatino Linotype" w:hAnsi="Palatino Linotype"/>
          <w:b/>
          <w:sz w:val="28"/>
        </w:rPr>
        <w:t xml:space="preserve">De la </w:t>
      </w:r>
      <w:r w:rsidRPr="00F01CE7">
        <w:rPr>
          <w:rFonts w:ascii="Palatino Linotype" w:eastAsia="Palatino Linotype" w:hAnsi="Palatino Linotype" w:cs="Palatino Linotype"/>
          <w:b/>
          <w:sz w:val="28"/>
          <w:szCs w:val="28"/>
        </w:rPr>
        <w:t>falta de respuesta del Sujeto Obligado</w:t>
      </w:r>
    </w:p>
    <w:p w14:paraId="3538EC12" w14:textId="77777777" w:rsidR="00DF404C" w:rsidRPr="00F01CE7" w:rsidRDefault="00DF404C" w:rsidP="00DF404C">
      <w:pPr>
        <w:spacing w:after="0" w:line="360" w:lineRule="auto"/>
        <w:contextualSpacing/>
        <w:jc w:val="both"/>
        <w:rPr>
          <w:rFonts w:ascii="Palatino Linotype" w:eastAsia="Palatino Linotype" w:hAnsi="Palatino Linotype" w:cs="Palatino Linotype"/>
          <w:sz w:val="24"/>
          <w:szCs w:val="24"/>
        </w:rPr>
      </w:pPr>
      <w:r w:rsidRPr="00F01CE7">
        <w:rPr>
          <w:rFonts w:ascii="Palatino Linotype" w:eastAsia="Palatino Linotype" w:hAnsi="Palatino Linotype" w:cs="Palatino Linotype"/>
          <w:sz w:val="24"/>
          <w:szCs w:val="24"/>
        </w:rPr>
        <w:t xml:space="preserve">En el expediente electrónico SAIMEX, se observa que el Sujeto Obligado fue omiso en dar respuesta a la solicitud de información presentada por la Recurrente. Derivado de lo anterior, se constituye la figura de la </w:t>
      </w:r>
      <w:r w:rsidRPr="00F01CE7">
        <w:rPr>
          <w:rFonts w:ascii="Palatino Linotype" w:eastAsia="Palatino Linotype" w:hAnsi="Palatino Linotype" w:cs="Palatino Linotype"/>
          <w:b/>
          <w:sz w:val="24"/>
          <w:szCs w:val="24"/>
        </w:rPr>
        <w:t>Negativa Ficta</w:t>
      </w:r>
      <w:r w:rsidRPr="00F01CE7">
        <w:rPr>
          <w:rFonts w:ascii="Palatino Linotype" w:eastAsia="Palatino Linotype" w:hAnsi="Palatino Linotype" w:cs="Palatino Linotype"/>
          <w:sz w:val="24"/>
          <w:szCs w:val="24"/>
        </w:rPr>
        <w:t>, cuya esencia consiste en atribuir un efecto negativo de la autoridad administrativa frente a las instancias y solicitudes que hagan los particulares.</w:t>
      </w:r>
    </w:p>
    <w:p w14:paraId="63C537D1" w14:textId="77777777" w:rsidR="00DF404C" w:rsidRPr="00F01CE7" w:rsidRDefault="00DF404C" w:rsidP="00DF404C">
      <w:pPr>
        <w:spacing w:after="0" w:line="360" w:lineRule="auto"/>
        <w:contextualSpacing/>
        <w:jc w:val="both"/>
        <w:rPr>
          <w:rFonts w:ascii="Palatino Linotype" w:hAnsi="Palatino Linotype" w:cs="Arial"/>
          <w:b/>
          <w:bCs/>
          <w:i/>
          <w:sz w:val="24"/>
          <w:szCs w:val="24"/>
        </w:rPr>
      </w:pPr>
    </w:p>
    <w:p w14:paraId="1FFB3F7E" w14:textId="77777777" w:rsidR="00DF404C" w:rsidRPr="00F01CE7" w:rsidRDefault="00DF404C" w:rsidP="00DF404C">
      <w:pPr>
        <w:keepNext/>
        <w:keepLines/>
        <w:spacing w:after="0" w:line="360" w:lineRule="auto"/>
        <w:jc w:val="both"/>
        <w:outlineLvl w:val="1"/>
        <w:rPr>
          <w:rFonts w:ascii="Palatino Linotype" w:eastAsia="Times New Roman" w:hAnsi="Palatino Linotype" w:cs="Times New Roman"/>
          <w:b/>
          <w:color w:val="000000" w:themeColor="text1"/>
          <w:sz w:val="28"/>
          <w:szCs w:val="28"/>
          <w:lang w:val="es-ES_tradnl" w:eastAsia="es-MX"/>
        </w:rPr>
      </w:pPr>
      <w:r w:rsidRPr="00F01CE7">
        <w:rPr>
          <w:rFonts w:ascii="Palatino Linotype" w:eastAsia="Times New Roman" w:hAnsi="Palatino Linotype" w:cs="Times New Roman"/>
          <w:b/>
          <w:color w:val="000000" w:themeColor="text1"/>
          <w:sz w:val="28"/>
          <w:szCs w:val="28"/>
          <w:lang w:val="es-ES_tradnl" w:eastAsia="es-MX"/>
        </w:rPr>
        <w:t>TERCERO. Del recurso de revisión.</w:t>
      </w:r>
    </w:p>
    <w:p w14:paraId="04BF9434" w14:textId="77777777" w:rsidR="00DF404C" w:rsidRPr="00F01CE7" w:rsidRDefault="00DF404C" w:rsidP="00DF404C">
      <w:pPr>
        <w:spacing w:after="0" w:line="360" w:lineRule="auto"/>
        <w:contextualSpacing/>
        <w:jc w:val="both"/>
        <w:rPr>
          <w:rFonts w:ascii="Palatino Linotype" w:eastAsia="Times New Roman" w:hAnsi="Palatino Linotype" w:cs="Palatino Linotype"/>
          <w:color w:val="000000"/>
          <w:sz w:val="24"/>
          <w:szCs w:val="24"/>
          <w:lang w:val="es-ES_tradnl" w:eastAsia="es-MX"/>
        </w:rPr>
      </w:pPr>
      <w:r w:rsidRPr="00F01CE7">
        <w:rPr>
          <w:rFonts w:ascii="Palatino Linotype" w:eastAsia="Times New Roman" w:hAnsi="Palatino Linotype" w:cs="Palatino Linotype"/>
          <w:color w:val="000000"/>
          <w:sz w:val="24"/>
          <w:szCs w:val="24"/>
          <w:lang w:val="es-ES_tradnl" w:eastAsia="es-MX"/>
        </w:rPr>
        <w:t xml:space="preserve">Inconforme con la respuesta emitida por el Sujeto Obligado, el Recurrente interpuso el presente recurso de revisión el día </w:t>
      </w:r>
      <w:r w:rsidRPr="00F01CE7">
        <w:rPr>
          <w:rFonts w:ascii="Palatino Linotype" w:eastAsia="Times New Roman" w:hAnsi="Palatino Linotype" w:cs="Palatino Linotype"/>
          <w:b/>
          <w:bCs/>
          <w:color w:val="000000"/>
          <w:sz w:val="24"/>
          <w:szCs w:val="24"/>
          <w:lang w:val="es-ES_tradnl" w:eastAsia="es-MX"/>
        </w:rPr>
        <w:t>trece de agosto de dos mil veintiséis</w:t>
      </w:r>
      <w:r w:rsidRPr="00F01CE7">
        <w:rPr>
          <w:rFonts w:ascii="Palatino Linotype" w:eastAsia="Times New Roman" w:hAnsi="Palatino Linotype" w:cs="Palatino Linotype"/>
          <w:color w:val="000000"/>
          <w:sz w:val="24"/>
          <w:szCs w:val="24"/>
          <w:lang w:val="es-ES_tradnl" w:eastAsia="es-MX"/>
        </w:rPr>
        <w:t xml:space="preserve">, el cual se registró con el expediente número </w:t>
      </w:r>
      <w:r w:rsidRPr="00F01CE7">
        <w:rPr>
          <w:rFonts w:ascii="Palatino Linotype" w:eastAsia="Times New Roman" w:hAnsi="Palatino Linotype" w:cs="Palatino Linotype"/>
          <w:b/>
          <w:color w:val="000000"/>
          <w:sz w:val="24"/>
          <w:szCs w:val="24"/>
          <w:lang w:val="es-ES_tradnl" w:eastAsia="es-MX"/>
        </w:rPr>
        <w:t>07787/INFOEM/IP/RR/2026</w:t>
      </w:r>
      <w:r w:rsidRPr="00F01CE7">
        <w:rPr>
          <w:rFonts w:ascii="Palatino Linotype" w:eastAsia="Times New Roman" w:hAnsi="Palatino Linotype" w:cs="Palatino Linotype"/>
          <w:color w:val="000000"/>
          <w:sz w:val="24"/>
          <w:szCs w:val="24"/>
          <w:lang w:val="es-ES_tradnl" w:eastAsia="es-MX"/>
        </w:rPr>
        <w:t>, manifestando lo siguiente:</w:t>
      </w:r>
    </w:p>
    <w:p w14:paraId="44A530AF" w14:textId="77777777" w:rsidR="00DF404C" w:rsidRPr="00F01CE7" w:rsidRDefault="00DF404C" w:rsidP="00DF404C">
      <w:pPr>
        <w:pStyle w:val="Prrafodelista"/>
        <w:numPr>
          <w:ilvl w:val="0"/>
          <w:numId w:val="1"/>
        </w:numPr>
        <w:spacing w:after="0" w:line="360" w:lineRule="auto"/>
        <w:ind w:right="567"/>
        <w:jc w:val="both"/>
        <w:rPr>
          <w:rFonts w:ascii="Palatino Linotype" w:hAnsi="Palatino Linotype"/>
          <w:i/>
          <w:color w:val="000000"/>
          <w:sz w:val="24"/>
          <w:szCs w:val="24"/>
        </w:rPr>
      </w:pPr>
      <w:r w:rsidRPr="00F01CE7">
        <w:rPr>
          <w:rFonts w:ascii="Palatino Linotype" w:hAnsi="Palatino Linotype" w:cs="Palatino Linotype"/>
          <w:b/>
          <w:i/>
          <w:sz w:val="24"/>
          <w:szCs w:val="24"/>
          <w:lang w:val="es-ES_tradnl" w:eastAsia="es-MX"/>
        </w:rPr>
        <w:t xml:space="preserve">Acto Impugnado </w:t>
      </w:r>
    </w:p>
    <w:p w14:paraId="10498058" w14:textId="77777777" w:rsidR="00DF404C" w:rsidRPr="00F01CE7" w:rsidRDefault="00DF404C" w:rsidP="00DF404C">
      <w:pPr>
        <w:pStyle w:val="Prrafodelista"/>
        <w:ind w:left="785"/>
        <w:jc w:val="both"/>
        <w:rPr>
          <w:rFonts w:ascii="Palatino Linotype" w:hAnsi="Palatino Linotype"/>
          <w:i/>
          <w:color w:val="000000"/>
          <w:sz w:val="24"/>
          <w:szCs w:val="24"/>
        </w:rPr>
      </w:pPr>
      <w:r w:rsidRPr="00F01CE7">
        <w:rPr>
          <w:rFonts w:ascii="Palatino Linotype" w:eastAsia="Times New Roman" w:hAnsi="Palatino Linotype" w:cs="Times New Roman"/>
          <w:sz w:val="24"/>
          <w:szCs w:val="24"/>
          <w:lang w:eastAsia="es-MX"/>
        </w:rPr>
        <w:t>“</w:t>
      </w:r>
      <w:r w:rsidRPr="00F01CE7">
        <w:rPr>
          <w:rFonts w:ascii="Palatino Linotype" w:hAnsi="Palatino Linotype"/>
          <w:i/>
          <w:color w:val="000000"/>
          <w:sz w:val="24"/>
          <w:szCs w:val="24"/>
        </w:rPr>
        <w:t>La falta de respuesta a la solicitud de información presentada a través del sistema SAIMEX ante la Unidad de Transparencia del Sistema Municipal DIF de Ixtapaluca, Estado de México, habiendo vencido el plazo legal establecido en la Ley de la materia.</w:t>
      </w:r>
      <w:r w:rsidRPr="00F01CE7">
        <w:rPr>
          <w:rFonts w:ascii="Palatino Linotype" w:eastAsia="Times New Roman" w:hAnsi="Palatino Linotype" w:cs="Times New Roman"/>
          <w:i/>
          <w:sz w:val="24"/>
          <w:szCs w:val="24"/>
          <w:lang w:eastAsia="es-MX"/>
        </w:rPr>
        <w:t xml:space="preserve"> “</w:t>
      </w:r>
      <w:r w:rsidRPr="00F01CE7">
        <w:rPr>
          <w:rFonts w:ascii="Palatino Linotype" w:hAnsi="Palatino Linotype"/>
          <w:i/>
          <w:color w:val="000000"/>
          <w:sz w:val="24"/>
          <w:szCs w:val="24"/>
        </w:rPr>
        <w:t xml:space="preserve"> (Sic)</w:t>
      </w:r>
    </w:p>
    <w:p w14:paraId="6ECD707B" w14:textId="77777777" w:rsidR="00DF404C" w:rsidRPr="00F01CE7" w:rsidRDefault="00DF404C" w:rsidP="00DF404C">
      <w:pPr>
        <w:pStyle w:val="Prrafodelista"/>
        <w:spacing w:after="0" w:line="360" w:lineRule="auto"/>
        <w:ind w:left="785" w:right="567"/>
        <w:jc w:val="both"/>
        <w:rPr>
          <w:rFonts w:ascii="Palatino Linotype" w:hAnsi="Palatino Linotype"/>
          <w:i/>
          <w:color w:val="000000"/>
          <w:sz w:val="24"/>
          <w:szCs w:val="24"/>
        </w:rPr>
      </w:pPr>
    </w:p>
    <w:p w14:paraId="5A610795" w14:textId="77777777" w:rsidR="00DF404C" w:rsidRPr="00F01CE7" w:rsidRDefault="00DF404C" w:rsidP="00DF404C">
      <w:pPr>
        <w:pStyle w:val="Prrafodelista"/>
        <w:numPr>
          <w:ilvl w:val="0"/>
          <w:numId w:val="1"/>
        </w:numPr>
        <w:spacing w:after="0" w:line="360" w:lineRule="auto"/>
        <w:ind w:right="567"/>
        <w:jc w:val="both"/>
        <w:rPr>
          <w:rFonts w:ascii="Palatino Linotype" w:hAnsi="Palatino Linotype"/>
          <w:i/>
          <w:color w:val="000000"/>
          <w:sz w:val="24"/>
          <w:szCs w:val="24"/>
        </w:rPr>
      </w:pPr>
      <w:r w:rsidRPr="00F01CE7">
        <w:rPr>
          <w:rFonts w:ascii="Palatino Linotype" w:eastAsia="Times New Roman" w:hAnsi="Palatino Linotype" w:cs="Palatino Linotype"/>
          <w:b/>
          <w:i/>
          <w:sz w:val="24"/>
          <w:szCs w:val="24"/>
          <w:lang w:val="es-ES_tradnl" w:eastAsia="es-MX"/>
        </w:rPr>
        <w:t>Motivos de Inconformidad</w:t>
      </w:r>
    </w:p>
    <w:p w14:paraId="576CC45B" w14:textId="6A37AF8D" w:rsidR="00DF404C" w:rsidRPr="00F01CE7" w:rsidRDefault="00DF404C" w:rsidP="00DF404C">
      <w:pPr>
        <w:ind w:left="425"/>
        <w:jc w:val="both"/>
        <w:rPr>
          <w:rFonts w:ascii="Palatino Linotype" w:hAnsi="Palatino Linotype"/>
          <w:i/>
          <w:color w:val="000000"/>
          <w:sz w:val="24"/>
          <w:szCs w:val="24"/>
        </w:rPr>
      </w:pPr>
      <w:r w:rsidRPr="00F01CE7">
        <w:rPr>
          <w:rFonts w:ascii="Palatino Linotype" w:eastAsia="Times New Roman" w:hAnsi="Palatino Linotype" w:cs="Times New Roman"/>
          <w:sz w:val="24"/>
          <w:szCs w:val="24"/>
          <w:lang w:eastAsia="es-MX"/>
        </w:rPr>
        <w:t>“</w:t>
      </w:r>
      <w:r w:rsidRPr="00F01CE7">
        <w:rPr>
          <w:rFonts w:ascii="Palatino Linotype" w:hAnsi="Palatino Linotype"/>
          <w:i/>
          <w:color w:val="000000"/>
          <w:sz w:val="24"/>
          <w:szCs w:val="24"/>
        </w:rPr>
        <w:t xml:space="preserve">El que suscribe, </w:t>
      </w:r>
      <w:r w:rsidR="00DD2056">
        <w:rPr>
          <w:rFonts w:ascii="Palatino Linotype" w:hAnsi="Palatino Linotype"/>
          <w:i/>
          <w:color w:val="000000"/>
          <w:sz w:val="24"/>
          <w:szCs w:val="24"/>
        </w:rPr>
        <w:t>xxxxxxxxxxxxxxxxxxxxxx</w:t>
      </w:r>
      <w:bookmarkStart w:id="0" w:name="_GoBack"/>
      <w:bookmarkEnd w:id="0"/>
      <w:r w:rsidRPr="00F01CE7">
        <w:rPr>
          <w:rFonts w:ascii="Palatino Linotype" w:hAnsi="Palatino Linotype"/>
          <w:i/>
          <w:color w:val="000000"/>
          <w:sz w:val="24"/>
          <w:szCs w:val="24"/>
        </w:rPr>
        <w:t xml:space="preserve">, comparezco ante este Instituto para interponer el presente RECURSO DE REVISIÓN en contra de la Unidad de Transparencia del Sistema </w:t>
      </w:r>
      <w:r w:rsidRPr="00F01CE7">
        <w:rPr>
          <w:rFonts w:ascii="Palatino Linotype" w:hAnsi="Palatino Linotype"/>
          <w:i/>
          <w:color w:val="000000"/>
          <w:sz w:val="24"/>
          <w:szCs w:val="24"/>
        </w:rPr>
        <w:lastRenderedPageBreak/>
        <w:t xml:space="preserve">Municipal DIF de Ixtapaluca, Estado de México, por la falta de respuesta a la solicitud de información. I. MOTIVOS DE INCONFORMIDAD Y HECHOS 1. Presenté a través del sistema SAIMEX una solicitud de acceso a la información pública dirigida al DIF Ixtapaluca, la cual, a la fecha de presentación de este recurso, no ha recibido respuesta alguna, habiendo vencido el plazo legal establecido en la Ley de Transparencia del Estado de México. 2. PATRÓN DE OMISIÓN SISTEMÁTICA: Hago de su conocimiento, como elemento crucial para la valoración de este recurso, que esta conducta no es un hecho aislado. La Unidad de Transparencia del DIF Ixtapaluca ha incurrido en una política de obstrucción sistemática, acumulando diversas solicitudes de información bajo mi gestión desde </w:t>
      </w:r>
      <w:proofErr w:type="spellStart"/>
      <w:r w:rsidRPr="00F01CE7">
        <w:rPr>
          <w:rFonts w:ascii="Palatino Linotype" w:hAnsi="Palatino Linotype"/>
          <w:i/>
          <w:color w:val="000000"/>
          <w:sz w:val="24"/>
          <w:szCs w:val="24"/>
        </w:rPr>
        <w:t>ele</w:t>
      </w:r>
      <w:proofErr w:type="spellEnd"/>
      <w:r w:rsidRPr="00F01CE7">
        <w:rPr>
          <w:rFonts w:ascii="Palatino Linotype" w:hAnsi="Palatino Linotype"/>
          <w:i/>
          <w:color w:val="000000"/>
          <w:sz w:val="24"/>
          <w:szCs w:val="24"/>
        </w:rPr>
        <w:t xml:space="preserve"> año pasado las cuales permanecen en estado de "vencido" o "sin respuesta" de manera reiterada. 3. Esta omisión deliberada constituye una violación directa a los artículos donde se establecen las sanciones de la Ley de la materia, vulnerando mi derecho fundamental de acceso a la información y demostrando una falta de voluntad institucional por parte de dicha Unidad de Transparencia para cumplir con sus obligaciones legales. II. PETICIONES Por lo anteriormente expuesto, solicito atentamente: * PRIMERO. Tener por interpuesto el presente recurso de revisión en tiempo y forma, y admitirlo a trámite. * SEGUNDO. Requerir de manera inmediata a la Unidad de Transparencia del DIF Ixtapaluca la entrega íntegra de la información solicitada en el folio referido. * TERCERO. Dada la reiterada conducta omisa del sujeto obligado, solicito respetuosamente al Pleno del INFOEM que, al momento de resolver, se apliquen las medidas de apremio y sanciones administrativas correspondientes a los servidores públicos responsables, a fin de garantizar el cese de estas prácticas dilatorias y asegurar el cumplimiento de la ley en futuras peticiones</w:t>
      </w:r>
      <w:r w:rsidRPr="00F01CE7">
        <w:rPr>
          <w:rFonts w:ascii="Palatino Linotype" w:eastAsia="Times New Roman" w:hAnsi="Palatino Linotype" w:cs="Times New Roman"/>
          <w:i/>
          <w:sz w:val="24"/>
          <w:szCs w:val="24"/>
          <w:lang w:eastAsia="es-MX"/>
        </w:rPr>
        <w:t>“</w:t>
      </w:r>
      <w:r w:rsidRPr="00F01CE7">
        <w:rPr>
          <w:rFonts w:ascii="Palatino Linotype" w:hAnsi="Palatino Linotype"/>
          <w:i/>
          <w:color w:val="000000"/>
          <w:sz w:val="24"/>
          <w:szCs w:val="24"/>
        </w:rPr>
        <w:t xml:space="preserve"> (Sic)</w:t>
      </w:r>
    </w:p>
    <w:p w14:paraId="02B5C01D" w14:textId="77777777" w:rsidR="00DF404C" w:rsidRPr="00F01CE7" w:rsidRDefault="00DF404C" w:rsidP="00DF404C">
      <w:pPr>
        <w:spacing w:after="0" w:line="360" w:lineRule="auto"/>
        <w:ind w:right="567"/>
        <w:contextualSpacing/>
        <w:jc w:val="both"/>
        <w:rPr>
          <w:rFonts w:ascii="Palatino Linotype" w:eastAsia="Times New Roman" w:hAnsi="Palatino Linotype" w:cs="Palatino Linotype"/>
          <w:b/>
          <w:i/>
          <w:color w:val="000000"/>
          <w:lang w:val="es-ES_tradnl" w:eastAsia="es-MX"/>
        </w:rPr>
      </w:pPr>
    </w:p>
    <w:p w14:paraId="1197BEFA" w14:textId="77777777" w:rsidR="00DF404C" w:rsidRPr="00F01CE7" w:rsidRDefault="00DF404C" w:rsidP="00DF404C">
      <w:pPr>
        <w:keepNext/>
        <w:keepLines/>
        <w:spacing w:after="0" w:line="360" w:lineRule="auto"/>
        <w:jc w:val="both"/>
        <w:outlineLvl w:val="1"/>
        <w:rPr>
          <w:rFonts w:ascii="Palatino Linotype" w:eastAsia="Times New Roman" w:hAnsi="Palatino Linotype" w:cs="Times New Roman"/>
          <w:b/>
          <w:color w:val="000000" w:themeColor="text1"/>
          <w:sz w:val="28"/>
          <w:szCs w:val="28"/>
          <w:lang w:val="es-ES_tradnl" w:eastAsia="es-MX"/>
        </w:rPr>
      </w:pPr>
      <w:r w:rsidRPr="00F01CE7">
        <w:rPr>
          <w:rFonts w:ascii="Palatino Linotype" w:eastAsia="Times New Roman" w:hAnsi="Palatino Linotype" w:cs="Times New Roman"/>
          <w:b/>
          <w:color w:val="000000" w:themeColor="text1"/>
          <w:sz w:val="28"/>
          <w:szCs w:val="28"/>
          <w:lang w:val="es-ES_tradnl" w:eastAsia="es-MX"/>
        </w:rPr>
        <w:t>CUARTO. Del turno y admisión del recurso de revisión.</w:t>
      </w:r>
    </w:p>
    <w:p w14:paraId="05863745" w14:textId="77777777" w:rsidR="00DF404C" w:rsidRPr="00F01CE7" w:rsidRDefault="00DF404C" w:rsidP="00DF404C">
      <w:pPr>
        <w:spacing w:after="0" w:line="360" w:lineRule="auto"/>
        <w:contextualSpacing/>
        <w:jc w:val="both"/>
        <w:rPr>
          <w:rFonts w:ascii="Palatino Linotype" w:eastAsia="Times New Roman" w:hAnsi="Palatino Linotype" w:cs="Palatino Linotype"/>
          <w:color w:val="000000"/>
          <w:sz w:val="24"/>
          <w:szCs w:val="24"/>
          <w:lang w:val="es-ES_tradnl" w:eastAsia="es-MX"/>
        </w:rPr>
      </w:pPr>
      <w:r w:rsidRPr="00F01CE7">
        <w:rPr>
          <w:rFonts w:ascii="Palatino Linotype" w:eastAsia="Times New Roman" w:hAnsi="Palatino Linotype" w:cs="Palatino Linotype"/>
          <w:color w:val="000000"/>
          <w:sz w:val="24"/>
          <w:szCs w:val="24"/>
          <w:lang w:val="es-ES_tradnl" w:eastAsia="es-MX"/>
        </w:rPr>
        <w:t xml:space="preserve">Medio de impugnación que le fue turnado a la </w:t>
      </w:r>
      <w:r w:rsidRPr="00F01CE7">
        <w:rPr>
          <w:rFonts w:ascii="Palatino Linotype" w:eastAsia="Times New Roman" w:hAnsi="Palatino Linotype" w:cs="Palatino Linotype"/>
          <w:b/>
          <w:color w:val="000000"/>
          <w:sz w:val="24"/>
          <w:szCs w:val="24"/>
          <w:lang w:val="es-ES_tradnl" w:eastAsia="es-MX"/>
        </w:rPr>
        <w:t xml:space="preserve">Comisionada  Sharon Cristina Morales </w:t>
      </w:r>
      <w:proofErr w:type="spellStart"/>
      <w:r w:rsidRPr="00F01CE7">
        <w:rPr>
          <w:rFonts w:ascii="Palatino Linotype" w:eastAsia="Times New Roman" w:hAnsi="Palatino Linotype" w:cs="Palatino Linotype"/>
          <w:b/>
          <w:color w:val="000000"/>
          <w:sz w:val="24"/>
          <w:szCs w:val="24"/>
          <w:lang w:val="es-ES_tradnl" w:eastAsia="es-MX"/>
        </w:rPr>
        <w:t>Martinez</w:t>
      </w:r>
      <w:proofErr w:type="spellEnd"/>
      <w:r w:rsidRPr="00F01CE7">
        <w:rPr>
          <w:rFonts w:ascii="Palatino Linotype" w:eastAsia="Times New Roman" w:hAnsi="Palatino Linotype" w:cs="Palatino Linotype"/>
          <w:color w:val="000000"/>
          <w:sz w:val="24"/>
          <w:szCs w:val="24"/>
          <w:lang w:val="es-ES_tradnl" w:eastAsia="es-MX"/>
        </w:rPr>
        <w:t>, por medio del sistema electrónico en términos del numeral 185 fracción I de la Ley de Transparencia y Acceso a la información Pública del Estado de México y Municipios, al cual recayó acuerdo de admisión de fecha</w:t>
      </w:r>
      <w:r w:rsidRPr="00F01CE7">
        <w:rPr>
          <w:rFonts w:ascii="Palatino Linotype" w:eastAsia="Times New Roman" w:hAnsi="Palatino Linotype" w:cs="Palatino Linotype"/>
          <w:b/>
          <w:color w:val="000000"/>
          <w:sz w:val="24"/>
          <w:szCs w:val="24"/>
          <w:lang w:val="es-ES_tradnl" w:eastAsia="es-MX"/>
        </w:rPr>
        <w:t xml:space="preserve"> diecisiete de agosto de dos mil </w:t>
      </w:r>
      <w:r w:rsidRPr="00F01CE7">
        <w:rPr>
          <w:rFonts w:ascii="Palatino Linotype" w:eastAsia="Times New Roman" w:hAnsi="Palatino Linotype" w:cs="Palatino Linotype"/>
          <w:b/>
          <w:color w:val="000000"/>
          <w:sz w:val="24"/>
          <w:szCs w:val="24"/>
          <w:lang w:val="es-ES_tradnl" w:eastAsia="es-MX"/>
        </w:rPr>
        <w:lastRenderedPageBreak/>
        <w:t>veintiséis</w:t>
      </w:r>
      <w:r w:rsidRPr="00F01CE7">
        <w:rPr>
          <w:rFonts w:ascii="Palatino Linotype" w:eastAsia="Times New Roman" w:hAnsi="Palatino Linotype" w:cs="Palatino Linotype"/>
          <w:color w:val="000000"/>
          <w:sz w:val="24"/>
          <w:szCs w:val="24"/>
          <w:lang w:val="es-ES_tradnl" w:eastAsia="es-MX"/>
        </w:rPr>
        <w:t xml:space="preserve">, </w:t>
      </w:r>
      <w:r w:rsidRPr="00F01CE7">
        <w:rPr>
          <w:rFonts w:ascii="Palatino Linotype" w:eastAsia="Times New Roman" w:hAnsi="Palatino Linotype" w:cs="Palatino Linotype"/>
          <w:sz w:val="24"/>
          <w:szCs w:val="24"/>
          <w:lang w:val="es-ES_tradnl" w:eastAsia="es-MX"/>
        </w:rPr>
        <w:t>otorgándose</w:t>
      </w:r>
      <w:r w:rsidRPr="00F01CE7">
        <w:rPr>
          <w:rFonts w:ascii="Palatino Linotype" w:eastAsia="Times New Roman" w:hAnsi="Palatino Linotype" w:cs="Palatino Linotype"/>
          <w:color w:val="000000"/>
          <w:sz w:val="24"/>
          <w:szCs w:val="24"/>
          <w:lang w:val="es-ES_tradnl" w:eastAsia="es-MX"/>
        </w:rPr>
        <w:t xml:space="preserve"> en él un plazo de siete días para que las partes manifestaran lo que a su derecho corresponda en términos del numeral ya citado.</w:t>
      </w:r>
    </w:p>
    <w:p w14:paraId="09031043" w14:textId="77777777" w:rsidR="00DF404C" w:rsidRPr="00F01CE7" w:rsidRDefault="00DF404C" w:rsidP="00DF404C">
      <w:pPr>
        <w:spacing w:before="240" w:line="360" w:lineRule="auto"/>
        <w:jc w:val="both"/>
        <w:rPr>
          <w:rFonts w:ascii="Palatino Linotype" w:hAnsi="Palatino Linotype"/>
          <w:sz w:val="24"/>
          <w:szCs w:val="24"/>
        </w:rPr>
      </w:pPr>
      <w:r w:rsidRPr="00F01CE7">
        <w:rPr>
          <w:rFonts w:ascii="Palatino Linotype" w:hAnsi="Palatino Linotype"/>
          <w:sz w:val="24"/>
          <w:szCs w:val="24"/>
        </w:rPr>
        <w:t xml:space="preserve">Por lo que de conformidad con el artículo 9, fracción XXIV del Reglamento Interior de este Instituto y el artículo 62 de los Lineamientos para el funcionamiento del Pleno y las Comisiones del Instituto de Transparencia, Acceso a la Información Pública y Protección de Datos Personales del Estado de México y Municipios, el Pleno tiene entre otras, la atribución de aprobar los </w:t>
      </w:r>
      <w:proofErr w:type="spellStart"/>
      <w:r w:rsidRPr="00F01CE7">
        <w:rPr>
          <w:rFonts w:ascii="Palatino Linotype" w:hAnsi="Palatino Linotype"/>
          <w:sz w:val="24"/>
          <w:szCs w:val="24"/>
        </w:rPr>
        <w:t>returnos</w:t>
      </w:r>
      <w:proofErr w:type="spellEnd"/>
      <w:r w:rsidRPr="00F01CE7">
        <w:rPr>
          <w:rFonts w:ascii="Palatino Linotype" w:hAnsi="Palatino Linotype"/>
          <w:sz w:val="24"/>
          <w:szCs w:val="24"/>
        </w:rPr>
        <w:t xml:space="preserve"> de recursos de revisión y los casos en los que proceden, así mediante Acuerdo del Pleno celebrado en fecha diecinueve de agosto de dos mil veintiséis se le returno el presente recurso de revisión al Comisionado Presidente </w:t>
      </w:r>
      <w:r w:rsidRPr="00F01CE7">
        <w:rPr>
          <w:rFonts w:ascii="Palatino Linotype" w:hAnsi="Palatino Linotype"/>
          <w:b/>
          <w:sz w:val="24"/>
          <w:szCs w:val="24"/>
        </w:rPr>
        <w:t>José Martínez Vilchis</w:t>
      </w:r>
      <w:r w:rsidRPr="00F01CE7">
        <w:rPr>
          <w:rFonts w:ascii="Palatino Linotype" w:hAnsi="Palatino Linotype"/>
          <w:sz w:val="24"/>
          <w:szCs w:val="24"/>
        </w:rPr>
        <w:t xml:space="preserve"> para su estudio y resolución. </w:t>
      </w:r>
    </w:p>
    <w:p w14:paraId="559384AC" w14:textId="77777777" w:rsidR="00DF404C" w:rsidRPr="00F01CE7" w:rsidRDefault="00DF404C" w:rsidP="00DF404C">
      <w:pPr>
        <w:spacing w:after="0" w:line="360" w:lineRule="auto"/>
        <w:contextualSpacing/>
        <w:jc w:val="both"/>
        <w:rPr>
          <w:rFonts w:ascii="Palatino Linotype" w:eastAsia="Times New Roman" w:hAnsi="Palatino Linotype" w:cs="Palatino Linotype"/>
          <w:color w:val="000000"/>
          <w:sz w:val="24"/>
          <w:szCs w:val="24"/>
          <w:lang w:val="es-ES_tradnl" w:eastAsia="es-MX"/>
        </w:rPr>
      </w:pPr>
    </w:p>
    <w:p w14:paraId="1755AC61" w14:textId="77777777" w:rsidR="00DF404C" w:rsidRPr="00F01CE7" w:rsidRDefault="00DF404C" w:rsidP="00DF404C">
      <w:pPr>
        <w:keepNext/>
        <w:keepLines/>
        <w:spacing w:after="0" w:line="360" w:lineRule="auto"/>
        <w:jc w:val="both"/>
        <w:outlineLvl w:val="1"/>
        <w:rPr>
          <w:rFonts w:ascii="Palatino Linotype" w:eastAsia="Times New Roman" w:hAnsi="Palatino Linotype" w:cs="Times New Roman"/>
          <w:b/>
          <w:color w:val="000000" w:themeColor="text1"/>
          <w:sz w:val="28"/>
          <w:szCs w:val="28"/>
          <w:lang w:val="es-ES_tradnl" w:eastAsia="es-MX"/>
        </w:rPr>
      </w:pPr>
      <w:r w:rsidRPr="00F01CE7">
        <w:rPr>
          <w:rFonts w:ascii="Palatino Linotype" w:eastAsia="Times New Roman" w:hAnsi="Palatino Linotype" w:cs="Times New Roman"/>
          <w:b/>
          <w:color w:val="000000" w:themeColor="text1"/>
          <w:sz w:val="28"/>
          <w:szCs w:val="28"/>
          <w:lang w:val="es-ES_tradnl" w:eastAsia="es-MX"/>
        </w:rPr>
        <w:t>QUINTO. De la etapa de instrucción.</w:t>
      </w:r>
    </w:p>
    <w:p w14:paraId="4CC2BC4F" w14:textId="77777777" w:rsidR="00DF404C" w:rsidRPr="00F01CE7" w:rsidRDefault="00DF404C" w:rsidP="00DF404C">
      <w:pPr>
        <w:spacing w:after="0" w:line="360" w:lineRule="auto"/>
        <w:contextualSpacing/>
        <w:jc w:val="both"/>
        <w:rPr>
          <w:rFonts w:ascii="Palatino Linotype" w:eastAsia="Times New Roman" w:hAnsi="Palatino Linotype" w:cs="Palatino Linotype"/>
          <w:color w:val="000000"/>
          <w:sz w:val="24"/>
          <w:szCs w:val="24"/>
          <w:lang w:val="es-ES_tradnl" w:eastAsia="es-MX"/>
        </w:rPr>
      </w:pPr>
      <w:r w:rsidRPr="00F01CE7">
        <w:rPr>
          <w:rFonts w:ascii="Palatino Linotype" w:eastAsia="Times New Roman" w:hAnsi="Palatino Linotype" w:cs="Palatino Linotype"/>
          <w:color w:val="000000"/>
          <w:sz w:val="24"/>
          <w:szCs w:val="24"/>
          <w:lang w:val="es-ES_tradnl" w:eastAsia="es-MX"/>
        </w:rPr>
        <w:t xml:space="preserve">Una vez abierta la etapa de instrucción, el Sujeto Obligado </w:t>
      </w:r>
      <w:r w:rsidRPr="00F01CE7">
        <w:rPr>
          <w:rFonts w:ascii="Palatino Linotype" w:eastAsia="Times New Roman" w:hAnsi="Palatino Linotype" w:cs="Palatino Linotype"/>
          <w:b/>
          <w:bCs/>
          <w:color w:val="000000"/>
          <w:sz w:val="24"/>
          <w:szCs w:val="24"/>
          <w:lang w:val="es-ES_tradnl" w:eastAsia="es-MX"/>
        </w:rPr>
        <w:t>fue omiso en proporcionar su informe justificado</w:t>
      </w:r>
      <w:r w:rsidRPr="00F01CE7">
        <w:rPr>
          <w:rFonts w:ascii="Palatino Linotype" w:eastAsia="Times New Roman" w:hAnsi="Palatino Linotype" w:cs="Palatino Linotype"/>
          <w:color w:val="000000"/>
          <w:sz w:val="24"/>
          <w:szCs w:val="24"/>
          <w:lang w:val="es-ES_tradnl" w:eastAsia="es-MX"/>
        </w:rPr>
        <w:t xml:space="preserve">.  Por su parte, el Recurrente no realizó manifestaciones, vertió alegatos ni presentó pruebas que a su derecho convinieran. </w:t>
      </w:r>
    </w:p>
    <w:p w14:paraId="65BF0FF1" w14:textId="77777777" w:rsidR="00DF404C" w:rsidRPr="00F01CE7" w:rsidRDefault="00DF404C" w:rsidP="00DF404C">
      <w:pPr>
        <w:spacing w:after="0" w:line="360" w:lineRule="auto"/>
        <w:contextualSpacing/>
        <w:jc w:val="both"/>
        <w:rPr>
          <w:rFonts w:ascii="Palatino Linotype" w:eastAsia="Times New Roman" w:hAnsi="Palatino Linotype" w:cs="Palatino Linotype"/>
          <w:color w:val="000000"/>
          <w:sz w:val="24"/>
          <w:szCs w:val="24"/>
          <w:lang w:val="es-ES_tradnl" w:eastAsia="es-MX"/>
        </w:rPr>
      </w:pPr>
    </w:p>
    <w:p w14:paraId="6DD38A4F" w14:textId="77777777" w:rsidR="00DF404C" w:rsidRPr="00F01CE7" w:rsidRDefault="00DF404C" w:rsidP="00DF404C">
      <w:pPr>
        <w:keepNext/>
        <w:keepLines/>
        <w:spacing w:after="0" w:line="360" w:lineRule="auto"/>
        <w:jc w:val="both"/>
        <w:outlineLvl w:val="1"/>
        <w:rPr>
          <w:rFonts w:ascii="Palatino Linotype" w:eastAsia="Times New Roman" w:hAnsi="Palatino Linotype" w:cs="Times New Roman"/>
          <w:b/>
          <w:color w:val="000000" w:themeColor="text1"/>
          <w:sz w:val="28"/>
          <w:szCs w:val="28"/>
          <w:lang w:val="es-ES_tradnl" w:eastAsia="es-MX"/>
        </w:rPr>
      </w:pPr>
      <w:r w:rsidRPr="00F01CE7">
        <w:rPr>
          <w:rFonts w:ascii="Palatino Linotype" w:eastAsia="Times New Roman" w:hAnsi="Palatino Linotype" w:cs="Times New Roman"/>
          <w:b/>
          <w:color w:val="000000" w:themeColor="text1"/>
          <w:sz w:val="28"/>
          <w:szCs w:val="28"/>
          <w:lang w:val="es-ES_tradnl" w:eastAsia="es-MX"/>
        </w:rPr>
        <w:t>SEXTO. Del cierre de instrucción.</w:t>
      </w:r>
    </w:p>
    <w:p w14:paraId="676DD8E8" w14:textId="77777777" w:rsidR="00DF404C" w:rsidRPr="00F01CE7" w:rsidRDefault="00DF404C" w:rsidP="00DF404C">
      <w:pPr>
        <w:spacing w:after="0" w:line="360" w:lineRule="auto"/>
        <w:contextualSpacing/>
        <w:jc w:val="both"/>
        <w:rPr>
          <w:rFonts w:ascii="Palatino Linotype" w:eastAsia="Times New Roman" w:hAnsi="Palatino Linotype" w:cs="Palatino Linotype"/>
          <w:color w:val="000000"/>
          <w:sz w:val="24"/>
          <w:szCs w:val="24"/>
          <w:lang w:val="es-ES_tradnl" w:eastAsia="es-MX"/>
        </w:rPr>
      </w:pPr>
      <w:r w:rsidRPr="00F01CE7">
        <w:rPr>
          <w:rFonts w:ascii="Palatino Linotype" w:eastAsia="Times New Roman" w:hAnsi="Palatino Linotype" w:cs="Palatino Linotype"/>
          <w:color w:val="000000"/>
          <w:sz w:val="24"/>
          <w:szCs w:val="24"/>
          <w:lang w:val="es-ES_tradnl" w:eastAsia="es-MX"/>
        </w:rPr>
        <w:t>Así, una vez transcurrido el término legal, se decretó el cierre de instrucción en fecha</w:t>
      </w:r>
      <w:r w:rsidRPr="00F01CE7">
        <w:rPr>
          <w:rFonts w:ascii="Palatino Linotype" w:eastAsia="Times New Roman" w:hAnsi="Palatino Linotype" w:cs="Palatino Linotype"/>
          <w:b/>
          <w:color w:val="000000"/>
          <w:sz w:val="24"/>
          <w:szCs w:val="24"/>
          <w:lang w:val="es-ES_tradnl" w:eastAsia="es-MX"/>
        </w:rPr>
        <w:t xml:space="preserve"> veintisiete de agosto de dos mil veintiséis</w:t>
      </w:r>
      <w:r w:rsidRPr="00F01CE7">
        <w:rPr>
          <w:rFonts w:ascii="Palatino Linotype" w:eastAsia="Times New Roman" w:hAnsi="Palatino Linotype" w:cs="Palatino Linotype"/>
          <w:color w:val="000000"/>
          <w:sz w:val="24"/>
          <w:szCs w:val="24"/>
          <w:lang w:val="es-ES_tradnl" w:eastAsia="es-MX"/>
        </w:rPr>
        <w:t>, en términos del artículo 185 fracción VI de la Ley de Transparencia y Acceso a la Información Pública del Estado de México y Municipios, iniciando el término legal para dictar resolución definitiva del asunto.</w:t>
      </w:r>
    </w:p>
    <w:p w14:paraId="03D5E5F0" w14:textId="77777777" w:rsidR="00DF404C" w:rsidRPr="00F01CE7" w:rsidRDefault="00DF404C" w:rsidP="00DF404C">
      <w:pPr>
        <w:spacing w:line="360" w:lineRule="auto"/>
        <w:ind w:right="49"/>
        <w:jc w:val="both"/>
        <w:rPr>
          <w:rFonts w:ascii="Palatino Linotype" w:hAnsi="Palatino Linotype" w:cs="Arial"/>
          <w:sz w:val="24"/>
          <w:szCs w:val="24"/>
          <w:lang w:val="es-ES" w:eastAsia="es-ES"/>
        </w:rPr>
      </w:pPr>
    </w:p>
    <w:p w14:paraId="3FE2C9AE" w14:textId="77777777" w:rsidR="00DF404C" w:rsidRPr="00F01CE7" w:rsidRDefault="00DF404C" w:rsidP="00DF404C">
      <w:pPr>
        <w:keepNext/>
        <w:keepLines/>
        <w:spacing w:after="0" w:line="360" w:lineRule="auto"/>
        <w:jc w:val="center"/>
        <w:outlineLvl w:val="0"/>
        <w:rPr>
          <w:rFonts w:ascii="Palatino Linotype" w:eastAsia="Times New Roman" w:hAnsi="Palatino Linotype" w:cs="Times New Roman"/>
          <w:b/>
          <w:color w:val="000000" w:themeColor="text1"/>
          <w:sz w:val="28"/>
          <w:szCs w:val="32"/>
          <w:lang w:val="es-ES_tradnl" w:eastAsia="es-ES"/>
        </w:rPr>
      </w:pPr>
      <w:r w:rsidRPr="00F01CE7">
        <w:rPr>
          <w:rFonts w:ascii="Palatino Linotype" w:eastAsia="Times New Roman" w:hAnsi="Palatino Linotype" w:cs="Times New Roman"/>
          <w:b/>
          <w:color w:val="000000" w:themeColor="text1"/>
          <w:sz w:val="28"/>
          <w:szCs w:val="32"/>
          <w:lang w:val="es-ES_tradnl" w:eastAsia="es-ES"/>
        </w:rPr>
        <w:lastRenderedPageBreak/>
        <w:t>C  O   N   S   I   D  E   R  A   N   D   O</w:t>
      </w:r>
    </w:p>
    <w:p w14:paraId="7A5FF977" w14:textId="77777777" w:rsidR="00DF404C" w:rsidRPr="00F01CE7" w:rsidRDefault="00DF404C" w:rsidP="00DF404C">
      <w:pPr>
        <w:keepNext/>
        <w:keepLines/>
        <w:spacing w:after="0" w:line="360" w:lineRule="auto"/>
        <w:jc w:val="center"/>
        <w:outlineLvl w:val="0"/>
        <w:rPr>
          <w:rFonts w:ascii="Palatino Linotype" w:eastAsia="Times New Roman" w:hAnsi="Palatino Linotype" w:cs="Times New Roman"/>
          <w:b/>
          <w:color w:val="000000" w:themeColor="text1"/>
          <w:sz w:val="28"/>
          <w:szCs w:val="32"/>
          <w:lang w:val="es-ES_tradnl" w:eastAsia="es-ES"/>
        </w:rPr>
      </w:pPr>
    </w:p>
    <w:p w14:paraId="4EF24197" w14:textId="77777777" w:rsidR="00DF404C" w:rsidRPr="00F01CE7" w:rsidRDefault="00DF404C" w:rsidP="00DF404C">
      <w:pPr>
        <w:spacing w:after="0" w:line="360" w:lineRule="auto"/>
        <w:contextualSpacing/>
        <w:jc w:val="both"/>
        <w:rPr>
          <w:rFonts w:ascii="Palatino Linotype" w:eastAsia="Times New Roman" w:hAnsi="Palatino Linotype" w:cs="Times New Roman"/>
          <w:b/>
          <w:color w:val="000000" w:themeColor="text1"/>
          <w:sz w:val="28"/>
          <w:szCs w:val="28"/>
          <w:lang w:val="es-ES_tradnl" w:eastAsia="es-MX"/>
        </w:rPr>
      </w:pPr>
    </w:p>
    <w:p w14:paraId="3ECB2555" w14:textId="77777777" w:rsidR="00DF404C" w:rsidRPr="00F01CE7" w:rsidRDefault="00DF404C" w:rsidP="00DF404C">
      <w:pPr>
        <w:spacing w:line="360" w:lineRule="auto"/>
        <w:jc w:val="both"/>
        <w:rPr>
          <w:rFonts w:ascii="Palatino Linotype" w:hAnsi="Palatino Linotype" w:cs="Arial"/>
          <w:sz w:val="28"/>
          <w:szCs w:val="28"/>
        </w:rPr>
      </w:pPr>
      <w:r w:rsidRPr="00F01CE7">
        <w:rPr>
          <w:rFonts w:ascii="Palatino Linotype" w:hAnsi="Palatino Linotype" w:cs="Arial"/>
          <w:b/>
          <w:sz w:val="28"/>
          <w:szCs w:val="28"/>
        </w:rPr>
        <w:t xml:space="preserve">PRIMERO. </w:t>
      </w:r>
      <w:r w:rsidRPr="00F01CE7">
        <w:rPr>
          <w:rFonts w:ascii="Palatino Linotype" w:hAnsi="Palatino Linotype" w:cs="Arial"/>
          <w:b/>
          <w:sz w:val="26"/>
          <w:szCs w:val="26"/>
        </w:rPr>
        <w:t>De la competencia</w:t>
      </w:r>
      <w:r w:rsidRPr="00F01CE7">
        <w:rPr>
          <w:rFonts w:ascii="Palatino Linotype" w:hAnsi="Palatino Linotype" w:cs="Arial"/>
          <w:sz w:val="26"/>
          <w:szCs w:val="26"/>
        </w:rPr>
        <w:t>.</w:t>
      </w:r>
    </w:p>
    <w:p w14:paraId="126401CD" w14:textId="77777777" w:rsidR="00DF404C" w:rsidRPr="00F01CE7" w:rsidRDefault="00DF404C"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rPr>
      </w:pPr>
      <w:r w:rsidRPr="00F01CE7">
        <w:rPr>
          <w:rFonts w:ascii="Palatino Linotype" w:eastAsia="Palatino Linotype" w:hAnsi="Palatino Linotype" w:cs="Palatino Linotype"/>
          <w:color w:val="000000"/>
          <w:sz w:val="24"/>
          <w:szCs w:val="24"/>
        </w:rPr>
        <w:t>Este Instituto de Transparencia, Acceso a la Información Pública y Protección de Datos Personales del Estado de México y Municipios es competente para conocer y resolver el presente Recurso de Revisión, conforme a lo dispuesto en el artículo 5o párrafos trigésimo tercero, trigésimo noveno, cuadragésimo y cuadragésimo primero, fracción VIII de la Constitución Política del Estado Libre y Soberano de México; ordinal 2, fracción II, 13, 29, 36, fracciones I y II, 176, 178, 179, 181 párrafo tercero y 185 de la Ley de Transparencia y Acceso a la Información Pública del Estado de México y Municipios; y 9, fracciones I y XXIII y 11 del Reglamento Interior del Instituto de Transparencia, Acceso a la Información Pública y Protección de Datos Personales del Estado de México y Municipios.</w:t>
      </w:r>
    </w:p>
    <w:p w14:paraId="21A5D9BC" w14:textId="77777777" w:rsidR="00DF404C" w:rsidRPr="00F01CE7" w:rsidRDefault="00DF404C"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rPr>
      </w:pPr>
    </w:p>
    <w:p w14:paraId="729EC6FA" w14:textId="77777777" w:rsidR="00DF404C" w:rsidRPr="00F01CE7" w:rsidRDefault="00DF404C" w:rsidP="00DF404C">
      <w:pPr>
        <w:pStyle w:val="Ttulo2"/>
        <w:rPr>
          <w:rFonts w:ascii="Palatino Linotype" w:eastAsia="Palatino Linotype" w:hAnsi="Palatino Linotype"/>
          <w:b/>
          <w:color w:val="auto"/>
          <w:sz w:val="28"/>
          <w:szCs w:val="28"/>
        </w:rPr>
      </w:pPr>
      <w:r w:rsidRPr="00F01CE7">
        <w:rPr>
          <w:rFonts w:ascii="Palatino Linotype" w:eastAsia="Palatino Linotype" w:hAnsi="Palatino Linotype"/>
          <w:b/>
          <w:color w:val="auto"/>
          <w:sz w:val="28"/>
          <w:szCs w:val="28"/>
        </w:rPr>
        <w:t xml:space="preserve">SEGUNDO. De la oportunidad y procedencia del recurso de revisión. </w:t>
      </w:r>
    </w:p>
    <w:p w14:paraId="5044622D" w14:textId="77777777" w:rsidR="00DF404C" w:rsidRPr="00F01CE7" w:rsidRDefault="00DF404C" w:rsidP="00DF404C">
      <w:pPr>
        <w:spacing w:line="360" w:lineRule="auto"/>
        <w:jc w:val="both"/>
        <w:rPr>
          <w:rFonts w:ascii="Palatino Linotype" w:hAnsi="Palatino Linotype"/>
          <w:sz w:val="24"/>
          <w:szCs w:val="24"/>
        </w:rPr>
      </w:pPr>
      <w:r w:rsidRPr="00F01CE7">
        <w:rPr>
          <w:rFonts w:ascii="Palatino Linotype" w:hAnsi="Palatino Linotype"/>
          <w:sz w:val="24"/>
          <w:szCs w:val="24"/>
        </w:rPr>
        <w:t xml:space="preserve">El artículo 178 de la Ley de Transparencia y Acceso a la Información Pública del Estado de México y Municipios establece que el solicitante podrá interponer, por sí mismo o a través de su representante, de manera directa o por medios electrónicos, recurso de revisión ante el Instituto o ante la Unidad de Transparencia que haya conocido de la solicitud dentro de los quince días hábiles, siguientes a la fecha de la notificación de la respuesta y que ante la falta de respuesta del sujeto obligado, dentro de los plazos </w:t>
      </w:r>
      <w:r w:rsidRPr="00F01CE7">
        <w:rPr>
          <w:rFonts w:ascii="Palatino Linotype" w:hAnsi="Palatino Linotype"/>
          <w:sz w:val="24"/>
          <w:szCs w:val="24"/>
        </w:rPr>
        <w:lastRenderedPageBreak/>
        <w:t>establecidos en la Ley de Transparencia Local, a una solicitud de acceso a la información pública, el recurso podrá́ ser interpuesto en cualquier momento, por lo que la interposición del presente recurso de revisión resulta oportuna.</w:t>
      </w:r>
    </w:p>
    <w:p w14:paraId="6A772DD7" w14:textId="77777777" w:rsidR="00DF404C" w:rsidRPr="00F01CE7" w:rsidRDefault="00DF404C" w:rsidP="00DF404C">
      <w:pPr>
        <w:spacing w:line="360" w:lineRule="auto"/>
        <w:jc w:val="both"/>
        <w:rPr>
          <w:rFonts w:ascii="Palatino Linotype" w:hAnsi="Palatino Linotype"/>
          <w:sz w:val="24"/>
          <w:szCs w:val="24"/>
        </w:rPr>
      </w:pPr>
    </w:p>
    <w:p w14:paraId="7926749B" w14:textId="77777777" w:rsidR="00DF404C" w:rsidRPr="00F01CE7" w:rsidRDefault="00DF404C" w:rsidP="00DF404C">
      <w:pPr>
        <w:spacing w:line="360" w:lineRule="auto"/>
        <w:jc w:val="both"/>
        <w:rPr>
          <w:rFonts w:ascii="Palatino Linotype" w:hAnsi="Palatino Linotype"/>
          <w:sz w:val="24"/>
          <w:szCs w:val="24"/>
        </w:rPr>
      </w:pPr>
      <w:r w:rsidRPr="00F01CE7">
        <w:rPr>
          <w:rFonts w:ascii="Palatino Linotype" w:hAnsi="Palatino Linotype"/>
          <w:sz w:val="24"/>
          <w:szCs w:val="24"/>
        </w:rPr>
        <w:t>El artículo 180 de la Ley de Transparencia y Acceso a la Información Pública del Estado de México y Municipios, señala los requisitos que deberán contener los recursos de revisión, como lo es, el nombre del solicitante que recurre; sin embargo, en su último párrafo establece que cuando el recurso se interponga de manera electrónica, no será indispensable que contenga determinados requisitos, entre ellos, el nombre de la parte Recurrente, por lo que, en el presente caso, al haber sido presentado el recurso de revisión vía SAIMEX, dicho requisito resulta innecesario.</w:t>
      </w:r>
    </w:p>
    <w:p w14:paraId="42B4A330" w14:textId="77777777" w:rsidR="00320B40" w:rsidRPr="00F01CE7" w:rsidRDefault="00320B40" w:rsidP="00DF404C">
      <w:pPr>
        <w:spacing w:line="360" w:lineRule="auto"/>
        <w:jc w:val="both"/>
        <w:rPr>
          <w:rFonts w:ascii="Palatino Linotype" w:hAnsi="Palatino Linotype"/>
          <w:sz w:val="24"/>
          <w:szCs w:val="24"/>
        </w:rPr>
      </w:pPr>
    </w:p>
    <w:p w14:paraId="535466E7" w14:textId="77777777" w:rsidR="00DF404C" w:rsidRPr="00F01CE7" w:rsidRDefault="00DF404C" w:rsidP="00DF404C">
      <w:pPr>
        <w:spacing w:line="360" w:lineRule="auto"/>
        <w:jc w:val="both"/>
        <w:rPr>
          <w:rFonts w:ascii="Palatino Linotype" w:hAnsi="Palatino Linotype"/>
          <w:sz w:val="24"/>
          <w:szCs w:val="24"/>
        </w:rPr>
      </w:pPr>
      <w:r w:rsidRPr="00F01CE7">
        <w:rPr>
          <w:rFonts w:ascii="Palatino Linotype" w:hAnsi="Palatino Linotype"/>
          <w:sz w:val="24"/>
          <w:szCs w:val="24"/>
        </w:rPr>
        <w:t>El artículo 179 fracción VII de la Ley de Transparencia y Acceso a la Información Pública del Estado de México y Municipios establece como supuesto de procedencia del recurso de revisión, la falta de respuesta a una solicitud de información por el Sujeto Obligado, hipótesis jurídica que se actualiza en este caso, aunado a que la parte Recurrente combate falta de trámite por el Sujeto Obligado y expresa motivos de inconformidad en contra de dicha circunstancia.</w:t>
      </w:r>
    </w:p>
    <w:p w14:paraId="67FC8ADA" w14:textId="77777777" w:rsidR="00DF404C" w:rsidRPr="00F01CE7" w:rsidRDefault="00DF404C" w:rsidP="00DF404C">
      <w:pPr>
        <w:spacing w:line="360" w:lineRule="auto"/>
        <w:jc w:val="both"/>
        <w:rPr>
          <w:rFonts w:ascii="Palatino Linotype" w:hAnsi="Palatino Linotype"/>
          <w:sz w:val="24"/>
          <w:szCs w:val="24"/>
        </w:rPr>
      </w:pPr>
    </w:p>
    <w:p w14:paraId="5E67AC5A" w14:textId="77777777" w:rsidR="00DF404C" w:rsidRPr="00F01CE7" w:rsidRDefault="00DF404C" w:rsidP="00DF404C">
      <w:pPr>
        <w:spacing w:line="360" w:lineRule="auto"/>
        <w:jc w:val="both"/>
        <w:rPr>
          <w:rFonts w:ascii="Palatino Linotype" w:hAnsi="Palatino Linotype"/>
          <w:sz w:val="24"/>
          <w:szCs w:val="24"/>
        </w:rPr>
      </w:pPr>
      <w:r w:rsidRPr="00F01CE7">
        <w:rPr>
          <w:rFonts w:ascii="Palatino Linotype" w:hAnsi="Palatino Linotype"/>
          <w:sz w:val="24"/>
          <w:szCs w:val="24"/>
        </w:rPr>
        <w:t xml:space="preserve">Asimismo, no se actualiza ninguna causa de improcedencia de las referidas en el artículo 191 de la Ley de Transparencia y Acceso a la Información Pública del Estado de México </w:t>
      </w:r>
      <w:r w:rsidRPr="00F01CE7">
        <w:rPr>
          <w:rFonts w:ascii="Palatino Linotype" w:hAnsi="Palatino Linotype"/>
          <w:sz w:val="24"/>
          <w:szCs w:val="24"/>
        </w:rPr>
        <w:lastRenderedPageBreak/>
        <w:t>y Municipios, ni mucho menos se hizo valer causa de improcedencia alguna por las partes, que resulte dable abordar, encontrándose actualizados todos los presupuestos procedimentales para atender el fondo del asunto, en los términos del considerando posterior.</w:t>
      </w:r>
    </w:p>
    <w:p w14:paraId="4A4BECC2" w14:textId="77777777" w:rsidR="00DF404C" w:rsidRPr="00F01CE7" w:rsidRDefault="00DF404C" w:rsidP="00DF404C">
      <w:pPr>
        <w:spacing w:line="360" w:lineRule="auto"/>
        <w:jc w:val="both"/>
        <w:rPr>
          <w:rFonts w:ascii="Palatino Linotype" w:eastAsia="Palatino Linotype" w:hAnsi="Palatino Linotype" w:cstheme="majorBidi"/>
          <w:b/>
          <w:color w:val="000000" w:themeColor="text1"/>
          <w:sz w:val="24"/>
          <w:szCs w:val="24"/>
        </w:rPr>
      </w:pPr>
    </w:p>
    <w:p w14:paraId="5DC6B62D" w14:textId="77777777" w:rsidR="00DF404C" w:rsidRPr="00F01CE7" w:rsidRDefault="00DF404C" w:rsidP="00DF404C">
      <w:pPr>
        <w:widowControl w:val="0"/>
        <w:autoSpaceDE w:val="0"/>
        <w:autoSpaceDN w:val="0"/>
        <w:adjustRightInd w:val="0"/>
        <w:spacing w:line="360" w:lineRule="auto"/>
        <w:jc w:val="both"/>
        <w:rPr>
          <w:rFonts w:ascii="Palatino Linotype" w:hAnsi="Palatino Linotype" w:cs="Arial"/>
          <w:b/>
          <w:sz w:val="28"/>
          <w:szCs w:val="28"/>
          <w:lang w:val="es-ES" w:eastAsia="es-ES"/>
        </w:rPr>
      </w:pPr>
      <w:r w:rsidRPr="00F01CE7">
        <w:rPr>
          <w:rFonts w:ascii="Palatino Linotype" w:hAnsi="Palatino Linotype" w:cs="Arial"/>
          <w:b/>
          <w:sz w:val="28"/>
          <w:szCs w:val="28"/>
          <w:lang w:val="es-ES" w:eastAsia="es-ES"/>
        </w:rPr>
        <w:t>TERCERO. Estudio y resolución del asunto</w:t>
      </w:r>
      <w:r w:rsidRPr="00F01CE7">
        <w:rPr>
          <w:rFonts w:ascii="Palatino Linotype" w:hAnsi="Palatino Linotype"/>
          <w:b/>
          <w:sz w:val="28"/>
          <w:szCs w:val="28"/>
          <w:lang w:val="es-ES" w:eastAsia="es-ES"/>
        </w:rPr>
        <w:t xml:space="preserve">. </w:t>
      </w:r>
    </w:p>
    <w:p w14:paraId="2B47C52D" w14:textId="77777777" w:rsidR="00DF404C" w:rsidRPr="00F01CE7" w:rsidRDefault="00DF404C"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rPr>
      </w:pPr>
      <w:r w:rsidRPr="00F01CE7">
        <w:rPr>
          <w:rFonts w:ascii="Palatino Linotype" w:eastAsia="Palatino Linotype" w:hAnsi="Palatino Linotype" w:cs="Palatino Linotype"/>
          <w:color w:val="000000"/>
          <w:sz w:val="24"/>
          <w:szCs w:val="24"/>
        </w:rPr>
        <w:t xml:space="preserve">El derecho de acceso a la información pública es un derecho humano reconocido en el Pacto de Derechos Civiles y Políticos en su artículo 19.2; en la Convención Americana sobre Derechos Humanos en su artículo 13.1; en el artículo Sexto de la Constitución Política de los Estados Unidos Mexicanos y en el artículo Quinto de la Constitución Local, a través del cual se puede solicitar aquellos documentos que generen, administren o posean las autoridades en ejercicio de sus respectivas atribuciones y competencias. </w:t>
      </w:r>
    </w:p>
    <w:p w14:paraId="7B64073E" w14:textId="77777777" w:rsidR="00DF404C" w:rsidRPr="00F01CE7" w:rsidRDefault="00DF404C"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rPr>
      </w:pPr>
    </w:p>
    <w:p w14:paraId="4776C2B2" w14:textId="77777777" w:rsidR="00DF404C" w:rsidRPr="00F01CE7" w:rsidRDefault="00DF404C"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rPr>
      </w:pPr>
      <w:r w:rsidRPr="00F01CE7">
        <w:rPr>
          <w:rFonts w:ascii="Palatino Linotype" w:eastAsia="Palatino Linotype" w:hAnsi="Palatino Linotype" w:cs="Palatino Linotype"/>
          <w:color w:val="000000"/>
          <w:sz w:val="24"/>
          <w:szCs w:val="24"/>
        </w:rPr>
        <w:t>Por lo que en cumplimiento a las obligaciones que establece nuestra Carta Magna, la Constitución Estatal y la Ley de la materia le imponen, el Sujeto Obligado está constreñido a dar atención a las solicitudes de información que a través del SAIMEX o de vía directa le sean presentadas en ejercicio del derecho humano de acceso a la información pública, lo cual, en el caso no aconteció, pues tal y como se ha acreditado de la revisión del expediente electrónico formado de las constancias que obran en el sistema SAIMEX, el Sujeto Obligado fue omiso en dar respuesta a la solicitud de información dentro de los plazos establecidos en la Ley de Transparencia local.</w:t>
      </w:r>
    </w:p>
    <w:p w14:paraId="3217F32B" w14:textId="77777777" w:rsidR="00DF404C" w:rsidRPr="00F01CE7" w:rsidRDefault="00DF404C"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rPr>
      </w:pPr>
    </w:p>
    <w:p w14:paraId="5BD87D8E" w14:textId="77777777" w:rsidR="00DF404C" w:rsidRPr="00F01CE7" w:rsidRDefault="00DF404C" w:rsidP="00DF404C">
      <w:pPr>
        <w:autoSpaceDE w:val="0"/>
        <w:autoSpaceDN w:val="0"/>
        <w:adjustRightInd w:val="0"/>
        <w:spacing w:before="240" w:line="360" w:lineRule="auto"/>
        <w:jc w:val="both"/>
        <w:rPr>
          <w:rFonts w:ascii="Palatino Linotype" w:hAnsi="Palatino Linotype"/>
          <w:sz w:val="24"/>
          <w:szCs w:val="24"/>
        </w:rPr>
      </w:pPr>
      <w:r w:rsidRPr="00F01CE7">
        <w:rPr>
          <w:rFonts w:ascii="Palatino Linotype" w:hAnsi="Palatino Linotype"/>
          <w:sz w:val="24"/>
          <w:szCs w:val="24"/>
        </w:rPr>
        <w:lastRenderedPageBreak/>
        <w:t>Ahora bien, no pasa por desapercibido por este Instituto que el Recurso de Revisión en contiene los elementos normativos de validez exigidos en la Ley de Transparencia y Acceso a la Información Pública del Estado de México y Municipios, establecidos en el artículo 180 que enuncia:</w:t>
      </w:r>
    </w:p>
    <w:p w14:paraId="1B558EA0" w14:textId="77777777" w:rsidR="00DF404C" w:rsidRPr="00F01CE7" w:rsidRDefault="00DF404C" w:rsidP="00DF404C">
      <w:pPr>
        <w:autoSpaceDE w:val="0"/>
        <w:autoSpaceDN w:val="0"/>
        <w:adjustRightInd w:val="0"/>
        <w:spacing w:before="240" w:line="360" w:lineRule="auto"/>
        <w:ind w:left="360" w:firstLine="348"/>
        <w:jc w:val="both"/>
        <w:rPr>
          <w:rFonts w:ascii="Palatino Linotype" w:hAnsi="Palatino Linotype"/>
          <w:i/>
        </w:rPr>
      </w:pPr>
      <w:r w:rsidRPr="00F01CE7">
        <w:rPr>
          <w:rFonts w:ascii="Palatino Linotype" w:hAnsi="Palatino Linotype"/>
          <w:i/>
        </w:rPr>
        <w:t>“</w:t>
      </w:r>
      <w:r w:rsidRPr="00F01CE7">
        <w:rPr>
          <w:rFonts w:ascii="Palatino Linotype" w:hAnsi="Palatino Linotype"/>
          <w:b/>
          <w:i/>
        </w:rPr>
        <w:t>Artículo 180.</w:t>
      </w:r>
      <w:r w:rsidRPr="00F01CE7">
        <w:rPr>
          <w:rFonts w:ascii="Palatino Linotype" w:hAnsi="Palatino Linotype"/>
          <w:i/>
        </w:rPr>
        <w:t xml:space="preserve"> El recurso de revisión contendrá:</w:t>
      </w:r>
    </w:p>
    <w:p w14:paraId="3C4D4207" w14:textId="77777777" w:rsidR="00DF404C" w:rsidRPr="00F01CE7" w:rsidRDefault="00DF404C" w:rsidP="00DF404C">
      <w:pPr>
        <w:numPr>
          <w:ilvl w:val="0"/>
          <w:numId w:val="2"/>
        </w:numPr>
        <w:autoSpaceDE w:val="0"/>
        <w:autoSpaceDN w:val="0"/>
        <w:adjustRightInd w:val="0"/>
        <w:spacing w:before="240" w:after="0" w:line="360" w:lineRule="auto"/>
        <w:jc w:val="both"/>
        <w:rPr>
          <w:rFonts w:ascii="Palatino Linotype" w:hAnsi="Palatino Linotype"/>
          <w:i/>
        </w:rPr>
      </w:pPr>
      <w:r w:rsidRPr="00F01CE7">
        <w:rPr>
          <w:rFonts w:ascii="Palatino Linotype" w:hAnsi="Palatino Linotype"/>
          <w:i/>
        </w:rPr>
        <w:t>EL sujeto obligado ante la cual se presentó la solicitud;</w:t>
      </w:r>
    </w:p>
    <w:p w14:paraId="7AEADF54" w14:textId="77777777" w:rsidR="00DF404C" w:rsidRPr="00F01CE7" w:rsidRDefault="00DF404C" w:rsidP="00DF404C">
      <w:pPr>
        <w:numPr>
          <w:ilvl w:val="0"/>
          <w:numId w:val="2"/>
        </w:numPr>
        <w:autoSpaceDE w:val="0"/>
        <w:autoSpaceDN w:val="0"/>
        <w:adjustRightInd w:val="0"/>
        <w:spacing w:before="240" w:after="0" w:line="360" w:lineRule="auto"/>
        <w:jc w:val="both"/>
        <w:rPr>
          <w:rFonts w:ascii="Palatino Linotype" w:hAnsi="Palatino Linotype"/>
          <w:i/>
        </w:rPr>
      </w:pPr>
      <w:r w:rsidRPr="00F01CE7">
        <w:rPr>
          <w:rFonts w:ascii="Palatino Linotype" w:hAnsi="Palatino Linotype"/>
          <w:i/>
        </w:rPr>
        <w:t>El nombre del solicitante que recurre o de su representante y, en su caso, del tercero interesado, así como la dirección o medio que señale para recibir notificaciones;</w:t>
      </w:r>
    </w:p>
    <w:p w14:paraId="1F86A316" w14:textId="77777777" w:rsidR="00DF404C" w:rsidRPr="00F01CE7" w:rsidRDefault="00DF404C" w:rsidP="00DF404C">
      <w:pPr>
        <w:numPr>
          <w:ilvl w:val="0"/>
          <w:numId w:val="2"/>
        </w:numPr>
        <w:autoSpaceDE w:val="0"/>
        <w:autoSpaceDN w:val="0"/>
        <w:adjustRightInd w:val="0"/>
        <w:spacing w:before="240" w:after="0" w:line="360" w:lineRule="auto"/>
        <w:jc w:val="both"/>
        <w:rPr>
          <w:rFonts w:ascii="Palatino Linotype" w:hAnsi="Palatino Linotype"/>
          <w:i/>
        </w:rPr>
      </w:pPr>
      <w:r w:rsidRPr="00F01CE7">
        <w:rPr>
          <w:rFonts w:ascii="Palatino Linotype" w:hAnsi="Palatino Linotype"/>
          <w:i/>
        </w:rPr>
        <w:t>El número de folio de respuesta de la solicitud de acceso;</w:t>
      </w:r>
    </w:p>
    <w:p w14:paraId="0B2B495A" w14:textId="77777777" w:rsidR="00DF404C" w:rsidRPr="00F01CE7" w:rsidRDefault="00DF404C" w:rsidP="00DF404C">
      <w:pPr>
        <w:autoSpaceDE w:val="0"/>
        <w:autoSpaceDN w:val="0"/>
        <w:adjustRightInd w:val="0"/>
        <w:spacing w:before="240" w:line="360" w:lineRule="auto"/>
        <w:ind w:left="1080"/>
        <w:jc w:val="both"/>
        <w:rPr>
          <w:rFonts w:ascii="Palatino Linotype" w:hAnsi="Palatino Linotype"/>
          <w:i/>
        </w:rPr>
      </w:pPr>
      <w:r w:rsidRPr="00F01CE7">
        <w:rPr>
          <w:rFonts w:ascii="Palatino Linotype" w:hAnsi="Palatino Linotype"/>
          <w:i/>
        </w:rPr>
        <w:t>IV. La fecha en que fue notificada la respuesta al solicitante o tuvo conocimiento del acto reclamado, o de presentación de la solicitud, en caso de falta de respuesta;</w:t>
      </w:r>
    </w:p>
    <w:p w14:paraId="16A9CAAE" w14:textId="77777777" w:rsidR="00DF404C" w:rsidRPr="00F01CE7" w:rsidRDefault="00DF404C" w:rsidP="00DF404C">
      <w:pPr>
        <w:autoSpaceDE w:val="0"/>
        <w:autoSpaceDN w:val="0"/>
        <w:adjustRightInd w:val="0"/>
        <w:spacing w:before="240" w:line="360" w:lineRule="auto"/>
        <w:ind w:left="732" w:firstLine="348"/>
        <w:jc w:val="both"/>
        <w:rPr>
          <w:rFonts w:ascii="Palatino Linotype" w:hAnsi="Palatino Linotype"/>
          <w:i/>
        </w:rPr>
      </w:pPr>
      <w:r w:rsidRPr="00F01CE7">
        <w:rPr>
          <w:rFonts w:ascii="Palatino Linotype" w:hAnsi="Palatino Linotype"/>
          <w:i/>
        </w:rPr>
        <w:t>V. El acto que se recurre;</w:t>
      </w:r>
    </w:p>
    <w:p w14:paraId="0AD1258B" w14:textId="77777777" w:rsidR="00DF404C" w:rsidRPr="00F01CE7" w:rsidRDefault="00DF404C" w:rsidP="00DF404C">
      <w:pPr>
        <w:autoSpaceDE w:val="0"/>
        <w:autoSpaceDN w:val="0"/>
        <w:adjustRightInd w:val="0"/>
        <w:spacing w:before="240" w:line="360" w:lineRule="auto"/>
        <w:ind w:left="732" w:firstLine="348"/>
        <w:jc w:val="both"/>
        <w:rPr>
          <w:rFonts w:ascii="Palatino Linotype" w:hAnsi="Palatino Linotype"/>
          <w:i/>
        </w:rPr>
      </w:pPr>
      <w:r w:rsidRPr="00F01CE7">
        <w:rPr>
          <w:rFonts w:ascii="Palatino Linotype" w:hAnsi="Palatino Linotype"/>
          <w:i/>
        </w:rPr>
        <w:t>VI. Las razones o motivos de inconformidad;</w:t>
      </w:r>
    </w:p>
    <w:p w14:paraId="1499FF0B" w14:textId="77777777" w:rsidR="00DF404C" w:rsidRPr="00F01CE7" w:rsidRDefault="00DF404C" w:rsidP="00DF404C">
      <w:pPr>
        <w:autoSpaceDE w:val="0"/>
        <w:autoSpaceDN w:val="0"/>
        <w:adjustRightInd w:val="0"/>
        <w:spacing w:before="240" w:line="360" w:lineRule="auto"/>
        <w:ind w:left="1080"/>
        <w:jc w:val="both"/>
        <w:rPr>
          <w:rFonts w:ascii="Palatino Linotype" w:hAnsi="Palatino Linotype"/>
          <w:i/>
        </w:rPr>
      </w:pPr>
      <w:r w:rsidRPr="00F01CE7">
        <w:rPr>
          <w:rFonts w:ascii="Palatino Linotype" w:hAnsi="Palatino Linotype"/>
          <w:i/>
        </w:rPr>
        <w:t>VII. La copia de la respuesta que se impugna y, en su caso, de la notificación correspondiente, en el caso de respuesta de la solicitud; y</w:t>
      </w:r>
    </w:p>
    <w:p w14:paraId="72DA0FA7" w14:textId="77777777" w:rsidR="00DF404C" w:rsidRPr="00F01CE7" w:rsidRDefault="00DF404C" w:rsidP="00DF404C">
      <w:pPr>
        <w:autoSpaceDE w:val="0"/>
        <w:autoSpaceDN w:val="0"/>
        <w:adjustRightInd w:val="0"/>
        <w:spacing w:before="240" w:line="360" w:lineRule="auto"/>
        <w:ind w:left="732" w:firstLine="348"/>
        <w:jc w:val="both"/>
        <w:rPr>
          <w:rFonts w:ascii="Palatino Linotype" w:hAnsi="Palatino Linotype"/>
          <w:i/>
        </w:rPr>
      </w:pPr>
      <w:r w:rsidRPr="00F01CE7">
        <w:rPr>
          <w:rFonts w:ascii="Palatino Linotype" w:hAnsi="Palatino Linotype"/>
          <w:i/>
        </w:rPr>
        <w:t>VIII. Firma del recurrente, en su caso, cuando se presente por escrito, requisito sin el cual se dará trámite al recurso.</w:t>
      </w:r>
    </w:p>
    <w:p w14:paraId="32975E86" w14:textId="77777777" w:rsidR="00DF404C" w:rsidRPr="00F01CE7" w:rsidRDefault="00DF404C" w:rsidP="00DF404C">
      <w:pPr>
        <w:autoSpaceDE w:val="0"/>
        <w:autoSpaceDN w:val="0"/>
        <w:adjustRightInd w:val="0"/>
        <w:spacing w:before="240" w:line="360" w:lineRule="auto"/>
        <w:ind w:left="1080"/>
        <w:jc w:val="both"/>
        <w:rPr>
          <w:rFonts w:ascii="Palatino Linotype" w:hAnsi="Palatino Linotype"/>
          <w:i/>
        </w:rPr>
      </w:pPr>
      <w:r w:rsidRPr="00F01CE7">
        <w:rPr>
          <w:rFonts w:ascii="Palatino Linotype" w:hAnsi="Palatino Linotype"/>
          <w:i/>
        </w:rPr>
        <w:t>Adicionalmente, se podrán anexar las pruebas y demás elementos que considere procedentes someter a juicio del Instituto.</w:t>
      </w:r>
    </w:p>
    <w:p w14:paraId="74120109" w14:textId="77777777" w:rsidR="00DF404C" w:rsidRPr="00F01CE7" w:rsidRDefault="00DF404C" w:rsidP="00DF404C">
      <w:pPr>
        <w:autoSpaceDE w:val="0"/>
        <w:autoSpaceDN w:val="0"/>
        <w:adjustRightInd w:val="0"/>
        <w:spacing w:before="240" w:line="360" w:lineRule="auto"/>
        <w:ind w:left="732" w:firstLine="348"/>
        <w:jc w:val="both"/>
        <w:rPr>
          <w:rFonts w:ascii="Palatino Linotype" w:hAnsi="Palatino Linotype"/>
          <w:i/>
        </w:rPr>
      </w:pPr>
      <w:r w:rsidRPr="00F01CE7">
        <w:rPr>
          <w:rFonts w:ascii="Palatino Linotype" w:hAnsi="Palatino Linotype"/>
          <w:i/>
        </w:rPr>
        <w:lastRenderedPageBreak/>
        <w:t>En ningún caso será necesario que el particular ratifique el recurso de revisión interpuesto.</w:t>
      </w:r>
    </w:p>
    <w:p w14:paraId="71BEA59C" w14:textId="77777777" w:rsidR="00DF404C" w:rsidRPr="00F01CE7" w:rsidRDefault="00DF404C" w:rsidP="00DF404C">
      <w:pPr>
        <w:autoSpaceDE w:val="0"/>
        <w:autoSpaceDN w:val="0"/>
        <w:adjustRightInd w:val="0"/>
        <w:spacing w:before="240" w:line="360" w:lineRule="auto"/>
        <w:ind w:left="1080"/>
        <w:jc w:val="both"/>
        <w:rPr>
          <w:rFonts w:ascii="Palatino Linotype" w:hAnsi="Palatino Linotype"/>
          <w:b/>
          <w:i/>
          <w:u w:val="single"/>
        </w:rPr>
      </w:pPr>
      <w:r w:rsidRPr="00F01CE7">
        <w:rPr>
          <w:rFonts w:ascii="Palatino Linotype" w:hAnsi="Palatino Linotype"/>
          <w:b/>
          <w:i/>
          <w:u w:val="single"/>
        </w:rPr>
        <w:t>En caso de que el recurso se interponga de manera electrónica no será indispensable que contengan los requisitos establecidos en las fracciones II, IV, VII y VIII.” [Sic]</w:t>
      </w:r>
    </w:p>
    <w:p w14:paraId="39E44EE1" w14:textId="77777777" w:rsidR="00DF404C" w:rsidRPr="00F01CE7" w:rsidRDefault="00DF404C" w:rsidP="00DF404C">
      <w:pPr>
        <w:spacing w:line="360" w:lineRule="auto"/>
        <w:jc w:val="both"/>
        <w:rPr>
          <w:rFonts w:ascii="Palatino Linotype" w:hAnsi="Palatino Linotype" w:cs="Segoe UI"/>
          <w:sz w:val="24"/>
          <w:szCs w:val="24"/>
        </w:rPr>
      </w:pPr>
    </w:p>
    <w:p w14:paraId="06B2D54C" w14:textId="77777777" w:rsidR="00DF404C" w:rsidRPr="00F01CE7" w:rsidRDefault="00DF404C" w:rsidP="00DF404C">
      <w:pPr>
        <w:spacing w:line="360" w:lineRule="auto"/>
        <w:jc w:val="both"/>
        <w:rPr>
          <w:rFonts w:ascii="Palatino Linotype" w:hAnsi="Palatino Linotype" w:cs="Arial"/>
          <w:sz w:val="24"/>
          <w:szCs w:val="24"/>
        </w:rPr>
      </w:pPr>
      <w:r w:rsidRPr="00F01CE7">
        <w:rPr>
          <w:rFonts w:ascii="Palatino Linotype" w:hAnsi="Palatino Linotype" w:cs="Segoe UI"/>
          <w:sz w:val="24"/>
          <w:szCs w:val="24"/>
        </w:rPr>
        <w:t xml:space="preserve">Cabe señalar que </w:t>
      </w:r>
      <w:r w:rsidRPr="00F01CE7">
        <w:rPr>
          <w:rFonts w:ascii="Palatino Linotype" w:hAnsi="Palatino Linotype" w:cs="Segoe UI"/>
          <w:b/>
          <w:sz w:val="24"/>
          <w:szCs w:val="24"/>
        </w:rPr>
        <w:t>el Recurrente</w:t>
      </w:r>
      <w:r w:rsidRPr="00F01CE7">
        <w:rPr>
          <w:rFonts w:ascii="Palatino Linotype" w:hAnsi="Palatino Linotype" w:cs="Segoe UI"/>
          <w:sz w:val="24"/>
          <w:szCs w:val="24"/>
        </w:rPr>
        <w:t xml:space="preserve"> </w:t>
      </w:r>
      <w:r w:rsidRPr="00F01CE7">
        <w:rPr>
          <w:rFonts w:ascii="Palatino Linotype" w:hAnsi="Palatino Linotype" w:cs="Segoe UI"/>
          <w:sz w:val="24"/>
          <w:szCs w:val="24"/>
          <w:u w:val="single"/>
        </w:rPr>
        <w:t>ejerció su derecho de acceso a la información de manera anónima</w:t>
      </w:r>
      <w:r w:rsidRPr="00F01CE7">
        <w:rPr>
          <w:rFonts w:ascii="Palatino Linotype" w:hAnsi="Palatino Linotype"/>
          <w:sz w:val="24"/>
          <w:szCs w:val="24"/>
        </w:rPr>
        <w:t xml:space="preserve">, sin embargo no es motivo para desechar las </w:t>
      </w:r>
      <w:r w:rsidRPr="00F01CE7">
        <w:rPr>
          <w:rFonts w:ascii="Palatino Linotype" w:hAnsi="Palatino Linotype" w:cs="Arial"/>
          <w:sz w:val="24"/>
          <w:szCs w:val="24"/>
        </w:rPr>
        <w:t>solicitudes de acceso a la información pública conforme a lo previsto en el artículo 155, penúltimo párrafo de la Ley de Transparencia y Acceso a la Información Pública del Estado de México y Municipios que señala lo siguiente:</w:t>
      </w:r>
    </w:p>
    <w:p w14:paraId="15AD89FF" w14:textId="77777777" w:rsidR="00DF404C" w:rsidRPr="00F01CE7" w:rsidRDefault="00DF404C" w:rsidP="00DF404C">
      <w:pPr>
        <w:spacing w:before="240" w:line="360" w:lineRule="auto"/>
        <w:ind w:left="851" w:right="851"/>
        <w:jc w:val="both"/>
        <w:rPr>
          <w:rFonts w:ascii="Palatino Linotype" w:hAnsi="Palatino Linotype" w:cs="Arial"/>
          <w:b/>
          <w:i/>
        </w:rPr>
      </w:pPr>
      <w:r w:rsidRPr="00F01CE7">
        <w:rPr>
          <w:rFonts w:ascii="Palatino Linotype" w:hAnsi="Palatino Linotype" w:cs="Arial"/>
          <w:i/>
        </w:rPr>
        <w:t xml:space="preserve">“Las solicitudes anónimas, con nombre incompleto o seudónimo serán procedentes para su trámite por parte del sujeto obligado ante quien se presente. No podrá requerirse información adicional con motivo del nombre proporcionado por el solicitante.” </w:t>
      </w:r>
      <w:r w:rsidRPr="00F01CE7">
        <w:rPr>
          <w:rFonts w:ascii="Palatino Linotype" w:hAnsi="Palatino Linotype" w:cs="Arial"/>
          <w:b/>
          <w:i/>
        </w:rPr>
        <w:t>[Sic]</w:t>
      </w:r>
    </w:p>
    <w:p w14:paraId="26E538D6" w14:textId="77777777" w:rsidR="00320B40" w:rsidRPr="00F01CE7" w:rsidRDefault="00320B40" w:rsidP="00DF404C">
      <w:pPr>
        <w:spacing w:line="360" w:lineRule="auto"/>
        <w:jc w:val="both"/>
        <w:rPr>
          <w:rFonts w:ascii="Palatino Linotype" w:hAnsi="Palatino Linotype"/>
          <w:sz w:val="24"/>
          <w:szCs w:val="24"/>
        </w:rPr>
      </w:pPr>
    </w:p>
    <w:p w14:paraId="3D93B6C1" w14:textId="77777777" w:rsidR="00DF404C" w:rsidRPr="00F01CE7" w:rsidRDefault="00DF404C" w:rsidP="00DF404C">
      <w:pPr>
        <w:spacing w:line="360" w:lineRule="auto"/>
        <w:jc w:val="both"/>
        <w:rPr>
          <w:rFonts w:ascii="Palatino Linotype" w:hAnsi="Palatino Linotype"/>
          <w:sz w:val="24"/>
          <w:szCs w:val="24"/>
        </w:rPr>
      </w:pPr>
      <w:r w:rsidRPr="00F01CE7">
        <w:rPr>
          <w:rFonts w:ascii="Palatino Linotype" w:hAnsi="Palatino Linotype"/>
          <w:sz w:val="24"/>
          <w:szCs w:val="24"/>
        </w:rPr>
        <w:t xml:space="preserve">Robustece lo anterior se encuentra lo dispuesto en el artículo 5 párrafos </w:t>
      </w:r>
      <w:r w:rsidRPr="00F01CE7">
        <w:rPr>
          <w:rFonts w:ascii="Palatino Linotype" w:hAnsi="Palatino Linotype" w:cs="Arial"/>
          <w:sz w:val="24"/>
          <w:szCs w:val="24"/>
        </w:rPr>
        <w:t>vigésimo, vigésimo primero y vigésimo segundo</w:t>
      </w:r>
      <w:r w:rsidRPr="00F01CE7">
        <w:rPr>
          <w:rFonts w:ascii="Palatino Linotype" w:hAnsi="Palatino Linotype"/>
          <w:sz w:val="24"/>
          <w:szCs w:val="24"/>
        </w:rPr>
        <w:t>, de la Constitución Política del Estado Libre y Soberano de México, se establece lo siguiente:</w:t>
      </w:r>
    </w:p>
    <w:p w14:paraId="66D6F004" w14:textId="77777777" w:rsidR="00DF404C" w:rsidRPr="00F01CE7" w:rsidRDefault="00DF404C" w:rsidP="00DF404C">
      <w:pPr>
        <w:spacing w:before="240" w:line="360" w:lineRule="auto"/>
        <w:ind w:left="851" w:right="851"/>
        <w:jc w:val="both"/>
        <w:rPr>
          <w:rFonts w:ascii="Palatino Linotype" w:hAnsi="Palatino Linotype"/>
          <w:b/>
          <w:i/>
          <w:u w:val="single"/>
        </w:rPr>
      </w:pPr>
      <w:r w:rsidRPr="00F01CE7">
        <w:rPr>
          <w:rFonts w:ascii="Palatino Linotype" w:hAnsi="Palatino Linotype"/>
          <w:b/>
          <w:i/>
          <w:u w:val="single"/>
        </w:rPr>
        <w:t>Constitución Política del Estado Libre y Soberano de México</w:t>
      </w:r>
    </w:p>
    <w:p w14:paraId="5EC2A47D" w14:textId="77777777" w:rsidR="00DF404C" w:rsidRPr="00F01CE7" w:rsidRDefault="00DF404C" w:rsidP="00DF404C">
      <w:pPr>
        <w:spacing w:before="240" w:line="360" w:lineRule="auto"/>
        <w:ind w:left="851" w:right="851"/>
        <w:jc w:val="both"/>
        <w:rPr>
          <w:rFonts w:ascii="Palatino Linotype" w:hAnsi="Palatino Linotype"/>
          <w:i/>
        </w:rPr>
      </w:pPr>
      <w:r w:rsidRPr="00F01CE7">
        <w:rPr>
          <w:rFonts w:ascii="Palatino Linotype" w:hAnsi="Palatino Linotype"/>
          <w:i/>
        </w:rPr>
        <w:t>“</w:t>
      </w:r>
      <w:r w:rsidRPr="00F01CE7">
        <w:rPr>
          <w:rFonts w:ascii="Palatino Linotype" w:hAnsi="Palatino Linotype"/>
          <w:b/>
          <w:i/>
        </w:rPr>
        <w:t>Artículo 5</w:t>
      </w:r>
      <w:r w:rsidRPr="00F01CE7">
        <w:rPr>
          <w:rFonts w:ascii="Palatino Linotype" w:hAnsi="Palatino Linotype"/>
          <w:i/>
        </w:rPr>
        <w:t xml:space="preserve">.- En el Estado de México todas las personas gozarán de los derechos humanos reconocidos en la Constitución Política de los Estados Unidos Mexicanos, en los tratados internacionales en los que el Estado mexicano sea parte, en esta Constitución y en las leyes que de ésta emanen, por lo que gozarán de las garantías para </w:t>
      </w:r>
      <w:r w:rsidRPr="00F01CE7">
        <w:rPr>
          <w:rFonts w:ascii="Palatino Linotype" w:hAnsi="Palatino Linotype"/>
          <w:i/>
        </w:rPr>
        <w:lastRenderedPageBreak/>
        <w:t>su protección, las cuales no podrán restringirse ni suspenderse salvo en los casos y bajo las condiciones que la Constitución Política de los Estados Unidos Mexicanos establece.</w:t>
      </w:r>
    </w:p>
    <w:p w14:paraId="6C2D43D9" w14:textId="77777777" w:rsidR="00DF404C" w:rsidRPr="00F01CE7" w:rsidRDefault="00DF404C" w:rsidP="00DF404C">
      <w:pPr>
        <w:spacing w:before="240" w:line="360" w:lineRule="auto"/>
        <w:ind w:left="851" w:right="851"/>
        <w:jc w:val="both"/>
        <w:rPr>
          <w:rFonts w:ascii="Palatino Linotype" w:hAnsi="Palatino Linotype"/>
          <w:i/>
        </w:rPr>
      </w:pPr>
      <w:r w:rsidRPr="00F01CE7">
        <w:rPr>
          <w:rFonts w:ascii="Palatino Linotype" w:hAnsi="Palatino Linotype"/>
          <w:i/>
        </w:rPr>
        <w:t>(…)</w:t>
      </w:r>
    </w:p>
    <w:p w14:paraId="1F90C003" w14:textId="77777777" w:rsidR="00DF404C" w:rsidRPr="00F01CE7" w:rsidRDefault="00DF404C" w:rsidP="00DF404C">
      <w:pPr>
        <w:spacing w:before="240" w:line="360" w:lineRule="auto"/>
        <w:ind w:left="851" w:right="851"/>
        <w:jc w:val="both"/>
        <w:rPr>
          <w:rFonts w:ascii="Palatino Linotype" w:hAnsi="Palatino Linotype"/>
          <w:b/>
          <w:i/>
        </w:rPr>
      </w:pPr>
      <w:proofErr w:type="gramStart"/>
      <w:r w:rsidRPr="00F01CE7">
        <w:rPr>
          <w:rFonts w:ascii="Palatino Linotype" w:hAnsi="Palatino Linotype"/>
          <w:i/>
        </w:rPr>
        <w:t>transparencia</w:t>
      </w:r>
      <w:proofErr w:type="gramEnd"/>
      <w:r w:rsidRPr="00F01CE7">
        <w:rPr>
          <w:rFonts w:ascii="Palatino Linotype" w:hAnsi="Palatino Linotype"/>
          <w:i/>
        </w:rPr>
        <w:t xml:space="preserve">, acceso a la información pública y a la protección de datos personales en posesión de los sujetos obligados en los términos que establezca la ley. (…)” </w:t>
      </w:r>
      <w:r w:rsidRPr="00F01CE7">
        <w:rPr>
          <w:rFonts w:ascii="Palatino Linotype" w:hAnsi="Palatino Linotype"/>
          <w:b/>
          <w:i/>
        </w:rPr>
        <w:t>[Sic]</w:t>
      </w:r>
    </w:p>
    <w:p w14:paraId="0F230763" w14:textId="77777777" w:rsidR="00DF404C" w:rsidRPr="00F01CE7" w:rsidRDefault="00DF404C" w:rsidP="00DF404C">
      <w:pPr>
        <w:autoSpaceDE w:val="0"/>
        <w:autoSpaceDN w:val="0"/>
        <w:adjustRightInd w:val="0"/>
        <w:spacing w:before="240" w:line="360" w:lineRule="auto"/>
        <w:jc w:val="both"/>
        <w:rPr>
          <w:rFonts w:ascii="Palatino Linotype" w:hAnsi="Palatino Linotype" w:cs="Arial"/>
          <w:sz w:val="24"/>
          <w:szCs w:val="24"/>
        </w:rPr>
      </w:pPr>
      <w:r w:rsidRPr="00F01CE7">
        <w:rPr>
          <w:rFonts w:ascii="Palatino Linotype" w:hAnsi="Palatino Linotype"/>
          <w:sz w:val="24"/>
          <w:szCs w:val="24"/>
        </w:rPr>
        <w:t xml:space="preserve">Por lo cual, de una interpretación sistemática, conforme y progresiva del derecho humano de acceso a la información pública se aprecia que toda persona, sin necesidad de acreditar interés alguno o justificar su utilización, deberá tener acceso a la información pública, es decir, dicho derecho fundamental exime a quien lo ejerce, de acreditar su legitimación en la causa o su interés en el asunto, lo que permite la posibilidad de que, </w:t>
      </w:r>
      <w:r w:rsidRPr="00F01CE7">
        <w:rPr>
          <w:rFonts w:ascii="Palatino Linotype" w:hAnsi="Palatino Linotype"/>
          <w:b/>
          <w:sz w:val="24"/>
          <w:szCs w:val="24"/>
          <w:u w:val="single"/>
        </w:rPr>
        <w:t>incluso, la solicitud de acceso a la información pueda ser anónima</w:t>
      </w:r>
      <w:r w:rsidRPr="00F01CE7">
        <w:rPr>
          <w:rFonts w:ascii="Palatino Linotype" w:hAnsi="Palatino Linotype"/>
          <w:sz w:val="24"/>
          <w:szCs w:val="24"/>
        </w:rPr>
        <w:t xml:space="preserve"> o no contener un nombre que identifique al solicitante o que permita tener certeza sobre su identidad. </w:t>
      </w:r>
      <w:r w:rsidRPr="00F01CE7">
        <w:rPr>
          <w:rFonts w:ascii="Palatino Linotype" w:hAnsi="Palatino Linotype" w:cs="Arial"/>
          <w:sz w:val="24"/>
          <w:szCs w:val="24"/>
        </w:rPr>
        <w:t xml:space="preserve">En conclusión, se cubrieron los requisitos de procedencia y </w:t>
      </w:r>
      <w:proofErr w:type="spellStart"/>
      <w:r w:rsidRPr="00F01CE7">
        <w:rPr>
          <w:rFonts w:ascii="Palatino Linotype" w:hAnsi="Palatino Linotype" w:cs="Arial"/>
          <w:sz w:val="24"/>
          <w:szCs w:val="24"/>
        </w:rPr>
        <w:t>procedibilidad</w:t>
      </w:r>
      <w:proofErr w:type="spellEnd"/>
      <w:r w:rsidRPr="00F01CE7">
        <w:rPr>
          <w:rFonts w:ascii="Palatino Linotype" w:hAnsi="Palatino Linotype" w:cs="Arial"/>
          <w:sz w:val="24"/>
          <w:szCs w:val="24"/>
        </w:rPr>
        <w:t xml:space="preserve"> y conforme a las constancias que obran en el expediente.</w:t>
      </w:r>
    </w:p>
    <w:p w14:paraId="4DDF21B4" w14:textId="77777777" w:rsidR="00DF404C" w:rsidRPr="00F01CE7" w:rsidRDefault="00DF404C" w:rsidP="00DF404C">
      <w:pPr>
        <w:autoSpaceDE w:val="0"/>
        <w:autoSpaceDN w:val="0"/>
        <w:adjustRightInd w:val="0"/>
        <w:spacing w:before="240" w:line="360" w:lineRule="auto"/>
        <w:jc w:val="both"/>
        <w:rPr>
          <w:rFonts w:ascii="Palatino Linotype" w:hAnsi="Palatino Linotype" w:cs="Arial"/>
          <w:sz w:val="24"/>
          <w:szCs w:val="24"/>
        </w:rPr>
      </w:pPr>
    </w:p>
    <w:p w14:paraId="041CCDD6" w14:textId="77777777" w:rsidR="00DF404C" w:rsidRPr="00F01CE7" w:rsidRDefault="00DF404C"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lang w:val="es-ES"/>
        </w:rPr>
      </w:pPr>
      <w:r w:rsidRPr="00F01CE7">
        <w:rPr>
          <w:rFonts w:ascii="Palatino Linotype" w:eastAsia="Palatino Linotype" w:hAnsi="Palatino Linotype" w:cs="Palatino Linotype"/>
          <w:color w:val="000000"/>
          <w:sz w:val="24"/>
          <w:szCs w:val="24"/>
          <w:lang w:val="es-ES"/>
        </w:rPr>
        <w:t>Asimismo, los motivos o razones de inconformidad expuestos por la parte Recurrente se adolece de la falta de respuesta a la solicitud de acceso a la información formulada, por lo que se actualiza la causal de procedencia establecida en la fracción VII del artículo 179 de la Ley de Transparencia y Acceso a la Información Pública del Estado de México y Municipios, y por tanto, procedente la interposición del recurso de revisión.</w:t>
      </w:r>
    </w:p>
    <w:p w14:paraId="60113D3E" w14:textId="77777777" w:rsidR="00DF404C" w:rsidRPr="00F01CE7" w:rsidRDefault="00DF404C"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lang w:val="es-ES"/>
        </w:rPr>
      </w:pPr>
    </w:p>
    <w:p w14:paraId="10675DB3" w14:textId="77777777" w:rsidR="00DF404C" w:rsidRPr="00F01CE7" w:rsidRDefault="00DF404C"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rPr>
      </w:pPr>
    </w:p>
    <w:p w14:paraId="68825E43" w14:textId="77777777" w:rsidR="00DF404C" w:rsidRPr="00F01CE7" w:rsidRDefault="00DF404C"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rPr>
      </w:pPr>
      <w:r w:rsidRPr="00F01CE7">
        <w:rPr>
          <w:rFonts w:ascii="Palatino Linotype" w:eastAsia="Palatino Linotype" w:hAnsi="Palatino Linotype" w:cs="Palatino Linotype"/>
          <w:color w:val="000000"/>
          <w:sz w:val="24"/>
          <w:szCs w:val="24"/>
        </w:rPr>
        <w:lastRenderedPageBreak/>
        <w:t>En consecuencia, los motivos de inconformidad hechos valer resultan fundados y procedentes, en virtud de las constancias que obran en el expediente electrónico SAIMEX, se acredita que el Sujeto Obligado fue omiso en responder la solicitud de información hecha por la parte Recurrente; es decir, incumplió las obligaciones que se le imponen como Sujeto Obligado, de conformidad con lo establecido en los artículos 4, 12, 23 fracción IV, 24 último párrafo y 160 de la Ley de Transparencia y Acceso a la Información Pública del Estado de México y Municipios.</w:t>
      </w:r>
    </w:p>
    <w:p w14:paraId="6C67200E" w14:textId="77777777" w:rsidR="00DF404C" w:rsidRPr="00F01CE7" w:rsidRDefault="00DF404C"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rPr>
      </w:pPr>
    </w:p>
    <w:p w14:paraId="4B45B29F" w14:textId="77777777" w:rsidR="00DF404C" w:rsidRPr="00F01CE7" w:rsidRDefault="00DF404C"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rPr>
      </w:pPr>
      <w:r w:rsidRPr="00F01CE7">
        <w:rPr>
          <w:rFonts w:ascii="Palatino Linotype" w:eastAsia="Palatino Linotype" w:hAnsi="Palatino Linotype" w:cs="Palatino Linotype"/>
          <w:color w:val="000000"/>
          <w:sz w:val="24"/>
          <w:szCs w:val="24"/>
        </w:rPr>
        <w:t>De conformidad con lo establecido en los artículos 50 y 51 de la Ley de Transparencia y Acceso a la Información Pública del Estado de México y Municipios, los Sujetos Obligados deben contar con un área responsable para la atención de las solicitudes de información, a la que se le denominará Unidad de Transparencia; asimismo, deben designar a un responsable para atender dicha Unidad, quien fungirá como enlace entre éstos y los solicitantes. Además, se establece que la Unidad de Transparencia es la encargada de tramitar internamente las solicitudes de información y tiene la responsabilidad de verificar, en cada caso, que la información no tenga el carácter de confidencial o reservada.</w:t>
      </w:r>
    </w:p>
    <w:p w14:paraId="4BE24937" w14:textId="77777777" w:rsidR="00DF404C" w:rsidRPr="00F01CE7" w:rsidRDefault="00DF404C"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rPr>
      </w:pPr>
    </w:p>
    <w:p w14:paraId="2E4E9BC8" w14:textId="42C23FC3" w:rsidR="00DF404C" w:rsidRPr="00F01CE7" w:rsidRDefault="00DF404C"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rPr>
      </w:pPr>
      <w:r w:rsidRPr="00F01CE7">
        <w:rPr>
          <w:rFonts w:ascii="Palatino Linotype" w:eastAsia="Palatino Linotype" w:hAnsi="Palatino Linotype" w:cs="Palatino Linotype"/>
          <w:color w:val="000000"/>
          <w:sz w:val="24"/>
          <w:szCs w:val="24"/>
        </w:rPr>
        <w:t>El artículo 53, fracciones II, IV y V de la Ley de Transparencia Local establece que las Unidades de Transparencia tienen, entre otras, las funciones de recibir, tramitar y dar respuesta a las solicitudes de acceso a la información; realizar, con efectividad, los trámites internos necesarios para la atención de las solicitudes de acceso a la información; así como, entregar, en su caso, a los particulares la información solicitada.</w:t>
      </w:r>
    </w:p>
    <w:p w14:paraId="18BB1AAE" w14:textId="77777777" w:rsidR="00DF404C" w:rsidRPr="00F01CE7" w:rsidRDefault="00DF404C"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rPr>
      </w:pPr>
      <w:r w:rsidRPr="00F01CE7">
        <w:rPr>
          <w:rFonts w:ascii="Palatino Linotype" w:eastAsia="Palatino Linotype" w:hAnsi="Palatino Linotype" w:cs="Palatino Linotype"/>
          <w:color w:val="000000"/>
          <w:sz w:val="24"/>
          <w:szCs w:val="24"/>
        </w:rPr>
        <w:lastRenderedPageBreak/>
        <w:t>El artículo 163 de la mencionada Ley, señala que la Unidad de Transparencia debe notificar la respuesta a las solicitudes de acceso a la información, en el menor tiempo posible, que no podrá exceder de quince días hábiles, teniendo como excepción al plazo referido, una prórroga de hasta siete días hábiles adicionales, siempre y cuando existan razones fundadas y motivadas, las cuales deberán ser aprobadas por el Comité de Transparencia, lo cual no aconteció en el presente asunto. De tal manera que la omisión del Titular de la Unidad de Transparencia, como primer responsable de atender la solicitud de información, se traduce en una conducta que ha vulnerado el derecho de acceso a la información consignado a favor del particular.</w:t>
      </w:r>
    </w:p>
    <w:p w14:paraId="5CFB4293" w14:textId="77777777" w:rsidR="00DF404C" w:rsidRPr="00F01CE7" w:rsidRDefault="00DF404C"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rPr>
      </w:pPr>
    </w:p>
    <w:p w14:paraId="2E35F88A" w14:textId="77777777" w:rsidR="00DF404C" w:rsidRPr="00F01CE7" w:rsidRDefault="00DF404C"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rPr>
      </w:pPr>
      <w:r w:rsidRPr="00F01CE7">
        <w:rPr>
          <w:rFonts w:ascii="Palatino Linotype" w:eastAsia="Palatino Linotype" w:hAnsi="Palatino Linotype" w:cs="Palatino Linotype"/>
          <w:color w:val="000000"/>
          <w:sz w:val="24"/>
          <w:szCs w:val="24"/>
        </w:rPr>
        <w:t>En consecuencia, según lo dispuesto por el artículo 150 de la Ley de Transparencia y Acceso a la Información Pública del Estado de México y Municipios, el procedimiento de acceso a la información es la garantía primaria del derecho en cuestión, por lo tanto, la falta de respuesta a una solicitud de acceso a la información constituye un incumplimiento del Sujeto Obligado a su deber de garantizar el derecho, lo que constituye una vulneración al mismo.</w:t>
      </w:r>
    </w:p>
    <w:p w14:paraId="678C98A0" w14:textId="77777777" w:rsidR="00DF404C" w:rsidRPr="00F01CE7" w:rsidRDefault="00DF404C"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rPr>
      </w:pPr>
    </w:p>
    <w:p w14:paraId="17C831CE" w14:textId="77777777" w:rsidR="00DF404C" w:rsidRPr="00F01CE7" w:rsidRDefault="00DF404C"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rPr>
      </w:pPr>
      <w:r w:rsidRPr="00F01CE7">
        <w:rPr>
          <w:rFonts w:ascii="Palatino Linotype" w:eastAsia="Palatino Linotype" w:hAnsi="Palatino Linotype" w:cs="Palatino Linotype"/>
          <w:color w:val="000000"/>
          <w:sz w:val="24"/>
          <w:szCs w:val="24"/>
        </w:rPr>
        <w:t>Por lo que, en cumplimiento a esta resolución, el Sujeto Obligado deberá dar atención a la solicitud de información, puesto que el silencio administrativo que hizo patente al omitir dar respuesta trae como consecuencia que se le ordene dar atención a la solicitud entregando la información solicitada, lo cual deberá llevar a cabo en ejercicio de sus atribuciones y con arreglo a lo dispuesto por la ley de la materia.</w:t>
      </w:r>
    </w:p>
    <w:p w14:paraId="762B7317" w14:textId="77777777" w:rsidR="00DF404C" w:rsidRPr="00F01CE7" w:rsidRDefault="00DF404C"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rPr>
      </w:pPr>
    </w:p>
    <w:p w14:paraId="7BEB2F97" w14:textId="77777777" w:rsidR="00DF404C" w:rsidRPr="00F01CE7" w:rsidRDefault="00DF404C" w:rsidP="00DF404C">
      <w:pPr>
        <w:pStyle w:val="Ttulo3"/>
        <w:spacing w:line="360" w:lineRule="auto"/>
        <w:jc w:val="both"/>
        <w:rPr>
          <w:rFonts w:ascii="Palatino Linotype" w:eastAsia="Palatino Linotype" w:hAnsi="Palatino Linotype"/>
          <w:b/>
          <w:color w:val="auto"/>
        </w:rPr>
      </w:pPr>
      <w:r w:rsidRPr="00F01CE7">
        <w:rPr>
          <w:rFonts w:ascii="Palatino Linotype" w:eastAsia="Palatino Linotype" w:hAnsi="Palatino Linotype"/>
          <w:b/>
          <w:color w:val="auto"/>
        </w:rPr>
        <w:lastRenderedPageBreak/>
        <w:t>De la clasificación de la información</w:t>
      </w:r>
    </w:p>
    <w:p w14:paraId="088DA5FA" w14:textId="77777777" w:rsidR="00DF404C" w:rsidRPr="00F01CE7" w:rsidRDefault="00DF404C"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rPr>
      </w:pPr>
      <w:r w:rsidRPr="00F01CE7">
        <w:rPr>
          <w:rFonts w:ascii="Palatino Linotype" w:eastAsia="Palatino Linotype" w:hAnsi="Palatino Linotype" w:cs="Palatino Linotype"/>
          <w:color w:val="000000"/>
          <w:sz w:val="24"/>
          <w:szCs w:val="24"/>
        </w:rPr>
        <w:t xml:space="preserve">De conformidad con el artículo 91 de la Ley de Transparencia y Acceso a la Información Pública el  acceso a la información pública será restringido excepcionalmente, cuando ésta sea clasificada como reservada o confidencial; la información reservada es aquella que se clasifica de manera temporal cuya divulgación pueda causar algún daño; la información confidencial es la relacionada con los secretos bancario, fiduciario, industrial, comercial, fiscal, bursátil y postal, cuya titularidad corresponde a particulares, sujetos de derecho internacional o a Sujetos Obligados cuando no involucren el ejercicio de recursos públicos, así como la información privada contenida en documentos públicos o privados que refiera a la vida privada y/o los datos personales, que no son de acceso público. </w:t>
      </w:r>
    </w:p>
    <w:p w14:paraId="3D250D82" w14:textId="77777777" w:rsidR="00DF404C" w:rsidRPr="00F01CE7" w:rsidRDefault="00DF404C"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rPr>
      </w:pPr>
    </w:p>
    <w:p w14:paraId="51841C14" w14:textId="77777777" w:rsidR="00DF404C" w:rsidRPr="00F01CE7" w:rsidRDefault="00DF404C"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rPr>
      </w:pPr>
      <w:r w:rsidRPr="00F01CE7">
        <w:rPr>
          <w:rFonts w:ascii="Palatino Linotype" w:eastAsia="Palatino Linotype" w:hAnsi="Palatino Linotype" w:cs="Palatino Linotype"/>
          <w:color w:val="000000"/>
          <w:sz w:val="24"/>
          <w:szCs w:val="24"/>
        </w:rPr>
        <w:t>De este modo, en armonía entre los principios constitucionales de máxima publicidad y de protección de datos personales, la Ley permite la elaboración de versiones públicas en las que se suprima aquella información relacionada con la vida privada de los particulares y de los servidores públicos.</w:t>
      </w:r>
    </w:p>
    <w:p w14:paraId="5435FBAA" w14:textId="77777777" w:rsidR="00DF404C" w:rsidRPr="00F01CE7" w:rsidRDefault="00DF404C"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rPr>
      </w:pPr>
    </w:p>
    <w:p w14:paraId="36047EC7" w14:textId="77777777" w:rsidR="00DF404C" w:rsidRPr="00F01CE7" w:rsidRDefault="00DF404C"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rPr>
      </w:pPr>
      <w:r w:rsidRPr="00F01CE7">
        <w:rPr>
          <w:rFonts w:ascii="Palatino Linotype" w:eastAsia="Palatino Linotype" w:hAnsi="Palatino Linotype" w:cs="Palatino Linotype"/>
          <w:color w:val="000000"/>
          <w:sz w:val="24"/>
          <w:szCs w:val="24"/>
        </w:rPr>
        <w:t>Para la clasificación de la información es necesario considerar lo establecido por los Lineamientos Generales en materia de Clasificación y Desclasificación de la información, emitidos por el Sistema Nacional de Transparencia, Acceso a la Información Pública y Protección de Datos Personales, ya que establecen los criterios para la clasificación y desclasificación de la información, garantizan la confidencialidad, el uso adecuado de la información, entre otros.</w:t>
      </w:r>
    </w:p>
    <w:p w14:paraId="65805FD9" w14:textId="77777777" w:rsidR="00DF404C" w:rsidRPr="00F01CE7" w:rsidRDefault="00DF404C"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rPr>
      </w:pPr>
      <w:r w:rsidRPr="00F01CE7">
        <w:rPr>
          <w:rFonts w:ascii="Palatino Linotype" w:eastAsia="Palatino Linotype" w:hAnsi="Palatino Linotype" w:cs="Palatino Linotype"/>
          <w:color w:val="000000"/>
          <w:sz w:val="24"/>
          <w:szCs w:val="24"/>
        </w:rPr>
        <w:lastRenderedPageBreak/>
        <w:t>El derecho de acceso a la información pública puede ser restringido cuando se trate de información clasificada como reservada, por lo que para motivar la clasificación se deberán de señalar las razones, motivos o circunstancias especiales que llevaron al Sujeto Obligado a concluir que, el caso particular se ajusta al supuesto previsto por la norma legal invocada como fundamento; siendo que, además, en todo momento, se debe aplicar una prueba de daño, entendida esta como la responsabilidad de los Sujetos Obligados de demostrar, de manera fundada y motivada, que la divulgación de la información lesiona el interés debidamente protegido por la Ley y que el menoscabo o daño que puede producirse con la publicidad de la información, es mayor que el interés de conocerla; debiendo clasificarse como reservada.</w:t>
      </w:r>
    </w:p>
    <w:p w14:paraId="08E9F395" w14:textId="77777777" w:rsidR="00DF404C" w:rsidRPr="00F01CE7" w:rsidRDefault="00DF404C"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rPr>
      </w:pPr>
    </w:p>
    <w:p w14:paraId="12325640" w14:textId="77777777" w:rsidR="00DF404C" w:rsidRPr="00F01CE7" w:rsidRDefault="00DF404C"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rPr>
      </w:pPr>
      <w:r w:rsidRPr="00F01CE7">
        <w:rPr>
          <w:rFonts w:ascii="Palatino Linotype" w:eastAsia="Palatino Linotype" w:hAnsi="Palatino Linotype" w:cs="Palatino Linotype"/>
          <w:color w:val="000000"/>
          <w:sz w:val="24"/>
          <w:szCs w:val="24"/>
        </w:rPr>
        <w:t>Para la clasificación de la información como reservada se deben establecer, de manera fundada y motivada, las hipótesis normativas aplicables al caso concreto y se analice la prueba de daño, misma que se encuentra prevista en el artículo 129 de la Ley de Transparencia y Acceso a la Información pública del Estado de México y Municipios.</w:t>
      </w:r>
    </w:p>
    <w:p w14:paraId="302394CA" w14:textId="77777777" w:rsidR="00DF404C" w:rsidRPr="00F01CE7" w:rsidRDefault="00DF404C"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rPr>
      </w:pPr>
      <w:r w:rsidRPr="00F01CE7">
        <w:rPr>
          <w:rFonts w:ascii="Palatino Linotype" w:eastAsia="Palatino Linotype" w:hAnsi="Palatino Linotype" w:cs="Palatino Linotype"/>
          <w:color w:val="000000"/>
          <w:sz w:val="24"/>
          <w:szCs w:val="24"/>
        </w:rPr>
        <w:t>De tal manera, las limitaciones al acceso a la información deben sustentarse en una adecuada clasificación que debe distinguir y tomar en cuenta qué información puede generar un daño desproporcionado o innecesario a valores jurídicamente protegidos.</w:t>
      </w:r>
    </w:p>
    <w:p w14:paraId="600FE46B" w14:textId="77777777" w:rsidR="00DF404C" w:rsidRPr="00F01CE7" w:rsidRDefault="00DF404C"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rPr>
      </w:pPr>
      <w:r w:rsidRPr="00F01CE7">
        <w:rPr>
          <w:rFonts w:ascii="Palatino Linotype" w:eastAsia="Palatino Linotype" w:hAnsi="Palatino Linotype" w:cs="Palatino Linotype"/>
          <w:color w:val="000000"/>
          <w:sz w:val="24"/>
          <w:szCs w:val="24"/>
        </w:rPr>
        <w:t>La Ley de Transparencia y Acceso a la Información Pública del Estado de México y Municipios, en sus artículos 140 y 143 prevé los siguientes supuestos para clasificar la información como reservada o confidencial.</w:t>
      </w:r>
    </w:p>
    <w:p w14:paraId="5CBAD14F" w14:textId="77777777" w:rsidR="00DF404C" w:rsidRPr="00F01CE7" w:rsidRDefault="00DF404C"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rPr>
      </w:pPr>
    </w:p>
    <w:p w14:paraId="05FCA7E2" w14:textId="77777777" w:rsidR="00DF404C" w:rsidRPr="00F01CE7" w:rsidRDefault="00DF404C"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rPr>
      </w:pPr>
      <w:r w:rsidRPr="00F01CE7">
        <w:rPr>
          <w:rFonts w:ascii="Palatino Linotype" w:eastAsia="Palatino Linotype" w:hAnsi="Palatino Linotype" w:cs="Palatino Linotype"/>
          <w:color w:val="000000"/>
          <w:sz w:val="24"/>
          <w:szCs w:val="24"/>
        </w:rPr>
        <w:lastRenderedPageBreak/>
        <w:t>Por lo que para dar atención a la solicitud de información, si el Sujeto Obligado advierte que la información solicitada contiene datos personales que sean susceptibles de ser clasificados como confidenciales, o bien si, por su propia y especial naturaleza, encuadra en alguno de los supuestos de reserva o de confidencialidad en su totalidad, deberá emitir, un Acuerdo de Clasificación debidamente fundado y motivado que sustente la clasificación parcial, a través de la versión pública que emita, o bien, la restricción total del derecho de acceso a la información.</w:t>
      </w:r>
    </w:p>
    <w:p w14:paraId="48C136F5" w14:textId="77777777" w:rsidR="00DF404C" w:rsidRPr="00F01CE7" w:rsidRDefault="00DF404C"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rPr>
      </w:pPr>
    </w:p>
    <w:p w14:paraId="37663523" w14:textId="77777777" w:rsidR="00DF404C" w:rsidRPr="00F01CE7" w:rsidRDefault="00DF404C"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rPr>
      </w:pPr>
      <w:r w:rsidRPr="00F01CE7">
        <w:rPr>
          <w:rFonts w:ascii="Palatino Linotype" w:eastAsia="Palatino Linotype" w:hAnsi="Palatino Linotype" w:cs="Palatino Linotype"/>
          <w:color w:val="000000"/>
          <w:sz w:val="24"/>
          <w:szCs w:val="24"/>
        </w:rPr>
        <w:t>Por lo tanto, la entrega de documentos, en su versión pública, debe acompañarse necesariamente del Acuerdo del Comité de Transparencia que la sustente, en el que se expongan los fundamentos y razonamientos que llevaron al Sujeto Obligado a testar, suprimir o eliminar datos de dicho soporte documental, ya que no hacerlo implica que lo entregado no es legal ni formalmente una versión pública, sino más bien una documentación ilegible, incompleta o tachada que deja al solicitante en estado de incertidumbre, al no conocer o comprender porque no aparecen en la documentación respectiva. Por lo tanto, es necesario que el Comité de Transparencia emita un Acuerdo de Clasificación que cumpla con las formalidades previstas en los artículos 137, 143 y 149 de la Ley de Transparencia y Acceso a la Información Pública del Estado de México y Municipios.</w:t>
      </w:r>
    </w:p>
    <w:p w14:paraId="67115B46" w14:textId="77777777" w:rsidR="00DF404C" w:rsidRPr="00F01CE7" w:rsidRDefault="00DF404C"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rPr>
      </w:pPr>
    </w:p>
    <w:p w14:paraId="1FE78B49" w14:textId="77777777" w:rsidR="00DF404C" w:rsidRPr="00F01CE7" w:rsidRDefault="00DF404C" w:rsidP="00DF404C">
      <w:pPr>
        <w:pStyle w:val="Ttulo3"/>
        <w:spacing w:line="360" w:lineRule="auto"/>
        <w:jc w:val="both"/>
        <w:rPr>
          <w:rFonts w:ascii="Palatino Linotype" w:eastAsia="Palatino Linotype" w:hAnsi="Palatino Linotype"/>
        </w:rPr>
      </w:pPr>
      <w:r w:rsidRPr="00F01CE7">
        <w:rPr>
          <w:rFonts w:ascii="Palatino Linotype" w:eastAsia="Palatino Linotype" w:hAnsi="Palatino Linotype"/>
          <w:b/>
          <w:color w:val="auto"/>
        </w:rPr>
        <w:t>De la vista a los órganos internos de control competentes</w:t>
      </w:r>
      <w:r w:rsidRPr="00F01CE7">
        <w:rPr>
          <w:rFonts w:ascii="Palatino Linotype" w:eastAsia="Palatino Linotype" w:hAnsi="Palatino Linotype"/>
        </w:rPr>
        <w:t>.</w:t>
      </w:r>
    </w:p>
    <w:p w14:paraId="10D736DB" w14:textId="77777777" w:rsidR="00DF404C" w:rsidRPr="00F01CE7" w:rsidRDefault="00DF404C"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rPr>
      </w:pPr>
      <w:r w:rsidRPr="00F01CE7">
        <w:rPr>
          <w:rFonts w:ascii="Palatino Linotype" w:eastAsia="Palatino Linotype" w:hAnsi="Palatino Linotype" w:cs="Palatino Linotype"/>
          <w:color w:val="000000"/>
          <w:sz w:val="24"/>
          <w:szCs w:val="24"/>
        </w:rPr>
        <w:t xml:space="preserve">Como ya se mencionó, el Sujeto Obligado no proporcionó respuesta a la solicitud de acceso a la información pública en el término previsto en el artículo 163 de la Ley de </w:t>
      </w:r>
      <w:r w:rsidRPr="00F01CE7">
        <w:rPr>
          <w:rFonts w:ascii="Palatino Linotype" w:eastAsia="Palatino Linotype" w:hAnsi="Palatino Linotype" w:cs="Palatino Linotype"/>
          <w:color w:val="000000"/>
          <w:sz w:val="24"/>
          <w:szCs w:val="24"/>
        </w:rPr>
        <w:lastRenderedPageBreak/>
        <w:t>Transparencia estatal por lo que ordena dar vista a la Secretaría Técnica del Pleno de este Instituto para hacer del conocimiento del Órgano Interno de Control competente la presente resolución, a fin de que de conformidad con los artículos 190 y 222  de la Ley de Transparencia y Acceso a la Información Pública del Estado de México y Municipios y 19 fracción XXVII del Reglamento Interior del Instituto de Transparencia, Acceso a la Información y Protección de Datos Personales del Estado de México y Municipios, se determine lo conducente.</w:t>
      </w:r>
    </w:p>
    <w:p w14:paraId="2B60200A" w14:textId="77777777" w:rsidR="00DF404C" w:rsidRPr="00F01CE7" w:rsidRDefault="00DF404C" w:rsidP="00DF404C">
      <w:pPr>
        <w:spacing w:line="360" w:lineRule="auto"/>
        <w:jc w:val="both"/>
        <w:rPr>
          <w:rFonts w:ascii="Palatino Linotype" w:hAnsi="Palatino Linotype"/>
          <w:sz w:val="24"/>
          <w:szCs w:val="24"/>
        </w:rPr>
      </w:pPr>
    </w:p>
    <w:p w14:paraId="12EB6AAB" w14:textId="028B48D3" w:rsidR="00DF404C" w:rsidRPr="00F01CE7" w:rsidRDefault="00DF404C"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rPr>
      </w:pPr>
      <w:r w:rsidRPr="00F01CE7">
        <w:rPr>
          <w:rFonts w:ascii="Palatino Linotype" w:eastAsia="Palatino Linotype" w:hAnsi="Palatino Linotype" w:cs="Palatino Linotype"/>
          <w:color w:val="000000"/>
          <w:sz w:val="24"/>
          <w:szCs w:val="24"/>
        </w:rPr>
        <w:t xml:space="preserve">Así, con fundamento en el artículo 186 fracción IV de la Ley de Transparencia y Acceso a la Información Pública del Estado de México y Municipios, se </w:t>
      </w:r>
      <w:r w:rsidRPr="00F01CE7">
        <w:rPr>
          <w:rFonts w:ascii="Palatino Linotype" w:eastAsia="Palatino Linotype" w:hAnsi="Palatino Linotype" w:cs="Palatino Linotype"/>
          <w:b/>
          <w:color w:val="000000"/>
          <w:sz w:val="24"/>
          <w:szCs w:val="24"/>
        </w:rPr>
        <w:t>ORDENA</w:t>
      </w:r>
      <w:r w:rsidRPr="00F01CE7">
        <w:rPr>
          <w:rFonts w:ascii="Palatino Linotype" w:eastAsia="Palatino Linotype" w:hAnsi="Palatino Linotype" w:cs="Palatino Linotype"/>
          <w:color w:val="000000"/>
          <w:sz w:val="24"/>
          <w:szCs w:val="24"/>
        </w:rPr>
        <w:t xml:space="preserve"> al </w:t>
      </w:r>
      <w:r w:rsidRPr="00F01CE7">
        <w:rPr>
          <w:rFonts w:ascii="Palatino Linotype" w:eastAsia="Palatino Linotype" w:hAnsi="Palatino Linotype" w:cs="Palatino Linotype"/>
          <w:bCs/>
          <w:color w:val="000000"/>
          <w:sz w:val="24"/>
          <w:szCs w:val="24"/>
        </w:rPr>
        <w:t>Sujeto Obligado que</w:t>
      </w:r>
      <w:r w:rsidRPr="00F01CE7">
        <w:rPr>
          <w:rFonts w:ascii="Palatino Linotype" w:eastAsia="Palatino Linotype" w:hAnsi="Palatino Linotype" w:cs="Palatino Linotype"/>
          <w:color w:val="000000"/>
          <w:sz w:val="24"/>
          <w:szCs w:val="24"/>
        </w:rPr>
        <w:t xml:space="preserve"> atienda la solicitud de información </w:t>
      </w:r>
      <w:r w:rsidRPr="00F01CE7">
        <w:rPr>
          <w:rFonts w:ascii="Palatino Linotype" w:hAnsi="Palatino Linotype"/>
          <w:b/>
          <w:bCs/>
          <w:color w:val="FF0000"/>
          <w:sz w:val="24"/>
          <w:szCs w:val="24"/>
        </w:rPr>
        <w:t> </w:t>
      </w:r>
      <w:r w:rsidRPr="00F01CE7">
        <w:rPr>
          <w:rFonts w:ascii="Palatino Linotype" w:hAnsi="Palatino Linotype"/>
          <w:b/>
          <w:bCs/>
          <w:sz w:val="24"/>
          <w:szCs w:val="24"/>
        </w:rPr>
        <w:t xml:space="preserve">00216/DIFIXTAPAL/IP/2026 </w:t>
      </w:r>
      <w:r w:rsidRPr="00F01CE7">
        <w:rPr>
          <w:rFonts w:ascii="Palatino Linotype" w:eastAsia="Palatino Linotype" w:hAnsi="Palatino Linotype" w:cs="Palatino Linotype"/>
          <w:sz w:val="24"/>
          <w:szCs w:val="24"/>
        </w:rPr>
        <w:t xml:space="preserve">que </w:t>
      </w:r>
      <w:r w:rsidRPr="00F01CE7">
        <w:rPr>
          <w:rFonts w:ascii="Palatino Linotype" w:eastAsia="Palatino Linotype" w:hAnsi="Palatino Linotype" w:cs="Palatino Linotype"/>
          <w:color w:val="000000"/>
          <w:sz w:val="24"/>
          <w:szCs w:val="24"/>
        </w:rPr>
        <w:t>ha sido materia del presente fallo, por lo que este Pleno:</w:t>
      </w:r>
    </w:p>
    <w:p w14:paraId="3114E366" w14:textId="77777777" w:rsidR="00320B40" w:rsidRPr="00F01CE7" w:rsidRDefault="00320B40" w:rsidP="00DF404C">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sz w:val="24"/>
          <w:szCs w:val="24"/>
        </w:rPr>
      </w:pPr>
    </w:p>
    <w:p w14:paraId="6C67E149" w14:textId="77777777" w:rsidR="00DF404C" w:rsidRPr="00F01CE7" w:rsidRDefault="00DF404C" w:rsidP="00DF404C">
      <w:pPr>
        <w:spacing w:before="240" w:line="360" w:lineRule="auto"/>
        <w:jc w:val="center"/>
        <w:rPr>
          <w:rFonts w:ascii="Palatino Linotype" w:hAnsi="Palatino Linotype"/>
          <w:b/>
          <w:bCs/>
          <w:spacing w:val="60"/>
          <w:sz w:val="28"/>
          <w:szCs w:val="28"/>
          <w:lang w:val="es-ES_tradnl"/>
        </w:rPr>
      </w:pPr>
      <w:r w:rsidRPr="00F01CE7">
        <w:rPr>
          <w:rFonts w:ascii="Palatino Linotype" w:hAnsi="Palatino Linotype"/>
          <w:b/>
          <w:bCs/>
          <w:spacing w:val="60"/>
          <w:sz w:val="28"/>
          <w:szCs w:val="28"/>
          <w:lang w:val="es-ES_tradnl"/>
        </w:rPr>
        <w:t>SE    RESUELVE</w:t>
      </w:r>
    </w:p>
    <w:p w14:paraId="683A8C14" w14:textId="77777777" w:rsidR="00DF404C" w:rsidRPr="00F01CE7" w:rsidRDefault="00DF404C" w:rsidP="00DF404C">
      <w:pPr>
        <w:spacing w:before="240" w:line="360" w:lineRule="auto"/>
        <w:jc w:val="both"/>
        <w:rPr>
          <w:rFonts w:ascii="Palatino Linotype" w:hAnsi="Palatino Linotype"/>
          <w:b/>
          <w:bCs/>
          <w:spacing w:val="60"/>
          <w:sz w:val="24"/>
          <w:szCs w:val="24"/>
          <w:lang w:val="es-ES_tradnl"/>
        </w:rPr>
      </w:pPr>
    </w:p>
    <w:p w14:paraId="291CBE19" w14:textId="77777777" w:rsidR="00DF404C" w:rsidRPr="00F01CE7" w:rsidRDefault="00DF404C" w:rsidP="00DF404C">
      <w:pPr>
        <w:spacing w:line="360" w:lineRule="auto"/>
        <w:jc w:val="both"/>
        <w:rPr>
          <w:rFonts w:ascii="Palatino Linotype" w:hAnsi="Palatino Linotype" w:cstheme="minorHAnsi"/>
          <w:sz w:val="24"/>
          <w:szCs w:val="24"/>
        </w:rPr>
      </w:pPr>
      <w:r w:rsidRPr="00F01CE7">
        <w:rPr>
          <w:rFonts w:ascii="Palatino Linotype" w:hAnsi="Palatino Linotype" w:cstheme="minorHAnsi"/>
          <w:b/>
          <w:sz w:val="24"/>
          <w:szCs w:val="24"/>
        </w:rPr>
        <w:t>PRIMERO.</w:t>
      </w:r>
      <w:r w:rsidRPr="00F01CE7">
        <w:rPr>
          <w:rFonts w:ascii="Palatino Linotype" w:hAnsi="Palatino Linotype" w:cstheme="minorHAnsi"/>
          <w:sz w:val="24"/>
          <w:szCs w:val="24"/>
        </w:rPr>
        <w:t xml:space="preserve"> Resultan fundadas las razones o motivos de inconformidad hechos valer por el Recurrente</w:t>
      </w:r>
      <w:r w:rsidRPr="00F01CE7">
        <w:rPr>
          <w:rFonts w:ascii="Palatino Linotype" w:hAnsi="Palatino Linotype" w:cstheme="minorHAnsi"/>
          <w:b/>
          <w:sz w:val="24"/>
          <w:szCs w:val="24"/>
        </w:rPr>
        <w:t>,</w:t>
      </w:r>
      <w:r w:rsidRPr="00F01CE7">
        <w:rPr>
          <w:rFonts w:ascii="Palatino Linotype" w:hAnsi="Palatino Linotype" w:cstheme="minorHAnsi"/>
          <w:sz w:val="24"/>
          <w:szCs w:val="24"/>
        </w:rPr>
        <w:t xml:space="preserve"> en términos del </w:t>
      </w:r>
      <w:r w:rsidRPr="00F01CE7">
        <w:rPr>
          <w:rFonts w:ascii="Palatino Linotype" w:hAnsi="Palatino Linotype" w:cstheme="minorHAnsi"/>
          <w:b/>
          <w:sz w:val="24"/>
          <w:szCs w:val="24"/>
        </w:rPr>
        <w:t xml:space="preserve">Considerando TERCERO </w:t>
      </w:r>
      <w:r w:rsidRPr="00F01CE7">
        <w:rPr>
          <w:rFonts w:ascii="Palatino Linotype" w:hAnsi="Palatino Linotype" w:cstheme="minorHAnsi"/>
          <w:sz w:val="24"/>
          <w:szCs w:val="24"/>
        </w:rPr>
        <w:t>de la presente resolución.</w:t>
      </w:r>
    </w:p>
    <w:p w14:paraId="4EB58EF6" w14:textId="77777777" w:rsidR="00DF404C" w:rsidRPr="00F01CE7" w:rsidRDefault="00DF404C" w:rsidP="00DF404C">
      <w:pPr>
        <w:spacing w:line="360" w:lineRule="auto"/>
        <w:jc w:val="both"/>
        <w:rPr>
          <w:rFonts w:ascii="Palatino Linotype" w:hAnsi="Palatino Linotype" w:cstheme="minorHAnsi"/>
          <w:sz w:val="24"/>
          <w:szCs w:val="24"/>
        </w:rPr>
      </w:pPr>
    </w:p>
    <w:p w14:paraId="26407576" w14:textId="09648571" w:rsidR="00DF404C" w:rsidRPr="00F01CE7" w:rsidRDefault="00DF404C" w:rsidP="00DF404C">
      <w:pPr>
        <w:spacing w:line="360" w:lineRule="auto"/>
        <w:jc w:val="both"/>
        <w:rPr>
          <w:rFonts w:ascii="Palatino Linotype" w:hAnsi="Palatino Linotype"/>
          <w:bCs/>
          <w:color w:val="222222"/>
          <w:sz w:val="24"/>
          <w:szCs w:val="24"/>
        </w:rPr>
      </w:pPr>
      <w:r w:rsidRPr="00F01CE7">
        <w:rPr>
          <w:rFonts w:ascii="Palatino Linotype" w:hAnsi="Palatino Linotype" w:cstheme="minorHAnsi"/>
          <w:b/>
          <w:sz w:val="24"/>
          <w:szCs w:val="24"/>
        </w:rPr>
        <w:t xml:space="preserve">SEGUNDO. </w:t>
      </w:r>
      <w:r w:rsidRPr="00F01CE7">
        <w:rPr>
          <w:rFonts w:ascii="Palatino Linotype" w:hAnsi="Palatino Linotype"/>
          <w:color w:val="222222"/>
          <w:sz w:val="24"/>
          <w:szCs w:val="24"/>
        </w:rPr>
        <w:t>Se</w:t>
      </w:r>
      <w:r w:rsidRPr="00F01CE7">
        <w:rPr>
          <w:rFonts w:ascii="Palatino Linotype" w:hAnsi="Palatino Linotype"/>
          <w:b/>
          <w:bCs/>
          <w:color w:val="222222"/>
          <w:sz w:val="24"/>
          <w:szCs w:val="24"/>
        </w:rPr>
        <w:t xml:space="preserve"> </w:t>
      </w:r>
      <w:r w:rsidRPr="00F01CE7">
        <w:rPr>
          <w:rFonts w:ascii="Palatino Linotype" w:hAnsi="Palatino Linotype"/>
          <w:b/>
          <w:bCs/>
          <w:sz w:val="24"/>
          <w:szCs w:val="24"/>
        </w:rPr>
        <w:t xml:space="preserve">ORDENA </w:t>
      </w:r>
      <w:r w:rsidRPr="00F01CE7">
        <w:rPr>
          <w:rFonts w:ascii="Palatino Linotype" w:hAnsi="Palatino Linotype"/>
          <w:sz w:val="24"/>
          <w:szCs w:val="24"/>
        </w:rPr>
        <w:t>al Sujeto Obligado que</w:t>
      </w:r>
      <w:r w:rsidRPr="00F01CE7">
        <w:rPr>
          <w:rFonts w:ascii="Palatino Linotype" w:hAnsi="Palatino Linotype"/>
          <w:b/>
          <w:bCs/>
          <w:sz w:val="24"/>
          <w:szCs w:val="24"/>
        </w:rPr>
        <w:t xml:space="preserve"> </w:t>
      </w:r>
      <w:r w:rsidRPr="00F01CE7">
        <w:rPr>
          <w:rFonts w:ascii="Palatino Linotype" w:hAnsi="Palatino Linotype"/>
          <w:bCs/>
          <w:sz w:val="24"/>
          <w:szCs w:val="24"/>
        </w:rPr>
        <w:t xml:space="preserve">atienda la solicitud de información </w:t>
      </w:r>
      <w:r w:rsidRPr="00F01CE7">
        <w:rPr>
          <w:rFonts w:ascii="Palatino Linotype" w:hAnsi="Palatino Linotype"/>
          <w:b/>
          <w:bCs/>
          <w:sz w:val="24"/>
          <w:szCs w:val="24"/>
        </w:rPr>
        <w:t xml:space="preserve">00216/DIFIXTAPAL/IP/2026 </w:t>
      </w:r>
      <w:r w:rsidRPr="00F01CE7">
        <w:rPr>
          <w:rFonts w:ascii="Palatino Linotype" w:eastAsia="Palatino Linotype" w:hAnsi="Palatino Linotype" w:cs="Palatino Linotype"/>
          <w:sz w:val="24"/>
          <w:szCs w:val="24"/>
        </w:rPr>
        <w:t xml:space="preserve">en </w:t>
      </w:r>
      <w:r w:rsidRPr="00F01CE7">
        <w:rPr>
          <w:rFonts w:ascii="Palatino Linotype" w:hAnsi="Palatino Linotype"/>
          <w:sz w:val="24"/>
          <w:szCs w:val="24"/>
        </w:rPr>
        <w:t xml:space="preserve">términos del </w:t>
      </w:r>
      <w:r w:rsidRPr="00F01CE7">
        <w:rPr>
          <w:rFonts w:ascii="Palatino Linotype" w:hAnsi="Palatino Linotype"/>
          <w:b/>
          <w:sz w:val="24"/>
          <w:szCs w:val="24"/>
        </w:rPr>
        <w:t xml:space="preserve">Considerando </w:t>
      </w:r>
      <w:r w:rsidRPr="00F01CE7">
        <w:rPr>
          <w:rFonts w:ascii="Palatino Linotype" w:hAnsi="Palatino Linotype"/>
          <w:b/>
          <w:bCs/>
          <w:sz w:val="24"/>
          <w:szCs w:val="24"/>
        </w:rPr>
        <w:t xml:space="preserve">TERCERO </w:t>
      </w:r>
      <w:r w:rsidRPr="00F01CE7">
        <w:rPr>
          <w:rFonts w:ascii="Palatino Linotype" w:hAnsi="Palatino Linotype"/>
          <w:sz w:val="24"/>
          <w:szCs w:val="24"/>
        </w:rPr>
        <w:t>de esta resolución; vía Sistema de Acceso a la Información Mexiquense (</w:t>
      </w:r>
      <w:r w:rsidRPr="00F01CE7">
        <w:rPr>
          <w:rFonts w:ascii="Palatino Linotype" w:hAnsi="Palatino Linotype"/>
          <w:b/>
          <w:sz w:val="24"/>
          <w:szCs w:val="24"/>
        </w:rPr>
        <w:t>SAIMEX</w:t>
      </w:r>
      <w:r w:rsidRPr="00F01CE7">
        <w:rPr>
          <w:rFonts w:ascii="Palatino Linotype" w:hAnsi="Palatino Linotype"/>
          <w:color w:val="222222"/>
          <w:sz w:val="24"/>
          <w:szCs w:val="24"/>
        </w:rPr>
        <w:t>)</w:t>
      </w:r>
      <w:r w:rsidRPr="00F01CE7">
        <w:rPr>
          <w:rFonts w:ascii="Palatino Linotype" w:hAnsi="Palatino Linotype"/>
          <w:bCs/>
          <w:color w:val="222222"/>
          <w:sz w:val="24"/>
          <w:szCs w:val="24"/>
        </w:rPr>
        <w:t xml:space="preserve">. </w:t>
      </w:r>
    </w:p>
    <w:p w14:paraId="11E6FB06" w14:textId="77777777" w:rsidR="00DF404C" w:rsidRPr="00F01CE7" w:rsidRDefault="00DF404C" w:rsidP="00DF404C">
      <w:pPr>
        <w:spacing w:line="360" w:lineRule="auto"/>
        <w:jc w:val="both"/>
        <w:rPr>
          <w:rFonts w:ascii="Palatino Linotype" w:hAnsi="Palatino Linotype" w:cstheme="minorHAnsi"/>
          <w:bCs/>
          <w:sz w:val="24"/>
          <w:szCs w:val="24"/>
        </w:rPr>
      </w:pPr>
      <w:r w:rsidRPr="00F01CE7">
        <w:rPr>
          <w:rFonts w:ascii="Palatino Linotype" w:hAnsi="Palatino Linotype" w:cstheme="minorHAnsi"/>
          <w:b/>
          <w:sz w:val="24"/>
          <w:szCs w:val="24"/>
        </w:rPr>
        <w:lastRenderedPageBreak/>
        <w:t>TERCERO. Notifíquese</w:t>
      </w:r>
      <w:r w:rsidRPr="00F01CE7">
        <w:rPr>
          <w:rFonts w:ascii="Palatino Linotype" w:hAnsi="Palatino Linotype" w:cstheme="minorHAnsi"/>
          <w:b/>
          <w:i/>
          <w:sz w:val="24"/>
          <w:szCs w:val="24"/>
        </w:rPr>
        <w:t xml:space="preserve"> </w:t>
      </w:r>
      <w:r w:rsidRPr="00F01CE7">
        <w:rPr>
          <w:rFonts w:ascii="Palatino Linotype" w:hAnsi="Palatino Linotype" w:cstheme="minorHAnsi"/>
          <w:bCs/>
          <w:sz w:val="24"/>
          <w:szCs w:val="24"/>
        </w:rPr>
        <w:t>la presente resolución</w:t>
      </w:r>
      <w:r w:rsidRPr="00F01CE7">
        <w:rPr>
          <w:rFonts w:ascii="Palatino Linotype" w:hAnsi="Palatino Linotype" w:cstheme="minorHAnsi"/>
          <w:sz w:val="24"/>
          <w:szCs w:val="24"/>
        </w:rPr>
        <w:t xml:space="preserve"> </w:t>
      </w:r>
      <w:r w:rsidRPr="00F01CE7">
        <w:rPr>
          <w:rFonts w:ascii="Palatino Linotype" w:hAnsi="Palatino Linotype" w:cstheme="minorHAnsi"/>
          <w:bCs/>
          <w:sz w:val="24"/>
          <w:szCs w:val="24"/>
        </w:rPr>
        <w:t>vía el Sistema de Acceso a la Información Mexiquense (</w:t>
      </w:r>
      <w:r w:rsidRPr="00F01CE7">
        <w:rPr>
          <w:rFonts w:ascii="Palatino Linotype" w:hAnsi="Palatino Linotype" w:cstheme="minorHAnsi"/>
          <w:b/>
          <w:bCs/>
          <w:sz w:val="24"/>
          <w:szCs w:val="24"/>
        </w:rPr>
        <w:t>SAIMEX)</w:t>
      </w:r>
      <w:r w:rsidRPr="00F01CE7">
        <w:rPr>
          <w:rFonts w:ascii="Palatino Linotype" w:hAnsi="Palatino Linotype" w:cstheme="minorHAnsi"/>
          <w:bCs/>
          <w:sz w:val="24"/>
          <w:szCs w:val="24"/>
        </w:rPr>
        <w:t xml:space="preserve"> al Titular de la Unidad de Transparencia del Sujeto Obligado para que, conforme a los artículos 186 último párrafo, 189 segundo párrafo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14:paraId="6538CFC6" w14:textId="77777777" w:rsidR="00DF404C" w:rsidRPr="00F01CE7" w:rsidRDefault="00DF404C" w:rsidP="00DF404C">
      <w:pPr>
        <w:spacing w:line="360" w:lineRule="auto"/>
        <w:jc w:val="both"/>
        <w:rPr>
          <w:rFonts w:ascii="Palatino Linotype" w:hAnsi="Palatino Linotype" w:cstheme="minorHAnsi"/>
          <w:bCs/>
          <w:sz w:val="24"/>
          <w:szCs w:val="24"/>
        </w:rPr>
      </w:pPr>
    </w:p>
    <w:p w14:paraId="4F87BA6B" w14:textId="77777777" w:rsidR="00DF404C" w:rsidRPr="00F01CE7" w:rsidRDefault="00DF404C" w:rsidP="00DF404C">
      <w:pPr>
        <w:spacing w:line="360" w:lineRule="auto"/>
        <w:jc w:val="both"/>
        <w:rPr>
          <w:rFonts w:ascii="Palatino Linotype" w:hAnsi="Palatino Linotype" w:cstheme="minorHAnsi"/>
          <w:sz w:val="24"/>
          <w:szCs w:val="24"/>
        </w:rPr>
      </w:pPr>
      <w:r w:rsidRPr="00F01CE7">
        <w:rPr>
          <w:rFonts w:ascii="Palatino Linotype" w:hAnsi="Palatino Linotype" w:cstheme="minorHAnsi"/>
          <w:b/>
          <w:sz w:val="24"/>
          <w:szCs w:val="24"/>
        </w:rPr>
        <w:t xml:space="preserve">CUARTO. Notifíquese </w:t>
      </w:r>
      <w:r w:rsidRPr="00F01CE7">
        <w:rPr>
          <w:rFonts w:ascii="Palatino Linotype" w:hAnsi="Palatino Linotype" w:cstheme="minorHAnsi"/>
          <w:sz w:val="24"/>
          <w:szCs w:val="24"/>
        </w:rPr>
        <w:t xml:space="preserve">al Recurrente la presente resolución por medio del </w:t>
      </w:r>
      <w:r w:rsidRPr="00F01CE7">
        <w:rPr>
          <w:rFonts w:ascii="Palatino Linotype" w:hAnsi="Palatino Linotype"/>
          <w:color w:val="222222"/>
          <w:sz w:val="24"/>
          <w:szCs w:val="24"/>
        </w:rPr>
        <w:t>Sistema de Acceso a la Información Mexiquense</w:t>
      </w:r>
      <w:r w:rsidRPr="00F01CE7">
        <w:rPr>
          <w:rFonts w:ascii="Palatino Linotype" w:hAnsi="Palatino Linotype" w:cstheme="minorHAnsi"/>
          <w:sz w:val="24"/>
          <w:szCs w:val="24"/>
        </w:rPr>
        <w:t xml:space="preserve"> (</w:t>
      </w:r>
      <w:r w:rsidRPr="00F01CE7">
        <w:rPr>
          <w:rFonts w:ascii="Palatino Linotype" w:hAnsi="Palatino Linotype" w:cstheme="minorHAnsi"/>
          <w:b/>
          <w:sz w:val="24"/>
          <w:szCs w:val="24"/>
        </w:rPr>
        <w:t>SAIMEX)</w:t>
      </w:r>
      <w:r w:rsidRPr="00F01CE7">
        <w:rPr>
          <w:rFonts w:ascii="Palatino Linotype" w:hAnsi="Palatino Linotype" w:cstheme="minorHAnsi"/>
          <w:sz w:val="24"/>
          <w:szCs w:val="24"/>
        </w:rPr>
        <w:t xml:space="preserve"> y hágase de su conocimiento que en caso de considerar que le causa algún perjuicio, podrá promover el Juicio de Amparo en los términos de las leyes aplicables, de acuerdo con lo estipulado por el artículo 196, de la Ley de Transparencia y Acceso a la Información Pública del Estado de México y Municipios.</w:t>
      </w:r>
    </w:p>
    <w:p w14:paraId="25076C65" w14:textId="77777777" w:rsidR="00DF404C" w:rsidRPr="00F01CE7" w:rsidRDefault="00DF404C" w:rsidP="00DF404C">
      <w:pPr>
        <w:spacing w:line="360" w:lineRule="auto"/>
        <w:jc w:val="both"/>
        <w:rPr>
          <w:rFonts w:ascii="Palatino Linotype" w:hAnsi="Palatino Linotype" w:cstheme="minorHAnsi"/>
          <w:sz w:val="24"/>
          <w:szCs w:val="24"/>
        </w:rPr>
      </w:pPr>
    </w:p>
    <w:p w14:paraId="28D62A25" w14:textId="77777777" w:rsidR="00DF404C" w:rsidRPr="00F01CE7" w:rsidRDefault="00DF404C" w:rsidP="00DF404C">
      <w:pPr>
        <w:pBdr>
          <w:top w:val="nil"/>
          <w:left w:val="nil"/>
          <w:bottom w:val="nil"/>
          <w:right w:val="nil"/>
          <w:between w:val="nil"/>
        </w:pBdr>
        <w:spacing w:line="360" w:lineRule="auto"/>
        <w:jc w:val="both"/>
        <w:rPr>
          <w:rFonts w:ascii="Palatino Linotype" w:eastAsia="Palatino Linotype" w:hAnsi="Palatino Linotype" w:cs="Palatino Linotype"/>
          <w:bCs/>
          <w:color w:val="000000"/>
          <w:sz w:val="24"/>
          <w:szCs w:val="24"/>
        </w:rPr>
      </w:pPr>
      <w:r w:rsidRPr="00F01CE7">
        <w:rPr>
          <w:rFonts w:ascii="Palatino Linotype" w:eastAsia="Palatino Linotype" w:hAnsi="Palatino Linotype" w:cs="Palatino Linotype"/>
          <w:b/>
          <w:color w:val="000000"/>
          <w:sz w:val="24"/>
          <w:szCs w:val="24"/>
        </w:rPr>
        <w:t xml:space="preserve">QUINTO. </w:t>
      </w:r>
      <w:r w:rsidRPr="00F01CE7">
        <w:rPr>
          <w:rFonts w:ascii="Palatino Linotype" w:hAnsi="Palatino Linotype" w:cstheme="minorHAnsi"/>
          <w:color w:val="222222"/>
          <w:sz w:val="24"/>
          <w:szCs w:val="24"/>
          <w:lang w:eastAsia="es-ES_tradnl"/>
        </w:rPr>
        <w:t xml:space="preserve">Se hace del conocimiento del Recurrente que, de conformidad con lo establecido en el segundo párrafo del artículo 179 de la Ley de Transparencia y Acceso a la Información Pública del Estado de México y Municipios, tiene derecho a interponer </w:t>
      </w:r>
      <w:r w:rsidRPr="00F01CE7">
        <w:rPr>
          <w:rFonts w:ascii="Palatino Linotype" w:hAnsi="Palatino Linotype" w:cstheme="minorHAnsi"/>
          <w:color w:val="222222"/>
          <w:sz w:val="24"/>
          <w:szCs w:val="24"/>
          <w:lang w:eastAsia="es-ES_tradnl"/>
        </w:rPr>
        <w:lastRenderedPageBreak/>
        <w:t>nuevamente Recurso de Revisión ante este Instituto, por la respuesta que proporcione el Sujeto Obligado en cumplimiento a esta Resolución.</w:t>
      </w:r>
    </w:p>
    <w:p w14:paraId="3B1BA3E9" w14:textId="77777777" w:rsidR="00DF404C" w:rsidRPr="00F01CE7" w:rsidRDefault="00DF404C" w:rsidP="00DF404C">
      <w:pPr>
        <w:spacing w:line="360" w:lineRule="auto"/>
        <w:jc w:val="both"/>
        <w:rPr>
          <w:rFonts w:ascii="Palatino Linotype" w:hAnsi="Palatino Linotype" w:cstheme="minorHAnsi"/>
          <w:sz w:val="24"/>
          <w:szCs w:val="24"/>
        </w:rPr>
      </w:pPr>
    </w:p>
    <w:p w14:paraId="2E6BECA6" w14:textId="77777777" w:rsidR="00DF404C" w:rsidRPr="00F01CE7" w:rsidRDefault="00DF404C" w:rsidP="00DF404C">
      <w:pPr>
        <w:pBdr>
          <w:top w:val="nil"/>
          <w:left w:val="nil"/>
          <w:bottom w:val="nil"/>
          <w:right w:val="nil"/>
          <w:between w:val="nil"/>
        </w:pBdr>
        <w:spacing w:line="360" w:lineRule="auto"/>
        <w:jc w:val="both"/>
        <w:rPr>
          <w:rFonts w:ascii="Palatino Linotype" w:eastAsia="Palatino Linotype" w:hAnsi="Palatino Linotype" w:cs="Palatino Linotype"/>
          <w:bCs/>
          <w:color w:val="000000"/>
          <w:sz w:val="24"/>
          <w:szCs w:val="24"/>
        </w:rPr>
      </w:pPr>
      <w:r w:rsidRPr="00F01CE7">
        <w:rPr>
          <w:rFonts w:ascii="Palatino Linotype" w:hAnsi="Palatino Linotype" w:cstheme="minorHAnsi"/>
          <w:b/>
          <w:sz w:val="24"/>
          <w:szCs w:val="24"/>
        </w:rPr>
        <w:t>SEXTO.</w:t>
      </w:r>
      <w:r w:rsidRPr="00F01CE7">
        <w:rPr>
          <w:rFonts w:ascii="Palatino Linotype" w:hAnsi="Palatino Linotype" w:cstheme="minorHAnsi"/>
          <w:sz w:val="24"/>
          <w:szCs w:val="24"/>
        </w:rPr>
        <w:t xml:space="preserve"> </w:t>
      </w:r>
      <w:r w:rsidRPr="00F01CE7">
        <w:rPr>
          <w:rFonts w:ascii="Palatino Linotype" w:eastAsia="Palatino Linotype" w:hAnsi="Palatino Linotype" w:cs="Palatino Linotype"/>
          <w:b/>
          <w:color w:val="000000"/>
          <w:sz w:val="24"/>
          <w:szCs w:val="24"/>
        </w:rPr>
        <w:t xml:space="preserve">Gírese </w:t>
      </w:r>
      <w:r w:rsidRPr="00F01CE7">
        <w:rPr>
          <w:rFonts w:ascii="Palatino Linotype" w:eastAsia="Palatino Linotype" w:hAnsi="Palatino Linotype" w:cs="Palatino Linotype"/>
          <w:bCs/>
          <w:color w:val="000000"/>
          <w:sz w:val="24"/>
          <w:szCs w:val="24"/>
        </w:rPr>
        <w:t>oficio a la Secretaría Técnica del Pleno de este Instituto para hacer del conocimiento del Órgano Interno de Control competente la presente resolución, a fin de que de conformidad con el artículo 190 de la Ley de Transparencia y Acceso a la Información Pública del Estado de México y Municipios se determine lo conducente, en términos de lo señalado en el</w:t>
      </w:r>
      <w:r w:rsidRPr="00F01CE7">
        <w:rPr>
          <w:rFonts w:ascii="Palatino Linotype" w:eastAsia="Palatino Linotype" w:hAnsi="Palatino Linotype" w:cs="Palatino Linotype"/>
          <w:b/>
          <w:color w:val="000000"/>
          <w:sz w:val="24"/>
          <w:szCs w:val="24"/>
        </w:rPr>
        <w:t xml:space="preserve"> Considerando TERCERO </w:t>
      </w:r>
      <w:r w:rsidRPr="00F01CE7">
        <w:rPr>
          <w:rFonts w:ascii="Palatino Linotype" w:eastAsia="Palatino Linotype" w:hAnsi="Palatino Linotype" w:cs="Palatino Linotype"/>
          <w:bCs/>
          <w:color w:val="000000"/>
          <w:sz w:val="24"/>
          <w:szCs w:val="24"/>
        </w:rPr>
        <w:t>de la presente resolución.</w:t>
      </w:r>
    </w:p>
    <w:p w14:paraId="7D626F52" w14:textId="77777777" w:rsidR="00DF404C" w:rsidRPr="00F01CE7" w:rsidRDefault="00DF404C" w:rsidP="00DF404C">
      <w:pPr>
        <w:spacing w:after="0" w:line="360" w:lineRule="auto"/>
        <w:jc w:val="both"/>
        <w:rPr>
          <w:rFonts w:ascii="Palatino Linotype" w:eastAsia="Times New Roman" w:hAnsi="Palatino Linotype" w:cs="Times New Roman"/>
          <w:sz w:val="24"/>
          <w:szCs w:val="24"/>
          <w:lang w:eastAsia="es-ES"/>
        </w:rPr>
      </w:pPr>
    </w:p>
    <w:p w14:paraId="4455A6E2" w14:textId="3A041DDB" w:rsidR="00DF404C" w:rsidRPr="00F01CE7" w:rsidRDefault="00DF404C" w:rsidP="00DF404C">
      <w:pPr>
        <w:spacing w:after="0" w:line="360" w:lineRule="auto"/>
        <w:jc w:val="both"/>
        <w:rPr>
          <w:rFonts w:ascii="Palatino Linotype" w:hAnsi="Palatino Linotype" w:cs="Arial"/>
          <w:sz w:val="24"/>
          <w:szCs w:val="24"/>
        </w:rPr>
      </w:pPr>
      <w:r w:rsidRPr="00F01CE7">
        <w:rPr>
          <w:rFonts w:ascii="Palatino Linotype" w:eastAsia="Times New Roman" w:hAnsi="Palatino Linotype" w:cs="Arial"/>
          <w:sz w:val="24"/>
          <w:szCs w:val="24"/>
          <w:lang w:val="es-ES_tradnl" w:eastAsia="es-MX"/>
        </w:rPr>
        <w:t xml:space="preserve">ASÍ LO RESUELVE, </w:t>
      </w:r>
      <w:r w:rsidRPr="00F01CE7">
        <w:rPr>
          <w:rFonts w:ascii="Palatino Linotype" w:eastAsia="Times New Roman" w:hAnsi="Palatino Linotype" w:cs="Arial"/>
          <w:b/>
          <w:bCs/>
          <w:sz w:val="24"/>
          <w:szCs w:val="24"/>
          <w:lang w:val="es-ES_tradnl" w:eastAsia="es-MX"/>
        </w:rPr>
        <w:t xml:space="preserve">POR UNANIMIDAD DE VOTOS </w:t>
      </w:r>
      <w:r w:rsidRPr="00F01CE7">
        <w:rPr>
          <w:rFonts w:ascii="Palatino Linotype" w:eastAsia="Times New Roman" w:hAnsi="Palatino Linotype" w:cs="Arial"/>
          <w:sz w:val="24"/>
          <w:szCs w:val="24"/>
          <w:lang w:val="es-ES_tradnl" w:eastAsia="es-MX"/>
        </w:rPr>
        <w:t>EL PLENO DEL</w:t>
      </w:r>
      <w:r w:rsidRPr="00F01CE7">
        <w:rPr>
          <w:rFonts w:ascii="Palatino Linotype" w:eastAsia="Arial Unicode MS" w:hAnsi="Palatino Linotype" w:cs="Arial"/>
          <w:sz w:val="24"/>
          <w:szCs w:val="24"/>
          <w:lang w:val="es-ES_tradnl" w:eastAsia="es-MX"/>
        </w:rPr>
        <w:t xml:space="preserve"> INSTITUTO DE TRANSPARENCIA, ACCESO A LA INFORMACIÓN PÚBLICA Y PROTECCIÓN DE DATOS PERSONALES DEL ESTADO DE MÉXICO Y MUNICIPIOS</w:t>
      </w:r>
      <w:r w:rsidRPr="00F01CE7">
        <w:rPr>
          <w:rFonts w:ascii="Palatino Linotype" w:eastAsia="Times New Roman" w:hAnsi="Palatino Linotype" w:cs="Arial"/>
          <w:sz w:val="24"/>
          <w:szCs w:val="24"/>
          <w:lang w:val="es-ES_tradnl" w:eastAsia="es-MX"/>
        </w:rPr>
        <w:t>, CONFORMADO POR LOS COMISIONADOS JOSÉ MARTÍNEZ VILCHIS, MARÍA DEL ROSARIO MEJÍA AYALA, Y GUADALUPE RAMÍREZ PEÑA</w:t>
      </w:r>
      <w:r w:rsidRPr="00F01CE7">
        <w:rPr>
          <w:rFonts w:ascii="Palatino Linotype" w:eastAsia="Times New Roman" w:hAnsi="Palatino Linotype" w:cs="Arial"/>
          <w:sz w:val="24"/>
          <w:szCs w:val="24"/>
          <w:u w:val="single"/>
          <w:lang w:val="es-ES_tradnl" w:eastAsia="es-MX"/>
        </w:rPr>
        <w:t>,</w:t>
      </w:r>
      <w:r w:rsidRPr="00F01CE7">
        <w:rPr>
          <w:rFonts w:ascii="Palatino Linotype" w:eastAsia="Times New Roman" w:hAnsi="Palatino Linotype" w:cs="Arial"/>
          <w:sz w:val="24"/>
          <w:szCs w:val="24"/>
          <w:lang w:val="es-ES_tradnl" w:eastAsia="es-MX"/>
        </w:rPr>
        <w:t xml:space="preserve"> EN </w:t>
      </w:r>
      <w:r w:rsidRPr="00F01CE7">
        <w:rPr>
          <w:rFonts w:ascii="Palatino Linotype" w:eastAsia="Times New Roman" w:hAnsi="Palatino Linotype" w:cs="Arial"/>
          <w:b/>
          <w:bCs/>
          <w:sz w:val="24"/>
          <w:szCs w:val="24"/>
          <w:lang w:val="es-ES_tradnl" w:eastAsia="es-MX"/>
        </w:rPr>
        <w:t>LA</w:t>
      </w:r>
      <w:r w:rsidRPr="00F01CE7">
        <w:rPr>
          <w:rFonts w:ascii="Palatino Linotype" w:eastAsia="Times New Roman" w:hAnsi="Palatino Linotype" w:cs="Arial"/>
          <w:b/>
          <w:bCs/>
          <w:sz w:val="24"/>
          <w:szCs w:val="24"/>
          <w:lang w:val="es-419" w:eastAsia="es-MX"/>
        </w:rPr>
        <w:t xml:space="preserve"> </w:t>
      </w:r>
      <w:r w:rsidR="00897F84" w:rsidRPr="00F01CE7">
        <w:rPr>
          <w:rFonts w:ascii="Palatino Linotype" w:eastAsia="Times New Roman" w:hAnsi="Palatino Linotype" w:cs="Arial"/>
          <w:b/>
          <w:bCs/>
          <w:sz w:val="24"/>
          <w:szCs w:val="24"/>
          <w:lang w:val="es-419" w:eastAsia="es-MX"/>
        </w:rPr>
        <w:t>TRIGÉSIMA TERCERA</w:t>
      </w:r>
      <w:r w:rsidRPr="00F01CE7">
        <w:rPr>
          <w:rFonts w:ascii="Palatino Linotype" w:eastAsia="Times New Roman" w:hAnsi="Palatino Linotype" w:cs="Arial"/>
          <w:b/>
          <w:bCs/>
          <w:sz w:val="24"/>
          <w:szCs w:val="24"/>
          <w:lang w:val="es-419" w:eastAsia="es-MX"/>
        </w:rPr>
        <w:t xml:space="preserve"> SESIÓN ORDINARIA CELEBRADA EL </w:t>
      </w:r>
      <w:r w:rsidR="00897F84" w:rsidRPr="00F01CE7">
        <w:rPr>
          <w:rFonts w:ascii="Palatino Linotype" w:eastAsia="Times New Roman" w:hAnsi="Palatino Linotype" w:cs="Arial"/>
          <w:b/>
          <w:bCs/>
          <w:sz w:val="24"/>
          <w:szCs w:val="24"/>
          <w:lang w:val="es-419" w:eastAsia="es-MX"/>
        </w:rPr>
        <w:t>DIECISIETE DE SEPTIEMBRE</w:t>
      </w:r>
      <w:r w:rsidRPr="00F01CE7">
        <w:rPr>
          <w:rFonts w:ascii="Palatino Linotype" w:eastAsia="Times New Roman" w:hAnsi="Palatino Linotype" w:cs="Arial"/>
          <w:b/>
          <w:bCs/>
          <w:sz w:val="24"/>
          <w:szCs w:val="24"/>
          <w:lang w:val="es-419" w:eastAsia="es-MX"/>
        </w:rPr>
        <w:t xml:space="preserve"> DE DOS MIL VEINTISÉIS</w:t>
      </w:r>
      <w:r w:rsidRPr="00F01CE7">
        <w:rPr>
          <w:rFonts w:ascii="Palatino Linotype" w:eastAsia="Times New Roman" w:hAnsi="Palatino Linotype" w:cs="Arial"/>
          <w:sz w:val="24"/>
          <w:szCs w:val="24"/>
          <w:lang w:val="es-ES_tradnl" w:eastAsia="es-MX"/>
        </w:rPr>
        <w:t xml:space="preserve">, ANTE EL SECRETARIO TÉCNICO DEL PLENO, ALEXIS TAPIA RAMÍREZ. </w:t>
      </w:r>
      <w:r w:rsidRPr="00F01CE7">
        <w:rPr>
          <w:rFonts w:ascii="Palatino Linotype" w:eastAsia="Times New Roman" w:hAnsi="Palatino Linotype" w:cs="Arial"/>
          <w:sz w:val="24"/>
          <w:szCs w:val="24"/>
          <w:lang w:eastAsia="es-MX"/>
        </w:rPr>
        <w:t>-----------------------------------------------------------</w:t>
      </w:r>
      <w:r w:rsidRPr="00F01CE7">
        <w:rPr>
          <w:rFonts w:ascii="Palatino Linotype" w:hAnsi="Palatino Linotype" w:cs="Arial"/>
          <w:sz w:val="24"/>
          <w:szCs w:val="24"/>
        </w:rPr>
        <w:t>------------------------------------------------------------------------------------------------</w:t>
      </w:r>
    </w:p>
    <w:p w14:paraId="24EFFCF3" w14:textId="77777777" w:rsidR="00DF404C" w:rsidRPr="00647A07" w:rsidRDefault="00DF404C" w:rsidP="00DF404C">
      <w:pPr>
        <w:spacing w:after="0" w:line="360" w:lineRule="auto"/>
        <w:jc w:val="both"/>
        <w:rPr>
          <w:rFonts w:ascii="Palatino Linotype" w:eastAsia="Times New Roman" w:hAnsi="Palatino Linotype" w:cs="Arial"/>
          <w:sz w:val="24"/>
          <w:szCs w:val="24"/>
          <w:lang w:eastAsia="es-MX"/>
        </w:rPr>
      </w:pPr>
      <w:r w:rsidRPr="00F01CE7">
        <w:rPr>
          <w:rFonts w:ascii="Palatino Linotype" w:eastAsia="Times New Roman" w:hAnsi="Palatino Linotype" w:cs="Arial"/>
          <w:sz w:val="20"/>
          <w:lang w:val="es-ES_tradnl" w:eastAsia="es-MX"/>
        </w:rPr>
        <w:t xml:space="preserve"> JMV/CCR/NJMB</w:t>
      </w:r>
    </w:p>
    <w:p w14:paraId="25C7CFBE" w14:textId="77777777" w:rsidR="00DF404C" w:rsidRPr="00F444C4" w:rsidRDefault="00DF404C" w:rsidP="00DF404C">
      <w:pPr>
        <w:spacing w:after="0" w:line="360" w:lineRule="auto"/>
        <w:jc w:val="both"/>
        <w:rPr>
          <w:rFonts w:ascii="Palatino Linotype" w:eastAsia="Times New Roman" w:hAnsi="Palatino Linotype" w:cs="Arial"/>
          <w:sz w:val="20"/>
          <w:lang w:val="es-ES_tradnl" w:eastAsia="es-MX"/>
        </w:rPr>
      </w:pPr>
    </w:p>
    <w:p w14:paraId="7D798137" w14:textId="77777777" w:rsidR="00DF404C" w:rsidRPr="00F444C4" w:rsidRDefault="00DF404C" w:rsidP="00DF404C">
      <w:pPr>
        <w:spacing w:after="0" w:line="360" w:lineRule="auto"/>
        <w:jc w:val="both"/>
        <w:rPr>
          <w:rFonts w:ascii="Palatino Linotype" w:eastAsia="Times New Roman" w:hAnsi="Palatino Linotype" w:cs="Arial"/>
          <w:sz w:val="20"/>
          <w:lang w:val="es-ES_tradnl" w:eastAsia="es-MX"/>
        </w:rPr>
      </w:pPr>
    </w:p>
    <w:p w14:paraId="395F08FA" w14:textId="77777777" w:rsidR="00DF404C" w:rsidRPr="00F444C4" w:rsidRDefault="00DF404C" w:rsidP="00DF404C">
      <w:pPr>
        <w:spacing w:after="0" w:line="360" w:lineRule="auto"/>
        <w:contextualSpacing/>
        <w:jc w:val="both"/>
        <w:rPr>
          <w:rFonts w:ascii="Palatino Linotype" w:eastAsia="Times New Roman" w:hAnsi="Palatino Linotype" w:cs="Palatino Linotype"/>
          <w:color w:val="000000"/>
          <w:sz w:val="20"/>
          <w:szCs w:val="20"/>
          <w:lang w:val="es-ES_tradnl" w:eastAsia="es-MX"/>
        </w:rPr>
      </w:pPr>
    </w:p>
    <w:p w14:paraId="0DE82B2D" w14:textId="77777777" w:rsidR="00DF404C" w:rsidRPr="00F444C4" w:rsidRDefault="00DF404C" w:rsidP="00DF404C">
      <w:pPr>
        <w:spacing w:after="0" w:line="360" w:lineRule="auto"/>
        <w:contextualSpacing/>
        <w:jc w:val="both"/>
        <w:rPr>
          <w:rFonts w:ascii="Palatino Linotype" w:eastAsia="Times New Roman" w:hAnsi="Palatino Linotype" w:cs="Palatino Linotype"/>
          <w:color w:val="000000"/>
          <w:sz w:val="20"/>
          <w:szCs w:val="20"/>
          <w:lang w:val="es-ES_tradnl" w:eastAsia="es-MX"/>
        </w:rPr>
      </w:pPr>
    </w:p>
    <w:p w14:paraId="1ECD1459" w14:textId="77777777" w:rsidR="00DF404C" w:rsidRPr="00F444C4" w:rsidRDefault="00DF404C" w:rsidP="00DF404C">
      <w:pPr>
        <w:spacing w:after="0" w:line="360" w:lineRule="auto"/>
        <w:contextualSpacing/>
        <w:jc w:val="both"/>
        <w:rPr>
          <w:rFonts w:ascii="Palatino Linotype" w:eastAsia="Times New Roman" w:hAnsi="Palatino Linotype" w:cs="Palatino Linotype"/>
          <w:color w:val="000000"/>
          <w:sz w:val="20"/>
          <w:szCs w:val="20"/>
          <w:lang w:val="es-ES_tradnl" w:eastAsia="es-MX"/>
        </w:rPr>
      </w:pPr>
    </w:p>
    <w:p w14:paraId="3C925A3F" w14:textId="77777777" w:rsidR="00DF404C" w:rsidRPr="00F444C4" w:rsidRDefault="00DF404C" w:rsidP="00DF404C">
      <w:pPr>
        <w:spacing w:after="0" w:line="360" w:lineRule="auto"/>
        <w:contextualSpacing/>
        <w:jc w:val="both"/>
        <w:rPr>
          <w:rFonts w:ascii="Palatino Linotype" w:eastAsia="Times New Roman" w:hAnsi="Palatino Linotype" w:cs="Palatino Linotype"/>
          <w:color w:val="000000"/>
          <w:sz w:val="20"/>
          <w:szCs w:val="20"/>
          <w:lang w:val="es-ES_tradnl" w:eastAsia="es-MX"/>
        </w:rPr>
      </w:pPr>
    </w:p>
    <w:p w14:paraId="559CFA67" w14:textId="77777777" w:rsidR="00DF404C" w:rsidRPr="00F444C4" w:rsidRDefault="00DF404C" w:rsidP="00DF404C">
      <w:pPr>
        <w:spacing w:after="0" w:line="360" w:lineRule="auto"/>
        <w:contextualSpacing/>
        <w:jc w:val="both"/>
        <w:rPr>
          <w:rFonts w:ascii="Palatino Linotype" w:eastAsia="Times New Roman" w:hAnsi="Palatino Linotype" w:cs="Palatino Linotype"/>
          <w:color w:val="000000"/>
          <w:sz w:val="20"/>
          <w:szCs w:val="20"/>
          <w:lang w:val="es-ES_tradnl" w:eastAsia="es-MX"/>
        </w:rPr>
      </w:pPr>
    </w:p>
    <w:p w14:paraId="29BFFAFD" w14:textId="77777777" w:rsidR="00DF404C" w:rsidRDefault="00DF404C" w:rsidP="00DF404C"/>
    <w:p w14:paraId="450C8E8E" w14:textId="77777777" w:rsidR="00DF404C" w:rsidRDefault="00DF404C" w:rsidP="00DF404C"/>
    <w:p w14:paraId="0DC5C4D7" w14:textId="77777777" w:rsidR="00DF404C" w:rsidRDefault="00DF404C" w:rsidP="00DF404C"/>
    <w:p w14:paraId="771D2B1E" w14:textId="77777777" w:rsidR="00DE0F1A" w:rsidRDefault="00DE0F1A"/>
    <w:sectPr w:rsidR="00DE0F1A" w:rsidSect="00416C00">
      <w:headerReference w:type="even" r:id="rId7"/>
      <w:headerReference w:type="default" r:id="rId8"/>
      <w:footerReference w:type="default" r:id="rId9"/>
      <w:headerReference w:type="first" r:id="rId10"/>
      <w:footerReference w:type="first" r:id="rId11"/>
      <w:pgSz w:w="12240" w:h="15840"/>
      <w:pgMar w:top="2977" w:right="1134" w:bottom="1191" w:left="1752" w:header="1077" w:footer="709" w:gutter="0"/>
      <w:cols w:space="708"/>
      <w:titlePg/>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2D20DC" w14:textId="77777777" w:rsidR="00C2035C" w:rsidRDefault="00C2035C" w:rsidP="00DF404C">
      <w:pPr>
        <w:spacing w:after="0" w:line="240" w:lineRule="auto"/>
      </w:pPr>
      <w:r>
        <w:separator/>
      </w:r>
    </w:p>
  </w:endnote>
  <w:endnote w:type="continuationSeparator" w:id="0">
    <w:p w14:paraId="0F25B712" w14:textId="77777777" w:rsidR="00C2035C" w:rsidRDefault="00C2035C" w:rsidP="00DF40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3F5EAA" w14:textId="77777777" w:rsidR="00077242" w:rsidRPr="00871A91" w:rsidRDefault="00A55E95" w:rsidP="00ED602B">
    <w:pPr>
      <w:pStyle w:val="Piedepgina"/>
      <w:jc w:val="right"/>
      <w:rPr>
        <w:rFonts w:ascii="Palatino Linotype" w:hAnsi="Palatino Linotype"/>
        <w:bCs/>
        <w:sz w:val="20"/>
      </w:rPr>
    </w:pPr>
    <w:r w:rsidRPr="000B69FA">
      <w:rPr>
        <w:rFonts w:ascii="Palatino Linotype" w:hAnsi="Palatino Linotype"/>
        <w:sz w:val="20"/>
      </w:rPr>
      <w:t xml:space="preserve">Página </w:t>
    </w:r>
    <w:r w:rsidRPr="00713DD5">
      <w:rPr>
        <w:rFonts w:ascii="Palatino Linotype" w:hAnsi="Palatino Linotype"/>
        <w:b/>
        <w:bCs/>
        <w:sz w:val="20"/>
      </w:rPr>
      <w:fldChar w:fldCharType="begin"/>
    </w:r>
    <w:r w:rsidRPr="00713DD5">
      <w:rPr>
        <w:rFonts w:ascii="Palatino Linotype" w:hAnsi="Palatino Linotype"/>
        <w:b/>
        <w:bCs/>
        <w:sz w:val="20"/>
      </w:rPr>
      <w:instrText>PAGE  \* Arabic  \* MERGEFORMAT</w:instrText>
    </w:r>
    <w:r w:rsidRPr="00713DD5">
      <w:rPr>
        <w:rFonts w:ascii="Palatino Linotype" w:hAnsi="Palatino Linotype"/>
        <w:b/>
        <w:bCs/>
        <w:sz w:val="20"/>
      </w:rPr>
      <w:fldChar w:fldCharType="separate"/>
    </w:r>
    <w:r w:rsidR="00DD2056">
      <w:rPr>
        <w:rFonts w:ascii="Palatino Linotype" w:hAnsi="Palatino Linotype"/>
        <w:b/>
        <w:bCs/>
        <w:noProof/>
        <w:sz w:val="20"/>
      </w:rPr>
      <w:t>17</w:t>
    </w:r>
    <w:r w:rsidRPr="00713DD5">
      <w:rPr>
        <w:rFonts w:ascii="Palatino Linotype" w:hAnsi="Palatino Linotype"/>
        <w:b/>
        <w:bCs/>
        <w:sz w:val="20"/>
      </w:rPr>
      <w:fldChar w:fldCharType="end"/>
    </w:r>
    <w:r w:rsidRPr="000B69FA">
      <w:rPr>
        <w:rFonts w:ascii="Palatino Linotype" w:hAnsi="Palatino Linotype"/>
        <w:sz w:val="20"/>
      </w:rPr>
      <w:t xml:space="preserve"> de </w:t>
    </w:r>
    <w:r w:rsidRPr="00713DD5">
      <w:rPr>
        <w:rFonts w:ascii="Palatino Linotype" w:hAnsi="Palatino Linotype"/>
        <w:b/>
        <w:bCs/>
        <w:sz w:val="20"/>
      </w:rPr>
      <w:fldChar w:fldCharType="begin"/>
    </w:r>
    <w:r w:rsidRPr="00713DD5">
      <w:rPr>
        <w:rFonts w:ascii="Palatino Linotype" w:hAnsi="Palatino Linotype"/>
        <w:b/>
        <w:bCs/>
        <w:sz w:val="20"/>
      </w:rPr>
      <w:instrText>NUMPAGES  \* Arabic  \* MERGEFORMAT</w:instrText>
    </w:r>
    <w:r w:rsidRPr="00713DD5">
      <w:rPr>
        <w:rFonts w:ascii="Palatino Linotype" w:hAnsi="Palatino Linotype"/>
        <w:b/>
        <w:bCs/>
        <w:sz w:val="20"/>
      </w:rPr>
      <w:fldChar w:fldCharType="separate"/>
    </w:r>
    <w:r w:rsidR="00DD2056">
      <w:rPr>
        <w:rFonts w:ascii="Palatino Linotype" w:hAnsi="Palatino Linotype"/>
        <w:b/>
        <w:bCs/>
        <w:noProof/>
        <w:sz w:val="20"/>
      </w:rPr>
      <w:t>19</w:t>
    </w:r>
    <w:r w:rsidRPr="00713DD5">
      <w:rPr>
        <w:rFonts w:ascii="Palatino Linotype" w:hAnsi="Palatino Linotype"/>
        <w:b/>
        <w:bCs/>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3D8DCF" w14:textId="77777777" w:rsidR="00077242" w:rsidRPr="00871A91" w:rsidRDefault="00A55E95" w:rsidP="00ED602B">
    <w:pPr>
      <w:pStyle w:val="Piedepgina"/>
      <w:jc w:val="right"/>
      <w:rPr>
        <w:rFonts w:ascii="Palatino Linotype" w:hAnsi="Palatino Linotype"/>
        <w:bCs/>
        <w:sz w:val="20"/>
      </w:rPr>
    </w:pPr>
    <w:r w:rsidRPr="000B69FA">
      <w:rPr>
        <w:rFonts w:ascii="Palatino Linotype" w:hAnsi="Palatino Linotype"/>
        <w:sz w:val="20"/>
      </w:rPr>
      <w:t xml:space="preserve">Página </w:t>
    </w:r>
    <w:r w:rsidRPr="00713DD5">
      <w:rPr>
        <w:rFonts w:ascii="Palatino Linotype" w:hAnsi="Palatino Linotype"/>
        <w:b/>
        <w:bCs/>
        <w:sz w:val="20"/>
      </w:rPr>
      <w:fldChar w:fldCharType="begin"/>
    </w:r>
    <w:r w:rsidRPr="00713DD5">
      <w:rPr>
        <w:rFonts w:ascii="Palatino Linotype" w:hAnsi="Palatino Linotype"/>
        <w:b/>
        <w:bCs/>
        <w:sz w:val="20"/>
      </w:rPr>
      <w:instrText>PAGE  \* Arabic  \* MERGEFORMAT</w:instrText>
    </w:r>
    <w:r w:rsidRPr="00713DD5">
      <w:rPr>
        <w:rFonts w:ascii="Palatino Linotype" w:hAnsi="Palatino Linotype"/>
        <w:b/>
        <w:bCs/>
        <w:sz w:val="20"/>
      </w:rPr>
      <w:fldChar w:fldCharType="separate"/>
    </w:r>
    <w:r w:rsidR="00DD2056">
      <w:rPr>
        <w:rFonts w:ascii="Palatino Linotype" w:hAnsi="Palatino Linotype"/>
        <w:b/>
        <w:bCs/>
        <w:noProof/>
        <w:sz w:val="20"/>
      </w:rPr>
      <w:t>1</w:t>
    </w:r>
    <w:r w:rsidRPr="00713DD5">
      <w:rPr>
        <w:rFonts w:ascii="Palatino Linotype" w:hAnsi="Palatino Linotype"/>
        <w:b/>
        <w:bCs/>
        <w:sz w:val="20"/>
      </w:rPr>
      <w:fldChar w:fldCharType="end"/>
    </w:r>
    <w:r w:rsidRPr="000B69FA">
      <w:rPr>
        <w:rFonts w:ascii="Palatino Linotype" w:hAnsi="Palatino Linotype"/>
        <w:sz w:val="20"/>
      </w:rPr>
      <w:t xml:space="preserve"> de </w:t>
    </w:r>
    <w:r w:rsidRPr="00713DD5">
      <w:rPr>
        <w:rFonts w:ascii="Palatino Linotype" w:hAnsi="Palatino Linotype"/>
        <w:b/>
        <w:bCs/>
        <w:sz w:val="20"/>
      </w:rPr>
      <w:fldChar w:fldCharType="begin"/>
    </w:r>
    <w:r w:rsidRPr="00713DD5">
      <w:rPr>
        <w:rFonts w:ascii="Palatino Linotype" w:hAnsi="Palatino Linotype"/>
        <w:b/>
        <w:bCs/>
        <w:sz w:val="20"/>
      </w:rPr>
      <w:instrText>NUMPAGES  \* Arabic  \* MERGEFORMAT</w:instrText>
    </w:r>
    <w:r w:rsidRPr="00713DD5">
      <w:rPr>
        <w:rFonts w:ascii="Palatino Linotype" w:hAnsi="Palatino Linotype"/>
        <w:b/>
        <w:bCs/>
        <w:sz w:val="20"/>
      </w:rPr>
      <w:fldChar w:fldCharType="separate"/>
    </w:r>
    <w:r w:rsidR="00DD2056">
      <w:rPr>
        <w:rFonts w:ascii="Palatino Linotype" w:hAnsi="Palatino Linotype"/>
        <w:b/>
        <w:bCs/>
        <w:noProof/>
        <w:sz w:val="20"/>
      </w:rPr>
      <w:t>19</w:t>
    </w:r>
    <w:r w:rsidRPr="00713DD5">
      <w:rPr>
        <w:rFonts w:ascii="Palatino Linotype" w:hAnsi="Palatino Linotype"/>
        <w:b/>
        <w:bCs/>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6DAE74" w14:textId="77777777" w:rsidR="00C2035C" w:rsidRDefault="00C2035C" w:rsidP="00DF404C">
      <w:pPr>
        <w:spacing w:after="0" w:line="240" w:lineRule="auto"/>
      </w:pPr>
      <w:r>
        <w:separator/>
      </w:r>
    </w:p>
  </w:footnote>
  <w:footnote w:type="continuationSeparator" w:id="0">
    <w:p w14:paraId="77B8959B" w14:textId="77777777" w:rsidR="00C2035C" w:rsidRDefault="00C2035C" w:rsidP="00DF40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EE18C4" w14:textId="77777777" w:rsidR="00077242" w:rsidRDefault="00DD2056">
    <w:pPr>
      <w:pStyle w:val="Encabezado"/>
    </w:pPr>
    <w:r>
      <w:rPr>
        <w:noProof/>
        <w:lang w:val="es-MX" w:eastAsia="es-MX"/>
      </w:rPr>
      <w:pict w14:anchorId="5EA43D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794297" o:spid="_x0000_s2049" type="#_x0000_t75" alt="" style="position:absolute;left:0;text-align:left;margin-left:0;margin-top:0;width:609.4pt;height:793.75pt;z-index:-251659776;mso-wrap-edited:f;mso-width-percent:0;mso-height-percent:0;mso-position-horizontal:center;mso-position-horizontal-relative:margin;mso-position-vertical:center;mso-position-vertical-relative:margin;mso-width-percent:0;mso-height-percent:0" o:allowincell="f">
          <v:imagedata r:id="rId1" o:title=""/>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41" w:type="dxa"/>
      <w:tblLayout w:type="fixed"/>
      <w:tblCellMar>
        <w:left w:w="70" w:type="dxa"/>
        <w:right w:w="70" w:type="dxa"/>
      </w:tblCellMar>
      <w:tblLook w:val="04A0" w:firstRow="1" w:lastRow="0" w:firstColumn="1" w:lastColumn="0" w:noHBand="0" w:noVBand="1"/>
    </w:tblPr>
    <w:tblGrid>
      <w:gridCol w:w="5180"/>
      <w:gridCol w:w="4461"/>
    </w:tblGrid>
    <w:tr w:rsidR="00416C00" w:rsidRPr="00B17577" w14:paraId="06E71ABD" w14:textId="77777777" w:rsidTr="00ED602B">
      <w:trPr>
        <w:trHeight w:val="237"/>
      </w:trPr>
      <w:tc>
        <w:tcPr>
          <w:tcW w:w="5180" w:type="dxa"/>
          <w:hideMark/>
        </w:tcPr>
        <w:p w14:paraId="7D80F949" w14:textId="77777777" w:rsidR="00077242" w:rsidRPr="00F70BDE" w:rsidRDefault="00A55E95" w:rsidP="00ED602B">
          <w:pPr>
            <w:spacing w:after="120" w:line="240" w:lineRule="auto"/>
            <w:ind w:right="69"/>
            <w:jc w:val="right"/>
            <w:rPr>
              <w:rFonts w:ascii="Palatino Linotype" w:hAnsi="Palatino Linotype" w:cs="Arial"/>
              <w:b/>
              <w:sz w:val="24"/>
              <w:szCs w:val="24"/>
            </w:rPr>
          </w:pPr>
          <w:r w:rsidRPr="00F70BDE">
            <w:rPr>
              <w:rFonts w:ascii="Palatino Linotype" w:hAnsi="Palatino Linotype" w:cs="Arial"/>
              <w:b/>
              <w:sz w:val="24"/>
              <w:szCs w:val="24"/>
            </w:rPr>
            <w:t>Recurso de Revisión:</w:t>
          </w:r>
        </w:p>
      </w:tc>
      <w:tc>
        <w:tcPr>
          <w:tcW w:w="4461" w:type="dxa"/>
          <w:hideMark/>
        </w:tcPr>
        <w:p w14:paraId="57E853E3" w14:textId="77777777" w:rsidR="00077242" w:rsidRPr="00F70BDE" w:rsidRDefault="00DF404C" w:rsidP="00355704">
          <w:pPr>
            <w:spacing w:after="120" w:line="240" w:lineRule="auto"/>
            <w:ind w:right="71"/>
            <w:jc w:val="right"/>
            <w:rPr>
              <w:rFonts w:ascii="Palatino Linotype" w:hAnsi="Palatino Linotype" w:cs="Arial"/>
              <w:b/>
              <w:sz w:val="24"/>
              <w:szCs w:val="24"/>
            </w:rPr>
          </w:pPr>
          <w:r>
            <w:rPr>
              <w:rFonts w:ascii="Palatino Linotype" w:hAnsi="Palatino Linotype" w:cs="Arial"/>
              <w:b/>
              <w:bCs/>
              <w:sz w:val="24"/>
              <w:szCs w:val="24"/>
            </w:rPr>
            <w:t>07787</w:t>
          </w:r>
          <w:r w:rsidR="00A55E95">
            <w:rPr>
              <w:rFonts w:ascii="Palatino Linotype" w:hAnsi="Palatino Linotype" w:cs="Arial"/>
              <w:b/>
              <w:bCs/>
              <w:sz w:val="24"/>
              <w:szCs w:val="24"/>
            </w:rPr>
            <w:t>/INFOEM/IP/RR/2026</w:t>
          </w:r>
        </w:p>
      </w:tc>
    </w:tr>
    <w:tr w:rsidR="00416C00" w14:paraId="2B60E031" w14:textId="77777777" w:rsidTr="00ED602B">
      <w:trPr>
        <w:trHeight w:val="252"/>
      </w:trPr>
      <w:tc>
        <w:tcPr>
          <w:tcW w:w="5180" w:type="dxa"/>
          <w:hideMark/>
        </w:tcPr>
        <w:p w14:paraId="6AF96E05" w14:textId="77777777" w:rsidR="00077242" w:rsidRPr="00F70BDE" w:rsidRDefault="00A55E95" w:rsidP="0076761E">
          <w:pPr>
            <w:spacing w:after="120" w:line="240" w:lineRule="auto"/>
            <w:ind w:right="69"/>
            <w:jc w:val="right"/>
            <w:rPr>
              <w:rFonts w:ascii="Palatino Linotype" w:hAnsi="Palatino Linotype" w:cs="Arial"/>
              <w:b/>
              <w:sz w:val="24"/>
              <w:szCs w:val="24"/>
            </w:rPr>
          </w:pPr>
          <w:r w:rsidRPr="00F70BDE">
            <w:rPr>
              <w:rFonts w:ascii="Palatino Linotype" w:hAnsi="Palatino Linotype" w:cs="Arial"/>
              <w:b/>
              <w:sz w:val="24"/>
              <w:szCs w:val="24"/>
            </w:rPr>
            <w:t>Sujeto Obligado:</w:t>
          </w:r>
        </w:p>
      </w:tc>
      <w:tc>
        <w:tcPr>
          <w:tcW w:w="4461" w:type="dxa"/>
          <w:hideMark/>
        </w:tcPr>
        <w:p w14:paraId="7DFE99D8" w14:textId="77777777" w:rsidR="00077242" w:rsidRPr="00F70BDE" w:rsidRDefault="00DF404C" w:rsidP="009A757C">
          <w:pPr>
            <w:spacing w:after="120" w:line="240" w:lineRule="auto"/>
            <w:ind w:left="-81" w:right="71"/>
            <w:jc w:val="right"/>
            <w:rPr>
              <w:rFonts w:ascii="Palatino Linotype" w:hAnsi="Palatino Linotype" w:cs="Arial"/>
              <w:sz w:val="24"/>
              <w:szCs w:val="24"/>
            </w:rPr>
          </w:pPr>
          <w:r w:rsidRPr="00DF404C">
            <w:rPr>
              <w:rFonts w:ascii="Palatino Linotype" w:hAnsi="Palatino Linotype"/>
              <w:b/>
              <w:bCs/>
              <w:color w:val="000000"/>
              <w:sz w:val="24"/>
              <w:szCs w:val="24"/>
            </w:rPr>
            <w:t>Sistema Municipal Para el Desarrollo Integral de la Familia de Ixtapaluca</w:t>
          </w:r>
        </w:p>
      </w:tc>
    </w:tr>
    <w:tr w:rsidR="00416C00" w:rsidRPr="00F63239" w14:paraId="3FF70662" w14:textId="77777777" w:rsidTr="00ED602B">
      <w:trPr>
        <w:trHeight w:val="357"/>
      </w:trPr>
      <w:tc>
        <w:tcPr>
          <w:tcW w:w="5180" w:type="dxa"/>
          <w:hideMark/>
        </w:tcPr>
        <w:p w14:paraId="3E8580DB" w14:textId="77777777" w:rsidR="00077242" w:rsidRPr="00F70BDE" w:rsidRDefault="00A55E95" w:rsidP="0076761E">
          <w:pPr>
            <w:tabs>
              <w:tab w:val="left" w:pos="4892"/>
            </w:tabs>
            <w:spacing w:after="120" w:line="240" w:lineRule="auto"/>
            <w:ind w:right="69"/>
            <w:jc w:val="right"/>
            <w:rPr>
              <w:rFonts w:ascii="Palatino Linotype" w:hAnsi="Palatino Linotype" w:cs="Arial"/>
              <w:b/>
              <w:sz w:val="24"/>
              <w:szCs w:val="24"/>
            </w:rPr>
          </w:pPr>
          <w:r w:rsidRPr="00F70BDE">
            <w:rPr>
              <w:rFonts w:ascii="Palatino Linotype" w:hAnsi="Palatino Linotype" w:cs="Arial"/>
              <w:b/>
              <w:sz w:val="24"/>
              <w:szCs w:val="24"/>
            </w:rPr>
            <w:t>Comisionado Ponente:</w:t>
          </w:r>
        </w:p>
      </w:tc>
      <w:tc>
        <w:tcPr>
          <w:tcW w:w="4461" w:type="dxa"/>
          <w:hideMark/>
        </w:tcPr>
        <w:p w14:paraId="22AD2F39" w14:textId="77777777" w:rsidR="00077242" w:rsidRPr="00F70BDE" w:rsidRDefault="00A55E95" w:rsidP="0076761E">
          <w:pPr>
            <w:spacing w:after="120" w:line="240" w:lineRule="auto"/>
            <w:ind w:left="-486" w:right="71" w:firstLine="567"/>
            <w:jc w:val="right"/>
            <w:rPr>
              <w:rFonts w:ascii="Palatino Linotype" w:hAnsi="Palatino Linotype" w:cs="Arial"/>
              <w:sz w:val="24"/>
              <w:szCs w:val="24"/>
            </w:rPr>
          </w:pPr>
          <w:r w:rsidRPr="00F70BDE">
            <w:rPr>
              <w:rFonts w:ascii="Palatino Linotype" w:hAnsi="Palatino Linotype" w:cs="Arial"/>
              <w:sz w:val="24"/>
              <w:szCs w:val="24"/>
            </w:rPr>
            <w:t>José Martínez Vilchis</w:t>
          </w:r>
        </w:p>
        <w:p w14:paraId="68F95321" w14:textId="77777777" w:rsidR="00077242" w:rsidRPr="00F70BDE" w:rsidRDefault="00077242" w:rsidP="0076761E">
          <w:pPr>
            <w:spacing w:after="120" w:line="240" w:lineRule="auto"/>
            <w:ind w:left="-486" w:right="71" w:firstLine="567"/>
            <w:jc w:val="right"/>
            <w:rPr>
              <w:rFonts w:ascii="Palatino Linotype" w:hAnsi="Palatino Linotype" w:cs="Arial"/>
              <w:sz w:val="24"/>
              <w:szCs w:val="24"/>
            </w:rPr>
          </w:pPr>
        </w:p>
      </w:tc>
    </w:tr>
  </w:tbl>
  <w:p w14:paraId="02BCBEF0" w14:textId="77777777" w:rsidR="00077242" w:rsidRPr="00871A91" w:rsidRDefault="00DD2056">
    <w:pPr>
      <w:pStyle w:val="Encabezado"/>
      <w:rPr>
        <w:sz w:val="2"/>
      </w:rPr>
    </w:pPr>
    <w:r>
      <w:rPr>
        <w:noProof/>
        <w:lang w:val="es-MX" w:eastAsia="es-MX"/>
      </w:rPr>
      <w:pict w14:anchorId="5DCE69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794298" o:spid="_x0000_s2050" type="#_x0000_t75" alt="" style="position:absolute;left:0;text-align:left;margin-left:-81.55pt;margin-top:-142.95pt;width:609.4pt;height:793.75pt;z-index:-251658752;mso-wrap-edited:f;mso-width-percent:0;mso-height-percent:0;mso-position-horizontal-relative:margin;mso-position-vertical-relative:margin;mso-width-percent:0;mso-height-percent:0" o:allowincell="f">
          <v:imagedata r:id="rId1" o:title=""/>
          <w10:wrap anchorx="margin" anchory="margin"/>
        </v:shape>
      </w:pict>
    </w:r>
    <w:r w:rsidR="00A55E95">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98" w:type="dxa"/>
      <w:tblInd w:w="-373" w:type="dxa"/>
      <w:tblLayout w:type="fixed"/>
      <w:tblCellMar>
        <w:left w:w="70" w:type="dxa"/>
        <w:right w:w="70" w:type="dxa"/>
      </w:tblCellMar>
      <w:tblLook w:val="04A0" w:firstRow="1" w:lastRow="0" w:firstColumn="1" w:lastColumn="0" w:noHBand="0" w:noVBand="1"/>
    </w:tblPr>
    <w:tblGrid>
      <w:gridCol w:w="5103"/>
      <w:gridCol w:w="4395"/>
    </w:tblGrid>
    <w:tr w:rsidR="00416C00" w:rsidRPr="00F70BDE" w14:paraId="15E769DF" w14:textId="77777777" w:rsidTr="00DF404C">
      <w:trPr>
        <w:trHeight w:val="227"/>
      </w:trPr>
      <w:tc>
        <w:tcPr>
          <w:tcW w:w="5103" w:type="dxa"/>
          <w:hideMark/>
        </w:tcPr>
        <w:p w14:paraId="231B223A" w14:textId="77777777" w:rsidR="00077242" w:rsidRPr="00F70BDE" w:rsidRDefault="00A55E95" w:rsidP="00ED602B">
          <w:pPr>
            <w:spacing w:after="120" w:line="240" w:lineRule="auto"/>
            <w:ind w:right="68"/>
            <w:jc w:val="right"/>
            <w:rPr>
              <w:rFonts w:ascii="Palatino Linotype" w:hAnsi="Palatino Linotype" w:cs="Arial"/>
              <w:b/>
              <w:sz w:val="24"/>
              <w:szCs w:val="24"/>
            </w:rPr>
          </w:pPr>
          <w:r w:rsidRPr="00F70BDE">
            <w:rPr>
              <w:rFonts w:ascii="Palatino Linotype" w:hAnsi="Palatino Linotype" w:cs="Arial"/>
              <w:b/>
              <w:sz w:val="24"/>
              <w:szCs w:val="24"/>
            </w:rPr>
            <w:t>Recurso de Revisión:</w:t>
          </w:r>
        </w:p>
      </w:tc>
      <w:tc>
        <w:tcPr>
          <w:tcW w:w="4395" w:type="dxa"/>
          <w:hideMark/>
        </w:tcPr>
        <w:p w14:paraId="62FCC390" w14:textId="77777777" w:rsidR="00077242" w:rsidRPr="00F70BDE" w:rsidRDefault="00DF404C" w:rsidP="00ED602B">
          <w:pPr>
            <w:spacing w:after="120" w:line="240" w:lineRule="auto"/>
            <w:ind w:left="-486" w:right="68" w:firstLine="558"/>
            <w:jc w:val="right"/>
            <w:rPr>
              <w:rFonts w:ascii="Palatino Linotype" w:hAnsi="Palatino Linotype" w:cs="Arial"/>
              <w:b/>
              <w:bCs/>
              <w:sz w:val="24"/>
              <w:szCs w:val="24"/>
            </w:rPr>
          </w:pPr>
          <w:r>
            <w:rPr>
              <w:rFonts w:ascii="Palatino Linotype" w:hAnsi="Palatino Linotype" w:cs="Arial"/>
              <w:b/>
              <w:bCs/>
              <w:sz w:val="24"/>
              <w:szCs w:val="24"/>
            </w:rPr>
            <w:t>07787</w:t>
          </w:r>
          <w:r w:rsidR="00A55E95">
            <w:rPr>
              <w:rFonts w:ascii="Palatino Linotype" w:hAnsi="Palatino Linotype" w:cs="Arial"/>
              <w:b/>
              <w:bCs/>
              <w:sz w:val="24"/>
              <w:szCs w:val="24"/>
            </w:rPr>
            <w:t>/INFOEM/IP/RR/2026</w:t>
          </w:r>
        </w:p>
      </w:tc>
    </w:tr>
    <w:tr w:rsidR="00416C00" w:rsidRPr="00F70BDE" w14:paraId="14EE90B8" w14:textId="77777777" w:rsidTr="00DF404C">
      <w:trPr>
        <w:trHeight w:val="542"/>
      </w:trPr>
      <w:tc>
        <w:tcPr>
          <w:tcW w:w="5103" w:type="dxa"/>
        </w:tcPr>
        <w:p w14:paraId="69D53B78" w14:textId="77777777" w:rsidR="00077242" w:rsidRPr="00F70BDE" w:rsidRDefault="00A55E95" w:rsidP="00ED602B">
          <w:pPr>
            <w:spacing w:after="120" w:line="240" w:lineRule="auto"/>
            <w:ind w:right="68"/>
            <w:jc w:val="right"/>
            <w:rPr>
              <w:rFonts w:ascii="Palatino Linotype" w:hAnsi="Palatino Linotype" w:cs="Arial"/>
              <w:b/>
              <w:sz w:val="24"/>
              <w:szCs w:val="24"/>
            </w:rPr>
          </w:pPr>
          <w:r w:rsidRPr="00F70BDE">
            <w:rPr>
              <w:rFonts w:ascii="Palatino Linotype" w:hAnsi="Palatino Linotype" w:cs="Arial"/>
              <w:b/>
              <w:sz w:val="24"/>
              <w:szCs w:val="24"/>
            </w:rPr>
            <w:t xml:space="preserve">Recurrente:     </w:t>
          </w:r>
        </w:p>
      </w:tc>
      <w:tc>
        <w:tcPr>
          <w:tcW w:w="4395" w:type="dxa"/>
        </w:tcPr>
        <w:p w14:paraId="345751EC" w14:textId="6CEF20FD" w:rsidR="00077242" w:rsidRPr="00F70BDE" w:rsidRDefault="00DD2056" w:rsidP="000910CA">
          <w:pPr>
            <w:spacing w:after="120" w:line="240" w:lineRule="auto"/>
            <w:ind w:left="-486" w:right="68" w:firstLine="558"/>
            <w:jc w:val="right"/>
            <w:rPr>
              <w:rFonts w:ascii="Palatino Linotype" w:hAnsi="Palatino Linotype" w:cs="Arial"/>
              <w:b/>
              <w:bCs/>
              <w:sz w:val="24"/>
              <w:szCs w:val="24"/>
            </w:rPr>
          </w:pPr>
          <w:proofErr w:type="spellStart"/>
          <w:r>
            <w:rPr>
              <w:rFonts w:ascii="Palatino Linotype" w:hAnsi="Palatino Linotype" w:cs="Arial"/>
              <w:b/>
              <w:bCs/>
              <w:sz w:val="24"/>
              <w:szCs w:val="24"/>
            </w:rPr>
            <w:t>xxxx</w:t>
          </w:r>
          <w:proofErr w:type="spellEnd"/>
        </w:p>
      </w:tc>
    </w:tr>
    <w:tr w:rsidR="00416C00" w:rsidRPr="00F70BDE" w14:paraId="4E9344BD" w14:textId="77777777" w:rsidTr="00DF404C">
      <w:trPr>
        <w:trHeight w:val="242"/>
      </w:trPr>
      <w:tc>
        <w:tcPr>
          <w:tcW w:w="5103" w:type="dxa"/>
          <w:hideMark/>
        </w:tcPr>
        <w:p w14:paraId="1F32AF59" w14:textId="77777777" w:rsidR="00077242" w:rsidRPr="00F70BDE" w:rsidRDefault="00A55E95" w:rsidP="00ED602B">
          <w:pPr>
            <w:spacing w:after="120" w:line="240" w:lineRule="auto"/>
            <w:ind w:right="68"/>
            <w:jc w:val="right"/>
            <w:rPr>
              <w:rFonts w:ascii="Palatino Linotype" w:hAnsi="Palatino Linotype" w:cs="Arial"/>
              <w:b/>
              <w:sz w:val="24"/>
              <w:szCs w:val="24"/>
            </w:rPr>
          </w:pPr>
          <w:r w:rsidRPr="00F70BDE">
            <w:rPr>
              <w:rFonts w:ascii="Palatino Linotype" w:hAnsi="Palatino Linotype" w:cs="Arial"/>
              <w:b/>
              <w:sz w:val="24"/>
              <w:szCs w:val="24"/>
            </w:rPr>
            <w:t>Sujeto Obligado:</w:t>
          </w:r>
        </w:p>
      </w:tc>
      <w:tc>
        <w:tcPr>
          <w:tcW w:w="4395" w:type="dxa"/>
          <w:hideMark/>
        </w:tcPr>
        <w:p w14:paraId="767DAE43" w14:textId="77777777" w:rsidR="00077242" w:rsidRPr="00DF404C" w:rsidRDefault="00DF404C" w:rsidP="00ED602B">
          <w:pPr>
            <w:spacing w:after="120" w:line="240" w:lineRule="auto"/>
            <w:ind w:left="-70" w:right="68"/>
            <w:jc w:val="right"/>
            <w:rPr>
              <w:rFonts w:ascii="Palatino Linotype" w:hAnsi="Palatino Linotype" w:cs="Arial"/>
              <w:sz w:val="24"/>
              <w:szCs w:val="24"/>
            </w:rPr>
          </w:pPr>
          <w:r w:rsidRPr="00DF404C">
            <w:rPr>
              <w:rFonts w:ascii="Palatino Linotype" w:hAnsi="Palatino Linotype"/>
              <w:b/>
              <w:bCs/>
              <w:color w:val="000000"/>
              <w:sz w:val="24"/>
              <w:szCs w:val="24"/>
            </w:rPr>
            <w:t>Sistema Municipal Para el Desarrollo Integral de la Familia de Ixtapaluca</w:t>
          </w:r>
        </w:p>
      </w:tc>
    </w:tr>
    <w:tr w:rsidR="00416C00" w:rsidRPr="00F70BDE" w14:paraId="47030B90" w14:textId="77777777" w:rsidTr="00DF404C">
      <w:trPr>
        <w:trHeight w:val="342"/>
      </w:trPr>
      <w:tc>
        <w:tcPr>
          <w:tcW w:w="5103" w:type="dxa"/>
          <w:hideMark/>
        </w:tcPr>
        <w:p w14:paraId="02C0DF01" w14:textId="77777777" w:rsidR="00077242" w:rsidRPr="00F70BDE" w:rsidRDefault="00A55E95" w:rsidP="00ED602B">
          <w:pPr>
            <w:tabs>
              <w:tab w:val="left" w:pos="4892"/>
            </w:tabs>
            <w:spacing w:after="120" w:line="240" w:lineRule="auto"/>
            <w:ind w:right="68"/>
            <w:jc w:val="right"/>
            <w:rPr>
              <w:rFonts w:ascii="Palatino Linotype" w:hAnsi="Palatino Linotype" w:cs="Arial"/>
              <w:b/>
              <w:sz w:val="24"/>
              <w:szCs w:val="24"/>
            </w:rPr>
          </w:pPr>
          <w:r w:rsidRPr="00F70BDE">
            <w:rPr>
              <w:rFonts w:ascii="Palatino Linotype" w:hAnsi="Palatino Linotype" w:cs="Arial"/>
              <w:b/>
              <w:sz w:val="24"/>
              <w:szCs w:val="24"/>
            </w:rPr>
            <w:t>Comisionado Ponente:</w:t>
          </w:r>
        </w:p>
      </w:tc>
      <w:tc>
        <w:tcPr>
          <w:tcW w:w="4395" w:type="dxa"/>
          <w:hideMark/>
        </w:tcPr>
        <w:p w14:paraId="3C37E2C2" w14:textId="77777777" w:rsidR="00077242" w:rsidRPr="00F70BDE" w:rsidRDefault="00A55E95" w:rsidP="00ED602B">
          <w:pPr>
            <w:spacing w:after="120" w:line="240" w:lineRule="auto"/>
            <w:ind w:left="-486" w:right="68" w:firstLine="567"/>
            <w:jc w:val="right"/>
            <w:rPr>
              <w:rFonts w:ascii="Palatino Linotype" w:hAnsi="Palatino Linotype" w:cs="Arial"/>
              <w:sz w:val="24"/>
              <w:szCs w:val="24"/>
            </w:rPr>
          </w:pPr>
          <w:r w:rsidRPr="00F70BDE">
            <w:rPr>
              <w:rFonts w:ascii="Palatino Linotype" w:hAnsi="Palatino Linotype" w:cs="Arial"/>
              <w:sz w:val="24"/>
              <w:szCs w:val="24"/>
            </w:rPr>
            <w:t>José Martínez Vilchis</w:t>
          </w:r>
        </w:p>
      </w:tc>
    </w:tr>
  </w:tbl>
  <w:p w14:paraId="5ADF710C" w14:textId="77777777" w:rsidR="00077242" w:rsidRPr="00871A91" w:rsidRDefault="00DD2056">
    <w:pPr>
      <w:pStyle w:val="Encabezado"/>
      <w:rPr>
        <w:sz w:val="2"/>
      </w:rPr>
    </w:pPr>
    <w:r>
      <w:rPr>
        <w:rFonts w:ascii="Palatino Linotype" w:hAnsi="Palatino Linotype" w:cs="Arial"/>
        <w:b/>
        <w:noProof/>
        <w:lang w:eastAsia="es-MX"/>
      </w:rPr>
      <w:pict w14:anchorId="52A80A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alt="" style="position:absolute;left:0;text-align:left;margin-left:-98.55pt;margin-top:-164.85pt;width:609.4pt;height:793.75pt;z-index:-251657728;mso-wrap-edited:f;mso-width-percent:0;mso-height-percent:0;mso-position-horizontal-relative:margin;mso-position-vertical-relative:margin;mso-width-percent:0;mso-height-percent:0" o:allowincell="f">
          <v:imagedata r:id="rId1" o:title=""/>
          <w10:wrap anchorx="margin" anchory="margin"/>
        </v:shape>
      </w:pict>
    </w:r>
    <w:r w:rsidR="00A55E95">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F23BC4"/>
    <w:multiLevelType w:val="hybridMultilevel"/>
    <w:tmpl w:val="7256DC92"/>
    <w:lvl w:ilvl="0" w:tplc="68C608B4">
      <w:start w:val="1"/>
      <w:numFmt w:val="lowerLetter"/>
      <w:lvlText w:val="%1."/>
      <w:lvlJc w:val="left"/>
      <w:pPr>
        <w:ind w:left="785" w:hanging="360"/>
      </w:pPr>
      <w:rPr>
        <w:rFonts w:ascii="Palatino Linotype" w:eastAsiaTheme="minorHAnsi" w:hAnsi="Palatino Linotype" w:cs="Palatino Linotype"/>
      </w:rPr>
    </w:lvl>
    <w:lvl w:ilvl="1" w:tplc="080A0019" w:tentative="1">
      <w:start w:val="1"/>
      <w:numFmt w:val="lowerLetter"/>
      <w:lvlText w:val="%2."/>
      <w:lvlJc w:val="left"/>
      <w:pPr>
        <w:ind w:left="1505" w:hanging="360"/>
      </w:pPr>
    </w:lvl>
    <w:lvl w:ilvl="2" w:tplc="080A001B" w:tentative="1">
      <w:start w:val="1"/>
      <w:numFmt w:val="lowerRoman"/>
      <w:lvlText w:val="%3."/>
      <w:lvlJc w:val="right"/>
      <w:pPr>
        <w:ind w:left="2225" w:hanging="180"/>
      </w:pPr>
    </w:lvl>
    <w:lvl w:ilvl="3" w:tplc="080A000F" w:tentative="1">
      <w:start w:val="1"/>
      <w:numFmt w:val="decimal"/>
      <w:lvlText w:val="%4."/>
      <w:lvlJc w:val="left"/>
      <w:pPr>
        <w:ind w:left="2945" w:hanging="360"/>
      </w:pPr>
    </w:lvl>
    <w:lvl w:ilvl="4" w:tplc="080A0019" w:tentative="1">
      <w:start w:val="1"/>
      <w:numFmt w:val="lowerLetter"/>
      <w:lvlText w:val="%5."/>
      <w:lvlJc w:val="left"/>
      <w:pPr>
        <w:ind w:left="3665" w:hanging="360"/>
      </w:pPr>
    </w:lvl>
    <w:lvl w:ilvl="5" w:tplc="080A001B" w:tentative="1">
      <w:start w:val="1"/>
      <w:numFmt w:val="lowerRoman"/>
      <w:lvlText w:val="%6."/>
      <w:lvlJc w:val="right"/>
      <w:pPr>
        <w:ind w:left="4385" w:hanging="180"/>
      </w:pPr>
    </w:lvl>
    <w:lvl w:ilvl="6" w:tplc="080A000F" w:tentative="1">
      <w:start w:val="1"/>
      <w:numFmt w:val="decimal"/>
      <w:lvlText w:val="%7."/>
      <w:lvlJc w:val="left"/>
      <w:pPr>
        <w:ind w:left="5105" w:hanging="360"/>
      </w:pPr>
    </w:lvl>
    <w:lvl w:ilvl="7" w:tplc="080A0019" w:tentative="1">
      <w:start w:val="1"/>
      <w:numFmt w:val="lowerLetter"/>
      <w:lvlText w:val="%8."/>
      <w:lvlJc w:val="left"/>
      <w:pPr>
        <w:ind w:left="5825" w:hanging="360"/>
      </w:pPr>
    </w:lvl>
    <w:lvl w:ilvl="8" w:tplc="080A001B" w:tentative="1">
      <w:start w:val="1"/>
      <w:numFmt w:val="lowerRoman"/>
      <w:lvlText w:val="%9."/>
      <w:lvlJc w:val="right"/>
      <w:pPr>
        <w:ind w:left="6545" w:hanging="180"/>
      </w:pPr>
    </w:lvl>
  </w:abstractNum>
  <w:abstractNum w:abstractNumId="1" w15:restartNumberingAfterBreak="0">
    <w:nsid w:val="30543778"/>
    <w:multiLevelType w:val="hybridMultilevel"/>
    <w:tmpl w:val="E3E0C432"/>
    <w:lvl w:ilvl="0" w:tplc="FF668BFC">
      <w:start w:val="1"/>
      <w:numFmt w:val="upperRoman"/>
      <w:lvlText w:val="%1."/>
      <w:lvlJc w:val="left"/>
      <w:pPr>
        <w:ind w:left="1800" w:hanging="720"/>
      </w:pPr>
      <w:rPr>
        <w:rFonts w:cs="Times New Roman" w:hint="default"/>
      </w:rPr>
    </w:lvl>
    <w:lvl w:ilvl="1" w:tplc="080A0019" w:tentative="1">
      <w:start w:val="1"/>
      <w:numFmt w:val="lowerLetter"/>
      <w:lvlText w:val="%2."/>
      <w:lvlJc w:val="left"/>
      <w:pPr>
        <w:ind w:left="2160" w:hanging="360"/>
      </w:pPr>
      <w:rPr>
        <w:rFonts w:cs="Times New Roman"/>
      </w:rPr>
    </w:lvl>
    <w:lvl w:ilvl="2" w:tplc="080A001B" w:tentative="1">
      <w:start w:val="1"/>
      <w:numFmt w:val="lowerRoman"/>
      <w:lvlText w:val="%3."/>
      <w:lvlJc w:val="right"/>
      <w:pPr>
        <w:ind w:left="2880" w:hanging="180"/>
      </w:pPr>
      <w:rPr>
        <w:rFonts w:cs="Times New Roman"/>
      </w:rPr>
    </w:lvl>
    <w:lvl w:ilvl="3" w:tplc="080A000F" w:tentative="1">
      <w:start w:val="1"/>
      <w:numFmt w:val="decimal"/>
      <w:lvlText w:val="%4."/>
      <w:lvlJc w:val="left"/>
      <w:pPr>
        <w:ind w:left="3600" w:hanging="360"/>
      </w:pPr>
      <w:rPr>
        <w:rFonts w:cs="Times New Roman"/>
      </w:rPr>
    </w:lvl>
    <w:lvl w:ilvl="4" w:tplc="080A0019" w:tentative="1">
      <w:start w:val="1"/>
      <w:numFmt w:val="lowerLetter"/>
      <w:lvlText w:val="%5."/>
      <w:lvlJc w:val="left"/>
      <w:pPr>
        <w:ind w:left="4320" w:hanging="360"/>
      </w:pPr>
      <w:rPr>
        <w:rFonts w:cs="Times New Roman"/>
      </w:rPr>
    </w:lvl>
    <w:lvl w:ilvl="5" w:tplc="080A001B" w:tentative="1">
      <w:start w:val="1"/>
      <w:numFmt w:val="lowerRoman"/>
      <w:lvlText w:val="%6."/>
      <w:lvlJc w:val="right"/>
      <w:pPr>
        <w:ind w:left="5040" w:hanging="180"/>
      </w:pPr>
      <w:rPr>
        <w:rFonts w:cs="Times New Roman"/>
      </w:rPr>
    </w:lvl>
    <w:lvl w:ilvl="6" w:tplc="080A000F" w:tentative="1">
      <w:start w:val="1"/>
      <w:numFmt w:val="decimal"/>
      <w:lvlText w:val="%7."/>
      <w:lvlJc w:val="left"/>
      <w:pPr>
        <w:ind w:left="5760" w:hanging="360"/>
      </w:pPr>
      <w:rPr>
        <w:rFonts w:cs="Times New Roman"/>
      </w:rPr>
    </w:lvl>
    <w:lvl w:ilvl="7" w:tplc="080A0019" w:tentative="1">
      <w:start w:val="1"/>
      <w:numFmt w:val="lowerLetter"/>
      <w:lvlText w:val="%8."/>
      <w:lvlJc w:val="left"/>
      <w:pPr>
        <w:ind w:left="6480" w:hanging="360"/>
      </w:pPr>
      <w:rPr>
        <w:rFonts w:cs="Times New Roman"/>
      </w:rPr>
    </w:lvl>
    <w:lvl w:ilvl="8" w:tplc="080A001B" w:tentative="1">
      <w:start w:val="1"/>
      <w:numFmt w:val="lowerRoman"/>
      <w:lvlText w:val="%9."/>
      <w:lvlJc w:val="right"/>
      <w:pPr>
        <w:ind w:left="720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04C"/>
    <w:rsid w:val="00077242"/>
    <w:rsid w:val="00123C3D"/>
    <w:rsid w:val="001A0288"/>
    <w:rsid w:val="00320B40"/>
    <w:rsid w:val="00362503"/>
    <w:rsid w:val="007F3861"/>
    <w:rsid w:val="00897F84"/>
    <w:rsid w:val="00A55E95"/>
    <w:rsid w:val="00C2035C"/>
    <w:rsid w:val="00C710D9"/>
    <w:rsid w:val="00DD2056"/>
    <w:rsid w:val="00DE0F1A"/>
    <w:rsid w:val="00DF404C"/>
    <w:rsid w:val="00F01C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CF9194D"/>
  <w15:chartTrackingRefBased/>
  <w15:docId w15:val="{8C4E514F-71D2-43BB-8405-889A78E49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404C"/>
  </w:style>
  <w:style w:type="paragraph" w:styleId="Ttulo2">
    <w:name w:val="heading 2"/>
    <w:aliases w:val="Subtítulos"/>
    <w:basedOn w:val="Normal"/>
    <w:next w:val="Normal"/>
    <w:link w:val="Ttulo2Car"/>
    <w:uiPriority w:val="9"/>
    <w:unhideWhenUsed/>
    <w:qFormat/>
    <w:rsid w:val="00DF404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
    <w:semiHidden/>
    <w:unhideWhenUsed/>
    <w:qFormat/>
    <w:rsid w:val="00DF404C"/>
    <w:pPr>
      <w:keepNext/>
      <w:keepLines/>
      <w:spacing w:before="160" w:after="80"/>
      <w:outlineLvl w:val="2"/>
    </w:pPr>
    <w:rPr>
      <w:rFonts w:eastAsiaTheme="majorEastAsia" w:cstheme="majorBidi"/>
      <w:color w:val="2E74B5"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aliases w:val="Subtítulos Car"/>
    <w:basedOn w:val="Fuentedeprrafopredeter"/>
    <w:link w:val="Ttulo2"/>
    <w:uiPriority w:val="9"/>
    <w:rsid w:val="00DF404C"/>
    <w:rPr>
      <w:rFonts w:asciiTheme="majorHAnsi" w:eastAsiaTheme="majorEastAsia" w:hAnsiTheme="majorHAnsi" w:cstheme="majorBidi"/>
      <w:color w:val="2E74B5" w:themeColor="accent1" w:themeShade="BF"/>
      <w:sz w:val="32"/>
      <w:szCs w:val="32"/>
    </w:rPr>
  </w:style>
  <w:style w:type="character" w:customStyle="1" w:styleId="Ttulo3Car">
    <w:name w:val="Título 3 Car"/>
    <w:basedOn w:val="Fuentedeprrafopredeter"/>
    <w:link w:val="Ttulo3"/>
    <w:uiPriority w:val="9"/>
    <w:semiHidden/>
    <w:rsid w:val="00DF404C"/>
    <w:rPr>
      <w:rFonts w:eastAsiaTheme="majorEastAsia" w:cstheme="majorBidi"/>
      <w:color w:val="2E74B5" w:themeColor="accent1" w:themeShade="BF"/>
      <w:sz w:val="28"/>
      <w:szCs w:val="28"/>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DF404C"/>
    <w:pPr>
      <w:ind w:left="720"/>
      <w:contextualSpacing/>
    </w:pPr>
  </w:style>
  <w:style w:type="paragraph" w:styleId="Encabezado">
    <w:name w:val="header"/>
    <w:basedOn w:val="Normal"/>
    <w:link w:val="EncabezadoCar"/>
    <w:uiPriority w:val="99"/>
    <w:unhideWhenUsed/>
    <w:rsid w:val="00DF404C"/>
    <w:pPr>
      <w:tabs>
        <w:tab w:val="center" w:pos="4419"/>
        <w:tab w:val="right" w:pos="8838"/>
      </w:tabs>
      <w:spacing w:after="0" w:line="240" w:lineRule="auto"/>
      <w:jc w:val="both"/>
    </w:pPr>
    <w:rPr>
      <w:rFonts w:ascii="Times New Roman" w:eastAsia="Times New Roman" w:hAnsi="Times New Roman" w:cs="Times New Roman"/>
      <w:sz w:val="24"/>
      <w:szCs w:val="24"/>
      <w:lang w:val="es-ES" w:eastAsia="es-ES"/>
    </w:rPr>
  </w:style>
  <w:style w:type="character" w:customStyle="1" w:styleId="EncabezadoCar">
    <w:name w:val="Encabezado Car"/>
    <w:basedOn w:val="Fuentedeprrafopredeter"/>
    <w:link w:val="Encabezado"/>
    <w:uiPriority w:val="99"/>
    <w:rsid w:val="00DF404C"/>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DF404C"/>
    <w:pPr>
      <w:tabs>
        <w:tab w:val="center" w:pos="4419"/>
        <w:tab w:val="right" w:pos="8838"/>
      </w:tabs>
      <w:spacing w:after="0" w:line="240" w:lineRule="auto"/>
      <w:jc w:val="both"/>
    </w:pPr>
    <w:rPr>
      <w:rFonts w:ascii="Times New Roman" w:eastAsia="Times New Roman" w:hAnsi="Times New Roman" w:cs="Times New Roman"/>
      <w:sz w:val="24"/>
      <w:szCs w:val="24"/>
      <w:lang w:val="es-ES" w:eastAsia="es-ES"/>
    </w:rPr>
  </w:style>
  <w:style w:type="character" w:customStyle="1" w:styleId="PiedepginaCar">
    <w:name w:val="Pie de página Car"/>
    <w:basedOn w:val="Fuentedeprrafopredeter"/>
    <w:link w:val="Piedepgina"/>
    <w:uiPriority w:val="99"/>
    <w:rsid w:val="00DF404C"/>
    <w:rPr>
      <w:rFonts w:ascii="Times New Roman" w:eastAsia="Times New Roman" w:hAnsi="Times New Roman" w:cs="Times New Roman"/>
      <w:sz w:val="24"/>
      <w:szCs w:val="24"/>
      <w:lang w:val="es-ES" w:eastAsia="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DF40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19</Pages>
  <Words>4166</Words>
  <Characters>22919</Characters>
  <Application>Microsoft Office Word</Application>
  <DocSecurity>0</DocSecurity>
  <Lines>190</Lines>
  <Paragraphs>54</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27031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Infoem-378</dc:creator>
  <cp:keywords/>
  <dc:description/>
  <cp:lastModifiedBy>INFOEM492</cp:lastModifiedBy>
  <cp:revision>5</cp:revision>
  <cp:lastPrinted>2026-09-18T18:38:00Z</cp:lastPrinted>
  <dcterms:created xsi:type="dcterms:W3CDTF">2026-09-17T19:53:00Z</dcterms:created>
  <dcterms:modified xsi:type="dcterms:W3CDTF">2026-09-21T21:51:00Z</dcterms:modified>
</cp:coreProperties>
</file>