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right="49" w:hanging="22"/>
        <w:jc w:val="both"/>
        <w:rPr>
          <w:rFonts w:ascii="Palatino Linotype" w:cs="Palatino Linotype" w:eastAsia="Palatino Linotype" w:hAnsi="Palatino Linotype"/>
          <w:sz w:val="22"/>
          <w:szCs w:val="22"/>
        </w:rPr>
      </w:pPr>
      <w:bookmarkStart w:colFirst="0" w:colLast="0" w:name="_heading=h.xir5t550qikp"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de fecha </w:t>
      </w:r>
      <w:r w:rsidDel="00000000" w:rsidR="00000000" w:rsidRPr="00000000">
        <w:rPr>
          <w:rFonts w:ascii="Palatino Linotype" w:cs="Palatino Linotype" w:eastAsia="Palatino Linotype" w:hAnsi="Palatino Linotype"/>
          <w:b w:val="1"/>
          <w:bCs w:val="1"/>
          <w:sz w:val="22"/>
          <w:szCs w:val="22"/>
          <w:rtl w:val="0"/>
        </w:rPr>
        <w:t xml:space="preserve">veintiséis de agosto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de dos mil veintiséis. </w:t>
      </w:r>
      <w:r w:rsidDel="00000000" w:rsidR="00000000" w:rsidRPr="00000000">
        <w:rPr>
          <w:rtl w:val="0"/>
        </w:rPr>
      </w:r>
    </w:p>
    <w:p w:rsidR="00000000" w:rsidDel="00000000" w:rsidP="00000000" w:rsidRDefault="00000000" w:rsidRPr="00000000" w14:paraId="0000000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VISTO </w:t>
      </w:r>
      <w:r w:rsidDel="00000000" w:rsidR="00000000" w:rsidRPr="00000000">
        <w:rPr>
          <w:rFonts w:ascii="Palatino Linotype" w:cs="Palatino Linotype" w:eastAsia="Palatino Linotype" w:hAnsi="Palatino Linotype"/>
          <w:sz w:val="22"/>
          <w:szCs w:val="22"/>
          <w:rtl w:val="0"/>
        </w:rPr>
        <w:t xml:space="preserve">el expediente relativo al recurso de revisión </w:t>
      </w:r>
      <w:r w:rsidDel="00000000" w:rsidR="00000000" w:rsidRPr="00000000">
        <w:rPr>
          <w:rFonts w:ascii="Palatino Linotype" w:cs="Palatino Linotype" w:eastAsia="Palatino Linotype" w:hAnsi="Palatino Linotype"/>
          <w:b w:val="1"/>
          <w:bCs w:val="1"/>
          <w:sz w:val="22"/>
          <w:szCs w:val="22"/>
          <w:rtl w:val="0"/>
        </w:rPr>
        <w:t xml:space="preserve">06134/INFOEM/IP/RR/2026, </w:t>
      </w:r>
      <w:r w:rsidDel="00000000" w:rsidR="00000000" w:rsidRPr="00000000">
        <w:rPr>
          <w:rFonts w:ascii="Palatino Linotype" w:cs="Palatino Linotype" w:eastAsia="Palatino Linotype" w:hAnsi="Palatino Linotype"/>
          <w:sz w:val="22"/>
          <w:szCs w:val="22"/>
          <w:rtl w:val="0"/>
        </w:rPr>
        <w:t xml:space="preserve">interpuesto por </w:t>
      </w:r>
      <w:r w:rsidDel="00000000" w:rsidR="00000000" w:rsidRPr="00000000">
        <w:rPr>
          <w:rFonts w:ascii="Palatino Linotype" w:cs="Palatino Linotype" w:eastAsia="Palatino Linotype" w:hAnsi="Palatino Linotype"/>
          <w:b w:val="1"/>
          <w:bCs w:val="1"/>
          <w:sz w:val="22"/>
          <w:szCs w:val="22"/>
          <w:rtl w:val="0"/>
        </w:rPr>
        <w:t xml:space="preserve">Un Usuario que no proporcionó su nombre</w:t>
      </w:r>
      <w:r w:rsidDel="00000000" w:rsidR="00000000" w:rsidRPr="00000000">
        <w:rPr>
          <w:rFonts w:ascii="Palatino Linotype" w:cs="Palatino Linotype" w:eastAsia="Palatino Linotype" w:hAnsi="Palatino Linotype"/>
          <w:sz w:val="22"/>
          <w:szCs w:val="22"/>
          <w:rtl w:val="0"/>
        </w:rPr>
        <w:t xml:space="preserve">, en lo sucesivo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por parte del </w:t>
      </w:r>
      <w:r w:rsidDel="00000000" w:rsidR="00000000" w:rsidRPr="00000000">
        <w:rPr>
          <w:rFonts w:ascii="Palatino Linotype" w:cs="Palatino Linotype" w:eastAsia="Palatino Linotype" w:hAnsi="Palatino Linotype"/>
          <w:b w:val="1"/>
          <w:bCs w:val="1"/>
          <w:sz w:val="22"/>
          <w:szCs w:val="22"/>
          <w:rtl w:val="0"/>
        </w:rPr>
        <w:t xml:space="preserve">Sistema Municipal para el Desarrollo Integral de la Familia de Calimaya</w:t>
      </w:r>
      <w:r w:rsidDel="00000000" w:rsidR="00000000" w:rsidRPr="00000000">
        <w:rPr>
          <w:rFonts w:ascii="Palatino Linotype" w:cs="Palatino Linotype" w:eastAsia="Palatino Linotype" w:hAnsi="Palatino Linotype"/>
          <w:sz w:val="22"/>
          <w:szCs w:val="22"/>
          <w:rtl w:val="0"/>
        </w:rPr>
        <w:t xml:space="preserve">, 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 siguiente.</w:t>
      </w:r>
    </w:p>
    <w:p w:rsidR="00000000" w:rsidDel="00000000" w:rsidP="00000000" w:rsidRDefault="00000000" w:rsidRPr="00000000" w14:paraId="00000004">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5">
      <w:pPr>
        <w:spacing w:line="360" w:lineRule="auto"/>
        <w:ind w:right="49"/>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w:t>
        <w:tab/>
        <w:t xml:space="preserve">A N T E C E D E N T E S </w:t>
      </w:r>
    </w:p>
    <w:p w:rsidR="00000000" w:rsidDel="00000000" w:rsidP="00000000" w:rsidRDefault="00000000" w:rsidRPr="00000000" w14:paraId="00000006">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1.</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Solicitud de Acceso a la Información. El quince de mayo de dos mil veintiséis</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formuló solicitud de acceso a información pública a través del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en la que requirió lo siguiente: </w:t>
      </w:r>
    </w:p>
    <w:p w:rsidR="00000000" w:rsidDel="00000000" w:rsidP="00000000" w:rsidRDefault="00000000" w:rsidRPr="00000000" w14:paraId="0000000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b w:val="1"/>
          <w:bCs w:val="1"/>
          <w:sz w:val="22"/>
          <w:szCs w:val="22"/>
        </w:rPr>
      </w:pPr>
      <w:bookmarkStart w:colFirst="0" w:colLast="0" w:name="_heading=h.3znysh7" w:id="1"/>
      <w:bookmarkEnd w:id="1"/>
      <w:r w:rsidDel="00000000" w:rsidR="00000000" w:rsidRPr="00000000">
        <w:rPr>
          <w:rFonts w:ascii="Palatino Linotype" w:cs="Palatino Linotype" w:eastAsia="Palatino Linotype" w:hAnsi="Palatino Linotype"/>
          <w:b w:val="1"/>
          <w:bCs w:val="1"/>
          <w:sz w:val="22"/>
          <w:szCs w:val="22"/>
          <w:rtl w:val="0"/>
        </w:rPr>
        <w:t xml:space="preserve">00014/DIFMALIMAY/IP/2026</w:t>
      </w:r>
    </w:p>
    <w:p w:rsidR="00000000" w:rsidDel="00000000" w:rsidP="00000000" w:rsidRDefault="00000000" w:rsidRPr="00000000" w14:paraId="0000000A">
      <w:pPr>
        <w:spacing w:line="276"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"Respecto del Sistema Municipal DIF Calimaya y/o del Ayuntamiento de Calimaya, requiero información relacionada con la inauguración y habilitación de la Casa de Día ubicada en Villas del Campo. Alcance de la solicitud: Monto total de recursos públicos ejercidos para la habilitación, adecuación, remodelación, acondicionamiento y/o equipamiento del inmueble. Relación detallada de los conceptos de gasto realizados, incluyendo en su caso: Obra o remodelación Adecuaciones físicas Pintura Instalaciones eléctricas, hidráulicas o sanitarias Mobiliario Equipo médico, terapéutico o recreativo Electrodomésticos Equipo de cómputo Pantallas, sonido u otros equipos electrónicos Materiales y suministros diversos Relación de proveedores o contratistas participantes, indicando: Nombre o razón social Monto contratado Concepto contratado Modalidad de contratación Copia de la documentación soporte correspondiente, incluyendo en su caso: Contratos Pedidos u órdenes de compra Cotizaciones Estudios de mercado Facturas o CFDI Pólizas contables Actas de entrega-recepción Expediente técnico de obra o adecuación (si existe) Fuente de financiamiento utilizada para dichos gastos. Periodo solicitado: Del 1 de enero de 2025 al 31 de marzo de 2026. Modalidad de entrega: Solicito que la información sea proporcionada directamente en formato PDF, en archivo(s) descargable(s), evitando la remisión a hipervínculos, portales electrónicos o plataformas de consulta. En caso de que la información se encuentre en otro formato, solicito que sea convertida a formato PDF para su entrega. Consideraciones adicionales: La información solicitada corresponde al ejercicio de recursos públicos, por lo que es de carácter público conforme al principio de máxima publicidad. En caso de contener datos personales, solicito la entrega de la versión pública debidamente fundada y motivada, sin afectar el acceso a la información sustantiva. En caso de inexistencia total o parcial, solicito se remita el acta del Comité de Transparencia correspondiente. En caso de negativa, solicito se funde y motive la respuesta conforme a derecho. Sin otro particular, quedo atento a la respuesta dentro de los plazos legales establecidos.</w:t>
      </w:r>
      <w:r w:rsidDel="00000000" w:rsidR="00000000" w:rsidRPr="00000000">
        <w:rPr>
          <w:rFonts w:ascii="Palatino Linotype" w:cs="Palatino Linotype" w:eastAsia="Palatino Linotype" w:hAnsi="Palatino Linotype"/>
          <w:b w:val="1"/>
          <w:bCs w:val="1"/>
          <w:i w:val="1"/>
          <w:iCs w:val="1"/>
          <w:sz w:val="22"/>
          <w:szCs w:val="22"/>
          <w:rtl w:val="0"/>
        </w:rPr>
        <w:t xml:space="preserve">” (Sic.)</w:t>
      </w:r>
      <w:r w:rsidDel="00000000" w:rsidR="00000000" w:rsidRPr="00000000">
        <w:rPr>
          <w:rtl w:val="0"/>
        </w:rPr>
      </w:r>
    </w:p>
    <w:p w:rsidR="00000000" w:rsidDel="00000000" w:rsidP="00000000" w:rsidRDefault="00000000" w:rsidRPr="00000000" w14:paraId="0000000B">
      <w:pPr>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elegida para la entrega de la información:</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(SAIMEX).</w:t>
      </w:r>
    </w:p>
    <w:p w:rsidR="00000000" w:rsidDel="00000000" w:rsidP="00000000" w:rsidRDefault="00000000" w:rsidRPr="00000000" w14:paraId="0000000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E">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cinco de junio de dos mil veintiséis</w:t>
      </w:r>
      <w:r w:rsidDel="00000000" w:rsidR="00000000" w:rsidRPr="00000000">
        <w:rPr>
          <w:rFonts w:ascii="Palatino Linotype" w:cs="Palatino Linotype" w:eastAsia="Palatino Linotype" w:hAnsi="Palatino Linotype"/>
          <w:sz w:val="22"/>
          <w:szCs w:val="22"/>
          <w:rtl w:val="0"/>
        </w:rPr>
        <w:t xml:space="preserve">, el Sujeto Obligado dio respuesta a la solicitud en los siguientes términos:</w:t>
      </w:r>
    </w:p>
    <w:p w:rsidR="00000000" w:rsidDel="00000000" w:rsidP="00000000" w:rsidRDefault="00000000" w:rsidRPr="00000000" w14:paraId="0000000F">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0">
      <w:pPr>
        <w:widowControl w:val="0"/>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 SOLICITANTE PRESENTE: Con fundamento en los artículos 6 de la Constitución Política de los Estados Unidos Mexicanos; 12 párrafo segundo, 53 fracciones II, V y VI, 156, 163 y 177 de la Ley de Transparencia y Acceso a la Información Pública del Estado de México y Municipios; En atención a su solicitud de información registrada en el Sistema de Acceso a la Información Mexiquense (SAIMEX), con número de folio 00014/DIFMALIMAY/IP/2026 presentada en fecha quince (15) de mayo de dos mil veintiséis (2026), mediante la cual se requirió lo siguiente: “Respecto del Sistema Municipal DIF Calimaya y/o del Ayuntamiento de Calimaya, requiero información relacionada con la inauguración y habilitación de la Casa de Día ubicada en Villas del Campo. Alcance de la solicitud: Monto total de recursos públicos ejercidos para la habilitación, adecuación, remodelación, acondicionamiento y/o equipamiento del inmueble. Relación detallada de los conceptos de gasto realizados, incluyendo en su caso: Obra o remodelación Adecuaciones físicas Pintura Instalaciones eléctricas, hidráulicas o sanitarias Mobiliario Equipo médico, terapéutico o recreativo Electrodomésticos Equipo de cómputo Pantallas, sonido u otros equipos electrónicos Materiales y suministros diversos Relación de proveedores o contratistas participantes, indicando: Nombre o razón social Monto contratado Concepto contratado Modalidad de contratación Copia de la documentación soporte correspondiente, incluyendo en su caso: Contratos Pedidos u órdenes de compra Cotizaciones Estudios de mercado Facturas o CFDI Pólizas contables Actas de entrega-recepción Expediente técnico de obra o adecuación (si existe) Fuente de financiamiento utilizada para dichos gastos. Periodo solicitado: Del 1 de enero de 2025 al 31 de marzo de 2026. Modalidad de entrega: Solicito que la información sea proporcionada directamente en formato PDF, en archivo(s) descargable(s), evitando la remisión a hipervínculos, portales electrónicos o plataformas de consulta. En caso de que la información se encuentre en otro formato, solicito que sea convertida a formato PDF para su entrega. Consideraciones adicionales: La información solicitada corresponde al ejercicio de recursos públicos, por lo que es de carácter público conforme al principio de máxima publicidad. En caso de contener datos personales, solicito la entrega de la versión pública debidamente fundada y motivada, sin afectar el acceso a la información sustantiva. En caso de inexistencia total o parcial, solicito se remita el acta del Comité de Transparencia correspondiente. En caso de negativa, solicito se funde y motive la respuesta conforme a derecho. Sin otro particular, quedo atento a la respuesta dentro de los plazos legales establecidos....” (sic) Por lo anteriormente expuesto, hago de su conocimiento que esta Unidad de Transparencia turno mediante oficio SMDIF/UT/071/2026 y SMDIF/UT/075/2026 la solicitud de información a los Servidores Públicos Habilitados de este sujeto obligado (SMDIF de Calimaya), a efecto de proporcionar la información solicitada. Por consiguiente, una vez que los servidores públicos habilitados realizaron una búsqueda exhaustiva en su archivo, registros y bases de datos, el área de Tesorería y la Coordinación de Atención a los Adulto Mayores del SMDIF de Calimaya envió a esta Unidad de Transparencia la siguiente documentación: • Contestación con número de oficio SMDIF/TES/102/2026 en el cual se proporciona información solicitada por el ciudadano • Contestación con número de oficio SMDIF/CAAM/011/2026 en el cual se proporciona información solicitada por el ciudadano Para finalizar, dejando a salvo sus prerrogativas de inconformidad con la información proporcionada por los Sujetos Públicos Habilitados; se informa que, podrá interponer un recurso de revisión ante el Instituto de Transparencia, Acceso a la Información Pública y Protección de Datos Personales (INFOEM), dentro de los 15 días hábiles siguientes a la fecha que surta efectos la notificación.</w:t>
      </w:r>
    </w:p>
    <w:p w:rsidR="00000000" w:rsidDel="00000000" w:rsidP="00000000" w:rsidRDefault="00000000" w:rsidRPr="00000000" w14:paraId="00000011">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2">
      <w:pPr>
        <w:widowControl w:val="0"/>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El Sujeto Obligado entregó el documento electrónico denominado </w:t>
      </w:r>
      <w:r w:rsidDel="00000000" w:rsidR="00000000" w:rsidRPr="00000000">
        <w:rPr>
          <w:rFonts w:ascii="Palatino Linotype" w:cs="Palatino Linotype" w:eastAsia="Palatino Linotype" w:hAnsi="Palatino Linotype"/>
          <w:b w:val="1"/>
          <w:bCs w:val="1"/>
          <w:sz w:val="22"/>
          <w:szCs w:val="22"/>
          <w:rtl w:val="0"/>
        </w:rPr>
        <w:t xml:space="preserve">00014_DIFMALIMAY_IP_2026.pdf el cual, a su vez contiene la siguiente información:</w:t>
      </w:r>
    </w:p>
    <w:p w:rsidR="00000000" w:rsidDel="00000000" w:rsidP="00000000" w:rsidRDefault="00000000" w:rsidRPr="00000000" w14:paraId="00000013">
      <w:pPr>
        <w:widowControl w:val="0"/>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Oficio suscrito por el Tesorero del Sistema Municipal para el Desarrollo Integral de la Familia mediante el cual refiere que en los registros contables no obra información respecto a la inauguración y habilitación de la Casa de Día ubicada en villas del campo (habilitación, adecuación, remodelación, acondicionamiento y/o equipamiento del inmueble) del uno de enero de dos mil veinticinco al treinta y uno de marzo de dos mil veintiséis que implique ejercicio de recursos públicos.</w:t>
      </w:r>
    </w:p>
    <w:p w:rsidR="00000000" w:rsidDel="00000000" w:rsidP="00000000" w:rsidRDefault="00000000" w:rsidRPr="00000000" w14:paraId="0000001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Oficio suscrito por la Coordinadora de Atención al Adulto Mayor del Sistema Municipal para el Desarrollo Integral de la Familia mediante el cual indicó lo siguiente:</w:t>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nombre de la casa “La sagrada familia”</w:t>
      </w:r>
    </w:p>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La casa fue inaugurada el diez de marzo de dos mil veintiséis, motivo por el cual no hay información existente en relación a la anualidad dos mil veinticinco.</w:t>
      </w:r>
    </w:p>
    <w:p w:rsidR="00000000" w:rsidDel="00000000" w:rsidP="00000000" w:rsidRDefault="00000000" w:rsidRPr="00000000" w14:paraId="0000001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bien inmueble es prestado para llevar a cabo las actividades relacionadas con la casa de día, por la Capilla del Fraccionamiento Villas del Campo, por lo que no se ha generado gasto alguno por los conceptos mencionados.</w:t>
      </w:r>
      <w:r w:rsidDel="00000000" w:rsidR="00000000" w:rsidRPr="00000000">
        <w:rPr>
          <w:rtl w:val="0"/>
        </w:rPr>
      </w:r>
    </w:p>
    <w:p w:rsidR="00000000" w:rsidDel="00000000" w:rsidP="00000000" w:rsidRDefault="00000000" w:rsidRPr="00000000" w14:paraId="00000019">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Del Recurso de Revisión. </w:t>
      </w:r>
      <w:r w:rsidDel="00000000" w:rsidR="00000000" w:rsidRPr="00000000">
        <w:rPr>
          <w:rFonts w:ascii="Palatino Linotype" w:cs="Palatino Linotype" w:eastAsia="Palatino Linotype" w:hAnsi="Palatino Linotype"/>
          <w:sz w:val="22"/>
          <w:szCs w:val="22"/>
          <w:rtl w:val="0"/>
        </w:rPr>
        <w:t xml:space="preserve">Inconforme con la respuesta del</w:t>
      </w:r>
      <w:r w:rsidDel="00000000" w:rsidR="00000000" w:rsidRPr="00000000">
        <w:rPr>
          <w:rFonts w:ascii="Palatino Linotype" w:cs="Palatino Linotype" w:eastAsia="Palatino Linotype" w:hAnsi="Palatino Linotype"/>
          <w:b w:val="1"/>
          <w:bCs w:val="1"/>
          <w:sz w:val="22"/>
          <w:szCs w:val="22"/>
          <w:rtl w:val="0"/>
        </w:rPr>
        <w:t xml:space="preserve"> SUJETO OBLIGADO, </w:t>
      </w:r>
      <w:r w:rsidDel="00000000" w:rsidR="00000000" w:rsidRPr="00000000">
        <w:rPr>
          <w:rFonts w:ascii="Palatino Linotype" w:cs="Palatino Linotype" w:eastAsia="Palatino Linotype" w:hAnsi="Palatino Linotype"/>
          <w:sz w:val="22"/>
          <w:szCs w:val="22"/>
          <w:rtl w:val="0"/>
        </w:rPr>
        <w:t xml:space="preserve">el</w:t>
      </w:r>
      <w:r w:rsidDel="00000000" w:rsidR="00000000" w:rsidRPr="00000000">
        <w:rPr>
          <w:rFonts w:ascii="Palatino Linotype" w:cs="Palatino Linotype" w:eastAsia="Palatino Linotype" w:hAnsi="Palatino Linotype"/>
          <w:b w:val="1"/>
          <w:bCs w:val="1"/>
          <w:sz w:val="22"/>
          <w:szCs w:val="22"/>
          <w:rtl w:val="0"/>
        </w:rPr>
        <w:t xml:space="preserve"> ocho de junio de dos mil veintiséis, LA PARTE RECURRENTE </w:t>
      </w:r>
      <w:r w:rsidDel="00000000" w:rsidR="00000000" w:rsidRPr="00000000">
        <w:rPr>
          <w:rFonts w:ascii="Palatino Linotype" w:cs="Palatino Linotype" w:eastAsia="Palatino Linotype" w:hAnsi="Palatino Linotype"/>
          <w:sz w:val="22"/>
          <w:szCs w:val="22"/>
          <w:rtl w:val="0"/>
        </w:rPr>
        <w:t xml:space="preserve">interpuso el recurso de revisión, mediante el cual y manifestó lo siguiente: </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Acto Impugnado: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impugna la respuesta emitida por la Tesorería del Sistema Municipal DIF de Calimaya mediante oficio SMDIF/TES/012/2026, así como la respuesta emitida por la Coordinación de Atención al Adulto Mayor mediante oficio SMDIF/CAAM/011/2026, dentro de la solicitud de información folio 00014/DIFCALIMAYA/IP/2026. Lo anterior, debido a que el sujeto obligado se limitó a manifestar que no existió ejercicio de recursos públicos para la habilitación, adecuación, remodelación, acondicionamiento, equipamiento y operación de la Casa de Día "La Sagrada Familia" ubicada en Villas del Campo, omitiendo proporcionar documentación que sustente dicha afirmación y sin pronunciarse de manera exhaustiva respecto de la totalidad de la información solicitada. Asimismo, el propio sujeto obligado reconoce la existencia y operación de la Casa de Día, así como que el inmueble es utilizado por el Sistema Municipal DIF de Calimaya mediante una figura de préstamo por parte de la Capilla del Fraccionamiento Villas del Campo, sin proporcionar el convenio, autorización, comodato, permiso o instrumento jurídico que sustente la ocupación y uso del inmueble, ni la documentación relacionada con su habilitación y funcionamiento.” (Sic.)</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76" w:lineRule="auto"/>
        <w:ind w:left="720" w:right="56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Motivo de inconformidad:</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PRIMERO. El sujeto obligado no atendió de manera exhaustiva la solicitud de información, ya que se limitó a manifestar que no existió ejercicio de recursos públicos para la habilitación y funcionamiento de la Casa de Día “La Sagrada Familia”, sin proporcionar documentación que sustente dicha afirmación. SEGUNDO. La respuesta reconoce expresamente la existencia, inauguración y operación de la Casa de Día “La Sagrada Familia”, así como el uso de un inmueble proporcionado por la Capilla del Fraccionamiento Villas del Campo; sin embargo, omitió entregar el convenio, autorización, comodato, permiso o cualquier instrumento jurídico que permita verificar las condiciones bajo las cuales el Sistema Municipal DIF de Calimaya ocupa y utiliza dicho inmueble. TERCERO. El sujeto obligado no se pronunció de manera específica respecto de diversos documentos solicitados, tales como contratos, pedidos, órdenes de compra, estudios de mercado, cotizaciones, facturas, CFDI, pólizas contables, actas de entrega-recepción, expedientes técnicos o cualquier otra documentación relacionada con la habilitación y operación del inmueble. CUARTO. Aun cuando se afirme que no existió erogación de recursos públicos, ello no exime al sujeto obligado de proporcionar la documentación que acredite la forma en que se obtuvo el uso del inmueble, las condiciones de ocupación, las responsabilidades asumidas por las partes y los mecanismos mediante los cuales opera la Casa de Día. QUINTO. La respuesta carece de elementos documentales que permitan verificar de manera objetiva la afirmación consistente en que no se realizaron gastos de acondicionamiento, equipamiento, adecuación o funcionamiento, limitándose a una manifestación unilateral de la autoridad sin soporte documental. SEXTO. La respuesta vulnera el principio de exhaustividad previsto en la Ley de Transparencia y Acceso a la Información Pública del Estado de México y Municipios, al no atender la totalidad de los puntos planteados en la solicitud ni emitir un pronunciamiento específico respecto de cada uno de los documentos requeridos. SÉPTIMO. La existencia y operación de la Casa de Día implica necesariamente la realización de actos administrativos para su establecimiento y funcionamiento, por lo que resulta procedente que el sujeto obligado entregue la documentación que obre en sus archivos relacionada con dichos actos, o en su caso funde y motive debidamente su inexistencia. Por lo anterior, solicito se revoque o modifique la respuesta impugnada y se ordene al sujeto obligado realizar una búsqueda exhaustiva y proporcionar la totalidad de la información solicitada, así como la documentación que sustente jurídicamente el uso y operación de la Casa de Día “La Sagrada Familia”.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(Sic.)</w:t>
      </w:r>
    </w:p>
    <w:p w:rsidR="00000000" w:rsidDel="00000000" w:rsidP="00000000" w:rsidRDefault="00000000" w:rsidRPr="00000000" w14:paraId="0000001E">
      <w:pPr>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F">
      <w:pPr>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2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el recurso de revisión número </w:t>
      </w:r>
      <w:r w:rsidDel="00000000" w:rsidR="00000000" w:rsidRPr="00000000">
        <w:rPr>
          <w:rFonts w:ascii="Palatino Linotype" w:cs="Palatino Linotype" w:eastAsia="Palatino Linotype" w:hAnsi="Palatino Linotype"/>
          <w:b w:val="1"/>
          <w:bCs w:val="1"/>
          <w:sz w:val="22"/>
          <w:szCs w:val="22"/>
          <w:rtl w:val="0"/>
        </w:rPr>
        <w:t xml:space="preserve">06134/INFOEM/IP/RR/2026</w:t>
      </w:r>
      <w:r w:rsidDel="00000000" w:rsidR="00000000" w:rsidRPr="00000000">
        <w:rPr>
          <w:rFonts w:ascii="Palatino Linotype" w:cs="Palatino Linotype" w:eastAsia="Palatino Linotype" w:hAnsi="Palatino Linotype"/>
          <w:sz w:val="22"/>
          <w:szCs w:val="22"/>
          <w:rtl w:val="0"/>
        </w:rPr>
        <w:t xml:space="preserve">,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w:t>
      </w:r>
      <w:r w:rsidDel="00000000" w:rsidR="00000000" w:rsidRPr="00000000">
        <w:rPr>
          <w:rFonts w:ascii="Palatino Linotype" w:cs="Palatino Linotype" w:eastAsia="Palatino Linotype" w:hAnsi="Palatino Linotype"/>
          <w:sz w:val="22"/>
          <w:szCs w:val="22"/>
          <w:rtl w:val="0"/>
        </w:rPr>
        <w:t xml:space="preserve">, para su análisis, estudio, elaboración del proyecto y presentación ante el Pleno de este Instituto.</w:t>
      </w:r>
    </w:p>
    <w:p w:rsidR="00000000" w:rsidDel="00000000" w:rsidP="00000000" w:rsidRDefault="00000000" w:rsidRPr="00000000" w14:paraId="0000002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2">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nueve de junio de dos mil veintiséis</w:t>
      </w:r>
      <w:r w:rsidDel="00000000" w:rsidR="00000000" w:rsidRPr="00000000">
        <w:rPr>
          <w:rFonts w:ascii="Palatino Linotype" w:cs="Palatino Linotype" w:eastAsia="Palatino Linotype" w:hAnsi="Palatino Linotype"/>
          <w:sz w:val="22"/>
          <w:szCs w:val="22"/>
          <w:rtl w:val="0"/>
        </w:rPr>
        <w:t xml:space="preserve">, en términos de lo dispuesto en el artículo 185 fracciones I, II y IV de la Ley de Transparencia y Acceso a la Información Pública del Estado de México y Municipios, se admitió a trámite el recurso de revisión</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23">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las constancias que obran en el expediente electrónico del SAIMEX, se advierte que tanto el Sujeto Obligado como el Recurrente fueron omisos en rendir manifestaciones; se inserta imagen de referencia:  </w:t>
      </w:r>
    </w:p>
    <w:p w:rsidR="00000000" w:rsidDel="00000000" w:rsidP="00000000" w:rsidRDefault="00000000" w:rsidRPr="00000000" w14:paraId="0000002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756275" cy="1770380"/>
            <wp:effectExtent b="0" l="0" r="0" t="0"/>
            <wp:docPr id="4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56275" cy="177038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 plazo. El dieciocho de agosto de dos mil veintiséis</w:t>
      </w:r>
      <w:r w:rsidDel="00000000" w:rsidR="00000000" w:rsidRPr="00000000">
        <w:rPr>
          <w:rFonts w:ascii="Palatino Linotype" w:cs="Palatino Linotype" w:eastAsia="Palatino Linotype" w:hAnsi="Palatino Linotype"/>
          <w:sz w:val="22"/>
          <w:szCs w:val="22"/>
          <w:rtl w:val="0"/>
        </w:rPr>
        <w:t xml:space="preserve">, se amplió el término para resolver el recurso de revisión en términos del artículo 181 párrafo tercero de la Ley de Transparencia y Acceso a la Información Pública del Estado de México y Municipios.</w:t>
      </w:r>
    </w:p>
    <w:p w:rsidR="00000000" w:rsidDel="00000000" w:rsidP="00000000" w:rsidRDefault="00000000" w:rsidRPr="00000000" w14:paraId="0000002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rsidR="00000000" w:rsidDel="00000000" w:rsidP="00000000" w:rsidRDefault="00000000" w:rsidRPr="00000000" w14:paraId="0000002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es menester precisar que si bien se ha excedido el plazo para resolver el presente medio de impugnación, de conformidad con la ley de la materia, el plazo para emitir la resolución se encuentra justificada en los elementos para medir la razonabilidad de asuntos conforme a los parámetros establecidos por diversos órganos jurisdiccionales federales, aplicables también en procedimientos análogos, como el que nos ocupa.</w:t>
      </w:r>
    </w:p>
    <w:p w:rsidR="00000000" w:rsidDel="00000000" w:rsidP="00000000" w:rsidRDefault="00000000" w:rsidRPr="00000000" w14:paraId="0000002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rsidR="00000000" w:rsidDel="00000000" w:rsidP="00000000" w:rsidRDefault="00000000" w:rsidRPr="00000000" w14:paraId="0000002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rsidR="00000000" w:rsidDel="00000000" w:rsidP="00000000" w:rsidRDefault="00000000" w:rsidRPr="00000000" w14:paraId="0000002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excepcionalmente, si un asunto es resuelto con posterioridad a los plazos señalados por la norma debe analizarse la razonabilidad del tiempo necesario para su resolución atentos a los siguientes criterios: </w:t>
      </w:r>
    </w:p>
    <w:p w:rsidR="00000000" w:rsidDel="00000000" w:rsidP="00000000" w:rsidRDefault="00000000" w:rsidRPr="00000000" w14:paraId="0000002D">
      <w:pPr>
        <w:numPr>
          <w:ilvl w:val="0"/>
          <w:numId w:val="8"/>
        </w:numPr>
        <w:tabs>
          <w:tab w:val="left" w:leader="none" w:pos="993"/>
        </w:tabs>
        <w:spacing w:after="240" w:before="240" w:line="360" w:lineRule="auto"/>
        <w:ind w:left="567" w:right="90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Complejidad del Asunto:</w:t>
      </w:r>
      <w:r w:rsidDel="00000000" w:rsidR="00000000" w:rsidRPr="00000000">
        <w:rPr>
          <w:rFonts w:ascii="Palatino Linotype" w:cs="Palatino Linotype" w:eastAsia="Palatino Linotype" w:hAnsi="Palatino Linotype"/>
          <w:sz w:val="22"/>
          <w:szCs w:val="22"/>
          <w:rtl w:val="0"/>
        </w:rPr>
        <w:t xml:space="preserve"> La complejidad de la prueba, la pluralidad de sujetos procesales, el tiempo transcurrido, las características y contexto del recurso. </w:t>
      </w:r>
    </w:p>
    <w:p w:rsidR="00000000" w:rsidDel="00000000" w:rsidP="00000000" w:rsidRDefault="00000000" w:rsidRPr="00000000" w14:paraId="0000002E">
      <w:pPr>
        <w:numPr>
          <w:ilvl w:val="0"/>
          <w:numId w:val="8"/>
        </w:numPr>
        <w:tabs>
          <w:tab w:val="left" w:leader="none" w:pos="993"/>
        </w:tabs>
        <w:spacing w:after="240" w:before="240" w:line="360" w:lineRule="auto"/>
        <w:ind w:left="567" w:right="90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Actividad Procesal del interesado</w:t>
      </w:r>
      <w:r w:rsidDel="00000000" w:rsidR="00000000" w:rsidRPr="00000000">
        <w:rPr>
          <w:rFonts w:ascii="Palatino Linotype" w:cs="Palatino Linotype" w:eastAsia="Palatino Linotype" w:hAnsi="Palatino Linotype"/>
          <w:sz w:val="22"/>
          <w:szCs w:val="22"/>
          <w:rtl w:val="0"/>
        </w:rPr>
        <w:t xml:space="preserve">. Acciones u omisiones del interesado.</w:t>
      </w:r>
    </w:p>
    <w:p w:rsidR="00000000" w:rsidDel="00000000" w:rsidP="00000000" w:rsidRDefault="00000000" w:rsidRPr="00000000" w14:paraId="0000002F">
      <w:pPr>
        <w:numPr>
          <w:ilvl w:val="0"/>
          <w:numId w:val="8"/>
        </w:numPr>
        <w:tabs>
          <w:tab w:val="left" w:leader="none" w:pos="993"/>
        </w:tabs>
        <w:spacing w:after="240" w:before="240" w:line="360" w:lineRule="auto"/>
        <w:ind w:left="567" w:right="90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Conducta de la Autoridad:</w:t>
      </w:r>
      <w:r w:rsidDel="00000000" w:rsidR="00000000" w:rsidRPr="00000000">
        <w:rPr>
          <w:rFonts w:ascii="Palatino Linotype" w:cs="Palatino Linotype" w:eastAsia="Palatino Linotype" w:hAnsi="Palatino Linotype"/>
          <w:sz w:val="22"/>
          <w:szCs w:val="22"/>
          <w:rtl w:val="0"/>
        </w:rPr>
        <w:t xml:space="preserve"> Las Acciones u omisiones realizadas en el procedimiento. Así como si la autoridad actuó con la debida diligencia.</w:t>
      </w:r>
    </w:p>
    <w:p w:rsidR="00000000" w:rsidDel="00000000" w:rsidP="00000000" w:rsidRDefault="00000000" w:rsidRPr="00000000" w14:paraId="00000030">
      <w:pPr>
        <w:numPr>
          <w:ilvl w:val="0"/>
          <w:numId w:val="8"/>
        </w:numPr>
        <w:tabs>
          <w:tab w:val="left" w:leader="none" w:pos="993"/>
        </w:tabs>
        <w:spacing w:after="240" w:before="240" w:line="360" w:lineRule="auto"/>
        <w:ind w:left="567" w:right="90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La afectación generada en la situación jurídica de la persona involucrada en el proceso:</w:t>
      </w:r>
      <w:r w:rsidDel="00000000" w:rsidR="00000000" w:rsidRPr="00000000">
        <w:rPr>
          <w:rFonts w:ascii="Palatino Linotype" w:cs="Palatino Linotype" w:eastAsia="Palatino Linotype" w:hAnsi="Palatino Linotype"/>
          <w:sz w:val="22"/>
          <w:szCs w:val="22"/>
          <w:rtl w:val="0"/>
        </w:rPr>
        <w:t xml:space="preserve"> Violación a sus derechos humanos.</w:t>
      </w:r>
    </w:p>
    <w:p w:rsidR="00000000" w:rsidDel="00000000" w:rsidP="00000000" w:rsidRDefault="00000000" w:rsidRPr="00000000" w14:paraId="0000003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rsidR="00000000" w:rsidDel="00000000" w:rsidP="00000000" w:rsidRDefault="00000000" w:rsidRPr="00000000" w14:paraId="0000003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Argumento que encuentra sustento en la jurisprudencia P./J. 32/92 emitida por el Pleno de la Suprema Corte de Justicia de la Nación de rubro </w:t>
      </w:r>
      <w:r w:rsidDel="00000000" w:rsidR="00000000" w:rsidRPr="00000000">
        <w:rPr>
          <w:rFonts w:ascii="Palatino Linotype" w:cs="Palatino Linotype" w:eastAsia="Palatino Linotype" w:hAnsi="Palatino Linotype"/>
          <w:i w:val="1"/>
          <w:iCs w:val="1"/>
          <w:sz w:val="22"/>
          <w:szCs w:val="22"/>
          <w:rtl w:val="0"/>
        </w:rPr>
        <w:t xml:space="preserve">“TÉRMINOS PROCESALES. PARA DETERMINAR SI UN FUNCIONARIO JUDICIAL ACTUÓ INDEBIDAMENTE POR NO RESPETARLOS SE DEBE ATENDER AL PRESUPUESTO QUE CONSIDERÓ EL LEGISLADOR AL FIJARLOS Y LAS CARACTERÍSTICAS DEL CASO.”</w:t>
      </w:r>
      <w:r w:rsidDel="00000000" w:rsidR="00000000" w:rsidRPr="00000000">
        <w:rPr>
          <w:rFonts w:ascii="Palatino Linotype" w:cs="Palatino Linotype" w:eastAsia="Palatino Linotype" w:hAnsi="Palatino Linotype"/>
          <w:sz w:val="22"/>
          <w:szCs w:val="22"/>
          <w:rtl w:val="0"/>
        </w:rPr>
        <w:t xml:space="preserve">, visible en la Gaceta del Seminario Judicial de la Federación con el registro digital 205635.</w:t>
      </w:r>
    </w:p>
    <w:p w:rsidR="00000000" w:rsidDel="00000000" w:rsidP="00000000" w:rsidRDefault="00000000" w:rsidRPr="00000000" w14:paraId="00000033">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rsidR="00000000" w:rsidDel="00000000" w:rsidP="00000000" w:rsidRDefault="00000000" w:rsidRPr="00000000" w14:paraId="0000003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también son de considerar los criterios sostenidos por el Cuarto Tribunal Colegiado en Materia Administrativa del Primer Circuito, cuyos rubros y datos de identificación son los siguientes:</w:t>
      </w:r>
    </w:p>
    <w:p w:rsidR="00000000" w:rsidDel="00000000" w:rsidP="00000000" w:rsidRDefault="00000000" w:rsidRPr="00000000" w14:paraId="00000035">
      <w:pPr>
        <w:spacing w:after="240" w:before="240" w:line="360" w:lineRule="auto"/>
        <w:ind w:left="851" w:right="90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“PLAZO RAZONABLE PARA RESOLVER. DIMENSIÓN Y EFECTOS DE ESTE CONCEPTO CUANDO SE ADUCE EXCESIVA CARGA DE TRABAJO</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sz w:val="22"/>
          <w:szCs w:val="22"/>
          <w:rtl w:val="0"/>
        </w:rPr>
        <w:t xml:space="preserve"> consultable en el Seminario Judicial de la Federación y su gaceta, con el registro digital 2002351.</w:t>
      </w:r>
    </w:p>
    <w:p w:rsidR="00000000" w:rsidDel="00000000" w:rsidP="00000000" w:rsidRDefault="00000000" w:rsidRPr="00000000" w14:paraId="00000036">
      <w:pPr>
        <w:spacing w:after="240" w:before="240" w:line="360" w:lineRule="auto"/>
        <w:ind w:left="851" w:right="90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“PLAZO RAZONABLE PARA RESOLVER. CONCEPTO Y ELEMENTOS QUE LO INTEGRAN A LA LUZ DEL DERECHO INTERNACIONAL DE LOS DERECHOS HUMANOS.”</w:t>
      </w:r>
      <w:r w:rsidDel="00000000" w:rsidR="00000000" w:rsidRPr="00000000">
        <w:rPr>
          <w:rFonts w:ascii="Palatino Linotype" w:cs="Palatino Linotype" w:eastAsia="Palatino Linotype" w:hAnsi="Palatino Linotype"/>
          <w:sz w:val="22"/>
          <w:szCs w:val="22"/>
          <w:rtl w:val="0"/>
        </w:rPr>
        <w:t xml:space="preserve">, visible en el Seminario Judicial de la Federación y su gaceta, con el registro digital 2002350.</w:t>
      </w:r>
    </w:p>
    <w:p w:rsidR="00000000" w:rsidDel="00000000" w:rsidP="00000000" w:rsidRDefault="00000000" w:rsidRPr="00000000" w14:paraId="0000003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este organismo garante comprometido con la tutela de los derechos humanos confiados, señala que este exceso del plazo legal para resolver el presente asunto, resulta de carácter excepcional.</w:t>
      </w:r>
    </w:p>
    <w:p w:rsidR="00000000" w:rsidDel="00000000" w:rsidP="00000000" w:rsidRDefault="00000000" w:rsidRPr="00000000" w14:paraId="0000003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8. Cierre de instrucción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dieciocho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3A">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B">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Debido a que fue debidamente sustanciado </w:t>
        <w:tab/>
        <w:t xml:space="preserve">el expediente electrónico y no existe diligencia pendiente de desahogo, se emite la Resolución que conforme a Derecho proceda, de acuerdo con los siguientes: </w:t>
      </w:r>
    </w:p>
    <w:p w:rsidR="00000000" w:rsidDel="00000000" w:rsidP="00000000" w:rsidRDefault="00000000" w:rsidRPr="00000000" w14:paraId="0000003C">
      <w:pPr>
        <w:spacing w:line="360" w:lineRule="auto"/>
        <w:ind w:left="720" w:right="49" w:hanging="720"/>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w:t>
        <w:tab/>
        <w:t xml:space="preserve">C O N S I D E R A N D O: </w:t>
      </w:r>
    </w:p>
    <w:p w:rsidR="00000000" w:rsidDel="00000000" w:rsidP="00000000" w:rsidRDefault="00000000" w:rsidRPr="00000000" w14:paraId="0000003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3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4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remitió respuesta el </w:t>
      </w:r>
      <w:r w:rsidDel="00000000" w:rsidR="00000000" w:rsidRPr="00000000">
        <w:rPr>
          <w:rFonts w:ascii="Palatino Linotype" w:cs="Palatino Linotype" w:eastAsia="Palatino Linotype" w:hAnsi="Palatino Linotype"/>
          <w:b w:val="1"/>
          <w:bCs w:val="1"/>
          <w:sz w:val="22"/>
          <w:szCs w:val="22"/>
          <w:rtl w:val="0"/>
        </w:rPr>
        <w:t xml:space="preserve">cinco de junio de dos mil veintiséis</w:t>
      </w:r>
      <w:r w:rsidDel="00000000" w:rsidR="00000000" w:rsidRPr="00000000">
        <w:rPr>
          <w:rFonts w:ascii="Palatino Linotype" w:cs="Palatino Linotype" w:eastAsia="Palatino Linotype" w:hAnsi="Palatino Linotype"/>
          <w:sz w:val="22"/>
          <w:szCs w:val="22"/>
          <w:rtl w:val="0"/>
        </w:rPr>
        <w:t xml:space="preserv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tuvo por presentado el </w:t>
      </w:r>
      <w:r w:rsidDel="00000000" w:rsidR="00000000" w:rsidRPr="00000000">
        <w:rPr>
          <w:rFonts w:ascii="Palatino Linotype" w:cs="Palatino Linotype" w:eastAsia="Palatino Linotype" w:hAnsi="Palatino Linotype"/>
          <w:b w:val="1"/>
          <w:bCs w:val="1"/>
          <w:sz w:val="22"/>
          <w:szCs w:val="22"/>
          <w:rtl w:val="0"/>
        </w:rPr>
        <w:t xml:space="preserve">ocho de junio de dos mil veintiséis</w:t>
      </w:r>
      <w:r w:rsidDel="00000000" w:rsidR="00000000" w:rsidRPr="00000000">
        <w:rPr>
          <w:rFonts w:ascii="Palatino Linotype" w:cs="Palatino Linotype" w:eastAsia="Palatino Linotype" w:hAnsi="Palatino Linotype"/>
          <w:sz w:val="22"/>
          <w:szCs w:val="22"/>
          <w:rtl w:val="0"/>
        </w:rPr>
        <w:t xml:space="preserve">, esto es, al </w:t>
      </w:r>
      <w:r w:rsidDel="00000000" w:rsidR="00000000" w:rsidRPr="00000000">
        <w:rPr>
          <w:rFonts w:ascii="Palatino Linotype" w:cs="Palatino Linotype" w:eastAsia="Palatino Linotype" w:hAnsi="Palatino Linotype"/>
          <w:b w:val="1"/>
          <w:bCs w:val="1"/>
          <w:sz w:val="22"/>
          <w:szCs w:val="22"/>
          <w:rtl w:val="0"/>
        </w:rPr>
        <w:t xml:space="preserve">primer día</w:t>
      </w:r>
      <w:r w:rsidDel="00000000" w:rsidR="00000000" w:rsidRPr="00000000">
        <w:rPr>
          <w:rFonts w:ascii="Palatino Linotype" w:cs="Palatino Linotype" w:eastAsia="Palatino Linotype" w:hAnsi="Palatino Linotype"/>
          <w:sz w:val="22"/>
          <w:szCs w:val="22"/>
          <w:rtl w:val="0"/>
        </w:rPr>
        <w:t xml:space="preserve"> hábil que se tuvo conocimiento de la respuesta.  </w:t>
      </w:r>
    </w:p>
    <w:p w:rsidR="00000000" w:rsidDel="00000000" w:rsidP="00000000" w:rsidRDefault="00000000" w:rsidRPr="00000000" w14:paraId="0000004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el recurrente en sus motivos de inconformidad, de acuerdo con el artículo 179, fracción I del ordenamiento legal citado, que a la letra dice: </w:t>
      </w:r>
    </w:p>
    <w:p w:rsidR="00000000" w:rsidDel="00000000" w:rsidP="00000000" w:rsidRDefault="00000000" w:rsidRPr="00000000" w14:paraId="0000004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6">
      <w:pPr>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851" w:right="843" w:hanging="284"/>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 negativa de la información solicitada;</w:t>
      </w:r>
    </w:p>
    <w:p w:rsidR="00000000" w:rsidDel="00000000" w:rsidP="00000000" w:rsidRDefault="00000000" w:rsidRPr="00000000" w14:paraId="00000048">
      <w:pPr>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respuesta otorgada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p>
    <w:p w:rsidR="00000000" w:rsidDel="00000000" w:rsidP="00000000" w:rsidRDefault="00000000" w:rsidRPr="00000000" w14:paraId="0000004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principio, es conveniente analizar si la respuesta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cumple con los requisitos y procedimientos del derecho de acceso a la información pública, en atención a que en la Ley de Transparencia y Acceso a la Información Pública del Estado de México y Municipios en su artículo 4, que dice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trascribe para un mejor entendimiento:</w:t>
      </w:r>
    </w:p>
    <w:p w:rsidR="00000000" w:rsidDel="00000000" w:rsidP="00000000" w:rsidRDefault="00000000" w:rsidRPr="00000000" w14:paraId="0000004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C">
      <w:pPr>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4D">
      <w:pPr>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4E">
      <w:pPr>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F">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5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2">
      <w:pPr>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53">
      <w:pPr>
        <w:spacing w:line="276" w:lineRule="auto"/>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 </w:t>
      </w:r>
    </w:p>
    <w:p w:rsidR="00000000" w:rsidDel="00000000" w:rsidP="00000000" w:rsidRDefault="00000000" w:rsidRPr="00000000" w14:paraId="00000054">
      <w:pPr>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55">
      <w:pPr>
        <w:spacing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solo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56">
      <w:pPr>
        <w:spacing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03-17, expuesto por el entonces Instituto Nacional de Transparencia, Acceso a la Información y Protección de Datos Personales, que dice: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tl w:val="0"/>
        </w:rPr>
      </w:r>
    </w:p>
    <w:p w:rsidR="00000000" w:rsidDel="00000000" w:rsidP="00000000" w:rsidRDefault="00000000" w:rsidRPr="00000000" w14:paraId="00000057">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58">
      <w:pPr>
        <w:ind w:left="567"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5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B">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5C">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5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F">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60">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61">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62">
      <w:pPr>
        <w:spacing w:line="360" w:lineRule="auto"/>
        <w:ind w:left="851" w:right="899"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6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5">
      <w:pPr>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CRITERIO 0002-11. 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r w:rsidDel="00000000" w:rsidR="00000000" w:rsidRPr="00000000">
        <w:rPr>
          <w:rtl w:val="0"/>
        </w:rPr>
      </w:r>
    </w:p>
    <w:p w:rsidR="00000000" w:rsidDel="00000000" w:rsidP="00000000" w:rsidRDefault="00000000" w:rsidRPr="00000000" w14:paraId="00000066">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67">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68">
      <w:pPr>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69">
      <w:pPr>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3) Que se trate de información registrada en cualquier soporte documental, que en ejercicio de las atribuciones conferidas, se encuentre en posesión de los Sujetos Obligados.” </w:t>
      </w:r>
    </w:p>
    <w:p w:rsidR="00000000" w:rsidDel="00000000" w:rsidP="00000000" w:rsidRDefault="00000000" w:rsidRPr="00000000" w14:paraId="0000006A">
      <w:pPr>
        <w:tabs>
          <w:tab w:val="left" w:leader="none" w:pos="8647"/>
        </w:tabs>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6B">
      <w:pPr>
        <w:spacing w:after="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Del análisis de la solicitud de información motivo del recurso de revisión que ahora se resuelve, se tiene que el Recurrente solicitó al Sujeto Obligado la siguiente información:</w:t>
      </w:r>
    </w:p>
    <w:p w:rsidR="00000000" w:rsidDel="00000000" w:rsidP="00000000" w:rsidRDefault="00000000" w:rsidRPr="00000000" w14:paraId="0000006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De la inauguración y habilitación de la Casa de Día ubicada en Villas del Campo del periodo comprendido del uno de enero de dos mil veinticinco al treinta y uno de marzo de dos mil veintiséis:</w:t>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Monto total de recursos públicos ejercidos para la habilitación, adecuación, remodelación, acondicionamiento y/o equipamiento del inmueble;</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360" w:lineRule="auto"/>
        <w:ind w:left="92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Relación detallada de los conceptos de gasto realizados, incluyendo en su caso: Obra o remodelación Adecuaciones físicas Pintura Instalaciones eléctricas, hidráulicas o sanitarias Mobiliario Equipo médico, terapéutico o recreativo Electrodomésticos Equipo de cómputo Pantallas, sonido u otros equipos electrónicos Materiales y suministros diversos Relación de proveedores o contratistas participantes, indicando: Nombre o razón social Monto contratado Concepto contratado Modalidad de contratación Copia de la documentación soporte correspondiente, incluyendo en su caso: Contratos Pedidos u órdenes de compra Cotizaciones Estudios de mercado Facturas o CFDI Pólizas contables Actas de entrega-recepción Expediente técnico de obra o adecuación (si existe) Fuente de financiamiento utilizada para dichos gastos. </w:t>
      </w:r>
    </w:p>
    <w:p w:rsidR="00000000" w:rsidDel="00000000" w:rsidP="00000000" w:rsidRDefault="00000000" w:rsidRPr="00000000" w14:paraId="0000006F">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Sujeto Obligado señaló lo siguiente:</w:t>
      </w:r>
    </w:p>
    <w:p w:rsidR="00000000" w:rsidDel="00000000" w:rsidP="00000000" w:rsidRDefault="00000000" w:rsidRPr="00000000" w14:paraId="00000070">
      <w:pPr>
        <w:spacing w:after="240" w:before="240"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El Tesorero indicó </w:t>
      </w:r>
      <w:r w:rsidDel="00000000" w:rsidR="00000000" w:rsidRPr="00000000">
        <w:rPr>
          <w:rFonts w:ascii="Palatino Linotype" w:cs="Palatino Linotype" w:eastAsia="Palatino Linotype" w:hAnsi="Palatino Linotype"/>
          <w:b w:val="1"/>
          <w:bCs w:val="1"/>
          <w:sz w:val="22"/>
          <w:szCs w:val="22"/>
          <w:rtl w:val="0"/>
        </w:rPr>
        <w:t xml:space="preserve">que en los registros contables no obra información respecto a la inauguración y habilitación de la Casa de Día ubicada en villas del campo (habilitación, adecuación, remodelación, acondicionamiento y/o equipamiento del inmueble) del uno de enero de dos mil veinticinco al treinta y uno de marzo de dos mil veintiséis que implique ejercicio de recursos públicos.</w:t>
      </w:r>
    </w:p>
    <w:p w:rsidR="00000000" w:rsidDel="00000000" w:rsidP="00000000" w:rsidRDefault="00000000" w:rsidRPr="00000000" w14:paraId="00000071">
      <w:pPr>
        <w:widowControl w:val="0"/>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La Coordinadora de Atención al Adulto Mayor del Sistema Municipal para el Desarrollo Integral de la Familia mediante el cual indicó lo siguiente:</w:t>
      </w:r>
    </w:p>
    <w:p w:rsidR="00000000" w:rsidDel="00000000" w:rsidP="00000000" w:rsidRDefault="00000000" w:rsidRPr="00000000" w14:paraId="0000007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nombre de la casa “La sagrada familia”</w:t>
      </w:r>
    </w:p>
    <w:p w:rsidR="00000000" w:rsidDel="00000000" w:rsidP="00000000" w:rsidRDefault="00000000" w:rsidRPr="00000000" w14:paraId="0000007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La casa fue inaugurada el diez de marzo de dos mil veintiséis, motivo por el cual no hay información existente en relación a la anualidad dos mil veinticinco.</w:t>
      </w:r>
    </w:p>
    <w:p w:rsidR="00000000" w:rsidDel="00000000" w:rsidP="00000000" w:rsidRDefault="00000000" w:rsidRPr="00000000" w14:paraId="0000007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567"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bien inmueble es prestado para llevar a cabo las actividades relacionadas con la casa de día, por la Capilla del Fraccionamiento Villas del Campo, por lo que no se ha generado gasto alguno por los conceptos mencionados.</w:t>
      </w:r>
    </w:p>
    <w:p w:rsidR="00000000" w:rsidDel="00000000" w:rsidP="00000000" w:rsidRDefault="00000000" w:rsidRPr="00000000" w14:paraId="00000075">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no estar conforme con los términos de la respuesta emitida,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interpuso el recurso de revisión que nos ocupa, donde señaló como motivo de inconformidad lo siguiente:</w:t>
      </w:r>
    </w:p>
    <w:p w:rsidR="00000000" w:rsidDel="00000000" w:rsidP="00000000" w:rsidRDefault="00000000" w:rsidRPr="00000000" w14:paraId="00000076">
      <w:pPr>
        <w:spacing w:after="240"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PRIMERO. El sujeto obligado no atendió de manera exhaustiva la solicitud de información, ya que se limitó a manifestar que no existió ejercicio de recursos públicos para la habilitación y funcionamiento de la Casa de Día “La Sagrada Familia”, sin proporcionar documentación que sustente dicha afirmación. </w:t>
      </w:r>
    </w:p>
    <w:p w:rsidR="00000000" w:rsidDel="00000000" w:rsidP="00000000" w:rsidRDefault="00000000" w:rsidRPr="00000000" w14:paraId="00000077">
      <w:pPr>
        <w:spacing w:after="240"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SEGUNDO. La respuesta reconoce expresamente la existencia, inauguración y operación de la Casa de Día “La Sagrada Familia”, así como el uso de un inmueble proporcionado por la Capilla del Fraccionamiento Villas del Campo; sin embargo, omitió entregar el convenio, autorización, comodato, permiso o cualquier instrumento jurídico que permita verificar las condiciones bajo las cuales el Sistema Municipal DIF de Calimaya ocupa y utiliza dicho inmueble. </w:t>
      </w:r>
    </w:p>
    <w:p w:rsidR="00000000" w:rsidDel="00000000" w:rsidP="00000000" w:rsidRDefault="00000000" w:rsidRPr="00000000" w14:paraId="00000078">
      <w:pPr>
        <w:spacing w:after="240"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TERCERO. El sujeto obligado no se pronunció de manera específica respecto de diversos documentos solicitados, tales como contratos, pedidos, órdenes de compra, estudios de mercado, cotizaciones, facturas, CFDI, pólizas contables, actas de entrega-recepción, expedientes técnicos o cualquier otra documentación relacionada con la habilitación y operación del inmueble. </w:t>
      </w:r>
    </w:p>
    <w:p w:rsidR="00000000" w:rsidDel="00000000" w:rsidP="00000000" w:rsidRDefault="00000000" w:rsidRPr="00000000" w14:paraId="00000079">
      <w:pPr>
        <w:spacing w:after="240"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CUARTO. Aun cuando se afirme que no existió erogación de recursos públicos, ello no exime al sujeto obligado de proporcionar la documentación que acredite la forma en que se obtuvo el uso del inmueble, las condiciones de ocupación, las responsabilidades asumidas por las partes y los mecanismos mediante los cuales opera la Casa de Día. </w:t>
      </w:r>
    </w:p>
    <w:p w:rsidR="00000000" w:rsidDel="00000000" w:rsidP="00000000" w:rsidRDefault="00000000" w:rsidRPr="00000000" w14:paraId="0000007A">
      <w:pPr>
        <w:spacing w:after="240"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QUINTO. La respuesta carece de elementos documentales que permitan verificar de manera objetiva la afirmación consistente en que no se realizaron gastos de acondicionamiento, equipamiento, adecuación o funcionamiento, limitándose a una manifestación unilateral de la autoridad sin soporte documental. </w:t>
      </w:r>
    </w:p>
    <w:p w:rsidR="00000000" w:rsidDel="00000000" w:rsidP="00000000" w:rsidRDefault="00000000" w:rsidRPr="00000000" w14:paraId="0000007B">
      <w:pPr>
        <w:spacing w:after="240"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SEXTO. La respuesta vulnera el principio de exhaustividad previsto en la Ley de Transparencia y Acceso a la Información Pública del Estado de México y Municipios, al no atender la totalidad de los puntos planteados en la solicitud ni emitir un pronunciamiento específico respecto de cada uno de los documentos requeridos. </w:t>
      </w:r>
    </w:p>
    <w:p w:rsidR="00000000" w:rsidDel="00000000" w:rsidP="00000000" w:rsidRDefault="00000000" w:rsidRPr="00000000" w14:paraId="0000007C">
      <w:pPr>
        <w:spacing w:after="240" w:before="240" w:line="360" w:lineRule="auto"/>
        <w:ind w:left="567" w:right="843"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SÉPTIMO. La existencia y operación de la Casa de Día implica necesariamente la realización de actos administrativos para su establecimiento y funcionamiento, por lo que resulta procedente que el sujeto obligado entregue la documentación que obre en sus archivos relacionada con dichos actos, o en su caso funde y motive debidamente su inexistencia. Por lo anterior, solicito se revoque o modifique la respuesta impugnada y se ordene al sujeto obligado realizar una búsqueda exhaustiva y proporcionar la totalidad de la información solicitada, así como la documentación que sustente jurídicamente el uso y operación de la Casa de Día “La Sagrada Familia”.</w:t>
      </w:r>
      <w:r w:rsidDel="00000000" w:rsidR="00000000" w:rsidRPr="00000000">
        <w:rPr>
          <w:rtl w:val="0"/>
        </w:rPr>
      </w:r>
    </w:p>
    <w:p w:rsidR="00000000" w:rsidDel="00000000" w:rsidP="00000000" w:rsidRDefault="00000000" w:rsidRPr="00000000" w14:paraId="0000007D">
      <w:pPr>
        <w:spacing w:after="280" w:before="28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Una vez establecidas las posturas de las partes, atendiendo la naturaleza de la información requerida, es de mencionar que la misma se relaciona únicamente con la utilización de recursos públicos para la inauguración y habilitación de la casa de día denominada “La Sagrada Familia", donde se advierta el monto y la relación detallada de los conceptos de gasto realizados, así como los expedientes de adquisiciones de bienes y servicios. </w:t>
      </w:r>
    </w:p>
    <w:p w:rsidR="00000000" w:rsidDel="00000000" w:rsidP="00000000" w:rsidRDefault="00000000" w:rsidRPr="00000000" w14:paraId="0000007E">
      <w:pPr>
        <w:spacing w:after="280" w:before="28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En atención a ello, se obtuvo el pronunciamiento de dos áreas, la Tesorería y la Coordinación de Atención al Adulto Mayor, las cuales se limitaron a mencionar que no se localizó la información requerida por el Recurrente. Es necesario hacer énfasis en un aspecto medular que señaló la Coordinación de Atención al Adulto Mayor, al precisar que la inauguración se llevó a cabo el diez de marzo de dos mil veintiséis y que el inmueble es prestado por el Fraccionamiento Villas del Campo, </w:t>
      </w:r>
      <w:r w:rsidDel="00000000" w:rsidR="00000000" w:rsidRPr="00000000">
        <w:rPr>
          <w:rFonts w:ascii="Palatino Linotype" w:cs="Palatino Linotype" w:eastAsia="Palatino Linotype" w:hAnsi="Palatino Linotype"/>
          <w:b w:val="1"/>
          <w:bCs w:val="1"/>
          <w:sz w:val="22"/>
          <w:szCs w:val="22"/>
          <w:rtl w:val="0"/>
        </w:rPr>
        <w:t xml:space="preserve">por lo que no se ha generado gasto alguno por los conceptos que refiere el particular.</w:t>
      </w:r>
    </w:p>
    <w:p w:rsidR="00000000" w:rsidDel="00000000" w:rsidP="00000000" w:rsidRDefault="00000000" w:rsidRPr="00000000" w14:paraId="0000007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 anterior se advierte que el Sujeto Obligado no genera, administra o posee información respecto a la utilización de recursos públicos para la inauguración y habilitación del inmueble referido.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Asimismo, no se trata de un caso por el cual la negación del hecho implique la afirmación del mismo, simplemente se está ante una notoria y evidente inexistencia fáctica de la información solicitada.</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Encontrándonos ante un hecho negativo, destacando entonces que el Pleno de este Organismo Garante, ha sostenido que, ante la presencia de un hecho negativo, resultaría innecesaria una declaratoria de inexistencia en términos de los artículos 19, 169 y 170 de la Ley de Transparencia y Acceso a la Información Pública del Estado de México y Municipios, y ante un hecho negativo resulta aplicable la siguiente tesis:</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0" w:right="56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HECHOS NEGATIVOS, NO SON SUSCEPTIBLES DE DEMOSTRACIÓN.</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0" w:right="56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Tratándose de un hecho negativo, el Juez no tiene por que invocar prueba alguna de la que se desprenda, ya que es bien sabido que esta clase de hechos no son susceptibles de demostración.</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0" w:right="56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Amparo en revisión 2022/61. José García Florín (Menor). 9 de octubre de 1961. Cinco votos. Ponente: José Rivera Pérez Campos.”</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Además, y de conformidad con lo establecido en el artículo 12 de la Ley de Transparencia y Acceso a la Información Pública del Estado de México y Municipios, anteriormente invocado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sólo proporcionará la información que obra en sus archivos, lo que 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contrario sensu</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significa que no se está obligado a proporcionar lo que no obre en sus archivos; por ende, las razones o motivos de inconformidad al respecto devienen infundados.</w:t>
      </w:r>
    </w:p>
    <w:p w:rsidR="00000000" w:rsidDel="00000000" w:rsidP="00000000" w:rsidRDefault="00000000" w:rsidRPr="00000000" w14:paraId="00000086">
      <w:pPr>
        <w:spacing w:line="360" w:lineRule="auto"/>
        <w:ind w:right="49"/>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sz w:val="22"/>
          <w:szCs w:val="22"/>
          <w:rtl w:val="0"/>
        </w:rPr>
        <w:t xml:space="preserve">Asimismo, se precisa que conforme a lo establecido en el Criterio orientador 31/10 emitido por el entonces Instituto Nacional de Transparencia, Acceso a la Información Pública y Protección de Datos Personales INAI (anteriormente IFAI) que se procede a citar a continuación:</w:t>
      </w:r>
      <w:r w:rsidDel="00000000" w:rsidR="00000000" w:rsidRPr="00000000">
        <w:rPr>
          <w:rtl w:val="0"/>
        </w:rPr>
      </w:r>
    </w:p>
    <w:p w:rsidR="00000000" w:rsidDel="00000000" w:rsidP="00000000" w:rsidRDefault="00000000" w:rsidRPr="00000000" w14:paraId="00000087">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8">
      <w:pPr>
        <w:tabs>
          <w:tab w:val="left" w:leader="none" w:pos="8222"/>
        </w:tabs>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“El Instituto Federal de Acceso a la Información y Protección de Datos no cuenta con facultades para pronunciarse respecto de la veracidad de los documentos proporcionados por los sujetos obligados.</w:t>
      </w:r>
      <w:r w:rsidDel="00000000" w:rsidR="00000000" w:rsidRPr="00000000">
        <w:rPr>
          <w:rFonts w:ascii="Palatino Linotype" w:cs="Palatino Linotype" w:eastAsia="Palatino Linotype" w:hAnsi="Palatino Linotype"/>
          <w:i w:val="1"/>
          <w:iCs w:val="1"/>
          <w:sz w:val="22"/>
          <w:szCs w:val="22"/>
          <w:rtl w:val="0"/>
        </w:rPr>
        <w:t xml:space="preserve"> El Instituto Federal de Acceso a la Información y Protección de Datos es un órgano de la Administración Pública Federal con autonomía operativa, presupuestaria y de decisión, encargado de promover y difundir el ejercicio del derecho de acceso a la información; resolver sobre la negativa de las solicitudes de acceso a la información; y proteger los datos personales en poder de las dependencias y entidades. Sin embargo, no está facultado para pronunciarse sobre la veracidad de la información proporcionada por las autoridades en respuesta a las solicitudes de información que les presentan los particulares, en virtud de que en los artículos 49 y 50 de la Ley Federal de Transparencia y Acceso a la Información Pública Gubernamental no se prevé una causal que permita al Instituto Federal de Acceso a la Información y Protección de Datos conocer, vía recurso revisión, al respecto.</w:t>
      </w:r>
    </w:p>
    <w:p w:rsidR="00000000" w:rsidDel="00000000" w:rsidP="00000000" w:rsidRDefault="00000000" w:rsidRPr="00000000" w14:paraId="00000089">
      <w:pPr>
        <w:tabs>
          <w:tab w:val="left" w:leader="none" w:pos="8222"/>
        </w:tabs>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A">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este Organismo Garante carece de facultades para dudar de la veracidad de la información que el Sujeto Obligado puso a disposición de la parte Recurrente. </w:t>
      </w:r>
    </w:p>
    <w:p w:rsidR="00000000" w:rsidDel="00000000" w:rsidP="00000000" w:rsidRDefault="00000000" w:rsidRPr="00000000" w14:paraId="0000008B">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no pasa inadvertido para este Organismo Garante que el Recurrente, a través del recurso de revisión señaló diversos señalamientos, los cuales son los siguientes:</w:t>
      </w:r>
    </w:p>
    <w:p w:rsidR="00000000" w:rsidDel="00000000" w:rsidP="00000000" w:rsidRDefault="00000000" w:rsidRPr="00000000" w14:paraId="0000008D">
      <w:pPr>
        <w:spacing w:after="280" w:before="28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PRIMERO. El sujeto obligado no atendió de manera exhaustiva la solicitud de información, ya que se limitó a manifestar que no existió ejercicio de recursos públicos para la habilitación y funcionamiento de la Casa de Día “La Sagrada Familia”,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sin proporcionar documentación que sustente dicha afirmación.</w:t>
      </w:r>
      <w:r w:rsidDel="00000000" w:rsidR="00000000" w:rsidRPr="00000000">
        <w:rPr>
          <w:rtl w:val="0"/>
        </w:rPr>
      </w:r>
    </w:p>
    <w:p w:rsidR="00000000" w:rsidDel="00000000" w:rsidP="00000000" w:rsidRDefault="00000000" w:rsidRPr="00000000" w14:paraId="0000008E">
      <w:pPr>
        <w:spacing w:after="280" w:before="280" w:line="360" w:lineRule="auto"/>
        <w:ind w:left="567" w:right="843"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i w:val="1"/>
          <w:iCs w:val="1"/>
          <w:sz w:val="22"/>
          <w:szCs w:val="22"/>
          <w:rtl w:val="0"/>
        </w:rPr>
        <w:t xml:space="preserve">SEGUNDO. La respuesta reconoce expresamente la existencia, inauguración y operación de la Casa de Día “La Sagrada Familia”, así como el uso de un inmueble proporcionado por la Capilla del Fraccionamiento Villas del Campo;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sin embargo, omitió entregar el convenio, autorización, comodato, permiso o cualquier instrumento jurídico que permita verificar las condiciones bajo las cuales el Sistema Municipal DIF de Calimaya ocupa y utiliza dicho inmueble.</w:t>
      </w:r>
    </w:p>
    <w:p w:rsidR="00000000" w:rsidDel="00000000" w:rsidP="00000000" w:rsidRDefault="00000000" w:rsidRPr="00000000" w14:paraId="0000008F">
      <w:pPr>
        <w:spacing w:after="280" w:before="280" w:line="360" w:lineRule="auto"/>
        <w:ind w:left="567"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CUARTO.</w:t>
      </w:r>
      <w:r w:rsidDel="00000000" w:rsidR="00000000" w:rsidRPr="00000000">
        <w:rPr>
          <w:rFonts w:ascii="Palatino Linotype" w:cs="Palatino Linotype" w:eastAsia="Palatino Linotype" w:hAnsi="Palatino Linotype"/>
          <w:b w:val="1"/>
          <w:bCs w:val="1"/>
          <w:i w:val="1"/>
          <w:iCs w:val="1"/>
          <w:sz w:val="22"/>
          <w:szCs w:val="22"/>
          <w:rtl w:val="0"/>
        </w:rPr>
        <w:t xml:space="preserve"> Aun cuando se afirme que no existió erogación de recursos públicos, ello no exime al sujeto obligado de proporcionar la documentación que acredite la forma en que se obtuvo el uso del inmueble, las condiciones de ocupación, las responsabilidades asumidas por las partes y los mecanismos mediante los cuales opera la Casa de Día.</w:t>
      </w:r>
    </w:p>
    <w:p w:rsidR="00000000" w:rsidDel="00000000" w:rsidP="00000000" w:rsidRDefault="00000000" w:rsidRPr="00000000" w14:paraId="00000090">
      <w:pPr>
        <w:spacing w:after="280" w:before="280" w:line="360" w:lineRule="auto"/>
        <w:ind w:left="567"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r w:rsidDel="00000000" w:rsidR="00000000" w:rsidRPr="00000000">
        <w:rPr>
          <w:rtl w:val="0"/>
        </w:rPr>
      </w:r>
    </w:p>
    <w:p w:rsidR="00000000" w:rsidDel="00000000" w:rsidP="00000000" w:rsidRDefault="00000000" w:rsidRPr="00000000" w14:paraId="00000091">
      <w:pPr>
        <w:spacing w:after="280" w:before="28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Dichos posicionamientos no formaron parte de la solicitud inicial, por lo que se constituye como una ampliación a la solicitud, lo cual no puede ser atendido dentro de la misma. Sin embargo, en aras de no vulnerar los derechos del particular, se dejan a salvo sus derechos para que, si así lo desea, formule nuevas solicitudes requiriendo información de su interés.</w:t>
      </w:r>
    </w:p>
    <w:p w:rsidR="00000000" w:rsidDel="00000000" w:rsidP="00000000" w:rsidRDefault="00000000" w:rsidRPr="00000000" w14:paraId="0000009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anteriormente expuesto y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y 186 fracción II de la Ley de Transparencia y Acceso a la Información Pública del Estado de México y Municipios, este Pleno:</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240" w:before="240" w:line="360" w:lineRule="auto"/>
        <w:ind w:left="567" w:firstLine="0"/>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 E S U E L V E:</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Primero.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Resultan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Infundados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los motivos de inconformidad hechos valer por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el Recurso de Revisión</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06134/INFOEM/IP/RR/2026</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por lo que, en términos del</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Considerando Cuarto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esta resolución, se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Confirma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respuesta emitida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5">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Segundo. Notifíquese vía Sistema de Acceso a la Información Mexiquense (SAIMEX)</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al Titular de la Unidad de Transparencia del Sujeto Obligado, para su conocimiento.</w:t>
      </w:r>
    </w:p>
    <w:p w:rsidR="00000000" w:rsidDel="00000000" w:rsidP="00000000" w:rsidRDefault="00000000" w:rsidRPr="00000000" w14:paraId="00000097">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Tercero. Notifíquese vía Sistema de Acceso a la Información Mexiquense (SAIMEX)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presente resolución a la parte recurrente, así como, que de conformidad con lo establecido en el artículo 196 de la Ley de Transparencia y Acceso a la Información Pública del Estado de México y Municipios, podrá impugnarla vía Juicio de Amparo en los términos de las leyes aplicables.</w:t>
      </w:r>
    </w:p>
    <w:p w:rsidR="00000000" w:rsidDel="00000000" w:rsidP="00000000" w:rsidRDefault="00000000" w:rsidRPr="00000000" w14:paraId="0000009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A">
      <w:pPr>
        <w:spacing w:line="360" w:lineRule="auto"/>
        <w:ind w:right="-93"/>
        <w:jc w:val="both"/>
        <w:rPr>
          <w:rFonts w:ascii="Palatino Linotype" w:cs="Palatino Linotype" w:eastAsia="Palatino Linotype" w:hAnsi="Palatino Linotype"/>
          <w:sz w:val="22"/>
          <w:szCs w:val="22"/>
        </w:rPr>
      </w:pPr>
      <w:bookmarkStart w:colFirst="0" w:colLast="0" w:name="_heading=h.jl0dlasot4f" w:id="2"/>
      <w:bookmarkEnd w:id="2"/>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SESIÓN ORDINARIA CELEBRADA EL VEINTISÉIS DE AGOSTO DE DOS MIL VEINTISÉIS, ANTE EL SECRETARIO TÉCNICO DEL PLENO ALEXIS TAPIA RAMÍREZ.</w:t>
      </w:r>
    </w:p>
    <w:p w:rsidR="00000000" w:rsidDel="00000000" w:rsidP="00000000" w:rsidRDefault="00000000" w:rsidRPr="00000000" w14:paraId="0000009B">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C">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D">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E">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F">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0">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1">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2">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3">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4">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5">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6">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7">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8">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9">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A">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B">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C">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E">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701" w:top="2041" w:left="1701" w:right="147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tl w:val="0"/>
      </w:rPr>
      <w:t xml:space="preserve">Página </w:t>
    </w:r>
    <w:r w:rsidDel="00000000" w:rsidR="00000000" w:rsidRPr="00000000">
      <w:rPr>
        <w:b w:val="1"/>
        <w:bCs w:val="1"/>
        <w:color w:val="000000"/>
      </w:rPr>
      <w:fldChar w:fldCharType="begin"/>
      <w:instrText xml:space="preserve">PAGE</w:instrText>
      <w:fldChar w:fldCharType="separate"/>
      <w:fldChar w:fldCharType="end"/>
    </w:r>
    <w:r w:rsidDel="00000000" w:rsidR="00000000" w:rsidRPr="00000000">
      <w:rPr>
        <w:color w:val="000000"/>
        <w:rtl w:val="0"/>
      </w:rPr>
      <w:t xml:space="preserve"> de </w:t>
    </w:r>
    <w:r w:rsidDel="00000000" w:rsidR="00000000" w:rsidRPr="00000000">
      <w:rPr>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tl w:val="0"/>
      </w:rPr>
      <w:t xml:space="preserve">Página </w:t>
    </w:r>
    <w:r w:rsidDel="00000000" w:rsidR="00000000" w:rsidRPr="00000000">
      <w:rPr>
        <w:b w:val="1"/>
        <w:bCs w:val="1"/>
        <w:color w:val="000000"/>
      </w:rPr>
      <w:fldChar w:fldCharType="begin"/>
      <w:instrText xml:space="preserve">PAGE</w:instrText>
      <w:fldChar w:fldCharType="separate"/>
      <w:fldChar w:fldCharType="end"/>
    </w:r>
    <w:r w:rsidDel="00000000" w:rsidR="00000000" w:rsidRPr="00000000">
      <w:rPr>
        <w:color w:val="000000"/>
        <w:rtl w:val="0"/>
      </w:rPr>
      <w:t xml:space="preserve"> de </w:t>
    </w:r>
    <w:r w:rsidDel="00000000" w:rsidR="00000000" w:rsidRPr="00000000">
      <w:rPr>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-657224</wp:posOffset>
          </wp:positionH>
          <wp:positionV relativeFrom="paragraph">
            <wp:posOffset>-401319</wp:posOffset>
          </wp:positionV>
          <wp:extent cx="7809876" cy="10165823"/>
          <wp:effectExtent b="0" l="0" r="0" t="0"/>
          <wp:wrapNone/>
          <wp:docPr id="4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76" cy="10165823"/>
                  </a:xfrm>
                  <a:prstGeom prst="rect"/>
                  <a:ln/>
                </pic:spPr>
              </pic:pic>
            </a:graphicData>
          </a:graphic>
        </wp:anchor>
      </w:drawing>
    </w:r>
  </w:p>
  <w:tbl>
    <w:tblPr>
      <w:tblStyle w:val="Table1"/>
      <w:tblW w:w="5603.0" w:type="dxa"/>
      <w:jc w:val="left"/>
      <w:tblInd w:w="3611.0" w:type="dxa"/>
      <w:tblLayout w:type="fixed"/>
      <w:tblLook w:val="0400"/>
    </w:tblPr>
    <w:tblGrid>
      <w:gridCol w:w="2551"/>
      <w:gridCol w:w="3052"/>
      <w:tblGridChange w:id="0">
        <w:tblGrid>
          <w:gridCol w:w="2551"/>
          <w:gridCol w:w="3052"/>
        </w:tblGrid>
      </w:tblGridChange>
    </w:tblGrid>
    <w:tr>
      <w:trPr>
        <w:cantSplit w:val="0"/>
        <w:tblHeader w:val="0"/>
      </w:trPr>
      <w:tc>
        <w:tcP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Recurso de Revisión:</w:t>
          </w:r>
        </w:p>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tl w:val="0"/>
            </w:rPr>
          </w:r>
        </w:p>
      </w:tc>
      <w:tc>
        <w:tcP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sz w:val="22"/>
              <w:szCs w:val="22"/>
              <w:rtl w:val="0"/>
            </w:rPr>
            <w:t xml:space="preserve">06134/</w:t>
          </w:r>
          <w:r w:rsidDel="00000000" w:rsidR="00000000" w:rsidRPr="00000000">
            <w:rPr>
              <w:rFonts w:ascii="Palatino Linotype" w:cs="Palatino Linotype" w:eastAsia="Palatino Linotype" w:hAnsi="Palatino Linotype"/>
              <w:b w:val="1"/>
              <w:bCs w:val="1"/>
              <w:color w:val="000000"/>
              <w:sz w:val="22"/>
              <w:szCs w:val="22"/>
              <w:rtl w:val="0"/>
            </w:rPr>
            <w:t xml:space="preserve">INFOEM/IP/RR/2026</w:t>
          </w:r>
        </w:p>
      </w:tc>
    </w:tr>
    <w:tr>
      <w:trPr>
        <w:cantSplit w:val="0"/>
        <w:trHeight w:val="217" w:hRule="atLeast"/>
        <w:tblHeader w:val="0"/>
      </w:trPr>
      <w:tc>
        <w:tcP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Sujeto obligado:</w:t>
          </w:r>
        </w:p>
      </w:tc>
      <w:tc>
        <w:tcP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center" w:leader="none" w:pos="4419"/>
              <w:tab w:val="right" w:leader="none" w:pos="8838"/>
            </w:tabs>
            <w:ind w:right="168"/>
            <w:jc w:val="both"/>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Sistema Municipal para el Desarrollo Integral de la Familia de Calimaya</w:t>
          </w:r>
        </w:p>
      </w:tc>
    </w:tr>
    <w:tr>
      <w:trPr>
        <w:cantSplit w:val="0"/>
        <w:tblHeader w:val="0"/>
      </w:trPr>
      <w:tc>
        <w:tcP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Comisionada ponente:</w:t>
          </w:r>
        </w:p>
      </w:tc>
      <w:tc>
        <w:tcP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Guadalupe Ramírez Peña</w:t>
          </w:r>
        </w:p>
      </w:tc>
    </w:tr>
  </w:tbl>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Palatino Linotype" w:cs="Palatino Linotype" w:eastAsia="Palatino Linotype" w:hAnsi="Palatino Linotype"/>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-929003</wp:posOffset>
          </wp:positionH>
          <wp:positionV relativeFrom="paragraph">
            <wp:posOffset>-644523</wp:posOffset>
          </wp:positionV>
          <wp:extent cx="7809865" cy="10165715"/>
          <wp:effectExtent b="0" l="0" r="0" t="0"/>
          <wp:wrapNone/>
          <wp:docPr id="4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461.0" w:type="dxa"/>
      <w:jc w:val="left"/>
      <w:tblInd w:w="3611.0" w:type="dxa"/>
      <w:tblLayout w:type="fixed"/>
      <w:tblLook w:val="0400"/>
    </w:tblPr>
    <w:tblGrid>
      <w:gridCol w:w="2343"/>
      <w:gridCol w:w="3118"/>
      <w:tblGridChange w:id="0">
        <w:tblGrid>
          <w:gridCol w:w="2343"/>
          <w:gridCol w:w="3118"/>
        </w:tblGrid>
      </w:tblGridChange>
    </w:tblGrid>
    <w:tr>
      <w:trPr>
        <w:cantSplit w:val="0"/>
        <w:tblHeader w:val="0"/>
      </w:trPr>
      <w:tc>
        <w:tcP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Recurso de Revisión:</w:t>
          </w:r>
        </w:p>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tl w:val="0"/>
            </w:rPr>
          </w:r>
        </w:p>
      </w:tc>
      <w:tc>
        <w:tcP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sz w:val="22"/>
              <w:szCs w:val="22"/>
              <w:rtl w:val="0"/>
            </w:rPr>
            <w:t xml:space="preserve">06134/</w:t>
          </w:r>
          <w:r w:rsidDel="00000000" w:rsidR="00000000" w:rsidRPr="00000000">
            <w:rPr>
              <w:rFonts w:ascii="Palatino Linotype" w:cs="Palatino Linotype" w:eastAsia="Palatino Linotype" w:hAnsi="Palatino Linotype"/>
              <w:b w:val="1"/>
              <w:bCs w:val="1"/>
              <w:color w:val="000000"/>
              <w:sz w:val="22"/>
              <w:szCs w:val="22"/>
              <w:rtl w:val="0"/>
            </w:rPr>
            <w:t xml:space="preserve">INFOEM/IP/RR/2026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Recurrente:</w:t>
          </w:r>
        </w:p>
      </w:tc>
      <w:tc>
        <w:tcP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tl w:val="0"/>
            </w:rPr>
          </w:r>
        </w:p>
      </w:tc>
    </w:tr>
    <w:tr>
      <w:trPr>
        <w:cantSplit w:val="0"/>
        <w:trHeight w:val="152" w:hRule="atLeast"/>
        <w:tblHeader w:val="0"/>
      </w:trPr>
      <w:tc>
        <w:tcPr>
          <w:vAlign w:val="center"/>
        </w:tcPr>
        <w:p w:rsidR="00000000" w:rsidDel="00000000" w:rsidP="00000000" w:rsidRDefault="00000000" w:rsidRPr="00000000" w14:paraId="000000C0">
          <w:pP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Sujeto obligado:</w:t>
          </w:r>
        </w:p>
        <w:p w:rsidR="00000000" w:rsidDel="00000000" w:rsidP="00000000" w:rsidRDefault="00000000" w:rsidRPr="00000000" w14:paraId="000000C1">
          <w:pP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tl w:val="0"/>
            </w:rPr>
          </w:r>
        </w:p>
      </w:tc>
      <w:tc>
        <w:tcP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419"/>
              <w:tab w:val="right" w:leader="none" w:pos="8838"/>
            </w:tabs>
            <w:jc w:val="both"/>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2"/>
              <w:szCs w:val="22"/>
              <w:rtl w:val="0"/>
            </w:rPr>
            <w:t xml:space="preserve">Sistema Municipal para el Desarrollo Integral de la Familia de Calimaya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Comisionada ponente:</w:t>
          </w:r>
        </w:p>
      </w:tc>
      <w:tc>
        <w:tcP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Guadalupe Ramírez Peña</w:t>
          </w:r>
        </w:p>
      </w:tc>
    </w:tr>
  </w:tbl>
  <w:p w:rsidR="00000000" w:rsidDel="00000000" w:rsidP="00000000" w:rsidRDefault="00000000" w:rsidRPr="00000000" w14:paraId="000000C5">
    <w:pPr>
      <w:rPr>
        <w:color w:val="000000"/>
        <w:sz w:val="22"/>
        <w:szCs w:val="22"/>
      </w:rPr>
    </w:pPr>
    <w:r w:rsidDel="00000000" w:rsidR="00000000" w:rsidRPr="00000000">
      <w:rPr>
        <w:color w:val="000000"/>
        <w:sz w:val="22"/>
        <w:szCs w:val="22"/>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upperRoman"/>
      <w:lvlText w:val="%1."/>
      <w:lvlJc w:val="left"/>
      <w:pPr>
        <w:ind w:left="1287" w:hanging="720.0000000000001"/>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5">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6">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lowerLetter"/>
      <w:lvlText w:val="%1)"/>
      <w:lvlJc w:val="left"/>
      <w:pPr>
        <w:ind w:left="927" w:hanging="360"/>
      </w:pPr>
      <w:rPr>
        <w:b w:val="1"/>
        <w:bCs w:val="1"/>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20" w:customStyle="1">
    <w:name w:val="Table Normal2"/>
    <w:tblPr>
      <w:tblCellMar>
        <w:top w:w="0.0" w:type="dxa"/>
        <w:left w:w="0.0" w:type="dxa"/>
        <w:bottom w:w="0.0" w:type="dxa"/>
        <w:right w:w="0.0" w:type="dxa"/>
      </w:tblCellMar>
    </w:tblPr>
  </w:style>
  <w:style w:type="table" w:styleId="TableNormal10" w:customStyle="1">
    <w:name w:val="Table Normal1"/>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CD74AE"/>
    <w:pPr>
      <w:tabs>
        <w:tab w:val="center" w:pos="4419"/>
        <w:tab w:val="right" w:pos="8838"/>
      </w:tabs>
    </w:pPr>
  </w:style>
  <w:style w:type="character" w:styleId="EncabezadoCar" w:customStyle="1">
    <w:name w:val="Encabezado Car"/>
    <w:basedOn w:val="Fuentedeprrafopredeter"/>
    <w:link w:val="Encabezado"/>
    <w:uiPriority w:val="99"/>
    <w:rsid w:val="00CD74AE"/>
  </w:style>
  <w:style w:type="paragraph" w:styleId="Piedepgina">
    <w:name w:val="footer"/>
    <w:basedOn w:val="Normal"/>
    <w:link w:val="PiedepginaCar"/>
    <w:uiPriority w:val="99"/>
    <w:unhideWhenUsed w:val="1"/>
    <w:rsid w:val="00CD74AE"/>
    <w:pPr>
      <w:tabs>
        <w:tab w:val="center" w:pos="4419"/>
        <w:tab w:val="right" w:pos="8838"/>
      </w:tabs>
    </w:pPr>
  </w:style>
  <w:style w:type="character" w:styleId="PiedepginaCar" w:customStyle="1">
    <w:name w:val="Pie de página Car"/>
    <w:basedOn w:val="Fuentedeprrafopredeter"/>
    <w:link w:val="Piedepgina"/>
    <w:uiPriority w:val="99"/>
    <w:rsid w:val="00CD74AE"/>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CD74AE"/>
    <w:pPr>
      <w:ind w:left="720"/>
      <w:contextualSpacing w:val="1"/>
    </w:pPr>
  </w:style>
  <w:style w:type="character" w:styleId="Hipervnculo">
    <w:name w:val="Hyperlink"/>
    <w:aliases w:val="Hipervínculo1,Hipervínculo11,Hipervínculo12,Hipervínculo13,Hipervínculo14,Hipervínculo15"/>
    <w:basedOn w:val="Fuentedeprrafopredeter"/>
    <w:uiPriority w:val="99"/>
    <w:unhideWhenUsed w:val="1"/>
    <w:qFormat w:val="1"/>
    <w:rsid w:val="00CD74AE"/>
    <w:rPr>
      <w:color w:val="0563c1" w:themeColor="hyperlink"/>
      <w:u w:val="single"/>
    </w:rPr>
  </w:style>
  <w:style w:type="table" w:styleId="Tablaconcuadrcula">
    <w:name w:val="Table Grid"/>
    <w:basedOn w:val="Tablanormal"/>
    <w:uiPriority w:val="39"/>
    <w:rsid w:val="009C1D5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7D2AA5"/>
    <w:pPr>
      <w:spacing w:after="100" w:afterAutospacing="1" w:before="100" w:beforeAutospacing="1"/>
    </w:p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9F3FE6"/>
  </w:style>
  <w:style w:type="table" w:styleId="6" w:customStyle="1">
    <w:name w:val="6"/>
    <w:basedOn w:val="TableNormal10"/>
    <w:tblPr>
      <w:tblStyleRowBandSize w:val="1"/>
      <w:tblStyleColBandSize w:val="1"/>
      <w:tblCellMar>
        <w:top w:w="15.0" w:type="dxa"/>
        <w:left w:w="15.0" w:type="dxa"/>
        <w:bottom w:w="15.0" w:type="dxa"/>
        <w:right w:w="15.0" w:type="dxa"/>
      </w:tblCellMar>
    </w:tblPr>
  </w:style>
  <w:style w:type="table" w:styleId="5" w:customStyle="1">
    <w:name w:val="5"/>
    <w:basedOn w:val="TableNormal10"/>
    <w:tblPr>
      <w:tblStyleRowBandSize w:val="1"/>
      <w:tblStyleColBandSize w:val="1"/>
      <w:tblCellMar>
        <w:left w:w="115.0" w:type="dxa"/>
        <w:right w:w="115.0" w:type="dxa"/>
      </w:tblCellMar>
    </w:tblPr>
  </w:style>
  <w:style w:type="table" w:styleId="4" w:customStyle="1">
    <w:name w:val="4"/>
    <w:basedOn w:val="TableNormal10"/>
    <w:tblPr>
      <w:tblStyleRowBandSize w:val="1"/>
      <w:tblStyleColBandSize w:val="1"/>
      <w:tblCellMar>
        <w:left w:w="115.0" w:type="dxa"/>
        <w:right w:w="115.0" w:type="dxa"/>
      </w:tblCellMar>
    </w:tblPr>
  </w:style>
  <w:style w:type="table" w:styleId="3" w:customStyle="1">
    <w:name w:val="3"/>
    <w:basedOn w:val="TableNormal10"/>
    <w:tblPr>
      <w:tblStyleRowBandSize w:val="1"/>
      <w:tblStyleColBandSize w:val="1"/>
      <w:tblCellMar>
        <w:top w:w="15.0" w:type="dxa"/>
        <w:left w:w="115.0" w:type="dxa"/>
        <w:bottom w:w="15.0" w:type="dxa"/>
        <w:right w:w="115.0" w:type="dxa"/>
      </w:tblCellMar>
    </w:tblPr>
  </w:style>
  <w:style w:type="table" w:styleId="2" w:customStyle="1">
    <w:name w:val="2"/>
    <w:basedOn w:val="TableNormal10"/>
    <w:tblPr>
      <w:tblStyleRowBandSize w:val="1"/>
      <w:tblStyleColBandSize w:val="1"/>
      <w:tblCellMar>
        <w:top w:w="15.0" w:type="dxa"/>
        <w:left w:w="115.0" w:type="dxa"/>
        <w:bottom w:w="15.0" w:type="dxa"/>
        <w:right w:w="115.0" w:type="dxa"/>
      </w:tblCellMar>
    </w:tblPr>
  </w:style>
  <w:style w:type="table" w:styleId="1" w:customStyle="1">
    <w:name w:val="1"/>
    <w:basedOn w:val="TableNormal10"/>
    <w:tblPr>
      <w:tblStyleRowBandSize w:val="1"/>
      <w:tblStyleColBandSize w:val="1"/>
      <w:tblCellMar>
        <w:top w:w="15.0" w:type="dxa"/>
        <w:left w:w="115.0" w:type="dxa"/>
        <w:bottom w:w="15.0" w:type="dxa"/>
        <w:right w:w="115.0" w:type="dxa"/>
      </w:tblCellMar>
    </w:tblPr>
  </w:style>
  <w:style w:type="character" w:styleId="Mencinsinresolver1" w:customStyle="1">
    <w:name w:val="Mención sin resolver1"/>
    <w:basedOn w:val="Fuentedeprrafopredeter"/>
    <w:uiPriority w:val="99"/>
    <w:semiHidden w:val="1"/>
    <w:unhideWhenUsed w:val="1"/>
    <w:rsid w:val="00B63FC6"/>
    <w:rPr>
      <w:color w:val="605e5c"/>
      <w:shd w:color="auto" w:fill="e1dfdd" w:val="clear"/>
    </w:rPr>
  </w:style>
  <w:style w:type="character" w:styleId="Mencinsinresolver2" w:customStyle="1">
    <w:name w:val="Mención sin resolver2"/>
    <w:basedOn w:val="Fuentedeprrafopredeter"/>
    <w:uiPriority w:val="99"/>
    <w:semiHidden w:val="1"/>
    <w:unhideWhenUsed w:val="1"/>
    <w:rsid w:val="00AC79ED"/>
    <w:rPr>
      <w:color w:val="605e5c"/>
      <w:shd w:color="auto" w:fill="e1dfdd" w:val="clear"/>
    </w:rPr>
  </w:style>
  <w:style w:type="paragraph" w:styleId="Default" w:customStyle="1">
    <w:name w:val="Default"/>
    <w:rsid w:val="00A27592"/>
    <w:pPr>
      <w:autoSpaceDE w:val="0"/>
      <w:autoSpaceDN w:val="0"/>
      <w:adjustRightInd w:val="0"/>
    </w:pPr>
    <w:rPr>
      <w:rFonts w:ascii="Arial" w:cs="Arial" w:hAnsi="Arial"/>
      <w:color w:val="000000"/>
    </w:rPr>
  </w:style>
  <w:style w:type="character" w:styleId="normaltextrun" w:customStyle="1">
    <w:name w:val="normaltextrun"/>
    <w:basedOn w:val="Fuentedeprrafopredeter"/>
    <w:rsid w:val="002F3C2D"/>
  </w:style>
  <w:style w:type="paragraph" w:styleId="Sinespaciado">
    <w:name w:val="No Spacing"/>
    <w:aliases w:val="Francesa,INAI"/>
    <w:link w:val="SinespaciadoCar"/>
    <w:uiPriority w:val="1"/>
    <w:qFormat w:val="1"/>
    <w:rsid w:val="00F01E4E"/>
    <w:rPr>
      <w:lang w:eastAsia="es-ES" w:val="es-ES"/>
    </w:rPr>
  </w:style>
  <w:style w:type="character" w:styleId="SinespaciadoCar" w:customStyle="1">
    <w:name w:val="Sin espaciado Car"/>
    <w:aliases w:val="Francesa Car,INAI Car"/>
    <w:link w:val="Sinespaciado"/>
    <w:uiPriority w:val="1"/>
    <w:locked w:val="1"/>
    <w:rsid w:val="00F01E4E"/>
    <w:rPr>
      <w:rFonts w:ascii="Times New Roman" w:cs="Times New Roman" w:eastAsia="Times New Roman" w:hAnsi="Times New Roman"/>
      <w:sz w:val="24"/>
      <w:szCs w:val="24"/>
      <w:lang w:eastAsia="es-ES" w:val="es-ES"/>
    </w:rPr>
  </w:style>
  <w:style w:type="table" w:styleId="9" w:customStyle="1">
    <w:name w:val="9"/>
    <w:basedOn w:val="TableNormal20"/>
    <w:tblPr>
      <w:tblStyleRowBandSize w:val="1"/>
      <w:tblStyleColBandSize w:val="1"/>
      <w:tblCellMar>
        <w:left w:w="108.0" w:type="dxa"/>
        <w:right w:w="108.0" w:type="dxa"/>
      </w:tblCellMar>
    </w:tblPr>
  </w:style>
  <w:style w:type="table" w:styleId="8" w:customStyle="1">
    <w:name w:val="8"/>
    <w:basedOn w:val="TableNormal20"/>
    <w:tblPr>
      <w:tblStyleRowBandSize w:val="1"/>
      <w:tblStyleColBandSize w:val="1"/>
      <w:tblCellMar>
        <w:top w:w="15.0" w:type="dxa"/>
        <w:left w:w="115.0" w:type="dxa"/>
        <w:bottom w:w="15.0" w:type="dxa"/>
        <w:right w:w="115.0" w:type="dxa"/>
      </w:tblCellMar>
    </w:tblPr>
  </w:style>
  <w:style w:type="table" w:styleId="7" w:customStyle="1">
    <w:name w:val="7"/>
    <w:basedOn w:val="TableNormal20"/>
    <w:tblPr>
      <w:tblStyleRowBandSize w:val="1"/>
      <w:tblStyleColBandSize w:val="1"/>
      <w:tblCellMar>
        <w:top w:w="15.0" w:type="dxa"/>
        <w:left w:w="115.0" w:type="dxa"/>
        <w:bottom w:w="15.0" w:type="dxa"/>
        <w:right w:w="115.0" w:type="dxa"/>
      </w:tblCellMar>
    </w:tblPr>
  </w:style>
  <w:style w:type="character" w:styleId="Mencinsinresolver3" w:customStyle="1">
    <w:name w:val="Mención sin resolver3"/>
    <w:basedOn w:val="Fuentedeprrafopredeter"/>
    <w:uiPriority w:val="99"/>
    <w:semiHidden w:val="1"/>
    <w:unhideWhenUsed w:val="1"/>
    <w:rsid w:val="00B91EC4"/>
    <w:rPr>
      <w:color w:val="605e5c"/>
      <w:shd w:color="auto" w:fill="e1dfdd" w:val="clear"/>
    </w:rPr>
  </w:style>
  <w:style w:type="character" w:styleId="Refdecomentario">
    <w:name w:val="annotation reference"/>
    <w:basedOn w:val="Fuentedeprrafopredeter"/>
    <w:uiPriority w:val="99"/>
    <w:semiHidden w:val="1"/>
    <w:unhideWhenUsed w:val="1"/>
    <w:rsid w:val="007266CA"/>
    <w:rPr>
      <w:sz w:val="16"/>
      <w:szCs w:val="16"/>
    </w:rPr>
  </w:style>
  <w:style w:type="paragraph" w:styleId="Textocomentario">
    <w:name w:val="annotation text"/>
    <w:basedOn w:val="Normal"/>
    <w:link w:val="TextocomentarioCar"/>
    <w:uiPriority w:val="99"/>
    <w:semiHidden w:val="1"/>
    <w:unhideWhenUsed w:val="1"/>
    <w:rsid w:val="007266CA"/>
    <w:rPr>
      <w:sz w:val="20"/>
      <w:szCs w:val="20"/>
    </w:rPr>
  </w:style>
  <w:style w:type="character" w:styleId="TextocomentarioCar" w:customStyle="1">
    <w:name w:val="Texto comentario Car"/>
    <w:basedOn w:val="Fuentedeprrafopredeter"/>
    <w:link w:val="Textocomentario"/>
    <w:uiPriority w:val="99"/>
    <w:semiHidden w:val="1"/>
    <w:rsid w:val="007266CA"/>
    <w:rPr>
      <w:rFonts w:cs="Times New Roman" w:eastAsia="Times New Roman"/>
      <w:sz w:val="20"/>
      <w:szCs w:val="20"/>
      <w:lang w:eastAsia="en-US"/>
    </w:rPr>
  </w:style>
  <w:style w:type="paragraph" w:styleId="Asuntodelcomentario">
    <w:name w:val="annotation subject"/>
    <w:basedOn w:val="Textocomentario"/>
    <w:next w:val="Textocomentario"/>
    <w:link w:val="AsuntodelcomentarioCar"/>
    <w:uiPriority w:val="99"/>
    <w:semiHidden w:val="1"/>
    <w:unhideWhenUsed w:val="1"/>
    <w:rsid w:val="007266CA"/>
    <w:rPr>
      <w:b w:val="1"/>
      <w:bCs w:val="1"/>
    </w:rPr>
  </w:style>
  <w:style w:type="character" w:styleId="AsuntodelcomentarioCar" w:customStyle="1">
    <w:name w:val="Asunto del comentario Car"/>
    <w:basedOn w:val="TextocomentarioCar"/>
    <w:link w:val="Asuntodelcomentario"/>
    <w:uiPriority w:val="99"/>
    <w:semiHidden w:val="1"/>
    <w:rsid w:val="007266CA"/>
    <w:rPr>
      <w:rFonts w:cs="Times New Roman" w:eastAsia="Times New Roman"/>
      <w:b w:val="1"/>
      <w:bCs w:val="1"/>
      <w:sz w:val="20"/>
      <w:szCs w:val="20"/>
      <w:lang w:eastAsia="en-US"/>
    </w:rPr>
  </w:style>
  <w:style w:type="character" w:styleId="Textodelmarcadordeposicin">
    <w:name w:val="Placeholder Text"/>
    <w:basedOn w:val="Fuentedeprrafopredeter"/>
    <w:uiPriority w:val="99"/>
    <w:semiHidden w:val="1"/>
    <w:rsid w:val="007266CA"/>
    <w:rPr>
      <w:color w:val="808080"/>
    </w:rPr>
  </w:style>
  <w:style w:type="character" w:styleId="Hipervnculovisitado">
    <w:name w:val="FollowedHyperlink"/>
    <w:basedOn w:val="Fuentedeprrafopredeter"/>
    <w:uiPriority w:val="99"/>
    <w:semiHidden w:val="1"/>
    <w:unhideWhenUsed w:val="1"/>
    <w:rsid w:val="00FC1F2B"/>
    <w:rPr>
      <w:color w:val="954f72" w:themeColor="followed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FC1F2B"/>
    <w:rPr>
      <w:rFonts w:asciiTheme="minorHAnsi" w:cstheme="minorBidi" w:eastAsiaTheme="minorHAnsi" w:hAnsiTheme="minorHAnsi"/>
      <w:sz w:val="20"/>
      <w:szCs w:val="20"/>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val="1"/>
    <w:rsid w:val="00FC1F2B"/>
    <w:rPr>
      <w:rFonts w:asciiTheme="minorHAnsi" w:cstheme="minorBidi" w:eastAsiaTheme="minorHAnsi" w:hAnsiTheme="minorHAnsi"/>
      <w:sz w:val="20"/>
      <w:szCs w:val="20"/>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val="1"/>
    <w:qFormat w:val="1"/>
    <w:rsid w:val="00FC1F2B"/>
    <w:rPr>
      <w:vertAlign w:val="superscript"/>
    </w:rPr>
  </w:style>
  <w:style w:type="character" w:styleId="PuestoCar" w:customStyle="1">
    <w:name w:val="Puesto Car"/>
    <w:aliases w:val="Cita textual Car"/>
    <w:basedOn w:val="Fuentedeprrafopredeter"/>
    <w:uiPriority w:val="10"/>
    <w:rsid w:val="00EC101D"/>
    <w:rPr>
      <w:rFonts w:cs="Times New Roman" w:eastAsia="Times New Roman"/>
      <w:b w:val="1"/>
      <w:sz w:val="72"/>
      <w:szCs w:val="72"/>
      <w:lang w:eastAsia="en-US"/>
    </w:rPr>
  </w:style>
  <w:style w:type="table" w:styleId="Tablanormal11" w:customStyle="1">
    <w:name w:val="Tabla normal 11"/>
    <w:basedOn w:val="Tablanormal"/>
    <w:uiPriority w:val="41"/>
    <w:rsid w:val="009A0A8D"/>
    <w:rPr>
      <w:rFonts w:asciiTheme="minorHAnsi" w:cstheme="minorBidi" w:eastAsiaTheme="minorHAnsi" w:hAnsiTheme="minorHAnsi"/>
      <w:lang w:eastAsia="en-US"/>
    </w:r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top w:w="15.0" w:type="dxa"/>
        <w:left w:w="115.0" w:type="dxa"/>
        <w:bottom w:w="15.0" w:type="dxa"/>
        <w:right w:w="115.0" w:type="dxa"/>
      </w:tblCellMar>
    </w:tblPr>
  </w:style>
  <w:style w:type="table" w:styleId="a4" w:customStyle="1">
    <w:basedOn w:val="TableNormal4"/>
    <w:tblPr>
      <w:tblStyleRowBandSize w:val="1"/>
      <w:tblStyleColBandSize w:val="1"/>
      <w:tblCellMar>
        <w:top w:w="15.0" w:type="dxa"/>
        <w:left w:w="115.0" w:type="dxa"/>
        <w:bottom w:w="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top w:w="15.0" w:type="dxa"/>
        <w:left w:w="115.0" w:type="dxa"/>
        <w:bottom w:w="15.0" w:type="dxa"/>
        <w:right w:w="115.0" w:type="dxa"/>
      </w:tblCellMar>
    </w:tblPr>
  </w:style>
  <w:style w:type="table" w:styleId="aa" w:customStyle="1">
    <w:basedOn w:val="TableNormal3"/>
    <w:tblPr>
      <w:tblStyleRowBandSize w:val="1"/>
      <w:tblStyleColBandSize w:val="1"/>
      <w:tblCellMar>
        <w:top w:w="15.0" w:type="dxa"/>
        <w:left w:w="115.0" w:type="dxa"/>
        <w:bottom w:w="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08.0" w:type="dxa"/>
        <w:right w:w="108.0" w:type="dxa"/>
      </w:tblCellMar>
    </w:tblPr>
  </w:style>
  <w:style w:type="table" w:styleId="af0" w:customStyle="1">
    <w:basedOn w:val="TableNormal2"/>
    <w:tblPr>
      <w:tblStyleRowBandSize w:val="1"/>
      <w:tblStyleColBandSize w:val="1"/>
      <w:tblCellMar>
        <w:left w:w="108.0" w:type="dxa"/>
        <w:right w:w="108.0" w:type="dxa"/>
      </w:tblCellMar>
    </w:tblPr>
  </w:style>
  <w:style w:type="table" w:styleId="af1" w:customStyle="1">
    <w:basedOn w:val="TableNormal2"/>
    <w:tblPr>
      <w:tblStyleRowBandSize w:val="1"/>
      <w:tblStyleColBandSize w:val="1"/>
      <w:tblCellMar>
        <w:top w:w="15.0" w:type="dxa"/>
        <w:left w:w="115.0" w:type="dxa"/>
        <w:bottom w:w="15.0" w:type="dxa"/>
        <w:right w:w="115.0" w:type="dxa"/>
      </w:tblCellMar>
    </w:tblPr>
  </w:style>
  <w:style w:type="table" w:styleId="af2" w:customStyle="1">
    <w:basedOn w:val="TableNormal2"/>
    <w:tblPr>
      <w:tblStyleRowBandSize w:val="1"/>
      <w:tblStyleColBandSize w:val="1"/>
      <w:tblCellMar>
        <w:top w:w="15.0" w:type="dxa"/>
        <w:left w:w="115.0" w:type="dxa"/>
        <w:bottom w:w="15.0" w:type="dxa"/>
        <w:right w:w="115.0" w:type="dxa"/>
      </w:tblCellMar>
    </w:tblPr>
  </w:style>
  <w:style w:type="character" w:styleId="Textoennegrita">
    <w:name w:val="Strong"/>
    <w:basedOn w:val="Fuentedeprrafopredeter"/>
    <w:uiPriority w:val="22"/>
    <w:qFormat w:val="1"/>
    <w:rsid w:val="00AC6527"/>
    <w:rPr>
      <w:b w:val="1"/>
      <w:bCs w:val="1"/>
    </w:rPr>
  </w:style>
  <w:style w:type="character" w:styleId="apple-tab-span" w:customStyle="1">
    <w:name w:val="apple-tab-span"/>
    <w:basedOn w:val="Fuentedeprrafopredeter"/>
    <w:rsid w:val="00EB58F7"/>
  </w:style>
  <w:style w:type="paragraph" w:styleId="Listaconvietas3">
    <w:name w:val="List Bullet 3"/>
    <w:basedOn w:val="Normal"/>
    <w:uiPriority w:val="99"/>
    <w:unhideWhenUsed w:val="1"/>
    <w:rsid w:val="00AF720B"/>
    <w:pPr>
      <w:numPr>
        <w:numId w:val="1"/>
      </w:numPr>
      <w:contextualSpacing w:val="1"/>
    </w:p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top w:w="15.0" w:type="dxa"/>
        <w:left w:w="115.0" w:type="dxa"/>
        <w:bottom w:w="15.0" w:type="dxa"/>
        <w:right w:w="115.0" w:type="dxa"/>
      </w:tblCellMar>
    </w:tblPr>
  </w:style>
  <w:style w:type="table" w:styleId="af5" w:customStyle="1">
    <w:basedOn w:val="TableNormal1"/>
    <w:tblPr>
      <w:tblStyleRowBandSize w:val="1"/>
      <w:tblStyleColBandSize w:val="1"/>
      <w:tblCellMar>
        <w:top w:w="15.0" w:type="dxa"/>
        <w:left w:w="115.0" w:type="dxa"/>
        <w:bottom w:w="15.0" w:type="dxa"/>
        <w:right w:w="115.0" w:type="dxa"/>
      </w:tblCellMar>
    </w:tblPr>
  </w:style>
  <w:style w:type="paragraph" w:styleId="Listaconvietas">
    <w:name w:val="List Bullet"/>
    <w:basedOn w:val="Normal"/>
    <w:uiPriority w:val="99"/>
    <w:unhideWhenUsed w:val="1"/>
    <w:rsid w:val="00E97D6F"/>
    <w:pPr>
      <w:numPr>
        <w:numId w:val="3"/>
      </w:numPr>
      <w:contextualSpacing w:val="1"/>
    </w:pPr>
    <w:rPr>
      <w:lang w:val="es-ES"/>
    </w:rPr>
  </w:style>
  <w:style w:type="character" w:styleId="Mencinsinresolver4" w:customStyle="1">
    <w:name w:val="Mención sin resolver4"/>
    <w:basedOn w:val="Fuentedeprrafopredeter"/>
    <w:uiPriority w:val="99"/>
    <w:semiHidden w:val="1"/>
    <w:unhideWhenUsed w:val="1"/>
    <w:rsid w:val="00E8288F"/>
    <w:rPr>
      <w:color w:val="605e5c"/>
      <w:shd w:color="auto" w:fill="e1dfdd" w:val="clear"/>
    </w:rPr>
  </w:style>
  <w:style w:type="paragraph" w:styleId="xgmail-msonormal" w:customStyle="1">
    <w:name w:val="x_gmail-msonormal"/>
    <w:basedOn w:val="Normal"/>
    <w:rsid w:val="009B2050"/>
    <w:pPr>
      <w:spacing w:after="100" w:afterAutospacing="1" w:before="100" w:beforeAutospacing="1"/>
    </w:pPr>
    <w:rPr>
      <w:lang w:eastAsia="en-US" w:val="en-US"/>
    </w:rPr>
  </w:style>
  <w:style w:type="table" w:styleId="11" w:customStyle="1">
    <w:name w:val="11"/>
    <w:basedOn w:val="Tablanormal"/>
    <w:rsid w:val="0087332C"/>
    <w:rPr>
      <w:lang w:val="es-ES"/>
    </w:rPr>
    <w:tblPr>
      <w:tblStyleRowBandSize w:val="1"/>
      <w:tblStyleColBandSize w:val="1"/>
      <w:tblInd w:w="0.0" w:type="nil"/>
      <w:tblCellMar>
        <w:left w:w="115.0" w:type="dxa"/>
        <w:right w:w="115.0" w:type="dxa"/>
      </w:tblCellMar>
    </w:tblPr>
  </w:style>
  <w:style w:type="table" w:styleId="10" w:customStyle="1">
    <w:name w:val="10"/>
    <w:basedOn w:val="Tablanormal"/>
    <w:rsid w:val="0087332C"/>
    <w:rPr>
      <w:lang w:val="es-ES"/>
    </w:rPr>
    <w:tblPr>
      <w:tblStyleRowBandSize w:val="1"/>
      <w:tblStyleColBandSize w:val="1"/>
      <w:tblInd w:w="0.0" w:type="nil"/>
      <w:tblCellMar>
        <w:left w:w="115.0" w:type="dxa"/>
        <w:right w:w="115.0" w:type="dxa"/>
      </w:tblCellMar>
    </w:tblPr>
  </w:style>
  <w:style w:type="table" w:styleId="af6" w:customStyle="1">
    <w:basedOn w:val="TableNormal0"/>
    <w:tblPr>
      <w:tblStyleRowBandSize w:val="1"/>
      <w:tblStyleColBandSize w:val="1"/>
      <w:tblCellMar>
        <w:top w:w="15.0" w:type="dxa"/>
        <w:left w:w="115.0" w:type="dxa"/>
        <w:bottom w:w="15.0" w:type="dxa"/>
        <w:right w:w="115.0" w:type="dxa"/>
      </w:tblCellMar>
    </w:tblPr>
  </w:style>
  <w:style w:type="table" w:styleId="af7" w:customStyle="1">
    <w:basedOn w:val="TableNormal0"/>
    <w:tblPr>
      <w:tblStyleRowBandSize w:val="1"/>
      <w:tblStyleColBandSize w:val="1"/>
      <w:tblCellMar>
        <w:top w:w="15.0" w:type="dxa"/>
        <w:left w:w="115.0" w:type="dxa"/>
        <w:bottom w:w="15.0" w:type="dxa"/>
        <w:right w:w="115.0" w:type="dxa"/>
      </w:tblCellMar>
    </w:tblPr>
  </w:style>
  <w:style w:type="paragraph" w:styleId="Textoindependiente">
    <w:name w:val="Body Text"/>
    <w:basedOn w:val="Normal"/>
    <w:link w:val="TextoindependienteCar"/>
    <w:uiPriority w:val="99"/>
    <w:unhideWhenUsed w:val="1"/>
    <w:rsid w:val="00FB389B"/>
    <w:pPr>
      <w:spacing w:after="120"/>
    </w:pPr>
    <w:rPr>
      <w:lang w:eastAsia="es-ES" w:val="es-ES"/>
    </w:rPr>
  </w:style>
  <w:style w:type="character" w:styleId="TextoindependienteCar" w:customStyle="1">
    <w:name w:val="Texto independiente Car"/>
    <w:basedOn w:val="Fuentedeprrafopredeter"/>
    <w:link w:val="Textoindependiente"/>
    <w:uiPriority w:val="99"/>
    <w:rsid w:val="00FB389B"/>
    <w:rPr>
      <w:lang w:eastAsia="es-ES" w:val="es-ES"/>
    </w:rPr>
  </w:style>
  <w:style w:type="paragraph" w:styleId="INFOEM" w:customStyle="1">
    <w:name w:val="INFOEM"/>
    <w:basedOn w:val="Normal"/>
    <w:qFormat w:val="1"/>
    <w:rsid w:val="00D5108C"/>
    <w:pPr>
      <w:spacing w:after="160" w:before="240" w:line="360" w:lineRule="auto"/>
      <w:ind w:left="851" w:right="851"/>
      <w:jc w:val="both"/>
    </w:pPr>
    <w:rPr>
      <w:rFonts w:ascii="Palatino Linotype" w:hAnsi="Palatino Linotype" w:cstheme="minorBidi" w:eastAsiaTheme="minorHAnsi"/>
      <w:i w:val="1"/>
      <w:sz w:val="22"/>
      <w:szCs w:val="14"/>
      <w:lang w:eastAsia="en-US"/>
    </w:rPr>
  </w:style>
  <w:style w:type="paragraph" w:styleId="has-small-font-size" w:customStyle="1">
    <w:name w:val="has-small-font-size"/>
    <w:basedOn w:val="Normal"/>
    <w:rsid w:val="000A461F"/>
    <w:pPr>
      <w:spacing w:after="100" w:afterAutospacing="1" w:before="100" w:beforeAutospacing="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WRtqMWFzlEQfGRw7XU8wuqFwtg==">CgMxLjAyDmgueGlyNXQ1NTBxaWtwMgloLjN6bnlzaDcyDWguamwwZGxhc290NGY4AHIhMUlabEpSdVdwb3BSOGpIWjdQTkhURVBDcjdrdlc4eHpy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2026-09-04T17:58:00Z</dcterms:created>
  <dc:creator>Cuenta Microsoft</dc:creator>
</cp:coreProperties>
</file>