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FB2" w:rsidRDefault="00EB54A1">
      <w:pPr>
        <w:spacing w:line="360" w:lineRule="auto"/>
        <w:ind w:right="49" w:hanging="22"/>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sz w:val="22"/>
          <w:szCs w:val="22"/>
        </w:rPr>
        <w:t>veinticinco de febrero</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b/>
          <w:bCs/>
          <w:sz w:val="22"/>
          <w:szCs w:val="22"/>
        </w:rPr>
        <w:t>de dos mil veintiséis.</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VISTO </w:t>
      </w:r>
      <w:r>
        <w:rPr>
          <w:rFonts w:ascii="Palatino Linotype" w:eastAsia="Palatino Linotype" w:hAnsi="Palatino Linotype" w:cs="Palatino Linotype"/>
          <w:sz w:val="22"/>
          <w:szCs w:val="22"/>
        </w:rPr>
        <w:t xml:space="preserve">el expediente relativo al recurso de revisión </w:t>
      </w:r>
      <w:r>
        <w:rPr>
          <w:rFonts w:ascii="Palatino Linotype" w:eastAsia="Palatino Linotype" w:hAnsi="Palatino Linotype" w:cs="Palatino Linotype"/>
          <w:b/>
          <w:bCs/>
          <w:sz w:val="22"/>
          <w:szCs w:val="22"/>
        </w:rPr>
        <w:t xml:space="preserve">14694/INFOEM/IP/RR/2025, </w:t>
      </w:r>
      <w:r>
        <w:rPr>
          <w:rFonts w:ascii="Palatino Linotype" w:eastAsia="Palatino Linotype" w:hAnsi="Palatino Linotype" w:cs="Palatino Linotype"/>
          <w:sz w:val="22"/>
          <w:szCs w:val="22"/>
        </w:rPr>
        <w:t xml:space="preserve">interpuesto por </w:t>
      </w:r>
      <w:r w:rsidRPr="00EB54A1">
        <w:rPr>
          <w:rFonts w:ascii="Palatino Linotype" w:eastAsia="Palatino Linotype" w:hAnsi="Palatino Linotype" w:cs="Palatino Linotype"/>
          <w:b/>
          <w:bCs/>
          <w:sz w:val="22"/>
          <w:szCs w:val="22"/>
        </w:rPr>
        <w:t>XXXXX XXX XXXXXXX XXXXXX XXXXXXX</w:t>
      </w:r>
      <w:r w:rsidRPr="00EB54A1">
        <w:rPr>
          <w:rFonts w:ascii="Palatino Linotype" w:eastAsia="Palatino Linotype" w:hAnsi="Palatino Linotype" w:cs="Palatino Linotype"/>
          <w:b/>
          <w:bCs/>
          <w:sz w:val="22"/>
          <w:szCs w:val="22"/>
        </w:rPr>
        <w:t>,</w:t>
      </w:r>
      <w:bookmarkStart w:id="0" w:name="_GoBack"/>
      <w:bookmarkEnd w:id="0"/>
      <w:r>
        <w:rPr>
          <w:rFonts w:ascii="Palatino Linotype" w:eastAsia="Palatino Linotype" w:hAnsi="Palatino Linotype" w:cs="Palatino Linotype"/>
          <w:sz w:val="22"/>
          <w:szCs w:val="22"/>
        </w:rPr>
        <w:t xml:space="preserve"> en lo sucesivo la parte </w:t>
      </w:r>
      <w:r>
        <w:rPr>
          <w:rFonts w:ascii="Palatino Linotype" w:eastAsia="Palatino Linotype" w:hAnsi="Palatino Linotype" w:cs="Palatino Linotype"/>
          <w:b/>
          <w:bCs/>
          <w:sz w:val="22"/>
          <w:szCs w:val="22"/>
        </w:rPr>
        <w:t>Recurrente</w:t>
      </w:r>
      <w:r>
        <w:rPr>
          <w:rFonts w:ascii="Palatino Linotype" w:eastAsia="Palatino Linotype" w:hAnsi="Palatino Linotype" w:cs="Palatino Linotype"/>
          <w:sz w:val="22"/>
          <w:szCs w:val="22"/>
        </w:rPr>
        <w:t xml:space="preserve">, en contra de la respuesta a la solicitud de información por parte del </w:t>
      </w:r>
      <w:r>
        <w:rPr>
          <w:rFonts w:ascii="Palatino Linotype" w:eastAsia="Palatino Linotype" w:hAnsi="Palatino Linotype" w:cs="Palatino Linotype"/>
          <w:b/>
          <w:bCs/>
          <w:sz w:val="22"/>
          <w:szCs w:val="22"/>
        </w:rPr>
        <w:t>Ayuntamiento de Ecatepec</w:t>
      </w:r>
      <w:r>
        <w:rPr>
          <w:rFonts w:ascii="Palatino Linotype" w:eastAsia="Palatino Linotype" w:hAnsi="Palatino Linotype" w:cs="Palatino Linotype"/>
          <w:b/>
          <w:bCs/>
          <w:sz w:val="22"/>
          <w:szCs w:val="22"/>
        </w:rPr>
        <w:t xml:space="preserve"> de Morelos</w:t>
      </w:r>
      <w:r>
        <w:rPr>
          <w:rFonts w:ascii="Palatino Linotype" w:eastAsia="Palatino Linotype" w:hAnsi="Palatino Linotype" w:cs="Palatino Linotype"/>
          <w:sz w:val="22"/>
          <w:szCs w:val="22"/>
        </w:rPr>
        <w:t xml:space="preserve">, en lo sucesivo el </w:t>
      </w:r>
      <w:r>
        <w:rPr>
          <w:rFonts w:ascii="Palatino Linotype" w:eastAsia="Palatino Linotype" w:hAnsi="Palatino Linotype" w:cs="Palatino Linotype"/>
          <w:b/>
          <w:bCs/>
          <w:sz w:val="22"/>
          <w:szCs w:val="22"/>
        </w:rPr>
        <w:t xml:space="preserve">Sujeto Obligado; </w:t>
      </w:r>
      <w:r>
        <w:rPr>
          <w:rFonts w:ascii="Palatino Linotype" w:eastAsia="Palatino Linotype" w:hAnsi="Palatino Linotype" w:cs="Palatino Linotype"/>
          <w:sz w:val="22"/>
          <w:szCs w:val="22"/>
        </w:rPr>
        <w:t>se procede a dictar la presente resolución, con base en lo siguiente.</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ind w:right="49"/>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I.</w:t>
      </w:r>
      <w:r>
        <w:rPr>
          <w:rFonts w:ascii="Palatino Linotype" w:eastAsia="Palatino Linotype" w:hAnsi="Palatino Linotype" w:cs="Palatino Linotype"/>
          <w:b/>
          <w:bCs/>
          <w:sz w:val="22"/>
          <w:szCs w:val="22"/>
        </w:rPr>
        <w:tab/>
        <w:t xml:space="preserve">A N T E C E D E N T E S </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1.</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b/>
          <w:bCs/>
          <w:sz w:val="22"/>
          <w:szCs w:val="22"/>
        </w:rPr>
        <w:t>Solicitud de Acceso a la Información. El veinte de noviembre de dos mil veinticinco</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b/>
          <w:bCs/>
          <w:sz w:val="22"/>
          <w:szCs w:val="22"/>
        </w:rPr>
        <w:t>LA PARTE</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b/>
          <w:bCs/>
          <w:sz w:val="22"/>
          <w:szCs w:val="22"/>
        </w:rPr>
        <w:t>RECURRENTE</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 xml:space="preserve">formuló solicitud de acceso a información pública a través del </w:t>
      </w:r>
      <w:r>
        <w:rPr>
          <w:rFonts w:ascii="Palatino Linotype" w:eastAsia="Palatino Linotype" w:hAnsi="Palatino Linotype" w:cs="Palatino Linotype"/>
          <w:b/>
          <w:bCs/>
          <w:sz w:val="22"/>
          <w:szCs w:val="22"/>
        </w:rPr>
        <w:t>SAIMEX</w:t>
      </w:r>
      <w:r>
        <w:rPr>
          <w:rFonts w:ascii="Palatino Linotype" w:eastAsia="Palatino Linotype" w:hAnsi="Palatino Linotype" w:cs="Palatino Linotype"/>
          <w:sz w:val="22"/>
          <w:szCs w:val="22"/>
        </w:rPr>
        <w:t xml:space="preserve">, en la que requirió lo siguiente: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bCs/>
          <w:sz w:val="22"/>
          <w:szCs w:val="22"/>
        </w:rPr>
      </w:pPr>
      <w:bookmarkStart w:id="1" w:name="_heading=h.3znysh7" w:colFirst="0" w:colLast="0"/>
      <w:bookmarkEnd w:id="1"/>
      <w:r>
        <w:rPr>
          <w:rFonts w:ascii="Palatino Linotype" w:eastAsia="Palatino Linotype" w:hAnsi="Palatino Linotype" w:cs="Palatino Linotype"/>
          <w:b/>
          <w:bCs/>
          <w:sz w:val="22"/>
          <w:szCs w:val="22"/>
        </w:rPr>
        <w:t>00930/ECATEPEC/IP/2025</w:t>
      </w:r>
    </w:p>
    <w:p w:rsidR="00FF2FB2" w:rsidRDefault="00EB54A1">
      <w:pPr>
        <w:spacing w:line="276" w:lineRule="auto"/>
        <w:ind w:left="567" w:right="843"/>
        <w:jc w:val="both"/>
        <w:rPr>
          <w:rFonts w:ascii="Palatino Linotype" w:eastAsia="Palatino Linotype" w:hAnsi="Palatino Linotype" w:cs="Palatino Linotype"/>
          <w:b/>
          <w:bCs/>
          <w:i/>
          <w:iCs/>
          <w:sz w:val="22"/>
          <w:szCs w:val="22"/>
        </w:rPr>
      </w:pPr>
      <w:r>
        <w:rPr>
          <w:rFonts w:ascii="Palatino Linotype" w:eastAsia="Palatino Linotype" w:hAnsi="Palatino Linotype" w:cs="Palatino Linotype"/>
          <w:i/>
          <w:iCs/>
          <w:sz w:val="22"/>
          <w:szCs w:val="22"/>
        </w:rPr>
        <w:t>"En el OFICIO No. DPCB/ECA/1368/2025 de fecha 03 de junio de 2025, dirigido al C. Luis Ángel Hernández Soto, Titular de la Unid</w:t>
      </w:r>
      <w:r>
        <w:rPr>
          <w:rFonts w:ascii="Palatino Linotype" w:eastAsia="Palatino Linotype" w:hAnsi="Palatino Linotype" w:cs="Palatino Linotype"/>
          <w:i/>
          <w:iCs/>
          <w:sz w:val="22"/>
          <w:szCs w:val="22"/>
        </w:rPr>
        <w:t xml:space="preserve">ad de Transparencia, suscrito por el C. Ing. Juan Jesús Clara González, Director de Protección Civil y Bomberos, se cita: "Por lo que se está en espera del oficio de seguimiento y continuidad por parte de la Dirección de Medio Ambiente y Ecología." En los </w:t>
      </w:r>
      <w:r>
        <w:rPr>
          <w:rFonts w:ascii="Palatino Linotype" w:eastAsia="Palatino Linotype" w:hAnsi="Palatino Linotype" w:cs="Palatino Linotype"/>
          <w:i/>
          <w:iCs/>
          <w:sz w:val="22"/>
          <w:szCs w:val="22"/>
        </w:rPr>
        <w:t>archivos físicos y/o electrónicos, del Municipio de Ecatepec de Morelos, se cuenta con información sobre el seguimiento del 03 de junio de 2025 al 20 de noviembre de 2025 y su continuidad de parte de la Dirección de Medio Ambiente y Ecología, y la Direcció</w:t>
      </w:r>
      <w:r>
        <w:rPr>
          <w:rFonts w:ascii="Palatino Linotype" w:eastAsia="Palatino Linotype" w:hAnsi="Palatino Linotype" w:cs="Palatino Linotype"/>
          <w:i/>
          <w:iCs/>
          <w:sz w:val="22"/>
          <w:szCs w:val="22"/>
        </w:rPr>
        <w:t>n de Protección Civil y Bomberos.</w:t>
      </w:r>
      <w:r>
        <w:rPr>
          <w:rFonts w:ascii="Palatino Linotype" w:eastAsia="Palatino Linotype" w:hAnsi="Palatino Linotype" w:cs="Palatino Linotype"/>
          <w:b/>
          <w:bCs/>
          <w:i/>
          <w:iCs/>
          <w:sz w:val="22"/>
          <w:szCs w:val="22"/>
        </w:rPr>
        <w:t>” (Sic.)</w:t>
      </w:r>
    </w:p>
    <w:p w:rsidR="00FF2FB2" w:rsidRDefault="00FF2FB2">
      <w:pPr>
        <w:spacing w:line="360" w:lineRule="auto"/>
        <w:ind w:left="567" w:right="843"/>
        <w:jc w:val="both"/>
        <w:rPr>
          <w:rFonts w:ascii="Palatino Linotype" w:eastAsia="Palatino Linotype" w:hAnsi="Palatino Linotype" w:cs="Palatino Linotype"/>
          <w:i/>
          <w:iCs/>
          <w:sz w:val="22"/>
          <w:szCs w:val="22"/>
        </w:rPr>
      </w:pPr>
    </w:p>
    <w:p w:rsidR="00FF2FB2" w:rsidRDefault="00EB54A1">
      <w:pP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lastRenderedPageBreak/>
        <w:t>Modalidad elegida para la entrega de la información:</w:t>
      </w:r>
      <w:r>
        <w:rPr>
          <w:rFonts w:ascii="Palatino Linotype" w:eastAsia="Palatino Linotype" w:hAnsi="Palatino Linotype" w:cs="Palatino Linotype"/>
          <w:sz w:val="22"/>
          <w:szCs w:val="22"/>
        </w:rPr>
        <w:t xml:space="preserve"> a través del Sistema de Acceso a la Información Mexiquense (SAIMEX).</w:t>
      </w:r>
    </w:p>
    <w:p w:rsidR="00FF2FB2" w:rsidRDefault="00FF2FB2">
      <w:pPr>
        <w:widowControl w:val="0"/>
        <w:spacing w:line="360" w:lineRule="auto"/>
        <w:jc w:val="both"/>
        <w:rPr>
          <w:rFonts w:ascii="Palatino Linotype" w:eastAsia="Palatino Linotype" w:hAnsi="Palatino Linotype" w:cs="Palatino Linotype"/>
          <w:b/>
          <w:bCs/>
          <w:sz w:val="22"/>
          <w:szCs w:val="22"/>
        </w:rPr>
      </w:pPr>
    </w:p>
    <w:p w:rsidR="00FF2FB2" w:rsidRDefault="00EB54A1">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2. Respuesta.</w:t>
      </w:r>
      <w:r>
        <w:rPr>
          <w:rFonts w:ascii="Palatino Linotype" w:eastAsia="Palatino Linotype" w:hAnsi="Palatino Linotype" w:cs="Palatino Linotype"/>
          <w:sz w:val="22"/>
          <w:szCs w:val="22"/>
        </w:rPr>
        <w:t xml:space="preserve"> El </w:t>
      </w:r>
      <w:r>
        <w:rPr>
          <w:rFonts w:ascii="Palatino Linotype" w:eastAsia="Palatino Linotype" w:hAnsi="Palatino Linotype" w:cs="Palatino Linotype"/>
          <w:b/>
          <w:bCs/>
          <w:sz w:val="22"/>
          <w:szCs w:val="22"/>
        </w:rPr>
        <w:t>nueve</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b/>
          <w:bCs/>
          <w:sz w:val="22"/>
          <w:szCs w:val="22"/>
        </w:rPr>
        <w:t>de diciembre de dos mil veinticinco</w:t>
      </w:r>
      <w:r>
        <w:rPr>
          <w:rFonts w:ascii="Palatino Linotype" w:eastAsia="Palatino Linotype" w:hAnsi="Palatino Linotype" w:cs="Palatino Linotype"/>
          <w:sz w:val="22"/>
          <w:szCs w:val="22"/>
        </w:rPr>
        <w:t>, el Sujeto Obligado dio respuesta a la solicitud en los siguientes términos:</w:t>
      </w:r>
    </w:p>
    <w:p w:rsidR="00FF2FB2" w:rsidRDefault="00FF2FB2">
      <w:pPr>
        <w:widowControl w:val="0"/>
        <w:spacing w:line="360" w:lineRule="auto"/>
        <w:jc w:val="both"/>
        <w:rPr>
          <w:rFonts w:ascii="Palatino Linotype" w:eastAsia="Palatino Linotype" w:hAnsi="Palatino Linotype" w:cs="Palatino Linotype"/>
          <w:sz w:val="22"/>
          <w:szCs w:val="22"/>
        </w:rPr>
      </w:pPr>
    </w:p>
    <w:p w:rsidR="00FF2FB2" w:rsidRDefault="00EB54A1">
      <w:pPr>
        <w:widowControl w:val="0"/>
        <w:spacing w:line="360" w:lineRule="auto"/>
        <w:ind w:left="567" w:right="843"/>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“En respuesta a la solicitud recibida, nos permitimos hacer de su conocimiento que con fundamento en el artículo 53, Fracciones: II, V y VI de la Ley de Transparencia y Acceso a</w:t>
      </w:r>
      <w:r>
        <w:rPr>
          <w:rFonts w:ascii="Palatino Linotype" w:eastAsia="Palatino Linotype" w:hAnsi="Palatino Linotype" w:cs="Palatino Linotype"/>
          <w:i/>
          <w:iCs/>
          <w:sz w:val="22"/>
          <w:szCs w:val="22"/>
        </w:rPr>
        <w:t xml:space="preserve"> la Información Pública del Estado de México y Municipios, le contestamos que:</w:t>
      </w:r>
    </w:p>
    <w:p w:rsidR="00FF2FB2" w:rsidRDefault="00EB54A1">
      <w:pPr>
        <w:widowControl w:val="0"/>
        <w:spacing w:line="360" w:lineRule="auto"/>
        <w:ind w:left="567" w:right="843"/>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se anexa archivo adjunto</w:t>
      </w:r>
    </w:p>
    <w:p w:rsidR="00FF2FB2" w:rsidRDefault="00EB54A1">
      <w:pPr>
        <w:widowControl w:val="0"/>
        <w:spacing w:line="360" w:lineRule="auto"/>
        <w:ind w:left="567" w:right="843"/>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ATENTAMENTE</w:t>
      </w:r>
    </w:p>
    <w:p w:rsidR="00FF2FB2" w:rsidRDefault="00EB54A1">
      <w:pPr>
        <w:widowControl w:val="0"/>
        <w:spacing w:line="360" w:lineRule="auto"/>
        <w:ind w:left="567" w:right="843"/>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Cristina Muñoz Gallardo”</w:t>
      </w:r>
    </w:p>
    <w:p w:rsidR="00FF2FB2" w:rsidRDefault="00FF2FB2">
      <w:pPr>
        <w:widowControl w:val="0"/>
        <w:spacing w:line="360" w:lineRule="auto"/>
        <w:ind w:left="567" w:right="843"/>
        <w:jc w:val="both"/>
        <w:rPr>
          <w:rFonts w:ascii="Palatino Linotype" w:eastAsia="Palatino Linotype" w:hAnsi="Palatino Linotype" w:cs="Palatino Linotype"/>
          <w:i/>
          <w:iCs/>
          <w:sz w:val="22"/>
          <w:szCs w:val="22"/>
        </w:rPr>
      </w:pPr>
    </w:p>
    <w:p w:rsidR="00FF2FB2" w:rsidRDefault="00EB54A1">
      <w:pPr>
        <w:widowControl w:val="0"/>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Sujeto Obligado adjuntó los documentos electrónicos siguientes:</w:t>
      </w:r>
    </w:p>
    <w:p w:rsidR="00FF2FB2" w:rsidRDefault="00FF2FB2">
      <w:pPr>
        <w:widowControl w:val="0"/>
        <w:spacing w:line="360" w:lineRule="auto"/>
        <w:jc w:val="both"/>
        <w:rPr>
          <w:rFonts w:ascii="Palatino Linotype" w:eastAsia="Palatino Linotype" w:hAnsi="Palatino Linotype" w:cs="Palatino Linotype"/>
          <w:sz w:val="22"/>
          <w:szCs w:val="22"/>
        </w:rPr>
      </w:pPr>
    </w:p>
    <w:p w:rsidR="00FF2FB2" w:rsidRDefault="00EB54A1">
      <w:pPr>
        <w:widowControl w:val="0"/>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930_00476520251126104410.pdf: </w:t>
      </w:r>
      <w:r>
        <w:rPr>
          <w:rFonts w:ascii="Palatino Linotype" w:eastAsia="Palatino Linotype" w:hAnsi="Palatino Linotype" w:cs="Palatino Linotype"/>
          <w:color w:val="000000"/>
          <w:sz w:val="22"/>
          <w:szCs w:val="22"/>
        </w:rPr>
        <w:t>Oficio signado p</w:t>
      </w:r>
      <w:r>
        <w:rPr>
          <w:rFonts w:ascii="Palatino Linotype" w:eastAsia="Palatino Linotype" w:hAnsi="Palatino Linotype" w:cs="Palatino Linotype"/>
          <w:color w:val="000000"/>
          <w:sz w:val="22"/>
          <w:szCs w:val="22"/>
        </w:rPr>
        <w:t xml:space="preserve">or la </w:t>
      </w:r>
      <w:r>
        <w:rPr>
          <w:rFonts w:ascii="Palatino Linotype" w:eastAsia="Palatino Linotype" w:hAnsi="Palatino Linotype" w:cs="Palatino Linotype"/>
          <w:b/>
          <w:bCs/>
          <w:color w:val="000000"/>
          <w:sz w:val="22"/>
          <w:szCs w:val="22"/>
          <w:u w:val="single"/>
        </w:rPr>
        <w:t>Directora de Medio Ambiente y Ecología</w:t>
      </w:r>
      <w:r>
        <w:rPr>
          <w:rFonts w:ascii="Palatino Linotype" w:eastAsia="Palatino Linotype" w:hAnsi="Palatino Linotype" w:cs="Palatino Linotype"/>
          <w:color w:val="000000"/>
          <w:sz w:val="22"/>
          <w:szCs w:val="22"/>
        </w:rPr>
        <w:t xml:space="preserve"> mediante el cual refiere que no se localizó el oficio que refiere el particular en la solicitud. Asimismo, refiere que se adjunta el acta informativa de Control Interno del Subdirector de Jurídico de la Dirección de Medio Ambiente y Ecología en la que se </w:t>
      </w:r>
      <w:r>
        <w:rPr>
          <w:rFonts w:ascii="Palatino Linotype" w:eastAsia="Palatino Linotype" w:hAnsi="Palatino Linotype" w:cs="Palatino Linotype"/>
          <w:color w:val="000000"/>
          <w:sz w:val="22"/>
          <w:szCs w:val="22"/>
        </w:rPr>
        <w:t>hace constar la búsqueda practicada bajo protesta de decir verdad que no se localizó información.</w:t>
      </w:r>
    </w:p>
    <w:p w:rsidR="00FF2FB2" w:rsidRDefault="00EB54A1">
      <w:pPr>
        <w:widowControl w:val="0"/>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0930 - 3221.pdf: Contiene los siguientes documentos:</w:t>
      </w:r>
    </w:p>
    <w:p w:rsidR="00FF2FB2" w:rsidRDefault="00EB54A1">
      <w:pPr>
        <w:widowControl w:val="0"/>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Oficio del </w:t>
      </w:r>
      <w:r>
        <w:rPr>
          <w:rFonts w:ascii="Palatino Linotype" w:eastAsia="Palatino Linotype" w:hAnsi="Palatino Linotype" w:cs="Palatino Linotype"/>
          <w:b/>
          <w:bCs/>
          <w:color w:val="000000"/>
          <w:sz w:val="22"/>
          <w:szCs w:val="22"/>
          <w:u w:val="single"/>
        </w:rPr>
        <w:t>Director de Protección Civil y Bomberos</w:t>
      </w:r>
      <w:r>
        <w:rPr>
          <w:rFonts w:ascii="Palatino Linotype" w:eastAsia="Palatino Linotype" w:hAnsi="Palatino Linotype" w:cs="Palatino Linotype"/>
          <w:color w:val="000000"/>
          <w:sz w:val="22"/>
          <w:szCs w:val="22"/>
        </w:rPr>
        <w:t xml:space="preserve"> en el que refiere que se adjunta el oficio DPCB/00743/</w:t>
      </w:r>
      <w:r>
        <w:rPr>
          <w:rFonts w:ascii="Palatino Linotype" w:eastAsia="Palatino Linotype" w:hAnsi="Palatino Linotype" w:cs="Palatino Linotype"/>
          <w:color w:val="000000"/>
          <w:sz w:val="22"/>
          <w:szCs w:val="22"/>
        </w:rPr>
        <w:t xml:space="preserve">2025; el Oficio DMAYEC/ECA/0690/2025; Acta circunstanciada de fecha 23 de julio del expediente DPCB/ECA/OP/00003/2025; </w:t>
      </w:r>
      <w:r>
        <w:rPr>
          <w:rFonts w:ascii="Palatino Linotype" w:eastAsia="Palatino Linotype" w:hAnsi="Palatino Linotype" w:cs="Palatino Linotype"/>
          <w:color w:val="000000"/>
          <w:sz w:val="22"/>
          <w:szCs w:val="22"/>
        </w:rPr>
        <w:lastRenderedPageBreak/>
        <w:t>y el Acta circunstanciada del siete de agosto de dos mil veinticinco.</w:t>
      </w:r>
    </w:p>
    <w:p w:rsidR="00FF2FB2" w:rsidRDefault="00EB54A1">
      <w:pPr>
        <w:widowControl w:val="0"/>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Acta circunstanciada del siete de agosto de dos mil veinticinco.</w:t>
      </w:r>
    </w:p>
    <w:p w:rsidR="00FF2FB2" w:rsidRDefault="00EB54A1">
      <w:pPr>
        <w:widowControl w:val="0"/>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Oficio DMAYEC/ECA/0775/2025 suscrito por la Directora de Medio Ambiente y Ecología dirigido al Director de Protección Civil mediante el cual refiere que facilite personal a su cargo para realizar la tala de un árbol con riesgo inminente a un inmueble.</w:t>
      </w:r>
    </w:p>
    <w:p w:rsidR="00FF2FB2" w:rsidRDefault="00EB54A1">
      <w:pPr>
        <w:widowControl w:val="0"/>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Acta</w:t>
      </w:r>
      <w:r>
        <w:rPr>
          <w:rFonts w:ascii="Palatino Linotype" w:eastAsia="Palatino Linotype" w:hAnsi="Palatino Linotype" w:cs="Palatino Linotype"/>
          <w:color w:val="000000"/>
          <w:sz w:val="22"/>
          <w:szCs w:val="22"/>
        </w:rPr>
        <w:t xml:space="preserve"> circunstanciada del veintitrés de julio de dos mil veinticinco;</w:t>
      </w:r>
    </w:p>
    <w:p w:rsidR="00FF2FB2" w:rsidRDefault="00EB54A1">
      <w:pPr>
        <w:widowControl w:val="0"/>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Oficio DMAYEC/ECA/0690/2025 suscrito por la Directora de Medio Ambiente y Ecología dirigido al Director de Protección Civil y Bomberos mediante el cual refiere que el personal de la Dirección</w:t>
      </w:r>
      <w:r>
        <w:rPr>
          <w:rFonts w:ascii="Palatino Linotype" w:eastAsia="Palatino Linotype" w:hAnsi="Palatino Linotype" w:cs="Palatino Linotype"/>
          <w:color w:val="000000"/>
          <w:sz w:val="22"/>
          <w:szCs w:val="22"/>
        </w:rPr>
        <w:t xml:space="preserve"> realizó un dictamen técnico en referencia a un árbol.</w:t>
      </w:r>
    </w:p>
    <w:p w:rsidR="00FF2FB2" w:rsidRDefault="00EB54A1">
      <w:pPr>
        <w:widowControl w:val="0"/>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Dictamen Técnico; y</w:t>
      </w:r>
    </w:p>
    <w:p w:rsidR="00FF2FB2" w:rsidRDefault="00EB54A1">
      <w:pPr>
        <w:widowControl w:val="0"/>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Reporte Fotográfico.</w:t>
      </w:r>
    </w:p>
    <w:p w:rsidR="00FF2FB2" w:rsidRDefault="00EB54A1">
      <w:pPr>
        <w:widowControl w:val="0"/>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CT_UT_ECA_1330_2025 contestacion a sol. 0930 (2).pdf: </w:t>
      </w:r>
      <w:r>
        <w:rPr>
          <w:rFonts w:ascii="Palatino Linotype" w:eastAsia="Palatino Linotype" w:hAnsi="Palatino Linotype" w:cs="Palatino Linotype"/>
          <w:color w:val="000000"/>
          <w:sz w:val="22"/>
          <w:szCs w:val="22"/>
        </w:rPr>
        <w:t>Oficio suscrito por el Titular de la Unidad de Transparencia mediante el cual refiere que anexa la respues</w:t>
      </w:r>
      <w:r>
        <w:rPr>
          <w:rFonts w:ascii="Palatino Linotype" w:eastAsia="Palatino Linotype" w:hAnsi="Palatino Linotype" w:cs="Palatino Linotype"/>
          <w:color w:val="000000"/>
          <w:sz w:val="22"/>
          <w:szCs w:val="22"/>
        </w:rPr>
        <w:t>ta de las unidades administrativas</w:t>
      </w:r>
    </w:p>
    <w:p w:rsidR="00FF2FB2" w:rsidRDefault="00FF2FB2">
      <w:pPr>
        <w:widowControl w:val="0"/>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3. Del Recurso de Revisión. </w:t>
      </w:r>
      <w:r>
        <w:rPr>
          <w:rFonts w:ascii="Palatino Linotype" w:eastAsia="Palatino Linotype" w:hAnsi="Palatino Linotype" w:cs="Palatino Linotype"/>
          <w:sz w:val="22"/>
          <w:szCs w:val="22"/>
        </w:rPr>
        <w:t>Inconforme con la respuesta del</w:t>
      </w:r>
      <w:r>
        <w:rPr>
          <w:rFonts w:ascii="Palatino Linotype" w:eastAsia="Palatino Linotype" w:hAnsi="Palatino Linotype" w:cs="Palatino Linotype"/>
          <w:b/>
          <w:bCs/>
          <w:sz w:val="22"/>
          <w:szCs w:val="22"/>
        </w:rPr>
        <w:t xml:space="preserve"> SUJETO OBLIGADO, </w:t>
      </w:r>
      <w:r>
        <w:rPr>
          <w:rFonts w:ascii="Palatino Linotype" w:eastAsia="Palatino Linotype" w:hAnsi="Palatino Linotype" w:cs="Palatino Linotype"/>
          <w:sz w:val="22"/>
          <w:szCs w:val="22"/>
        </w:rPr>
        <w:t xml:space="preserve">el </w:t>
      </w:r>
      <w:r>
        <w:rPr>
          <w:rFonts w:ascii="Palatino Linotype" w:eastAsia="Palatino Linotype" w:hAnsi="Palatino Linotype" w:cs="Palatino Linotype"/>
          <w:b/>
          <w:bCs/>
          <w:sz w:val="22"/>
          <w:szCs w:val="22"/>
        </w:rPr>
        <w:t xml:space="preserve">diecinueve </w:t>
      </w:r>
      <w:r>
        <w:rPr>
          <w:rFonts w:ascii="Palatino Linotype" w:eastAsia="Palatino Linotype" w:hAnsi="Palatino Linotype" w:cs="Palatino Linotype"/>
          <w:sz w:val="22"/>
          <w:szCs w:val="22"/>
        </w:rPr>
        <w:t>d</w:t>
      </w:r>
      <w:r>
        <w:rPr>
          <w:rFonts w:ascii="Palatino Linotype" w:eastAsia="Palatino Linotype" w:hAnsi="Palatino Linotype" w:cs="Palatino Linotype"/>
          <w:b/>
          <w:bCs/>
          <w:sz w:val="22"/>
          <w:szCs w:val="22"/>
        </w:rPr>
        <w:t xml:space="preserve">e diciembre de dos mil veinticinco, LA PARTE RECURRENTE </w:t>
      </w:r>
      <w:r>
        <w:rPr>
          <w:rFonts w:ascii="Palatino Linotype" w:eastAsia="Palatino Linotype" w:hAnsi="Palatino Linotype" w:cs="Palatino Linotype"/>
          <w:sz w:val="22"/>
          <w:szCs w:val="22"/>
        </w:rPr>
        <w:t xml:space="preserve">interpuso el recurso de revisión, mediante el cual y manifestó lo siguiente: </w:t>
      </w:r>
    </w:p>
    <w:p w:rsidR="00FF2FB2" w:rsidRDefault="00EB54A1">
      <w:pPr>
        <w:numPr>
          <w:ilvl w:val="0"/>
          <w:numId w:val="1"/>
        </w:numPr>
        <w:pBdr>
          <w:top w:val="nil"/>
          <w:left w:val="nil"/>
          <w:bottom w:val="nil"/>
          <w:right w:val="nil"/>
          <w:between w:val="nil"/>
        </w:pBdr>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b/>
          <w:bCs/>
          <w:i/>
          <w:iCs/>
          <w:color w:val="000000"/>
          <w:sz w:val="22"/>
          <w:szCs w:val="22"/>
        </w:rPr>
        <w:t>Acto Impugnado:</w:t>
      </w:r>
      <w:r>
        <w:rPr>
          <w:rFonts w:ascii="Palatino Linotype" w:eastAsia="Palatino Linotype" w:hAnsi="Palatino Linotype" w:cs="Palatino Linotype"/>
          <w:i/>
          <w:iCs/>
          <w:color w:val="000000"/>
          <w:sz w:val="22"/>
          <w:szCs w:val="22"/>
        </w:rPr>
        <w:t xml:space="preserve"> “En el OFICIO No. DPCB/ECA/1368/2025 de fecha 03 de junio de 2025, dirigido al C. Luis Ángel Hernández Soto, Titular de la Unidad de Transparencia, suscrito por el C. Ing. Juan Jesús Clara González, Director de Protección Civil y Bomberos, se cita: "Por l</w:t>
      </w:r>
      <w:r>
        <w:rPr>
          <w:rFonts w:ascii="Palatino Linotype" w:eastAsia="Palatino Linotype" w:hAnsi="Palatino Linotype" w:cs="Palatino Linotype"/>
          <w:i/>
          <w:iCs/>
          <w:color w:val="000000"/>
          <w:sz w:val="22"/>
          <w:szCs w:val="22"/>
        </w:rPr>
        <w:t>o que se está en espera del oficio de seguimiento y continuidad por parte de la Dirección de Medio Ambiente y Ecología." En los archivos físicos y/o electrónicos, del Municipio de Ecatepec de Morelos, se cuenta con información sobre el seguimiento del 03 d</w:t>
      </w:r>
      <w:r>
        <w:rPr>
          <w:rFonts w:ascii="Palatino Linotype" w:eastAsia="Palatino Linotype" w:hAnsi="Palatino Linotype" w:cs="Palatino Linotype"/>
          <w:i/>
          <w:iCs/>
          <w:color w:val="000000"/>
          <w:sz w:val="22"/>
          <w:szCs w:val="22"/>
        </w:rPr>
        <w:t>e junio de 2025 al 20 de noviembre de 2025 y su continuidad de parte de la Dirección de Medio Ambiente y Ecología, y la Dirección de Protección Civil y Bomberos.” (Sic.)</w:t>
      </w:r>
    </w:p>
    <w:p w:rsidR="00FF2FB2" w:rsidRDefault="00FF2FB2">
      <w:pPr>
        <w:pBdr>
          <w:top w:val="nil"/>
          <w:left w:val="nil"/>
          <w:bottom w:val="nil"/>
          <w:right w:val="nil"/>
          <w:between w:val="nil"/>
        </w:pBdr>
        <w:spacing w:line="276" w:lineRule="auto"/>
        <w:ind w:left="720" w:right="560"/>
        <w:jc w:val="both"/>
        <w:rPr>
          <w:rFonts w:ascii="Palatino Linotype" w:eastAsia="Palatino Linotype" w:hAnsi="Palatino Linotype" w:cs="Palatino Linotype"/>
          <w:i/>
          <w:iCs/>
          <w:sz w:val="22"/>
          <w:szCs w:val="22"/>
        </w:rPr>
      </w:pPr>
    </w:p>
    <w:p w:rsidR="00FF2FB2" w:rsidRDefault="00EB54A1">
      <w:pPr>
        <w:numPr>
          <w:ilvl w:val="0"/>
          <w:numId w:val="1"/>
        </w:numPr>
        <w:pBdr>
          <w:top w:val="nil"/>
          <w:left w:val="nil"/>
          <w:bottom w:val="nil"/>
          <w:right w:val="nil"/>
          <w:between w:val="nil"/>
        </w:pBdr>
        <w:rPr>
          <w:color w:val="000000"/>
        </w:rPr>
      </w:pPr>
      <w:r>
        <w:rPr>
          <w:b/>
          <w:bCs/>
          <w:color w:val="000000"/>
        </w:rPr>
        <w:t>Motivo de inconformidad:</w:t>
      </w:r>
      <w:r>
        <w:rPr>
          <w:color w:val="000000"/>
        </w:rPr>
        <w:t xml:space="preserve"> “</w:t>
      </w:r>
      <w:r>
        <w:rPr>
          <w:rFonts w:ascii="Palatino Linotype" w:eastAsia="Palatino Linotype" w:hAnsi="Palatino Linotype" w:cs="Palatino Linotype"/>
          <w:i/>
          <w:iCs/>
          <w:color w:val="000000"/>
          <w:sz w:val="22"/>
          <w:szCs w:val="22"/>
        </w:rPr>
        <w:t>La respuesta a la solicitud de información está incompleta, debido a que el DICTAMEN TECNICO está INCOMPLETO y un ACTA INFORMATIVA de la Dirección de Medio Ambiente y Ecología, NO sustituye al ACTA DEL COMITE DE TRANSPARENCIA.</w:t>
      </w:r>
      <w:r>
        <w:rPr>
          <w:color w:val="000000"/>
        </w:rPr>
        <w:t>” (Sic.)</w:t>
      </w:r>
    </w:p>
    <w:p w:rsidR="00FF2FB2" w:rsidRDefault="00FF2FB2">
      <w:pPr>
        <w:pBdr>
          <w:top w:val="nil"/>
          <w:left w:val="nil"/>
          <w:bottom w:val="nil"/>
          <w:right w:val="nil"/>
          <w:between w:val="nil"/>
        </w:pBdr>
        <w:ind w:left="720"/>
        <w:rPr>
          <w:rFonts w:ascii="Palatino Linotype" w:eastAsia="Palatino Linotype" w:hAnsi="Palatino Linotype" w:cs="Palatino Linotype"/>
          <w:i/>
          <w:iCs/>
          <w:color w:val="000000"/>
          <w:sz w:val="22"/>
          <w:szCs w:val="22"/>
        </w:rPr>
      </w:pPr>
    </w:p>
    <w:p w:rsidR="00FF2FB2" w:rsidRDefault="00FF2FB2">
      <w:pPr>
        <w:pBdr>
          <w:top w:val="nil"/>
          <w:left w:val="nil"/>
          <w:bottom w:val="nil"/>
          <w:right w:val="nil"/>
          <w:between w:val="nil"/>
        </w:pBdr>
        <w:ind w:left="720"/>
        <w:rPr>
          <w:rFonts w:ascii="Palatino Linotype" w:eastAsia="Palatino Linotype" w:hAnsi="Palatino Linotype" w:cs="Palatino Linotype"/>
          <w:i/>
          <w:iCs/>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4. Turno. </w:t>
      </w:r>
      <w:r>
        <w:rPr>
          <w:rFonts w:ascii="Palatino Linotype" w:eastAsia="Palatino Linotype" w:hAnsi="Palatino Linotype" w:cs="Palatino Linotype"/>
          <w:sz w:val="22"/>
          <w:szCs w:val="22"/>
        </w:rPr>
        <w:t>De confor</w:t>
      </w:r>
      <w:r>
        <w:rPr>
          <w:rFonts w:ascii="Palatino Linotype" w:eastAsia="Palatino Linotype" w:hAnsi="Palatino Linotype" w:cs="Palatino Linotype"/>
          <w:sz w:val="22"/>
          <w:szCs w:val="22"/>
        </w:rPr>
        <w:t xml:space="preserve">midad con el artículo 185, fracción I de la Ley de Transparencia y Acceso a la Información Pública del Estado de México y Municipios, el recurso de revisión número </w:t>
      </w:r>
      <w:r>
        <w:rPr>
          <w:rFonts w:ascii="Palatino Linotype" w:eastAsia="Palatino Linotype" w:hAnsi="Palatino Linotype" w:cs="Palatino Linotype"/>
          <w:b/>
          <w:bCs/>
          <w:sz w:val="22"/>
          <w:szCs w:val="22"/>
        </w:rPr>
        <w:t>14694/INFOEM/IP/RR/2025</w:t>
      </w:r>
      <w:r>
        <w:rPr>
          <w:rFonts w:ascii="Palatino Linotype" w:eastAsia="Palatino Linotype" w:hAnsi="Palatino Linotype" w:cs="Palatino Linotype"/>
          <w:sz w:val="22"/>
          <w:szCs w:val="22"/>
        </w:rPr>
        <w:t>, se turnó por el sistema electrónico del Instituto de Transparencia,</w:t>
      </w:r>
      <w:r>
        <w:rPr>
          <w:rFonts w:ascii="Palatino Linotype" w:eastAsia="Palatino Linotype" w:hAnsi="Palatino Linotype" w:cs="Palatino Linotype"/>
          <w:sz w:val="22"/>
          <w:szCs w:val="22"/>
        </w:rPr>
        <w:t xml:space="preserve"> Acceso a la Información Pública y Protección de Datos Personales del Estado de México y Municipios, a la Comisionada </w:t>
      </w:r>
      <w:r>
        <w:rPr>
          <w:rFonts w:ascii="Palatino Linotype" w:eastAsia="Palatino Linotype" w:hAnsi="Palatino Linotype" w:cs="Palatino Linotype"/>
          <w:b/>
          <w:bCs/>
          <w:sz w:val="22"/>
          <w:szCs w:val="22"/>
        </w:rPr>
        <w:t>Guadalupe Ramírez Peña</w:t>
      </w:r>
      <w:r>
        <w:rPr>
          <w:rFonts w:ascii="Palatino Linotype" w:eastAsia="Palatino Linotype" w:hAnsi="Palatino Linotype" w:cs="Palatino Linotype"/>
          <w:sz w:val="22"/>
          <w:szCs w:val="22"/>
        </w:rPr>
        <w:t>, para su análisis, estudio, elaboración del proyecto y presentación ante el Pleno de este Instituto.</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5. Admisión. </w:t>
      </w:r>
      <w:r>
        <w:rPr>
          <w:rFonts w:ascii="Palatino Linotype" w:eastAsia="Palatino Linotype" w:hAnsi="Palatino Linotype" w:cs="Palatino Linotype"/>
          <w:sz w:val="22"/>
          <w:szCs w:val="22"/>
        </w:rPr>
        <w:t xml:space="preserve">El </w:t>
      </w:r>
      <w:r>
        <w:rPr>
          <w:rFonts w:ascii="Palatino Linotype" w:eastAsia="Palatino Linotype" w:hAnsi="Palatino Linotype" w:cs="Palatino Linotype"/>
          <w:b/>
          <w:bCs/>
          <w:sz w:val="22"/>
          <w:szCs w:val="22"/>
        </w:rPr>
        <w:t>quince de enero de dos mil veintiséis</w:t>
      </w:r>
      <w:r>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Pr>
          <w:rFonts w:ascii="Palatino Linotype" w:eastAsia="Palatino Linotype" w:hAnsi="Palatino Linotype" w:cs="Palatino Linotype"/>
          <w:b/>
          <w:bCs/>
          <w:sz w:val="22"/>
          <w:szCs w:val="22"/>
        </w:rPr>
        <w:t xml:space="preserve">. </w:t>
      </w:r>
    </w:p>
    <w:p w:rsidR="00FF2FB2" w:rsidRDefault="00FF2FB2">
      <w:pPr>
        <w:spacing w:line="360" w:lineRule="auto"/>
        <w:jc w:val="both"/>
        <w:rPr>
          <w:rFonts w:ascii="Palatino Linotype" w:eastAsia="Palatino Linotype" w:hAnsi="Palatino Linotype" w:cs="Palatino Linotype"/>
          <w:b/>
          <w:bCs/>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6.</w:t>
      </w:r>
      <w:r>
        <w:rPr>
          <w:rFonts w:ascii="Palatino Linotype" w:eastAsia="Palatino Linotype" w:hAnsi="Palatino Linotype" w:cs="Palatino Linotype"/>
          <w:b/>
          <w:bCs/>
          <w:sz w:val="22"/>
          <w:szCs w:val="22"/>
        </w:rPr>
        <w:t xml:space="preserve"> Manifestaciones.</w:t>
      </w:r>
      <w:r>
        <w:rPr>
          <w:rFonts w:ascii="Palatino Linotype" w:eastAsia="Palatino Linotype" w:hAnsi="Palatino Linotype" w:cs="Palatino Linotype"/>
          <w:sz w:val="22"/>
          <w:szCs w:val="22"/>
        </w:rPr>
        <w:t xml:space="preserve"> De las constancias que obran en el expediente electrónico del SAIMEX, se advierte que el Sujeto Obligado rindió su informe justificado, el </w:t>
      </w:r>
      <w:r>
        <w:rPr>
          <w:rFonts w:ascii="Palatino Linotype" w:eastAsia="Palatino Linotype" w:hAnsi="Palatino Linotype" w:cs="Palatino Linotype"/>
          <w:b/>
          <w:bCs/>
          <w:sz w:val="22"/>
          <w:szCs w:val="22"/>
        </w:rPr>
        <w:t>quince de enero de dos mil veintiséis,</w:t>
      </w:r>
      <w:r>
        <w:rPr>
          <w:rFonts w:ascii="Palatino Linotype" w:eastAsia="Palatino Linotype" w:hAnsi="Palatino Linotype" w:cs="Palatino Linotype"/>
          <w:sz w:val="22"/>
          <w:szCs w:val="22"/>
        </w:rPr>
        <w:t xml:space="preserve"> a través del documento electrónico denominado </w:t>
      </w:r>
      <w:r>
        <w:rPr>
          <w:rFonts w:ascii="Palatino Linotype" w:eastAsia="Palatino Linotype" w:hAnsi="Palatino Linotype" w:cs="Palatino Linotype"/>
          <w:b/>
          <w:bCs/>
          <w:sz w:val="22"/>
          <w:szCs w:val="22"/>
        </w:rPr>
        <w:t>CT_UT_ECA_0071</w:t>
      </w:r>
      <w:r>
        <w:rPr>
          <w:rFonts w:ascii="Palatino Linotype" w:eastAsia="Palatino Linotype" w:hAnsi="Palatino Linotype" w:cs="Palatino Linotype"/>
          <w:b/>
          <w:bCs/>
          <w:sz w:val="22"/>
          <w:szCs w:val="22"/>
        </w:rPr>
        <w:t xml:space="preserve">_2026 informe justificado RR14694.pdf </w:t>
      </w:r>
      <w:r>
        <w:rPr>
          <w:rFonts w:ascii="Palatino Linotype" w:eastAsia="Palatino Linotype" w:hAnsi="Palatino Linotype" w:cs="Palatino Linotype"/>
          <w:sz w:val="22"/>
          <w:szCs w:val="22"/>
        </w:rPr>
        <w:t>mediante el cual medularmente ratifica la respuesta inicial.</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7. Cierre de instrucción</w:t>
      </w:r>
      <w:r>
        <w:rPr>
          <w:rFonts w:ascii="Palatino Linotype" w:eastAsia="Palatino Linotype" w:hAnsi="Palatino Linotype" w:cs="Palatino Linotype"/>
          <w:sz w:val="22"/>
          <w:szCs w:val="22"/>
        </w:rPr>
        <w:t xml:space="preserve">. En fecha </w:t>
      </w:r>
      <w:r>
        <w:rPr>
          <w:rFonts w:ascii="Palatino Linotype" w:eastAsia="Palatino Linotype" w:hAnsi="Palatino Linotype" w:cs="Palatino Linotype"/>
          <w:b/>
          <w:bCs/>
          <w:sz w:val="22"/>
          <w:szCs w:val="22"/>
        </w:rPr>
        <w:t>veinticinco</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b/>
          <w:bCs/>
          <w:sz w:val="22"/>
          <w:szCs w:val="22"/>
        </w:rPr>
        <w:t>de febrero de dos mil veintiséis</w:t>
      </w:r>
      <w:r>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Debido a que fue debidamente sustanciado </w:t>
      </w:r>
      <w:r>
        <w:rPr>
          <w:rFonts w:ascii="Palatino Linotype" w:eastAsia="Palatino Linotype" w:hAnsi="Palatino Linotype" w:cs="Palatino Linotype"/>
          <w:sz w:val="22"/>
          <w:szCs w:val="22"/>
        </w:rPr>
        <w:tab/>
        <w:t>el expedie</w:t>
      </w:r>
      <w:r>
        <w:rPr>
          <w:rFonts w:ascii="Palatino Linotype" w:eastAsia="Palatino Linotype" w:hAnsi="Palatino Linotype" w:cs="Palatino Linotype"/>
          <w:sz w:val="22"/>
          <w:szCs w:val="22"/>
        </w:rPr>
        <w:t xml:space="preserve">nte electrónico y no existe diligencia pendiente de desahogo, se emite la Resolución que conforme a Derecho proceda, de acuerdo con los siguientes: </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ind w:left="720" w:right="49" w:hanging="720"/>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II.</w:t>
      </w:r>
      <w:r>
        <w:rPr>
          <w:rFonts w:ascii="Palatino Linotype" w:eastAsia="Palatino Linotype" w:hAnsi="Palatino Linotype" w:cs="Palatino Linotype"/>
          <w:b/>
          <w:bCs/>
          <w:sz w:val="22"/>
          <w:szCs w:val="22"/>
        </w:rPr>
        <w:tab/>
        <w:t xml:space="preserve">C O N S I D E R A N D O: </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Primero. Competencia.</w:t>
      </w:r>
      <w:r>
        <w:rPr>
          <w:rFonts w:ascii="Palatino Linotype" w:eastAsia="Palatino Linotype" w:hAnsi="Palatino Linotype" w:cs="Palatino Linotype"/>
          <w:sz w:val="22"/>
          <w:szCs w:val="22"/>
        </w:rPr>
        <w:t xml:space="preserve"> El Instituto de Transparencia, Acceso a la Informació</w:t>
      </w:r>
      <w:r>
        <w:rPr>
          <w:rFonts w:ascii="Palatino Linotype" w:eastAsia="Palatino Linotype" w:hAnsi="Palatino Linotype" w:cs="Palatino Linotype"/>
          <w:sz w:val="22"/>
          <w:szCs w:val="22"/>
        </w:rPr>
        <w:t>n Pública y Protección de Datos Personales del Estado de México y Municipios, es competente para conocer y resolver el presente recurso de revisión interpuesto por la parte recurrente, conforme a lo dispuesto en los artículos 6, apartado A de la Constituci</w:t>
      </w:r>
      <w:r>
        <w:rPr>
          <w:rFonts w:ascii="Palatino Linotype" w:eastAsia="Palatino Linotype" w:hAnsi="Palatino Linotype" w:cs="Palatino Linotype"/>
          <w:sz w:val="22"/>
          <w:szCs w:val="22"/>
        </w:rPr>
        <w:t>ón Política de los Estados Unidos Mexicanos; 5 párrafos cuadragésimo cuarto, cuadragésimo quinto, cuadragésimo sexto, fracciones IV y V de la Constitución Política del Estado Libre y Soberano de México; Transitorio Cuarto, párrafo segundo del Decreto númer</w:t>
      </w:r>
      <w:r>
        <w:rPr>
          <w:rFonts w:ascii="Palatino Linotype" w:eastAsia="Palatino Linotype" w:hAnsi="Palatino Linotype" w:cs="Palatino Linotype"/>
          <w:sz w:val="22"/>
          <w:szCs w:val="22"/>
        </w:rPr>
        <w:t xml:space="preserve">o 198 de la “LXII” Legislatura del Estado de México; 2, fracción II; 29, 36 fracciones I y II; 176, 178, 181, 185, fracción I, 186 y 188 de la Ley Transparencia y Acceso a la Información Pública del Estado de México y Municipios; 9, fracciones I y XXIII y </w:t>
      </w:r>
      <w:r>
        <w:rPr>
          <w:rFonts w:ascii="Palatino Linotype" w:eastAsia="Palatino Linotype" w:hAnsi="Palatino Linotype" w:cs="Palatino Linotype"/>
          <w:sz w:val="22"/>
          <w:szCs w:val="22"/>
        </w:rPr>
        <w:t>11 del Reglamento Interior del Instituto de Transparencia, Acceso a la Información Pública y Protección de Datos Personales del Estado de México y Municipios.</w:t>
      </w:r>
    </w:p>
    <w:p w:rsidR="00FF2FB2" w:rsidRDefault="00EB54A1">
      <w:pPr>
        <w:spacing w:before="240"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Segundo. Oportunidad y Procedibilidad del Recurso de Revisión. </w:t>
      </w:r>
      <w:r>
        <w:rPr>
          <w:rFonts w:ascii="Palatino Linotype" w:eastAsia="Palatino Linotype" w:hAnsi="Palatino Linotype" w:cs="Palatino Linotype"/>
          <w:sz w:val="22"/>
          <w:szCs w:val="22"/>
        </w:rPr>
        <w:t>Previo al estudio del fondo del as</w:t>
      </w:r>
      <w:r>
        <w:rPr>
          <w:rFonts w:ascii="Palatino Linotype" w:eastAsia="Palatino Linotype" w:hAnsi="Palatino Linotype" w:cs="Palatino Linotype"/>
          <w:sz w:val="22"/>
          <w:szCs w:val="22"/>
        </w:rPr>
        <w:t>unto, se procede a analizar los requisitos de oportunidad y procedibilidad que debe reunir el recurso de revisión interpuesto, previstos en los artículos 178 y 180 de la Ley de Transparencia y Acceso a la Información Pública del Estado de México y Municipi</w:t>
      </w:r>
      <w:r>
        <w:rPr>
          <w:rFonts w:ascii="Palatino Linotype" w:eastAsia="Palatino Linotype" w:hAnsi="Palatino Linotype" w:cs="Palatino Linotype"/>
          <w:sz w:val="22"/>
          <w:szCs w:val="22"/>
        </w:rPr>
        <w:t>os.</w:t>
      </w:r>
    </w:p>
    <w:p w:rsidR="00FF2FB2" w:rsidRDefault="00EB54A1">
      <w:pPr>
        <w:spacing w:before="240"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rsidR="00FF2FB2" w:rsidRDefault="00EB54A1">
      <w:pPr>
        <w:spacing w:line="360" w:lineRule="auto"/>
        <w:ind w:left="851" w:right="900"/>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 xml:space="preserve">“Artículo 178. </w:t>
      </w:r>
      <w:r>
        <w:rPr>
          <w:rFonts w:ascii="Palatino Linotype" w:eastAsia="Palatino Linotype" w:hAnsi="Palatino Linotype" w:cs="Palatino Linotype"/>
          <w:i/>
          <w:iCs/>
          <w:sz w:val="22"/>
          <w:szCs w:val="22"/>
        </w:rPr>
        <w:t>El solicitante podrá interponer, por sí mismo o a través de su representante, de manera directa o por medios</w:t>
      </w:r>
      <w:r>
        <w:rPr>
          <w:rFonts w:ascii="Palatino Linotype" w:eastAsia="Palatino Linotype" w:hAnsi="Palatino Linotype" w:cs="Palatino Linotype"/>
          <w:i/>
          <w:iCs/>
          <w:sz w:val="22"/>
          <w:szCs w:val="22"/>
        </w:rPr>
        <w:t xml:space="preserve"> electrónicos, recurso de revisión ante el Instituto o ante la Unidad de Transparencia que haya conocido de la solicitud dentro de los quince días hábiles, siguientes a la fecha de la notificación de la respuesta.</w:t>
      </w:r>
    </w:p>
    <w:p w:rsidR="00FF2FB2" w:rsidRDefault="00EB54A1">
      <w:pPr>
        <w:spacing w:before="240" w:after="240"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Del precepto legal transcrito, se desprend</w:t>
      </w:r>
      <w:r>
        <w:rPr>
          <w:rFonts w:ascii="Palatino Linotype" w:eastAsia="Palatino Linotype" w:hAnsi="Palatino Linotype" w:cs="Palatino Linotype"/>
          <w:sz w:val="22"/>
          <w:szCs w:val="22"/>
        </w:rPr>
        <w:t>e que cuando los solicitantes de información en el ejercicio del derecho de acceso a la información no se encuentren satisfechos con la información entregada por los sujetos obligados, podrán interponer recurso de revisión de manera directa o por medios el</w:t>
      </w:r>
      <w:r>
        <w:rPr>
          <w:rFonts w:ascii="Palatino Linotype" w:eastAsia="Palatino Linotype" w:hAnsi="Palatino Linotype" w:cs="Palatino Linotype"/>
          <w:sz w:val="22"/>
          <w:szCs w:val="22"/>
        </w:rPr>
        <w:t xml:space="preserve">ectrónicos dentro de los quince días hábiles siguientes a la fecha de notificación de la respuesta, y, toda vez que el </w:t>
      </w:r>
      <w:r>
        <w:rPr>
          <w:rFonts w:ascii="Palatino Linotype" w:eastAsia="Palatino Linotype" w:hAnsi="Palatino Linotype" w:cs="Palatino Linotype"/>
          <w:b/>
          <w:bCs/>
          <w:sz w:val="22"/>
          <w:szCs w:val="22"/>
        </w:rPr>
        <w:t>SUJETO OBLIGADO</w:t>
      </w:r>
      <w:r>
        <w:rPr>
          <w:rFonts w:ascii="Palatino Linotype" w:eastAsia="Palatino Linotype" w:hAnsi="Palatino Linotype" w:cs="Palatino Linotype"/>
          <w:sz w:val="22"/>
          <w:szCs w:val="22"/>
        </w:rPr>
        <w:t xml:space="preserve"> remitió la respuesta a la solicitud de información el día </w:t>
      </w:r>
      <w:r>
        <w:rPr>
          <w:rFonts w:ascii="Palatino Linotype" w:eastAsia="Palatino Linotype" w:hAnsi="Palatino Linotype" w:cs="Palatino Linotype"/>
          <w:b/>
          <w:bCs/>
          <w:sz w:val="22"/>
          <w:szCs w:val="22"/>
        </w:rPr>
        <w:t xml:space="preserve">nueve de diciembre de dos mil veinticinco, </w:t>
      </w:r>
      <w:r>
        <w:rPr>
          <w:rFonts w:ascii="Palatino Linotype" w:eastAsia="Palatino Linotype" w:hAnsi="Palatino Linotype" w:cs="Palatino Linotype"/>
          <w:sz w:val="22"/>
          <w:szCs w:val="22"/>
        </w:rPr>
        <w:t>mientras que el recu</w:t>
      </w:r>
      <w:r>
        <w:rPr>
          <w:rFonts w:ascii="Palatino Linotype" w:eastAsia="Palatino Linotype" w:hAnsi="Palatino Linotype" w:cs="Palatino Linotype"/>
          <w:sz w:val="22"/>
          <w:szCs w:val="22"/>
        </w:rPr>
        <w:t xml:space="preserve">rso de revisión interpuesto por la parte </w:t>
      </w:r>
      <w:r>
        <w:rPr>
          <w:rFonts w:ascii="Palatino Linotype" w:eastAsia="Palatino Linotype" w:hAnsi="Palatino Linotype" w:cs="Palatino Linotype"/>
          <w:b/>
          <w:bCs/>
          <w:sz w:val="22"/>
          <w:szCs w:val="22"/>
        </w:rPr>
        <w:t>RECURRENTE</w:t>
      </w:r>
      <w:r>
        <w:rPr>
          <w:rFonts w:ascii="Palatino Linotype" w:eastAsia="Palatino Linotype" w:hAnsi="Palatino Linotype" w:cs="Palatino Linotype"/>
          <w:sz w:val="22"/>
          <w:szCs w:val="22"/>
        </w:rPr>
        <w:t xml:space="preserve">, se tuvo por presentado el </w:t>
      </w:r>
      <w:r>
        <w:rPr>
          <w:rFonts w:ascii="Palatino Linotype" w:eastAsia="Palatino Linotype" w:hAnsi="Palatino Linotype" w:cs="Palatino Linotype"/>
          <w:b/>
          <w:bCs/>
          <w:sz w:val="22"/>
          <w:szCs w:val="22"/>
        </w:rPr>
        <w:t>diecinueve de diciembre del año dos mil veinticinco</w:t>
      </w:r>
      <w:r>
        <w:rPr>
          <w:rFonts w:ascii="Palatino Linotype" w:eastAsia="Palatino Linotype" w:hAnsi="Palatino Linotype" w:cs="Palatino Linotype"/>
          <w:sz w:val="22"/>
          <w:szCs w:val="22"/>
        </w:rPr>
        <w:t xml:space="preserve">; esto es, al </w:t>
      </w:r>
      <w:r>
        <w:rPr>
          <w:rFonts w:ascii="Palatino Linotype" w:eastAsia="Palatino Linotype" w:hAnsi="Palatino Linotype" w:cs="Palatino Linotype"/>
          <w:b/>
          <w:bCs/>
          <w:sz w:val="22"/>
          <w:szCs w:val="22"/>
        </w:rPr>
        <w:t xml:space="preserve">octavo día hábil </w:t>
      </w:r>
      <w:r>
        <w:rPr>
          <w:rFonts w:ascii="Palatino Linotype" w:eastAsia="Palatino Linotype" w:hAnsi="Palatino Linotype" w:cs="Palatino Linotype"/>
          <w:sz w:val="22"/>
          <w:szCs w:val="22"/>
        </w:rPr>
        <w:t>siguiente al que se tuvo conocimiento de la respuesta respectivamente.</w:t>
      </w:r>
    </w:p>
    <w:p w:rsidR="00FF2FB2" w:rsidRDefault="00EB54A1">
      <w:pPr>
        <w:spacing w:before="240" w:after="240"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Así también, por cuanto </w:t>
      </w:r>
      <w:r>
        <w:rPr>
          <w:rFonts w:ascii="Palatino Linotype" w:eastAsia="Palatino Linotype" w:hAnsi="Palatino Linotype" w:cs="Palatino Linotype"/>
          <w:sz w:val="22"/>
          <w:szCs w:val="22"/>
        </w:rPr>
        <w:t>hace a la procedibilidad del recurso de revisión, una vez realizado el análisis de los formatos de interposición del recurso, se concluye la acreditación plena de los elementos formales precisados por el artículo 180 de la Ley de Transparencia y Acceso a l</w:t>
      </w:r>
      <w:r>
        <w:rPr>
          <w:rFonts w:ascii="Palatino Linotype" w:eastAsia="Palatino Linotype" w:hAnsi="Palatino Linotype" w:cs="Palatino Linotype"/>
          <w:sz w:val="22"/>
          <w:szCs w:val="22"/>
        </w:rPr>
        <w:t>a Información Pública del Estado de México y Municipios, en atención a que fue presentado mediante el formato visible en el SAIMEX.</w:t>
      </w:r>
    </w:p>
    <w:p w:rsidR="00FF2FB2" w:rsidRDefault="00EB54A1">
      <w:pPr>
        <w:spacing w:before="240"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Asimismo, resulta procedente la interposición del recurso de revisión al rubro anotado, toda vez que se actualiza las hipóte</w:t>
      </w:r>
      <w:r>
        <w:rPr>
          <w:rFonts w:ascii="Palatino Linotype" w:eastAsia="Palatino Linotype" w:hAnsi="Palatino Linotype" w:cs="Palatino Linotype"/>
          <w:sz w:val="22"/>
          <w:szCs w:val="22"/>
        </w:rPr>
        <w:t>sis previstas en el artículo 179, fracción V de la ley de la materia, que a la letra dice:</w:t>
      </w:r>
    </w:p>
    <w:p w:rsidR="00FF2FB2" w:rsidRDefault="00EB54A1">
      <w:pPr>
        <w:spacing w:line="360" w:lineRule="auto"/>
        <w:ind w:left="851" w:right="1041"/>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r>
        <w:rPr>
          <w:rFonts w:ascii="Palatino Linotype" w:eastAsia="Palatino Linotype" w:hAnsi="Palatino Linotype" w:cs="Palatino Linotype"/>
          <w:b/>
          <w:bCs/>
          <w:i/>
          <w:iCs/>
          <w:sz w:val="22"/>
          <w:szCs w:val="22"/>
        </w:rPr>
        <w:t xml:space="preserve">Artículo 179. </w:t>
      </w:r>
      <w:r>
        <w:rPr>
          <w:rFonts w:ascii="Palatino Linotype" w:eastAsia="Palatino Linotype" w:hAnsi="Palatino Linotype" w:cs="Palatino Linotype"/>
          <w:i/>
          <w:iCs/>
          <w:sz w:val="22"/>
          <w:szCs w:val="22"/>
        </w:rPr>
        <w:t>El recurso de revisión es un medio de protección que la Ley otorga a los particulares, para hacer valer su derecho de acceso a la información pública, y procederá en contra de las siguientes causas:</w:t>
      </w:r>
    </w:p>
    <w:p w:rsidR="00FF2FB2" w:rsidRDefault="00EB54A1">
      <w:pPr>
        <w:spacing w:line="360" w:lineRule="auto"/>
        <w:ind w:left="851" w:right="1041"/>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spacing w:line="360" w:lineRule="auto"/>
        <w:ind w:left="851" w:right="1041"/>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V. La entrega de información incompleta;</w:t>
      </w:r>
    </w:p>
    <w:p w:rsidR="00FF2FB2" w:rsidRDefault="00EB54A1">
      <w:pPr>
        <w:spacing w:line="360" w:lineRule="auto"/>
        <w:ind w:left="851" w:right="1041"/>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spacing w:before="240"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Tercero. Mat</w:t>
      </w:r>
      <w:r>
        <w:rPr>
          <w:rFonts w:ascii="Palatino Linotype" w:eastAsia="Palatino Linotype" w:hAnsi="Palatino Linotype" w:cs="Palatino Linotype"/>
          <w:b/>
          <w:bCs/>
          <w:sz w:val="22"/>
          <w:szCs w:val="22"/>
        </w:rPr>
        <w:t xml:space="preserve">eria de la revisión. </w:t>
      </w:r>
      <w:r>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Pr>
          <w:rFonts w:ascii="Palatino Linotype" w:eastAsia="Palatino Linotype" w:hAnsi="Palatino Linotype" w:cs="Palatino Linotype"/>
          <w:b/>
          <w:bCs/>
          <w:sz w:val="22"/>
          <w:szCs w:val="22"/>
        </w:rPr>
        <w:t>verificar si la respuesta</w:t>
      </w:r>
      <w:r>
        <w:rPr>
          <w:rFonts w:ascii="Palatino Linotype" w:eastAsia="Palatino Linotype" w:hAnsi="Palatino Linotype" w:cs="Palatino Linotype"/>
          <w:b/>
          <w:bCs/>
          <w:sz w:val="22"/>
          <w:szCs w:val="22"/>
        </w:rPr>
        <w:t xml:space="preserve"> otorgada por el Sujeto Obligado es adecuada y suficiente para satisfacer el derecho de acceso a la información pública </w:t>
      </w:r>
      <w:r>
        <w:rPr>
          <w:rFonts w:ascii="Palatino Linotype" w:eastAsia="Palatino Linotype" w:hAnsi="Palatino Linotype" w:cs="Palatino Linotype"/>
          <w:sz w:val="22"/>
          <w:szCs w:val="22"/>
        </w:rPr>
        <w:t xml:space="preserve">de la parte </w:t>
      </w:r>
      <w:r>
        <w:rPr>
          <w:rFonts w:ascii="Palatino Linotype" w:eastAsia="Palatino Linotype" w:hAnsi="Palatino Linotype" w:cs="Palatino Linotype"/>
          <w:b/>
          <w:bCs/>
          <w:sz w:val="22"/>
          <w:szCs w:val="22"/>
        </w:rPr>
        <w:t>Recurrente</w:t>
      </w:r>
      <w:r>
        <w:rPr>
          <w:rFonts w:ascii="Palatino Linotype" w:eastAsia="Palatino Linotype" w:hAnsi="Palatino Linotype" w:cs="Palatino Linotype"/>
          <w:sz w:val="22"/>
          <w:szCs w:val="22"/>
        </w:rPr>
        <w:t>, o en su defecto, en caso de ser procedente, ordenar la entrega de información.</w:t>
      </w: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Cuarto. Estudio del asunto. </w:t>
      </w:r>
      <w:r>
        <w:rPr>
          <w:rFonts w:ascii="Palatino Linotype" w:eastAsia="Palatino Linotype" w:hAnsi="Palatino Linotype" w:cs="Palatino Linotype"/>
          <w:sz w:val="22"/>
          <w:szCs w:val="22"/>
        </w:rPr>
        <w:t xml:space="preserve">En principio, es conveniente analizar si la respuesta del </w:t>
      </w:r>
      <w:r>
        <w:rPr>
          <w:rFonts w:ascii="Palatino Linotype" w:eastAsia="Palatino Linotype" w:hAnsi="Palatino Linotype" w:cs="Palatino Linotype"/>
          <w:b/>
          <w:bCs/>
          <w:sz w:val="22"/>
          <w:szCs w:val="22"/>
        </w:rPr>
        <w:t>SUJETO OBLIGADO</w:t>
      </w:r>
      <w:r>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w:t>
      </w:r>
      <w:r>
        <w:rPr>
          <w:rFonts w:ascii="Palatino Linotype" w:eastAsia="Palatino Linotype" w:hAnsi="Palatino Linotype" w:cs="Palatino Linotype"/>
          <w:sz w:val="22"/>
          <w:szCs w:val="22"/>
        </w:rPr>
        <w:t>e México y Municipios en su artículo 4, que dice que toda la información generada, obtenida, adquirida, transformada, administrada o en posesión de los sujetos obligados es pública y accesible de manera permanente a cualquier persona, privilegiando el prin</w:t>
      </w:r>
      <w:r>
        <w:rPr>
          <w:rFonts w:ascii="Palatino Linotype" w:eastAsia="Palatino Linotype" w:hAnsi="Palatino Linotype" w:cs="Palatino Linotype"/>
          <w:sz w:val="22"/>
          <w:szCs w:val="22"/>
        </w:rPr>
        <w:t>cipio de máxima publicidad, como así lo establece dicha determinación, que a continuación se trascribe para un mejor entendimiento:</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276"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r>
        <w:rPr>
          <w:rFonts w:ascii="Palatino Linotype" w:eastAsia="Palatino Linotype" w:hAnsi="Palatino Linotype" w:cs="Palatino Linotype"/>
          <w:b/>
          <w:bCs/>
          <w:i/>
          <w:iCs/>
          <w:sz w:val="22"/>
          <w:szCs w:val="22"/>
        </w:rPr>
        <w:t>Artículo 4</w:t>
      </w:r>
      <w:r>
        <w:rPr>
          <w:rFonts w:ascii="Palatino Linotype" w:eastAsia="Palatino Linotype" w:hAnsi="Palatino Linotype" w:cs="Palatino Linotype"/>
          <w:i/>
          <w:iCs/>
          <w:sz w:val="22"/>
          <w:szCs w:val="22"/>
        </w:rPr>
        <w:t>. El derecho humano de acceso a la información pública es la prerrogativa de las personas para buscar, difundir,</w:t>
      </w:r>
      <w:r>
        <w:rPr>
          <w:rFonts w:ascii="Palatino Linotype" w:eastAsia="Palatino Linotype" w:hAnsi="Palatino Linotype" w:cs="Palatino Linotype"/>
          <w:i/>
          <w:iCs/>
          <w:sz w:val="22"/>
          <w:szCs w:val="22"/>
        </w:rPr>
        <w:t xml:space="preserve"> investigar, recabar, recibir y solicitar información pública, sin necesidad de acreditar personalidad ni interés jurídico. </w:t>
      </w:r>
    </w:p>
    <w:p w:rsidR="00FF2FB2" w:rsidRDefault="00EB54A1">
      <w:pPr>
        <w:spacing w:line="276"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w:t>
      </w:r>
      <w:r>
        <w:rPr>
          <w:rFonts w:ascii="Palatino Linotype" w:eastAsia="Palatino Linotype" w:hAnsi="Palatino Linotype" w:cs="Palatino Linotype"/>
          <w:b/>
          <w:bCs/>
          <w:i/>
          <w:iCs/>
          <w:sz w:val="22"/>
          <w:szCs w:val="22"/>
        </w:rPr>
        <w:t>ccesible de manera permanente a cualquier persona</w:t>
      </w:r>
      <w:r>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w:t>
      </w:r>
      <w:r>
        <w:rPr>
          <w:rFonts w:ascii="Palatino Linotype" w:eastAsia="Palatino Linotype" w:hAnsi="Palatino Linotype" w:cs="Palatino Linotype"/>
          <w:i/>
          <w:iCs/>
          <w:sz w:val="22"/>
          <w:szCs w:val="22"/>
        </w:rPr>
        <w:t xml:space="preserve">do el principio de máxima publicidad de la información. Solo podrá ser clasificada excepcionalmente Ley de Transparencia y Acceso a la Información Pública del Estado de México y Municipios 29 como reservada temporalmente por razones de interés público, en </w:t>
      </w:r>
      <w:r>
        <w:rPr>
          <w:rFonts w:ascii="Palatino Linotype" w:eastAsia="Palatino Linotype" w:hAnsi="Palatino Linotype" w:cs="Palatino Linotype"/>
          <w:i/>
          <w:iCs/>
          <w:sz w:val="22"/>
          <w:szCs w:val="22"/>
        </w:rPr>
        <w:t>los términos de las causas legítimas y estrictamente necesarias previstas por esta Ley.</w:t>
      </w:r>
    </w:p>
    <w:p w:rsidR="00FF2FB2" w:rsidRDefault="00EB54A1">
      <w:pPr>
        <w:spacing w:line="276"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w:t>
      </w:r>
      <w:r>
        <w:rPr>
          <w:rFonts w:ascii="Palatino Linotype" w:eastAsia="Palatino Linotype" w:hAnsi="Palatino Linotype" w:cs="Palatino Linotype"/>
          <w:b/>
          <w:bCs/>
          <w:i/>
          <w:iCs/>
          <w:sz w:val="22"/>
          <w:szCs w:val="22"/>
        </w:rPr>
        <w:t>ión y suficiencia en beneficio de los solicitantes</w:t>
      </w:r>
      <w:r>
        <w:rPr>
          <w:rFonts w:ascii="Palatino Linotype" w:eastAsia="Palatino Linotype" w:hAnsi="Palatino Linotype" w:cs="Palatino Linotype"/>
          <w:i/>
          <w:iCs/>
          <w:sz w:val="22"/>
          <w:szCs w:val="22"/>
        </w:rPr>
        <w:t>.”</w:t>
      </w:r>
    </w:p>
    <w:p w:rsidR="00FF2FB2" w:rsidRDefault="00FF2FB2">
      <w:pPr>
        <w:spacing w:line="276"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w:t>
      </w:r>
      <w:r>
        <w:rPr>
          <w:rFonts w:ascii="Palatino Linotype" w:eastAsia="Palatino Linotype" w:hAnsi="Palatino Linotype" w:cs="Palatino Linotype"/>
          <w:sz w:val="22"/>
          <w:szCs w:val="22"/>
        </w:rPr>
        <w:t xml:space="preserve"> obren en su poder conforme el estado que se encuentra y no hacer un procesamiento de la misma, ni presentarla conforme al interés del solicitante; como así lo establece el artículo 12 de la Ley de Transparencia y Acceso a la Información Pública del Estado</w:t>
      </w:r>
      <w:r>
        <w:rPr>
          <w:rFonts w:ascii="Palatino Linotype" w:eastAsia="Palatino Linotype" w:hAnsi="Palatino Linotype" w:cs="Palatino Linotype"/>
          <w:sz w:val="22"/>
          <w:szCs w:val="22"/>
        </w:rPr>
        <w:t xml:space="preserve"> de México y Municipios, que a la letra dice:</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276"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12.-</w:t>
      </w:r>
      <w:r>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rsidR="00FF2FB2" w:rsidRDefault="00FF2FB2">
      <w:pPr>
        <w:spacing w:line="276" w:lineRule="auto"/>
        <w:ind w:left="567" w:right="616"/>
        <w:jc w:val="both"/>
        <w:rPr>
          <w:rFonts w:ascii="Palatino Linotype" w:eastAsia="Palatino Linotype" w:hAnsi="Palatino Linotype" w:cs="Palatino Linotype"/>
          <w:i/>
          <w:iCs/>
          <w:sz w:val="22"/>
          <w:szCs w:val="22"/>
        </w:rPr>
      </w:pPr>
    </w:p>
    <w:p w:rsidR="00FF2FB2" w:rsidRDefault="00EB54A1">
      <w:pPr>
        <w:spacing w:line="276"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L</w:t>
      </w:r>
      <w:r>
        <w:rPr>
          <w:rFonts w:ascii="Palatino Linotype" w:eastAsia="Palatino Linotype" w:hAnsi="Palatino Linotype" w:cs="Palatino Linotype"/>
          <w:b/>
          <w:bCs/>
          <w:i/>
          <w:iCs/>
          <w:sz w:val="22"/>
          <w:szCs w:val="22"/>
        </w:rPr>
        <w:t>os sujetos obligados sólo proporcionarán la información pública que se les requiera y que obre en sus archivos y en el estado en que ésta se encuentre</w:t>
      </w:r>
      <w:r>
        <w:rPr>
          <w:rFonts w:ascii="Palatino Linotype" w:eastAsia="Palatino Linotype" w:hAnsi="Palatino Linotype" w:cs="Palatino Linotype"/>
          <w:i/>
          <w:iCs/>
          <w:sz w:val="22"/>
          <w:szCs w:val="22"/>
        </w:rPr>
        <w:t xml:space="preserve">. </w:t>
      </w:r>
      <w:r>
        <w:rPr>
          <w:rFonts w:ascii="Palatino Linotype" w:eastAsia="Palatino Linotype" w:hAnsi="Palatino Linotype" w:cs="Palatino Linotype"/>
          <w:b/>
          <w:bCs/>
          <w:i/>
          <w:iCs/>
          <w:sz w:val="22"/>
          <w:szCs w:val="22"/>
        </w:rPr>
        <w:t>La obligación de proporcionar información no comprende el procesamiento de la misma, ni el presentarla c</w:t>
      </w:r>
      <w:r>
        <w:rPr>
          <w:rFonts w:ascii="Palatino Linotype" w:eastAsia="Palatino Linotype" w:hAnsi="Palatino Linotype" w:cs="Palatino Linotype"/>
          <w:b/>
          <w:bCs/>
          <w:i/>
          <w:iCs/>
          <w:sz w:val="22"/>
          <w:szCs w:val="22"/>
        </w:rPr>
        <w:t xml:space="preserve">onforme al interés del solicitante; no estarán obligados a generarla, resumirla, efectuar cálculos o practicar investigaciones.” </w:t>
      </w: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EB54A1">
      <w:pPr>
        <w:spacing w:line="360" w:lineRule="auto"/>
        <w:ind w:right="-93"/>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 decir, que todo sujeto obligado que genere, recopile, administre, procese, archive, posea o conserven, son responsables de</w:t>
      </w:r>
      <w:r>
        <w:rPr>
          <w:rFonts w:ascii="Palatino Linotype" w:eastAsia="Palatino Linotype" w:hAnsi="Palatino Linotype" w:cs="Palatino Linotype"/>
          <w:sz w:val="22"/>
          <w:szCs w:val="22"/>
        </w:rPr>
        <w:t xml:space="preserve"> la misma teniendo a su vez la obligación de proporcionar la información que se les requiera sin necesidad de resumirla, efectuar procedimientos para obtenerla, calcular y practicar investigaciones; en otras palabras, que los Sujetos Obligados solo se conc</w:t>
      </w:r>
      <w:r>
        <w:rPr>
          <w:rFonts w:ascii="Palatino Linotype" w:eastAsia="Palatino Linotype" w:hAnsi="Palatino Linotype" w:cs="Palatino Linotype"/>
          <w:sz w:val="22"/>
          <w:szCs w:val="22"/>
        </w:rPr>
        <w:t>retaran a proporcionar la información solicitada que tengan en su poder en el estado que se encuentran, sin necesidad de concretarse al interés o términos específicos del solicitante.</w:t>
      </w: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EB54A1">
      <w:pPr>
        <w:spacing w:line="360" w:lineRule="auto"/>
        <w:ind w:right="-93"/>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Sirve de apoyo a lo anterior, el criterio orientador 03-17, expuesto po</w:t>
      </w:r>
      <w:r>
        <w:rPr>
          <w:rFonts w:ascii="Palatino Linotype" w:eastAsia="Palatino Linotype" w:hAnsi="Palatino Linotype" w:cs="Palatino Linotype"/>
          <w:sz w:val="22"/>
          <w:szCs w:val="22"/>
        </w:rPr>
        <w:t>r el entonces Instituto Nacional de Transparencia, Acceso a la Información y Protección de Datos Personales, que dice:</w:t>
      </w:r>
      <w:r>
        <w:rPr>
          <w:rFonts w:ascii="Palatino Linotype" w:eastAsia="Palatino Linotype" w:hAnsi="Palatino Linotype" w:cs="Palatino Linotype"/>
          <w:b/>
          <w:bCs/>
          <w:sz w:val="22"/>
          <w:szCs w:val="22"/>
        </w:rPr>
        <w:t xml:space="preserve"> </w:t>
      </w:r>
    </w:p>
    <w:p w:rsidR="00FF2FB2" w:rsidRDefault="00FF2FB2">
      <w:pPr>
        <w:spacing w:line="360" w:lineRule="auto"/>
        <w:jc w:val="both"/>
        <w:rPr>
          <w:rFonts w:ascii="Palatino Linotype" w:eastAsia="Palatino Linotype" w:hAnsi="Palatino Linotype" w:cs="Palatino Linotype"/>
          <w:b/>
          <w:bCs/>
          <w:sz w:val="22"/>
          <w:szCs w:val="22"/>
        </w:rPr>
      </w:pP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r>
        <w:rPr>
          <w:rFonts w:ascii="Palatino Linotype" w:eastAsia="Palatino Linotype" w:hAnsi="Palatino Linotype" w:cs="Palatino Linotype"/>
          <w:b/>
          <w:bCs/>
          <w:i/>
          <w:iCs/>
          <w:sz w:val="22"/>
          <w:szCs w:val="22"/>
        </w:rPr>
        <w:t>No existe obligación de elaborar documentos ad hoc para atender las solicitudes de acceso a la información.</w:t>
      </w:r>
      <w:r>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w:t>
      </w:r>
      <w:r>
        <w:rPr>
          <w:rFonts w:ascii="Palatino Linotype" w:eastAsia="Palatino Linotype" w:hAnsi="Palatino Linotype" w:cs="Palatino Linotype"/>
          <w:i/>
          <w:iCs/>
          <w:sz w:val="22"/>
          <w:szCs w:val="22"/>
        </w:rPr>
        <w:t>ue se encuentren en sus archivos o que estén obligados a documentar, de acuerdo con sus facultades, competencias o funciones, conforme a las características físicas de la información o del lugar donde se encuentre. Por lo anterior, los sujetos obligados de</w:t>
      </w:r>
      <w:r>
        <w:rPr>
          <w:rFonts w:ascii="Palatino Linotype" w:eastAsia="Palatino Linotype" w:hAnsi="Palatino Linotype" w:cs="Palatino Linotype"/>
          <w:i/>
          <w:iCs/>
          <w:sz w:val="22"/>
          <w:szCs w:val="22"/>
        </w:rPr>
        <w:t>ben garantizar el derecho de acceso a la información del particular, proporcionando la información con la que cuentan en el formato en que la misma obre en sus archivos; sin necesidad de elaborar documentos ad hoc para atender las solicitudes de informació</w:t>
      </w:r>
      <w:r>
        <w:rPr>
          <w:rFonts w:ascii="Palatino Linotype" w:eastAsia="Palatino Linotype" w:hAnsi="Palatino Linotype" w:cs="Palatino Linotype"/>
          <w:i/>
          <w:iCs/>
          <w:sz w:val="22"/>
          <w:szCs w:val="22"/>
        </w:rPr>
        <w:t xml:space="preserve">n”. </w:t>
      </w: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w:t>
      </w:r>
      <w:r>
        <w:rPr>
          <w:rFonts w:ascii="Palatino Linotype" w:eastAsia="Palatino Linotype" w:hAnsi="Palatino Linotype" w:cs="Palatino Linotype"/>
          <w:sz w:val="22"/>
          <w:szCs w:val="22"/>
        </w:rPr>
        <w:t>ormación pública se encuentra a disposición de cualquier persona, lo que implica que es deber de los Sujetos Obligados, garantizar el Derecho de Acceso a la Información Pública.</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Siempre y cuando no se trate de información reservada o clasificada, que difu</w:t>
      </w:r>
      <w:r>
        <w:rPr>
          <w:rFonts w:ascii="Palatino Linotype" w:eastAsia="Palatino Linotype" w:hAnsi="Palatino Linotype" w:cs="Palatino Linotype"/>
          <w:sz w:val="22"/>
          <w:szCs w:val="22"/>
        </w:rPr>
        <w:t xml:space="preserve">ndirla pondría en riesgo la seguridad jurídica y física del titular de la información, debiendo tener audacia los Sujetos Obligados para cuidar esta información a través del acuerdo clasificatorio del comité de transparencia y la versión pública que emita </w:t>
      </w:r>
      <w:r>
        <w:rPr>
          <w:rFonts w:ascii="Palatino Linotype" w:eastAsia="Palatino Linotype" w:hAnsi="Palatino Linotype" w:cs="Palatino Linotype"/>
          <w:sz w:val="22"/>
          <w:szCs w:val="22"/>
        </w:rPr>
        <w:t>el servidor público habilitado de cada Sujeto Obligado; como así se establece en la Ley de Transparencia y Acceso a la Información Pública del Estado de México y Municipios.</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En conclusión, el derecho de acceso a la información pública, consiste en que la </w:t>
      </w:r>
      <w:r>
        <w:rPr>
          <w:rFonts w:ascii="Palatino Linotype" w:eastAsia="Palatino Linotype" w:hAnsi="Palatino Linotype" w:cs="Palatino Linotype"/>
          <w:sz w:val="22"/>
          <w:szCs w:val="22"/>
        </w:rPr>
        <w:t>información solicitada conste en un documento en cualquiera de sus formas, a saber: expedientes, reportes, estudios, actas, resoluciones, oficios, correspondencia, acuerdos, directivas, directrices, circulares, contratos, convenios, instructivos, notas, me</w:t>
      </w:r>
      <w:r>
        <w:rPr>
          <w:rFonts w:ascii="Palatino Linotype" w:eastAsia="Palatino Linotype" w:hAnsi="Palatino Linotype" w:cs="Palatino Linotype"/>
          <w:sz w:val="22"/>
          <w:szCs w:val="22"/>
        </w:rPr>
        <w:t>morandos, estadísticas o bien, cualquier otro registro que documente el ejercicio de las facultades, funciones y competencias de los Sujetos Obligados; los que, podrán estar en cualquier medio, sea escrito, impreso, sonoro, visual, electrónico, informático</w:t>
      </w:r>
      <w:r>
        <w:rPr>
          <w:rFonts w:ascii="Palatino Linotype" w:eastAsia="Palatino Linotype" w:hAnsi="Palatino Linotype" w:cs="Palatino Linotype"/>
          <w:sz w:val="22"/>
          <w:szCs w:val="22"/>
        </w:rPr>
        <w:t xml:space="preserve"> u holográfico de conformidad con el artículo 3, fracción XI de la Ley de la materia, el cual señala lo siguiente: </w:t>
      </w:r>
    </w:p>
    <w:p w:rsidR="00FF2FB2" w:rsidRDefault="00FF2FB2">
      <w:pPr>
        <w:spacing w:line="360" w:lineRule="auto"/>
        <w:ind w:left="567" w:right="616"/>
        <w:jc w:val="both"/>
        <w:rPr>
          <w:rFonts w:ascii="Palatino Linotype" w:eastAsia="Palatino Linotype" w:hAnsi="Palatino Linotype" w:cs="Palatino Linotype"/>
          <w:i/>
          <w:iCs/>
          <w:sz w:val="22"/>
          <w:szCs w:val="22"/>
        </w:rPr>
      </w:pP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r>
        <w:rPr>
          <w:rFonts w:ascii="Palatino Linotype" w:eastAsia="Palatino Linotype" w:hAnsi="Palatino Linotype" w:cs="Palatino Linotype"/>
          <w:b/>
          <w:bCs/>
          <w:i/>
          <w:iCs/>
          <w:sz w:val="22"/>
          <w:szCs w:val="22"/>
        </w:rPr>
        <w:t xml:space="preserve">Artículo 3. </w:t>
      </w:r>
      <w:r>
        <w:rPr>
          <w:rFonts w:ascii="Palatino Linotype" w:eastAsia="Palatino Linotype" w:hAnsi="Palatino Linotype" w:cs="Palatino Linotype"/>
          <w:i/>
          <w:iCs/>
          <w:sz w:val="22"/>
          <w:szCs w:val="22"/>
        </w:rPr>
        <w:t>Para los efectos de la presente Ley se entenderá por:</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XI. Documento:</w:t>
      </w:r>
      <w:r>
        <w:rPr>
          <w:rFonts w:ascii="Palatino Linotype" w:eastAsia="Palatino Linotype" w:hAnsi="Palatino Linotype" w:cs="Palatino Linotype"/>
          <w:i/>
          <w:iCs/>
          <w:sz w:val="22"/>
          <w:szCs w:val="22"/>
        </w:rPr>
        <w:t xml:space="preserve"> Los expedientes, reportes, estudios, actas</w:t>
      </w:r>
      <w:r>
        <w:rPr>
          <w:rFonts w:ascii="Palatino Linotype" w:eastAsia="Palatino Linotype" w:hAnsi="Palatino Linotype" w:cs="Palatino Linotype"/>
          <w:b/>
          <w:bCs/>
          <w:i/>
          <w:iCs/>
          <w:sz w:val="22"/>
          <w:szCs w:val="22"/>
        </w:rPr>
        <w:t>,</w:t>
      </w:r>
      <w:r>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w:t>
      </w:r>
      <w:r>
        <w:rPr>
          <w:rFonts w:ascii="Palatino Linotype" w:eastAsia="Palatino Linotype" w:hAnsi="Palatino Linotype" w:cs="Palatino Linotype"/>
          <w:i/>
          <w:iCs/>
          <w:sz w:val="22"/>
          <w:szCs w:val="22"/>
        </w:rPr>
        <w:t xml:space="preserve">as de los sujetos obligados, sus servidores públicos e integrantes, sin importar su fuente o fecha de elaboración. Los documentos podrán estar en cualquier medio, sea escrito, impreso, sonoro, visual, electrónico, informático u holográfico…” </w:t>
      </w:r>
    </w:p>
    <w:p w:rsidR="00FF2FB2" w:rsidRDefault="00FF2FB2">
      <w:pPr>
        <w:spacing w:line="360" w:lineRule="auto"/>
        <w:ind w:left="851" w:right="899"/>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Siendo aplic</w:t>
      </w:r>
      <w:r>
        <w:rPr>
          <w:rFonts w:ascii="Palatino Linotype" w:eastAsia="Palatino Linotype" w:hAnsi="Palatino Linotype" w:cs="Palatino Linotype"/>
          <w:sz w:val="22"/>
          <w:szCs w:val="22"/>
        </w:rPr>
        <w:t xml:space="preserve">able, el Criterio de interpretación en el orden administrativo número 0002-11, emitido por Acuerdo del Pleno del Instituto de Transparencia y Acceso a la Información Pública del Estado de México y Municipios; publicado en el Periódico Oficial del Gobierno </w:t>
      </w:r>
      <w:r>
        <w:rPr>
          <w:rFonts w:ascii="Palatino Linotype" w:eastAsia="Palatino Linotype" w:hAnsi="Palatino Linotype" w:cs="Palatino Linotype"/>
          <w:sz w:val="22"/>
          <w:szCs w:val="22"/>
        </w:rPr>
        <w:t>del Estado Libre y Soberano de México “Gaceta del Gobierno”, el diecinueve de octubre de dos mil once, cuyo rubro y texto refieren lo siguiente:</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ind w:left="567" w:right="616"/>
        <w:jc w:val="both"/>
        <w:rPr>
          <w:rFonts w:ascii="Palatino Linotype" w:eastAsia="Palatino Linotype" w:hAnsi="Palatino Linotype" w:cs="Palatino Linotype"/>
          <w:b/>
          <w:bCs/>
          <w:i/>
          <w:iCs/>
          <w:sz w:val="22"/>
          <w:szCs w:val="22"/>
        </w:rPr>
      </w:pPr>
      <w:r>
        <w:rPr>
          <w:rFonts w:ascii="Palatino Linotype" w:eastAsia="Palatino Linotype" w:hAnsi="Palatino Linotype" w:cs="Palatino Linotype"/>
          <w:b/>
          <w:bCs/>
          <w:sz w:val="22"/>
          <w:szCs w:val="22"/>
        </w:rPr>
        <w:t>“</w:t>
      </w:r>
      <w:r>
        <w:rPr>
          <w:rFonts w:ascii="Palatino Linotype" w:eastAsia="Palatino Linotype" w:hAnsi="Palatino Linotype" w:cs="Palatino Linotype"/>
          <w:b/>
          <w:bCs/>
          <w:i/>
          <w:iCs/>
          <w:sz w:val="22"/>
          <w:szCs w:val="22"/>
        </w:rPr>
        <w:t>CRITERIO 0002-11. INFORMACIÓN PÚBLICA, CONCEPTO DE, EN MATERIA DE TRANSPARENCIA. INTERPRETACIÓN SISTEMÁTICA D</w:t>
      </w:r>
      <w:r>
        <w:rPr>
          <w:rFonts w:ascii="Palatino Linotype" w:eastAsia="Palatino Linotype" w:hAnsi="Palatino Linotype" w:cs="Palatino Linotype"/>
          <w:b/>
          <w:bCs/>
          <w:i/>
          <w:iCs/>
          <w:sz w:val="22"/>
          <w:szCs w:val="22"/>
        </w:rPr>
        <w:t>E LOS ARTÍCULOS 2°, FRACCIÓN V, XV, Y XVI, 3°, 4°, 11 Y 41.</w:t>
      </w:r>
      <w:r>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w:t>
      </w:r>
      <w:r>
        <w:rPr>
          <w:rFonts w:ascii="Palatino Linotype" w:eastAsia="Palatino Linotype" w:hAnsi="Palatino Linotype" w:cs="Palatino Linotype"/>
          <w:i/>
          <w:iCs/>
          <w:sz w:val="22"/>
          <w:szCs w:val="22"/>
        </w:rPr>
        <w:t>ntos públicos, administrados, generados o en posesión de los órganos u organismos públicos, en virtud del ejercicio de sus funciones de derecho público, sin importar su fuente, soporte o fecha de elaboración.</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En consecuencia el acceso a la información se r</w:t>
      </w:r>
      <w:r>
        <w:rPr>
          <w:rFonts w:ascii="Palatino Linotype" w:eastAsia="Palatino Linotype" w:hAnsi="Palatino Linotype" w:cs="Palatino Linotype"/>
          <w:i/>
          <w:iCs/>
          <w:sz w:val="22"/>
          <w:szCs w:val="22"/>
        </w:rPr>
        <w:t>efiere a que se cumplan cualquiera de los siguientes tres supuestos:</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rsidR="00FF2FB2" w:rsidRDefault="00EB54A1">
      <w:pPr>
        <w:ind w:left="567" w:right="616"/>
        <w:jc w:val="both"/>
        <w:rPr>
          <w:rFonts w:ascii="Palatino Linotype" w:eastAsia="Palatino Linotype" w:hAnsi="Palatino Linotype" w:cs="Palatino Linotype"/>
          <w:b/>
          <w:bCs/>
          <w:i/>
          <w:iCs/>
          <w:sz w:val="22"/>
          <w:szCs w:val="22"/>
        </w:rPr>
      </w:pPr>
      <w:r>
        <w:rPr>
          <w:rFonts w:ascii="Palatino Linotype" w:eastAsia="Palatino Linotype" w:hAnsi="Palatino Linotype" w:cs="Palatino Linotype"/>
          <w:b/>
          <w:bCs/>
          <w:i/>
          <w:iCs/>
          <w:sz w:val="22"/>
          <w:szCs w:val="22"/>
        </w:rPr>
        <w:t>2) Que se trate de info</w:t>
      </w:r>
      <w:r>
        <w:rPr>
          <w:rFonts w:ascii="Palatino Linotype" w:eastAsia="Palatino Linotype" w:hAnsi="Palatino Linotype" w:cs="Palatino Linotype"/>
          <w:b/>
          <w:bCs/>
          <w:i/>
          <w:iCs/>
          <w:sz w:val="22"/>
          <w:szCs w:val="22"/>
        </w:rPr>
        <w:t>rmación registrada en cualquier soporte documental, que en ejercicio de las atribuciones conferidas, sea administrada por los Sujetos Obligados, y</w:t>
      </w:r>
    </w:p>
    <w:p w:rsidR="00FF2FB2" w:rsidRDefault="00EB54A1">
      <w:pPr>
        <w:ind w:left="567" w:right="616"/>
        <w:jc w:val="both"/>
        <w:rPr>
          <w:rFonts w:ascii="Palatino Linotype" w:eastAsia="Palatino Linotype" w:hAnsi="Palatino Linotype" w:cs="Palatino Linotype"/>
          <w:b/>
          <w:bCs/>
          <w:i/>
          <w:iCs/>
          <w:sz w:val="22"/>
          <w:szCs w:val="22"/>
        </w:rPr>
      </w:pPr>
      <w:r>
        <w:rPr>
          <w:rFonts w:ascii="Palatino Linotype" w:eastAsia="Palatino Linotype" w:hAnsi="Palatino Linotype" w:cs="Palatino Linotype"/>
          <w:b/>
          <w:bCs/>
          <w:i/>
          <w:iCs/>
          <w:sz w:val="22"/>
          <w:szCs w:val="22"/>
        </w:rPr>
        <w:t>3) Que se trate de información registrada en cualquier soporte documental, que en ejercicio de las atribucion</w:t>
      </w:r>
      <w:r>
        <w:rPr>
          <w:rFonts w:ascii="Palatino Linotype" w:eastAsia="Palatino Linotype" w:hAnsi="Palatino Linotype" w:cs="Palatino Linotype"/>
          <w:b/>
          <w:bCs/>
          <w:i/>
          <w:iCs/>
          <w:sz w:val="22"/>
          <w:szCs w:val="22"/>
        </w:rPr>
        <w:t xml:space="preserve">es conferidas, se encuentre en posesión de los Sujetos Obligados.” </w:t>
      </w:r>
    </w:p>
    <w:p w:rsidR="00FF2FB2" w:rsidRDefault="00FF2FB2">
      <w:pPr>
        <w:tabs>
          <w:tab w:val="left" w:pos="8647"/>
        </w:tabs>
        <w:spacing w:line="360" w:lineRule="auto"/>
        <w:jc w:val="both"/>
        <w:rPr>
          <w:rFonts w:ascii="Palatino Linotype" w:eastAsia="Palatino Linotype" w:hAnsi="Palatino Linotype" w:cs="Palatino Linotype"/>
          <w:b/>
          <w:bCs/>
          <w:sz w:val="22"/>
          <w:szCs w:val="22"/>
        </w:rPr>
      </w:pPr>
    </w:p>
    <w:p w:rsidR="00FF2FB2" w:rsidRDefault="00EB54A1">
      <w:pPr>
        <w:spacing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Del análisis de la solicitud de información motivo del recurso de revisión que ahora se resuelve, se tiene que el Recurrente solicitó al </w:t>
      </w:r>
      <w:r>
        <w:rPr>
          <w:rFonts w:ascii="Palatino Linotype" w:eastAsia="Palatino Linotype" w:hAnsi="Palatino Linotype" w:cs="Palatino Linotype"/>
          <w:b/>
          <w:bCs/>
          <w:sz w:val="22"/>
          <w:szCs w:val="22"/>
        </w:rPr>
        <w:t>Ayuntamiento de Ecatepec de Morelos</w:t>
      </w:r>
      <w:r>
        <w:rPr>
          <w:rFonts w:ascii="Palatino Linotype" w:eastAsia="Palatino Linotype" w:hAnsi="Palatino Linotype" w:cs="Palatino Linotype"/>
          <w:sz w:val="22"/>
          <w:szCs w:val="22"/>
        </w:rPr>
        <w:t xml:space="preserve"> la siguiente información:</w:t>
      </w:r>
    </w:p>
    <w:p w:rsidR="00FF2FB2" w:rsidRDefault="00EB54A1">
      <w:pPr>
        <w:numPr>
          <w:ilvl w:val="0"/>
          <w:numId w:val="6"/>
        </w:numPr>
        <w:pBdr>
          <w:top w:val="nil"/>
          <w:left w:val="nil"/>
          <w:bottom w:val="nil"/>
          <w:right w:val="nil"/>
          <w:between w:val="nil"/>
        </w:pBdr>
        <w:spacing w:line="360" w:lineRule="auto"/>
        <w:ind w:left="284" w:right="843"/>
        <w:jc w:val="both"/>
        <w:rPr>
          <w:rFonts w:ascii="Palatino Linotype" w:eastAsia="Palatino Linotype" w:hAnsi="Palatino Linotype" w:cs="Palatino Linotype"/>
          <w:b/>
          <w:bCs/>
          <w:color w:val="000000"/>
          <w:sz w:val="36"/>
          <w:szCs w:val="36"/>
        </w:rPr>
      </w:pPr>
      <w:r>
        <w:rPr>
          <w:rFonts w:ascii="Palatino Linotype" w:eastAsia="Palatino Linotype" w:hAnsi="Palatino Linotype" w:cs="Palatino Linotype"/>
          <w:b/>
          <w:bCs/>
          <w:color w:val="000000"/>
        </w:rPr>
        <w:t>Documentos donde conste el seguimiento y continuidad por parte de la Dirección de Medio Ambiente y Ecología, y la Dirección de Protección Civil y Bomberos referido en el oficio DPCB/ECA/1368/2025 de fecha 03 de junio de 2025.</w:t>
      </w:r>
    </w:p>
    <w:p w:rsidR="00FF2FB2" w:rsidRDefault="00FF2FB2">
      <w:pPr>
        <w:pBdr>
          <w:top w:val="nil"/>
          <w:left w:val="nil"/>
          <w:bottom w:val="nil"/>
          <w:right w:val="nil"/>
          <w:between w:val="nil"/>
        </w:pBdr>
        <w:spacing w:line="360" w:lineRule="auto"/>
        <w:ind w:left="284"/>
        <w:jc w:val="both"/>
        <w:rPr>
          <w:rFonts w:ascii="Palatino Linotype" w:eastAsia="Palatino Linotype" w:hAnsi="Palatino Linotype" w:cs="Palatino Linotype"/>
          <w:color w:val="000000"/>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El Sujeto Obligado, </w:t>
      </w:r>
      <w:r>
        <w:rPr>
          <w:rFonts w:ascii="Palatino Linotype" w:eastAsia="Palatino Linotype" w:hAnsi="Palatino Linotype" w:cs="Palatino Linotype"/>
          <w:b/>
          <w:bCs/>
          <w:sz w:val="22"/>
          <w:szCs w:val="22"/>
          <w:u w:val="single"/>
        </w:rPr>
        <w:t>entregó diversos oficios donde constan las acciones realizadas, así como actas informativas y evidencia fotográfica respecto al derribo de árboles</w:t>
      </w:r>
      <w:r>
        <w:rPr>
          <w:rFonts w:ascii="Palatino Linotype" w:eastAsia="Palatino Linotype" w:hAnsi="Palatino Linotype" w:cs="Palatino Linotype"/>
          <w:sz w:val="22"/>
          <w:szCs w:val="22"/>
        </w:rPr>
        <w:t xml:space="preserve">.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b/>
          <w:bCs/>
          <w:sz w:val="22"/>
          <w:szCs w:val="22"/>
          <w:u w:val="single"/>
        </w:rPr>
      </w:pPr>
      <w:r>
        <w:rPr>
          <w:rFonts w:ascii="Palatino Linotype" w:eastAsia="Palatino Linotype" w:hAnsi="Palatino Linotype" w:cs="Palatino Linotype"/>
          <w:sz w:val="22"/>
          <w:szCs w:val="22"/>
        </w:rPr>
        <w:t>Asimismo, la Dirección de Medio Ambiente y Ecología</w:t>
      </w:r>
      <w:r>
        <w:rPr>
          <w:rFonts w:ascii="Palatino Linotype" w:eastAsia="Palatino Linotype" w:hAnsi="Palatino Linotype" w:cs="Palatino Linotype"/>
          <w:b/>
          <w:bCs/>
          <w:sz w:val="22"/>
          <w:szCs w:val="22"/>
          <w:u w:val="single"/>
        </w:rPr>
        <w:t xml:space="preserve"> </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b/>
          <w:bCs/>
          <w:sz w:val="22"/>
          <w:szCs w:val="22"/>
          <w:u w:val="single"/>
        </w:rPr>
        <w:t>refirió que no localizó el oficio</w:t>
      </w:r>
      <w:r>
        <w:rPr>
          <w:rFonts w:ascii="Palatino Linotype" w:eastAsia="Palatino Linotype" w:hAnsi="Palatino Linotype" w:cs="Palatino Linotype"/>
          <w:b/>
          <w:bCs/>
          <w:sz w:val="22"/>
          <w:szCs w:val="22"/>
          <w:u w:val="single"/>
        </w:rPr>
        <w:t xml:space="preserve"> al que hace referencia el particular, por lo que no tiene la información requerida.</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sz w:val="22"/>
          <w:szCs w:val="22"/>
        </w:rPr>
        <w:t xml:space="preserve">Conocida la respuesta, el Recurrente se inconformó de manera expresa por lo siguiente </w:t>
      </w:r>
      <w:r>
        <w:rPr>
          <w:rFonts w:ascii="Palatino Linotype" w:eastAsia="Palatino Linotype" w:hAnsi="Palatino Linotype" w:cs="Palatino Linotype"/>
          <w:i/>
          <w:iCs/>
          <w:sz w:val="22"/>
          <w:szCs w:val="22"/>
        </w:rPr>
        <w:t>“La respuesta a la solicitud de información está incompleta, debido a que el DICTAME</w:t>
      </w:r>
      <w:r>
        <w:rPr>
          <w:rFonts w:ascii="Palatino Linotype" w:eastAsia="Palatino Linotype" w:hAnsi="Palatino Linotype" w:cs="Palatino Linotype"/>
          <w:i/>
          <w:iCs/>
          <w:sz w:val="22"/>
          <w:szCs w:val="22"/>
        </w:rPr>
        <w:t>N TECNICO está INCOMPLETO y un ACTA INFORMATIVA de la Dirección de Medio Ambiente y Ecología, NO sustituye al ACTA DEL COMITE DE TRANSPARENCIA”</w:t>
      </w:r>
      <w:r>
        <w:rPr>
          <w:rFonts w:ascii="Palatino Linotype" w:eastAsia="Palatino Linotype" w:hAnsi="Palatino Linotype" w:cs="Palatino Linotype"/>
          <w:sz w:val="22"/>
          <w:szCs w:val="22"/>
        </w:rPr>
        <w:t xml:space="preserve"> Se colige que, la parte de la respuesta que no fue impugnada debe declararse consentida, </w:t>
      </w:r>
      <w:r>
        <w:rPr>
          <w:rFonts w:ascii="Palatino Linotype" w:eastAsia="Palatino Linotype" w:hAnsi="Palatino Linotype" w:cs="Palatino Linotype"/>
          <w:b/>
          <w:bCs/>
          <w:sz w:val="22"/>
          <w:szCs w:val="22"/>
        </w:rPr>
        <w:t>como lo es el seguimien</w:t>
      </w:r>
      <w:r>
        <w:rPr>
          <w:rFonts w:ascii="Palatino Linotype" w:eastAsia="Palatino Linotype" w:hAnsi="Palatino Linotype" w:cs="Palatino Linotype"/>
          <w:b/>
          <w:bCs/>
          <w:sz w:val="22"/>
          <w:szCs w:val="22"/>
        </w:rPr>
        <w:t>to y continuidad de las acciones por parte de la Dirección de Protección Civil y Bomberos y las versiones públicas proporcionadas.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Lo anterior es así, debido a que cuando la parte Recurrente impugna la respuesta del Sujeto Obligado, y este no expresa Razó</w:t>
      </w:r>
      <w:r>
        <w:rPr>
          <w:rFonts w:ascii="Palatino Linotype" w:eastAsia="Palatino Linotype" w:hAnsi="Palatino Linotype" w:cs="Palatino Linotype"/>
          <w:sz w:val="22"/>
          <w:szCs w:val="22"/>
        </w:rPr>
        <w:t>n o Motivo de Inconformidad en contra de todos los rubros solicitados, dichos rubros deben declararse atendidos, pues se entiende que la parte Recurrente ésta conforme con la información entregada al no contravenir la misma. Sirve de Apoyo a lo anterior, p</w:t>
      </w:r>
      <w:r>
        <w:rPr>
          <w:rFonts w:ascii="Palatino Linotype" w:eastAsia="Palatino Linotype" w:hAnsi="Palatino Linotype" w:cs="Palatino Linotype"/>
          <w:sz w:val="22"/>
          <w:szCs w:val="22"/>
        </w:rPr>
        <w:t>or analogía la Tesis Jurisprudencial Número 3ª./J.7/91, Publicada en el Semanario Judicial de la Federación y su Gaceta bajo el número de registro 174,177, que establece lo siguiente:</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 xml:space="preserve">“REVISIÓN EN AMPARO. LOS RESOLUTIVOS NO COMBATIDOS DEBEN DECLARARSE FIRMES. </w:t>
      </w:r>
      <w:r>
        <w:rPr>
          <w:rFonts w:ascii="Palatino Linotype" w:eastAsia="Palatino Linotype" w:hAnsi="Palatino Linotype" w:cs="Palatino Linotype"/>
          <w:i/>
          <w:iCs/>
          <w:sz w:val="22"/>
          <w:szCs w:val="22"/>
        </w:rPr>
        <w:t xml:space="preserve">Cuando algún resolutivo de la sentencia impugnada afecta a la recurrente, y ésta no expresa agravio en contra de las consideraciones que le sirven de base, dicho resolutivo debe declararse firme. Esto es, en el caso referido, no obstante que la materia de </w:t>
      </w:r>
      <w:r>
        <w:rPr>
          <w:rFonts w:ascii="Palatino Linotype" w:eastAsia="Palatino Linotype" w:hAnsi="Palatino Linotype" w:cs="Palatino Linotype"/>
          <w:i/>
          <w:iCs/>
          <w:sz w:val="22"/>
          <w:szCs w:val="22"/>
        </w:rPr>
        <w:t>la revisión comprende a todos los resolutivos que afectan a la recurrente, deben declararse firmes aquéllos en contra de los cuales no se formuló agravio y dicha declaración de firmeza debe reflejarse en la parte considerativa y en los resolutivos debe con</w:t>
      </w:r>
      <w:r>
        <w:rPr>
          <w:rFonts w:ascii="Palatino Linotype" w:eastAsia="Palatino Linotype" w:hAnsi="Palatino Linotype" w:cs="Palatino Linotype"/>
          <w:i/>
          <w:iCs/>
          <w:sz w:val="22"/>
          <w:szCs w:val="22"/>
        </w:rPr>
        <w:t>firmarse la sentencia recurrida en la parte correspondiente.</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Consecuentemente, se insiste, ante la falta de impugnación eficaz, la respuesta entregada debe declararse consentida por persona solicitante.</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Lo anterior se sustenta con lo plasmado en el crite</w:t>
      </w:r>
      <w:r>
        <w:rPr>
          <w:rFonts w:ascii="Palatino Linotype" w:eastAsia="Palatino Linotype" w:hAnsi="Palatino Linotype" w:cs="Palatino Linotype"/>
          <w:sz w:val="22"/>
          <w:szCs w:val="22"/>
        </w:rPr>
        <w:t xml:space="preserve">rio orientador 01/20 emitido por el entonces Instituto Nacional de Transparencia, Acceso a la Información, y Protección de Datos Personales, INAI, que lleva por rubro y texto los siguientes: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pBdr>
          <w:top w:val="nil"/>
          <w:left w:val="nil"/>
          <w:bottom w:val="nil"/>
          <w:right w:val="nil"/>
          <w:between w:val="nil"/>
        </w:pBdr>
        <w:spacing w:line="276" w:lineRule="auto"/>
        <w:ind w:left="567" w:right="902"/>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r>
        <w:rPr>
          <w:rFonts w:ascii="Palatino Linotype" w:eastAsia="Palatino Linotype" w:hAnsi="Palatino Linotype" w:cs="Palatino Linotype"/>
          <w:b/>
          <w:bCs/>
          <w:i/>
          <w:iCs/>
          <w:sz w:val="22"/>
          <w:szCs w:val="22"/>
        </w:rPr>
        <w:t xml:space="preserve">Actos consentidos tácitamente. Improcedencia de su análisis. </w:t>
      </w:r>
      <w:r>
        <w:rPr>
          <w:rFonts w:ascii="Palatino Linotype" w:eastAsia="Palatino Linotype" w:hAnsi="Palatino Linotype" w:cs="Palatino Linotype"/>
          <w:i/>
          <w:iCs/>
          <w:sz w:val="22"/>
          <w:szCs w:val="22"/>
        </w:rPr>
        <w:t>S</w:t>
      </w:r>
      <w:r>
        <w:rPr>
          <w:rFonts w:ascii="Palatino Linotype" w:eastAsia="Palatino Linotype" w:hAnsi="Palatino Linotype" w:cs="Palatino Linotype"/>
          <w:i/>
          <w:iCs/>
          <w:sz w:val="22"/>
          <w:szCs w:val="22"/>
        </w:rPr>
        <w:t>i en su recurso de revisión, la persona recurrente no expresó inconformidad alguna con ciertas partes de la respuesta otorgada, se entienden tácitamente consentidas, por ende, no deben formar parte del estudio de fondo de la resolución que emite el Institu</w:t>
      </w:r>
      <w:r>
        <w:rPr>
          <w:rFonts w:ascii="Palatino Linotype" w:eastAsia="Palatino Linotype" w:hAnsi="Palatino Linotype" w:cs="Palatino Linotype"/>
          <w:i/>
          <w:iCs/>
          <w:sz w:val="22"/>
          <w:szCs w:val="22"/>
        </w:rPr>
        <w:t>to.”</w:t>
      </w:r>
    </w:p>
    <w:p w:rsidR="00FF2FB2" w:rsidRDefault="00FF2FB2">
      <w:pPr>
        <w:pBdr>
          <w:top w:val="nil"/>
          <w:left w:val="nil"/>
          <w:bottom w:val="nil"/>
          <w:right w:val="nil"/>
          <w:between w:val="nil"/>
        </w:pBdr>
        <w:spacing w:line="360" w:lineRule="auto"/>
        <w:ind w:left="567" w:right="902"/>
        <w:jc w:val="both"/>
        <w:rPr>
          <w:rFonts w:ascii="Palatino Linotype" w:eastAsia="Palatino Linotype" w:hAnsi="Palatino Linotype" w:cs="Palatino Linotype"/>
          <w:i/>
          <w:iCs/>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Asimismo, resulta aplicable por analogía la tesis jurisprudencial número VI.3o.C. J/60, publicada en el Semanario Judicial de la Federación y su Gaceta bajo el número de registro 176,608 que a la letra dice:</w:t>
      </w:r>
    </w:p>
    <w:p w:rsidR="00FF2FB2" w:rsidRDefault="00FF2FB2">
      <w:pPr>
        <w:spacing w:line="360" w:lineRule="auto"/>
        <w:ind w:left="851" w:right="900"/>
        <w:jc w:val="both"/>
        <w:rPr>
          <w:rFonts w:ascii="Palatino Linotype" w:eastAsia="Palatino Linotype" w:hAnsi="Palatino Linotype" w:cs="Palatino Linotype"/>
          <w:b/>
          <w:bCs/>
          <w:i/>
          <w:iCs/>
          <w:smallCaps/>
          <w:sz w:val="22"/>
          <w:szCs w:val="22"/>
        </w:rPr>
      </w:pPr>
    </w:p>
    <w:p w:rsidR="00FF2FB2" w:rsidRDefault="00EB54A1">
      <w:pPr>
        <w:tabs>
          <w:tab w:val="left" w:pos="851"/>
          <w:tab w:val="left" w:pos="1276"/>
        </w:tabs>
        <w:ind w:left="567" w:right="709"/>
        <w:jc w:val="both"/>
        <w:rPr>
          <w:rFonts w:ascii="Palatino Linotype" w:eastAsia="Palatino Linotype" w:hAnsi="Palatino Linotype" w:cs="Palatino Linotype"/>
          <w:sz w:val="22"/>
          <w:szCs w:val="22"/>
        </w:rPr>
      </w:pPr>
      <w:r>
        <w:rPr>
          <w:rFonts w:ascii="Palatino Linotype" w:eastAsia="Palatino Linotype" w:hAnsi="Palatino Linotype" w:cs="Palatino Linotype"/>
          <w:b/>
          <w:bCs/>
          <w:i/>
          <w:iCs/>
          <w:smallCaps/>
          <w:sz w:val="22"/>
          <w:szCs w:val="22"/>
        </w:rPr>
        <w:t xml:space="preserve">“ACTOS CONSENTIDOS. SON LOS QUE NO SE IMPUGNAN MEDIANTE EL RECURSO IDÓNEO. </w:t>
      </w:r>
      <w:r>
        <w:rPr>
          <w:rFonts w:ascii="Palatino Linotype" w:eastAsia="Palatino Linotype" w:hAnsi="Palatino Linotype" w:cs="Palatino Linotype"/>
          <w:i/>
          <w:iCs/>
          <w:sz w:val="22"/>
          <w:szCs w:val="22"/>
        </w:rPr>
        <w:t>Debe reputarse como consentido el acto que no se impugnó por el medio establecido por la ley, ya que si se hizo uso de otro no previsto por ella o si se hace una simple manifestació</w:t>
      </w:r>
      <w:r>
        <w:rPr>
          <w:rFonts w:ascii="Palatino Linotype" w:eastAsia="Palatino Linotype" w:hAnsi="Palatino Linotype" w:cs="Palatino Linotype"/>
          <w:i/>
          <w:iCs/>
          <w:sz w:val="22"/>
          <w:szCs w:val="22"/>
        </w:rPr>
        <w:t>n de inconformidad, tales actuaciones no producen efectos jurídicos tendientes a revocar, confirmar o modificar el acto reclamado en amparo, lo que significa consentimiento del mismo por falta de impugnación eficaz.”</w:t>
      </w:r>
    </w:p>
    <w:p w:rsidR="00FF2FB2" w:rsidRDefault="00FF2FB2">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rsidR="00FF2FB2" w:rsidRDefault="00EB54A1">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Dicho lo anterior, la información de l</w:t>
      </w:r>
      <w:r>
        <w:rPr>
          <w:rFonts w:ascii="Palatino Linotype" w:eastAsia="Palatino Linotype" w:hAnsi="Palatino Linotype" w:cs="Palatino Linotype"/>
          <w:sz w:val="22"/>
          <w:szCs w:val="22"/>
        </w:rPr>
        <w:t>a que resulta procedente pronunciarse respecto a la información siguiente:</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Dictamen Técnico incompleto;</w:t>
      </w:r>
    </w:p>
    <w:p w:rsidR="00FF2FB2" w:rsidRDefault="00EB54A1">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trike/>
          <w:color w:val="000000"/>
          <w:sz w:val="22"/>
          <w:szCs w:val="22"/>
        </w:rPr>
      </w:pPr>
      <w:r>
        <w:rPr>
          <w:rFonts w:ascii="Palatino Linotype" w:eastAsia="Palatino Linotype" w:hAnsi="Palatino Linotype" w:cs="Palatino Linotype"/>
          <w:b/>
          <w:bCs/>
          <w:color w:val="000000"/>
          <w:sz w:val="22"/>
          <w:szCs w:val="22"/>
        </w:rPr>
        <w:t xml:space="preserve">El Acta Informativa del Director Jurídico de la Dirección de Medio Ambiente y Ecología.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Una vez establecidas las posturas de las partes, no escapa de la óptica de este Organismo Garante la naturaleza de la información requerida, razón por la que se procede al análisis de la información requerida y para ello conviene traer a contexto el conten</w:t>
      </w:r>
      <w:r>
        <w:rPr>
          <w:rFonts w:ascii="Palatino Linotype" w:eastAsia="Palatino Linotype" w:hAnsi="Palatino Linotype" w:cs="Palatino Linotype"/>
          <w:sz w:val="22"/>
          <w:szCs w:val="22"/>
        </w:rPr>
        <w:t>ido de los artículos 59 y 60 del Bando Municipal del Sujeto Obligado, a saber:</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ind w:left="567" w:right="616"/>
        <w:jc w:val="center"/>
        <w:rPr>
          <w:rFonts w:ascii="Palatino Linotype" w:eastAsia="Palatino Linotype" w:hAnsi="Palatino Linotype" w:cs="Palatino Linotype"/>
          <w:b/>
          <w:bCs/>
          <w:i/>
          <w:iCs/>
          <w:sz w:val="22"/>
          <w:szCs w:val="22"/>
        </w:rPr>
      </w:pPr>
      <w:r>
        <w:rPr>
          <w:rFonts w:ascii="Palatino Linotype" w:eastAsia="Palatino Linotype" w:hAnsi="Palatino Linotype" w:cs="Palatino Linotype"/>
          <w:b/>
          <w:bCs/>
          <w:i/>
          <w:iCs/>
          <w:sz w:val="22"/>
          <w:szCs w:val="22"/>
        </w:rPr>
        <w:t>De la Dirección de Medio Ambiente y Ecología</w:t>
      </w: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59.</w:t>
      </w:r>
      <w:r>
        <w:rPr>
          <w:rFonts w:ascii="Palatino Linotype" w:eastAsia="Palatino Linotype" w:hAnsi="Palatino Linotype" w:cs="Palatino Linotype"/>
          <w:i/>
          <w:iCs/>
          <w:sz w:val="22"/>
          <w:szCs w:val="22"/>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w:t>
      </w:r>
      <w:r>
        <w:rPr>
          <w:rFonts w:ascii="Palatino Linotype" w:eastAsia="Palatino Linotype" w:hAnsi="Palatino Linotype" w:cs="Palatino Linotype"/>
          <w:i/>
          <w:iCs/>
          <w:sz w:val="22"/>
          <w:szCs w:val="22"/>
        </w:rPr>
        <w:t xml:space="preserve">s el registro de personas físicas y/o jurídico colectivas que realicen actividades en relación al medio ambiente; así como la conservación, restauración, protección, preservación y mejoramiento de éste, de conformidad con la legislación aplicable. </w:t>
      </w:r>
    </w:p>
    <w:p w:rsidR="00FF2FB2" w:rsidRDefault="00FF2FB2">
      <w:pPr>
        <w:spacing w:line="360" w:lineRule="auto"/>
        <w:ind w:left="567" w:right="616"/>
        <w:jc w:val="both"/>
        <w:rPr>
          <w:rFonts w:ascii="Palatino Linotype" w:eastAsia="Palatino Linotype" w:hAnsi="Palatino Linotype" w:cs="Palatino Linotype"/>
          <w:i/>
          <w:iCs/>
          <w:sz w:val="22"/>
          <w:szCs w:val="22"/>
        </w:rPr>
      </w:pP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Esta D</w:t>
      </w:r>
      <w:r>
        <w:rPr>
          <w:rFonts w:ascii="Palatino Linotype" w:eastAsia="Palatino Linotype" w:hAnsi="Palatino Linotype" w:cs="Palatino Linotype"/>
          <w:i/>
          <w:iCs/>
          <w:sz w:val="22"/>
          <w:szCs w:val="22"/>
        </w:rPr>
        <w:t>irección tendrá a su cargo la formulación, conducción y evaluación de la política ambiental municipal promoviendo estrategias de reforestación y disminución de gases contaminantes a efecto de combatir el cambio climático y deberá coordinarse con la Secreta</w:t>
      </w:r>
      <w:r>
        <w:rPr>
          <w:rFonts w:ascii="Palatino Linotype" w:eastAsia="Palatino Linotype" w:hAnsi="Palatino Linotype" w:cs="Palatino Linotype"/>
          <w:i/>
          <w:iCs/>
          <w:sz w:val="22"/>
          <w:szCs w:val="22"/>
        </w:rPr>
        <w:t xml:space="preserve">ría del Medio Ambiente del Gobierno del Estado de México, atendiendo a la Ley General del Equilibrio Ecológico y la Protección al Ambiente, así como la Ley de Cambio Climático del Estado de México, Código para la Biodiversidad del Estado de México y demás </w:t>
      </w:r>
      <w:r>
        <w:rPr>
          <w:rFonts w:ascii="Palatino Linotype" w:eastAsia="Palatino Linotype" w:hAnsi="Palatino Linotype" w:cs="Palatino Linotype"/>
          <w:i/>
          <w:iCs/>
          <w:sz w:val="22"/>
          <w:szCs w:val="22"/>
        </w:rPr>
        <w:t xml:space="preserve">ordenamientos legales de la materia. </w:t>
      </w: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60</w:t>
      </w:r>
      <w:r>
        <w:rPr>
          <w:rFonts w:ascii="Palatino Linotype" w:eastAsia="Palatino Linotype" w:hAnsi="Palatino Linotype" w:cs="Palatino Linotype"/>
          <w:i/>
          <w:iCs/>
          <w:sz w:val="22"/>
          <w:szCs w:val="22"/>
        </w:rPr>
        <w:t>. La Dirección de Medio Ambiente y Ecología tendrá las siguientes atribuciones:</w:t>
      </w: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sz w:val="22"/>
          <w:szCs w:val="22"/>
        </w:rPr>
        <w:tab/>
      </w:r>
      <w:r>
        <w:rPr>
          <w:rFonts w:ascii="Palatino Linotype" w:eastAsia="Palatino Linotype" w:hAnsi="Palatino Linotype" w:cs="Palatino Linotype"/>
          <w:i/>
          <w:iCs/>
          <w:sz w:val="22"/>
          <w:szCs w:val="22"/>
        </w:rPr>
        <w:t>….</w:t>
      </w: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VI. Analizar y justificar técnicamente los dictámenes de riesgo emitidos por la Dirección de Protección Civil y Bomberos </w:t>
      </w:r>
      <w:r>
        <w:rPr>
          <w:rFonts w:ascii="Palatino Linotype" w:eastAsia="Palatino Linotype" w:hAnsi="Palatino Linotype" w:cs="Palatino Linotype"/>
          <w:i/>
          <w:iCs/>
          <w:sz w:val="22"/>
          <w:szCs w:val="22"/>
          <w:u w:val="single"/>
        </w:rPr>
        <w:t>para la ejecución de trabajos en árboles</w:t>
      </w:r>
      <w:r>
        <w:rPr>
          <w:rFonts w:ascii="Palatino Linotype" w:eastAsia="Palatino Linotype" w:hAnsi="Palatino Linotype" w:cs="Palatino Linotype"/>
          <w:i/>
          <w:iCs/>
          <w:sz w:val="22"/>
          <w:szCs w:val="22"/>
        </w:rPr>
        <w:t xml:space="preserve"> que, por la magnitud del riesgo, se ejecuten sin previa autorización; asimismo, determinará en las autorizaciones que emita si se requiere la intervención de la Dirección de Protección Civil y Bomberos derivado del </w:t>
      </w:r>
      <w:r>
        <w:rPr>
          <w:rFonts w:ascii="Palatino Linotype" w:eastAsia="Palatino Linotype" w:hAnsi="Palatino Linotype" w:cs="Palatino Linotype"/>
          <w:i/>
          <w:iCs/>
          <w:sz w:val="22"/>
          <w:szCs w:val="22"/>
        </w:rPr>
        <w:t xml:space="preserve">riesgo; </w:t>
      </w: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VIII. Realizar visitas de inspección con el objeto de constatar el cumplimiento del Código para la Biodiversidad del Estado de México y demás ordenamientos aplicables;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De lo anterior se advierte que le corresponde a la Dirección de Medio Ambiente y Ecología la formulación, conducción y evaluación de la política ambiental municipal así como analizar y justificar técnicamente los dictámenes de riesgo emitidos por la Direcc</w:t>
      </w:r>
      <w:r>
        <w:rPr>
          <w:rFonts w:ascii="Palatino Linotype" w:eastAsia="Palatino Linotype" w:hAnsi="Palatino Linotype" w:cs="Palatino Linotype"/>
          <w:sz w:val="22"/>
          <w:szCs w:val="22"/>
        </w:rPr>
        <w:t>ión de Protección Civil y Bomberos para la ejecución de trabajos en árboles que, por la magnitud del riesgo, se ejecuten sin previa autorización.</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Consecuentemente, se establece que, para el derribo de árboles en áreas públicas, esto se realizará previa ev</w:t>
      </w:r>
      <w:r>
        <w:rPr>
          <w:rFonts w:ascii="Palatino Linotype" w:eastAsia="Palatino Linotype" w:hAnsi="Palatino Linotype" w:cs="Palatino Linotype"/>
          <w:sz w:val="22"/>
          <w:szCs w:val="22"/>
        </w:rPr>
        <w:t xml:space="preserve">aluación técnica emitida por la Dirección de Medio Ambiente y Ecología; y, cuando sea necesario </w:t>
      </w:r>
      <w:r>
        <w:rPr>
          <w:rFonts w:ascii="Palatino Linotype" w:eastAsia="Palatino Linotype" w:hAnsi="Palatino Linotype" w:cs="Palatino Linotype"/>
          <w:b/>
          <w:bCs/>
          <w:sz w:val="22"/>
          <w:szCs w:val="22"/>
        </w:rPr>
        <w:t>el dictamen de riesgo por parte de la Dirección de Protección Civil y Bomberos</w:t>
      </w:r>
      <w:r>
        <w:rPr>
          <w:rFonts w:ascii="Palatino Linotype" w:eastAsia="Palatino Linotype" w:hAnsi="Palatino Linotype" w:cs="Palatino Linotype"/>
          <w:sz w:val="22"/>
          <w:szCs w:val="22"/>
        </w:rPr>
        <w:t>, será también requerida dicha evaluación técnica:</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86</w:t>
      </w:r>
      <w:r>
        <w:rPr>
          <w:rFonts w:ascii="Palatino Linotype" w:eastAsia="Palatino Linotype" w:hAnsi="Palatino Linotype" w:cs="Palatino Linotype"/>
          <w:i/>
          <w:iCs/>
          <w:sz w:val="22"/>
          <w:szCs w:val="22"/>
        </w:rPr>
        <w:t>. El derribo de ár</w:t>
      </w:r>
      <w:r>
        <w:rPr>
          <w:rFonts w:ascii="Palatino Linotype" w:eastAsia="Palatino Linotype" w:hAnsi="Palatino Linotype" w:cs="Palatino Linotype"/>
          <w:i/>
          <w:iCs/>
          <w:sz w:val="22"/>
          <w:szCs w:val="22"/>
        </w:rPr>
        <w:t xml:space="preserve">boles en áreas públicas como parques, jardines, plazas cívicas, camellones, glorietas, fuentes, monumentos y panteones municipales </w:t>
      </w:r>
      <w:r>
        <w:rPr>
          <w:rFonts w:ascii="Palatino Linotype" w:eastAsia="Palatino Linotype" w:hAnsi="Palatino Linotype" w:cs="Palatino Linotype"/>
          <w:i/>
          <w:iCs/>
          <w:sz w:val="22"/>
          <w:szCs w:val="22"/>
          <w:u w:val="single"/>
        </w:rPr>
        <w:t>se realizará previa evaluación técnica de la Dirección de Medio Ambiente y Ecología</w:t>
      </w:r>
      <w:r>
        <w:rPr>
          <w:rFonts w:ascii="Palatino Linotype" w:eastAsia="Palatino Linotype" w:hAnsi="Palatino Linotype" w:cs="Palatino Linotype"/>
          <w:i/>
          <w:iCs/>
          <w:sz w:val="22"/>
          <w:szCs w:val="22"/>
        </w:rPr>
        <w:t xml:space="preserve">; asimismo, </w:t>
      </w:r>
      <w:r>
        <w:rPr>
          <w:rFonts w:ascii="Palatino Linotype" w:eastAsia="Palatino Linotype" w:hAnsi="Palatino Linotype" w:cs="Palatino Linotype"/>
          <w:b/>
          <w:bCs/>
          <w:i/>
          <w:iCs/>
          <w:sz w:val="22"/>
          <w:szCs w:val="22"/>
        </w:rPr>
        <w:t>cuando sea necesario el dictam</w:t>
      </w:r>
      <w:r>
        <w:rPr>
          <w:rFonts w:ascii="Palatino Linotype" w:eastAsia="Palatino Linotype" w:hAnsi="Palatino Linotype" w:cs="Palatino Linotype"/>
          <w:b/>
          <w:bCs/>
          <w:i/>
          <w:iCs/>
          <w:sz w:val="22"/>
          <w:szCs w:val="22"/>
        </w:rPr>
        <w:t>en de riesgo</w:t>
      </w:r>
      <w:r>
        <w:rPr>
          <w:rFonts w:ascii="Palatino Linotype" w:eastAsia="Palatino Linotype" w:hAnsi="Palatino Linotype" w:cs="Palatino Linotype"/>
          <w:i/>
          <w:iCs/>
          <w:sz w:val="22"/>
          <w:szCs w:val="22"/>
        </w:rPr>
        <w:t>, se requerirá evaluación técnica por parte de la Dirección de Protección Civil y Bomberos”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ese contexto, se tiene que le corresponde a la Dirección de Protección Civil y Bomberos las bases de coordinación entre los distintos órdenes de gob</w:t>
      </w:r>
      <w:r>
        <w:rPr>
          <w:rFonts w:ascii="Palatino Linotype" w:eastAsia="Palatino Linotype" w:hAnsi="Palatino Linotype" w:cs="Palatino Linotype"/>
          <w:sz w:val="22"/>
          <w:szCs w:val="22"/>
        </w:rPr>
        <w:t xml:space="preserve">ierno en materia de gestión integral de riesgos y protección civil, así como con los sectores privado y social entendiendo como </w:t>
      </w:r>
      <w:r>
        <w:rPr>
          <w:rFonts w:ascii="Palatino Linotype" w:eastAsia="Palatino Linotype" w:hAnsi="Palatino Linotype" w:cs="Palatino Linotype"/>
          <w:sz w:val="22"/>
          <w:szCs w:val="22"/>
          <w:u w:val="single"/>
        </w:rPr>
        <w:t>dictamen de riesgo,</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u w:val="single"/>
        </w:rPr>
        <w:t>al documento que se emite por la Dirección de Protección Civil y Bomberos mediante el cual se identifican lo</w:t>
      </w:r>
      <w:r>
        <w:rPr>
          <w:rFonts w:ascii="Palatino Linotype" w:eastAsia="Palatino Linotype" w:hAnsi="Palatino Linotype" w:cs="Palatino Linotype"/>
          <w:sz w:val="22"/>
          <w:szCs w:val="22"/>
          <w:u w:val="single"/>
        </w:rPr>
        <w:t>s riesgos existentes señalando el grado de estos, las posibles pérdidas, así como las recomendaciones de acciones para la gestión integral de riesgos, a efecto de mitigar o eliminar los efectos.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consecuencia, para el derribo, poda o trasplante de un ár</w:t>
      </w:r>
      <w:r>
        <w:rPr>
          <w:rFonts w:ascii="Palatino Linotype" w:eastAsia="Palatino Linotype" w:hAnsi="Palatino Linotype" w:cs="Palatino Linotype"/>
          <w:sz w:val="22"/>
          <w:szCs w:val="22"/>
        </w:rPr>
        <w:t xml:space="preserve">bol, este de debe realizar, mediante evaluación técnica de la Dirección de Medio Ambiente y Ecología; y, un dictamen de riesgo realizado por la Dirección de Protección Civil y Bomberos.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 esta manera, se desprende que la valoración de riesgo o dictamen </w:t>
      </w:r>
      <w:r>
        <w:rPr>
          <w:rFonts w:ascii="Palatino Linotype" w:eastAsia="Palatino Linotype" w:hAnsi="Palatino Linotype" w:cs="Palatino Linotype"/>
          <w:sz w:val="22"/>
          <w:szCs w:val="22"/>
        </w:rPr>
        <w:t>de riesgo para el derribo, poda o trasplante de un árbol, es una documental emitida por la Dirección de Protección Civil y Bomberos; mientras que la Dirección de Medio Ambiente y Ecología emite una evaluación técnica.</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Establecido lo anterior, el Titular d</w:t>
      </w:r>
      <w:r>
        <w:rPr>
          <w:rFonts w:ascii="Palatino Linotype" w:eastAsia="Palatino Linotype" w:hAnsi="Palatino Linotype" w:cs="Palatino Linotype"/>
          <w:sz w:val="22"/>
          <w:szCs w:val="22"/>
        </w:rPr>
        <w:t>e la Unidad de Transparencia turnó la solicitud a la Dirección de Ecología y Medio Ambiente y el Director de Protección Civil y Bomberos. En consecuencia, se tiene que siguió con ello el procedimiento para la atención a las solicitudes de acceso a la infor</w:t>
      </w:r>
      <w:r>
        <w:rPr>
          <w:rFonts w:ascii="Palatino Linotype" w:eastAsia="Palatino Linotype" w:hAnsi="Palatino Linotype" w:cs="Palatino Linotype"/>
          <w:sz w:val="22"/>
          <w:szCs w:val="22"/>
        </w:rPr>
        <w:t xml:space="preserve">mación, establecido en los artículos 151, 160, 162, 163, 164, 165 y 166, de la Ley de Transparencia y Acceso a la Información Pública del Estado de México y Municipios: </w:t>
      </w:r>
    </w:p>
    <w:p w:rsidR="00FF2FB2" w:rsidRDefault="00FF2FB2">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rsidR="00FF2FB2" w:rsidRDefault="00EB54A1">
      <w:pPr>
        <w:spacing w:after="240" w:line="360" w:lineRule="auto"/>
        <w:ind w:left="28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Las Unidades de Transparencia de los sujetos obligados deben garantizar las medidas y condiciones de accesibilidad para que toda persona pueda ejercer el derecho de acceso a la información; por lo que, son las responsables de hacer las notificaciones cor</w:t>
      </w:r>
      <w:r>
        <w:rPr>
          <w:rFonts w:ascii="Palatino Linotype" w:eastAsia="Palatino Linotype" w:hAnsi="Palatino Linotype" w:cs="Palatino Linotype"/>
          <w:sz w:val="22"/>
          <w:szCs w:val="22"/>
        </w:rPr>
        <w:t xml:space="preserve">respondientes, además de llevar a cabo todas las gestiones necesarias para facilitar el acceso de la información; </w:t>
      </w:r>
    </w:p>
    <w:p w:rsidR="00FF2FB2" w:rsidRDefault="00EB54A1">
      <w:pPr>
        <w:spacing w:after="240" w:line="360" w:lineRule="auto"/>
        <w:ind w:left="28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La respuesta a los requerimientos informativos, deberá notificarse al interesado en el menor tiempo posible, que no podrá exceder de quince</w:t>
      </w:r>
      <w:r>
        <w:rPr>
          <w:rFonts w:ascii="Palatino Linotype" w:eastAsia="Palatino Linotype" w:hAnsi="Palatino Linotype" w:cs="Palatino Linotype"/>
          <w:sz w:val="22"/>
          <w:szCs w:val="22"/>
        </w:rPr>
        <w:t xml:space="preserve"> días hábiles, contados a partir del día siguiente a la presentación de esta.  </w:t>
      </w:r>
    </w:p>
    <w:p w:rsidR="00FF2FB2" w:rsidRDefault="00EB54A1">
      <w:pPr>
        <w:spacing w:after="240" w:line="360" w:lineRule="auto"/>
        <w:ind w:left="28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Excepcionalmente, el plazo referido podrá ampliarse por siete días hábiles más, cuando existan razones fundadas y motivadas, a través del Comité de Transparencia; </w:t>
      </w:r>
    </w:p>
    <w:p w:rsidR="00FF2FB2" w:rsidRDefault="00EB54A1">
      <w:pPr>
        <w:spacing w:after="240" w:line="360" w:lineRule="auto"/>
        <w:ind w:left="28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Las Unidad</w:t>
      </w:r>
      <w:r>
        <w:rPr>
          <w:rFonts w:ascii="Palatino Linotype" w:eastAsia="Palatino Linotype" w:hAnsi="Palatino Linotype" w:cs="Palatino Linotype"/>
          <w:sz w:val="22"/>
          <w:szCs w:val="22"/>
        </w:rPr>
        <w:t>es de Transparencia garantizarán que las solicitudes se turnen a todas las áreas competentes que cuenten con la información o deban tenerla de acuerdo a sus facultades, funciones y atribuciones, para que realicen una búsqueda exhaustiva y razonable de la d</w:t>
      </w:r>
      <w:r>
        <w:rPr>
          <w:rFonts w:ascii="Palatino Linotype" w:eastAsia="Palatino Linotype" w:hAnsi="Palatino Linotype" w:cs="Palatino Linotype"/>
          <w:sz w:val="22"/>
          <w:szCs w:val="22"/>
        </w:rPr>
        <w:t xml:space="preserve">ocumentación solicitada, con el fin de que proporcionen las expresiones documentales que se encuentren en sus archivos o que estén constreñidos a elaborar; </w:t>
      </w:r>
    </w:p>
    <w:p w:rsidR="00FF2FB2" w:rsidRDefault="00EB54A1">
      <w:pPr>
        <w:spacing w:after="240" w:line="360" w:lineRule="auto"/>
        <w:ind w:left="28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El acceso se dará en la modalidad de entrega y en su caso, de envío elegido por la solicitante, c</w:t>
      </w:r>
      <w:r>
        <w:rPr>
          <w:rFonts w:ascii="Palatino Linotype" w:eastAsia="Palatino Linotype" w:hAnsi="Palatino Linotype" w:cs="Palatino Linotype"/>
          <w:sz w:val="22"/>
          <w:szCs w:val="22"/>
        </w:rPr>
        <w:t xml:space="preserve">uando no pueda entregarse en dicha modalidad, el Sujeto Obligado deberá ofrecer otras; por lo cual, deberá fundar y motivar la necesidad de modificar el medio de entrega; y </w:t>
      </w:r>
    </w:p>
    <w:p w:rsidR="00FF2FB2" w:rsidRDefault="00EB54A1">
      <w:pPr>
        <w:spacing w:after="240" w:line="360" w:lineRule="auto"/>
        <w:ind w:left="28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Las Unidades de Transparencia, tendrán disponible la información requerida duran</w:t>
      </w:r>
      <w:r>
        <w:rPr>
          <w:rFonts w:ascii="Palatino Linotype" w:eastAsia="Palatino Linotype" w:hAnsi="Palatino Linotype" w:cs="Palatino Linotype"/>
          <w:sz w:val="22"/>
          <w:szCs w:val="22"/>
        </w:rPr>
        <w:t>te un plazo mínimo de sesenta días hábiles, contados a partir de que la solicitante hubiere realizado, en su caso, el pago respectivo, el cual deberá efectuarse en un plazo no mayor a treinta días hábiles; por lo que, una vez transcurrida dicha temporalida</w:t>
      </w:r>
      <w:r>
        <w:rPr>
          <w:rFonts w:ascii="Palatino Linotype" w:eastAsia="Palatino Linotype" w:hAnsi="Palatino Linotype" w:cs="Palatino Linotype"/>
          <w:sz w:val="22"/>
          <w:szCs w:val="22"/>
        </w:rPr>
        <w:t xml:space="preserve">d, los Sujetos Obligados darán por concluida la solicitud y procederán de ser el caso, a la destrucción del material; </w:t>
      </w: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En este orden de ideas, se reitera que al turnar la solicitud a las Unidades Administrativas referidas, se acreditó la correcta búsqueda </w:t>
      </w:r>
      <w:r>
        <w:rPr>
          <w:rFonts w:ascii="Palatino Linotype" w:eastAsia="Palatino Linotype" w:hAnsi="Palatino Linotype" w:cs="Palatino Linotype"/>
          <w:sz w:val="22"/>
          <w:szCs w:val="22"/>
        </w:rPr>
        <w:t>exhaustiva y razonable de la información.</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Dictamen Técnico.</w:t>
      </w:r>
    </w:p>
    <w:p w:rsidR="00FF2FB2" w:rsidRDefault="00FF2FB2">
      <w:pPr>
        <w:spacing w:line="360" w:lineRule="auto"/>
        <w:jc w:val="both"/>
        <w:rPr>
          <w:rFonts w:ascii="Palatino Linotype" w:eastAsia="Palatino Linotype" w:hAnsi="Palatino Linotype" w:cs="Palatino Linotype"/>
          <w:b/>
          <w:bCs/>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Sujeto Obligado, en el documento electrónico denominado 0930-3221.pdf, entre la información ahí localizada, se encuentra el documento denominado Dictamen Técnico sobre el daño a un inmueble por un árbol, se inserta a continuación:</w:t>
      </w:r>
    </w:p>
    <w:p w:rsidR="00FF2FB2" w:rsidRDefault="00FF2FB2">
      <w:pPr>
        <w:spacing w:line="360" w:lineRule="auto"/>
        <w:jc w:val="both"/>
        <w:rPr>
          <w:rFonts w:ascii="Palatino Linotype" w:eastAsia="Palatino Linotype" w:hAnsi="Palatino Linotype" w:cs="Palatino Linotype"/>
          <w:b/>
          <w:bCs/>
          <w:sz w:val="22"/>
          <w:szCs w:val="22"/>
        </w:rPr>
      </w:pPr>
    </w:p>
    <w:p w:rsidR="00FF2FB2" w:rsidRDefault="00EB54A1">
      <w:pPr>
        <w:spacing w:line="360" w:lineRule="auto"/>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noProof/>
          <w:sz w:val="22"/>
          <w:szCs w:val="22"/>
        </w:rPr>
        <w:drawing>
          <wp:inline distT="0" distB="0" distL="0" distR="0">
            <wp:extent cx="5096586" cy="6830378"/>
            <wp:effectExtent l="0" t="0" r="0" b="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096586" cy="6830378"/>
                    </a:xfrm>
                    <a:prstGeom prst="rect">
                      <a:avLst/>
                    </a:prstGeom>
                    <a:ln/>
                  </pic:spPr>
                </pic:pic>
              </a:graphicData>
            </a:graphic>
          </wp:inline>
        </w:drawing>
      </w: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Tal y como se aprec</w:t>
      </w:r>
      <w:r>
        <w:rPr>
          <w:rFonts w:ascii="Palatino Linotype" w:eastAsia="Palatino Linotype" w:hAnsi="Palatino Linotype" w:cs="Palatino Linotype"/>
          <w:sz w:val="22"/>
          <w:szCs w:val="22"/>
        </w:rPr>
        <w:t>ia, el dictamen técnico es en relación al daño de un inmueble por causas de un árbol y, en la parte inferior derecha del documento, se advierte la leyenda 1/2, lo que determina que el dictamen técnico se integra por dos páginas; sin embargo, sólo se entreg</w:t>
      </w:r>
      <w:r>
        <w:rPr>
          <w:rFonts w:ascii="Palatino Linotype" w:eastAsia="Palatino Linotype" w:hAnsi="Palatino Linotype" w:cs="Palatino Linotype"/>
          <w:sz w:val="22"/>
          <w:szCs w:val="22"/>
        </w:rPr>
        <w:t xml:space="preserve">ó la primera.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consecuencia, se determina que el agravio que refiere el particular resulta procedente, al encontrarse incompleto el dictamen técnico. Por lo que se ORDENA al Sujeto Obligado entregar el dictamen técnico referido en respuesta de forma co</w:t>
      </w:r>
      <w:r>
        <w:rPr>
          <w:rFonts w:ascii="Palatino Linotype" w:eastAsia="Palatino Linotype" w:hAnsi="Palatino Linotype" w:cs="Palatino Linotype"/>
          <w:sz w:val="22"/>
          <w:szCs w:val="22"/>
        </w:rPr>
        <w:t>mpleta. De ser el caso de que el documento que se ordena entregar contenga datos personales susceptibles de clasificarse como confidenciales, el Sujeto Obligado estará a lo dispuesto en el Considerando Quinto de la presente resolución.</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Acta informativa de</w:t>
      </w:r>
      <w:r>
        <w:rPr>
          <w:rFonts w:ascii="Palatino Linotype" w:eastAsia="Palatino Linotype" w:hAnsi="Palatino Linotype" w:cs="Palatino Linotype"/>
          <w:b/>
          <w:bCs/>
          <w:sz w:val="22"/>
          <w:szCs w:val="22"/>
        </w:rPr>
        <w:t>l Subdirector Jurídico.</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Sobre este punto, el Recurrente se inconformó señalando que un acta informativa no sustituye un acta del comité de transparencia.</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Analizando el agravio del particular, es conveniente recordar que el Sujeto Obligado en su respuesta, a través de la Dirección de Medio Ambiente y Ecología indicó que no localizó el oficio al que hace referencia el particular, en consecuencia, no se cuenta</w:t>
      </w:r>
      <w:r>
        <w:rPr>
          <w:rFonts w:ascii="Palatino Linotype" w:eastAsia="Palatino Linotype" w:hAnsi="Palatino Linotype" w:cs="Palatino Linotype"/>
          <w:sz w:val="22"/>
          <w:szCs w:val="22"/>
        </w:rPr>
        <w:t xml:space="preserve"> con información en los términos referidos por el particular. Puntualizando que la búsqueda practicada se hace constar en el Acta Informativa de Control Interno suscrita por el Subdirector Jurídico adscrito a la Dirección de Medio Ambiente y Ecología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 l</w:t>
      </w:r>
      <w:r>
        <w:rPr>
          <w:rFonts w:ascii="Palatino Linotype" w:eastAsia="Palatino Linotype" w:hAnsi="Palatino Linotype" w:cs="Palatino Linotype"/>
          <w:sz w:val="22"/>
          <w:szCs w:val="22"/>
        </w:rPr>
        <w:t>a respuesta, se adjuntó el Acta Informativa de Control Interno DMAYEC/ECA/025/2025 suscrita por el Subdirector Jurídico en el que refiere que se realizó una búsqueda exhaustiva y razonable en los documentos y registros físicos y electrónicos que se encuent</w:t>
      </w:r>
      <w:r>
        <w:rPr>
          <w:rFonts w:ascii="Palatino Linotype" w:eastAsia="Palatino Linotype" w:hAnsi="Palatino Linotype" w:cs="Palatino Linotype"/>
          <w:sz w:val="22"/>
          <w:szCs w:val="22"/>
        </w:rPr>
        <w:t>ran en la Dirección de Medio Ambiente y Ecología y como resultado, se manifiesta que no se localizó información detallada referente al oficio DPCB/ECA/1368/2025 de fecha tres de junio de dos mil veinticinco al veinte de noviembre de dos mil veinticinco.</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w:t>
      </w:r>
      <w:r>
        <w:rPr>
          <w:rFonts w:ascii="Palatino Linotype" w:eastAsia="Palatino Linotype" w:hAnsi="Palatino Linotype" w:cs="Palatino Linotype"/>
          <w:sz w:val="22"/>
          <w:szCs w:val="22"/>
        </w:rPr>
        <w:t>stablecido lo anterior, este Organismo Garante localizó el oficio al que hace referencia el particular, siendo su contenido el siguiente:</w:t>
      </w:r>
    </w:p>
    <w:p w:rsidR="00FF2FB2" w:rsidRDefault="00EB54A1">
      <w:pPr>
        <w:spacing w:line="360"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extent cx="3186912" cy="4563293"/>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186912" cy="4563293"/>
                    </a:xfrm>
                    <a:prstGeom prst="rect">
                      <a:avLst/>
                    </a:prstGeom>
                    <a:ln/>
                  </pic:spPr>
                </pic:pic>
              </a:graphicData>
            </a:graphic>
          </wp:inline>
        </w:drawing>
      </w: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Del oficio de referencia, se advierte que corresponde al expediente del recurso de revisión 05339/INFOEM/IP/RR/2025,</w:t>
      </w:r>
      <w:r>
        <w:rPr>
          <w:rFonts w:ascii="Palatino Linotype" w:eastAsia="Palatino Linotype" w:hAnsi="Palatino Linotype" w:cs="Palatino Linotype"/>
          <w:sz w:val="22"/>
          <w:szCs w:val="22"/>
        </w:rPr>
        <w:t xml:space="preserve"> el cual fue enviado en la etapa de manifestaciones.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Para comprender de mejor forma el contenido del oficio, es para atender el requerimiento que dio origen al recurso de revisión antes citado, el cual versa sobre lo siguiente: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ind w:left="567"/>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Solicitud 00323/ECATEPEC/</w:t>
      </w:r>
      <w:r>
        <w:rPr>
          <w:rFonts w:ascii="Palatino Linotype" w:eastAsia="Palatino Linotype" w:hAnsi="Palatino Linotype" w:cs="Palatino Linotype"/>
          <w:b/>
          <w:bCs/>
          <w:sz w:val="22"/>
          <w:szCs w:val="22"/>
        </w:rPr>
        <w:t>IP/2025</w:t>
      </w:r>
    </w:p>
    <w:p w:rsidR="00FF2FB2" w:rsidRDefault="00EB54A1">
      <w:pPr>
        <w:spacing w:line="360" w:lineRule="auto"/>
        <w:ind w:left="567"/>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 05339/INFOEM/IP/RR/2025</w:t>
      </w:r>
    </w:p>
    <w:p w:rsidR="00FF2FB2" w:rsidRDefault="00EB54A1">
      <w:pPr>
        <w:spacing w:line="360" w:lineRule="auto"/>
        <w:ind w:left="567" w:right="843"/>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Presidenta Municipal del H. Ayuntamiento de Ecatepec de Morelos, con el debido respeto solicito que la respuesta sea suscrita por Usted para que la información que se me brinde sea con TRANSPARENCIA. Se f</w:t>
      </w:r>
      <w:r>
        <w:rPr>
          <w:rFonts w:ascii="Palatino Linotype" w:eastAsia="Palatino Linotype" w:hAnsi="Palatino Linotype" w:cs="Palatino Linotype"/>
          <w:i/>
          <w:iCs/>
          <w:sz w:val="22"/>
          <w:szCs w:val="22"/>
        </w:rPr>
        <w:t>unde y motive, que considera RIESGO el H. Ayuntamiento de Morelos, así como que elementos y/o factores de riesgo, deben considerarse con relación en la poda y/o derribo, de árboles.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 así que, el oficio al que se refiere el particular no se relaciona con</w:t>
      </w:r>
      <w:r>
        <w:rPr>
          <w:rFonts w:ascii="Palatino Linotype" w:eastAsia="Palatino Linotype" w:hAnsi="Palatino Linotype" w:cs="Palatino Linotype"/>
          <w:sz w:val="22"/>
          <w:szCs w:val="22"/>
        </w:rPr>
        <w:t xml:space="preserve"> una poda o derribo de un árbol específicamente o de un caso en concreto, sino que busca que el Sujeto Obligado emita un documento en el que se establezca que se considera como riesgo y los elementos y actores de un riesgo.</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ese sentido, el Sujeto Oblig</w:t>
      </w:r>
      <w:r>
        <w:rPr>
          <w:rFonts w:ascii="Palatino Linotype" w:eastAsia="Palatino Linotype" w:hAnsi="Palatino Linotype" w:cs="Palatino Linotype"/>
          <w:sz w:val="22"/>
          <w:szCs w:val="22"/>
        </w:rPr>
        <w:t>ado a través del oficio DPCB/ECA/1368/2025 emitido por la Dirección de Protección Civil y Bomberos señala lo relativo a las valoraciones de riesgo que son atribuciones de la Dirección de Medio Ambiente y Ecología, señalando que la Dirección de Protección C</w:t>
      </w:r>
      <w:r>
        <w:rPr>
          <w:rFonts w:ascii="Palatino Linotype" w:eastAsia="Palatino Linotype" w:hAnsi="Palatino Linotype" w:cs="Palatino Linotype"/>
          <w:sz w:val="22"/>
          <w:szCs w:val="22"/>
        </w:rPr>
        <w:t>ivil y Bomberos ha realizado acciones a costa de salvaguardar la integridad de las personas y sus bienes para prevenir alguna catástrofe mitigando el riesgo inminente.</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Asimismo, señala que la Dirección dio continuidad a las solicitudes en tiempo y forma, </w:t>
      </w:r>
      <w:r>
        <w:rPr>
          <w:rFonts w:ascii="Palatino Linotype" w:eastAsia="Palatino Linotype" w:hAnsi="Palatino Linotype" w:cs="Palatino Linotype"/>
          <w:sz w:val="22"/>
          <w:szCs w:val="22"/>
        </w:rPr>
        <w:t>por lo que las valoraciones de riesgo fueron turnadas a la Dirección de Medio Ambiente y Ecología para que se determine lo conducente y en su caso para la valoración o dictamen en relación a la poda, derribo y/o trasplante de árbol.</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Concluye señalando que “</w:t>
      </w:r>
      <w:r>
        <w:rPr>
          <w:rFonts w:ascii="Palatino Linotype" w:eastAsia="Palatino Linotype" w:hAnsi="Palatino Linotype" w:cs="Palatino Linotype"/>
          <w:i/>
          <w:iCs/>
          <w:sz w:val="22"/>
          <w:szCs w:val="22"/>
        </w:rPr>
        <w:t>está en espera del oficio de seguimiento y continuidad por parte de la Dirección del Medio Ambiente y Ecología</w:t>
      </w:r>
      <w:r>
        <w:rPr>
          <w:rFonts w:ascii="Palatino Linotype" w:eastAsia="Palatino Linotype" w:hAnsi="Palatino Linotype" w:cs="Palatino Linotype"/>
          <w:sz w:val="22"/>
          <w:szCs w:val="22"/>
        </w:rPr>
        <w:t xml:space="preserve">.”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Hasta este punto, se tienen las siguientes determinaciones: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El oficio referido es suscrito por la Dirección de Protección Civil y Bomberos y dirigido al Titular de la Unidad de Transparencia;</w:t>
      </w:r>
    </w:p>
    <w:p w:rsidR="00FF2FB2" w:rsidRDefault="00EB54A1">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El Sujeto Obligado en el oficio DPCB/ECA/1368/2025 asume que la Dirección de Protección Civil y bomberos dio continuidad a t</w:t>
      </w:r>
      <w:r>
        <w:rPr>
          <w:rFonts w:ascii="Palatino Linotype" w:eastAsia="Palatino Linotype" w:hAnsi="Palatino Linotype" w:cs="Palatino Linotype"/>
          <w:color w:val="000000"/>
          <w:sz w:val="22"/>
          <w:szCs w:val="22"/>
        </w:rPr>
        <w:t>odas y cada una de las solicitudes y que las valoraciones de riesgo fueron turnadas a la Dirección de Medio Ambiente y Ecología;</w:t>
      </w:r>
    </w:p>
    <w:p w:rsidR="00FF2FB2" w:rsidRDefault="00EB54A1">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De las solicitudes recibidas por la Dirección de Protección Civil y bomberos y las valoraciones de riesgo turnadas, se está en </w:t>
      </w:r>
      <w:r>
        <w:rPr>
          <w:rFonts w:ascii="Palatino Linotype" w:eastAsia="Palatino Linotype" w:hAnsi="Palatino Linotype" w:cs="Palatino Linotype"/>
          <w:color w:val="000000"/>
          <w:sz w:val="22"/>
          <w:szCs w:val="22"/>
        </w:rPr>
        <w:t>espera el oficio de seguimiento y continuidad por parte de la Dirección de Medio Ambiente y Ecología.</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 así que, la respuesta que emitió la Dirección de Medio Ambiente y Ecología no es incorrecta, en el sentido de que el oficio no obra en sus archivos, y</w:t>
      </w:r>
      <w:r>
        <w:rPr>
          <w:rFonts w:ascii="Palatino Linotype" w:eastAsia="Palatino Linotype" w:hAnsi="Palatino Linotype" w:cs="Palatino Linotype"/>
          <w:sz w:val="22"/>
          <w:szCs w:val="22"/>
        </w:rPr>
        <w:t xml:space="preserve">a que no fue suscrito ni recibido por dicha unidad administrativa, por lo que no tiene conocimiento de su contenido, por lo que se encuentra impedido a proporcionar información de un documento del cual desconoce su contenido.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Lo anterior, al requerir inf</w:t>
      </w:r>
      <w:r>
        <w:rPr>
          <w:rFonts w:ascii="Palatino Linotype" w:eastAsia="Palatino Linotype" w:hAnsi="Palatino Linotype" w:cs="Palatino Linotype"/>
          <w:sz w:val="22"/>
          <w:szCs w:val="22"/>
        </w:rPr>
        <w:t>ormación general con base en un oficio que no es de su conocimiento; por lo que no es necesario que el Comité de Transparencia emita formalmente un acuerdo de inexistencia, ya que en este caso en particular, la Dirección de Ecología no cuenta con todos los</w:t>
      </w:r>
      <w:r>
        <w:rPr>
          <w:rFonts w:ascii="Palatino Linotype" w:eastAsia="Palatino Linotype" w:hAnsi="Palatino Linotype" w:cs="Palatino Linotype"/>
          <w:sz w:val="22"/>
          <w:szCs w:val="22"/>
        </w:rPr>
        <w:t xml:space="preserve"> elementos para localizar la información que es de interés del particular, pues en la solicitud de acceso a la información no se brindaron los elementos suficientes para que la Dirección de Medio Ambiente y Ecología emita un pronunciamiento.</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No obstante, </w:t>
      </w:r>
      <w:r>
        <w:rPr>
          <w:rFonts w:ascii="Palatino Linotype" w:eastAsia="Palatino Linotype" w:hAnsi="Palatino Linotype" w:cs="Palatino Linotype"/>
          <w:sz w:val="22"/>
          <w:szCs w:val="22"/>
        </w:rPr>
        <w:t>de la respuesta emitida, se advierten las acciones de seguimiento y continuidad por parte de la Dirección de Medio Ambiente y Ecología, respecto a las valoraciones de riesgo emitidas por la Dirección de Protección Civil y bomberos, en la temporalidad señal</w:t>
      </w:r>
      <w:r>
        <w:rPr>
          <w:rFonts w:ascii="Palatino Linotype" w:eastAsia="Palatino Linotype" w:hAnsi="Palatino Linotype" w:cs="Palatino Linotype"/>
          <w:sz w:val="22"/>
          <w:szCs w:val="22"/>
        </w:rPr>
        <w:t>ada por el particular; como se muestra a continuación, a modo de ejemplo:</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noProof/>
          <w:sz w:val="22"/>
          <w:szCs w:val="22"/>
        </w:rPr>
        <w:drawing>
          <wp:inline distT="0" distB="0" distL="0" distR="0">
            <wp:extent cx="5756275" cy="7360285"/>
            <wp:effectExtent l="0" t="0" r="0" b="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56275" cy="7360285"/>
                    </a:xfrm>
                    <a:prstGeom prst="rect">
                      <a:avLst/>
                    </a:prstGeom>
                    <a:ln/>
                  </pic:spPr>
                </pic:pic>
              </a:graphicData>
            </a:graphic>
          </wp:inline>
        </w:drawing>
      </w: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Cabe puntualizar que de dicha información, el particular no mostró inconformidad, por lo que se actualizaron los denominados actos consentidos, como ha quedado plasmado en líneas </w:t>
      </w:r>
      <w:r>
        <w:rPr>
          <w:rFonts w:ascii="Palatino Linotype" w:eastAsia="Palatino Linotype" w:hAnsi="Palatino Linotype" w:cs="Palatino Linotype"/>
          <w:sz w:val="22"/>
          <w:szCs w:val="22"/>
        </w:rPr>
        <w:t>anteriores.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lo que al haber emitido un pronunciamiento por parte del Sujeto Obligado es que no se puede dudar de la veracidad de la información proporcionada.</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De ello, resulta necesario traer a colación lo que establece el Criterio orientador 31/10 e</w:t>
      </w:r>
      <w:r>
        <w:rPr>
          <w:rFonts w:ascii="Palatino Linotype" w:eastAsia="Palatino Linotype" w:hAnsi="Palatino Linotype" w:cs="Palatino Linotype"/>
          <w:sz w:val="22"/>
          <w:szCs w:val="22"/>
        </w:rPr>
        <w:t xml:space="preserve">mitido por el entonces  Instituto Nacional de Transparencia, Acceso a la Información y Protección de Datos Personales que señala lo siguiente: </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ind w:left="851" w:right="843"/>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 xml:space="preserve">El Instituto Federal de Acceso a la Información y Protección de Datos no cuenta con facultades para pronunciarse respecto de la veracidad de los documentos proporcionados por los sujetos obligados. </w:t>
      </w:r>
      <w:r>
        <w:rPr>
          <w:rFonts w:ascii="Palatino Linotype" w:eastAsia="Palatino Linotype" w:hAnsi="Palatino Linotype" w:cs="Palatino Linotype"/>
          <w:i/>
          <w:iCs/>
          <w:sz w:val="22"/>
          <w:szCs w:val="22"/>
        </w:rPr>
        <w:t>El Instituto Federal de Acceso a la Información y Protecci</w:t>
      </w:r>
      <w:r>
        <w:rPr>
          <w:rFonts w:ascii="Palatino Linotype" w:eastAsia="Palatino Linotype" w:hAnsi="Palatino Linotype" w:cs="Palatino Linotype"/>
          <w:i/>
          <w:iCs/>
          <w:sz w:val="22"/>
          <w:szCs w:val="22"/>
        </w:rPr>
        <w:t>ón de Datos es un órgano de la Administración Pública Federal con autonomía operativa, presupuestaria y de decisión, encargado de promover y difundir el ejercicio del derecho de acceso a la información; resolver sobre la negativa de las solicitudes de acce</w:t>
      </w:r>
      <w:r>
        <w:rPr>
          <w:rFonts w:ascii="Palatino Linotype" w:eastAsia="Palatino Linotype" w:hAnsi="Palatino Linotype" w:cs="Palatino Linotype"/>
          <w:i/>
          <w:iCs/>
          <w:sz w:val="22"/>
          <w:szCs w:val="22"/>
        </w:rPr>
        <w:t>so a la información; y proteger los datos personales en poder de las dependencias y entidades. Sin embargo, no está facultado para pronunciarse sobre la veracidad de la información proporcionada por las autoridades en respuesta a las solicitudes de informa</w:t>
      </w:r>
      <w:r>
        <w:rPr>
          <w:rFonts w:ascii="Palatino Linotype" w:eastAsia="Palatino Linotype" w:hAnsi="Palatino Linotype" w:cs="Palatino Linotype"/>
          <w:i/>
          <w:iCs/>
          <w:sz w:val="22"/>
          <w:szCs w:val="22"/>
        </w:rPr>
        <w:t>ción que les presentan los particulares, en virtud de que en los artículos 49 y 50 de la Ley Federal de Transparencia y Acceso a la Información Pública Gubernamental no se prevé una causal que permita al Instituto Federal de Acceso a la Información y Prote</w:t>
      </w:r>
      <w:r>
        <w:rPr>
          <w:rFonts w:ascii="Palatino Linotype" w:eastAsia="Palatino Linotype" w:hAnsi="Palatino Linotype" w:cs="Palatino Linotype"/>
          <w:i/>
          <w:iCs/>
          <w:sz w:val="22"/>
          <w:szCs w:val="22"/>
        </w:rPr>
        <w:t>cción de Datos conocer, vía recurso revisión, al respecto.</w:t>
      </w:r>
    </w:p>
    <w:p w:rsidR="00FF2FB2" w:rsidRDefault="00FF2FB2">
      <w:pPr>
        <w:spacing w:line="360" w:lineRule="auto"/>
        <w:ind w:right="49"/>
        <w:jc w:val="both"/>
        <w:rPr>
          <w:rFonts w:ascii="Palatino Linotype" w:eastAsia="Palatino Linotype" w:hAnsi="Palatino Linotype" w:cs="Palatino Linotype"/>
          <w:sz w:val="22"/>
          <w:szCs w:val="22"/>
        </w:rPr>
      </w:pPr>
    </w:p>
    <w:p w:rsidR="00FF2FB2" w:rsidRDefault="00EB54A1">
      <w:pPr>
        <w:spacing w:line="360" w:lineRule="auto"/>
        <w:ind w:right="49"/>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 así que, este Organismo Garante no cuenta con facultades para pronunciarse de la veracidad de la información que los sujetos obligados ponen a disposición de los particulares, aunado a ello, de</w:t>
      </w:r>
      <w:r>
        <w:rPr>
          <w:rFonts w:ascii="Palatino Linotype" w:eastAsia="Palatino Linotype" w:hAnsi="Palatino Linotype" w:cs="Palatino Linotype"/>
          <w:sz w:val="22"/>
          <w:szCs w:val="22"/>
        </w:rPr>
        <w:t xml:space="preserve"> conformidad con el artículo 12 de la Ley de Transparencia y Acceso a la Información Pública del Estado de México y Municipios, los sujetos obligados únicamente proporcionarán la información que se les requiera, tal como obren en sus archivos.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Quinto. Ve</w:t>
      </w:r>
      <w:r>
        <w:rPr>
          <w:rFonts w:ascii="Palatino Linotype" w:eastAsia="Palatino Linotype" w:hAnsi="Palatino Linotype" w:cs="Palatino Linotype"/>
          <w:b/>
          <w:bCs/>
          <w:sz w:val="22"/>
          <w:szCs w:val="22"/>
        </w:rPr>
        <w:t xml:space="preserve">rsión Pública. </w:t>
      </w:r>
      <w:r>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w:t>
      </w:r>
      <w:r>
        <w:rPr>
          <w:rFonts w:ascii="Palatino Linotype" w:eastAsia="Palatino Linotype" w:hAnsi="Palatino Linotype" w:cs="Palatino Linotype"/>
          <w:sz w:val="22"/>
          <w:szCs w:val="22"/>
        </w:rPr>
        <w:t>n ese sentido, el Sujeto Obligado tendrá que elaborar la versión pública de los documentos que vaya a entregar para dar cumplimiento a esta resolución a fin de satisfacer el derecho de acceso a la información pública del recurrente sin menoscabar el derech</w:t>
      </w:r>
      <w:r>
        <w:rPr>
          <w:rFonts w:ascii="Palatino Linotype" w:eastAsia="Palatino Linotype" w:hAnsi="Palatino Linotype" w:cs="Palatino Linotype"/>
          <w:sz w:val="22"/>
          <w:szCs w:val="22"/>
        </w:rPr>
        <w:t xml:space="preserve">o a la protección de los datos personales de terceros.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ind w:right="50"/>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Lo anterior, de conformidad con lo que señalan los artículos 3 fracciones IX, XX, XXI y XLV, 91, 132 fracciones II y III, y 143 de la Ley de Transparencia y Acceso a la Información Pública del Estado</w:t>
      </w:r>
      <w:r>
        <w:rPr>
          <w:rFonts w:ascii="Palatino Linotype" w:eastAsia="Palatino Linotype" w:hAnsi="Palatino Linotype" w:cs="Palatino Linotype"/>
          <w:sz w:val="22"/>
          <w:szCs w:val="22"/>
        </w:rPr>
        <w:t xml:space="preserve"> de México y Municipios que establecen: </w:t>
      </w:r>
    </w:p>
    <w:p w:rsidR="00FF2FB2" w:rsidRDefault="00FF2FB2">
      <w:pPr>
        <w:spacing w:line="360" w:lineRule="auto"/>
        <w:ind w:right="50"/>
        <w:jc w:val="both"/>
        <w:rPr>
          <w:rFonts w:ascii="Palatino Linotype" w:eastAsia="Palatino Linotype" w:hAnsi="Palatino Linotype" w:cs="Palatino Linotype"/>
          <w:sz w:val="22"/>
          <w:szCs w:val="22"/>
        </w:rPr>
      </w:pP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r>
        <w:rPr>
          <w:rFonts w:ascii="Palatino Linotype" w:eastAsia="Palatino Linotype" w:hAnsi="Palatino Linotype" w:cs="Palatino Linotype"/>
          <w:b/>
          <w:bCs/>
          <w:i/>
          <w:iCs/>
          <w:sz w:val="22"/>
          <w:szCs w:val="22"/>
        </w:rPr>
        <w:t>Artículo 3.</w:t>
      </w:r>
      <w:r>
        <w:rPr>
          <w:rFonts w:ascii="Palatino Linotype" w:eastAsia="Palatino Linotype" w:hAnsi="Palatino Linotype" w:cs="Palatino Linotype"/>
          <w:i/>
          <w:iCs/>
          <w:sz w:val="22"/>
          <w:szCs w:val="22"/>
        </w:rPr>
        <w:t xml:space="preserve"> Para los efectos de la presente Ley se entenderá por:</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IX. Datos personales: La información concerniente a una persona, identificada o identificable según lo dispuesto por la Ley de Protección de Da</w:t>
      </w:r>
      <w:r>
        <w:rPr>
          <w:rFonts w:ascii="Palatino Linotype" w:eastAsia="Palatino Linotype" w:hAnsi="Palatino Linotype" w:cs="Palatino Linotype"/>
          <w:i/>
          <w:iCs/>
          <w:sz w:val="22"/>
          <w:szCs w:val="22"/>
        </w:rPr>
        <w:t xml:space="preserve">tos Personales del Estado de México; </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XX. Información clasificada: Aquella considerada por la presente Ley como reservada o confidencial;</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XXI. Información confidencial: Se considera como información confidencial los secretos bancario, fiduciario, industria</w:t>
      </w:r>
      <w:r>
        <w:rPr>
          <w:rFonts w:ascii="Palatino Linotype" w:eastAsia="Palatino Linotype" w:hAnsi="Palatino Linotype" w:cs="Palatino Linotype"/>
          <w:i/>
          <w:iCs/>
          <w:sz w:val="22"/>
          <w:szCs w:val="22"/>
        </w:rPr>
        <w:t>l, comercial, fiscal, bursátil y postal, cuya titularidad corresponda a particulares, sujetos de derecho internacional o a sujetos obligados cuando no involucren el ejercicio de recursos públicos;</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XLV. Versión pública: Documento en el que se elimine, supri</w:t>
      </w:r>
      <w:r>
        <w:rPr>
          <w:rFonts w:ascii="Palatino Linotype" w:eastAsia="Palatino Linotype" w:hAnsi="Palatino Linotype" w:cs="Palatino Linotype"/>
          <w:i/>
          <w:iCs/>
          <w:sz w:val="22"/>
          <w:szCs w:val="22"/>
        </w:rPr>
        <w:t>me o borra la información clasificada como reservada o confidencial para permitir su acceso.</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91.</w:t>
      </w:r>
      <w:r>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132.</w:t>
      </w:r>
      <w:r>
        <w:rPr>
          <w:rFonts w:ascii="Palatino Linotype" w:eastAsia="Palatino Linotype" w:hAnsi="Palatino Linotype" w:cs="Palatino Linotype"/>
          <w:i/>
          <w:iCs/>
          <w:sz w:val="22"/>
          <w:szCs w:val="22"/>
        </w:rPr>
        <w:t xml:space="preserve"> La </w:t>
      </w:r>
      <w:r>
        <w:rPr>
          <w:rFonts w:ascii="Palatino Linotype" w:eastAsia="Palatino Linotype" w:hAnsi="Palatino Linotype" w:cs="Palatino Linotype"/>
          <w:i/>
          <w:iCs/>
          <w:sz w:val="22"/>
          <w:szCs w:val="22"/>
        </w:rPr>
        <w:t>clasificación de la información se llevará a cabo en el momento en que:</w:t>
      </w:r>
    </w:p>
    <w:p w:rsidR="00FF2FB2" w:rsidRDefault="00EB54A1">
      <w:pPr>
        <w:tabs>
          <w:tab w:val="left" w:pos="1134"/>
        </w:tabs>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 Se reciba una solicitud de acceso a la información;</w:t>
      </w:r>
    </w:p>
    <w:p w:rsidR="00FF2FB2" w:rsidRDefault="00EB54A1">
      <w:pPr>
        <w:tabs>
          <w:tab w:val="left" w:pos="1134"/>
        </w:tabs>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 Se determine mediante resolución de autoridad competente; o</w:t>
      </w:r>
    </w:p>
    <w:p w:rsidR="00FF2FB2" w:rsidRDefault="00EB54A1">
      <w:pPr>
        <w:tabs>
          <w:tab w:val="left" w:pos="1134"/>
        </w:tabs>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III. Se generen versiones públicas para dar cumplimiento a las obligaciones de transparencia previstas en esta Ley.</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143</w:t>
      </w:r>
      <w:r>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w:t>
      </w:r>
      <w:r>
        <w:rPr>
          <w:rFonts w:ascii="Palatino Linotype" w:eastAsia="Palatino Linotype" w:hAnsi="Palatino Linotype" w:cs="Palatino Linotype"/>
          <w:i/>
          <w:iCs/>
          <w:sz w:val="22"/>
          <w:szCs w:val="22"/>
        </w:rPr>
        <w:t>naturaleza, cuando:</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 Se refiera a la información privada y los datos personales concernientes a una persona física o jurídico colectiva identificada o identificable;</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 Los secretos bancario, fiduciario, industrial, comercial, fiscal, bursátil y postal,</w:t>
      </w:r>
      <w:r>
        <w:rPr>
          <w:rFonts w:ascii="Palatino Linotype" w:eastAsia="Palatino Linotype" w:hAnsi="Palatino Linotype" w:cs="Palatino Linotype"/>
          <w:i/>
          <w:iCs/>
          <w:sz w:val="22"/>
          <w:szCs w:val="22"/>
        </w:rPr>
        <w:t xml:space="preserve"> cuya titularidad corresponda a particulares, sujetos de derecho internacional o a sujetos obligados cuando no involucren el ejercicio de recursos públicos; y</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III. La que presenten los particulares a los sujetos obligados, de conformidad con lo dispuesto p</w:t>
      </w:r>
      <w:r>
        <w:rPr>
          <w:rFonts w:ascii="Palatino Linotype" w:eastAsia="Palatino Linotype" w:hAnsi="Palatino Linotype" w:cs="Palatino Linotype"/>
          <w:i/>
          <w:iCs/>
          <w:sz w:val="22"/>
          <w:szCs w:val="22"/>
        </w:rPr>
        <w:t>or las leyes o los tratados internacionales.</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No se considerar</w:t>
      </w:r>
      <w:r>
        <w:rPr>
          <w:rFonts w:ascii="Palatino Linotype" w:eastAsia="Palatino Linotype" w:hAnsi="Palatino Linotype" w:cs="Palatino Linotype"/>
          <w:i/>
          <w:iCs/>
          <w:sz w:val="22"/>
          <w:szCs w:val="22"/>
        </w:rPr>
        <w:t>á confidencial la información que se encuentre en los registros públicos o en fuentes de acceso público, ni tampoco la que sea considerada por la presente ley como información pública.”</w:t>
      </w:r>
    </w:p>
    <w:p w:rsidR="00FF2FB2" w:rsidRDefault="00FF2FB2">
      <w:pPr>
        <w:ind w:left="567" w:right="616"/>
        <w:jc w:val="both"/>
        <w:rPr>
          <w:rFonts w:ascii="Palatino Linotype" w:eastAsia="Palatino Linotype" w:hAnsi="Palatino Linotype" w:cs="Palatino Linotype"/>
          <w:i/>
          <w:iCs/>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Igualmente, los Lineamientos Generales en Materia de Clasificación y </w:t>
      </w:r>
      <w:r>
        <w:rPr>
          <w:rFonts w:ascii="Palatino Linotype" w:eastAsia="Palatino Linotype" w:hAnsi="Palatino Linotype" w:cs="Palatino Linotype"/>
          <w:sz w:val="22"/>
          <w:szCs w:val="22"/>
        </w:rPr>
        <w:t>Desclasificación de la Información, así como para la elaboración de Versiones Públicas, emitidos por el Consejo Nacional del Sistema Nacional de Transparencia, Acceso a la Información Pública y Protección de Datos Personales, vigentes a la fecha de la soli</w:t>
      </w:r>
      <w:r>
        <w:rPr>
          <w:rFonts w:ascii="Palatino Linotype" w:eastAsia="Palatino Linotype" w:hAnsi="Palatino Linotype" w:cs="Palatino Linotype"/>
          <w:sz w:val="22"/>
          <w:szCs w:val="22"/>
        </w:rPr>
        <w:t>citud de información, tienen por objeto establecer los criterios con base en los cuales los sujetos obligados clasificarán como reservada o confidencial la información que posean, desclasificarán y generarán, en su caso, versiones públicas de expedientes o</w:t>
      </w:r>
      <w:r>
        <w:rPr>
          <w:rFonts w:ascii="Palatino Linotype" w:eastAsia="Palatino Linotype" w:hAnsi="Palatino Linotype" w:cs="Palatino Linotype"/>
          <w:sz w:val="22"/>
          <w:szCs w:val="22"/>
        </w:rPr>
        <w:t xml:space="preserve"> documentos que contengan partes o secciones clasificadas.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w:t>
      </w:r>
      <w:r>
        <w:rPr>
          <w:rFonts w:ascii="Palatino Linotype" w:eastAsia="Palatino Linotype" w:hAnsi="Palatino Linotype" w:cs="Palatino Linotype"/>
          <w:sz w:val="22"/>
          <w:szCs w:val="22"/>
        </w:rPr>
        <w:t>ormación, así como para la Elaboración de Versiones Públicas vigentes a la fecha de la solicitud señalan las formalidades que deberá llevar el acuerdo de clasificación que deberá emitir el Sujeto Obligado, siendo estas las siguientes:</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 “</w:t>
      </w:r>
      <w:r>
        <w:rPr>
          <w:rFonts w:ascii="Palatino Linotype" w:eastAsia="Palatino Linotype" w:hAnsi="Palatino Linotype" w:cs="Palatino Linotype"/>
          <w:b/>
          <w:bCs/>
          <w:i/>
          <w:iCs/>
          <w:sz w:val="22"/>
          <w:szCs w:val="22"/>
        </w:rPr>
        <w:t>Quincuagésimo</w:t>
      </w:r>
      <w:r>
        <w:rPr>
          <w:rFonts w:ascii="Palatino Linotype" w:eastAsia="Palatino Linotype" w:hAnsi="Palatino Linotype" w:cs="Palatino Linotype"/>
          <w:i/>
          <w:iCs/>
          <w:sz w:val="22"/>
          <w:szCs w:val="22"/>
        </w:rPr>
        <w:t>. Los</w:t>
      </w:r>
      <w:r>
        <w:rPr>
          <w:rFonts w:ascii="Palatino Linotype" w:eastAsia="Palatino Linotype" w:hAnsi="Palatino Linotype" w:cs="Palatino Linotype"/>
          <w:i/>
          <w:iCs/>
          <w:sz w:val="22"/>
          <w:szCs w:val="22"/>
        </w:rPr>
        <w:t xml:space="preserve"> titulares de las áreas de los sujetos obligados podrán establecer sus propios modelos o formatos para la elaboración de versiones públicas de documentos o expedientes, siempre y cuando cumplan lo establecido en los presentes Lineamientos, así como en las </w:t>
      </w:r>
      <w:r>
        <w:rPr>
          <w:rFonts w:ascii="Palatino Linotype" w:eastAsia="Palatino Linotype" w:hAnsi="Palatino Linotype" w:cs="Palatino Linotype"/>
          <w:i/>
          <w:iCs/>
          <w:sz w:val="22"/>
          <w:szCs w:val="22"/>
        </w:rPr>
        <w:t xml:space="preserve">correspondientes Leyes Generales.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Quincuagésimo primero.</w:t>
      </w:r>
      <w:r>
        <w:rPr>
          <w:rFonts w:ascii="Palatino Linotype" w:eastAsia="Palatino Linotype" w:hAnsi="Palatino Linotype" w:cs="Palatino Linotype"/>
          <w:i/>
          <w:iCs/>
          <w:sz w:val="22"/>
          <w:szCs w:val="22"/>
        </w:rPr>
        <w:t xml:space="preserve"> Toda acta del Comité de Transparencia deberá contener: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 El número de sesión y fecha;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II. El nombre del área que solicitó la clasificación de información;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III. La fundamentación legal y motivación correspondiente;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IV. La resolución o resoluciones aprobadas; y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V. La rúbrica o firma digital de cada integrante del Comité de Transparencia.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Las resoluciones del Comité en las que se haya determinado confirmar o</w:t>
      </w:r>
      <w:r>
        <w:rPr>
          <w:rFonts w:ascii="Palatino Linotype" w:eastAsia="Palatino Linotype" w:hAnsi="Palatino Linotype" w:cs="Palatino Linotype"/>
          <w:i/>
          <w:iCs/>
          <w:sz w:val="22"/>
          <w:szCs w:val="22"/>
        </w:rPr>
        <w:t xml:space="preserve"> modificar la clasificación de información pública como reservada, deberán incluir, cuando menos: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 Los motivos y razonamientos que sustenten la confirmación o modificación de la prueba de daño;</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 Descripción de las partes o secciones reservadas, en ca</w:t>
      </w:r>
      <w:r>
        <w:rPr>
          <w:rFonts w:ascii="Palatino Linotype" w:eastAsia="Palatino Linotype" w:hAnsi="Palatino Linotype" w:cs="Palatino Linotype"/>
          <w:i/>
          <w:iCs/>
          <w:sz w:val="22"/>
          <w:szCs w:val="22"/>
        </w:rPr>
        <w:t xml:space="preserve">so de clasificación parcial;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III. El periodo por el que mantendrá su clasificación y fecha de expiración; y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IV. El nombre del titular y área encargada de realizar la versión pública del documento, en su caso.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En los casos en que se clasifique la informa</w:t>
      </w:r>
      <w:r>
        <w:rPr>
          <w:rFonts w:ascii="Palatino Linotype" w:eastAsia="Palatino Linotype" w:hAnsi="Palatino Linotype" w:cs="Palatino Linotype"/>
          <w:i/>
          <w:iCs/>
          <w:sz w:val="22"/>
          <w:szCs w:val="22"/>
        </w:rPr>
        <w:t xml:space="preserve">ción como reservada siempre se entregará o anexará la prueba de daño con la respuesta al solicitante. </w:t>
      </w: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w:t>
      </w:r>
      <w:r>
        <w:rPr>
          <w:rFonts w:ascii="Palatino Linotype" w:eastAsia="Palatino Linotype" w:hAnsi="Palatino Linotype" w:cs="Palatino Linotype"/>
          <w:i/>
          <w:iCs/>
          <w:sz w:val="22"/>
          <w:szCs w:val="22"/>
        </w:rPr>
        <w:t>ar los tipos de datos protegidos, de conformidad con el lineamiento trigésimo octavo.</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Quincuagésimo segundo.</w:t>
      </w:r>
      <w:r>
        <w:rPr>
          <w:rFonts w:ascii="Palatino Linotype" w:eastAsia="Palatino Linotype" w:hAnsi="Palatino Linotype" w:cs="Palatino Linotype"/>
          <w:i/>
          <w:iCs/>
          <w:sz w:val="22"/>
          <w:szCs w:val="22"/>
        </w:rPr>
        <w:t xml:space="preserve"> Para la clasificación y elaboración de versiones públicas de documentos que contengan información clasificada como reservada o confidencial, las ár</w:t>
      </w:r>
      <w:r>
        <w:rPr>
          <w:rFonts w:ascii="Palatino Linotype" w:eastAsia="Palatino Linotype" w:hAnsi="Palatino Linotype" w:cs="Palatino Linotype"/>
          <w:i/>
          <w:iCs/>
          <w:sz w:val="22"/>
          <w:szCs w:val="22"/>
        </w:rPr>
        <w:t>eas de los sujetos obligados deberán tomar las medidas pertinentes tendientes a asegurar que el espacio utilizado para testar la información no podrá ser empleado para la sobreposición de contenido distinto al autorizado por el Comité.</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En el caso específic</w:t>
      </w:r>
      <w:r>
        <w:rPr>
          <w:rFonts w:ascii="Palatino Linotype" w:eastAsia="Palatino Linotype" w:hAnsi="Palatino Linotype" w:cs="Palatino Linotype"/>
          <w:i/>
          <w:iCs/>
          <w:sz w:val="22"/>
          <w:szCs w:val="22"/>
        </w:rPr>
        <w:t xml:space="preserve">o de la clasificación y elaboración de versiones públicas de documentos que contengan información confidencial, las áreas de los sujetos obligados deberán: </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 Fijar la fecha en que se elaboró la versión pública y la fecha en la cual el Comité de Transpare</w:t>
      </w:r>
      <w:r>
        <w:rPr>
          <w:rFonts w:ascii="Palatino Linotype" w:eastAsia="Palatino Linotype" w:hAnsi="Palatino Linotype" w:cs="Palatino Linotype"/>
          <w:i/>
          <w:iCs/>
          <w:sz w:val="22"/>
          <w:szCs w:val="22"/>
        </w:rPr>
        <w:t>ncia confirmó dicha versión;</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 Señalar dentro del documento el tipo de información confidencial que fue testada en cada caso específico, de conformidad con el lineamiento trigésimo octavo; y</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III. Señalar las personas o instancias autorizadas a acceder a </w:t>
      </w:r>
      <w:r>
        <w:rPr>
          <w:rFonts w:ascii="Palatino Linotype" w:eastAsia="Palatino Linotype" w:hAnsi="Palatino Linotype" w:cs="Palatino Linotype"/>
          <w:i/>
          <w:iCs/>
          <w:sz w:val="22"/>
          <w:szCs w:val="22"/>
        </w:rPr>
        <w:t>la información clasificada.</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De igual forma, deberá observar los Lin</w:t>
      </w:r>
      <w:r>
        <w:rPr>
          <w:rFonts w:ascii="Palatino Linotype" w:eastAsia="Palatino Linotype" w:hAnsi="Palatino Linotype" w:cs="Palatino Linotype"/>
          <w:sz w:val="22"/>
          <w:szCs w:val="22"/>
        </w:rPr>
        <w:t xml:space="preserve">eamientos Quincuagésimo cuarto, Quincuagésimo quinto, Quincuagésimo séptimo y Quincuagésimo octavo, vigentes a la fecha de la solicitud de información establecen lo siguiente: </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r>
        <w:rPr>
          <w:rFonts w:ascii="Palatino Linotype" w:eastAsia="Palatino Linotype" w:hAnsi="Palatino Linotype" w:cs="Palatino Linotype"/>
          <w:b/>
          <w:bCs/>
          <w:i/>
          <w:iCs/>
          <w:sz w:val="22"/>
          <w:szCs w:val="22"/>
        </w:rPr>
        <w:t>Quincuagésimo cuarto.</w:t>
      </w:r>
      <w:r>
        <w:rPr>
          <w:rFonts w:ascii="Palatino Linotype" w:eastAsia="Palatino Linotype" w:hAnsi="Palatino Linotype" w:cs="Palatino Linotype"/>
          <w:i/>
          <w:iCs/>
          <w:sz w:val="22"/>
          <w:szCs w:val="22"/>
        </w:rPr>
        <w:t xml:space="preserve"> Cuando el Comité de Transparencia confirme la clasifica</w:t>
      </w:r>
      <w:r>
        <w:rPr>
          <w:rFonts w:ascii="Palatino Linotype" w:eastAsia="Palatino Linotype" w:hAnsi="Palatino Linotype" w:cs="Palatino Linotype"/>
          <w:i/>
          <w:iCs/>
          <w:sz w:val="22"/>
          <w:szCs w:val="22"/>
        </w:rPr>
        <w:t>ción de documentos reservados y/o confidenciales, sea total o parcialmente; se deberá anexar al expediente la resolución que determinó la clasificación o, en su defecto, identificar en la carátula del expediente del cual formen parte, la fecha y sesión del</w:t>
      </w:r>
      <w:r>
        <w:rPr>
          <w:rFonts w:ascii="Palatino Linotype" w:eastAsia="Palatino Linotype" w:hAnsi="Palatino Linotype" w:cs="Palatino Linotype"/>
          <w:i/>
          <w:iCs/>
          <w:sz w:val="22"/>
          <w:szCs w:val="22"/>
        </w:rPr>
        <w:t xml:space="preserve"> Comité de Transparencia en la que se confirmó dicha clasificación. </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Quincuagésimo quinto.</w:t>
      </w:r>
      <w:r>
        <w:rPr>
          <w:rFonts w:ascii="Palatino Linotype" w:eastAsia="Palatino Linotype" w:hAnsi="Palatino Linotype" w:cs="Palatino Linotype"/>
          <w:i/>
          <w:iCs/>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w:t>
      </w:r>
      <w:r>
        <w:rPr>
          <w:rFonts w:ascii="Palatino Linotype" w:eastAsia="Palatino Linotype" w:hAnsi="Palatino Linotype" w:cs="Palatino Linotype"/>
          <w:i/>
          <w:iCs/>
          <w:sz w:val="22"/>
          <w:szCs w:val="22"/>
        </w:rPr>
        <w:t>n los requisitos señalados en las Leyes Generales, los presentes Lineamientos y demás normativa aplicable antes de su confirmación por el Comité de Transparencia.</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Quincuagésimo séptimo.</w:t>
      </w:r>
      <w:r>
        <w:rPr>
          <w:rFonts w:ascii="Palatino Linotype" w:eastAsia="Palatino Linotype" w:hAnsi="Palatino Linotype" w:cs="Palatino Linotype"/>
          <w:i/>
          <w:iCs/>
          <w:sz w:val="22"/>
          <w:szCs w:val="22"/>
        </w:rPr>
        <w:t xml:space="preserve"> Se considera, en principio, como información pública y no podrá om</w:t>
      </w:r>
      <w:r>
        <w:rPr>
          <w:rFonts w:ascii="Palatino Linotype" w:eastAsia="Palatino Linotype" w:hAnsi="Palatino Linotype" w:cs="Palatino Linotype"/>
          <w:i/>
          <w:iCs/>
          <w:sz w:val="22"/>
          <w:szCs w:val="22"/>
        </w:rPr>
        <w:t xml:space="preserve">itirse de las versiones públicas la siguiente: </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I. La relativa a las Obligaciones de Transparencia que contempla el Título V de la Ley General y las demás disposiciones legales aplicables; </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 El nombre de los integrantes de los sujetos obligados en los d</w:t>
      </w:r>
      <w:r>
        <w:rPr>
          <w:rFonts w:ascii="Palatino Linotype" w:eastAsia="Palatino Linotype" w:hAnsi="Palatino Linotype" w:cs="Palatino Linotype"/>
          <w:i/>
          <w:iCs/>
          <w:sz w:val="22"/>
          <w:szCs w:val="22"/>
        </w:rPr>
        <w:t>ocumentos, y sus firmas autógrafas o digitales, cuando sean utilizados en el ejercicio de las facultades conferidas para el desempeño del servicio público, y</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III. La información que documente decisiones y los actos de autoridad concluidos de los sujetos ob</w:t>
      </w:r>
      <w:r>
        <w:rPr>
          <w:rFonts w:ascii="Palatino Linotype" w:eastAsia="Palatino Linotype" w:hAnsi="Palatino Linotype" w:cs="Palatino Linotype"/>
          <w:i/>
          <w:iCs/>
          <w:sz w:val="22"/>
          <w:szCs w:val="22"/>
        </w:rPr>
        <w:t xml:space="preserve">ligados, así como el ejercicio de las facultades o actividades de los servidores públicos, de manera que se pueda valorar el desempeño de los mismos. </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Lo anterior, siempre y cuando no se acredite alguna causal de clasificación, prevista en las leyes o en l</w:t>
      </w:r>
      <w:r>
        <w:rPr>
          <w:rFonts w:ascii="Palatino Linotype" w:eastAsia="Palatino Linotype" w:hAnsi="Palatino Linotype" w:cs="Palatino Linotype"/>
          <w:i/>
          <w:iCs/>
          <w:sz w:val="22"/>
          <w:szCs w:val="22"/>
        </w:rPr>
        <w:t xml:space="preserve">os tratados internacionales suscritas por el Estado mexicano.  </w:t>
      </w:r>
    </w:p>
    <w:p w:rsidR="00FF2FB2" w:rsidRDefault="00EB54A1">
      <w:pPr>
        <w:ind w:left="567" w:right="616"/>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Quincuagésimo octavo. Los sujetos obligados garantizarán que los sistemas o medios empleados para eliminar la información en las versiones públicas sean irreversibles, de tal forma que no perm</w:t>
      </w:r>
      <w:r>
        <w:rPr>
          <w:rFonts w:ascii="Palatino Linotype" w:eastAsia="Palatino Linotype" w:hAnsi="Palatino Linotype" w:cs="Palatino Linotype"/>
          <w:i/>
          <w:iCs/>
          <w:sz w:val="22"/>
          <w:szCs w:val="22"/>
        </w:rPr>
        <w:t>itan su recuperación o la visualización de la misma.”</w:t>
      </w:r>
    </w:p>
    <w:p w:rsidR="00FF2FB2" w:rsidRDefault="00FF2FB2">
      <w:pPr>
        <w:spacing w:line="360" w:lineRule="auto"/>
        <w:ind w:left="567" w:right="616"/>
        <w:jc w:val="both"/>
        <w:rPr>
          <w:rFonts w:ascii="Palatino Linotype" w:eastAsia="Palatino Linotype" w:hAnsi="Palatino Linotype" w:cs="Palatino Linotype"/>
          <w:i/>
          <w:iCs/>
          <w:sz w:val="22"/>
          <w:szCs w:val="22"/>
        </w:rPr>
      </w:pPr>
    </w:p>
    <w:p w:rsidR="00FF2FB2" w:rsidRDefault="00EB54A1">
      <w:p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w:t>
      </w:r>
      <w:r>
        <w:rPr>
          <w:rFonts w:ascii="Palatino Linotype" w:eastAsia="Palatino Linotype" w:hAnsi="Palatino Linotype" w:cs="Palatino Linotype"/>
          <w:sz w:val="22"/>
          <w:szCs w:val="22"/>
        </w:rPr>
        <w:t>o y, deberá exponer los fundamentos y razonamientos que llevaron al Sujeto Obligado a testar, suprimir o eliminar datos de dicho soporte documental, ya que de no hacerlo, lo entregado no tendría un sustento jurídico ni resultaría ser una versión pública, s</w:t>
      </w:r>
      <w:r>
        <w:rPr>
          <w:rFonts w:ascii="Palatino Linotype" w:eastAsia="Palatino Linotype" w:hAnsi="Palatino Linotype" w:cs="Palatino Linotype"/>
          <w:sz w:val="22"/>
          <w:szCs w:val="22"/>
        </w:rPr>
        <w:t xml:space="preserve">ino más bien una documentación ilegible, incompleta o tachada; ya que, el no justificar las causas o motivos por las que no se aprecian determinados datos -ya sea porque se testan o suprimen- deja al solicitante en estado de incertidumbre, al no conocer o </w:t>
      </w:r>
      <w:r>
        <w:rPr>
          <w:rFonts w:ascii="Palatino Linotype" w:eastAsia="Palatino Linotype" w:hAnsi="Palatino Linotype" w:cs="Palatino Linotype"/>
          <w:sz w:val="22"/>
          <w:szCs w:val="22"/>
        </w:rPr>
        <w:t>comprender por qué no aparecen en la documentación respectiva.</w:t>
      </w:r>
    </w:p>
    <w:p w:rsidR="00FF2FB2" w:rsidRDefault="00FF2FB2">
      <w:pPr>
        <w:spacing w:line="360" w:lineRule="auto"/>
        <w:jc w:val="both"/>
        <w:rPr>
          <w:rFonts w:ascii="Palatino Linotype" w:eastAsia="Palatino Linotype" w:hAnsi="Palatino Linotype" w:cs="Palatino Linotype"/>
          <w:sz w:val="22"/>
          <w:szCs w:val="22"/>
        </w:rPr>
      </w:pPr>
    </w:p>
    <w:p w:rsidR="00FF2FB2" w:rsidRDefault="00EB54A1">
      <w:pPr>
        <w:spacing w:before="240"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w:t>
      </w:r>
      <w:r>
        <w:rPr>
          <w:rFonts w:ascii="Palatino Linotype" w:eastAsia="Palatino Linotype" w:hAnsi="Palatino Linotype" w:cs="Palatino Linotype"/>
          <w:sz w:val="22"/>
          <w:szCs w:val="22"/>
        </w:rPr>
        <w:t>, párrafo segundo del Decreto número 198 de la “LXII” Legislatura del Estado de México; 2, fracción II; 29, 36 fracciones I y II; 176, 178, 181, 185 y 186 fracción III de la Ley de Transparencia y Acceso a la Información Pública del Estado de México y Muni</w:t>
      </w:r>
      <w:r>
        <w:rPr>
          <w:rFonts w:ascii="Palatino Linotype" w:eastAsia="Palatino Linotype" w:hAnsi="Palatino Linotype" w:cs="Palatino Linotype"/>
          <w:sz w:val="22"/>
          <w:szCs w:val="22"/>
        </w:rPr>
        <w:t>cipios, este Pleno:</w:t>
      </w:r>
    </w:p>
    <w:p w:rsidR="00FF2FB2" w:rsidRDefault="00EB54A1">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 E S U E L V E:</w:t>
      </w:r>
    </w:p>
    <w:p w:rsidR="00FF2FB2" w:rsidRDefault="00EB54A1">
      <w:pPr>
        <w:spacing w:before="240" w:after="240" w:line="360" w:lineRule="auto"/>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Primero. </w:t>
      </w:r>
      <w:r>
        <w:rPr>
          <w:rFonts w:ascii="Palatino Linotype" w:eastAsia="Palatino Linotype" w:hAnsi="Palatino Linotype" w:cs="Palatino Linotype"/>
          <w:sz w:val="22"/>
          <w:szCs w:val="22"/>
        </w:rPr>
        <w:t>Resultan</w:t>
      </w:r>
      <w:r>
        <w:rPr>
          <w:rFonts w:ascii="Palatino Linotype" w:eastAsia="Palatino Linotype" w:hAnsi="Palatino Linotype" w:cs="Palatino Linotype"/>
          <w:b/>
          <w:bCs/>
          <w:sz w:val="22"/>
          <w:szCs w:val="22"/>
        </w:rPr>
        <w:t xml:space="preserve"> parcialmente fundados </w:t>
      </w:r>
      <w:r>
        <w:rPr>
          <w:rFonts w:ascii="Palatino Linotype" w:eastAsia="Palatino Linotype" w:hAnsi="Palatino Linotype" w:cs="Palatino Linotype"/>
          <w:sz w:val="22"/>
          <w:szCs w:val="22"/>
        </w:rPr>
        <w:t xml:space="preserve">los motivos de inconformidad hechos valer por </w:t>
      </w:r>
      <w:r>
        <w:rPr>
          <w:rFonts w:ascii="Palatino Linotype" w:eastAsia="Palatino Linotype" w:hAnsi="Palatino Linotype" w:cs="Palatino Linotype"/>
          <w:b/>
          <w:bCs/>
          <w:sz w:val="22"/>
          <w:szCs w:val="22"/>
        </w:rPr>
        <w:t>la parte Recurrente</w:t>
      </w:r>
      <w:r>
        <w:rPr>
          <w:rFonts w:ascii="Palatino Linotype" w:eastAsia="Palatino Linotype" w:hAnsi="Palatino Linotype" w:cs="Palatino Linotype"/>
          <w:sz w:val="22"/>
          <w:szCs w:val="22"/>
        </w:rPr>
        <w:t xml:space="preserve"> en el Recurso de Revisión</w:t>
      </w:r>
      <w:r>
        <w:rPr>
          <w:rFonts w:ascii="Palatino Linotype" w:eastAsia="Palatino Linotype" w:hAnsi="Palatino Linotype" w:cs="Palatino Linotype"/>
          <w:b/>
          <w:bCs/>
          <w:sz w:val="22"/>
          <w:szCs w:val="22"/>
        </w:rPr>
        <w:t xml:space="preserve"> 14694/INFOEM/IP/RR/2025, </w:t>
      </w:r>
      <w:r>
        <w:rPr>
          <w:rFonts w:ascii="Palatino Linotype" w:eastAsia="Palatino Linotype" w:hAnsi="Palatino Linotype" w:cs="Palatino Linotype"/>
          <w:sz w:val="22"/>
          <w:szCs w:val="22"/>
        </w:rPr>
        <w:t>por lo que</w:t>
      </w:r>
      <w:r>
        <w:rPr>
          <w:rFonts w:ascii="Palatino Linotype" w:eastAsia="Palatino Linotype" w:hAnsi="Palatino Linotype" w:cs="Palatino Linotype"/>
          <w:b/>
          <w:bCs/>
          <w:sz w:val="22"/>
          <w:szCs w:val="22"/>
        </w:rPr>
        <w:t xml:space="preserve">, en términos del Considerando Cuarto </w:t>
      </w:r>
      <w:r>
        <w:rPr>
          <w:rFonts w:ascii="Palatino Linotype" w:eastAsia="Palatino Linotype" w:hAnsi="Palatino Linotype" w:cs="Palatino Linotype"/>
          <w:sz w:val="22"/>
          <w:szCs w:val="22"/>
        </w:rPr>
        <w:t>de la presente</w:t>
      </w:r>
      <w:r>
        <w:rPr>
          <w:rFonts w:ascii="Palatino Linotype" w:eastAsia="Palatino Linotype" w:hAnsi="Palatino Linotype" w:cs="Palatino Linotype"/>
          <w:sz w:val="22"/>
          <w:szCs w:val="22"/>
        </w:rPr>
        <w:t xml:space="preserve"> resolución</w:t>
      </w:r>
      <w:r>
        <w:rPr>
          <w:rFonts w:ascii="Palatino Linotype" w:eastAsia="Palatino Linotype" w:hAnsi="Palatino Linotype" w:cs="Palatino Linotype"/>
          <w:b/>
          <w:bCs/>
          <w:sz w:val="22"/>
          <w:szCs w:val="22"/>
        </w:rPr>
        <w:t>, se MODIFICA l</w:t>
      </w:r>
      <w:r>
        <w:rPr>
          <w:rFonts w:ascii="Palatino Linotype" w:eastAsia="Palatino Linotype" w:hAnsi="Palatino Linotype" w:cs="Palatino Linotype"/>
          <w:sz w:val="22"/>
          <w:szCs w:val="22"/>
        </w:rPr>
        <w:t>a respuesta del</w:t>
      </w:r>
      <w:r>
        <w:rPr>
          <w:rFonts w:ascii="Palatino Linotype" w:eastAsia="Palatino Linotype" w:hAnsi="Palatino Linotype" w:cs="Palatino Linotype"/>
          <w:b/>
          <w:bCs/>
          <w:sz w:val="22"/>
          <w:szCs w:val="22"/>
        </w:rPr>
        <w:t xml:space="preserve"> Sujeto Obligado.</w:t>
      </w:r>
    </w:p>
    <w:p w:rsidR="00FF2FB2" w:rsidRDefault="00EB54A1">
      <w:pPr>
        <w:spacing w:before="240" w:after="240" w:line="360" w:lineRule="auto"/>
        <w:jc w:val="both"/>
        <w:rPr>
          <w:rFonts w:ascii="Palatino Linotype" w:eastAsia="Palatino Linotype" w:hAnsi="Palatino Linotype" w:cs="Palatino Linotype"/>
          <w:b/>
          <w:bCs/>
          <w:sz w:val="22"/>
          <w:szCs w:val="22"/>
        </w:rPr>
      </w:pPr>
      <w:bookmarkStart w:id="2" w:name="_heading=h.j3ppyxwlb1s2" w:colFirst="0" w:colLast="0"/>
      <w:bookmarkEnd w:id="2"/>
      <w:r>
        <w:rPr>
          <w:rFonts w:ascii="Palatino Linotype" w:eastAsia="Palatino Linotype" w:hAnsi="Palatino Linotype" w:cs="Palatino Linotype"/>
          <w:b/>
          <w:bCs/>
          <w:sz w:val="22"/>
          <w:szCs w:val="22"/>
        </w:rPr>
        <w:t xml:space="preserve">Segundo. Se Ordena al Sujeto Obligado </w:t>
      </w:r>
      <w:r>
        <w:rPr>
          <w:rFonts w:ascii="Palatino Linotype" w:eastAsia="Palatino Linotype" w:hAnsi="Palatino Linotype" w:cs="Palatino Linotype"/>
          <w:sz w:val="22"/>
          <w:szCs w:val="22"/>
        </w:rPr>
        <w:t>que en términos de los</w:t>
      </w:r>
      <w:r>
        <w:rPr>
          <w:rFonts w:ascii="Palatino Linotype" w:eastAsia="Palatino Linotype" w:hAnsi="Palatino Linotype" w:cs="Palatino Linotype"/>
          <w:b/>
          <w:bCs/>
          <w:sz w:val="22"/>
          <w:szCs w:val="22"/>
        </w:rPr>
        <w:t xml:space="preserve"> Considerandos Cuarto y Quinto </w:t>
      </w:r>
      <w:r>
        <w:rPr>
          <w:rFonts w:ascii="Palatino Linotype" w:eastAsia="Palatino Linotype" w:hAnsi="Palatino Linotype" w:cs="Palatino Linotype"/>
          <w:sz w:val="22"/>
          <w:szCs w:val="22"/>
        </w:rPr>
        <w:t xml:space="preserve">de esta resolución, haga entrega a </w:t>
      </w:r>
      <w:r>
        <w:rPr>
          <w:rFonts w:ascii="Palatino Linotype" w:eastAsia="Palatino Linotype" w:hAnsi="Palatino Linotype" w:cs="Palatino Linotype"/>
          <w:b/>
          <w:bCs/>
          <w:sz w:val="22"/>
          <w:szCs w:val="22"/>
        </w:rPr>
        <w:t>la parte Recurrente a través del SAIMEX, de ser el caso en versión públ</w:t>
      </w:r>
      <w:r>
        <w:rPr>
          <w:rFonts w:ascii="Palatino Linotype" w:eastAsia="Palatino Linotype" w:hAnsi="Palatino Linotype" w:cs="Palatino Linotype"/>
          <w:b/>
          <w:bCs/>
          <w:sz w:val="22"/>
          <w:szCs w:val="22"/>
        </w:rPr>
        <w:t xml:space="preserve">ica, </w:t>
      </w:r>
      <w:r>
        <w:rPr>
          <w:rFonts w:ascii="Palatino Linotype" w:eastAsia="Palatino Linotype" w:hAnsi="Palatino Linotype" w:cs="Palatino Linotype"/>
          <w:sz w:val="22"/>
          <w:szCs w:val="22"/>
        </w:rPr>
        <w:t>la siguiente información:</w:t>
      </w:r>
    </w:p>
    <w:p w:rsidR="00FF2FB2" w:rsidRDefault="00EB54A1">
      <w:pPr>
        <w:numPr>
          <w:ilvl w:val="0"/>
          <w:numId w:val="5"/>
        </w:numPr>
        <w:pBdr>
          <w:top w:val="nil"/>
          <w:left w:val="nil"/>
          <w:bottom w:val="nil"/>
          <w:right w:val="nil"/>
          <w:between w:val="nil"/>
        </w:pBdr>
        <w:spacing w:after="240" w:line="360" w:lineRule="auto"/>
        <w:ind w:right="843"/>
        <w:jc w:val="both"/>
        <w:rPr>
          <w:rFonts w:ascii="Palatino Linotype" w:eastAsia="Palatino Linotype" w:hAnsi="Palatino Linotype" w:cs="Palatino Linotype"/>
          <w:b/>
          <w:bCs/>
          <w:color w:val="000000"/>
          <w:sz w:val="36"/>
          <w:szCs w:val="36"/>
        </w:rPr>
      </w:pPr>
      <w:r>
        <w:rPr>
          <w:rFonts w:ascii="Palatino Linotype" w:eastAsia="Palatino Linotype" w:hAnsi="Palatino Linotype" w:cs="Palatino Linotype"/>
          <w:b/>
          <w:bCs/>
          <w:color w:val="000000"/>
          <w:sz w:val="22"/>
          <w:szCs w:val="22"/>
        </w:rPr>
        <w:t>De forma completa, el dictamen Técnico proporcionado en respuesta a la solicitud de información 00930/ECATEPEC/IP/2025.</w:t>
      </w:r>
    </w:p>
    <w:p w:rsidR="00FF2FB2" w:rsidRDefault="00EB54A1">
      <w:pPr>
        <w:pBdr>
          <w:top w:val="nil"/>
          <w:left w:val="nil"/>
          <w:bottom w:val="nil"/>
          <w:right w:val="nil"/>
          <w:between w:val="nil"/>
        </w:pBdr>
        <w:spacing w:line="360" w:lineRule="auto"/>
        <w:ind w:left="284" w:right="560"/>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Para la entrega en versión pública, se deberá emitir el Acuerdo del Comité de Transparencia de acuerdo con la Ley de Transparencia y Acceso a la Información Pública del Estado de México y Municipios, en el que funde y motive las razones sobre los datos que</w:t>
      </w:r>
      <w:r>
        <w:rPr>
          <w:rFonts w:ascii="Palatino Linotype" w:eastAsia="Palatino Linotype" w:hAnsi="Palatino Linotype" w:cs="Palatino Linotype"/>
          <w:i/>
          <w:iCs/>
          <w:sz w:val="22"/>
          <w:szCs w:val="22"/>
        </w:rPr>
        <w:t xml:space="preserve"> se supriman o eliminen de los soportes documentales objeto de las versiones públicas que se formulen y se pongan a disposición de la parte Recurrente. </w:t>
      </w:r>
    </w:p>
    <w:p w:rsidR="00FF2FB2" w:rsidRDefault="00EB54A1">
      <w:pPr>
        <w:spacing w:before="240"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Tercero.  Notifíquese vía SAIMEX, </w:t>
      </w:r>
      <w:r>
        <w:rPr>
          <w:rFonts w:ascii="Palatino Linotype" w:eastAsia="Palatino Linotype" w:hAnsi="Palatino Linotype" w:cs="Palatino Linotype"/>
          <w:sz w:val="22"/>
          <w:szCs w:val="22"/>
        </w:rPr>
        <w:t>la presente resolución al Titular de la Unidad de Transparencia del S</w:t>
      </w:r>
      <w:r>
        <w:rPr>
          <w:rFonts w:ascii="Palatino Linotype" w:eastAsia="Palatino Linotype" w:hAnsi="Palatino Linotype" w:cs="Palatino Linotype"/>
          <w:sz w:val="22"/>
          <w:szCs w:val="22"/>
        </w:rPr>
        <w:t>ujeto Obligado, para que conforme al artículo 186 último párrafo, 189 segundo párrafo y 194 de la Ley de Transparencia y Acceso a la Información Pública del Estado de México y Municipios; dé cumplimiento a lo ordenado dentro del plazo de diez días hábiles,</w:t>
      </w:r>
      <w:r>
        <w:rPr>
          <w:rFonts w:ascii="Palatino Linotype" w:eastAsia="Palatino Linotype" w:hAnsi="Palatino Linotype" w:cs="Palatino Linotype"/>
          <w:sz w:val="22"/>
          <w:szCs w:val="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w:t>
      </w:r>
      <w:r>
        <w:rPr>
          <w:rFonts w:ascii="Palatino Linotype" w:eastAsia="Palatino Linotype" w:hAnsi="Palatino Linotype" w:cs="Palatino Linotype"/>
          <w:sz w:val="22"/>
          <w:szCs w:val="22"/>
        </w:rPr>
        <w:t>conformidad con lo previsto en los artículos 198, 200, fracción III; 214, 215 y 216 de la Ley  de Transparencia y Acceso a la Información Pública del Estado de México y Municipios.</w:t>
      </w:r>
    </w:p>
    <w:p w:rsidR="00FF2FB2" w:rsidRDefault="00EB54A1">
      <w:pPr>
        <w:spacing w:before="240" w:after="240"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 xml:space="preserve">Cuarto. </w:t>
      </w:r>
      <w:r>
        <w:rPr>
          <w:rFonts w:ascii="Palatino Linotype" w:eastAsia="Palatino Linotype" w:hAnsi="Palatino Linotype" w:cs="Palatino Linotype"/>
          <w:sz w:val="22"/>
          <w:szCs w:val="22"/>
        </w:rPr>
        <w:t>De conformidad con el artículo 198 de la Ley de Transparencia y Acc</w:t>
      </w:r>
      <w:r>
        <w:rPr>
          <w:rFonts w:ascii="Palatino Linotype" w:eastAsia="Palatino Linotype" w:hAnsi="Palatino Linotype" w:cs="Palatino Linotype"/>
          <w:sz w:val="22"/>
          <w:szCs w:val="22"/>
        </w:rPr>
        <w:t xml:space="preserve">eso a la Información Pública del Estado de México y Municipios, de considerarlo procedente, el </w:t>
      </w:r>
      <w:r>
        <w:rPr>
          <w:rFonts w:ascii="Palatino Linotype" w:eastAsia="Palatino Linotype" w:hAnsi="Palatino Linotype" w:cs="Palatino Linotype"/>
          <w:b/>
          <w:bCs/>
          <w:sz w:val="22"/>
          <w:szCs w:val="22"/>
        </w:rPr>
        <w:t>Sujeto Obligado</w:t>
      </w:r>
      <w:r>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rsidR="00FF2FB2" w:rsidRDefault="00EB54A1">
      <w:pPr>
        <w:spacing w:line="360" w:lineRule="auto"/>
        <w:jc w:val="both"/>
        <w:rPr>
          <w:rFonts w:ascii="Palatino Linotype" w:eastAsia="Palatino Linotype" w:hAnsi="Palatino Linotype" w:cs="Palatino Linotype"/>
          <w:sz w:val="22"/>
          <w:szCs w:val="22"/>
        </w:rPr>
      </w:pPr>
      <w:bookmarkStart w:id="3" w:name="_heading=h.tyjcwt" w:colFirst="0" w:colLast="0"/>
      <w:bookmarkEnd w:id="3"/>
      <w:r>
        <w:rPr>
          <w:rFonts w:ascii="Palatino Linotype" w:eastAsia="Palatino Linotype" w:hAnsi="Palatino Linotype" w:cs="Palatino Linotype"/>
          <w:b/>
          <w:bCs/>
          <w:sz w:val="22"/>
          <w:szCs w:val="22"/>
        </w:rPr>
        <w:t xml:space="preserve">Quinto. Notifíquese vía SAIMEX, </w:t>
      </w:r>
      <w:r>
        <w:rPr>
          <w:rFonts w:ascii="Palatino Linotype" w:eastAsia="Palatino Linotype" w:hAnsi="Palatino Linotype" w:cs="Palatino Linotype"/>
          <w:sz w:val="22"/>
          <w:szCs w:val="22"/>
        </w:rPr>
        <w:t>a</w:t>
      </w:r>
      <w:r>
        <w:rPr>
          <w:rFonts w:ascii="Palatino Linotype" w:eastAsia="Palatino Linotype" w:hAnsi="Palatino Linotype" w:cs="Palatino Linotype"/>
          <w:b/>
          <w:bCs/>
          <w:sz w:val="22"/>
          <w:szCs w:val="22"/>
        </w:rPr>
        <w:t xml:space="preserve"> la parte Recurrente</w:t>
      </w:r>
      <w:r>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w:t>
      </w:r>
      <w:r>
        <w:rPr>
          <w:rFonts w:ascii="Palatino Linotype" w:eastAsia="Palatino Linotype" w:hAnsi="Palatino Linotype" w:cs="Palatino Linotype"/>
          <w:sz w:val="22"/>
          <w:szCs w:val="22"/>
        </w:rPr>
        <w:t xml:space="preserve"> a la Información Pública del Estado de México y Municipios.</w:t>
      </w:r>
    </w:p>
    <w:p w:rsidR="00FF2FB2" w:rsidRDefault="00FF2FB2">
      <w:pPr>
        <w:spacing w:line="360" w:lineRule="auto"/>
        <w:ind w:right="-93"/>
        <w:jc w:val="both"/>
        <w:rPr>
          <w:rFonts w:ascii="Palatino Linotype" w:eastAsia="Palatino Linotype" w:hAnsi="Palatino Linotype" w:cs="Palatino Linotype"/>
          <w:sz w:val="22"/>
          <w:szCs w:val="22"/>
        </w:rPr>
      </w:pPr>
      <w:bookmarkStart w:id="4" w:name="_heading=h.jl0dlasot4f" w:colFirst="0" w:colLast="0"/>
      <w:bookmarkEnd w:id="4"/>
    </w:p>
    <w:p w:rsidR="00FF2FB2" w:rsidRDefault="00EB54A1">
      <w:pPr>
        <w:spacing w:line="360" w:lineRule="auto"/>
        <w:ind w:right="-93"/>
        <w:jc w:val="both"/>
        <w:rPr>
          <w:rFonts w:ascii="Palatino Linotype" w:eastAsia="Palatino Linotype" w:hAnsi="Palatino Linotype" w:cs="Palatino Linotype"/>
          <w:sz w:val="22"/>
          <w:szCs w:val="22"/>
        </w:rPr>
      </w:pPr>
      <w:bookmarkStart w:id="5" w:name="_heading=h.ps731gl81c5n" w:colFirst="0" w:colLast="0"/>
      <w:bookmarkEnd w:id="5"/>
      <w:r>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w:t>
      </w:r>
      <w:r>
        <w:rPr>
          <w:rFonts w:ascii="Palatino Linotype" w:eastAsia="Palatino Linotype" w:hAnsi="Palatino Linotype" w:cs="Palatino Linotype"/>
          <w:sz w:val="22"/>
          <w:szCs w:val="22"/>
        </w:rPr>
        <w:t>POR LOS COMISIONADOS JOSÉ MARTÍNEZ VILCHIS, MARÍA DEL ROSARIO MEJÍA AYALA, SHARON CRISTINA MORALES MARTÍNEZ, LUIS GUSTAVO PARRA NORIEGA Y GUADALUPE RAMÍREZ PEÑA; EN LA SÉPTIMA SESIÓN ORDINARIA CELEBRADA EL VEINTICINCO DE FEBRERO DE DOS MIL VEINTISÉIS, ANTE</w:t>
      </w:r>
      <w:r>
        <w:rPr>
          <w:rFonts w:ascii="Palatino Linotype" w:eastAsia="Palatino Linotype" w:hAnsi="Palatino Linotype" w:cs="Palatino Linotype"/>
          <w:sz w:val="22"/>
          <w:szCs w:val="22"/>
        </w:rPr>
        <w:t xml:space="preserve"> EL SECRETARIO TÉCNICO DEL PLENO ALEXIS TAPIA RAMÍREZ.</w:t>
      </w: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FF2FB2">
      <w:pPr>
        <w:spacing w:line="360" w:lineRule="auto"/>
        <w:ind w:right="-93"/>
        <w:jc w:val="both"/>
        <w:rPr>
          <w:rFonts w:ascii="Palatino Linotype" w:eastAsia="Palatino Linotype" w:hAnsi="Palatino Linotype" w:cs="Palatino Linotype"/>
          <w:sz w:val="22"/>
          <w:szCs w:val="22"/>
        </w:rPr>
      </w:pPr>
    </w:p>
    <w:p w:rsidR="00FF2FB2" w:rsidRDefault="00FF2FB2">
      <w:pPr>
        <w:spacing w:line="360" w:lineRule="auto"/>
        <w:ind w:right="49"/>
        <w:jc w:val="both"/>
        <w:rPr>
          <w:rFonts w:ascii="Palatino Linotype" w:eastAsia="Palatino Linotype" w:hAnsi="Palatino Linotype" w:cs="Palatino Linotype"/>
          <w:sz w:val="22"/>
          <w:szCs w:val="22"/>
        </w:rPr>
      </w:pPr>
    </w:p>
    <w:sectPr w:rsidR="00FF2FB2">
      <w:headerReference w:type="default" r:id="rId11"/>
      <w:footerReference w:type="default" r:id="rId12"/>
      <w:headerReference w:type="first" r:id="rId13"/>
      <w:footerReference w:type="first" r:id="rId14"/>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B54A1">
      <w:r>
        <w:separator/>
      </w:r>
    </w:p>
  </w:endnote>
  <w:endnote w:type="continuationSeparator" w:id="0">
    <w:p w:rsidR="00000000" w:rsidRDefault="00EB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CEF27822-CB70-41F2-8028-C1DB7B99DBE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E9784BB-ED07-42B1-88FD-835DDB4B8294}"/>
    <w:embedBold r:id="rId3" w:fontKey="{0EAE1998-AC3F-463F-8416-6F88C9FB6D39}"/>
    <w:embedItalic r:id="rId4" w:fontKey="{31C5F999-A127-43C8-8956-D3AA763B3115}"/>
    <w:embedBoldItalic r:id="rId5" w:fontKey="{262D62B1-8880-452A-B98F-2BD6E7F3030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5D88989-ABE2-4E72-BBB9-38E968980A77}"/>
    <w:embedBold r:id="rId7" w:fontKey="{B2E5614C-9DF4-4831-96ED-8999DFCD4F62}"/>
    <w:embedItalic r:id="rId8" w:fontKey="{9D862790-2DB7-4B3D-AED3-4A0174FFB9B5}"/>
  </w:font>
  <w:font w:name="Georgia">
    <w:panose1 w:val="02040502050405020303"/>
    <w:charset w:val="00"/>
    <w:family w:val="roman"/>
    <w:pitch w:val="variable"/>
    <w:sig w:usb0="00000287" w:usb1="00000000" w:usb2="00000000" w:usb3="00000000" w:csb0="0000009F" w:csb1="00000000"/>
    <w:embedItalic r:id="rId9" w:fontKey="{347287C6-5B3B-40E0-8CCD-83F1225547A4}"/>
  </w:font>
  <w:font w:name="Calibri Light">
    <w:panose1 w:val="020F0302020204030204"/>
    <w:charset w:val="00"/>
    <w:family w:val="swiss"/>
    <w:pitch w:val="variable"/>
    <w:sig w:usb0="E4002EFF" w:usb1="C200247B" w:usb2="00000009" w:usb3="00000000" w:csb0="000001FF" w:csb1="00000000"/>
    <w:embedRegular r:id="rId10" w:fontKey="{7EE544B2-B736-455B-A060-9A80A5E4D3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FB2" w:rsidRDefault="00EB54A1">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Pr>
        <w:b/>
        <w:bCs/>
        <w:noProof/>
        <w:color w:val="000000"/>
      </w:rPr>
      <w:t>5</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Pr>
        <w:b/>
        <w:bCs/>
        <w:noProof/>
        <w:color w:val="000000"/>
      </w:rPr>
      <w:t>34</w:t>
    </w:r>
    <w:r>
      <w:rPr>
        <w:b/>
        <w:bCs/>
        <w:color w:val="000000"/>
      </w:rPr>
      <w:fldChar w:fldCharType="end"/>
    </w:r>
  </w:p>
  <w:p w:rsidR="00FF2FB2" w:rsidRDefault="00FF2FB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FB2" w:rsidRDefault="00EB54A1">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Pr>
        <w:b/>
        <w:bCs/>
        <w:noProof/>
        <w:color w:val="000000"/>
      </w:rPr>
      <w:t>34</w:t>
    </w:r>
    <w:r>
      <w:rPr>
        <w:b/>
        <w:bCs/>
        <w:color w:val="000000"/>
      </w:rPr>
      <w:fldChar w:fldCharType="end"/>
    </w:r>
  </w:p>
  <w:p w:rsidR="00FF2FB2" w:rsidRDefault="00FF2FB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B54A1">
      <w:r>
        <w:separator/>
      </w:r>
    </w:p>
  </w:footnote>
  <w:footnote w:type="continuationSeparator" w:id="0">
    <w:p w:rsidR="00000000" w:rsidRDefault="00EB54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FB2" w:rsidRDefault="00EB54A1">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-401952</wp:posOffset>
          </wp:positionV>
          <wp:extent cx="7809876" cy="10165823"/>
          <wp:effectExtent l="0" t="0" r="0" b="0"/>
          <wp:wrapNone/>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8"/>
      <w:tblW w:w="5603" w:type="dxa"/>
      <w:tblInd w:w="3611" w:type="dxa"/>
      <w:tblLayout w:type="fixed"/>
      <w:tblLook w:val="0400" w:firstRow="0" w:lastRow="0" w:firstColumn="0" w:lastColumn="0" w:noHBand="0" w:noVBand="1"/>
    </w:tblPr>
    <w:tblGrid>
      <w:gridCol w:w="2551"/>
      <w:gridCol w:w="3052"/>
    </w:tblGrid>
    <w:tr w:rsidR="00FF2FB2">
      <w:tc>
        <w:tcPr>
          <w:tcW w:w="2551"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Recurso de Revisión:</w:t>
          </w:r>
        </w:p>
        <w:p w:rsidR="00FF2FB2" w:rsidRDefault="00FF2FB2">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p>
      </w:tc>
      <w:tc>
        <w:tcPr>
          <w:tcW w:w="3052"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sz w:val="22"/>
              <w:szCs w:val="22"/>
            </w:rPr>
            <w:t>14694</w:t>
          </w:r>
          <w:r>
            <w:rPr>
              <w:rFonts w:ascii="Palatino Linotype" w:eastAsia="Palatino Linotype" w:hAnsi="Palatino Linotype" w:cs="Palatino Linotype"/>
              <w:b/>
              <w:bCs/>
              <w:color w:val="000000"/>
              <w:sz w:val="22"/>
              <w:szCs w:val="22"/>
            </w:rPr>
            <w:t>/INFOEM/IP/RR/2025</w:t>
          </w:r>
        </w:p>
      </w:tc>
    </w:tr>
    <w:tr w:rsidR="00FF2FB2">
      <w:trPr>
        <w:trHeight w:val="217"/>
      </w:trPr>
      <w:tc>
        <w:tcPr>
          <w:tcW w:w="2551"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Sujeto obligado:</w:t>
          </w:r>
        </w:p>
      </w:tc>
      <w:tc>
        <w:tcPr>
          <w:tcW w:w="3052" w:type="dxa"/>
          <w:vAlign w:val="center"/>
        </w:tcPr>
        <w:p w:rsidR="00FF2FB2" w:rsidRDefault="00EB54A1">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Ayuntamiento de Ecatepec de Morelos</w:t>
          </w:r>
        </w:p>
      </w:tc>
    </w:tr>
    <w:tr w:rsidR="00FF2FB2">
      <w:tc>
        <w:tcPr>
          <w:tcW w:w="2551"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Comisionada ponente:</w:t>
          </w:r>
        </w:p>
      </w:tc>
      <w:tc>
        <w:tcPr>
          <w:tcW w:w="3052"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Guadalupe Ramírez Peña</w:t>
          </w:r>
        </w:p>
      </w:tc>
    </w:tr>
  </w:tbl>
  <w:p w:rsidR="00FF2FB2" w:rsidRDefault="00FF2FB2">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FB2" w:rsidRDefault="00EB54A1">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simplePos x="0" y="0"/>
          <wp:positionH relativeFrom="column">
            <wp:posOffset>-929003</wp:posOffset>
          </wp:positionH>
          <wp:positionV relativeFrom="paragraph">
            <wp:posOffset>-644523</wp:posOffset>
          </wp:positionV>
          <wp:extent cx="7809865" cy="10165715"/>
          <wp:effectExtent l="0" t="0" r="0" b="0"/>
          <wp:wrapNone/>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9"/>
      <w:tblW w:w="5461" w:type="dxa"/>
      <w:tblInd w:w="3611" w:type="dxa"/>
      <w:tblLayout w:type="fixed"/>
      <w:tblLook w:val="0400" w:firstRow="0" w:lastRow="0" w:firstColumn="0" w:lastColumn="0" w:noHBand="0" w:noVBand="1"/>
    </w:tblPr>
    <w:tblGrid>
      <w:gridCol w:w="2343"/>
      <w:gridCol w:w="3118"/>
    </w:tblGrid>
    <w:tr w:rsidR="00FF2FB2">
      <w:tc>
        <w:tcPr>
          <w:tcW w:w="2343"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Recurso de Revisión:</w:t>
          </w:r>
        </w:p>
        <w:p w:rsidR="00FF2FB2" w:rsidRDefault="00FF2FB2">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p>
      </w:tc>
      <w:tc>
        <w:tcPr>
          <w:tcW w:w="3118"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sz w:val="22"/>
              <w:szCs w:val="22"/>
            </w:rPr>
            <w:t>14694</w:t>
          </w:r>
          <w:r>
            <w:rPr>
              <w:rFonts w:ascii="Palatino Linotype" w:eastAsia="Palatino Linotype" w:hAnsi="Palatino Linotype" w:cs="Palatino Linotype"/>
              <w:b/>
              <w:bCs/>
              <w:color w:val="000000"/>
              <w:sz w:val="22"/>
              <w:szCs w:val="22"/>
            </w:rPr>
            <w:t>/INFOEM/IP/RR/2025</w:t>
          </w:r>
        </w:p>
      </w:tc>
    </w:tr>
    <w:tr w:rsidR="00FF2FB2">
      <w:tc>
        <w:tcPr>
          <w:tcW w:w="2343"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Recurrente:</w:t>
          </w:r>
        </w:p>
      </w:tc>
      <w:tc>
        <w:tcPr>
          <w:tcW w:w="3118"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 xml:space="preserve">XXXXX XXX XXXXXXX XXXXXX XXXXXXX </w:t>
          </w:r>
        </w:p>
      </w:tc>
    </w:tr>
    <w:tr w:rsidR="00FF2FB2">
      <w:trPr>
        <w:trHeight w:val="152"/>
      </w:trPr>
      <w:tc>
        <w:tcPr>
          <w:tcW w:w="2343" w:type="dxa"/>
          <w:vAlign w:val="center"/>
        </w:tcPr>
        <w:p w:rsidR="00FF2FB2" w:rsidRDefault="00EB54A1">
          <w:pP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Sujeto obligado:</w:t>
          </w:r>
        </w:p>
        <w:p w:rsidR="00FF2FB2" w:rsidRDefault="00FF2FB2">
          <w:pPr>
            <w:tabs>
              <w:tab w:val="center" w:pos="4419"/>
              <w:tab w:val="right" w:pos="8838"/>
            </w:tabs>
            <w:rPr>
              <w:rFonts w:ascii="Palatino Linotype" w:eastAsia="Palatino Linotype" w:hAnsi="Palatino Linotype" w:cs="Palatino Linotype"/>
              <w:b/>
              <w:bCs/>
              <w:color w:val="000000"/>
              <w:sz w:val="20"/>
              <w:szCs w:val="20"/>
            </w:rPr>
          </w:pPr>
        </w:p>
      </w:tc>
      <w:tc>
        <w:tcPr>
          <w:tcW w:w="3118" w:type="dxa"/>
          <w:vAlign w:val="center"/>
        </w:tcPr>
        <w:p w:rsidR="00FF2FB2" w:rsidRDefault="00EB54A1">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2"/>
              <w:szCs w:val="22"/>
            </w:rPr>
            <w:t>Ayuntamiento de Ecatepec de Morelos</w:t>
          </w:r>
        </w:p>
      </w:tc>
    </w:tr>
    <w:tr w:rsidR="00FF2FB2">
      <w:tc>
        <w:tcPr>
          <w:tcW w:w="2343"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Comisionada ponente:</w:t>
          </w:r>
        </w:p>
      </w:tc>
      <w:tc>
        <w:tcPr>
          <w:tcW w:w="3118" w:type="dxa"/>
          <w:vAlign w:val="center"/>
        </w:tcPr>
        <w:p w:rsidR="00FF2FB2" w:rsidRDefault="00EB54A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 w:val="20"/>
              <w:szCs w:val="20"/>
            </w:rPr>
          </w:pPr>
          <w:r>
            <w:rPr>
              <w:rFonts w:ascii="Palatino Linotype" w:eastAsia="Palatino Linotype" w:hAnsi="Palatino Linotype" w:cs="Palatino Linotype"/>
              <w:b/>
              <w:bCs/>
              <w:color w:val="000000"/>
              <w:sz w:val="20"/>
              <w:szCs w:val="20"/>
            </w:rPr>
            <w:t>Guadalupe Ramírez Peña</w:t>
          </w:r>
        </w:p>
      </w:tc>
    </w:tr>
  </w:tbl>
  <w:p w:rsidR="00FF2FB2" w:rsidRDefault="00EB54A1">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E3753"/>
    <w:multiLevelType w:val="multilevel"/>
    <w:tmpl w:val="399A5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084843"/>
    <w:multiLevelType w:val="multilevel"/>
    <w:tmpl w:val="1070F61C"/>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5D57D6"/>
    <w:multiLevelType w:val="multilevel"/>
    <w:tmpl w:val="FDE8737C"/>
    <w:lvl w:ilvl="0">
      <w:start w:val="2"/>
      <w:numFmt w:val="bullet"/>
      <w:lvlText w:val="-"/>
      <w:lvlJc w:val="left"/>
      <w:pPr>
        <w:ind w:left="720" w:hanging="360"/>
      </w:pPr>
      <w:rPr>
        <w:rFonts w:ascii="Palatino Linotype" w:eastAsia="Palatino Linotype" w:hAnsi="Palatino Linotype" w:cs="Palatino Linotype"/>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136A2D"/>
    <w:multiLevelType w:val="multilevel"/>
    <w:tmpl w:val="0220C9C2"/>
    <w:lvl w:ilvl="0">
      <w:start w:val="2"/>
      <w:numFmt w:val="bullet"/>
      <w:pStyle w:val="Listaconvietas"/>
      <w:lvlText w:val="-"/>
      <w:lvlJc w:val="left"/>
      <w:pPr>
        <w:ind w:left="1440" w:hanging="360"/>
      </w:pPr>
      <w:rPr>
        <w:rFonts w:ascii="Palatino Linotype" w:eastAsia="Palatino Linotype" w:hAnsi="Palatino Linotype" w:cs="Palatino Linotyp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4EA0277F"/>
    <w:multiLevelType w:val="multilevel"/>
    <w:tmpl w:val="DF045C2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2EE774D"/>
    <w:multiLevelType w:val="multilevel"/>
    <w:tmpl w:val="2716D97A"/>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FB2"/>
    <w:rsid w:val="00EB54A1"/>
    <w:rsid w:val="00FF2F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3F44"/>
  <w15:docId w15:val="{8BB2D407-68CD-45D3-9EA8-73E0E1A4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left w:w="115" w:type="dxa"/>
        <w:right w:w="115" w:type="dxa"/>
      </w:tblCellMar>
    </w:tblPr>
  </w:style>
  <w:style w:type="table" w:customStyle="1" w:styleId="a1">
    <w:basedOn w:val="TableNormal5"/>
    <w:tblPr>
      <w:tblStyleRowBandSize w:val="1"/>
      <w:tblStyleColBandSize w:val="1"/>
      <w:tblCellMar>
        <w:left w:w="115" w:type="dxa"/>
        <w:right w:w="115" w:type="dxa"/>
      </w:tblCellMar>
    </w:tblPr>
  </w:style>
  <w:style w:type="table" w:customStyle="1" w:styleId="a2">
    <w:basedOn w:val="TableNormal5"/>
    <w:tblPr>
      <w:tblStyleRowBandSize w:val="1"/>
      <w:tblStyleColBandSize w:val="1"/>
      <w:tblCellMar>
        <w:left w:w="115" w:type="dxa"/>
        <w:right w:w="115" w:type="dxa"/>
      </w:tblCellMar>
    </w:tblPr>
  </w:style>
  <w:style w:type="table" w:customStyle="1" w:styleId="a3">
    <w:basedOn w:val="TableNormal5"/>
    <w:tblPr>
      <w:tblStyleRowBandSize w:val="1"/>
      <w:tblStyleColBandSize w:val="1"/>
      <w:tblCellMar>
        <w:top w:w="15" w:type="dxa"/>
        <w:left w:w="115" w:type="dxa"/>
        <w:bottom w:w="15" w:type="dxa"/>
        <w:right w:w="115" w:type="dxa"/>
      </w:tblCellMar>
    </w:tblPr>
  </w:style>
  <w:style w:type="table" w:customStyle="1" w:styleId="a4">
    <w:basedOn w:val="TableNormal5"/>
    <w:tblPr>
      <w:tblStyleRowBandSize w:val="1"/>
      <w:tblStyleColBandSize w:val="1"/>
      <w:tblCellMar>
        <w:top w:w="15" w:type="dxa"/>
        <w:left w:w="115" w:type="dxa"/>
        <w:bottom w:w="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top w:w="15" w:type="dxa"/>
        <w:left w:w="115" w:type="dxa"/>
        <w:bottom w:w="15" w:type="dxa"/>
        <w:right w:w="115" w:type="dxa"/>
      </w:tblCellMar>
    </w:tblPr>
  </w:style>
  <w:style w:type="table" w:customStyle="1" w:styleId="aa">
    <w:basedOn w:val="TableNormal4"/>
    <w:tblPr>
      <w:tblStyleRowBandSize w:val="1"/>
      <w:tblStyleColBandSize w:val="1"/>
      <w:tblCellMar>
        <w:top w:w="15" w:type="dxa"/>
        <w:left w:w="115" w:type="dxa"/>
        <w:bottom w:w="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08" w:type="dxa"/>
        <w:right w:w="108" w:type="dxa"/>
      </w:tblCellMar>
    </w:tblPr>
  </w:style>
  <w:style w:type="table" w:customStyle="1" w:styleId="af1">
    <w:basedOn w:val="TableNormal3"/>
    <w:tblPr>
      <w:tblStyleRowBandSize w:val="1"/>
      <w:tblStyleColBandSize w:val="1"/>
      <w:tblCellMar>
        <w:top w:w="15" w:type="dxa"/>
        <w:left w:w="115" w:type="dxa"/>
        <w:bottom w:w="15" w:type="dxa"/>
        <w:right w:w="115" w:type="dxa"/>
      </w:tblCellMar>
    </w:tblPr>
  </w:style>
  <w:style w:type="table" w:customStyle="1" w:styleId="af2">
    <w:basedOn w:val="TableNormal3"/>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top w:w="15" w:type="dxa"/>
        <w:left w:w="115" w:type="dxa"/>
        <w:bottom w:w="15" w:type="dxa"/>
        <w:right w:w="115" w:type="dxa"/>
      </w:tblCellMar>
    </w:tblPr>
  </w:style>
  <w:style w:type="table" w:customStyle="1" w:styleId="af5">
    <w:basedOn w:val="TableNormal2"/>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table" w:customStyle="1" w:styleId="af6">
    <w:basedOn w:val="TableNormal1"/>
    <w:tblPr>
      <w:tblStyleRowBandSize w:val="1"/>
      <w:tblStyleColBandSize w:val="1"/>
      <w:tblCellMar>
        <w:top w:w="15" w:type="dxa"/>
        <w:left w:w="115" w:type="dxa"/>
        <w:bottom w:w="15" w:type="dxa"/>
        <w:right w:w="115" w:type="dxa"/>
      </w:tblCellMar>
    </w:tblPr>
  </w:style>
  <w:style w:type="table" w:customStyle="1" w:styleId="af7">
    <w:basedOn w:val="TableNormal1"/>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15" w:type="dxa"/>
        <w:left w:w="115" w:type="dxa"/>
        <w:bottom w:w="15" w:type="dxa"/>
        <w:right w:w="115" w:type="dxa"/>
      </w:tblCellMar>
    </w:tblPr>
  </w:style>
  <w:style w:type="table" w:customStyle="1" w:styleId="af9">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cJaySRvv/KBCbOCDfjklgzSXbg==">CgMxLjAyCWguM3pueXNoNzIOaC5qM3BweXh3bGIxczIyCGgudHlqY3d0Mg1oLmpsMGRsYXNvdDRmMg5oLnBzNzMxZ2w4MWM1bjgAciExYkNiN3NkSTZmd1FjLTB4M0ZOdjJvUmtZX29fYlZ1czY=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8049</Words>
  <Characters>44271</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2026-04-06T23:10:00Z</dcterms:created>
  <dcterms:modified xsi:type="dcterms:W3CDTF">2026-04-06T23:10:00Z</dcterms:modified>
</cp:coreProperties>
</file>