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2A93B" w14:textId="4A1BDE5D"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4A081A" w:rsidRPr="009B5195">
        <w:rPr>
          <w:rFonts w:ascii="Palatino Linotype" w:eastAsia="Palatino Linotype" w:hAnsi="Palatino Linotype" w:cs="Palatino Linotype"/>
          <w:sz w:val="22"/>
          <w:szCs w:val="22"/>
        </w:rPr>
        <w:t>veinticinco</w:t>
      </w:r>
      <w:r w:rsidR="00367429" w:rsidRPr="009B5195">
        <w:rPr>
          <w:rFonts w:ascii="Palatino Linotype" w:eastAsia="Palatino Linotype" w:hAnsi="Palatino Linotype" w:cs="Palatino Linotype"/>
          <w:sz w:val="22"/>
          <w:szCs w:val="22"/>
        </w:rPr>
        <w:t xml:space="preserve"> </w:t>
      </w:r>
      <w:r w:rsidR="00FC4683" w:rsidRPr="009B5195">
        <w:rPr>
          <w:rFonts w:ascii="Palatino Linotype" w:eastAsia="Palatino Linotype" w:hAnsi="Palatino Linotype" w:cs="Palatino Linotype"/>
          <w:sz w:val="22"/>
          <w:szCs w:val="22"/>
        </w:rPr>
        <w:t xml:space="preserve">de febrero </w:t>
      </w:r>
      <w:r w:rsidRPr="009B5195">
        <w:rPr>
          <w:rFonts w:ascii="Palatino Linotype" w:eastAsia="Palatino Linotype" w:hAnsi="Palatino Linotype" w:cs="Palatino Linotype"/>
          <w:sz w:val="22"/>
          <w:szCs w:val="22"/>
        </w:rPr>
        <w:t xml:space="preserve">de dos mil </w:t>
      </w:r>
      <w:r w:rsidR="00382740" w:rsidRPr="009B5195">
        <w:rPr>
          <w:rFonts w:ascii="Palatino Linotype" w:eastAsia="Palatino Linotype" w:hAnsi="Palatino Linotype" w:cs="Palatino Linotype"/>
          <w:sz w:val="22"/>
          <w:szCs w:val="22"/>
        </w:rPr>
        <w:t>veintiséis</w:t>
      </w:r>
      <w:r w:rsidRPr="009B5195">
        <w:rPr>
          <w:rFonts w:ascii="Palatino Linotype" w:eastAsia="Palatino Linotype" w:hAnsi="Palatino Linotype" w:cs="Palatino Linotype"/>
          <w:sz w:val="22"/>
          <w:szCs w:val="22"/>
        </w:rPr>
        <w:t xml:space="preserve">. </w:t>
      </w:r>
    </w:p>
    <w:p w14:paraId="32D33C57" w14:textId="00FBB7A6" w:rsidR="00694AA0" w:rsidRPr="009B5195" w:rsidRDefault="005B22BA">
      <w:pPr>
        <w:tabs>
          <w:tab w:val="left" w:pos="5812"/>
        </w:tabs>
        <w:spacing w:before="240" w:after="240" w:line="360" w:lineRule="auto"/>
        <w:jc w:val="both"/>
        <w:rPr>
          <w:rFonts w:ascii="Palatino Linotype" w:eastAsia="Palatino Linotype" w:hAnsi="Palatino Linotype" w:cs="Palatino Linotype"/>
          <w:sz w:val="22"/>
          <w:szCs w:val="22"/>
        </w:rPr>
      </w:pPr>
      <w:bookmarkStart w:id="0" w:name="_heading=h.daj3j2xo6q66" w:colFirst="0" w:colLast="0"/>
      <w:bookmarkEnd w:id="0"/>
      <w:r w:rsidRPr="009B5195">
        <w:rPr>
          <w:rFonts w:ascii="Palatino Linotype" w:eastAsia="Palatino Linotype" w:hAnsi="Palatino Linotype" w:cs="Palatino Linotype"/>
          <w:b/>
          <w:sz w:val="22"/>
          <w:szCs w:val="22"/>
        </w:rPr>
        <w:t>VISTO</w:t>
      </w:r>
      <w:r w:rsidRPr="009B5195">
        <w:rPr>
          <w:rFonts w:ascii="Palatino Linotype" w:eastAsia="Palatino Linotype" w:hAnsi="Palatino Linotype" w:cs="Palatino Linotype"/>
          <w:sz w:val="22"/>
          <w:szCs w:val="22"/>
        </w:rPr>
        <w:t xml:space="preserve"> el expediente formado con motivo del recurso de revisión </w:t>
      </w:r>
      <w:r w:rsidR="0081295B" w:rsidRPr="009B5195">
        <w:rPr>
          <w:rFonts w:ascii="Palatino Linotype" w:eastAsia="Palatino Linotype" w:hAnsi="Palatino Linotype" w:cs="Palatino Linotype"/>
          <w:b/>
          <w:sz w:val="22"/>
          <w:szCs w:val="22"/>
        </w:rPr>
        <w:t>13289</w:t>
      </w:r>
      <w:r w:rsidR="00B05D53" w:rsidRPr="009B5195">
        <w:rPr>
          <w:rFonts w:ascii="Palatino Linotype" w:eastAsia="Palatino Linotype" w:hAnsi="Palatino Linotype" w:cs="Palatino Linotype"/>
          <w:b/>
          <w:sz w:val="22"/>
          <w:szCs w:val="22"/>
        </w:rPr>
        <w:t>/INFOEM/IP/RR/202</w:t>
      </w:r>
      <w:r w:rsidR="003B2C01" w:rsidRPr="009B5195">
        <w:rPr>
          <w:rFonts w:ascii="Palatino Linotype" w:eastAsia="Palatino Linotype" w:hAnsi="Palatino Linotype" w:cs="Palatino Linotype"/>
          <w:b/>
          <w:sz w:val="22"/>
          <w:szCs w:val="22"/>
        </w:rPr>
        <w:t>5</w:t>
      </w:r>
      <w:r w:rsidRPr="009B5195">
        <w:rPr>
          <w:rFonts w:ascii="Palatino Linotype" w:eastAsia="Palatino Linotype" w:hAnsi="Palatino Linotype" w:cs="Palatino Linotype"/>
          <w:sz w:val="22"/>
          <w:szCs w:val="22"/>
        </w:rPr>
        <w:t>, interpuesto por</w:t>
      </w:r>
      <w:r w:rsidRPr="009B5195">
        <w:rPr>
          <w:rFonts w:ascii="Palatino Linotype" w:eastAsia="Palatino Linotype" w:hAnsi="Palatino Linotype" w:cs="Palatino Linotype"/>
          <w:b/>
          <w:sz w:val="22"/>
          <w:szCs w:val="22"/>
        </w:rPr>
        <w:t xml:space="preserve"> </w:t>
      </w:r>
      <w:r w:rsidR="00766FCE" w:rsidRPr="00766FCE">
        <w:rPr>
          <w:rFonts w:ascii="Palatino Linotype" w:eastAsia="Palatino Linotype" w:hAnsi="Palatino Linotype" w:cs="Palatino Linotype"/>
          <w:b/>
          <w:sz w:val="22"/>
          <w:szCs w:val="22"/>
        </w:rPr>
        <w:t>XXXXX XXX XXXXXXX XXXXXX XXXXXXX</w:t>
      </w:r>
      <w:r w:rsidR="001A3D4C" w:rsidRPr="00766FCE">
        <w:rPr>
          <w:rFonts w:ascii="Palatino Linotype" w:eastAsia="Palatino Linotype" w:hAnsi="Palatino Linotype" w:cs="Palatino Linotype"/>
          <w:b/>
          <w:sz w:val="22"/>
          <w:szCs w:val="22"/>
        </w:rPr>
        <w:t>,</w:t>
      </w:r>
      <w:bookmarkStart w:id="1" w:name="_GoBack"/>
      <w:bookmarkEnd w:id="1"/>
      <w:r w:rsidRPr="009B5195">
        <w:rPr>
          <w:rFonts w:ascii="Palatino Linotype" w:eastAsia="Palatino Linotype" w:hAnsi="Palatino Linotype" w:cs="Palatino Linotype"/>
          <w:sz w:val="22"/>
          <w:szCs w:val="22"/>
        </w:rPr>
        <w:t xml:space="preserve"> en lo sucesivo</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la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xml:space="preserve"> en contra de la respuesta a la solicitud de información con número de folio</w:t>
      </w:r>
      <w:r w:rsidRPr="009B5195">
        <w:rPr>
          <w:rFonts w:ascii="Palatino Linotype" w:eastAsia="Palatino Linotype" w:hAnsi="Palatino Linotype" w:cs="Palatino Linotype"/>
          <w:b/>
          <w:sz w:val="22"/>
          <w:szCs w:val="22"/>
        </w:rPr>
        <w:t xml:space="preserve"> </w:t>
      </w:r>
      <w:r w:rsidR="00A67B15" w:rsidRPr="009B5195">
        <w:rPr>
          <w:rFonts w:ascii="Palatino Linotype" w:eastAsia="Palatino Linotype" w:hAnsi="Palatino Linotype" w:cs="Palatino Linotype"/>
          <w:b/>
          <w:sz w:val="22"/>
          <w:szCs w:val="22"/>
        </w:rPr>
        <w:t>00894/ECATEPEC/IP/2025</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por parte del </w:t>
      </w:r>
      <w:r w:rsidR="0081295B" w:rsidRPr="009B5195">
        <w:rPr>
          <w:rFonts w:ascii="Palatino Linotype" w:eastAsia="Palatino Linotype" w:hAnsi="Palatino Linotype" w:cs="Palatino Linotype"/>
          <w:b/>
          <w:sz w:val="22"/>
          <w:szCs w:val="22"/>
        </w:rPr>
        <w:t>Ayuntamiento de Ecatepec de Morelos</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en lo sucesivo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 xml:space="preserve">se procede a dictar la presente resolución con base en los siguientes: </w:t>
      </w:r>
    </w:p>
    <w:p w14:paraId="6CBEA268" w14:textId="77777777" w:rsidR="00694AA0" w:rsidRPr="009B5195" w:rsidRDefault="005B22BA">
      <w:pPr>
        <w:spacing w:before="240" w:after="240" w:line="360" w:lineRule="auto"/>
        <w:jc w:val="center"/>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I. A N T E C E D E N T E S</w:t>
      </w:r>
    </w:p>
    <w:p w14:paraId="68695096" w14:textId="1BA92A7E" w:rsidR="00694AA0" w:rsidRPr="009B5195" w:rsidRDefault="005B22BA">
      <w:pPr>
        <w:spacing w:before="240" w:after="240" w:line="360" w:lineRule="auto"/>
        <w:jc w:val="both"/>
        <w:rPr>
          <w:rFonts w:ascii="Palatino Linotype" w:eastAsia="Palatino Linotype" w:hAnsi="Palatino Linotype" w:cs="Palatino Linotype"/>
          <w:sz w:val="22"/>
          <w:szCs w:val="22"/>
        </w:rPr>
      </w:pPr>
      <w:bookmarkStart w:id="2" w:name="_heading=h.gjdgxs" w:colFirst="0" w:colLast="0"/>
      <w:bookmarkEnd w:id="2"/>
      <w:r w:rsidRPr="009B5195">
        <w:rPr>
          <w:rFonts w:ascii="Palatino Linotype" w:eastAsia="Palatino Linotype" w:hAnsi="Palatino Linotype" w:cs="Palatino Linotype"/>
          <w:b/>
          <w:sz w:val="22"/>
          <w:szCs w:val="22"/>
        </w:rPr>
        <w:t>1. Solicitud de acceso a la información.</w:t>
      </w:r>
      <w:r w:rsidRPr="009B5195">
        <w:rPr>
          <w:rFonts w:ascii="Palatino Linotype" w:eastAsia="Palatino Linotype" w:hAnsi="Palatino Linotype" w:cs="Palatino Linotype"/>
          <w:sz w:val="22"/>
          <w:szCs w:val="22"/>
        </w:rPr>
        <w:t xml:space="preserve"> El </w:t>
      </w:r>
      <w:r w:rsidR="00A97285" w:rsidRPr="009B5195">
        <w:rPr>
          <w:rFonts w:ascii="Palatino Linotype" w:eastAsia="Palatino Linotype" w:hAnsi="Palatino Linotype" w:cs="Palatino Linotype"/>
          <w:b/>
          <w:sz w:val="22"/>
          <w:szCs w:val="22"/>
        </w:rPr>
        <w:t xml:space="preserve">siete de noviembre </w:t>
      </w:r>
      <w:r w:rsidR="009502ED" w:rsidRPr="009B5195">
        <w:rPr>
          <w:rFonts w:ascii="Palatino Linotype" w:eastAsia="Palatino Linotype" w:hAnsi="Palatino Linotype" w:cs="Palatino Linotype"/>
          <w:b/>
          <w:sz w:val="22"/>
          <w:szCs w:val="22"/>
        </w:rPr>
        <w:t>de</w:t>
      </w:r>
      <w:r w:rsidR="00A97285" w:rsidRPr="009B5195">
        <w:rPr>
          <w:rFonts w:ascii="Palatino Linotype" w:eastAsia="Palatino Linotype" w:hAnsi="Palatino Linotype" w:cs="Palatino Linotype"/>
          <w:b/>
          <w:sz w:val="22"/>
          <w:szCs w:val="22"/>
        </w:rPr>
        <w:t xml:space="preserve"> dos mil veinticinco</w:t>
      </w:r>
      <w:r w:rsidRPr="009B5195">
        <w:rPr>
          <w:rFonts w:ascii="Palatino Linotype" w:eastAsia="Palatino Linotype" w:hAnsi="Palatino Linotype" w:cs="Palatino Linotype"/>
          <w:b/>
          <w:sz w:val="22"/>
          <w:szCs w:val="22"/>
        </w:rPr>
        <w:t>,</w:t>
      </w:r>
      <w:r w:rsidRPr="009B5195">
        <w:rPr>
          <w:rFonts w:ascii="Palatino Linotype" w:eastAsia="Palatino Linotype" w:hAnsi="Palatino Linotype" w:cs="Palatino Linotype"/>
          <w:sz w:val="22"/>
          <w:szCs w:val="22"/>
        </w:rPr>
        <w:t xml:space="preserve"> </w:t>
      </w:r>
      <w:r w:rsidR="003C488E" w:rsidRPr="009B5195">
        <w:rPr>
          <w:rFonts w:ascii="Palatino Linotype" w:eastAsia="Palatino Linotype" w:hAnsi="Palatino Linotype" w:cs="Palatino Linotype"/>
          <w:sz w:val="22"/>
          <w:szCs w:val="22"/>
        </w:rPr>
        <w:t xml:space="preserve">la parte </w:t>
      </w:r>
      <w:r w:rsidR="003C488E" w:rsidRPr="009B5195">
        <w:rPr>
          <w:rFonts w:ascii="Palatino Linotype" w:eastAsia="Palatino Linotype" w:hAnsi="Palatino Linotype" w:cs="Palatino Linotype"/>
          <w:b/>
          <w:sz w:val="22"/>
          <w:szCs w:val="22"/>
        </w:rPr>
        <w:t xml:space="preserve">Recurrente </w:t>
      </w:r>
      <w:r w:rsidR="003C488E" w:rsidRPr="009B5195">
        <w:rPr>
          <w:rFonts w:ascii="Palatino Linotype" w:eastAsia="Palatino Linotype" w:hAnsi="Palatino Linotype" w:cs="Palatino Linotype"/>
          <w:sz w:val="22"/>
          <w:szCs w:val="22"/>
        </w:rPr>
        <w:t xml:space="preserve">presentó la solicitud de acceso a la información pública ante el </w:t>
      </w:r>
      <w:r w:rsidR="003C488E" w:rsidRPr="009B5195">
        <w:rPr>
          <w:rFonts w:ascii="Palatino Linotype" w:eastAsia="Palatino Linotype" w:hAnsi="Palatino Linotype" w:cs="Palatino Linotype"/>
          <w:b/>
          <w:sz w:val="22"/>
          <w:szCs w:val="22"/>
        </w:rPr>
        <w:t>Sujeto Obligado</w:t>
      </w:r>
      <w:r w:rsidR="003C488E" w:rsidRPr="009B5195">
        <w:rPr>
          <w:rFonts w:ascii="Palatino Linotype" w:eastAsia="Palatino Linotype" w:hAnsi="Palatino Linotype" w:cs="Palatino Linotype"/>
          <w:sz w:val="22"/>
          <w:szCs w:val="22"/>
        </w:rPr>
        <w:t xml:space="preserve">, a través del Sistema de Acceso a la Información Mexiquense, en lo subsecuente el </w:t>
      </w:r>
      <w:r w:rsidR="003C488E" w:rsidRPr="009B5195">
        <w:rPr>
          <w:rFonts w:ascii="Palatino Linotype" w:eastAsia="Palatino Linotype" w:hAnsi="Palatino Linotype" w:cs="Palatino Linotype"/>
          <w:b/>
          <w:sz w:val="22"/>
          <w:szCs w:val="22"/>
        </w:rPr>
        <w:t>SAIMEX,</w:t>
      </w:r>
      <w:r w:rsidR="003C488E" w:rsidRPr="009B5195">
        <w:rPr>
          <w:rFonts w:ascii="Palatino Linotype" w:eastAsia="Palatino Linotype" w:hAnsi="Palatino Linotype" w:cs="Palatino Linotype"/>
          <w:sz w:val="22"/>
          <w:szCs w:val="22"/>
        </w:rPr>
        <w:t xml:space="preserve"> </w:t>
      </w:r>
      <w:r w:rsidRPr="009B5195">
        <w:rPr>
          <w:rFonts w:ascii="Palatino Linotype" w:eastAsia="Palatino Linotype" w:hAnsi="Palatino Linotype" w:cs="Palatino Linotype"/>
          <w:sz w:val="22"/>
          <w:szCs w:val="22"/>
        </w:rPr>
        <w:t>mediante la cual requirió lo siguiente:</w:t>
      </w:r>
    </w:p>
    <w:p w14:paraId="2B457E68" w14:textId="412D025B" w:rsidR="00694AA0" w:rsidRPr="009B5195" w:rsidRDefault="005B22BA">
      <w:pPr>
        <w:spacing w:before="120" w:after="120"/>
        <w:ind w:left="851" w:right="902"/>
        <w:jc w:val="both"/>
        <w:rPr>
          <w:rFonts w:ascii="Palatino Linotype" w:eastAsia="Palatino Linotype" w:hAnsi="Palatino Linotype" w:cs="Palatino Linotype"/>
          <w:b/>
          <w:i/>
          <w:sz w:val="22"/>
          <w:szCs w:val="22"/>
        </w:rPr>
      </w:pPr>
      <w:r w:rsidRPr="009B5195">
        <w:rPr>
          <w:rFonts w:ascii="Palatino Linotype" w:eastAsia="Palatino Linotype" w:hAnsi="Palatino Linotype" w:cs="Palatino Linotype"/>
          <w:i/>
          <w:sz w:val="22"/>
          <w:szCs w:val="22"/>
        </w:rPr>
        <w:t xml:space="preserve"> “</w:t>
      </w:r>
      <w:r w:rsidR="00A97285" w:rsidRPr="009B5195">
        <w:rPr>
          <w:rFonts w:ascii="Palatino Linotype" w:eastAsia="Palatino Linotype" w:hAnsi="Palatino Linotype" w:cs="Palatino Linotype"/>
          <w:i/>
          <w:sz w:val="22"/>
          <w:szCs w:val="22"/>
        </w:rPr>
        <w:t>Solicito copia certificada del citatorio de fecha 7 de marzo de 2024, que se menciona en el Oficio DMAyE/ECA/506/2024, suscrito por el Ciudadano C.P. Ángel Amador Arenas, Encargado del Despacho de la Dirección de Medio Ambiente y Ecología</w:t>
      </w:r>
      <w:r w:rsidRPr="009B5195">
        <w:rPr>
          <w:rFonts w:ascii="Palatino Linotype" w:eastAsia="Palatino Linotype" w:hAnsi="Palatino Linotype" w:cs="Palatino Linotype"/>
          <w:b/>
          <w:i/>
          <w:sz w:val="22"/>
          <w:szCs w:val="22"/>
        </w:rPr>
        <w:t>”</w:t>
      </w:r>
      <w:r w:rsidRPr="009B5195">
        <w:rPr>
          <w:rFonts w:ascii="Palatino Linotype" w:eastAsia="Palatino Linotype" w:hAnsi="Palatino Linotype" w:cs="Palatino Linotype"/>
          <w:i/>
          <w:sz w:val="22"/>
          <w:szCs w:val="22"/>
        </w:rPr>
        <w:t xml:space="preserve"> (sic) </w:t>
      </w:r>
    </w:p>
    <w:p w14:paraId="11A48197" w14:textId="77777777" w:rsidR="003C488E" w:rsidRPr="009B5195" w:rsidRDefault="003C488E" w:rsidP="003C488E">
      <w:pPr>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9B5195">
        <w:rPr>
          <w:rFonts w:ascii="Palatino Linotype" w:eastAsia="Palatino Linotype" w:hAnsi="Palatino Linotype" w:cs="Palatino Linotype"/>
          <w:b/>
          <w:sz w:val="22"/>
          <w:szCs w:val="22"/>
        </w:rPr>
        <w:t>Modalidad de Entrega:</w:t>
      </w:r>
      <w:r w:rsidRPr="009B5195">
        <w:rPr>
          <w:rFonts w:ascii="Palatino Linotype" w:eastAsia="Palatino Linotype" w:hAnsi="Palatino Linotype" w:cs="Palatino Linotype"/>
          <w:sz w:val="22"/>
          <w:szCs w:val="22"/>
        </w:rPr>
        <w:t xml:space="preserve"> a través del</w:t>
      </w:r>
      <w:r w:rsidRPr="009B5195">
        <w:rPr>
          <w:rFonts w:ascii="Palatino Linotype" w:eastAsia="Palatino Linotype" w:hAnsi="Palatino Linotype" w:cs="Palatino Linotype"/>
          <w:b/>
          <w:sz w:val="22"/>
          <w:szCs w:val="22"/>
        </w:rPr>
        <w:t xml:space="preserve"> SAIMEX.</w:t>
      </w:r>
    </w:p>
    <w:p w14:paraId="7686068F" w14:textId="6F05D12C"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 xml:space="preserve">2. Respuesta. </w:t>
      </w:r>
      <w:r w:rsidR="004A5926" w:rsidRPr="009B5195">
        <w:rPr>
          <w:rFonts w:ascii="Palatino Linotype" w:eastAsia="Palatino Linotype" w:hAnsi="Palatino Linotype" w:cs="Palatino Linotype"/>
          <w:sz w:val="22"/>
          <w:szCs w:val="22"/>
        </w:rPr>
        <w:t xml:space="preserve">El </w:t>
      </w:r>
      <w:r w:rsidR="00A97285" w:rsidRPr="009B5195">
        <w:rPr>
          <w:rFonts w:ascii="Palatino Linotype" w:eastAsia="Palatino Linotype" w:hAnsi="Palatino Linotype" w:cs="Palatino Linotype"/>
          <w:b/>
          <w:sz w:val="22"/>
          <w:szCs w:val="22"/>
        </w:rPr>
        <w:t>once de noviembre de dos mil veinticinco</w:t>
      </w:r>
      <w:r w:rsidRPr="009B5195">
        <w:rPr>
          <w:rFonts w:ascii="Palatino Linotype" w:eastAsia="Palatino Linotype" w:hAnsi="Palatino Linotype" w:cs="Palatino Linotype"/>
          <w:b/>
          <w:sz w:val="22"/>
          <w:szCs w:val="22"/>
        </w:rPr>
        <w:t>,</w:t>
      </w:r>
      <w:r w:rsidRPr="009B5195">
        <w:rPr>
          <w:rFonts w:ascii="Palatino Linotype" w:eastAsia="Palatino Linotype" w:hAnsi="Palatino Linotype" w:cs="Palatino Linotype"/>
          <w:sz w:val="22"/>
          <w:szCs w:val="22"/>
        </w:rPr>
        <w:t xml:space="preserve">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0EB69FD4" w14:textId="731037FF" w:rsidR="00694AA0" w:rsidRPr="009B5195" w:rsidRDefault="005B22BA">
      <w:pPr>
        <w:spacing w:before="240" w:after="24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lastRenderedPageBreak/>
        <w:t>“…</w:t>
      </w:r>
      <w:r w:rsidR="00A97285" w:rsidRPr="009B5195">
        <w:rPr>
          <w:rFonts w:ascii="Palatino Linotype" w:eastAsia="Palatino Linotype" w:hAnsi="Palatino Linotype" w:cs="Palatino Linotype"/>
          <w:i/>
          <w:sz w:val="22"/>
          <w:szCs w:val="22"/>
        </w:rPr>
        <w:t>se anexa respuesta</w:t>
      </w:r>
      <w:r w:rsidR="0018603F" w:rsidRPr="009B5195">
        <w:rPr>
          <w:rFonts w:ascii="Palatino Linotype" w:eastAsia="Palatino Linotype" w:hAnsi="Palatino Linotype" w:cs="Palatino Linotype"/>
          <w:i/>
          <w:sz w:val="22"/>
          <w:szCs w:val="22"/>
        </w:rPr>
        <w:t>.</w:t>
      </w:r>
      <w:r w:rsidRPr="009B5195">
        <w:rPr>
          <w:rFonts w:ascii="Palatino Linotype" w:eastAsia="Palatino Linotype" w:hAnsi="Palatino Linotype" w:cs="Palatino Linotype"/>
          <w:i/>
          <w:sz w:val="22"/>
          <w:szCs w:val="22"/>
        </w:rPr>
        <w:t>..” (sic)</w:t>
      </w:r>
    </w:p>
    <w:p w14:paraId="28703BC2" w14:textId="39F02B07" w:rsidR="00D067D1" w:rsidRPr="009B5195" w:rsidRDefault="005B22BA">
      <w:pPr>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adjuntó</w:t>
      </w:r>
      <w:r w:rsidR="00D067D1" w:rsidRPr="009B5195">
        <w:rPr>
          <w:rFonts w:ascii="Palatino Linotype" w:eastAsia="Palatino Linotype" w:hAnsi="Palatino Linotype" w:cs="Palatino Linotype"/>
          <w:sz w:val="22"/>
          <w:szCs w:val="22"/>
        </w:rPr>
        <w:t xml:space="preserve"> lo siguiente:</w:t>
      </w:r>
    </w:p>
    <w:p w14:paraId="720DBD64" w14:textId="77777777" w:rsidR="00212E14" w:rsidRPr="009B5195" w:rsidRDefault="001A72D4" w:rsidP="00212E14">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 Acuerdo de incompetencia </w:t>
      </w:r>
      <w:r w:rsidR="00E45884" w:rsidRPr="009B5195">
        <w:rPr>
          <w:rFonts w:ascii="Palatino Linotype" w:eastAsia="Palatino Linotype" w:hAnsi="Palatino Linotype" w:cs="Palatino Linotype"/>
          <w:sz w:val="22"/>
          <w:szCs w:val="22"/>
        </w:rPr>
        <w:t>y reconducción de vía de la solicitud</w:t>
      </w:r>
      <w:r w:rsidR="001B4AF8" w:rsidRPr="009B5195">
        <w:rPr>
          <w:rFonts w:ascii="Palatino Linotype" w:eastAsia="Palatino Linotype" w:hAnsi="Palatino Linotype" w:cs="Palatino Linotype"/>
          <w:sz w:val="22"/>
          <w:szCs w:val="22"/>
        </w:rPr>
        <w:t xml:space="preserve">, en el que se señala que del análisis de la información, se precisa que lo requerido no corresponde al Derecho de acceso a la Información, sino al ejercicio de Derechos ARCO </w:t>
      </w:r>
      <w:r w:rsidR="00212E14" w:rsidRPr="009B5195">
        <w:rPr>
          <w:rFonts w:ascii="Palatino Linotype" w:eastAsia="Palatino Linotype" w:hAnsi="Palatino Linotype" w:cs="Palatino Linotype"/>
          <w:sz w:val="22"/>
          <w:szCs w:val="22"/>
        </w:rPr>
        <w:t>(Acceso, Rectificación, Cancelación y Oposición) a</w:t>
      </w:r>
      <w:r w:rsidR="001B4AF8" w:rsidRPr="009B5195">
        <w:rPr>
          <w:rFonts w:ascii="Palatino Linotype" w:eastAsia="Palatino Linotype" w:hAnsi="Palatino Linotype" w:cs="Palatino Linotype"/>
          <w:sz w:val="22"/>
          <w:szCs w:val="22"/>
        </w:rPr>
        <w:t xml:space="preserve">l tratamiento de datos personales, por lo que con fundamento en el artículo 112 de la Ley de Protección de Datos Personales en Posesión de Sujetos Obligados del Estado de México y Municipios, </w:t>
      </w:r>
      <w:r w:rsidR="00212E14" w:rsidRPr="009B5195">
        <w:rPr>
          <w:rFonts w:ascii="Palatino Linotype" w:eastAsia="Palatino Linotype" w:hAnsi="Palatino Linotype" w:cs="Palatino Linotype"/>
          <w:sz w:val="22"/>
          <w:szCs w:val="22"/>
        </w:rPr>
        <w:t>sugirió a la persona solicitante utilizar la vía correcta para ingresar la solitud de acceso, que es a través del sistema de Acceso, Rectificación, Cancelación y Oposición a datos personales, SARCOEM, que para que el requerimiento sea debidamente atendido.</w:t>
      </w:r>
    </w:p>
    <w:p w14:paraId="2166B49F" w14:textId="4444107D" w:rsidR="00694AA0" w:rsidRPr="009B5195" w:rsidRDefault="005B22BA">
      <w:pPr>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 xml:space="preserve">3. Interposición del recurso de revisión. </w:t>
      </w:r>
      <w:r w:rsidRPr="009B5195">
        <w:rPr>
          <w:rFonts w:ascii="Palatino Linotype" w:eastAsia="Palatino Linotype" w:hAnsi="Palatino Linotype" w:cs="Palatino Linotype"/>
          <w:sz w:val="22"/>
          <w:szCs w:val="22"/>
        </w:rPr>
        <w:t xml:space="preserve">Inconforme con los términos de la respuesta emitida por parte del </w:t>
      </w:r>
      <w:r w:rsidRPr="009B5195">
        <w:rPr>
          <w:rFonts w:ascii="Palatino Linotype" w:eastAsia="Palatino Linotype" w:hAnsi="Palatino Linotype" w:cs="Palatino Linotype"/>
          <w:b/>
          <w:sz w:val="22"/>
          <w:szCs w:val="22"/>
        </w:rPr>
        <w:t>Sujeto Obligado</w:t>
      </w:r>
      <w:r w:rsidRPr="009B5195">
        <w:rPr>
          <w:rFonts w:ascii="Palatino Linotype" w:eastAsia="Palatino Linotype" w:hAnsi="Palatino Linotype" w:cs="Palatino Linotype"/>
          <w:sz w:val="22"/>
          <w:szCs w:val="22"/>
        </w:rPr>
        <w:t xml:space="preserve">, el </w:t>
      </w:r>
      <w:r w:rsidR="007728C9" w:rsidRPr="009B5195">
        <w:rPr>
          <w:rFonts w:ascii="Palatino Linotype" w:eastAsia="Palatino Linotype" w:hAnsi="Palatino Linotype" w:cs="Palatino Linotype"/>
          <w:b/>
          <w:sz w:val="22"/>
          <w:szCs w:val="22"/>
        </w:rPr>
        <w:t>veintisiete de noviembre</w:t>
      </w:r>
      <w:r w:rsidR="006262EB"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b/>
          <w:sz w:val="22"/>
          <w:szCs w:val="22"/>
        </w:rPr>
        <w:t xml:space="preserve">de dos mil </w:t>
      </w:r>
      <w:r w:rsidR="00340A37" w:rsidRPr="009B5195">
        <w:rPr>
          <w:rFonts w:ascii="Palatino Linotype" w:eastAsia="Palatino Linotype" w:hAnsi="Palatino Linotype" w:cs="Palatino Linotype"/>
          <w:b/>
          <w:sz w:val="22"/>
          <w:szCs w:val="22"/>
        </w:rPr>
        <w:t>veinti</w:t>
      </w:r>
      <w:r w:rsidR="007728C9" w:rsidRPr="009B5195">
        <w:rPr>
          <w:rFonts w:ascii="Palatino Linotype" w:eastAsia="Palatino Linotype" w:hAnsi="Palatino Linotype" w:cs="Palatino Linotype"/>
          <w:b/>
          <w:sz w:val="22"/>
          <w:szCs w:val="22"/>
        </w:rPr>
        <w:t>cinco,</w:t>
      </w:r>
      <w:r w:rsidRPr="009B5195">
        <w:rPr>
          <w:rFonts w:ascii="Palatino Linotype" w:eastAsia="Palatino Linotype" w:hAnsi="Palatino Linotype" w:cs="Palatino Linotype"/>
          <w:sz w:val="22"/>
          <w:szCs w:val="22"/>
        </w:rPr>
        <w:t xml:space="preserve"> la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xml:space="preserve"> interpuso el recurso de revisión a través de </w:t>
      </w:r>
      <w:r w:rsidRPr="009B5195">
        <w:rPr>
          <w:rFonts w:ascii="Palatino Linotype" w:eastAsia="Palatino Linotype" w:hAnsi="Palatino Linotype" w:cs="Palatino Linotype"/>
          <w:b/>
          <w:sz w:val="22"/>
          <w:szCs w:val="22"/>
        </w:rPr>
        <w:t xml:space="preserve">SAIMEX, </w:t>
      </w:r>
      <w:r w:rsidRPr="009B5195">
        <w:rPr>
          <w:rFonts w:ascii="Palatino Linotype" w:eastAsia="Palatino Linotype" w:hAnsi="Palatino Linotype" w:cs="Palatino Linotype"/>
          <w:sz w:val="22"/>
          <w:szCs w:val="22"/>
        </w:rPr>
        <w:t>en donde se manifestó de la siguiente manera:</w:t>
      </w:r>
    </w:p>
    <w:p w14:paraId="7C2BF786" w14:textId="77777777" w:rsidR="00694AA0" w:rsidRPr="009B5195" w:rsidRDefault="005B22BA">
      <w:pPr>
        <w:spacing w:before="240" w:after="240" w:line="360" w:lineRule="auto"/>
        <w:ind w:right="49"/>
        <w:jc w:val="both"/>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 xml:space="preserve">Acto impugnado: </w:t>
      </w:r>
    </w:p>
    <w:p w14:paraId="3DC3BF9F" w14:textId="430438BE" w:rsidR="00694AA0" w:rsidRPr="009B5195" w:rsidRDefault="005B22BA" w:rsidP="00340A37">
      <w:pPr>
        <w:ind w:left="851" w:right="900"/>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r w:rsidR="007728C9" w:rsidRPr="009B5195">
        <w:rPr>
          <w:rFonts w:ascii="Palatino Linotype" w:eastAsia="Palatino Linotype" w:hAnsi="Palatino Linotype" w:cs="Palatino Linotype"/>
          <w:i/>
          <w:sz w:val="22"/>
          <w:szCs w:val="22"/>
        </w:rPr>
        <w:t>Solicito copia certificada del citatorio de fecha 7 de marzo de 2024, que se menciona en el Oficio DMAyE/ECA/506/2024, suscrito por el Ciudadano C.P. Ángel Amador Arenas, Encargado del Despacho de la Dirección de Medio Ambiente y Ecología.</w:t>
      </w:r>
      <w:r w:rsidRPr="009B5195">
        <w:rPr>
          <w:rFonts w:ascii="Palatino Linotype" w:eastAsia="Palatino Linotype" w:hAnsi="Palatino Linotype" w:cs="Palatino Linotype"/>
          <w:i/>
          <w:sz w:val="22"/>
          <w:szCs w:val="22"/>
        </w:rPr>
        <w:t>” (sic)</w:t>
      </w:r>
    </w:p>
    <w:p w14:paraId="367E1F4A" w14:textId="77777777" w:rsidR="006262EB" w:rsidRPr="009B5195" w:rsidRDefault="006262EB" w:rsidP="009C1FBD">
      <w:pPr>
        <w:ind w:left="851" w:right="900"/>
        <w:rPr>
          <w:rFonts w:ascii="Palatino Linotype" w:eastAsia="Palatino Linotype" w:hAnsi="Palatino Linotype" w:cs="Palatino Linotype"/>
          <w:i/>
          <w:sz w:val="22"/>
          <w:szCs w:val="22"/>
        </w:rPr>
      </w:pPr>
    </w:p>
    <w:p w14:paraId="199B1EFD" w14:textId="77777777" w:rsidR="00694AA0" w:rsidRPr="009B5195" w:rsidRDefault="005B22BA">
      <w:pPr>
        <w:spacing w:line="360" w:lineRule="auto"/>
        <w:jc w:val="both"/>
        <w:rPr>
          <w:rFonts w:ascii="Palatino Linotype" w:eastAsia="Palatino Linotype" w:hAnsi="Palatino Linotype" w:cs="Palatino Linotype"/>
          <w:sz w:val="22"/>
          <w:szCs w:val="22"/>
        </w:rPr>
      </w:pPr>
      <w:bookmarkStart w:id="4" w:name="_heading=h.30j0zll" w:colFirst="0" w:colLast="0"/>
      <w:bookmarkEnd w:id="4"/>
      <w:r w:rsidRPr="009B5195">
        <w:rPr>
          <w:rFonts w:ascii="Palatino Linotype" w:eastAsia="Palatino Linotype" w:hAnsi="Palatino Linotype" w:cs="Palatino Linotype"/>
          <w:b/>
          <w:sz w:val="22"/>
          <w:szCs w:val="22"/>
        </w:rPr>
        <w:t>Y, Razones o motivos de inconformidad</w:t>
      </w:r>
      <w:r w:rsidRPr="009B5195">
        <w:rPr>
          <w:rFonts w:ascii="Palatino Linotype" w:eastAsia="Palatino Linotype" w:hAnsi="Palatino Linotype" w:cs="Palatino Linotype"/>
          <w:sz w:val="22"/>
          <w:szCs w:val="22"/>
        </w:rPr>
        <w:t>:</w:t>
      </w:r>
    </w:p>
    <w:p w14:paraId="6F009CC9" w14:textId="4E54EE88" w:rsidR="00694AA0" w:rsidRPr="009B5195" w:rsidRDefault="005B22BA">
      <w:pPr>
        <w:tabs>
          <w:tab w:val="left" w:pos="2745"/>
        </w:tabs>
        <w:spacing w:before="240" w:after="240"/>
        <w:ind w:left="851" w:right="900"/>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r w:rsidR="007728C9" w:rsidRPr="009B5195">
        <w:rPr>
          <w:rFonts w:ascii="Palatino Linotype" w:eastAsia="Palatino Linotype" w:hAnsi="Palatino Linotype" w:cs="Palatino Linotype"/>
          <w:i/>
          <w:sz w:val="22"/>
          <w:szCs w:val="22"/>
        </w:rPr>
        <w:t xml:space="preserve">Se me negó la entrega del citatorio de fecha 7 de marzo de 2024, que se menciona en el Oficio DMAyE/ECA/506/2024, suscrito por el Ciudadano C.P. Ángel Amador Arenas, Encargado del Despacho de la Dirección de Medio Ambiente y Ecología, ya que pueden entregarlo en su VERSION PUBLICA, ya que son </w:t>
      </w:r>
      <w:r w:rsidR="007728C9" w:rsidRPr="009B5195">
        <w:rPr>
          <w:rFonts w:ascii="Palatino Linotype" w:eastAsia="Palatino Linotype" w:hAnsi="Palatino Linotype" w:cs="Palatino Linotype"/>
          <w:i/>
          <w:sz w:val="22"/>
          <w:szCs w:val="22"/>
        </w:rPr>
        <w:lastRenderedPageBreak/>
        <w:t>DOCUMENTOS PUBLICOS, pero la Dirección de Medio Ambiente y Ecología, se sigue manejando con OPACIDAD.</w:t>
      </w:r>
      <w:r w:rsidR="00D74224" w:rsidRPr="009B5195">
        <w:rPr>
          <w:rFonts w:ascii="Palatino Linotype" w:eastAsia="Palatino Linotype" w:hAnsi="Palatino Linotype" w:cs="Palatino Linotype"/>
          <w:i/>
          <w:sz w:val="22"/>
          <w:szCs w:val="22"/>
        </w:rPr>
        <w:t xml:space="preserve">” </w:t>
      </w:r>
      <w:r w:rsidRPr="009B5195">
        <w:rPr>
          <w:rFonts w:ascii="Palatino Linotype" w:eastAsia="Palatino Linotype" w:hAnsi="Palatino Linotype" w:cs="Palatino Linotype"/>
          <w:i/>
          <w:sz w:val="22"/>
          <w:szCs w:val="22"/>
        </w:rPr>
        <w:t>(sic)</w:t>
      </w:r>
    </w:p>
    <w:p w14:paraId="058BB2CD" w14:textId="77777777" w:rsidR="00694AA0" w:rsidRPr="009B5195" w:rsidRDefault="005B22BA">
      <w:pPr>
        <w:spacing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 xml:space="preserve">4. Turno. </w:t>
      </w:r>
      <w:r w:rsidRPr="009B5195">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9B5195">
        <w:rPr>
          <w:rFonts w:ascii="Palatino Linotype" w:eastAsia="Palatino Linotype" w:hAnsi="Palatino Linotype" w:cs="Palatino Linotype"/>
          <w:b/>
          <w:sz w:val="22"/>
          <w:szCs w:val="22"/>
        </w:rPr>
        <w:t xml:space="preserve">Guadalupe Ramírez Peña, </w:t>
      </w:r>
      <w:r w:rsidRPr="009B5195">
        <w:rPr>
          <w:rFonts w:ascii="Palatino Linotype" w:eastAsia="Palatino Linotype" w:hAnsi="Palatino Linotype" w:cs="Palatino Linotype"/>
          <w:sz w:val="22"/>
          <w:szCs w:val="22"/>
        </w:rPr>
        <w:t>a efecto de que analizara sobre su admisión o su desechamiento.</w:t>
      </w:r>
    </w:p>
    <w:p w14:paraId="5B57059D" w14:textId="64848A16" w:rsidR="00694AA0" w:rsidRPr="009B5195" w:rsidRDefault="005B22BA" w:rsidP="00ED519E">
      <w:pPr>
        <w:spacing w:before="240" w:after="240" w:line="360" w:lineRule="auto"/>
        <w:jc w:val="both"/>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5. Admisión del Recurso de revisión.</w:t>
      </w:r>
      <w:r w:rsidRPr="009B5195">
        <w:rPr>
          <w:rFonts w:ascii="Palatino Linotype" w:eastAsia="Palatino Linotype" w:hAnsi="Palatino Linotype" w:cs="Palatino Linotype"/>
          <w:sz w:val="22"/>
          <w:szCs w:val="22"/>
        </w:rPr>
        <w:t xml:space="preserve"> El</w:t>
      </w:r>
      <w:r w:rsidRPr="009B5195">
        <w:rPr>
          <w:rFonts w:ascii="Palatino Linotype" w:eastAsia="Palatino Linotype" w:hAnsi="Palatino Linotype" w:cs="Palatino Linotype"/>
          <w:b/>
          <w:sz w:val="22"/>
          <w:szCs w:val="22"/>
        </w:rPr>
        <w:t xml:space="preserve"> </w:t>
      </w:r>
      <w:r w:rsidR="007728C9" w:rsidRPr="009B5195">
        <w:rPr>
          <w:rFonts w:ascii="Palatino Linotype" w:eastAsia="Palatino Linotype" w:hAnsi="Palatino Linotype" w:cs="Palatino Linotype"/>
          <w:b/>
          <w:sz w:val="22"/>
          <w:szCs w:val="22"/>
        </w:rPr>
        <w:t xml:space="preserve">dos de diciembre de dos mil </w:t>
      </w:r>
      <w:r w:rsidR="005B676A" w:rsidRPr="009B5195">
        <w:rPr>
          <w:rFonts w:ascii="Palatino Linotype" w:eastAsia="Palatino Linotype" w:hAnsi="Palatino Linotype" w:cs="Palatino Linotype"/>
          <w:b/>
          <w:sz w:val="22"/>
          <w:szCs w:val="22"/>
        </w:rPr>
        <w:t>veinticinco,</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presentara su informe justificado.</w:t>
      </w:r>
    </w:p>
    <w:p w14:paraId="236329A4" w14:textId="77777777" w:rsidR="00D761B4" w:rsidRPr="009B5195" w:rsidRDefault="005B22BA" w:rsidP="00D761B4">
      <w:pPr>
        <w:widowControl w:val="0"/>
        <w:spacing w:before="240" w:after="240"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9B5195">
        <w:rPr>
          <w:rFonts w:ascii="Palatino Linotype" w:eastAsia="Palatino Linotype" w:hAnsi="Palatino Linotype" w:cs="Palatino Linotype"/>
          <w:b/>
          <w:sz w:val="22"/>
          <w:szCs w:val="22"/>
        </w:rPr>
        <w:t>6. Manifestaciones</w:t>
      </w:r>
      <w:r w:rsidRPr="009B5195">
        <w:rPr>
          <w:rFonts w:ascii="Palatino Linotype" w:eastAsia="Palatino Linotype" w:hAnsi="Palatino Linotype" w:cs="Palatino Linotype"/>
          <w:sz w:val="22"/>
          <w:szCs w:val="22"/>
        </w:rPr>
        <w:t xml:space="preserve">. </w:t>
      </w:r>
      <w:r w:rsidR="00263FE8" w:rsidRPr="009B5195">
        <w:rPr>
          <w:rFonts w:ascii="Palatino Linotype" w:eastAsia="Palatino Linotype" w:hAnsi="Palatino Linotype" w:cs="Palatino Linotype"/>
          <w:sz w:val="22"/>
          <w:szCs w:val="22"/>
        </w:rPr>
        <w:t xml:space="preserve">El </w:t>
      </w:r>
      <w:r w:rsidR="00263FE8" w:rsidRPr="009B5195">
        <w:rPr>
          <w:rFonts w:ascii="Palatino Linotype" w:eastAsia="Palatino Linotype" w:hAnsi="Palatino Linotype" w:cs="Palatino Linotype"/>
          <w:b/>
          <w:sz w:val="22"/>
          <w:szCs w:val="22"/>
        </w:rPr>
        <w:t xml:space="preserve">tres de </w:t>
      </w:r>
      <w:r w:rsidR="005B676A" w:rsidRPr="009B5195">
        <w:rPr>
          <w:rFonts w:ascii="Palatino Linotype" w:eastAsia="Palatino Linotype" w:hAnsi="Palatino Linotype" w:cs="Palatino Linotype"/>
          <w:b/>
          <w:sz w:val="22"/>
          <w:szCs w:val="22"/>
        </w:rPr>
        <w:t xml:space="preserve">diciembre de </w:t>
      </w:r>
      <w:r w:rsidR="00D761B4" w:rsidRPr="009B5195">
        <w:rPr>
          <w:rFonts w:ascii="Palatino Linotype" w:eastAsia="Palatino Linotype" w:hAnsi="Palatino Linotype" w:cs="Palatino Linotype"/>
          <w:b/>
          <w:sz w:val="22"/>
          <w:szCs w:val="22"/>
        </w:rPr>
        <w:t xml:space="preserve">dos mil veinticinco, </w:t>
      </w:r>
      <w:r w:rsidR="00D761B4" w:rsidRPr="009B5195">
        <w:rPr>
          <w:rFonts w:ascii="Palatino Linotype" w:eastAsia="Palatino Linotype" w:hAnsi="Palatino Linotype" w:cs="Palatino Linotype"/>
          <w:sz w:val="22"/>
          <w:szCs w:val="22"/>
        </w:rPr>
        <w:t xml:space="preserve">el </w:t>
      </w:r>
      <w:r w:rsidR="00D761B4" w:rsidRPr="009B5195">
        <w:rPr>
          <w:rFonts w:ascii="Palatino Linotype" w:eastAsia="Palatino Linotype" w:hAnsi="Palatino Linotype" w:cs="Palatino Linotype"/>
          <w:b/>
          <w:sz w:val="22"/>
          <w:szCs w:val="22"/>
        </w:rPr>
        <w:t>Sujeto Obligado</w:t>
      </w:r>
      <w:r w:rsidR="00D761B4" w:rsidRPr="009B5195">
        <w:rPr>
          <w:rFonts w:ascii="Palatino Linotype" w:eastAsia="Palatino Linotype" w:hAnsi="Palatino Linotype" w:cs="Palatino Linotype"/>
          <w:sz w:val="22"/>
          <w:szCs w:val="22"/>
        </w:rPr>
        <w:t xml:space="preserve"> remitió, a través de SAIMEX, du informe justificado, mediante el cual ratificó en lo sustancial la respuesta proporcionada en primera instancia.</w:t>
      </w:r>
    </w:p>
    <w:p w14:paraId="325DA203" w14:textId="3669F160" w:rsidR="004D5C20" w:rsidRPr="009B5195" w:rsidRDefault="004D5C20" w:rsidP="004D5C20">
      <w:pPr>
        <w:widowControl w:val="0"/>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Dicha información se hizo del conocimiento de la persona solicitante a efecto de que manifestara lo que a s</w:t>
      </w:r>
      <w:r w:rsidR="0026479F" w:rsidRPr="009B5195">
        <w:rPr>
          <w:rFonts w:ascii="Palatino Linotype" w:eastAsia="Palatino Linotype" w:hAnsi="Palatino Linotype" w:cs="Palatino Linotype"/>
          <w:sz w:val="22"/>
          <w:szCs w:val="22"/>
        </w:rPr>
        <w:t xml:space="preserve">u derecho estimara conveniente, por consiguiente, el </w:t>
      </w:r>
      <w:r w:rsidR="0026479F" w:rsidRPr="009B5195">
        <w:rPr>
          <w:rFonts w:ascii="Palatino Linotype" w:eastAsia="Palatino Linotype" w:hAnsi="Palatino Linotype" w:cs="Palatino Linotype"/>
          <w:b/>
          <w:sz w:val="22"/>
          <w:szCs w:val="22"/>
        </w:rPr>
        <w:t xml:space="preserve">dieciséis de febrero de dos mil veinticinco, </w:t>
      </w:r>
      <w:r w:rsidR="0026479F" w:rsidRPr="009B5195">
        <w:rPr>
          <w:rFonts w:ascii="Palatino Linotype" w:eastAsia="Palatino Linotype" w:hAnsi="Palatino Linotype" w:cs="Palatino Linotype"/>
          <w:sz w:val="22"/>
          <w:szCs w:val="22"/>
        </w:rPr>
        <w:t xml:space="preserve">la parte </w:t>
      </w:r>
      <w:r w:rsidR="0026479F" w:rsidRPr="009B5195">
        <w:rPr>
          <w:rFonts w:ascii="Palatino Linotype" w:eastAsia="Palatino Linotype" w:hAnsi="Palatino Linotype" w:cs="Palatino Linotype"/>
          <w:b/>
          <w:sz w:val="22"/>
          <w:szCs w:val="22"/>
        </w:rPr>
        <w:t xml:space="preserve">Recurrente </w:t>
      </w:r>
      <w:r w:rsidR="00FD24EC" w:rsidRPr="009B5195">
        <w:rPr>
          <w:rFonts w:ascii="Palatino Linotype" w:eastAsia="Palatino Linotype" w:hAnsi="Palatino Linotype" w:cs="Palatino Linotype"/>
          <w:sz w:val="22"/>
          <w:szCs w:val="22"/>
        </w:rPr>
        <w:t>reiteró en sus términos sus motivos de inconformidad.</w:t>
      </w:r>
    </w:p>
    <w:p w14:paraId="541C45D2" w14:textId="3DA7016F" w:rsidR="0092492E" w:rsidRPr="009B5195" w:rsidRDefault="00AD444D" w:rsidP="0092492E">
      <w:pPr>
        <w:spacing w:before="240" w:after="240" w:line="360" w:lineRule="auto"/>
        <w:jc w:val="both"/>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7</w:t>
      </w:r>
      <w:r w:rsidR="00DB513A" w:rsidRPr="009B5195">
        <w:rPr>
          <w:rFonts w:ascii="Palatino Linotype" w:eastAsia="Palatino Linotype" w:hAnsi="Palatino Linotype" w:cs="Palatino Linotype"/>
          <w:b/>
          <w:sz w:val="22"/>
          <w:szCs w:val="22"/>
        </w:rPr>
        <w:t>.</w:t>
      </w:r>
      <w:r w:rsidR="005F4F51" w:rsidRPr="009B5195">
        <w:rPr>
          <w:rFonts w:ascii="Palatino Linotype" w:eastAsia="Palatino Linotype" w:hAnsi="Palatino Linotype" w:cs="Palatino Linotype"/>
          <w:b/>
          <w:sz w:val="22"/>
          <w:szCs w:val="22"/>
        </w:rPr>
        <w:t xml:space="preserve"> </w:t>
      </w:r>
      <w:r w:rsidR="0092492E" w:rsidRPr="009B5195">
        <w:rPr>
          <w:rFonts w:ascii="Palatino Linotype" w:eastAsia="Palatino Linotype" w:hAnsi="Palatino Linotype" w:cs="Palatino Linotype"/>
          <w:b/>
          <w:sz w:val="22"/>
          <w:szCs w:val="22"/>
        </w:rPr>
        <w:t>Ampliación del término para resolver</w:t>
      </w:r>
      <w:r w:rsidR="0092492E" w:rsidRPr="009B5195">
        <w:rPr>
          <w:rFonts w:ascii="Palatino Linotype" w:eastAsia="Palatino Linotype" w:hAnsi="Palatino Linotype" w:cs="Palatino Linotype"/>
          <w:sz w:val="22"/>
          <w:szCs w:val="22"/>
        </w:rPr>
        <w:t xml:space="preserve">. El </w:t>
      </w:r>
      <w:r w:rsidR="0092492E" w:rsidRPr="009B5195">
        <w:rPr>
          <w:rFonts w:ascii="Palatino Linotype" w:eastAsia="Palatino Linotype" w:hAnsi="Palatino Linotype" w:cs="Palatino Linotype"/>
          <w:b/>
          <w:sz w:val="22"/>
          <w:szCs w:val="22"/>
        </w:rPr>
        <w:t>diecinueve de febrero de dos mil veintiséis</w:t>
      </w:r>
      <w:r w:rsidR="0092492E" w:rsidRPr="009B5195">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6F2DFA86" w14:textId="6BF1AABC" w:rsidR="005F4F51" w:rsidRPr="009B5195" w:rsidRDefault="002B4799" w:rsidP="005F4F51">
      <w:pPr>
        <w:widowControl w:val="0"/>
        <w:spacing w:before="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 xml:space="preserve">8. </w:t>
      </w:r>
      <w:r w:rsidR="005F4F51" w:rsidRPr="009B5195">
        <w:rPr>
          <w:rFonts w:ascii="Palatino Linotype" w:eastAsia="Palatino Linotype" w:hAnsi="Palatino Linotype" w:cs="Palatino Linotype"/>
          <w:b/>
          <w:sz w:val="22"/>
          <w:szCs w:val="22"/>
        </w:rPr>
        <w:t xml:space="preserve">Cierre de instrucción. </w:t>
      </w:r>
      <w:r w:rsidR="005F4F51" w:rsidRPr="009B5195">
        <w:rPr>
          <w:rFonts w:ascii="Palatino Linotype" w:eastAsia="Palatino Linotype" w:hAnsi="Palatino Linotype" w:cs="Palatino Linotype"/>
          <w:sz w:val="22"/>
          <w:szCs w:val="22"/>
        </w:rPr>
        <w:t>Una vez transcurrido el periodo otorgado a las partes para realizar sus manifestaciones y no habiendo documentos</w:t>
      </w:r>
      <w:r w:rsidR="00370738" w:rsidRPr="009B5195">
        <w:rPr>
          <w:rFonts w:ascii="Palatino Linotype" w:eastAsia="Palatino Linotype" w:hAnsi="Palatino Linotype" w:cs="Palatino Linotype"/>
          <w:sz w:val="22"/>
          <w:szCs w:val="22"/>
        </w:rPr>
        <w:t xml:space="preserve"> que integrar al expediente, el </w:t>
      </w:r>
      <w:r w:rsidR="007902B4" w:rsidRPr="009B5195">
        <w:rPr>
          <w:rFonts w:ascii="Palatino Linotype" w:eastAsia="Palatino Linotype" w:hAnsi="Palatino Linotype" w:cs="Palatino Linotype"/>
          <w:b/>
          <w:sz w:val="22"/>
          <w:szCs w:val="22"/>
        </w:rPr>
        <w:t>veinticinco</w:t>
      </w:r>
      <w:r w:rsidR="00463F0F" w:rsidRPr="009B5195">
        <w:rPr>
          <w:rFonts w:ascii="Palatino Linotype" w:eastAsia="Palatino Linotype" w:hAnsi="Palatino Linotype" w:cs="Palatino Linotype"/>
          <w:b/>
          <w:sz w:val="22"/>
          <w:szCs w:val="22"/>
        </w:rPr>
        <w:t xml:space="preserve"> de </w:t>
      </w:r>
      <w:r w:rsidR="004D5C20" w:rsidRPr="009B5195">
        <w:rPr>
          <w:rFonts w:ascii="Palatino Linotype" w:eastAsia="Palatino Linotype" w:hAnsi="Palatino Linotype" w:cs="Palatino Linotype"/>
          <w:b/>
          <w:sz w:val="22"/>
          <w:szCs w:val="22"/>
        </w:rPr>
        <w:t xml:space="preserve">febrero </w:t>
      </w:r>
      <w:r w:rsidR="00C87B6B" w:rsidRPr="009B5195">
        <w:rPr>
          <w:rFonts w:ascii="Palatino Linotype" w:eastAsia="Palatino Linotype" w:hAnsi="Palatino Linotype" w:cs="Palatino Linotype"/>
          <w:b/>
          <w:sz w:val="22"/>
          <w:szCs w:val="22"/>
        </w:rPr>
        <w:t xml:space="preserve"> </w:t>
      </w:r>
      <w:r w:rsidR="005F4F51" w:rsidRPr="009B5195">
        <w:rPr>
          <w:rFonts w:ascii="Palatino Linotype" w:eastAsia="Palatino Linotype" w:hAnsi="Palatino Linotype" w:cs="Palatino Linotype"/>
          <w:b/>
          <w:sz w:val="22"/>
          <w:szCs w:val="22"/>
        </w:rPr>
        <w:t xml:space="preserve">de dos mil </w:t>
      </w:r>
      <w:r w:rsidR="002A6516" w:rsidRPr="009B5195">
        <w:rPr>
          <w:rFonts w:ascii="Palatino Linotype" w:eastAsia="Palatino Linotype" w:hAnsi="Palatino Linotype" w:cs="Palatino Linotype"/>
          <w:b/>
          <w:sz w:val="22"/>
          <w:szCs w:val="22"/>
        </w:rPr>
        <w:t>veintiséis</w:t>
      </w:r>
      <w:r w:rsidR="005F4F51" w:rsidRPr="009B5195">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w:t>
      </w:r>
      <w:r w:rsidR="007902B4" w:rsidRPr="009B5195">
        <w:rPr>
          <w:rFonts w:ascii="Palatino Linotype" w:eastAsia="Palatino Linotype" w:hAnsi="Palatino Linotype" w:cs="Palatino Linotype"/>
          <w:sz w:val="22"/>
          <w:szCs w:val="22"/>
        </w:rPr>
        <w:t xml:space="preserve">l Estado de México y Municipios, el cual se tuvo por notificado el veintisiete de febrero de dos mil veintiséis. </w:t>
      </w:r>
    </w:p>
    <w:p w14:paraId="3632DFE2"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8C3A9B5" w14:textId="77777777" w:rsidR="00694AA0" w:rsidRPr="009B5195" w:rsidRDefault="005B22BA">
      <w:pPr>
        <w:widowControl w:val="0"/>
        <w:spacing w:before="240" w:after="240" w:line="360" w:lineRule="auto"/>
        <w:jc w:val="center"/>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II. C O N S I D E R A N D O S</w:t>
      </w:r>
    </w:p>
    <w:p w14:paraId="65525EF7" w14:textId="60C8B49A"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Primero. Competencia.</w:t>
      </w:r>
      <w:r w:rsidRPr="009B519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w:t>
      </w:r>
      <w:r w:rsidR="008E0B27" w:rsidRPr="009B5195">
        <w:rPr>
          <w:rFonts w:ascii="Palatino Linotype" w:eastAsia="Palatino Linotype" w:hAnsi="Palatino Linotype" w:cs="Palatino Linotype"/>
          <w:sz w:val="22"/>
          <w:szCs w:val="22"/>
        </w:rPr>
        <w:t>cuarto, cuadragésimo quinto y cuadragésimo sexto</w:t>
      </w:r>
      <w:r w:rsidRPr="009B5195">
        <w:rPr>
          <w:rFonts w:ascii="Palatino Linotype" w:eastAsia="Palatino Linotype" w:hAnsi="Palatino Linotype" w:cs="Palatino Linotype"/>
          <w:sz w:val="22"/>
          <w:szCs w:val="22"/>
        </w:rPr>
        <w:t xml:space="preserve">, fracciones IV y V de la Constitución Política del Estado Libre y Soberano de México; </w:t>
      </w:r>
      <w:r w:rsidR="00BE3EF4" w:rsidRPr="009B5195">
        <w:rPr>
          <w:rFonts w:ascii="Palatino Linotype" w:eastAsia="Palatino Linotype" w:hAnsi="Palatino Linotype" w:cs="Palatino Linotype"/>
          <w:sz w:val="22"/>
          <w:szCs w:val="22"/>
        </w:rPr>
        <w:t xml:space="preserve">transitorio Cuarto del Decreto número 198 de la “LXII” Legislatura del Estado de México; </w:t>
      </w:r>
      <w:r w:rsidRPr="009B5195">
        <w:rPr>
          <w:rFonts w:ascii="Palatino Linotype" w:eastAsia="Palatino Linotype" w:hAnsi="Palatino Linotype" w:cs="Palatino Linotype"/>
          <w:sz w:val="22"/>
          <w:szCs w:val="22"/>
        </w:rPr>
        <w:t>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4121E3F"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bookmarkStart w:id="6" w:name="_heading=h.tyjcwt" w:colFirst="0" w:colLast="0"/>
      <w:bookmarkEnd w:id="6"/>
      <w:r w:rsidRPr="009B5195">
        <w:rPr>
          <w:rFonts w:ascii="Palatino Linotype" w:eastAsia="Palatino Linotype" w:hAnsi="Palatino Linotype" w:cs="Palatino Linotype"/>
          <w:b/>
          <w:sz w:val="22"/>
          <w:szCs w:val="22"/>
        </w:rPr>
        <w:t>Segundo. Oportunidad y Procedibilidad del Recurso de Revisión</w:t>
      </w:r>
      <w:r w:rsidRPr="009B5195">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661F1BAB" w14:textId="0312AC03"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 xml:space="preserve">remitió la respuesta a la solicitud de información el día </w:t>
      </w:r>
      <w:r w:rsidR="00B177E5" w:rsidRPr="009B5195">
        <w:rPr>
          <w:rFonts w:ascii="Palatino Linotype" w:eastAsia="Palatino Linotype" w:hAnsi="Palatino Linotype" w:cs="Palatino Linotype"/>
          <w:b/>
          <w:sz w:val="22"/>
          <w:szCs w:val="22"/>
        </w:rPr>
        <w:t>once de noviembre</w:t>
      </w:r>
      <w:r w:rsidR="00370738" w:rsidRPr="009B5195">
        <w:rPr>
          <w:rFonts w:ascii="Palatino Linotype" w:eastAsia="Palatino Linotype" w:hAnsi="Palatino Linotype" w:cs="Palatino Linotype"/>
          <w:b/>
          <w:sz w:val="22"/>
          <w:szCs w:val="22"/>
        </w:rPr>
        <w:t xml:space="preserve"> de dos mil veinti</w:t>
      </w:r>
      <w:r w:rsidR="00B177E5" w:rsidRPr="009B5195">
        <w:rPr>
          <w:rFonts w:ascii="Palatino Linotype" w:eastAsia="Palatino Linotype" w:hAnsi="Palatino Linotype" w:cs="Palatino Linotype"/>
          <w:b/>
          <w:sz w:val="22"/>
          <w:szCs w:val="22"/>
        </w:rPr>
        <w:t>cinco</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mientras que el recurso de revisión interpuesto por la parte </w:t>
      </w:r>
      <w:r w:rsidRPr="009B5195">
        <w:rPr>
          <w:rFonts w:ascii="Palatino Linotype" w:eastAsia="Palatino Linotype" w:hAnsi="Palatino Linotype" w:cs="Palatino Linotype"/>
          <w:b/>
          <w:sz w:val="22"/>
          <w:szCs w:val="22"/>
        </w:rPr>
        <w:t xml:space="preserve">Recurrente, </w:t>
      </w:r>
      <w:r w:rsidRPr="009B5195">
        <w:rPr>
          <w:rFonts w:ascii="Palatino Linotype" w:eastAsia="Palatino Linotype" w:hAnsi="Palatino Linotype" w:cs="Palatino Linotype"/>
          <w:sz w:val="22"/>
          <w:szCs w:val="22"/>
        </w:rPr>
        <w:t>se tuvo por presentado el día</w:t>
      </w:r>
      <w:r w:rsidRPr="009B5195">
        <w:rPr>
          <w:rFonts w:ascii="Palatino Linotype" w:eastAsia="Palatino Linotype" w:hAnsi="Palatino Linotype" w:cs="Palatino Linotype"/>
          <w:b/>
          <w:sz w:val="22"/>
          <w:szCs w:val="22"/>
        </w:rPr>
        <w:t xml:space="preserve"> </w:t>
      </w:r>
      <w:r w:rsidR="00B177E5" w:rsidRPr="009B5195">
        <w:rPr>
          <w:rFonts w:ascii="Palatino Linotype" w:eastAsia="Palatino Linotype" w:hAnsi="Palatino Linotype" w:cs="Palatino Linotype"/>
          <w:b/>
          <w:sz w:val="22"/>
          <w:szCs w:val="22"/>
        </w:rPr>
        <w:t>veintisiete de noviembre</w:t>
      </w:r>
      <w:r w:rsidR="00133291" w:rsidRPr="009B5195">
        <w:rPr>
          <w:rFonts w:ascii="Palatino Linotype" w:eastAsia="Palatino Linotype" w:hAnsi="Palatino Linotype" w:cs="Palatino Linotype"/>
          <w:b/>
          <w:sz w:val="22"/>
          <w:szCs w:val="22"/>
        </w:rPr>
        <w:t xml:space="preserve"> de dos mil </w:t>
      </w:r>
      <w:r w:rsidR="00370738" w:rsidRPr="009B5195">
        <w:rPr>
          <w:rFonts w:ascii="Palatino Linotype" w:eastAsia="Palatino Linotype" w:hAnsi="Palatino Linotype" w:cs="Palatino Linotype"/>
          <w:b/>
          <w:sz w:val="22"/>
          <w:szCs w:val="22"/>
        </w:rPr>
        <w:t>veinti</w:t>
      </w:r>
      <w:r w:rsidR="00B177E5" w:rsidRPr="009B5195">
        <w:rPr>
          <w:rFonts w:ascii="Palatino Linotype" w:eastAsia="Palatino Linotype" w:hAnsi="Palatino Linotype" w:cs="Palatino Linotype"/>
          <w:b/>
          <w:sz w:val="22"/>
          <w:szCs w:val="22"/>
        </w:rPr>
        <w:t>cinco</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esto es, </w:t>
      </w:r>
      <w:r w:rsidR="009711CB" w:rsidRPr="009B5195">
        <w:rPr>
          <w:rFonts w:ascii="Palatino Linotype" w:eastAsia="Palatino Linotype" w:hAnsi="Palatino Linotype" w:cs="Palatino Linotype"/>
          <w:sz w:val="22"/>
          <w:szCs w:val="22"/>
        </w:rPr>
        <w:t xml:space="preserve">al </w:t>
      </w:r>
      <w:r w:rsidR="00B177E5" w:rsidRPr="009B5195">
        <w:rPr>
          <w:rFonts w:ascii="Palatino Linotype" w:eastAsia="Palatino Linotype" w:hAnsi="Palatino Linotype" w:cs="Palatino Linotype"/>
          <w:sz w:val="22"/>
          <w:szCs w:val="22"/>
        </w:rPr>
        <w:t>décimo primer día</w:t>
      </w:r>
      <w:r w:rsidR="00C1140A" w:rsidRPr="009B5195">
        <w:rPr>
          <w:rFonts w:ascii="Palatino Linotype" w:eastAsia="Palatino Linotype" w:hAnsi="Palatino Linotype" w:cs="Palatino Linotype"/>
          <w:sz w:val="22"/>
          <w:szCs w:val="22"/>
        </w:rPr>
        <w:t xml:space="preserve"> hábil posterior a</w:t>
      </w:r>
      <w:r w:rsidRPr="009B5195">
        <w:rPr>
          <w:rFonts w:ascii="Palatino Linotype" w:eastAsia="Palatino Linotype" w:hAnsi="Palatino Linotype" w:cs="Palatino Linotype"/>
          <w:sz w:val="22"/>
          <w:szCs w:val="22"/>
        </w:rPr>
        <w:t xml:space="preserve"> aquel en el que tuvo conocimiento de la respuesta impugnada. En este sentido, se concluye que el presente recurso de revisión se encuentra dentro de los márgenes temporales previstos en las disposiciones legales referidas.</w:t>
      </w:r>
    </w:p>
    <w:p w14:paraId="1F56F7F6" w14:textId="77777777" w:rsidR="00C00558" w:rsidRPr="009B5195" w:rsidRDefault="00C00558" w:rsidP="00C00558">
      <w:pPr>
        <w:tabs>
          <w:tab w:val="left" w:pos="7938"/>
        </w:tabs>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2DB43ED9" w14:textId="357D8530" w:rsidR="006E155A" w:rsidRPr="009B5195" w:rsidRDefault="005B22BA" w:rsidP="006E155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xml:space="preserve"> en sus motivos de inconformidad, de acuerdo al artículo 179, </w:t>
      </w:r>
      <w:r w:rsidR="00C00558" w:rsidRPr="009B5195">
        <w:rPr>
          <w:rFonts w:ascii="Palatino Linotype" w:eastAsia="Palatino Linotype" w:hAnsi="Palatino Linotype" w:cs="Palatino Linotype"/>
          <w:sz w:val="22"/>
          <w:szCs w:val="22"/>
        </w:rPr>
        <w:t>f</w:t>
      </w:r>
      <w:r w:rsidR="00133291" w:rsidRPr="009B5195">
        <w:rPr>
          <w:rFonts w:ascii="Palatino Linotype" w:eastAsia="Palatino Linotype" w:hAnsi="Palatino Linotype" w:cs="Palatino Linotype"/>
          <w:sz w:val="22"/>
          <w:szCs w:val="22"/>
        </w:rPr>
        <w:t xml:space="preserve">racción </w:t>
      </w:r>
      <w:r w:rsidR="004D1FF5" w:rsidRPr="009B5195">
        <w:rPr>
          <w:rFonts w:ascii="Palatino Linotype" w:eastAsia="Palatino Linotype" w:hAnsi="Palatino Linotype" w:cs="Palatino Linotype"/>
          <w:sz w:val="22"/>
          <w:szCs w:val="22"/>
        </w:rPr>
        <w:t>I</w:t>
      </w:r>
      <w:r w:rsidR="00C00558" w:rsidRPr="009B5195">
        <w:rPr>
          <w:rFonts w:ascii="Palatino Linotype" w:eastAsia="Palatino Linotype" w:hAnsi="Palatino Linotype" w:cs="Palatino Linotype"/>
          <w:sz w:val="22"/>
          <w:szCs w:val="22"/>
        </w:rPr>
        <w:t xml:space="preserve"> </w:t>
      </w:r>
      <w:r w:rsidR="006E155A" w:rsidRPr="009B5195">
        <w:rPr>
          <w:rFonts w:ascii="Palatino Linotype" w:eastAsia="Palatino Linotype" w:hAnsi="Palatino Linotype" w:cs="Palatino Linotype"/>
          <w:sz w:val="22"/>
          <w:szCs w:val="22"/>
        </w:rPr>
        <w:t>del ordenamiento legal citado, que a la letra dice: </w:t>
      </w:r>
    </w:p>
    <w:p w14:paraId="76DBCF77" w14:textId="77777777" w:rsidR="006E155A" w:rsidRPr="009B5195" w:rsidRDefault="006E155A" w:rsidP="006E155A">
      <w:pPr>
        <w:tabs>
          <w:tab w:val="left" w:pos="7938"/>
        </w:tabs>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r w:rsidRPr="009B5195">
        <w:rPr>
          <w:rFonts w:ascii="Palatino Linotype" w:eastAsia="Palatino Linotype" w:hAnsi="Palatino Linotype" w:cs="Palatino Linotype"/>
          <w:b/>
          <w:i/>
          <w:sz w:val="22"/>
          <w:szCs w:val="22"/>
        </w:rPr>
        <w:t>Artículo 179.</w:t>
      </w:r>
      <w:r w:rsidRPr="009B5195">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57894972" w14:textId="659634EA" w:rsidR="006E155A" w:rsidRPr="009B5195" w:rsidRDefault="00A64F2B" w:rsidP="006E155A">
      <w:pPr>
        <w:tabs>
          <w:tab w:val="left" w:pos="7938"/>
        </w:tabs>
        <w:spacing w:before="120" w:after="120"/>
        <w:ind w:left="851" w:right="900"/>
        <w:jc w:val="both"/>
        <w:rPr>
          <w:rFonts w:ascii="Palatino Linotype" w:eastAsia="Palatino Linotype" w:hAnsi="Palatino Linotype" w:cs="Palatino Linotype"/>
          <w:i/>
          <w:sz w:val="22"/>
          <w:szCs w:val="22"/>
        </w:rPr>
      </w:pPr>
      <w:r w:rsidRPr="009B5195">
        <w:rPr>
          <w:rFonts w:ascii="Palatino Linotype" w:hAnsi="Palatino Linotype"/>
          <w:b/>
          <w:i/>
          <w:sz w:val="22"/>
          <w:szCs w:val="22"/>
        </w:rPr>
        <w:t>I</w:t>
      </w:r>
      <w:r w:rsidR="00561AA1" w:rsidRPr="009B5195">
        <w:rPr>
          <w:rFonts w:ascii="Palatino Linotype" w:hAnsi="Palatino Linotype"/>
          <w:b/>
          <w:i/>
          <w:sz w:val="22"/>
          <w:szCs w:val="22"/>
        </w:rPr>
        <w:t xml:space="preserve">. </w:t>
      </w:r>
      <w:r w:rsidR="004D1FF5" w:rsidRPr="009B5195">
        <w:rPr>
          <w:rFonts w:ascii="Palatino Linotype" w:hAnsi="Palatino Linotype"/>
          <w:i/>
          <w:sz w:val="22"/>
          <w:szCs w:val="22"/>
        </w:rPr>
        <w:t>La negativa a la información solicitada</w:t>
      </w:r>
      <w:r w:rsidR="00133291" w:rsidRPr="009B5195">
        <w:rPr>
          <w:rFonts w:ascii="Palatino Linotype" w:hAnsi="Palatino Linotype"/>
          <w:i/>
          <w:sz w:val="22"/>
          <w:szCs w:val="22"/>
        </w:rPr>
        <w:t>;</w:t>
      </w:r>
      <w:r w:rsidR="006E155A" w:rsidRPr="009B5195">
        <w:rPr>
          <w:rFonts w:ascii="Palatino Linotype" w:eastAsia="Palatino Linotype" w:hAnsi="Palatino Linotype" w:cs="Palatino Linotype"/>
          <w:i/>
          <w:sz w:val="22"/>
          <w:szCs w:val="22"/>
        </w:rPr>
        <w:t>”</w:t>
      </w:r>
    </w:p>
    <w:p w14:paraId="7B3D2575" w14:textId="77777777" w:rsidR="00694AA0" w:rsidRPr="009B5195" w:rsidRDefault="005B22BA">
      <w:pPr>
        <w:spacing w:before="240" w:after="240" w:line="360" w:lineRule="auto"/>
        <w:jc w:val="both"/>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 xml:space="preserve">Tercero. Materia de la revisión. </w:t>
      </w:r>
      <w:r w:rsidRPr="009B5195">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9B5195">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9B5195">
        <w:rPr>
          <w:rFonts w:ascii="Palatino Linotype" w:eastAsia="Palatino Linotype" w:hAnsi="Palatino Linotype" w:cs="Palatino Linotype"/>
          <w:sz w:val="22"/>
          <w:szCs w:val="22"/>
        </w:rPr>
        <w:t xml:space="preserve">de la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o en su defecto, en caso de ser procedente, ordenar la entrega de información.</w:t>
      </w:r>
    </w:p>
    <w:p w14:paraId="73D2F728"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bookmarkStart w:id="7" w:name="_heading=h.2et92p0" w:colFirst="0" w:colLast="0"/>
      <w:bookmarkEnd w:id="7"/>
      <w:r w:rsidRPr="009B5195">
        <w:rPr>
          <w:rFonts w:ascii="Palatino Linotype" w:eastAsia="Palatino Linotype" w:hAnsi="Palatino Linotype" w:cs="Palatino Linotype"/>
          <w:b/>
          <w:sz w:val="22"/>
          <w:szCs w:val="22"/>
        </w:rPr>
        <w:t xml:space="preserve">Cuarto. Estudio del asunto. </w:t>
      </w:r>
      <w:r w:rsidRPr="009B5195">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7F60AAE5" w14:textId="77777777" w:rsidR="00694AA0" w:rsidRPr="009B5195" w:rsidRDefault="005B22BA">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r w:rsidRPr="009B5195">
        <w:rPr>
          <w:rFonts w:ascii="Palatino Linotype" w:eastAsia="Palatino Linotype" w:hAnsi="Palatino Linotype" w:cs="Palatino Linotype"/>
          <w:b/>
          <w:i/>
          <w:sz w:val="22"/>
          <w:szCs w:val="22"/>
        </w:rPr>
        <w:t>Artículo 4</w:t>
      </w:r>
      <w:r w:rsidRPr="009B5195">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A890CA7" w14:textId="77777777" w:rsidR="00694AA0" w:rsidRPr="009B5195" w:rsidRDefault="005B22BA">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9B5195">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6B72714" w14:textId="77777777" w:rsidR="00694AA0" w:rsidRPr="009B5195" w:rsidRDefault="005B22BA">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9B5195">
        <w:rPr>
          <w:rFonts w:ascii="Palatino Linotype" w:eastAsia="Palatino Linotype" w:hAnsi="Palatino Linotype" w:cs="Palatino Linotype"/>
          <w:i/>
          <w:sz w:val="22"/>
          <w:szCs w:val="22"/>
        </w:rPr>
        <w:t>.”</w:t>
      </w:r>
    </w:p>
    <w:p w14:paraId="2B62FDE3"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FB2BC38" w14:textId="77777777" w:rsidR="00694AA0" w:rsidRPr="009B5195" w:rsidRDefault="005B22BA">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b/>
          <w:i/>
          <w:sz w:val="22"/>
          <w:szCs w:val="22"/>
        </w:rPr>
        <w:t>“Artículo 12.-</w:t>
      </w:r>
      <w:r w:rsidRPr="009B5195">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56EB6026" w14:textId="77777777" w:rsidR="00694AA0" w:rsidRPr="009B5195" w:rsidRDefault="005B22BA">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9B5195">
        <w:rPr>
          <w:rFonts w:ascii="Palatino Linotype" w:eastAsia="Palatino Linotype" w:hAnsi="Palatino Linotype" w:cs="Palatino Linotype"/>
          <w:i/>
          <w:sz w:val="22"/>
          <w:szCs w:val="22"/>
        </w:rPr>
        <w:t xml:space="preserve">. </w:t>
      </w:r>
      <w:r w:rsidRPr="009B5195">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ED4674D" w14:textId="77777777" w:rsidR="00694AA0" w:rsidRPr="009B5195" w:rsidRDefault="005B22BA">
      <w:pPr>
        <w:spacing w:before="240" w:after="240" w:line="360" w:lineRule="auto"/>
        <w:ind w:right="-93"/>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558BB21D" w14:textId="77777777" w:rsidR="00694AA0" w:rsidRPr="009B5195" w:rsidRDefault="005B22BA">
      <w:pPr>
        <w:spacing w:before="240" w:after="240" w:line="360" w:lineRule="auto"/>
        <w:jc w:val="both"/>
        <w:rPr>
          <w:rFonts w:ascii="Palatino Linotype" w:eastAsia="Palatino Linotype" w:hAnsi="Palatino Linotype" w:cs="Palatino Linotype"/>
          <w:b/>
          <w:sz w:val="22"/>
          <w:szCs w:val="22"/>
        </w:rPr>
      </w:pPr>
      <w:r w:rsidRPr="009B5195">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9B5195">
        <w:rPr>
          <w:rFonts w:ascii="Palatino Linotype" w:eastAsia="Palatino Linotype" w:hAnsi="Palatino Linotype" w:cs="Palatino Linotype"/>
          <w:b/>
          <w:sz w:val="22"/>
          <w:szCs w:val="22"/>
        </w:rPr>
        <w:t xml:space="preserve"> </w:t>
      </w:r>
    </w:p>
    <w:p w14:paraId="6B3CE4C4" w14:textId="77777777" w:rsidR="00694AA0" w:rsidRPr="009B5195" w:rsidRDefault="005B22BA">
      <w:pPr>
        <w:spacing w:before="120" w:after="120"/>
        <w:ind w:left="1134"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 xml:space="preserve"> “</w:t>
      </w:r>
      <w:r w:rsidRPr="009B5195">
        <w:rPr>
          <w:rFonts w:ascii="Palatino Linotype" w:eastAsia="Palatino Linotype" w:hAnsi="Palatino Linotype" w:cs="Palatino Linotype"/>
          <w:b/>
          <w:i/>
          <w:sz w:val="22"/>
          <w:szCs w:val="22"/>
        </w:rPr>
        <w:t>No existe obligación de elaborar documentos ad hoc para atender las solicitudes de acceso a la información.</w:t>
      </w:r>
      <w:r w:rsidRPr="009B5195">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A211211" w14:textId="77777777" w:rsidR="00694AA0" w:rsidRPr="009B5195" w:rsidRDefault="005B22BA">
      <w:pPr>
        <w:spacing w:before="120" w:after="12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1BEC828" w14:textId="77777777" w:rsidR="00694AA0" w:rsidRPr="009B5195" w:rsidRDefault="005B22BA">
      <w:pPr>
        <w:spacing w:before="120" w:after="12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F115FEE"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r w:rsidRPr="009B5195">
        <w:rPr>
          <w:rFonts w:ascii="Palatino Linotype" w:eastAsia="Palatino Linotype" w:hAnsi="Palatino Linotype" w:cs="Palatino Linotype"/>
          <w:b/>
          <w:i/>
          <w:sz w:val="22"/>
          <w:szCs w:val="22"/>
        </w:rPr>
        <w:t xml:space="preserve">Artículo 3. </w:t>
      </w:r>
      <w:r w:rsidRPr="009B5195">
        <w:rPr>
          <w:rFonts w:ascii="Palatino Linotype" w:eastAsia="Palatino Linotype" w:hAnsi="Palatino Linotype" w:cs="Palatino Linotype"/>
          <w:i/>
          <w:sz w:val="22"/>
          <w:szCs w:val="22"/>
        </w:rPr>
        <w:t>Para los efectos de la presente Ley se entenderá por:</w:t>
      </w:r>
    </w:p>
    <w:p w14:paraId="2899E630"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p>
    <w:p w14:paraId="332076D0"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b/>
          <w:i/>
          <w:sz w:val="22"/>
          <w:szCs w:val="22"/>
        </w:rPr>
        <w:t>XI. Documento:</w:t>
      </w:r>
      <w:r w:rsidRPr="009B5195">
        <w:rPr>
          <w:rFonts w:ascii="Palatino Linotype" w:eastAsia="Palatino Linotype" w:hAnsi="Palatino Linotype" w:cs="Palatino Linotype"/>
          <w:i/>
          <w:sz w:val="22"/>
          <w:szCs w:val="22"/>
        </w:rPr>
        <w:t xml:space="preserve"> Los expedientes, reportes, estudios, actas</w:t>
      </w:r>
      <w:r w:rsidRPr="009B5195">
        <w:rPr>
          <w:rFonts w:ascii="Palatino Linotype" w:eastAsia="Palatino Linotype" w:hAnsi="Palatino Linotype" w:cs="Palatino Linotype"/>
          <w:b/>
          <w:i/>
          <w:sz w:val="22"/>
          <w:szCs w:val="22"/>
        </w:rPr>
        <w:t>,</w:t>
      </w:r>
      <w:r w:rsidRPr="009B5195">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F7AC5F3"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24090AEB"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b/>
          <w:sz w:val="22"/>
          <w:szCs w:val="22"/>
        </w:rPr>
        <w:t>“</w:t>
      </w:r>
      <w:r w:rsidRPr="009B5195">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9B5195">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9F494CB"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6FCE4CD"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2EE230AA"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3671B955" w14:textId="77777777" w:rsidR="00694AA0" w:rsidRPr="009B5195" w:rsidRDefault="005B22BA" w:rsidP="00C00558">
      <w:pP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43DFC7F9" w14:textId="77777777" w:rsidR="00694AA0" w:rsidRPr="009B5195" w:rsidRDefault="005B22BA">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B0769FB" w14:textId="69DDF8DC"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En el mismo tenor, los artículos 6, apartado A, fracción I, de la Constitución Política de los Estados Unidos Mexicanos y 5, </w:t>
      </w:r>
      <w:r w:rsidR="00504FA2" w:rsidRPr="009B5195">
        <w:rPr>
          <w:rFonts w:ascii="Palatino Linotype" w:eastAsia="Palatino Linotype" w:hAnsi="Palatino Linotype" w:cs="Palatino Linotype"/>
          <w:sz w:val="22"/>
          <w:szCs w:val="22"/>
        </w:rPr>
        <w:t xml:space="preserve">párrafo cuadragésimo sexto, </w:t>
      </w:r>
      <w:r w:rsidRPr="009B5195">
        <w:rPr>
          <w:rFonts w:ascii="Palatino Linotype" w:eastAsia="Palatino Linotype" w:hAnsi="Palatino Linotype" w:cs="Palatino Linotype"/>
          <w:sz w:val="22"/>
          <w:szCs w:val="22"/>
        </w:rPr>
        <w:t>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243A8015" w14:textId="77777777" w:rsidR="00504FA2" w:rsidRPr="009B5195" w:rsidRDefault="005B22BA" w:rsidP="00504FA2">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xml:space="preserve"> requirió al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le proporcione, información consistente en lo siguiente:</w:t>
      </w:r>
    </w:p>
    <w:p w14:paraId="44F3D8AA" w14:textId="10483792" w:rsidR="00D25A09" w:rsidRPr="009B5195" w:rsidRDefault="00D25A09" w:rsidP="0013082E">
      <w:pPr>
        <w:spacing w:before="240" w:after="240" w:line="360" w:lineRule="auto"/>
        <w:ind w:left="284"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1. Copia certificada del citatorio del siete de marzo de dos mil veinticuatro, mencionado en el oficio DMAyE/ECA/506/2024, suscrito por el Encargado de Despacho de la Dirección de Medio Ambiente y Ecología.</w:t>
      </w:r>
    </w:p>
    <w:p w14:paraId="3F6D7011" w14:textId="492A60CD" w:rsidR="00212E14" w:rsidRPr="009B5195" w:rsidRDefault="00F53D4C" w:rsidP="00212E14">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En respuesta, por conducto de la Unidad de Transparencia</w:t>
      </w:r>
      <w:r w:rsidR="00D62902" w:rsidRPr="009B5195">
        <w:rPr>
          <w:rFonts w:ascii="Palatino Linotype" w:eastAsia="Palatino Linotype" w:hAnsi="Palatino Linotype" w:cs="Palatino Linotype"/>
          <w:sz w:val="22"/>
          <w:szCs w:val="22"/>
        </w:rPr>
        <w:t xml:space="preserve">, el </w:t>
      </w:r>
      <w:r w:rsidR="00D62902" w:rsidRPr="009B5195">
        <w:rPr>
          <w:rFonts w:ascii="Palatino Linotype" w:eastAsia="Palatino Linotype" w:hAnsi="Palatino Linotype" w:cs="Palatino Linotype"/>
          <w:b/>
          <w:sz w:val="22"/>
          <w:szCs w:val="22"/>
        </w:rPr>
        <w:t xml:space="preserve">Sujeto Obligado </w:t>
      </w:r>
      <w:r w:rsidR="00212E14" w:rsidRPr="009B5195">
        <w:rPr>
          <w:rFonts w:ascii="Palatino Linotype" w:eastAsia="Palatino Linotype" w:hAnsi="Palatino Linotype" w:cs="Palatino Linotype"/>
          <w:sz w:val="22"/>
          <w:szCs w:val="22"/>
        </w:rPr>
        <w:t>manifestó que la información requerida no corresponde al ejercicio del Derecho de Acceso a la Información sino al ejercicio de los Derechos ARCO (Acceso, Rectificación, Cancelación y Oposición) al tratamiento de datos personales, por lo que con fundamento en el artículo 112 de la Ley de Protección de Datos Personales en Posesión de Sujetos Obligados del Estado de México y Municipios, sugirió a la persona solicitante utilizar la vía correcta para ingresar la solitud de acceso, que es a través del sistema de Acceso, Rectificación, Cancelación y Oposición a datos personales, SARCOEM, que para que el requerimiento sea debidamente atendido.</w:t>
      </w:r>
    </w:p>
    <w:p w14:paraId="0430BCFE" w14:textId="4EAB4E98" w:rsidR="000F727F" w:rsidRPr="009B5195" w:rsidRDefault="000F727F" w:rsidP="00D71236">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Al no estar conforme con los términos de la respuesta proporcionada, la parte </w:t>
      </w:r>
      <w:r w:rsidRPr="009B5195">
        <w:rPr>
          <w:rFonts w:ascii="Palatino Linotype" w:eastAsia="Palatino Linotype" w:hAnsi="Palatino Linotype" w:cs="Palatino Linotype"/>
          <w:b/>
          <w:sz w:val="22"/>
          <w:szCs w:val="22"/>
        </w:rPr>
        <w:t xml:space="preserve">Recurrente </w:t>
      </w:r>
      <w:r w:rsidRPr="009B5195">
        <w:rPr>
          <w:rFonts w:ascii="Palatino Linotype" w:eastAsia="Palatino Linotype" w:hAnsi="Palatino Linotype" w:cs="Palatino Linotype"/>
          <w:sz w:val="22"/>
          <w:szCs w:val="22"/>
        </w:rPr>
        <w:t>interpuso el recurso de revisión que nos ocupa</w:t>
      </w:r>
      <w:r w:rsidR="001E0161" w:rsidRPr="009B5195">
        <w:rPr>
          <w:rFonts w:ascii="Palatino Linotype" w:eastAsia="Palatino Linotype" w:hAnsi="Palatino Linotype" w:cs="Palatino Linotype"/>
          <w:sz w:val="22"/>
          <w:szCs w:val="22"/>
        </w:rPr>
        <w:t>, donde alegó que le fue negada la información, al no haber hecho entrega del citatorio requerido, ya que el mismo puede ser entregado en versión pública.</w:t>
      </w:r>
    </w:p>
    <w:p w14:paraId="0C3211BA" w14:textId="2C4959E0" w:rsidR="000F727F" w:rsidRPr="009B5195" w:rsidRDefault="00AC70C7" w:rsidP="00D71236">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En la etapa de manifestaciones el </w:t>
      </w:r>
      <w:r w:rsidRPr="009B5195">
        <w:rPr>
          <w:rFonts w:ascii="Palatino Linotype" w:eastAsia="Palatino Linotype" w:hAnsi="Palatino Linotype" w:cs="Palatino Linotype"/>
          <w:b/>
          <w:sz w:val="22"/>
          <w:szCs w:val="22"/>
        </w:rPr>
        <w:t xml:space="preserve">Sujeto Obligado </w:t>
      </w:r>
      <w:r w:rsidR="00370719" w:rsidRPr="009B5195">
        <w:rPr>
          <w:rFonts w:ascii="Palatino Linotype" w:eastAsia="Palatino Linotype" w:hAnsi="Palatino Linotype" w:cs="Palatino Linotype"/>
          <w:sz w:val="22"/>
          <w:szCs w:val="22"/>
        </w:rPr>
        <w:t xml:space="preserve">ratificó en lo sustancial la respuesta proporcionada en primera instancia, mientras que la parte </w:t>
      </w:r>
      <w:r w:rsidR="00370719" w:rsidRPr="009B5195">
        <w:rPr>
          <w:rFonts w:ascii="Palatino Linotype" w:eastAsia="Palatino Linotype" w:hAnsi="Palatino Linotype" w:cs="Palatino Linotype"/>
          <w:b/>
          <w:sz w:val="22"/>
          <w:szCs w:val="22"/>
        </w:rPr>
        <w:t xml:space="preserve">Recurrente </w:t>
      </w:r>
      <w:r w:rsidR="00370719" w:rsidRPr="009B5195">
        <w:rPr>
          <w:rFonts w:ascii="Palatino Linotype" w:eastAsia="Palatino Linotype" w:hAnsi="Palatino Linotype" w:cs="Palatino Linotype"/>
          <w:sz w:val="22"/>
          <w:szCs w:val="22"/>
        </w:rPr>
        <w:t xml:space="preserve">reiteró en sus términos </w:t>
      </w:r>
      <w:r w:rsidR="00957318" w:rsidRPr="009B5195">
        <w:rPr>
          <w:rFonts w:ascii="Palatino Linotype" w:eastAsia="Palatino Linotype" w:hAnsi="Palatino Linotype" w:cs="Palatino Linotype"/>
          <w:sz w:val="22"/>
          <w:szCs w:val="22"/>
        </w:rPr>
        <w:t>sus motivos de inconformidad.</w:t>
      </w:r>
    </w:p>
    <w:p w14:paraId="6827328C" w14:textId="77777777" w:rsidR="00B21B75" w:rsidRPr="009B5195" w:rsidRDefault="00B21B75" w:rsidP="00B21B75">
      <w:pPr>
        <w:spacing w:before="280" w:after="28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Una vez establecidas las posturas de las partes, se procede al análisis del requerimiento de información, así como la información proporcionada por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 xml:space="preserve">en contraposición con el motivo de inconformidad alegado por la parte </w:t>
      </w:r>
      <w:r w:rsidRPr="009B5195">
        <w:rPr>
          <w:rFonts w:ascii="Palatino Linotype" w:eastAsia="Palatino Linotype" w:hAnsi="Palatino Linotype" w:cs="Palatino Linotype"/>
          <w:b/>
          <w:sz w:val="22"/>
          <w:szCs w:val="22"/>
        </w:rPr>
        <w:t xml:space="preserve">Recurrente, </w:t>
      </w:r>
      <w:r w:rsidRPr="009B5195">
        <w:rPr>
          <w:rFonts w:ascii="Palatino Linotype" w:eastAsia="Palatino Linotype" w:hAnsi="Palatino Linotype" w:cs="Palatino Linotype"/>
          <w:sz w:val="22"/>
          <w:szCs w:val="22"/>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42CB1B65" w14:textId="77777777" w:rsidR="00B21B75" w:rsidRPr="009B5195" w:rsidRDefault="00B21B75" w:rsidP="00B21B75">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En este tenor, en primer lugar cabe mencionar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w:t>
      </w:r>
    </w:p>
    <w:p w14:paraId="04E6D92C" w14:textId="77777777" w:rsidR="00B21B75" w:rsidRPr="009B5195" w:rsidRDefault="00B21B75" w:rsidP="00B21B75">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al servidor público habilitado que tiene bajo su resguardo la misma, de conformidad con los artículos 53, fracciones II y IV y 162 de la Ley de Transparencia y Acceso a la Información Pública del Estado de México y Municipios.</w:t>
      </w:r>
    </w:p>
    <w:p w14:paraId="27261A8B" w14:textId="77777777" w:rsidR="00B21B75" w:rsidRPr="009B5195" w:rsidRDefault="00B21B75" w:rsidP="00B21B75">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la Ley de Transparencia y Acceso a la Información Pública del Estado de México y Municipios.</w:t>
      </w:r>
    </w:p>
    <w:p w14:paraId="7BD50AC1" w14:textId="77777777" w:rsidR="00B21B75" w:rsidRPr="009B5195" w:rsidRDefault="00B21B75" w:rsidP="00B21B75">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7EF50EF4" w14:textId="1E07FC64" w:rsidR="00F53D4C" w:rsidRPr="009B5195" w:rsidRDefault="00B21B75" w:rsidP="00B21B75">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En el caso particular, derivado de las constancias que obran en el expediente en el que se actúa, se advierte que la Unidad de Transparencia atendió la solicitud de información por cuenta propia, al no haber registro del turno a la Dirección de Medio Ambiente y Ecología como la dependencia generadora de la información</w:t>
      </w:r>
      <w:r w:rsidR="00607BD2" w:rsidRPr="009B5195">
        <w:rPr>
          <w:rFonts w:ascii="Palatino Linotype" w:eastAsia="Palatino Linotype" w:hAnsi="Palatino Linotype" w:cs="Palatino Linotype"/>
          <w:sz w:val="22"/>
          <w:szCs w:val="22"/>
        </w:rPr>
        <w:t>, según lo manifestado por la persona solicitante.</w:t>
      </w:r>
    </w:p>
    <w:p w14:paraId="3E3177C3" w14:textId="39BF17A0" w:rsidR="00CD0F50" w:rsidRPr="009B5195" w:rsidRDefault="00CD0F50" w:rsidP="00CD0F50">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Bajo esta línea de pensamiento, es claro que el Derecho de acceso de la persona solicitante se vulneró al no haberse garantizó el procedimiento de búsqueda, el cual se constituye como la garantía primaria del derecho humano de acceso a la información pública, y se rige por los principios de simplicidad, rapidez, gratuidad del procedimiento, auxilio y orientación a los particulares con el fin de otorgar la protección más amplia de este derecho, en virtud de que la Unidad de Transparencia no llevó a cabo los pasos que le conmina sus funciones, de acuerdo con la Ley de la materia, ya que no solicitó la información a la unidad administrativa que de acuerdo con sus atribuciones puede dar atención a la misma.</w:t>
      </w:r>
    </w:p>
    <w:p w14:paraId="349473F6" w14:textId="53CC85D6" w:rsidR="00CD0F50" w:rsidRPr="009B5195" w:rsidRDefault="00A45F8C" w:rsidP="00B21B75">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Por consiguiente, </w:t>
      </w:r>
      <w:r w:rsidR="00842BEC" w:rsidRPr="009B5195">
        <w:rPr>
          <w:rFonts w:ascii="Palatino Linotype" w:eastAsia="Palatino Linotype" w:hAnsi="Palatino Linotype" w:cs="Palatino Linotype"/>
          <w:sz w:val="22"/>
          <w:szCs w:val="22"/>
        </w:rPr>
        <w:t>para tener por satisfecha la solicitud de información, se estima dable ordenar que previa búsqueda exhaustiva y razonable, se haga entrega de</w:t>
      </w:r>
      <w:r w:rsidR="00360BCE" w:rsidRPr="009B5195">
        <w:rPr>
          <w:rFonts w:ascii="Palatino Linotype" w:eastAsia="Palatino Linotype" w:hAnsi="Palatino Linotype" w:cs="Palatino Linotype"/>
          <w:sz w:val="22"/>
          <w:szCs w:val="22"/>
        </w:rPr>
        <w:t>l citatorio de</w:t>
      </w:r>
      <w:r w:rsidR="00817A04" w:rsidRPr="009B5195">
        <w:rPr>
          <w:rFonts w:ascii="Palatino Linotype" w:eastAsia="Palatino Linotype" w:hAnsi="Palatino Linotype" w:cs="Palatino Linotype"/>
          <w:sz w:val="22"/>
          <w:szCs w:val="22"/>
        </w:rPr>
        <w:t xml:space="preserve">l </w:t>
      </w:r>
      <w:r w:rsidR="00360BCE" w:rsidRPr="009B5195">
        <w:rPr>
          <w:rFonts w:ascii="Palatino Linotype" w:eastAsia="Palatino Linotype" w:hAnsi="Palatino Linotype" w:cs="Palatino Linotype"/>
          <w:sz w:val="22"/>
          <w:szCs w:val="22"/>
        </w:rPr>
        <w:t>siete de marzo de dos mil veinticuatro</w:t>
      </w:r>
      <w:r w:rsidR="00817A04" w:rsidRPr="009B5195">
        <w:rPr>
          <w:rFonts w:ascii="Palatino Linotype" w:eastAsia="Palatino Linotype" w:hAnsi="Palatino Linotype" w:cs="Palatino Linotype"/>
          <w:sz w:val="22"/>
          <w:szCs w:val="22"/>
        </w:rPr>
        <w:t xml:space="preserve"> </w:t>
      </w:r>
      <w:r w:rsidR="008B0444" w:rsidRPr="009B5195">
        <w:rPr>
          <w:rFonts w:ascii="Palatino Linotype" w:eastAsia="Palatino Linotype" w:hAnsi="Palatino Linotype" w:cs="Palatino Linotype"/>
          <w:sz w:val="22"/>
          <w:szCs w:val="22"/>
        </w:rPr>
        <w:t>mencionado en el oficio DMAyE/ECA/506/2024</w:t>
      </w:r>
      <w:r w:rsidR="00817A04" w:rsidRPr="009B5195">
        <w:rPr>
          <w:rFonts w:ascii="Palatino Linotype" w:eastAsia="Palatino Linotype" w:hAnsi="Palatino Linotype" w:cs="Palatino Linotype"/>
          <w:sz w:val="22"/>
          <w:szCs w:val="22"/>
        </w:rPr>
        <w:t>,</w:t>
      </w:r>
      <w:r w:rsidR="008B0444" w:rsidRPr="009B5195">
        <w:rPr>
          <w:rFonts w:ascii="Palatino Linotype" w:eastAsia="Palatino Linotype" w:hAnsi="Palatino Linotype" w:cs="Palatino Linotype"/>
          <w:sz w:val="22"/>
          <w:szCs w:val="22"/>
        </w:rPr>
        <w:t xml:space="preserve"> suscrito por el Encargado del Despacho de la Dirección de Medio Ambiente y Ecología, en versión pública de ser procedente de conformidad con el considerando siguiente.</w:t>
      </w:r>
    </w:p>
    <w:p w14:paraId="6079FAF6" w14:textId="77777777" w:rsidR="00817A04" w:rsidRPr="009B5195" w:rsidRDefault="00817A04" w:rsidP="00817A04">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bookmarkStart w:id="8" w:name="_Hlk222399360"/>
      <w:r w:rsidRPr="009B5195">
        <w:rPr>
          <w:rFonts w:ascii="Palatino Linotype" w:eastAsia="Palatino Linotype" w:hAnsi="Palatino Linotype" w:cs="Palatino Linotype"/>
          <w:sz w:val="22"/>
          <w:szCs w:val="22"/>
        </w:rPr>
        <w:t xml:space="preserve">Asimismo, </w:t>
      </w:r>
      <w:r w:rsidRPr="009B5195">
        <w:rPr>
          <w:rFonts w:ascii="Palatino Linotype" w:eastAsia="Calibri" w:hAnsi="Palatino Linotype" w:cs="Arial"/>
          <w:sz w:val="22"/>
          <w:szCs w:val="22"/>
          <w:lang w:eastAsia="en-US"/>
        </w:rPr>
        <w:t xml:space="preserve">respecto a la modalidad de entrega, debe precisarse que de las constancias que obran en el SAIMEX, se advierte que la persona solicitante </w:t>
      </w:r>
      <w:r w:rsidRPr="009B5195">
        <w:rPr>
          <w:rFonts w:ascii="Palatino Linotype" w:eastAsia="Palatino Linotype" w:hAnsi="Palatino Linotype" w:cs="Palatino Linotype"/>
          <w:sz w:val="22"/>
          <w:szCs w:val="22"/>
        </w:rPr>
        <w:t xml:space="preserve">requirió que la información fuera remitida mediante el propio sistema como se ilustra a continuación: </w:t>
      </w:r>
    </w:p>
    <w:p w14:paraId="4059B336" w14:textId="55638A24" w:rsidR="00817A04" w:rsidRPr="009B5195" w:rsidRDefault="00817A04" w:rsidP="00B21B75">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noProof/>
          <w:sz w:val="22"/>
          <w:szCs w:val="22"/>
        </w:rPr>
        <w:drawing>
          <wp:inline distT="0" distB="0" distL="0" distR="0" wp14:anchorId="66B76436" wp14:editId="028DFFCB">
            <wp:extent cx="5612130" cy="185356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853565"/>
                    </a:xfrm>
                    <a:prstGeom prst="rect">
                      <a:avLst/>
                    </a:prstGeom>
                  </pic:spPr>
                </pic:pic>
              </a:graphicData>
            </a:graphic>
          </wp:inline>
        </w:drawing>
      </w:r>
    </w:p>
    <w:p w14:paraId="6FC826C2" w14:textId="77777777" w:rsidR="00817A04" w:rsidRPr="009B5195" w:rsidRDefault="00817A04" w:rsidP="00817A04">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No obstante, como se puede constatar en la imagen anterior, </w:t>
      </w:r>
      <w:r w:rsidRPr="009B5195">
        <w:rPr>
          <w:rFonts w:ascii="Palatino Linotype" w:eastAsia="Palatino Linotype" w:hAnsi="Palatino Linotype" w:cs="Palatino Linotype"/>
          <w:b/>
          <w:sz w:val="22"/>
          <w:szCs w:val="22"/>
        </w:rPr>
        <w:t>en la redacción de la solicitud</w:t>
      </w:r>
      <w:r w:rsidRPr="009B5195">
        <w:rPr>
          <w:rFonts w:ascii="Palatino Linotype" w:eastAsia="Palatino Linotype" w:hAnsi="Palatino Linotype" w:cs="Palatino Linotype"/>
          <w:sz w:val="22"/>
          <w:szCs w:val="22"/>
        </w:rPr>
        <w:t xml:space="preserve"> </w:t>
      </w:r>
      <w:r w:rsidRPr="009B5195">
        <w:rPr>
          <w:rFonts w:ascii="Palatino Linotype" w:eastAsia="Palatino Linotype" w:hAnsi="Palatino Linotype" w:cs="Palatino Linotype"/>
          <w:b/>
          <w:sz w:val="22"/>
          <w:szCs w:val="22"/>
        </w:rPr>
        <w:t xml:space="preserve">señaló la entrega de la información </w:t>
      </w:r>
      <w:r w:rsidRPr="009B5195">
        <w:rPr>
          <w:rFonts w:ascii="Palatino Linotype" w:eastAsia="Palatino Linotype" w:hAnsi="Palatino Linotype" w:cs="Palatino Linotype"/>
          <w:b/>
          <w:sz w:val="22"/>
          <w:szCs w:val="22"/>
          <w:u w:val="single"/>
        </w:rPr>
        <w:t>a través de copias certificadas</w:t>
      </w:r>
      <w:r w:rsidRPr="009B5195">
        <w:rPr>
          <w:rFonts w:ascii="Palatino Linotype" w:eastAsia="Palatino Linotype" w:hAnsi="Palatino Linotype" w:cs="Palatino Linotype"/>
          <w:sz w:val="22"/>
          <w:szCs w:val="22"/>
        </w:rPr>
        <w:t>, por lo tanto</w:t>
      </w:r>
      <w:r w:rsidRPr="009B5195">
        <w:rPr>
          <w:rFonts w:ascii="Palatino Linotype" w:eastAsia="Palatino Linotype" w:hAnsi="Palatino Linotype" w:cs="Palatino Linotype"/>
          <w:b/>
          <w:sz w:val="22"/>
          <w:szCs w:val="22"/>
        </w:rPr>
        <w:t xml:space="preserve">, la solicitud se debe atender </w:t>
      </w:r>
      <w:r w:rsidRPr="009B5195">
        <w:rPr>
          <w:rFonts w:ascii="Palatino Linotype" w:eastAsia="Palatino Linotype" w:hAnsi="Palatino Linotype" w:cs="Palatino Linotype"/>
          <w:b/>
          <w:sz w:val="22"/>
          <w:szCs w:val="22"/>
          <w:u w:val="single"/>
        </w:rPr>
        <w:t>en ambas modalidades de entrega</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por lo tanto, el registro referido por la servidora pública habilitada de la </w:t>
      </w:r>
      <w:r w:rsidRPr="009B5195">
        <w:rPr>
          <w:rFonts w:ascii="Palatino Linotype" w:hAnsi="Palatino Linotype"/>
          <w:sz w:val="22"/>
          <w:szCs w:val="22"/>
        </w:rPr>
        <w:t>Dirección de Medio Ambiente y Ecología, vía SAIMEX y mediante copia certificada.</w:t>
      </w:r>
    </w:p>
    <w:p w14:paraId="176F6611" w14:textId="75ABA4D9" w:rsidR="00817A04" w:rsidRPr="009B5195" w:rsidRDefault="00817A04" w:rsidP="00817A04">
      <w:pPr>
        <w:suppressAutoHyphens/>
        <w:spacing w:before="240" w:after="240" w:line="360" w:lineRule="auto"/>
        <w:ind w:right="49"/>
        <w:jc w:val="both"/>
        <w:rPr>
          <w:rFonts w:ascii="Palatino Linotype" w:eastAsia="Calibri" w:hAnsi="Palatino Linotype"/>
          <w:sz w:val="22"/>
          <w:szCs w:val="22"/>
          <w:lang w:eastAsia="en-US"/>
        </w:rPr>
      </w:pPr>
      <w:r w:rsidRPr="009B5195">
        <w:rPr>
          <w:rFonts w:ascii="Palatino Linotype" w:eastAsia="Palatino Linotype" w:hAnsi="Palatino Linotype" w:cs="Palatino Linotype"/>
          <w:sz w:val="22"/>
          <w:szCs w:val="22"/>
        </w:rPr>
        <w:t>Por lo que se refiere a la entrega mediante</w:t>
      </w:r>
      <w:r w:rsidRPr="009B5195">
        <w:rPr>
          <w:rFonts w:ascii="Palatino Linotype" w:eastAsia="Palatino Linotype" w:hAnsi="Palatino Linotype" w:cs="Palatino Linotype"/>
          <w:b/>
          <w:sz w:val="22"/>
          <w:szCs w:val="22"/>
        </w:rPr>
        <w:t xml:space="preserve"> copia certificada</w:t>
      </w:r>
      <w:r w:rsidRPr="009B5195">
        <w:rPr>
          <w:rFonts w:ascii="Palatino Linotype" w:eastAsia="Palatino Linotype" w:hAnsi="Palatino Linotype" w:cs="Palatino Linotype"/>
          <w:sz w:val="22"/>
          <w:szCs w:val="22"/>
        </w:rPr>
        <w:t xml:space="preserve">, </w:t>
      </w:r>
      <w:r w:rsidRPr="009B5195">
        <w:rPr>
          <w:rFonts w:ascii="Palatino Linotype" w:eastAsia="Batang" w:hAnsi="Palatino Linotype" w:cs="Arial"/>
          <w:iCs/>
          <w:sz w:val="22"/>
          <w:szCs w:val="22"/>
          <w:lang w:val="es-AR"/>
        </w:rPr>
        <w:t xml:space="preserve">es importante que este Instituto le haga de conocimiento que </w:t>
      </w:r>
      <w:r w:rsidRPr="009B5195">
        <w:rPr>
          <w:rFonts w:ascii="Palatino Linotype" w:hAnsi="Palatino Linotype"/>
          <w:sz w:val="22"/>
          <w:szCs w:val="22"/>
        </w:rPr>
        <w:t xml:space="preserve">dicha entrega </w:t>
      </w:r>
      <w:r w:rsidRPr="009B5195">
        <w:rPr>
          <w:rFonts w:ascii="Palatino Linotype" w:hAnsi="Palatino Linotype"/>
          <w:b/>
          <w:bCs/>
          <w:sz w:val="22"/>
          <w:szCs w:val="22"/>
        </w:rPr>
        <w:t xml:space="preserve">deviene con costo, </w:t>
      </w:r>
      <w:r w:rsidRPr="009B5195">
        <w:rPr>
          <w:rFonts w:ascii="Palatino Linotype" w:hAnsi="Palatino Linotype"/>
          <w:sz w:val="22"/>
          <w:szCs w:val="22"/>
        </w:rPr>
        <w:t>mismo que</w:t>
      </w:r>
      <w:r w:rsidRPr="009B5195">
        <w:rPr>
          <w:rFonts w:ascii="Palatino Linotype" w:eastAsia="Calibri" w:hAnsi="Palatino Linotype" w:cs="Arial"/>
          <w:sz w:val="22"/>
          <w:szCs w:val="22"/>
          <w:lang w:eastAsia="en-US"/>
        </w:rPr>
        <w:t xml:space="preserve"> se encuentra previsto en el artículo 174 fracción III de la Ley de Transparencia y Acceso a la Información Pública del Estado de México y Municipios, el cual dispone </w:t>
      </w:r>
      <w:r w:rsidRPr="009B5195">
        <w:rPr>
          <w:rFonts w:ascii="Palatino Linotype" w:eastAsia="Calibri" w:hAnsi="Palatino Linotype"/>
          <w:sz w:val="22"/>
          <w:szCs w:val="22"/>
          <w:lang w:eastAsia="en-US"/>
        </w:rPr>
        <w:t>en caso de existir costos para obtener la información deberán cubrirse de manera previa a la entrega y no podrán ser superiores a la suma de la certificación de los documentos.</w:t>
      </w:r>
    </w:p>
    <w:p w14:paraId="4DE64F84" w14:textId="77777777" w:rsidR="00817A04" w:rsidRPr="009B5195" w:rsidRDefault="00817A04" w:rsidP="00817A04">
      <w:pPr>
        <w:suppressAutoHyphens/>
        <w:spacing w:before="240" w:after="240" w:line="360" w:lineRule="auto"/>
        <w:ind w:right="49"/>
        <w:jc w:val="both"/>
        <w:rPr>
          <w:rFonts w:ascii="Palatino Linotype" w:eastAsia="Calibri" w:hAnsi="Palatino Linotype"/>
          <w:sz w:val="22"/>
          <w:szCs w:val="22"/>
          <w:lang w:eastAsia="en-US"/>
        </w:rPr>
      </w:pPr>
      <w:r w:rsidRPr="009B5195">
        <w:rPr>
          <w:rFonts w:ascii="Palatino Linotype" w:eastAsia="Calibri" w:hAnsi="Palatino Linotype"/>
          <w:sz w:val="22"/>
          <w:szCs w:val="22"/>
          <w:lang w:eastAsia="en-US"/>
        </w:rPr>
        <w:t>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w:t>
      </w:r>
    </w:p>
    <w:p w14:paraId="17855CF6" w14:textId="77777777" w:rsidR="00817A04" w:rsidRPr="009B5195" w:rsidRDefault="00817A04" w:rsidP="00817A04">
      <w:pPr>
        <w:suppressAutoHyphens/>
        <w:spacing w:before="240" w:after="240" w:line="360" w:lineRule="auto"/>
        <w:ind w:right="49"/>
        <w:jc w:val="both"/>
        <w:rPr>
          <w:rFonts w:ascii="Palatino Linotype" w:hAnsi="Palatino Linotype"/>
          <w:iCs/>
          <w:sz w:val="22"/>
          <w:szCs w:val="22"/>
        </w:rPr>
      </w:pPr>
      <w:r w:rsidRPr="009B5195">
        <w:rPr>
          <w:rFonts w:ascii="Palatino Linotype" w:hAnsi="Palatino Linotype"/>
          <w:iCs/>
          <w:sz w:val="22"/>
          <w:szCs w:val="22"/>
        </w:rPr>
        <w:t>Lo anterior, tomando en cuenta lo dispuesto por el Código Financiero del Estado de México y Municipios, el cual regula la actividad financiera estatal y municipal, entendiendo a dicha actividad la que comprende la obtención, administración y aplicación de los ingresos públicos, así como lo conducente a la transparencia y difusión de la información financiera relativa al presupuesto, ejercicio, evaluación y rendición de cuentas, en apego a las disposiciones aplicables en la materia.</w:t>
      </w:r>
    </w:p>
    <w:p w14:paraId="724C1352" w14:textId="77777777" w:rsidR="00817A04" w:rsidRPr="009B5195" w:rsidRDefault="00817A04" w:rsidP="00817A04">
      <w:pPr>
        <w:suppressAutoHyphens/>
        <w:spacing w:before="240" w:after="240" w:line="360" w:lineRule="auto"/>
        <w:ind w:right="49"/>
        <w:jc w:val="both"/>
        <w:rPr>
          <w:rFonts w:ascii="Palatino Linotype" w:hAnsi="Palatino Linotype"/>
          <w:iCs/>
          <w:sz w:val="22"/>
          <w:szCs w:val="22"/>
        </w:rPr>
      </w:pPr>
      <w:r w:rsidRPr="009B5195">
        <w:rPr>
          <w:rFonts w:ascii="Palatino Linotype" w:hAnsi="Palatino Linotype"/>
          <w:iCs/>
          <w:sz w:val="22"/>
          <w:szCs w:val="22"/>
        </w:rPr>
        <w:t>Por tanto, se tiene que el artículo 7, del Código referido establece que, para cubrir el gasto público y demás obligaciones a su cargo, el Estado y los Municipios percibirán en cada ejercicio fiscal los impuestos, derechos, aportaciones de mejoras, productos, aprovechamientos, ingresos derivados de la coordinación hacendaria, e ingresos provenientes de financiamientos, establecidos en la Ley de ingresos. Asimismo, el artículo 9 en su fracción II define a los derechos como las contraprestaciones establecidas en este Código que deben pagar las personas físicas y jurídicas colectivas, por el uso o aprovechamiento de los bienes del domino público de la Entidad, así como por recibir servicios que preste, el Estado, sus organismos y Municipios en funciones de derecho público.</w:t>
      </w:r>
    </w:p>
    <w:p w14:paraId="6B8E1557" w14:textId="77777777" w:rsidR="00817A04" w:rsidRPr="009B5195" w:rsidRDefault="00817A04" w:rsidP="00817A04">
      <w:pPr>
        <w:spacing w:before="240" w:after="240" w:line="360" w:lineRule="auto"/>
        <w:ind w:firstLine="1"/>
        <w:jc w:val="both"/>
        <w:rPr>
          <w:rFonts w:ascii="Palatino Linotype" w:hAnsi="Palatino Linotype"/>
          <w:iCs/>
          <w:sz w:val="22"/>
          <w:szCs w:val="22"/>
        </w:rPr>
      </w:pPr>
      <w:r w:rsidRPr="009B5195">
        <w:rPr>
          <w:rFonts w:ascii="Palatino Linotype" w:hAnsi="Palatino Linotype"/>
          <w:iCs/>
          <w:sz w:val="22"/>
          <w:szCs w:val="22"/>
        </w:rPr>
        <w:t>Así, se tiene que el cobro por la certificación de los documentos a entregar, es un ingreso al que tienen derecho los municipios y su destino es cubrir el gasto público y demás obligaciones a su cargo, toda vez que es una ganancia lícita que se debe obtener con el cumplimiento de la obligación del Recurrente a realizar el pago establecido en el artículo 148 del Código Financiero:</w:t>
      </w:r>
    </w:p>
    <w:p w14:paraId="44D5A1D1" w14:textId="77777777" w:rsidR="00817A04" w:rsidRPr="009B5195" w:rsidRDefault="00817A04" w:rsidP="00817A04">
      <w:pPr>
        <w:spacing w:before="240" w:after="240" w:line="360" w:lineRule="auto"/>
        <w:ind w:firstLine="1"/>
        <w:jc w:val="center"/>
        <w:rPr>
          <w:rFonts w:ascii="Palatino Linotype" w:hAnsi="Palatino Linotype"/>
          <w:iCs/>
          <w:sz w:val="22"/>
          <w:szCs w:val="22"/>
        </w:rPr>
      </w:pPr>
      <w:r w:rsidRPr="009B5195">
        <w:rPr>
          <w:rFonts w:ascii="Palatino Linotype" w:hAnsi="Palatino Linotype"/>
          <w:iCs/>
          <w:noProof/>
          <w:sz w:val="22"/>
          <w:szCs w:val="22"/>
        </w:rPr>
        <w:drawing>
          <wp:inline distT="0" distB="0" distL="0" distR="0" wp14:anchorId="5CF1F55D" wp14:editId="495ECAC6">
            <wp:extent cx="4320000" cy="3313973"/>
            <wp:effectExtent l="0" t="0" r="4445"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20000" cy="3313973"/>
                    </a:xfrm>
                    <a:prstGeom prst="rect">
                      <a:avLst/>
                    </a:prstGeom>
                  </pic:spPr>
                </pic:pic>
              </a:graphicData>
            </a:graphic>
          </wp:inline>
        </w:drawing>
      </w:r>
    </w:p>
    <w:p w14:paraId="52ADA877" w14:textId="77777777" w:rsidR="00817A04" w:rsidRPr="009B5195" w:rsidRDefault="00817A04" w:rsidP="00817A04">
      <w:pPr>
        <w:spacing w:before="100" w:beforeAutospacing="1" w:after="100" w:afterAutospacing="1" w:line="360" w:lineRule="auto"/>
        <w:ind w:firstLine="1"/>
        <w:jc w:val="both"/>
        <w:rPr>
          <w:rFonts w:ascii="Palatino Linotype" w:hAnsi="Palatino Linotype"/>
          <w:iCs/>
          <w:sz w:val="22"/>
          <w:szCs w:val="22"/>
        </w:rPr>
      </w:pPr>
      <w:r w:rsidRPr="009B5195">
        <w:rPr>
          <w:rFonts w:ascii="Palatino Linotype" w:hAnsi="Palatino Linotype"/>
          <w:iCs/>
          <w:sz w:val="22"/>
          <w:szCs w:val="22"/>
        </w:rPr>
        <w:t>Del precepto legal en cita, se advierten los costos que deben observarse y realizar el respectivo cobro.</w:t>
      </w:r>
    </w:p>
    <w:p w14:paraId="6B24B964" w14:textId="77777777" w:rsidR="00817A04" w:rsidRPr="009B5195" w:rsidRDefault="00817A04" w:rsidP="00817A04">
      <w:pPr>
        <w:spacing w:before="100" w:beforeAutospacing="1" w:after="100" w:afterAutospacing="1" w:line="360" w:lineRule="auto"/>
        <w:jc w:val="both"/>
        <w:rPr>
          <w:rFonts w:ascii="Palatino Linotype" w:eastAsia="Calibri" w:hAnsi="Palatino Linotype"/>
          <w:sz w:val="22"/>
          <w:szCs w:val="22"/>
          <w:lang w:eastAsia="en-US"/>
        </w:rPr>
      </w:pPr>
      <w:r w:rsidRPr="009B5195">
        <w:rPr>
          <w:rFonts w:ascii="Palatino Linotype" w:eastAsia="Calibri" w:hAnsi="Palatino Linotype" w:cs="Arial"/>
          <w:sz w:val="22"/>
          <w:szCs w:val="22"/>
          <w:lang w:eastAsia="en-US"/>
        </w:rPr>
        <w:t xml:space="preserve">Dicha modalidad de entrega en copias certificadas no implica que se tenga que acudir ante un </w:t>
      </w:r>
      <w:r w:rsidRPr="009B5195">
        <w:rPr>
          <w:rFonts w:ascii="Palatino Linotype" w:eastAsia="Calibri" w:hAnsi="Palatino Linotype"/>
          <w:sz w:val="22"/>
          <w:szCs w:val="22"/>
          <w:lang w:eastAsia="en-US"/>
        </w:rPr>
        <w:t>notario o fedatario público, sino que faculta a los servidores públicos para que expidan certificaciones de los documentos solicitados que obran en los archivos de las dependencias o entidades en copia simple u original según sea el caso.</w:t>
      </w:r>
    </w:p>
    <w:p w14:paraId="7AE91B33" w14:textId="77777777" w:rsidR="00817A04" w:rsidRPr="009B5195" w:rsidRDefault="00817A04" w:rsidP="00817A04">
      <w:pPr>
        <w:spacing w:after="160" w:line="360" w:lineRule="auto"/>
        <w:jc w:val="both"/>
        <w:rPr>
          <w:rFonts w:ascii="Palatino Linotype" w:eastAsia="Calibri" w:hAnsi="Palatino Linotype"/>
          <w:sz w:val="22"/>
          <w:szCs w:val="22"/>
          <w:lang w:eastAsia="en-US"/>
        </w:rPr>
      </w:pPr>
      <w:r w:rsidRPr="009B5195">
        <w:rPr>
          <w:rFonts w:ascii="Palatino Linotype" w:eastAsia="Calibri" w:hAnsi="Palatino Linotype" w:cs="Arial"/>
          <w:sz w:val="22"/>
          <w:szCs w:val="22"/>
        </w:rPr>
        <w:t xml:space="preserve">Al respecto, </w:t>
      </w:r>
      <w:r w:rsidRPr="009B5195">
        <w:rPr>
          <w:rFonts w:ascii="Palatino Linotype" w:eastAsia="Calibri" w:hAnsi="Palatino Linotype"/>
          <w:sz w:val="22"/>
          <w:szCs w:val="22"/>
          <w:lang w:eastAsia="en-US"/>
        </w:rPr>
        <w:t xml:space="preserve">el Poder Judicial de la Federación ha establecido que los servidores públicos tendrán la facultad para la expedición de copias respecto de los documentos que obren en sus archivos, y que el derecho de los particulares de solicitar copias es respecto de los documentos que obran en las oficinas públicas. </w:t>
      </w:r>
    </w:p>
    <w:p w14:paraId="5BC566B1" w14:textId="77777777" w:rsidR="00817A04" w:rsidRPr="009B5195" w:rsidRDefault="00817A04" w:rsidP="00817A04">
      <w:pPr>
        <w:spacing w:after="160" w:line="360" w:lineRule="auto"/>
        <w:jc w:val="both"/>
        <w:rPr>
          <w:rFonts w:ascii="Palatino Linotype" w:eastAsia="Calibri" w:hAnsi="Palatino Linotype" w:cs="Arial"/>
          <w:sz w:val="22"/>
          <w:szCs w:val="22"/>
          <w:lang w:eastAsia="en-US"/>
        </w:rPr>
      </w:pPr>
      <w:r w:rsidRPr="009B5195">
        <w:rPr>
          <w:rFonts w:ascii="Palatino Linotype" w:eastAsia="Calibri" w:hAnsi="Palatino Linotype"/>
          <w:sz w:val="22"/>
          <w:szCs w:val="22"/>
          <w:lang w:eastAsia="en-US"/>
        </w:rPr>
        <w:t>Por otra parte, la Suprema Corte de Justicia de la Nación también ha establecido el derecho de los particulares de solicitar copia o testimonio de documentos o piezas que obran en las oficinas públicas y por ende la obligación de las autoridades, de expedir las copias certificadas que les soliciten</w:t>
      </w:r>
      <w:r w:rsidRPr="009B5195">
        <w:rPr>
          <w:rFonts w:ascii="Palatino Linotype" w:eastAsia="Calibri" w:hAnsi="Palatino Linotype" w:cs="Arial"/>
          <w:sz w:val="22"/>
          <w:szCs w:val="22"/>
          <w:lang w:eastAsia="en-US"/>
        </w:rPr>
        <w:t>.</w:t>
      </w:r>
      <w:r w:rsidRPr="009B5195">
        <w:rPr>
          <w:rFonts w:ascii="Palatino Linotype" w:eastAsia="Calibri" w:hAnsi="Palatino Linotype" w:cs="Arial"/>
          <w:sz w:val="22"/>
          <w:szCs w:val="22"/>
          <w:vertAlign w:val="superscript"/>
          <w:lang w:eastAsia="en-US"/>
        </w:rPr>
        <w:footnoteReference w:id="1"/>
      </w:r>
    </w:p>
    <w:p w14:paraId="3F01752F" w14:textId="77777777" w:rsidR="00817A04" w:rsidRPr="009B5195" w:rsidRDefault="00817A04" w:rsidP="00817A04">
      <w:pPr>
        <w:spacing w:after="160" w:line="360" w:lineRule="auto"/>
        <w:jc w:val="both"/>
        <w:rPr>
          <w:rFonts w:ascii="Palatino Linotype" w:eastAsia="Calibri" w:hAnsi="Palatino Linotype"/>
          <w:sz w:val="22"/>
          <w:szCs w:val="22"/>
          <w:lang w:eastAsia="en-US"/>
        </w:rPr>
      </w:pPr>
      <w:r w:rsidRPr="009B5195">
        <w:rPr>
          <w:rFonts w:ascii="Palatino Linotype" w:eastAsia="Calibri" w:hAnsi="Palatino Linotype"/>
          <w:sz w:val="22"/>
          <w:szCs w:val="22"/>
          <w:lang w:eastAsia="en-US"/>
        </w:rPr>
        <w:t>Sirve de fundamentación a lo antes expresado, el criterio 2/09 del entonces Instituto Federal de Acceso a la Información Pública y Protección de Datos Personales que se transcribe a continuación para la claridad de las razones que justifican la actuación de este órgano garante.</w:t>
      </w:r>
    </w:p>
    <w:p w14:paraId="35F96098" w14:textId="77777777" w:rsidR="00817A04" w:rsidRPr="009B5195" w:rsidRDefault="00817A04" w:rsidP="00817A04">
      <w:pPr>
        <w:spacing w:after="160" w:line="256" w:lineRule="auto"/>
        <w:ind w:left="851" w:right="616"/>
        <w:jc w:val="both"/>
        <w:rPr>
          <w:rFonts w:ascii="Palatino Linotype" w:eastAsia="Calibri" w:hAnsi="Palatino Linotype"/>
          <w:i/>
          <w:sz w:val="22"/>
          <w:szCs w:val="22"/>
          <w:lang w:eastAsia="en-US"/>
        </w:rPr>
      </w:pPr>
      <w:r w:rsidRPr="009B5195">
        <w:rPr>
          <w:rFonts w:ascii="Palatino Linotype" w:eastAsia="Calibri" w:hAnsi="Palatino Linotype"/>
          <w:b/>
          <w:i/>
          <w:sz w:val="22"/>
          <w:szCs w:val="22"/>
          <w:lang w:eastAsia="en-US"/>
        </w:rPr>
        <w:t>“Copias certificadas. La certificación prevista en la Ley Federal de Transparencia y Acceso a la Información Pública Gubernamental corrobora que el documento es una copia fiel del que obra en los archivos de la dependencia o entidad.</w:t>
      </w:r>
      <w:r w:rsidRPr="009B5195">
        <w:rPr>
          <w:rFonts w:ascii="Palatino Linotype" w:eastAsia="Calibri" w:hAnsi="Palatino Linotype"/>
          <w:i/>
          <w:sz w:val="22"/>
          <w:szCs w:val="22"/>
          <w:lang w:eastAsia="en-US"/>
        </w:rPr>
        <w:t xml:space="preserve"> El artículo 40, fracción IV de la Ley Federal de Transparencia y Acceso a la Información Pública Gubernamental prevé la posibilidad de que el solicitante elija que la entrega de la información sea en copias certificadas. Por su parte, el artículo 44 de la misma ley establece, entre otras cuestiones, que las respuestas a solicitudes se deberán atender en la mayor medida de lo posible a la solicitud del interesado. Considerando que el artículo 1° de la ley en cita tiene como finalidad proveer lo necesario para garantizar el acceso de toda persona a la información en posesión de las autoridades, la certificación a que se refiere la Ley Federal de Transparencia y Acceso a la Información Pública Gubernamental tiene por efecto constatar que la copia certificada que se entrega es una reproducción fiel del documento -original o copia simple- que obra en los archivos de la dependencia o entidad requerida. En ese orden de ideas, la certificación, para efectos de acceso a la información, a diferencia del concepto que tradicionalmente se ha sostenido en diversas tesis de la Suprema Corte de Justicia de la Nación, no tiene como propósito que el documento certificado haga las veces de un original, sino dejar evidencia de que los documentos obran en los archivos de los sujetos obligados, tal cual se encuentran.”</w:t>
      </w:r>
    </w:p>
    <w:p w14:paraId="3AFB7CDD" w14:textId="77777777" w:rsidR="00817A04" w:rsidRPr="009B5195" w:rsidRDefault="00817A04" w:rsidP="00817A04">
      <w:pPr>
        <w:tabs>
          <w:tab w:val="left" w:pos="3544"/>
        </w:tabs>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Calibri" w:hAnsi="Palatino Linotype" w:cs="Arial"/>
          <w:sz w:val="22"/>
          <w:szCs w:val="22"/>
        </w:rPr>
        <w:t xml:space="preserve">Ahora bien, para la entrega de la información certificada tal y como fue solicitada por la parte </w:t>
      </w:r>
      <w:r w:rsidRPr="009B5195">
        <w:rPr>
          <w:rFonts w:ascii="Palatino Linotype" w:eastAsia="Calibri" w:hAnsi="Palatino Linotype" w:cs="Arial"/>
          <w:b/>
          <w:sz w:val="22"/>
          <w:szCs w:val="22"/>
        </w:rPr>
        <w:t xml:space="preserve">Recurrente </w:t>
      </w:r>
      <w:r w:rsidRPr="009B5195">
        <w:rPr>
          <w:rFonts w:ascii="Palatino Linotype" w:eastAsia="Calibri" w:hAnsi="Palatino Linotype" w:cs="Arial"/>
          <w:sz w:val="22"/>
          <w:szCs w:val="22"/>
        </w:rPr>
        <w:t>en el asunto que nos ocupa, debemos tener en cuenta que los L</w:t>
      </w:r>
      <w:r w:rsidRPr="009B5195">
        <w:rPr>
          <w:rFonts w:ascii="Palatino Linotype" w:eastAsia="Calibri" w:hAnsi="Palatino Linotype"/>
          <w:sz w:val="22"/>
          <w:szCs w:val="22"/>
        </w:rPr>
        <w:t xml:space="preserve">ineamientos para la Recepción, Trámite y Resolución de las solicitudes de acceso a la información pública, así como de los recursos de revisión que deberán observar los sujetos obligados por la Ley de Transparencia y Acceso a la Información Pública del Estado de México y Municipios, disponen en el numeral treinta y ocho incisos e), f) y h), establecen que en el caso de que la información se haya solicitado en una modalidad que sea técnicamente factible y que constituya un costo de reproducción, </w:t>
      </w:r>
      <w:r w:rsidRPr="009B5195">
        <w:rPr>
          <w:rFonts w:ascii="Palatino Linotype" w:eastAsia="Calibri" w:hAnsi="Palatino Linotype"/>
          <w:b/>
          <w:sz w:val="22"/>
          <w:szCs w:val="22"/>
          <w:u w:val="single"/>
        </w:rPr>
        <w:t>se deberá informar al solicitante a través de los sistemas electrónicos</w:t>
      </w:r>
      <w:r w:rsidRPr="009B5195">
        <w:rPr>
          <w:rFonts w:ascii="Palatino Linotype" w:eastAsia="Calibri" w:hAnsi="Palatino Linotype"/>
          <w:sz w:val="22"/>
          <w:szCs w:val="22"/>
        </w:rPr>
        <w:t>,</w:t>
      </w:r>
      <w:r w:rsidRPr="009B5195">
        <w:rPr>
          <w:rFonts w:ascii="Palatino Linotype" w:eastAsia="Calibri" w:hAnsi="Palatino Linotype"/>
          <w:b/>
          <w:sz w:val="22"/>
          <w:szCs w:val="22"/>
        </w:rPr>
        <w:t xml:space="preserve"> </w:t>
      </w:r>
      <w:r w:rsidRPr="009B5195">
        <w:rPr>
          <w:rFonts w:ascii="Palatino Linotype" w:eastAsia="Palatino Linotype" w:hAnsi="Palatino Linotype" w:cs="Palatino Linotype"/>
          <w:b/>
          <w:sz w:val="22"/>
          <w:szCs w:val="22"/>
        </w:rPr>
        <w:t xml:space="preserve">el nombre del servidor público que lo atenderá, domicilio de la Unidad de Transparencia, los días, horarios de atención, y en su caso, </w:t>
      </w:r>
      <w:r w:rsidRPr="009B5195">
        <w:rPr>
          <w:rFonts w:ascii="Palatino Linotype" w:eastAsia="Palatino Linotype" w:hAnsi="Palatino Linotype" w:cs="Palatino Linotype"/>
          <w:b/>
          <w:sz w:val="22"/>
          <w:szCs w:val="22"/>
          <w:u w:val="single"/>
        </w:rPr>
        <w:t>el costo total de reproducción</w:t>
      </w:r>
      <w:r w:rsidRPr="009B5195">
        <w:rPr>
          <w:rFonts w:ascii="Palatino Linotype" w:eastAsia="Palatino Linotype" w:hAnsi="Palatino Linotype" w:cs="Palatino Linotype"/>
          <w:sz w:val="22"/>
          <w:szCs w:val="22"/>
        </w:rPr>
        <w:t>, asimismo que, en caso que la información se programe de manera calendarizada, el Sujeto Obligado deberá tener disponible la información correspondiente a la entrega de la primera fecha, y en caso que el particular no acuda por la información, no tendrá la obligación de generar las subsecuentes, hasta en tanto no se presente por el primer soporte documental.</w:t>
      </w:r>
    </w:p>
    <w:bookmarkEnd w:id="8"/>
    <w:p w14:paraId="0F398193" w14:textId="77777777" w:rsidR="00817A04" w:rsidRPr="009B5195" w:rsidRDefault="00817A04" w:rsidP="00817A04">
      <w:pPr>
        <w:pBdr>
          <w:top w:val="nil"/>
          <w:left w:val="nil"/>
          <w:bottom w:val="nil"/>
          <w:right w:val="nil"/>
          <w:between w:val="nil"/>
        </w:pBdr>
        <w:spacing w:before="240" w:after="240" w:line="360" w:lineRule="auto"/>
        <w:jc w:val="both"/>
        <w:rPr>
          <w:rFonts w:ascii="Palatino Linotype" w:hAnsi="Palatino Linotype"/>
          <w:sz w:val="22"/>
          <w:szCs w:val="22"/>
        </w:rPr>
      </w:pPr>
      <w:r w:rsidRPr="009B5195">
        <w:rPr>
          <w:rFonts w:ascii="Palatino Linotype" w:eastAsia="Palatino Linotype" w:hAnsi="Palatino Linotype" w:cs="Palatino Linotype"/>
          <w:sz w:val="22"/>
          <w:szCs w:val="22"/>
        </w:rPr>
        <w:t xml:space="preserve">Además de lo anterior, no escapa de la óptica de este Organismo Garante que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 xml:space="preserve">requirió a la persona solicitante acreditar su identidad para la entrega de la información, situación que es contraria a la naturaleza del Derecho de acceso a la información, como lo establece el artículo 4 de la </w:t>
      </w:r>
      <w:r w:rsidRPr="009B5195">
        <w:rPr>
          <w:rFonts w:ascii="Palatino Linotype" w:hAnsi="Palatino Linotype"/>
          <w:sz w:val="22"/>
          <w:szCs w:val="22"/>
        </w:rPr>
        <w:t>Ley de Transparencia y Acceso a la Información Pública del Estado de México y Municipios, mismo que se cita a continuación para mejor referencia:</w:t>
      </w:r>
    </w:p>
    <w:p w14:paraId="2C2CB09B"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9B5195">
        <w:rPr>
          <w:rFonts w:ascii="Palatino Linotype" w:eastAsia="Palatino Linotype" w:hAnsi="Palatino Linotype" w:cs="Palatino Linotype"/>
          <w:i/>
          <w:sz w:val="22"/>
          <w:szCs w:val="22"/>
        </w:rPr>
        <w:t>“</w:t>
      </w:r>
      <w:r w:rsidRPr="009B5195">
        <w:rPr>
          <w:rFonts w:ascii="Palatino Linotype" w:eastAsia="Palatino Linotype" w:hAnsi="Palatino Linotype" w:cs="Palatino Linotype"/>
          <w:b/>
          <w:i/>
          <w:sz w:val="22"/>
          <w:szCs w:val="22"/>
        </w:rPr>
        <w:t>Artículo 4. El derecho humano de acceso a la información pública</w:t>
      </w:r>
      <w:r w:rsidRPr="009B5195">
        <w:rPr>
          <w:rFonts w:ascii="Palatino Linotype" w:eastAsia="Palatino Linotype" w:hAnsi="Palatino Linotype" w:cs="Palatino Linotype"/>
          <w:i/>
          <w:sz w:val="22"/>
          <w:szCs w:val="22"/>
        </w:rPr>
        <w:t xml:space="preserve"> es la prerrogativa de las personas para buscar, difundir, investigar, recabar, recibir y solicitar información pública, </w:t>
      </w:r>
      <w:r w:rsidRPr="009B5195">
        <w:rPr>
          <w:rFonts w:ascii="Palatino Linotype" w:eastAsia="Palatino Linotype" w:hAnsi="Palatino Linotype" w:cs="Palatino Linotype"/>
          <w:b/>
          <w:i/>
          <w:sz w:val="22"/>
          <w:szCs w:val="22"/>
          <w:u w:val="single"/>
        </w:rPr>
        <w:t>sin necesidad de acreditar personalidad ni interés jurídico.</w:t>
      </w:r>
      <w:r w:rsidRPr="009B5195">
        <w:rPr>
          <w:rFonts w:ascii="Palatino Linotype" w:eastAsia="Palatino Linotype" w:hAnsi="Palatino Linotype" w:cs="Palatino Linotype"/>
          <w:i/>
          <w:sz w:val="22"/>
          <w:szCs w:val="22"/>
        </w:rPr>
        <w:t>”</w:t>
      </w:r>
    </w:p>
    <w:p w14:paraId="497FF9BB" w14:textId="75C1EBE6" w:rsidR="00817A04" w:rsidRPr="009B5195" w:rsidRDefault="00817A04" w:rsidP="00817A04">
      <w:pPr>
        <w:pBdr>
          <w:top w:val="nil"/>
          <w:left w:val="nil"/>
          <w:bottom w:val="nil"/>
          <w:right w:val="nil"/>
          <w:between w:val="nil"/>
        </w:pBdr>
        <w:spacing w:before="240" w:after="240" w:line="360" w:lineRule="auto"/>
        <w:jc w:val="both"/>
        <w:rPr>
          <w:rFonts w:ascii="Palatino Linotype" w:hAnsi="Palatino Linotype"/>
          <w:sz w:val="22"/>
          <w:szCs w:val="22"/>
        </w:rPr>
      </w:pPr>
      <w:r w:rsidRPr="009B5195">
        <w:rPr>
          <w:rFonts w:ascii="Palatino Linotype" w:eastAsia="Palatino Linotype" w:hAnsi="Palatino Linotype" w:cs="Palatino Linotype"/>
          <w:sz w:val="22"/>
          <w:szCs w:val="22"/>
        </w:rPr>
        <w:t xml:space="preserve">Bajo esta línea de pensamiento se concluye que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 xml:space="preserve">no garantizó el Derecho de acceso de la persona solicitante, y a fin de restituirle a la ahora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xml:space="preserve"> cualquier posible afectación, se determina ordenar la entrega del citatorio del siete de marzo de dos mil veinticuatro mencionado en el oficio DMAyE/ECA/506/2024, suscrito por el Encargado de Despacho de la Dirección de Medio Ambiente y Ecología, e</w:t>
      </w:r>
      <w:r w:rsidRPr="009B5195">
        <w:rPr>
          <w:rFonts w:ascii="Palatino Linotype" w:hAnsi="Palatino Linotype"/>
          <w:sz w:val="22"/>
          <w:szCs w:val="22"/>
        </w:rPr>
        <w:t>n versión pública de ser procedente, vía SAIMEX y mediante copia certificada con costo, para lo cual deberá indicar el nombre del servidor público que le atenderá, el domicilio de la Unidad de Transparencia, los días y horarios de atención, así como el costo total por la reproducción y certificación.</w:t>
      </w:r>
    </w:p>
    <w:p w14:paraId="4D9C6974" w14:textId="68374306" w:rsidR="00817A04" w:rsidRPr="009B5195" w:rsidRDefault="00817A04" w:rsidP="00817A04">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De lo hasta aquí expuesto, se concluye que los motivos de inconformidad de la parte </w:t>
      </w:r>
      <w:r w:rsidRPr="009B5195">
        <w:rPr>
          <w:rFonts w:ascii="Palatino Linotype" w:eastAsia="Palatino Linotype" w:hAnsi="Palatino Linotype" w:cs="Palatino Linotype"/>
          <w:b/>
          <w:sz w:val="22"/>
          <w:szCs w:val="22"/>
        </w:rPr>
        <w:t xml:space="preserve">Recurrente </w:t>
      </w:r>
      <w:r w:rsidRPr="009B5195">
        <w:rPr>
          <w:rFonts w:ascii="Palatino Linotype" w:eastAsia="Palatino Linotype" w:hAnsi="Palatino Linotype" w:cs="Palatino Linotype"/>
          <w:sz w:val="22"/>
          <w:szCs w:val="22"/>
        </w:rPr>
        <w:t xml:space="preserve">devienen fundados, siendo procedente </w:t>
      </w:r>
      <w:r w:rsidRPr="009B5195">
        <w:rPr>
          <w:rFonts w:ascii="Palatino Linotype" w:eastAsia="Palatino Linotype" w:hAnsi="Palatino Linotype" w:cs="Palatino Linotype"/>
          <w:bCs/>
          <w:i/>
          <w:sz w:val="22"/>
          <w:szCs w:val="22"/>
        </w:rPr>
        <w:t>Revocar</w:t>
      </w:r>
      <w:r w:rsidRPr="009B5195">
        <w:rPr>
          <w:rFonts w:ascii="Palatino Linotype" w:eastAsia="Palatino Linotype" w:hAnsi="Palatino Linotype" w:cs="Palatino Linotype"/>
          <w:i/>
          <w:sz w:val="22"/>
          <w:szCs w:val="22"/>
        </w:rPr>
        <w:t xml:space="preserve"> </w:t>
      </w:r>
      <w:r w:rsidRPr="009B5195">
        <w:rPr>
          <w:rFonts w:ascii="Palatino Linotype" w:eastAsia="Palatino Linotype" w:hAnsi="Palatino Linotype" w:cs="Palatino Linotype"/>
          <w:sz w:val="22"/>
          <w:szCs w:val="22"/>
        </w:rPr>
        <w:t xml:space="preserve">la respuesta proporcionada por el </w:t>
      </w:r>
      <w:r w:rsidRPr="009B5195">
        <w:rPr>
          <w:rFonts w:ascii="Palatino Linotype" w:eastAsia="Palatino Linotype" w:hAnsi="Palatino Linotype" w:cs="Palatino Linotype"/>
          <w:b/>
          <w:sz w:val="22"/>
          <w:szCs w:val="22"/>
        </w:rPr>
        <w:t xml:space="preserve">Sujeto Obligado </w:t>
      </w:r>
      <w:r w:rsidRPr="009B5195">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04865DE9" w14:textId="77777777" w:rsidR="00817A04" w:rsidRPr="009B5195" w:rsidRDefault="00817A04" w:rsidP="00817A04">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bCs/>
          <w:sz w:val="22"/>
          <w:szCs w:val="22"/>
        </w:rPr>
        <w:t xml:space="preserve">Quinto. Versión Pública. </w:t>
      </w:r>
      <w:r w:rsidRPr="009B5195">
        <w:rPr>
          <w:rFonts w:ascii="Palatino Linotype" w:eastAsia="Palatino Linotype" w:hAnsi="Palatino Linotype" w:cs="Palatino Linotype"/>
          <w:sz w:val="22"/>
          <w:szCs w:val="22"/>
        </w:rPr>
        <w:t>Como fue debidamente apuntado, el </w:t>
      </w:r>
      <w:r w:rsidRPr="009B5195">
        <w:rPr>
          <w:rFonts w:ascii="Palatino Linotype" w:eastAsia="Palatino Linotype" w:hAnsi="Palatino Linotype" w:cs="Palatino Linotype"/>
          <w:b/>
          <w:bCs/>
          <w:sz w:val="22"/>
          <w:szCs w:val="22"/>
        </w:rPr>
        <w:t>Sujeto Obligado</w:t>
      </w:r>
      <w:r w:rsidRPr="009B5195">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31CD7429" w14:textId="77777777" w:rsidR="00817A04" w:rsidRPr="009B5195" w:rsidRDefault="00817A04" w:rsidP="00817A04">
      <w:pPr>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31EE0B6F" w14:textId="77777777" w:rsidR="00817A04" w:rsidRPr="009B5195" w:rsidRDefault="00817A04" w:rsidP="00817A04">
      <w:pPr>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4396031" w14:textId="77777777" w:rsidR="00817A04" w:rsidRPr="009B5195" w:rsidRDefault="00817A04" w:rsidP="00817A04">
      <w:pPr>
        <w:spacing w:before="240" w:after="240" w:line="360" w:lineRule="auto"/>
        <w:ind w:right="49"/>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782BFA7C"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sz w:val="22"/>
          <w:szCs w:val="22"/>
        </w:rPr>
        <w:t> </w:t>
      </w:r>
      <w:r w:rsidRPr="009B5195">
        <w:rPr>
          <w:rFonts w:ascii="Palatino Linotype" w:eastAsia="Palatino Linotype" w:hAnsi="Palatino Linotype" w:cs="Palatino Linotype"/>
          <w:i/>
          <w:iCs/>
          <w:sz w:val="22"/>
          <w:szCs w:val="22"/>
        </w:rPr>
        <w:t>“</w:t>
      </w:r>
      <w:r w:rsidRPr="009B5195">
        <w:rPr>
          <w:rFonts w:ascii="Palatino Linotype" w:eastAsia="Palatino Linotype" w:hAnsi="Palatino Linotype" w:cs="Palatino Linotype"/>
          <w:b/>
          <w:bCs/>
          <w:i/>
          <w:iCs/>
          <w:sz w:val="22"/>
          <w:szCs w:val="22"/>
        </w:rPr>
        <w:t>Artículo 3.</w:t>
      </w:r>
      <w:r w:rsidRPr="009B5195">
        <w:rPr>
          <w:rFonts w:ascii="Palatino Linotype" w:eastAsia="Palatino Linotype" w:hAnsi="Palatino Linotype" w:cs="Palatino Linotype"/>
          <w:i/>
          <w:iCs/>
          <w:sz w:val="22"/>
          <w:szCs w:val="22"/>
        </w:rPr>
        <w:t xml:space="preserve"> Para los efectos de la presente Ley se entenderá por:</w:t>
      </w:r>
    </w:p>
    <w:p w14:paraId="4A355A36"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p>
    <w:p w14:paraId="7BD2AA7F"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IX. Datos personales</w:t>
      </w:r>
      <w:r w:rsidRPr="009B5195">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5BE3C505"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p>
    <w:p w14:paraId="4C0A2676"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XX. Información clasificada</w:t>
      </w:r>
      <w:r w:rsidRPr="009B5195">
        <w:rPr>
          <w:rFonts w:ascii="Palatino Linotype" w:eastAsia="Palatino Linotype" w:hAnsi="Palatino Linotype" w:cs="Palatino Linotype"/>
          <w:i/>
          <w:iCs/>
          <w:sz w:val="22"/>
          <w:szCs w:val="22"/>
        </w:rPr>
        <w:t>: Aquella considerada por la presente Ley como reservada o confidencial;</w:t>
      </w:r>
    </w:p>
    <w:p w14:paraId="3C7247F2"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XXI. Información confidencial</w:t>
      </w:r>
      <w:r w:rsidRPr="009B5195">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73EE8E8"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p>
    <w:p w14:paraId="1379C588"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XXXII. Protección de Datos Personales</w:t>
      </w:r>
      <w:r w:rsidRPr="009B5195">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419B9D31"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p>
    <w:p w14:paraId="09EA2FC7" w14:textId="77777777" w:rsidR="00817A04" w:rsidRPr="009B5195" w:rsidRDefault="00817A04" w:rsidP="00817A04">
      <w:pPr>
        <w:tabs>
          <w:tab w:val="left" w:pos="1276"/>
        </w:tabs>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XLV. Versión pública</w:t>
      </w:r>
      <w:r w:rsidRPr="009B5195">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7837AA00"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 Artículo 6</w:t>
      </w:r>
      <w:r w:rsidRPr="009B5195">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0A81B17F"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p>
    <w:p w14:paraId="2C831367"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Artículo 91.</w:t>
      </w:r>
      <w:r w:rsidRPr="009B5195">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9B5195">
        <w:rPr>
          <w:rFonts w:ascii="Palatino Linotype" w:eastAsia="Palatino Linotype" w:hAnsi="Palatino Linotype" w:cs="Palatino Linotype"/>
          <w:i/>
          <w:iCs/>
          <w:sz w:val="22"/>
          <w:szCs w:val="22"/>
        </w:rPr>
        <w:br/>
        <w:t>…</w:t>
      </w:r>
    </w:p>
    <w:p w14:paraId="3B8C2E16"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Artículo 132.</w:t>
      </w:r>
      <w:r w:rsidRPr="009B5195">
        <w:rPr>
          <w:rFonts w:ascii="Palatino Linotype" w:eastAsia="Palatino Linotype" w:hAnsi="Palatino Linotype" w:cs="Palatino Linotype"/>
          <w:i/>
          <w:iCs/>
          <w:sz w:val="22"/>
          <w:szCs w:val="22"/>
        </w:rPr>
        <w:t xml:space="preserve"> La clasificación de la información se llevará a cabo en el momento en que:</w:t>
      </w:r>
    </w:p>
    <w:p w14:paraId="0BD0C967"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w:t>
      </w:r>
      <w:r w:rsidRPr="009B5195">
        <w:rPr>
          <w:rFonts w:ascii="Palatino Linotype" w:eastAsia="Palatino Linotype" w:hAnsi="Palatino Linotype" w:cs="Palatino Linotype"/>
          <w:i/>
          <w:iCs/>
          <w:sz w:val="22"/>
          <w:szCs w:val="22"/>
        </w:rPr>
        <w:t>. Se reciba una solicitud de acceso a la información;</w:t>
      </w:r>
    </w:p>
    <w:p w14:paraId="63CB2BDD"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w:t>
      </w:r>
      <w:r w:rsidRPr="009B5195">
        <w:rPr>
          <w:rFonts w:ascii="Palatino Linotype" w:eastAsia="Palatino Linotype" w:hAnsi="Palatino Linotype" w:cs="Palatino Linotype"/>
          <w:i/>
          <w:iCs/>
          <w:sz w:val="22"/>
          <w:szCs w:val="22"/>
        </w:rPr>
        <w:t xml:space="preserve"> Se determine mediante resolución de autoridad competente; o</w:t>
      </w:r>
    </w:p>
    <w:p w14:paraId="045EA703"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III.</w:t>
      </w:r>
      <w:r w:rsidRPr="009B5195">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E39DCE1"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w:t>
      </w:r>
    </w:p>
    <w:p w14:paraId="4CDB85D2"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Artículo 137.</w:t>
      </w:r>
      <w:r w:rsidRPr="009B5195">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CA99A37"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 Artículo 143.</w:t>
      </w:r>
      <w:r w:rsidRPr="009B5195">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318DEA0D"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w:t>
      </w:r>
      <w:r w:rsidRPr="009B5195">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2C58C5CC" w14:textId="77777777" w:rsidR="00817A04" w:rsidRPr="009B5195" w:rsidRDefault="00817A04" w:rsidP="00817A04">
      <w:pPr>
        <w:spacing w:before="240" w:after="240" w:line="360" w:lineRule="auto"/>
        <w:ind w:right="50"/>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9B5195">
        <w:rPr>
          <w:rFonts w:ascii="Palatino Linotype" w:eastAsia="Palatino Linotype" w:hAnsi="Palatino Linotype" w:cs="Palatino Linotype"/>
          <w:b/>
          <w:bCs/>
          <w:sz w:val="22"/>
          <w:szCs w:val="22"/>
        </w:rPr>
        <w:t>Sujeto Obligado</w:t>
      </w:r>
      <w:r w:rsidRPr="009B5195">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64A8EB1D" w14:textId="77777777" w:rsidR="00817A04" w:rsidRPr="009B5195" w:rsidRDefault="00817A04" w:rsidP="00817A04">
      <w:pPr>
        <w:spacing w:before="240" w:after="240" w:line="360" w:lineRule="auto"/>
        <w:ind w:right="50"/>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F50A6BB" w14:textId="77777777" w:rsidR="00817A04" w:rsidRPr="009B5195" w:rsidRDefault="00817A04" w:rsidP="00817A04">
      <w:pPr>
        <w:spacing w:before="240" w:after="240" w:line="360" w:lineRule="auto"/>
        <w:ind w:right="50"/>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14191CB1"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“Artículo 49.</w:t>
      </w:r>
      <w:r w:rsidRPr="009B5195">
        <w:rPr>
          <w:rFonts w:ascii="Palatino Linotype" w:eastAsia="Palatino Linotype" w:hAnsi="Palatino Linotype" w:cs="Palatino Linotype"/>
          <w:i/>
          <w:iCs/>
          <w:sz w:val="22"/>
          <w:szCs w:val="22"/>
        </w:rPr>
        <w:t xml:space="preserve"> </w:t>
      </w:r>
      <w:r w:rsidRPr="009B5195">
        <w:rPr>
          <w:rFonts w:ascii="Palatino Linotype" w:eastAsia="Palatino Linotype" w:hAnsi="Palatino Linotype" w:cs="Palatino Linotype"/>
          <w:b/>
          <w:bCs/>
          <w:i/>
          <w:iCs/>
          <w:sz w:val="22"/>
          <w:szCs w:val="22"/>
        </w:rPr>
        <w:t>Los Comités de Transparencia</w:t>
      </w:r>
      <w:r w:rsidRPr="009B5195">
        <w:rPr>
          <w:rFonts w:ascii="Palatino Linotype" w:eastAsia="Palatino Linotype" w:hAnsi="Palatino Linotype" w:cs="Palatino Linotype"/>
          <w:i/>
          <w:iCs/>
          <w:sz w:val="22"/>
          <w:szCs w:val="22"/>
        </w:rPr>
        <w:t xml:space="preserve"> tendrán las siguientes atribuciones:</w:t>
      </w:r>
    </w:p>
    <w:p w14:paraId="226E7417"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VIII. Aprobar, modificar o revocar la clasificación de la información</w:t>
      </w:r>
      <w:r w:rsidRPr="009B5195">
        <w:rPr>
          <w:rFonts w:ascii="Palatino Linotype" w:eastAsia="Palatino Linotype" w:hAnsi="Palatino Linotype" w:cs="Palatino Linotype"/>
          <w:i/>
          <w:iCs/>
          <w:sz w:val="22"/>
          <w:szCs w:val="22"/>
        </w:rPr>
        <w:t>…”</w:t>
      </w:r>
    </w:p>
    <w:p w14:paraId="02685C45"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r w:rsidRPr="009B5195">
        <w:rPr>
          <w:rFonts w:ascii="Palatino Linotype" w:eastAsia="Palatino Linotype" w:hAnsi="Palatino Linotype" w:cs="Palatino Linotype"/>
          <w:b/>
          <w:bCs/>
          <w:i/>
          <w:iCs/>
          <w:sz w:val="22"/>
          <w:szCs w:val="22"/>
        </w:rPr>
        <w:t>Artículo 53.</w:t>
      </w:r>
      <w:r w:rsidRPr="009B5195">
        <w:rPr>
          <w:rFonts w:ascii="Palatino Linotype" w:eastAsia="Palatino Linotype" w:hAnsi="Palatino Linotype" w:cs="Palatino Linotype"/>
          <w:i/>
          <w:iCs/>
          <w:sz w:val="22"/>
          <w:szCs w:val="22"/>
        </w:rPr>
        <w:t xml:space="preserve"> Las </w:t>
      </w:r>
      <w:r w:rsidRPr="009B5195">
        <w:rPr>
          <w:rFonts w:ascii="Palatino Linotype" w:eastAsia="Palatino Linotype" w:hAnsi="Palatino Linotype" w:cs="Palatino Linotype"/>
          <w:b/>
          <w:bCs/>
          <w:i/>
          <w:iCs/>
          <w:sz w:val="22"/>
          <w:szCs w:val="22"/>
        </w:rPr>
        <w:t>Unidades de Transparencia</w:t>
      </w:r>
      <w:r w:rsidRPr="009B5195">
        <w:rPr>
          <w:rFonts w:ascii="Palatino Linotype" w:eastAsia="Palatino Linotype" w:hAnsi="Palatino Linotype" w:cs="Palatino Linotype"/>
          <w:i/>
          <w:iCs/>
          <w:sz w:val="22"/>
          <w:szCs w:val="22"/>
        </w:rPr>
        <w:t xml:space="preserve"> tendrán las siguientes </w:t>
      </w:r>
      <w:r w:rsidRPr="009B5195">
        <w:rPr>
          <w:rFonts w:ascii="Palatino Linotype" w:eastAsia="Palatino Linotype" w:hAnsi="Palatino Linotype" w:cs="Palatino Linotype"/>
          <w:b/>
          <w:bCs/>
          <w:i/>
          <w:iCs/>
          <w:sz w:val="22"/>
          <w:szCs w:val="22"/>
        </w:rPr>
        <w:t>funciones</w:t>
      </w:r>
      <w:r w:rsidRPr="009B5195">
        <w:rPr>
          <w:rFonts w:ascii="Palatino Linotype" w:eastAsia="Palatino Linotype" w:hAnsi="Palatino Linotype" w:cs="Palatino Linotype"/>
          <w:i/>
          <w:iCs/>
          <w:sz w:val="22"/>
          <w:szCs w:val="22"/>
        </w:rPr>
        <w:t>:</w:t>
      </w:r>
    </w:p>
    <w:p w14:paraId="78A8623C"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X. Presentar ante el Comité, el proyecto de clasificación de información</w:t>
      </w:r>
      <w:r w:rsidRPr="009B5195">
        <w:rPr>
          <w:rFonts w:ascii="Palatino Linotype" w:eastAsia="Palatino Linotype" w:hAnsi="Palatino Linotype" w:cs="Palatino Linotype"/>
          <w:i/>
          <w:iCs/>
          <w:sz w:val="22"/>
          <w:szCs w:val="22"/>
        </w:rPr>
        <w:t xml:space="preserve">…” </w:t>
      </w:r>
    </w:p>
    <w:p w14:paraId="6ECD8737"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“Artículo 59.</w:t>
      </w:r>
      <w:r w:rsidRPr="009B5195">
        <w:rPr>
          <w:rFonts w:ascii="Palatino Linotype" w:eastAsia="Palatino Linotype" w:hAnsi="Palatino Linotype" w:cs="Palatino Linotype"/>
          <w:i/>
          <w:iCs/>
          <w:sz w:val="22"/>
          <w:szCs w:val="22"/>
        </w:rPr>
        <w:t xml:space="preserve"> Los </w:t>
      </w:r>
      <w:r w:rsidRPr="009B5195">
        <w:rPr>
          <w:rFonts w:ascii="Palatino Linotype" w:eastAsia="Palatino Linotype" w:hAnsi="Palatino Linotype" w:cs="Palatino Linotype"/>
          <w:b/>
          <w:bCs/>
          <w:i/>
          <w:iCs/>
          <w:sz w:val="22"/>
          <w:szCs w:val="22"/>
        </w:rPr>
        <w:t>servidores públicos habilitados</w:t>
      </w:r>
      <w:r w:rsidRPr="009B5195">
        <w:rPr>
          <w:rFonts w:ascii="Palatino Linotype" w:eastAsia="Palatino Linotype" w:hAnsi="Palatino Linotype" w:cs="Palatino Linotype"/>
          <w:i/>
          <w:iCs/>
          <w:sz w:val="22"/>
          <w:szCs w:val="22"/>
        </w:rPr>
        <w:t xml:space="preserve"> tendrán las </w:t>
      </w:r>
      <w:r w:rsidRPr="009B5195">
        <w:rPr>
          <w:rFonts w:ascii="Palatino Linotype" w:eastAsia="Palatino Linotype" w:hAnsi="Palatino Linotype" w:cs="Palatino Linotype"/>
          <w:b/>
          <w:bCs/>
          <w:i/>
          <w:iCs/>
          <w:sz w:val="22"/>
          <w:szCs w:val="22"/>
        </w:rPr>
        <w:t>funciones</w:t>
      </w:r>
      <w:r w:rsidRPr="009B5195">
        <w:rPr>
          <w:rFonts w:ascii="Palatino Linotype" w:eastAsia="Palatino Linotype" w:hAnsi="Palatino Linotype" w:cs="Palatino Linotype"/>
          <w:i/>
          <w:iCs/>
          <w:sz w:val="22"/>
          <w:szCs w:val="22"/>
        </w:rPr>
        <w:t xml:space="preserve"> siguientes:</w:t>
      </w:r>
    </w:p>
    <w:p w14:paraId="5DC93DA4"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9B5195">
        <w:rPr>
          <w:rFonts w:ascii="Palatino Linotype" w:eastAsia="Palatino Linotype" w:hAnsi="Palatino Linotype" w:cs="Palatino Linotype"/>
          <w:i/>
          <w:iCs/>
          <w:sz w:val="22"/>
          <w:szCs w:val="22"/>
        </w:rPr>
        <w:t>, la cual tendrá los fundamentos y argumentos en que se basa dicha propuesta…”</w:t>
      </w:r>
    </w:p>
    <w:p w14:paraId="0C4EB5BE" w14:textId="77777777" w:rsidR="00817A04" w:rsidRPr="009B5195" w:rsidRDefault="00817A04" w:rsidP="00817A04">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429EE27C" w14:textId="77777777" w:rsidR="00817A04" w:rsidRPr="009B5195" w:rsidRDefault="00817A04" w:rsidP="00817A04">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4638C2E"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r w:rsidRPr="009B5195">
        <w:rPr>
          <w:rFonts w:ascii="Palatino Linotype" w:eastAsia="Palatino Linotype" w:hAnsi="Palatino Linotype" w:cs="Palatino Linotype"/>
          <w:b/>
          <w:bCs/>
          <w:i/>
          <w:iCs/>
          <w:sz w:val="22"/>
          <w:szCs w:val="22"/>
        </w:rPr>
        <w:t>Artículo 149.</w:t>
      </w:r>
      <w:r w:rsidRPr="009B5195">
        <w:rPr>
          <w:rFonts w:ascii="Palatino Linotype" w:eastAsia="Palatino Linotype" w:hAnsi="Palatino Linotype" w:cs="Palatino Linotype"/>
          <w:i/>
          <w:iCs/>
          <w:sz w:val="22"/>
          <w:szCs w:val="22"/>
        </w:rPr>
        <w:t xml:space="preserve"> El </w:t>
      </w:r>
      <w:r w:rsidRPr="009B5195">
        <w:rPr>
          <w:rFonts w:ascii="Palatino Linotype" w:eastAsia="Palatino Linotype" w:hAnsi="Palatino Linotype" w:cs="Palatino Linotype"/>
          <w:b/>
          <w:bCs/>
          <w:i/>
          <w:iCs/>
          <w:sz w:val="22"/>
          <w:szCs w:val="22"/>
        </w:rPr>
        <w:t>acuerdo que clasifique la información como confidencial</w:t>
      </w:r>
      <w:r w:rsidRPr="009B5195">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5A05B872" w14:textId="77777777" w:rsidR="00817A04" w:rsidRPr="009B5195" w:rsidRDefault="00817A04" w:rsidP="00817A04">
      <w:pP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Es decir, el </w:t>
      </w:r>
      <w:r w:rsidRPr="009B5195">
        <w:rPr>
          <w:rFonts w:ascii="Palatino Linotype" w:eastAsia="Palatino Linotype" w:hAnsi="Palatino Linotype" w:cs="Palatino Linotype"/>
          <w:b/>
          <w:bCs/>
          <w:sz w:val="22"/>
          <w:szCs w:val="22"/>
        </w:rPr>
        <w:t>Sujeto Obligado</w:t>
      </w:r>
      <w:r w:rsidRPr="009B5195">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2881D14C" w14:textId="77777777" w:rsidR="00817A04" w:rsidRPr="009B5195" w:rsidRDefault="00817A04" w:rsidP="00817A04">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9B5195">
        <w:rPr>
          <w:rFonts w:ascii="Palatino Linotype" w:eastAsia="Palatino Linotype" w:hAnsi="Palatino Linotype" w:cs="Palatino Linotype"/>
          <w:b/>
          <w:bCs/>
          <w:sz w:val="22"/>
          <w:szCs w:val="22"/>
        </w:rPr>
        <w:t>Sujeto Obligado</w:t>
      </w:r>
      <w:r w:rsidRPr="009B5195">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174708F5"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 xml:space="preserve"> “Quincuagésimo. </w:t>
      </w:r>
      <w:r w:rsidRPr="009B5195">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1B2F6943"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 xml:space="preserve">Quincuagésimo primero. </w:t>
      </w:r>
      <w:r w:rsidRPr="009B5195">
        <w:rPr>
          <w:rFonts w:ascii="Palatino Linotype" w:eastAsia="Palatino Linotype" w:hAnsi="Palatino Linotype" w:cs="Palatino Linotype"/>
          <w:i/>
          <w:iCs/>
          <w:sz w:val="22"/>
          <w:szCs w:val="22"/>
        </w:rPr>
        <w:t xml:space="preserve">Toda acta del Comité de Transparencia deberá contener: </w:t>
      </w:r>
    </w:p>
    <w:p w14:paraId="04E5E30B"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w:t>
      </w:r>
      <w:r w:rsidRPr="009B5195">
        <w:rPr>
          <w:rFonts w:ascii="Palatino Linotype" w:eastAsia="Palatino Linotype" w:hAnsi="Palatino Linotype" w:cs="Palatino Linotype"/>
          <w:i/>
          <w:iCs/>
          <w:sz w:val="22"/>
          <w:szCs w:val="22"/>
        </w:rPr>
        <w:t xml:space="preserve"> El número de sesión y fecha; </w:t>
      </w:r>
    </w:p>
    <w:p w14:paraId="0243DD37"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w:t>
      </w:r>
      <w:r w:rsidRPr="009B5195">
        <w:rPr>
          <w:rFonts w:ascii="Palatino Linotype" w:eastAsia="Palatino Linotype" w:hAnsi="Palatino Linotype" w:cs="Palatino Linotype"/>
          <w:i/>
          <w:iCs/>
          <w:sz w:val="22"/>
          <w:szCs w:val="22"/>
        </w:rPr>
        <w:t xml:space="preserve">. El nombre del área que solicitó la clasificación de información; </w:t>
      </w:r>
    </w:p>
    <w:p w14:paraId="008A2DA6"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III</w:t>
      </w:r>
      <w:r w:rsidRPr="009B5195">
        <w:rPr>
          <w:rFonts w:ascii="Palatino Linotype" w:eastAsia="Palatino Linotype" w:hAnsi="Palatino Linotype" w:cs="Palatino Linotype"/>
          <w:i/>
          <w:iCs/>
          <w:sz w:val="22"/>
          <w:szCs w:val="22"/>
        </w:rPr>
        <w:t xml:space="preserve">. La fundamentación legal y motivación correspondiente; </w:t>
      </w:r>
    </w:p>
    <w:p w14:paraId="5005E24B"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IV</w:t>
      </w:r>
      <w:r w:rsidRPr="009B5195">
        <w:rPr>
          <w:rFonts w:ascii="Palatino Linotype" w:eastAsia="Palatino Linotype" w:hAnsi="Palatino Linotype" w:cs="Palatino Linotype"/>
          <w:i/>
          <w:iCs/>
          <w:sz w:val="22"/>
          <w:szCs w:val="22"/>
        </w:rPr>
        <w:t xml:space="preserve">. La resolución o resoluciones aprobadas; y </w:t>
      </w:r>
    </w:p>
    <w:p w14:paraId="0CC72F6F"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V</w:t>
      </w:r>
      <w:r w:rsidRPr="009B5195">
        <w:rPr>
          <w:rFonts w:ascii="Palatino Linotype" w:eastAsia="Palatino Linotype" w:hAnsi="Palatino Linotype" w:cs="Palatino Linotype"/>
          <w:i/>
          <w:iCs/>
          <w:sz w:val="22"/>
          <w:szCs w:val="22"/>
        </w:rPr>
        <w:t xml:space="preserve">. La rúbrica o firma digital de cada integrante del Comité de Transparencia. </w:t>
      </w:r>
    </w:p>
    <w:p w14:paraId="5073740A"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78377EBE"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w:t>
      </w:r>
      <w:r w:rsidRPr="009B5195">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04063A6F"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b/>
          <w:bCs/>
          <w:i/>
          <w:iCs/>
          <w:sz w:val="22"/>
          <w:szCs w:val="22"/>
        </w:rPr>
      </w:pPr>
      <w:r w:rsidRPr="009B5195">
        <w:rPr>
          <w:rFonts w:ascii="Palatino Linotype" w:eastAsia="Palatino Linotype" w:hAnsi="Palatino Linotype" w:cs="Palatino Linotype"/>
          <w:b/>
          <w:bCs/>
          <w:i/>
          <w:iCs/>
          <w:sz w:val="22"/>
          <w:szCs w:val="22"/>
        </w:rPr>
        <w:t>II</w:t>
      </w:r>
      <w:r w:rsidRPr="009B5195">
        <w:rPr>
          <w:rFonts w:ascii="Palatino Linotype" w:eastAsia="Palatino Linotype" w:hAnsi="Palatino Linotype" w:cs="Palatino Linotype"/>
          <w:i/>
          <w:iCs/>
          <w:sz w:val="22"/>
          <w:szCs w:val="22"/>
        </w:rPr>
        <w:t>. Descripción de las partes o secciones reservadas, en caso de clasificación parcial</w:t>
      </w:r>
      <w:r w:rsidRPr="009B5195">
        <w:rPr>
          <w:rFonts w:ascii="Palatino Linotype" w:eastAsia="Palatino Linotype" w:hAnsi="Palatino Linotype" w:cs="Palatino Linotype"/>
          <w:b/>
          <w:bCs/>
          <w:i/>
          <w:iCs/>
          <w:sz w:val="22"/>
          <w:szCs w:val="22"/>
        </w:rPr>
        <w:t xml:space="preserve">; </w:t>
      </w:r>
    </w:p>
    <w:p w14:paraId="7DFC6E17"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III.</w:t>
      </w:r>
      <w:r w:rsidRPr="009B5195">
        <w:rPr>
          <w:rFonts w:ascii="Palatino Linotype" w:eastAsia="Palatino Linotype" w:hAnsi="Palatino Linotype" w:cs="Palatino Linotype"/>
          <w:i/>
          <w:iCs/>
          <w:sz w:val="22"/>
          <w:szCs w:val="22"/>
        </w:rPr>
        <w:t xml:space="preserve"> El periodo por el que mantendrá su clasificación y fecha de expiración; y </w:t>
      </w:r>
    </w:p>
    <w:p w14:paraId="58186A48"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IV.</w:t>
      </w:r>
      <w:r w:rsidRPr="009B5195">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3BB224CC"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3C3A7B61" w14:textId="77777777" w:rsidR="00817A04" w:rsidRPr="009B5195" w:rsidRDefault="00817A04" w:rsidP="00817A04">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A9C06D7" w14:textId="77777777" w:rsidR="00817A04" w:rsidRPr="009B5195" w:rsidRDefault="00817A04" w:rsidP="00817A04">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3EBF2E56"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r w:rsidRPr="009B5195">
        <w:rPr>
          <w:rFonts w:ascii="Palatino Linotype" w:eastAsia="Palatino Linotype" w:hAnsi="Palatino Linotype" w:cs="Palatino Linotype"/>
          <w:b/>
          <w:bCs/>
          <w:i/>
          <w:iCs/>
          <w:sz w:val="22"/>
          <w:szCs w:val="22"/>
        </w:rPr>
        <w:t>Quincuagésimo segundo</w:t>
      </w:r>
      <w:r w:rsidRPr="009B5195">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76176FA"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011E3794"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w:t>
      </w:r>
      <w:r w:rsidRPr="009B5195">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7F46EBAC"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w:t>
      </w:r>
      <w:r w:rsidRPr="009B5195">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5ECC2D8E"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III.</w:t>
      </w:r>
      <w:r w:rsidRPr="009B5195">
        <w:rPr>
          <w:rFonts w:ascii="Palatino Linotype" w:eastAsia="Palatino Linotype" w:hAnsi="Palatino Linotype" w:cs="Palatino Linotype"/>
          <w:i/>
          <w:iCs/>
          <w:sz w:val="22"/>
          <w:szCs w:val="22"/>
        </w:rPr>
        <w:t xml:space="preserve"> Señalar las personas o instancias autorizadas a acceder a la información clasificada.</w:t>
      </w:r>
    </w:p>
    <w:p w14:paraId="59FC8091" w14:textId="77777777" w:rsidR="00817A04" w:rsidRPr="009B5195" w:rsidRDefault="00817A04" w:rsidP="00817A04">
      <w:pP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46DD2EAA" w14:textId="77777777" w:rsidR="00817A04" w:rsidRPr="009B5195" w:rsidRDefault="00817A04" w:rsidP="00817A04">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w:t>
      </w:r>
    </w:p>
    <w:p w14:paraId="2E54107E" w14:textId="77777777" w:rsidR="00817A04" w:rsidRPr="009B5195" w:rsidRDefault="00817A04" w:rsidP="00817A04">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9B5195">
        <w:rPr>
          <w:rFonts w:ascii="Palatino Linotype" w:eastAsia="Palatino Linotype" w:hAnsi="Palatino Linotype" w:cs="Palatino Linotype"/>
          <w:b/>
          <w:bCs/>
          <w:i/>
          <w:iCs/>
          <w:sz w:val="22"/>
          <w:szCs w:val="22"/>
        </w:rPr>
        <w:t xml:space="preserve">Quincuagésimo cuarto. </w:t>
      </w:r>
      <w:r w:rsidRPr="009B5195">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9B5195">
        <w:rPr>
          <w:rFonts w:ascii="Palatino Linotype" w:eastAsia="Palatino Linotype" w:hAnsi="Palatino Linotype" w:cs="Palatino Linotype"/>
          <w:b/>
          <w:bCs/>
          <w:i/>
          <w:iCs/>
          <w:sz w:val="22"/>
          <w:szCs w:val="22"/>
        </w:rPr>
        <w:t xml:space="preserve"> </w:t>
      </w:r>
    </w:p>
    <w:p w14:paraId="6A09785B"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 xml:space="preserve">Quincuagésimo quinto. </w:t>
      </w:r>
      <w:r w:rsidRPr="009B5195">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085B18F3" w14:textId="77777777" w:rsidR="00817A04" w:rsidRPr="009B5195" w:rsidRDefault="00817A04" w:rsidP="00817A04">
      <w:pPr>
        <w:spacing w:before="120" w:after="120"/>
        <w:ind w:left="851" w:right="902"/>
        <w:jc w:val="both"/>
        <w:rPr>
          <w:rFonts w:ascii="Palatino Linotype" w:eastAsia="Palatino Linotype" w:hAnsi="Palatino Linotype" w:cs="Palatino Linotype"/>
          <w:b/>
          <w:bCs/>
          <w:i/>
          <w:iCs/>
          <w:sz w:val="22"/>
          <w:szCs w:val="22"/>
        </w:rPr>
      </w:pPr>
      <w:r w:rsidRPr="009B5195">
        <w:rPr>
          <w:rFonts w:ascii="Palatino Linotype" w:eastAsia="Palatino Linotype" w:hAnsi="Palatino Linotype" w:cs="Palatino Linotype"/>
          <w:b/>
          <w:bCs/>
          <w:i/>
          <w:iCs/>
          <w:sz w:val="22"/>
          <w:szCs w:val="22"/>
        </w:rPr>
        <w:t>...</w:t>
      </w:r>
    </w:p>
    <w:p w14:paraId="29D8C63F"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Quincuagésimo séptimo</w:t>
      </w:r>
      <w:r w:rsidRPr="009B5195">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7C3A198D"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w:t>
      </w:r>
      <w:r w:rsidRPr="009B5195">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BF33F0A"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w:t>
      </w:r>
      <w:r w:rsidRPr="009B5195">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1DC6568D"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III</w:t>
      </w:r>
      <w:r w:rsidRPr="009B5195">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CF3129F"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741E4ED3" w14:textId="77777777" w:rsidR="00817A04" w:rsidRPr="009B5195" w:rsidRDefault="00817A04" w:rsidP="00817A04">
      <w:pPr>
        <w:spacing w:before="120" w:after="120"/>
        <w:ind w:left="851" w:right="902"/>
        <w:jc w:val="both"/>
        <w:rPr>
          <w:rFonts w:ascii="Palatino Linotype" w:eastAsia="Palatino Linotype" w:hAnsi="Palatino Linotype" w:cs="Palatino Linotype"/>
          <w:i/>
          <w:iCs/>
          <w:sz w:val="22"/>
          <w:szCs w:val="22"/>
        </w:rPr>
      </w:pPr>
      <w:r w:rsidRPr="009B5195">
        <w:rPr>
          <w:rFonts w:ascii="Palatino Linotype" w:eastAsia="Palatino Linotype" w:hAnsi="Palatino Linotype" w:cs="Palatino Linotype"/>
          <w:b/>
          <w:bCs/>
          <w:i/>
          <w:iCs/>
          <w:sz w:val="22"/>
          <w:szCs w:val="22"/>
        </w:rPr>
        <w:t>Quincuagésimo octavo</w:t>
      </w:r>
      <w:r w:rsidRPr="009B5195">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4368008A" w14:textId="77777777" w:rsidR="00331A87" w:rsidRPr="009B5195" w:rsidRDefault="00331A87" w:rsidP="00331A87">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Así, con fundamento en lo prescrito en los artículos 5 párrafos cuadragésimo cuarto, cuadragésimo quinto cuadragésimo sexto,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0B4B5E69" w14:textId="77777777" w:rsidR="00694AA0" w:rsidRPr="009B5195" w:rsidRDefault="005B22BA">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9B5195">
        <w:rPr>
          <w:rFonts w:ascii="Palatino Linotype" w:eastAsia="Palatino Linotype" w:hAnsi="Palatino Linotype" w:cs="Palatino Linotype"/>
          <w:b/>
          <w:sz w:val="22"/>
          <w:szCs w:val="22"/>
        </w:rPr>
        <w:t>III. R E S U E L V E</w:t>
      </w:r>
    </w:p>
    <w:p w14:paraId="6571A61A" w14:textId="16156178" w:rsidR="00694AA0" w:rsidRPr="009B5195" w:rsidRDefault="005B22BA">
      <w:pPr>
        <w:spacing w:before="240" w:after="240" w:line="360" w:lineRule="auto"/>
        <w:jc w:val="both"/>
        <w:rPr>
          <w:rFonts w:ascii="Palatino Linotype" w:eastAsia="Palatino Linotype" w:hAnsi="Palatino Linotype" w:cs="Palatino Linotype"/>
          <w:sz w:val="22"/>
          <w:szCs w:val="22"/>
        </w:rPr>
      </w:pPr>
      <w:bookmarkStart w:id="9" w:name="_heading=h.26in1rg" w:colFirst="0" w:colLast="0"/>
      <w:bookmarkEnd w:id="9"/>
      <w:r w:rsidRPr="009B5195">
        <w:rPr>
          <w:rFonts w:ascii="Palatino Linotype" w:eastAsia="Palatino Linotype" w:hAnsi="Palatino Linotype" w:cs="Palatino Linotype"/>
          <w:b/>
          <w:sz w:val="22"/>
          <w:szCs w:val="22"/>
        </w:rPr>
        <w:t xml:space="preserve">Primero. </w:t>
      </w:r>
      <w:r w:rsidRPr="009B5195">
        <w:rPr>
          <w:rFonts w:ascii="Palatino Linotype" w:eastAsia="Palatino Linotype" w:hAnsi="Palatino Linotype" w:cs="Palatino Linotype"/>
          <w:sz w:val="22"/>
          <w:szCs w:val="22"/>
        </w:rPr>
        <w:t>Resultan</w:t>
      </w:r>
      <w:r w:rsidRPr="009B5195">
        <w:rPr>
          <w:rFonts w:ascii="Palatino Linotype" w:eastAsia="Palatino Linotype" w:hAnsi="Palatino Linotype" w:cs="Palatino Linotype"/>
          <w:b/>
          <w:sz w:val="22"/>
          <w:szCs w:val="22"/>
        </w:rPr>
        <w:t xml:space="preserve"> fundadas</w:t>
      </w:r>
      <w:r w:rsidRPr="009B5195">
        <w:rPr>
          <w:rFonts w:ascii="Palatino Linotype" w:eastAsia="Palatino Linotype" w:hAnsi="Palatino Linotype" w:cs="Palatino Linotype"/>
          <w:sz w:val="22"/>
          <w:szCs w:val="22"/>
        </w:rPr>
        <w:t xml:space="preserve"> las razones o motivos de inconformidad hechos valer por la parte</w:t>
      </w:r>
      <w:r w:rsidRPr="009B5195">
        <w:rPr>
          <w:rFonts w:ascii="Palatino Linotype" w:eastAsia="Palatino Linotype" w:hAnsi="Palatino Linotype" w:cs="Palatino Linotype"/>
          <w:b/>
          <w:sz w:val="22"/>
          <w:szCs w:val="22"/>
        </w:rPr>
        <w:t xml:space="preserve"> Recurrente</w:t>
      </w:r>
      <w:r w:rsidRPr="009B5195">
        <w:rPr>
          <w:rFonts w:ascii="Palatino Linotype" w:eastAsia="Palatino Linotype" w:hAnsi="Palatino Linotype" w:cs="Palatino Linotype"/>
          <w:sz w:val="22"/>
          <w:szCs w:val="22"/>
        </w:rPr>
        <w:t xml:space="preserve"> en el recurso de revisión </w:t>
      </w:r>
      <w:r w:rsidR="00817A04" w:rsidRPr="009B5195">
        <w:rPr>
          <w:rFonts w:ascii="Palatino Linotype" w:eastAsia="Palatino Linotype" w:hAnsi="Palatino Linotype" w:cs="Palatino Linotype"/>
          <w:b/>
          <w:sz w:val="22"/>
          <w:szCs w:val="22"/>
        </w:rPr>
        <w:t>13289</w:t>
      </w:r>
      <w:r w:rsidR="00E60046" w:rsidRPr="009B5195">
        <w:rPr>
          <w:rFonts w:ascii="Palatino Linotype" w:eastAsia="Palatino Linotype" w:hAnsi="Palatino Linotype" w:cs="Palatino Linotype"/>
          <w:b/>
          <w:sz w:val="22"/>
          <w:szCs w:val="22"/>
        </w:rPr>
        <w:t>/INFOEM/IP/RR/202</w:t>
      </w:r>
      <w:r w:rsidR="00817A04" w:rsidRPr="009B5195">
        <w:rPr>
          <w:rFonts w:ascii="Palatino Linotype" w:eastAsia="Palatino Linotype" w:hAnsi="Palatino Linotype" w:cs="Palatino Linotype"/>
          <w:b/>
          <w:sz w:val="22"/>
          <w:szCs w:val="22"/>
        </w:rPr>
        <w:t>5</w:t>
      </w:r>
      <w:r w:rsidRPr="009B5195">
        <w:rPr>
          <w:rFonts w:ascii="Palatino Linotype" w:eastAsia="Palatino Linotype" w:hAnsi="Palatino Linotype" w:cs="Palatino Linotype"/>
          <w:sz w:val="22"/>
          <w:szCs w:val="22"/>
        </w:rPr>
        <w:t xml:space="preserve">; por lo que, en términos del </w:t>
      </w:r>
      <w:r w:rsidRPr="009B5195">
        <w:rPr>
          <w:rFonts w:ascii="Palatino Linotype" w:eastAsia="Palatino Linotype" w:hAnsi="Palatino Linotype" w:cs="Palatino Linotype"/>
          <w:b/>
          <w:sz w:val="22"/>
          <w:szCs w:val="22"/>
        </w:rPr>
        <w:t>Considerando</w:t>
      </w:r>
      <w:r w:rsidRPr="009B5195">
        <w:rPr>
          <w:rFonts w:ascii="Palatino Linotype" w:eastAsia="Palatino Linotype" w:hAnsi="Palatino Linotype" w:cs="Palatino Linotype"/>
          <w:sz w:val="22"/>
          <w:szCs w:val="22"/>
        </w:rPr>
        <w:t xml:space="preserve"> </w:t>
      </w:r>
      <w:r w:rsidRPr="009B5195">
        <w:rPr>
          <w:rFonts w:ascii="Palatino Linotype" w:eastAsia="Palatino Linotype" w:hAnsi="Palatino Linotype" w:cs="Palatino Linotype"/>
          <w:b/>
          <w:sz w:val="22"/>
          <w:szCs w:val="22"/>
        </w:rPr>
        <w:t xml:space="preserve">Cuarto </w:t>
      </w:r>
      <w:r w:rsidRPr="009B5195">
        <w:rPr>
          <w:rFonts w:ascii="Palatino Linotype" w:eastAsia="Palatino Linotype" w:hAnsi="Palatino Linotype" w:cs="Palatino Linotype"/>
          <w:sz w:val="22"/>
          <w:szCs w:val="22"/>
        </w:rPr>
        <w:t xml:space="preserve">de esta resolución, se </w:t>
      </w:r>
      <w:r w:rsidR="004D5C20" w:rsidRPr="009B5195">
        <w:rPr>
          <w:rFonts w:ascii="Palatino Linotype" w:eastAsia="Palatino Linotype" w:hAnsi="Palatino Linotype" w:cs="Palatino Linotype"/>
          <w:b/>
          <w:sz w:val="22"/>
          <w:szCs w:val="22"/>
        </w:rPr>
        <w:t>Revoca</w:t>
      </w:r>
      <w:r w:rsidRPr="009B5195">
        <w:rPr>
          <w:rFonts w:ascii="Palatino Linotype" w:eastAsia="Palatino Linotype" w:hAnsi="Palatino Linotype" w:cs="Palatino Linotype"/>
          <w:b/>
          <w:sz w:val="22"/>
          <w:szCs w:val="22"/>
        </w:rPr>
        <w:t xml:space="preserve"> </w:t>
      </w:r>
      <w:r w:rsidRPr="009B5195">
        <w:rPr>
          <w:rFonts w:ascii="Palatino Linotype" w:eastAsia="Palatino Linotype" w:hAnsi="Palatino Linotype" w:cs="Palatino Linotype"/>
          <w:sz w:val="22"/>
          <w:szCs w:val="22"/>
        </w:rPr>
        <w:t xml:space="preserve">la respuesta emitida por el </w:t>
      </w:r>
      <w:r w:rsidRPr="009B5195">
        <w:rPr>
          <w:rFonts w:ascii="Palatino Linotype" w:eastAsia="Palatino Linotype" w:hAnsi="Palatino Linotype" w:cs="Palatino Linotype"/>
          <w:b/>
          <w:sz w:val="22"/>
          <w:szCs w:val="22"/>
        </w:rPr>
        <w:t xml:space="preserve">Sujeto Obligado. </w:t>
      </w:r>
    </w:p>
    <w:p w14:paraId="005939BD" w14:textId="487DEF43" w:rsidR="00F25E2D" w:rsidRPr="009B5195" w:rsidRDefault="005B22BA" w:rsidP="00143423">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 xml:space="preserve">Segundo. </w:t>
      </w:r>
      <w:r w:rsidRPr="009B5195">
        <w:rPr>
          <w:rFonts w:ascii="Palatino Linotype" w:eastAsia="Palatino Linotype" w:hAnsi="Palatino Linotype" w:cs="Palatino Linotype"/>
          <w:sz w:val="22"/>
          <w:szCs w:val="22"/>
        </w:rPr>
        <w:t xml:space="preserve">Se </w:t>
      </w:r>
      <w:r w:rsidRPr="009B5195">
        <w:rPr>
          <w:rFonts w:ascii="Palatino Linotype" w:eastAsia="Palatino Linotype" w:hAnsi="Palatino Linotype" w:cs="Palatino Linotype"/>
          <w:b/>
          <w:sz w:val="22"/>
          <w:szCs w:val="22"/>
        </w:rPr>
        <w:t>Ordena</w:t>
      </w:r>
      <w:r w:rsidRPr="009B5195">
        <w:rPr>
          <w:rFonts w:ascii="Palatino Linotype" w:eastAsia="Palatino Linotype" w:hAnsi="Palatino Linotype" w:cs="Palatino Linotype"/>
          <w:sz w:val="22"/>
          <w:szCs w:val="22"/>
        </w:rPr>
        <w:t xml:space="preserve"> al </w:t>
      </w:r>
      <w:r w:rsidRPr="009B5195">
        <w:rPr>
          <w:rFonts w:ascii="Palatino Linotype" w:eastAsia="Palatino Linotype" w:hAnsi="Palatino Linotype" w:cs="Palatino Linotype"/>
          <w:b/>
          <w:sz w:val="22"/>
          <w:szCs w:val="22"/>
        </w:rPr>
        <w:t>Sujeto Obligado</w:t>
      </w:r>
      <w:r w:rsidRPr="009B5195">
        <w:rPr>
          <w:rFonts w:ascii="Palatino Linotype" w:eastAsia="Palatino Linotype" w:hAnsi="Palatino Linotype" w:cs="Palatino Linotype"/>
          <w:sz w:val="22"/>
          <w:szCs w:val="22"/>
        </w:rPr>
        <w:t xml:space="preserve">, en términos de los Considerandos </w:t>
      </w:r>
      <w:r w:rsidRPr="009B5195">
        <w:rPr>
          <w:rFonts w:ascii="Palatino Linotype" w:eastAsia="Palatino Linotype" w:hAnsi="Palatino Linotype" w:cs="Palatino Linotype"/>
          <w:b/>
          <w:sz w:val="22"/>
          <w:szCs w:val="22"/>
        </w:rPr>
        <w:t xml:space="preserve">Cuarto </w:t>
      </w:r>
      <w:r w:rsidRPr="009B5195">
        <w:rPr>
          <w:rFonts w:ascii="Palatino Linotype" w:eastAsia="Palatino Linotype" w:hAnsi="Palatino Linotype" w:cs="Palatino Linotype"/>
          <w:sz w:val="22"/>
          <w:szCs w:val="22"/>
        </w:rPr>
        <w:t xml:space="preserve">y </w:t>
      </w:r>
      <w:r w:rsidRPr="009B5195">
        <w:rPr>
          <w:rFonts w:ascii="Palatino Linotype" w:eastAsia="Palatino Linotype" w:hAnsi="Palatino Linotype" w:cs="Palatino Linotype"/>
          <w:b/>
          <w:sz w:val="22"/>
          <w:szCs w:val="22"/>
        </w:rPr>
        <w:t xml:space="preserve">Quinto </w:t>
      </w:r>
      <w:r w:rsidRPr="009B5195">
        <w:rPr>
          <w:rFonts w:ascii="Palatino Linotype" w:eastAsia="Palatino Linotype" w:hAnsi="Palatino Linotype" w:cs="Palatino Linotype"/>
          <w:sz w:val="22"/>
          <w:szCs w:val="22"/>
        </w:rPr>
        <w:t xml:space="preserve">de esta resolución, haga entrega, </w:t>
      </w:r>
      <w:r w:rsidR="009B4ADD" w:rsidRPr="009B5195">
        <w:rPr>
          <w:rFonts w:ascii="Palatino Linotype" w:eastAsia="Palatino Linotype" w:hAnsi="Palatino Linotype" w:cs="Palatino Linotype"/>
          <w:sz w:val="22"/>
          <w:szCs w:val="22"/>
        </w:rPr>
        <w:t xml:space="preserve">vía </w:t>
      </w:r>
      <w:r w:rsidR="009B4ADD" w:rsidRPr="009B5195">
        <w:rPr>
          <w:rFonts w:ascii="Palatino Linotype" w:eastAsia="Palatino Linotype" w:hAnsi="Palatino Linotype" w:cs="Palatino Linotype"/>
          <w:b/>
          <w:sz w:val="22"/>
          <w:szCs w:val="22"/>
        </w:rPr>
        <w:t>SAIMEX</w:t>
      </w:r>
      <w:r w:rsidR="00E60046" w:rsidRPr="009B5195">
        <w:rPr>
          <w:rFonts w:ascii="Palatino Linotype" w:eastAsia="Palatino Linotype" w:hAnsi="Palatino Linotype" w:cs="Palatino Linotype"/>
          <w:sz w:val="22"/>
          <w:szCs w:val="22"/>
        </w:rPr>
        <w:t>,</w:t>
      </w:r>
      <w:r w:rsidR="00817A04" w:rsidRPr="009B5195">
        <w:rPr>
          <w:rFonts w:ascii="Palatino Linotype" w:eastAsia="Palatino Linotype" w:hAnsi="Palatino Linotype" w:cs="Palatino Linotype"/>
          <w:sz w:val="22"/>
          <w:szCs w:val="22"/>
        </w:rPr>
        <w:t xml:space="preserve"> y mediante copia certificada con costo, en versión pública de ser procedente, </w:t>
      </w:r>
      <w:r w:rsidR="009B4ADD" w:rsidRPr="009B5195">
        <w:rPr>
          <w:rFonts w:ascii="Palatino Linotype" w:eastAsia="Palatino Linotype" w:hAnsi="Palatino Linotype" w:cs="Palatino Linotype"/>
          <w:sz w:val="22"/>
          <w:szCs w:val="22"/>
        </w:rPr>
        <w:t>de lo siguiente</w:t>
      </w:r>
      <w:r w:rsidR="00F25E2D" w:rsidRPr="009B5195">
        <w:rPr>
          <w:rFonts w:ascii="Palatino Linotype" w:eastAsia="Palatino Linotype" w:hAnsi="Palatino Linotype" w:cs="Palatino Linotype"/>
          <w:sz w:val="22"/>
          <w:szCs w:val="22"/>
        </w:rPr>
        <w:t xml:space="preserve">: </w:t>
      </w:r>
    </w:p>
    <w:p w14:paraId="7FDC54A0" w14:textId="60D44EC4" w:rsidR="00E60046" w:rsidRPr="009B5195" w:rsidRDefault="00817A04" w:rsidP="00817A04">
      <w:pPr>
        <w:spacing w:before="240" w:after="240" w:line="360" w:lineRule="auto"/>
        <w:ind w:left="284"/>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1. Citatorio del siete de marzo de dos mil veinticuatro mencionado en el oficio DMAyE/ECA/506/2024, suscrito por el Encargado de Despacho de la Dirección de Medio Ambiente y Ecología</w:t>
      </w:r>
      <w:r w:rsidR="00E60046" w:rsidRPr="009B5195">
        <w:rPr>
          <w:rFonts w:ascii="Palatino Linotype" w:eastAsia="Palatino Linotype" w:hAnsi="Palatino Linotype" w:cs="Palatino Linotype"/>
          <w:sz w:val="22"/>
          <w:szCs w:val="22"/>
        </w:rPr>
        <w:t>.</w:t>
      </w:r>
    </w:p>
    <w:p w14:paraId="59FB4108" w14:textId="77777777" w:rsidR="00817A04" w:rsidRPr="009B5195" w:rsidRDefault="00817A04" w:rsidP="00817A04">
      <w:pPr>
        <w:spacing w:before="120" w:after="120"/>
        <w:ind w:left="284" w:right="49"/>
        <w:jc w:val="both"/>
        <w:rPr>
          <w:rFonts w:ascii="Palatino Linotype" w:eastAsia="Palatino Linotype" w:hAnsi="Palatino Linotype" w:cs="Palatino Linotype"/>
          <w:i/>
          <w:sz w:val="20"/>
          <w:szCs w:val="22"/>
        </w:rPr>
      </w:pPr>
      <w:r w:rsidRPr="009B5195">
        <w:rPr>
          <w:rFonts w:ascii="Palatino Linotype" w:eastAsia="Palatino Linotype" w:hAnsi="Palatino Linotype" w:cs="Palatino Linotype"/>
          <w:i/>
          <w:sz w:val="20"/>
          <w:szCs w:val="22"/>
        </w:rPr>
        <w:t>De ser necesaria la versión pública, se deberán proporcionar junto con el Acuerdo de Clasificación donde el Comité de Transparencia, confirme la eliminación de los datos clasificados como confidenciales, de conformidad con los artículos 49, fracciones II y VIII, 132, fracción II, 143, fracción I y 149 de la Ley de Transparencia y Acceso a la Información Pública del Estado de México y Municipios.</w:t>
      </w:r>
    </w:p>
    <w:p w14:paraId="16FAAD92" w14:textId="77777777" w:rsidR="00817A04" w:rsidRPr="009B5195" w:rsidRDefault="00817A04" w:rsidP="00817A04">
      <w:pPr>
        <w:spacing w:before="120" w:after="120"/>
        <w:ind w:left="284" w:right="49"/>
        <w:jc w:val="both"/>
        <w:rPr>
          <w:rFonts w:ascii="Palatino Linotype" w:eastAsia="Palatino Linotype" w:hAnsi="Palatino Linotype" w:cs="Palatino Linotype"/>
          <w:i/>
          <w:sz w:val="20"/>
          <w:szCs w:val="22"/>
        </w:rPr>
      </w:pPr>
      <w:r w:rsidRPr="009B5195">
        <w:rPr>
          <w:rFonts w:ascii="Palatino Linotype" w:eastAsia="Palatino Linotype" w:hAnsi="Palatino Linotype" w:cs="Palatino Linotype"/>
          <w:i/>
          <w:sz w:val="20"/>
          <w:szCs w:val="22"/>
        </w:rPr>
        <w:t xml:space="preserve">Para la entrega de la información a través de copias certificadas, previamente el </w:t>
      </w:r>
      <w:r w:rsidRPr="009B5195">
        <w:rPr>
          <w:rFonts w:ascii="Palatino Linotype" w:eastAsia="Palatino Linotype" w:hAnsi="Palatino Linotype" w:cs="Palatino Linotype"/>
          <w:b/>
          <w:i/>
          <w:sz w:val="20"/>
          <w:szCs w:val="22"/>
        </w:rPr>
        <w:t>Sujeto Obligado</w:t>
      </w:r>
      <w:r w:rsidRPr="009B5195">
        <w:rPr>
          <w:rFonts w:ascii="Palatino Linotype" w:eastAsia="Palatino Linotype" w:hAnsi="Palatino Linotype" w:cs="Palatino Linotype"/>
          <w:i/>
          <w:sz w:val="20"/>
          <w:szCs w:val="22"/>
        </w:rPr>
        <w:t xml:space="preserve"> deberá hacer del conocimiento de la parte </w:t>
      </w:r>
      <w:r w:rsidRPr="009B5195">
        <w:rPr>
          <w:rFonts w:ascii="Palatino Linotype" w:eastAsia="Palatino Linotype" w:hAnsi="Palatino Linotype" w:cs="Palatino Linotype"/>
          <w:b/>
          <w:i/>
          <w:sz w:val="20"/>
          <w:szCs w:val="22"/>
        </w:rPr>
        <w:t>Recurrente</w:t>
      </w:r>
      <w:r w:rsidRPr="009B5195">
        <w:rPr>
          <w:rFonts w:ascii="Palatino Linotype" w:eastAsia="Palatino Linotype" w:hAnsi="Palatino Linotype" w:cs="Palatino Linotype"/>
          <w:i/>
          <w:sz w:val="20"/>
          <w:szCs w:val="22"/>
        </w:rPr>
        <w:t>, vía SAIMEX, el costo total por la reproducción y certificación, el lugar, día y horarios en los que podrá acceder a la información, así como el nombre del o los servidores públicos que le atenderán.</w:t>
      </w:r>
    </w:p>
    <w:p w14:paraId="01661F9C" w14:textId="3EC6628B" w:rsidR="00694AA0" w:rsidRPr="009B5195" w:rsidRDefault="005B22BA" w:rsidP="00B221EC">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b/>
          <w:sz w:val="22"/>
          <w:szCs w:val="22"/>
        </w:rPr>
        <w:t xml:space="preserve">Tercero. Notifíquese, </w:t>
      </w:r>
      <w:r w:rsidRPr="009B5195">
        <w:rPr>
          <w:rFonts w:ascii="Palatino Linotype" w:eastAsia="Palatino Linotype" w:hAnsi="Palatino Linotype" w:cs="Palatino Linotype"/>
          <w:sz w:val="22"/>
          <w:szCs w:val="22"/>
        </w:rPr>
        <w:t xml:space="preserve">vía </w:t>
      </w:r>
      <w:r w:rsidRPr="009B5195">
        <w:rPr>
          <w:rFonts w:ascii="Palatino Linotype" w:eastAsia="Palatino Linotype" w:hAnsi="Palatino Linotype" w:cs="Palatino Linotype"/>
          <w:b/>
          <w:sz w:val="22"/>
          <w:szCs w:val="22"/>
        </w:rPr>
        <w:t>SAIMEX</w:t>
      </w:r>
      <w:r w:rsidRPr="009B5195">
        <w:rPr>
          <w:rFonts w:ascii="Palatino Linotype" w:eastAsia="Palatino Linotype" w:hAnsi="Palatino Linotype" w:cs="Palatino Linotype"/>
          <w:sz w:val="22"/>
          <w:szCs w:val="22"/>
        </w:rPr>
        <w:t xml:space="preserve">, al Titular de la Unidad de Transparencia del </w:t>
      </w:r>
      <w:r w:rsidRPr="009B5195">
        <w:rPr>
          <w:rFonts w:ascii="Palatino Linotype" w:eastAsia="Palatino Linotype" w:hAnsi="Palatino Linotype" w:cs="Palatino Linotype"/>
          <w:b/>
          <w:sz w:val="22"/>
          <w:szCs w:val="22"/>
        </w:rPr>
        <w:t>Sujeto Obligado,</w:t>
      </w:r>
      <w:r w:rsidRPr="009B5195">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5D760D0"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r w:rsidRPr="009B5195">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9B5195">
        <w:rPr>
          <w:rFonts w:ascii="Palatino Linotype" w:eastAsia="Palatino Linotype" w:hAnsi="Palatino Linotype" w:cs="Palatino Linotype"/>
          <w:b/>
          <w:sz w:val="22"/>
          <w:szCs w:val="22"/>
        </w:rPr>
        <w:t>Sujeto Obligado</w:t>
      </w:r>
      <w:r w:rsidRPr="009B5195">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72A9EDCB" w14:textId="77777777" w:rsidR="00694AA0" w:rsidRPr="009B5195" w:rsidRDefault="005B22BA">
      <w:pPr>
        <w:spacing w:before="240" w:after="240" w:line="360" w:lineRule="auto"/>
        <w:jc w:val="both"/>
        <w:rPr>
          <w:rFonts w:ascii="Palatino Linotype" w:eastAsia="Palatino Linotype" w:hAnsi="Palatino Linotype" w:cs="Palatino Linotype"/>
          <w:sz w:val="22"/>
          <w:szCs w:val="22"/>
        </w:rPr>
      </w:pPr>
      <w:bookmarkStart w:id="10" w:name="_heading=h.17dp8vu" w:colFirst="0" w:colLast="0"/>
      <w:bookmarkEnd w:id="10"/>
      <w:r w:rsidRPr="009B5195">
        <w:rPr>
          <w:rFonts w:ascii="Palatino Linotype" w:eastAsia="Palatino Linotype" w:hAnsi="Palatino Linotype" w:cs="Palatino Linotype"/>
          <w:b/>
          <w:sz w:val="22"/>
          <w:szCs w:val="22"/>
        </w:rPr>
        <w:t xml:space="preserve">Cuarto.  Notifíquese, </w:t>
      </w:r>
      <w:r w:rsidRPr="009B5195">
        <w:rPr>
          <w:rFonts w:ascii="Palatino Linotype" w:eastAsia="Palatino Linotype" w:hAnsi="Palatino Linotype" w:cs="Palatino Linotype"/>
          <w:sz w:val="22"/>
          <w:szCs w:val="22"/>
        </w:rPr>
        <w:t xml:space="preserve">vía </w:t>
      </w:r>
      <w:r w:rsidRPr="009B5195">
        <w:rPr>
          <w:rFonts w:ascii="Palatino Linotype" w:eastAsia="Palatino Linotype" w:hAnsi="Palatino Linotype" w:cs="Palatino Linotype"/>
          <w:b/>
          <w:sz w:val="22"/>
          <w:szCs w:val="22"/>
        </w:rPr>
        <w:t>SAIMEX</w:t>
      </w:r>
      <w:r w:rsidRPr="009B5195">
        <w:rPr>
          <w:rFonts w:ascii="Palatino Linotype" w:eastAsia="Palatino Linotype" w:hAnsi="Palatino Linotype" w:cs="Palatino Linotype"/>
          <w:sz w:val="22"/>
          <w:szCs w:val="22"/>
        </w:rPr>
        <w:t xml:space="preserve">, a la parte </w:t>
      </w:r>
      <w:r w:rsidRPr="009B5195">
        <w:rPr>
          <w:rFonts w:ascii="Palatino Linotype" w:eastAsia="Palatino Linotype" w:hAnsi="Palatino Linotype" w:cs="Palatino Linotype"/>
          <w:b/>
          <w:sz w:val="22"/>
          <w:szCs w:val="22"/>
        </w:rPr>
        <w:t>Recurrente</w:t>
      </w:r>
      <w:r w:rsidRPr="009B5195">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C146F11" w14:textId="24B432BA" w:rsidR="00694AA0" w:rsidRPr="007902B4" w:rsidRDefault="005B22BA">
      <w:pPr>
        <w:tabs>
          <w:tab w:val="left" w:pos="8647"/>
        </w:tabs>
        <w:spacing w:before="240" w:after="240" w:line="360" w:lineRule="auto"/>
        <w:ind w:right="51"/>
        <w:jc w:val="both"/>
        <w:rPr>
          <w:rFonts w:ascii="Palatino Linotype" w:eastAsia="Palatino Linotype" w:hAnsi="Palatino Linotype" w:cs="Palatino Linotype"/>
          <w:sz w:val="22"/>
          <w:szCs w:val="22"/>
        </w:rPr>
      </w:pPr>
      <w:bookmarkStart w:id="11" w:name="_heading=h.lnxbz9" w:colFirst="0" w:colLast="0"/>
      <w:bookmarkEnd w:id="11"/>
      <w:r w:rsidRPr="009B5195">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A3574B" w:rsidRPr="009B5195">
        <w:rPr>
          <w:rFonts w:ascii="Palatino Linotype" w:eastAsia="Palatino Linotype" w:hAnsi="Palatino Linotype" w:cs="Palatino Linotype"/>
          <w:sz w:val="22"/>
          <w:szCs w:val="22"/>
        </w:rPr>
        <w:t xml:space="preserve"> EMITIENDO VOTO PARTICULAR CONCURRENTE; </w:t>
      </w:r>
      <w:r w:rsidRPr="009B5195">
        <w:rPr>
          <w:rFonts w:ascii="Palatino Linotype" w:eastAsia="Palatino Linotype" w:hAnsi="Palatino Linotype" w:cs="Palatino Linotype"/>
          <w:sz w:val="22"/>
          <w:szCs w:val="22"/>
        </w:rPr>
        <w:t xml:space="preserve">SHARON CRISTINA MORALES MARTÍNEZ, LUIS GUSTAVO PARRA NORIEGA, </w:t>
      </w:r>
      <w:r w:rsidR="00A3574B" w:rsidRPr="009B5195">
        <w:rPr>
          <w:rFonts w:ascii="Palatino Linotype" w:eastAsia="Palatino Linotype" w:hAnsi="Palatino Linotype" w:cs="Palatino Linotype"/>
          <w:sz w:val="22"/>
          <w:szCs w:val="22"/>
        </w:rPr>
        <w:t xml:space="preserve">EMITIENDO VOTO PARTICULAR CONCURRENTE </w:t>
      </w:r>
      <w:r w:rsidRPr="009B5195">
        <w:rPr>
          <w:rFonts w:ascii="Palatino Linotype" w:eastAsia="Palatino Linotype" w:hAnsi="Palatino Linotype" w:cs="Palatino Linotype"/>
          <w:sz w:val="22"/>
          <w:szCs w:val="22"/>
        </w:rPr>
        <w:t>Y GUADALUPE RAMÍREZ P</w:t>
      </w:r>
      <w:r w:rsidR="00FC4683" w:rsidRPr="009B5195">
        <w:rPr>
          <w:rFonts w:ascii="Palatino Linotype" w:eastAsia="Palatino Linotype" w:hAnsi="Palatino Linotype" w:cs="Palatino Linotype"/>
          <w:sz w:val="22"/>
          <w:szCs w:val="22"/>
        </w:rPr>
        <w:t xml:space="preserve">EÑA, EN LA </w:t>
      </w:r>
      <w:r w:rsidR="00A3574B" w:rsidRPr="009B5195">
        <w:rPr>
          <w:rFonts w:ascii="Palatino Linotype" w:eastAsia="Palatino Linotype" w:hAnsi="Palatino Linotype" w:cs="Palatino Linotype"/>
          <w:sz w:val="22"/>
          <w:szCs w:val="22"/>
        </w:rPr>
        <w:t>SÉPTIMA</w:t>
      </w:r>
      <w:r w:rsidR="00FC4683" w:rsidRPr="009B5195">
        <w:rPr>
          <w:rFonts w:ascii="Palatino Linotype" w:eastAsia="Palatino Linotype" w:hAnsi="Palatino Linotype" w:cs="Palatino Linotype"/>
          <w:sz w:val="22"/>
          <w:szCs w:val="22"/>
        </w:rPr>
        <w:t xml:space="preserve"> </w:t>
      </w:r>
      <w:r w:rsidRPr="009B5195">
        <w:rPr>
          <w:rFonts w:ascii="Palatino Linotype" w:eastAsia="Palatino Linotype" w:hAnsi="Palatino Linotype" w:cs="Palatino Linotype"/>
          <w:sz w:val="22"/>
          <w:szCs w:val="22"/>
        </w:rPr>
        <w:t xml:space="preserve">SESIÓN ORDINARIA CELEBRADA EL </w:t>
      </w:r>
      <w:r w:rsidR="004A081A" w:rsidRPr="009B5195">
        <w:rPr>
          <w:rFonts w:ascii="Palatino Linotype" w:eastAsia="Palatino Linotype" w:hAnsi="Palatino Linotype" w:cs="Palatino Linotype"/>
          <w:sz w:val="22"/>
          <w:szCs w:val="22"/>
        </w:rPr>
        <w:t>VEINTICINCO</w:t>
      </w:r>
      <w:r w:rsidR="00FC4683" w:rsidRPr="009B5195">
        <w:rPr>
          <w:rFonts w:ascii="Palatino Linotype" w:eastAsia="Palatino Linotype" w:hAnsi="Palatino Linotype" w:cs="Palatino Linotype"/>
          <w:sz w:val="22"/>
          <w:szCs w:val="22"/>
        </w:rPr>
        <w:t xml:space="preserve"> DE FEBRERO</w:t>
      </w:r>
      <w:r w:rsidR="001A3D4C" w:rsidRPr="009B5195">
        <w:rPr>
          <w:rFonts w:ascii="Palatino Linotype" w:eastAsia="Palatino Linotype" w:hAnsi="Palatino Linotype" w:cs="Palatino Linotype"/>
          <w:sz w:val="22"/>
          <w:szCs w:val="22"/>
        </w:rPr>
        <w:t xml:space="preserve"> </w:t>
      </w:r>
      <w:r w:rsidRPr="009B5195">
        <w:rPr>
          <w:rFonts w:ascii="Palatino Linotype" w:eastAsia="Palatino Linotype" w:hAnsi="Palatino Linotype" w:cs="Palatino Linotype"/>
          <w:sz w:val="22"/>
          <w:szCs w:val="22"/>
        </w:rPr>
        <w:t>DE DOS MIL VEINTI</w:t>
      </w:r>
      <w:r w:rsidR="00382740" w:rsidRPr="009B5195">
        <w:rPr>
          <w:rFonts w:ascii="Palatino Linotype" w:eastAsia="Palatino Linotype" w:hAnsi="Palatino Linotype" w:cs="Palatino Linotype"/>
          <w:sz w:val="22"/>
          <w:szCs w:val="22"/>
        </w:rPr>
        <w:t>SÉIS</w:t>
      </w:r>
      <w:r w:rsidRPr="009B5195">
        <w:rPr>
          <w:rFonts w:ascii="Palatino Linotype" w:eastAsia="Palatino Linotype" w:hAnsi="Palatino Linotype" w:cs="Palatino Linotype"/>
          <w:sz w:val="22"/>
          <w:szCs w:val="22"/>
        </w:rPr>
        <w:t>, ANTE EL SECRETARIO TÉCNICO DEL PLENO ALEXIS TAPIA RAMÍREZ.</w:t>
      </w:r>
    </w:p>
    <w:p w14:paraId="30CB9BBA"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0E21EF89"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46EF20C1"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5EC8589D"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46FC6A55"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5C881CEA"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6CCA1545"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1F9EF739"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307F02A0" w14:textId="77777777" w:rsidR="004D5C20" w:rsidRPr="007902B4" w:rsidRDefault="004D5C20">
      <w:pPr>
        <w:spacing w:line="360" w:lineRule="auto"/>
        <w:jc w:val="both"/>
        <w:rPr>
          <w:rFonts w:ascii="Palatino Linotype" w:eastAsia="Palatino Linotype" w:hAnsi="Palatino Linotype" w:cs="Palatino Linotype"/>
          <w:sz w:val="22"/>
          <w:szCs w:val="22"/>
        </w:rPr>
      </w:pPr>
    </w:p>
    <w:p w14:paraId="5A5B7374"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016906CE"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3536C243"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10C74B60"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48A36858"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3FE6DE95"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16F5DDC9"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714A31D2"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46664245"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5C092A01"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669D5981"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3D7F8E58"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61848FB2" w14:textId="77777777" w:rsidR="00694AA0" w:rsidRPr="007902B4" w:rsidRDefault="00694AA0">
      <w:pPr>
        <w:spacing w:line="360" w:lineRule="auto"/>
        <w:jc w:val="both"/>
        <w:rPr>
          <w:rFonts w:ascii="Palatino Linotype" w:eastAsia="Palatino Linotype" w:hAnsi="Palatino Linotype" w:cs="Palatino Linotype"/>
          <w:sz w:val="22"/>
          <w:szCs w:val="22"/>
        </w:rPr>
      </w:pPr>
    </w:p>
    <w:p w14:paraId="5684A0AB" w14:textId="51443F49" w:rsidR="006F3A18" w:rsidRPr="007902B4" w:rsidRDefault="006F3A18">
      <w:pPr>
        <w:spacing w:line="360" w:lineRule="auto"/>
        <w:jc w:val="both"/>
        <w:rPr>
          <w:rFonts w:ascii="Palatino Linotype" w:eastAsia="Palatino Linotype" w:hAnsi="Palatino Linotype" w:cs="Palatino Linotype"/>
          <w:sz w:val="22"/>
          <w:szCs w:val="22"/>
        </w:rPr>
      </w:pPr>
    </w:p>
    <w:p w14:paraId="5B98A2B3" w14:textId="77777777" w:rsidR="00C1140A" w:rsidRPr="007902B4" w:rsidRDefault="00C1140A">
      <w:pPr>
        <w:spacing w:line="360" w:lineRule="auto"/>
        <w:jc w:val="both"/>
        <w:rPr>
          <w:rFonts w:ascii="Palatino Linotype" w:eastAsia="Palatino Linotype" w:hAnsi="Palatino Linotype" w:cs="Palatino Linotype"/>
          <w:sz w:val="22"/>
          <w:szCs w:val="22"/>
        </w:rPr>
      </w:pPr>
    </w:p>
    <w:sectPr w:rsidR="00C1140A" w:rsidRPr="007902B4">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D6A61" w14:textId="77777777" w:rsidR="00AA085F" w:rsidRDefault="00AA085F">
      <w:r>
        <w:separator/>
      </w:r>
    </w:p>
  </w:endnote>
  <w:endnote w:type="continuationSeparator" w:id="0">
    <w:p w14:paraId="44DDCF04" w14:textId="77777777" w:rsidR="00AA085F" w:rsidRDefault="00AA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DFD7A" w14:textId="37BC1D4E" w:rsidR="002B4799" w:rsidRDefault="002B4799">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766FCE">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766FCE">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p>
  <w:p w14:paraId="01320A57" w14:textId="77777777" w:rsidR="002B4799" w:rsidRDefault="002B4799">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5D5DD" w14:textId="27AEFB2F" w:rsidR="002B4799" w:rsidRDefault="002B4799">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766FCE">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766FCE">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p>
  <w:p w14:paraId="71AA7E10" w14:textId="77777777" w:rsidR="002B4799" w:rsidRDefault="002B4799">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BAF8C" w14:textId="77777777" w:rsidR="00AA085F" w:rsidRDefault="00AA085F">
      <w:r>
        <w:separator/>
      </w:r>
    </w:p>
  </w:footnote>
  <w:footnote w:type="continuationSeparator" w:id="0">
    <w:p w14:paraId="017846B5" w14:textId="77777777" w:rsidR="00AA085F" w:rsidRDefault="00AA085F">
      <w:r>
        <w:continuationSeparator/>
      </w:r>
    </w:p>
  </w:footnote>
  <w:footnote w:id="1">
    <w:p w14:paraId="5495ED8A" w14:textId="77777777" w:rsidR="00817A04" w:rsidRDefault="00817A04" w:rsidP="00817A04">
      <w:pPr>
        <w:pStyle w:val="Textonotapie"/>
        <w:jc w:val="both"/>
        <w:rPr>
          <w:rFonts w:ascii="Palatino Linotype" w:hAnsi="Palatino Linotype"/>
          <w:sz w:val="16"/>
          <w:szCs w:val="16"/>
        </w:rPr>
      </w:pPr>
      <w:r>
        <w:rPr>
          <w:rStyle w:val="Refdenotaalpie"/>
          <w:rFonts w:ascii="Palatino Linotype" w:hAnsi="Palatino Linotype"/>
        </w:rPr>
        <w:footnoteRef/>
      </w:r>
      <w:r>
        <w:rPr>
          <w:rFonts w:ascii="Palatino Linotype" w:hAnsi="Palatino Linotype"/>
        </w:rPr>
        <w:t xml:space="preserve"> </w:t>
      </w:r>
      <w:r>
        <w:rPr>
          <w:rFonts w:ascii="Palatino Linotype" w:hAnsi="Palatino Linotype"/>
          <w:sz w:val="16"/>
          <w:szCs w:val="16"/>
        </w:rPr>
        <w:t>Ver tesis con los siguientes rubros: “COPIAS CERTIFICADAS, OBLIGACIÓN DE EXPEDIR LAS” con localización: Tesis 265601. . Segunda Sala. Sexta Época. Semanario Judicial de la Federación. Volumen CIX, Tercera Parte, Pág. 14; “COPIAS. SÓLO TIENEN VALOR INDICIARIO AUN CUANDO ESTÉN CERTIFICADAS, SI NO HAY CERTEZA DE QUE SE COTEJARON CON LOS ORIGINALES”, con localización: 192413, Novena Época, Segunda Sala, Semanario Judicial de la Federación y su Gaceta, XI, Febrero de 2000, Página: 7; “COPIAS, FACULTAD DE CERTIFICACIÓN DE. LA TIENEN LOS FUNCIONARIOS PÚBLICOS, SI LA LEY CORRESPONDIENTE LOS AUTORIZA PARA ELLO, RESPECTO DE DOCUMENTOS QUE OBREN EN SUS ARCHIVOS, SOBRE ASUNTOS DE SU COMPETENCIA”, con localización: 196139. I.6o.C.40 K. Tribunales Colegiados de Circuito. Novena Época. Semanario Judicial de la Federación y su Gaceta. Tomo VII, Junio de 1998, Pág. 631.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A67F7" w14:textId="77777777" w:rsidR="002B4799" w:rsidRDefault="002B4799">
    <w:pPr>
      <w:rPr>
        <w:rFonts w:ascii="Cambria" w:eastAsia="Cambria" w:hAnsi="Cambria" w:cs="Cambria"/>
        <w:color w:val="000000"/>
      </w:rPr>
    </w:pPr>
    <w:r>
      <w:rPr>
        <w:noProof/>
      </w:rPr>
      <w:drawing>
        <wp:anchor distT="0" distB="0" distL="0" distR="0" simplePos="0" relativeHeight="251658240" behindDoc="1" locked="0" layoutInCell="1" hidden="0" allowOverlap="1" wp14:anchorId="737B4D0F" wp14:editId="5C481CA0">
          <wp:simplePos x="0" y="0"/>
          <wp:positionH relativeFrom="column">
            <wp:posOffset>-1080090</wp:posOffset>
          </wp:positionH>
          <wp:positionV relativeFrom="paragraph">
            <wp:posOffset>-488261</wp:posOffset>
          </wp:positionV>
          <wp:extent cx="7809865" cy="10165715"/>
          <wp:effectExtent l="0" t="0" r="0" b="0"/>
          <wp:wrapNone/>
          <wp:docPr id="19520825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2"/>
      <w:tblW w:w="5953" w:type="dxa"/>
      <w:tblInd w:w="3261" w:type="dxa"/>
      <w:tblLayout w:type="fixed"/>
      <w:tblLook w:val="0400" w:firstRow="0" w:lastRow="0" w:firstColumn="0" w:lastColumn="0" w:noHBand="0" w:noVBand="1"/>
    </w:tblPr>
    <w:tblGrid>
      <w:gridCol w:w="2489"/>
      <w:gridCol w:w="3464"/>
    </w:tblGrid>
    <w:tr w:rsidR="002B4799" w14:paraId="0791587B" w14:textId="77777777">
      <w:tc>
        <w:tcPr>
          <w:tcW w:w="2489" w:type="dxa"/>
        </w:tcPr>
        <w:p w14:paraId="5B034C04" w14:textId="77777777" w:rsidR="002B4799" w:rsidRDefault="002B479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288814C3" w14:textId="564758D7" w:rsidR="002B4799" w:rsidRDefault="002B4799" w:rsidP="00B05D53">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13289/INFOEM/IP/RR/202</w:t>
          </w:r>
          <w:r w:rsidR="003B2C01">
            <w:rPr>
              <w:rFonts w:ascii="Palatino Linotype" w:eastAsia="Palatino Linotype" w:hAnsi="Palatino Linotype" w:cs="Palatino Linotype"/>
              <w:b/>
              <w:sz w:val="22"/>
              <w:szCs w:val="22"/>
            </w:rPr>
            <w:t>5</w:t>
          </w:r>
        </w:p>
      </w:tc>
    </w:tr>
    <w:tr w:rsidR="002B4799" w14:paraId="704D61F0" w14:textId="77777777">
      <w:trPr>
        <w:trHeight w:val="228"/>
      </w:trPr>
      <w:tc>
        <w:tcPr>
          <w:tcW w:w="2489" w:type="dxa"/>
          <w:vAlign w:val="center"/>
        </w:tcPr>
        <w:p w14:paraId="6DFC1FC7" w14:textId="77777777" w:rsidR="002B4799" w:rsidRDefault="002B479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C5BFEDD" w14:textId="273B2973" w:rsidR="002B4799" w:rsidRDefault="002B4799">
          <w:pPr>
            <w:ind w:left="-45" w:right="176"/>
            <w:jc w:val="both"/>
            <w:rPr>
              <w:rFonts w:ascii="Palatino Linotype" w:eastAsia="Palatino Linotype" w:hAnsi="Palatino Linotype" w:cs="Palatino Linotype"/>
              <w:b/>
              <w:sz w:val="22"/>
              <w:szCs w:val="22"/>
            </w:rPr>
          </w:pPr>
          <w:r w:rsidRPr="00B05D53">
            <w:rPr>
              <w:rFonts w:ascii="Palatino Linotype" w:eastAsia="Palatino Linotype" w:hAnsi="Palatino Linotype" w:cs="Palatino Linotype"/>
              <w:b/>
              <w:sz w:val="22"/>
              <w:szCs w:val="22"/>
            </w:rPr>
            <w:t xml:space="preserve">Ayuntamiento de </w:t>
          </w:r>
          <w:r w:rsidRPr="004A081A">
            <w:rPr>
              <w:rFonts w:ascii="Palatino Linotype" w:eastAsia="Palatino Linotype" w:hAnsi="Palatino Linotype" w:cs="Palatino Linotype"/>
              <w:b/>
              <w:sz w:val="22"/>
              <w:szCs w:val="22"/>
            </w:rPr>
            <w:t>Ecatepec de Morelos</w:t>
          </w:r>
        </w:p>
      </w:tc>
    </w:tr>
    <w:tr w:rsidR="002B4799" w14:paraId="2B5F7CE9" w14:textId="77777777">
      <w:tc>
        <w:tcPr>
          <w:tcW w:w="2489" w:type="dxa"/>
          <w:vAlign w:val="center"/>
        </w:tcPr>
        <w:p w14:paraId="63B3258D" w14:textId="77777777" w:rsidR="002B4799" w:rsidRDefault="002B4799">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AB48BAE" w14:textId="77777777" w:rsidR="002B4799" w:rsidRDefault="002B4799">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0947C34D" w14:textId="77777777" w:rsidR="002B4799" w:rsidRDefault="002B4799">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D0846" w14:textId="77777777" w:rsidR="002B4799" w:rsidRDefault="002B4799">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557F20C8" wp14:editId="7DFE190E">
          <wp:simplePos x="0" y="0"/>
          <wp:positionH relativeFrom="page">
            <wp:align>left</wp:align>
          </wp:positionH>
          <wp:positionV relativeFrom="paragraph">
            <wp:posOffset>-369891</wp:posOffset>
          </wp:positionV>
          <wp:extent cx="7809865" cy="10165715"/>
          <wp:effectExtent l="0" t="0" r="635" b="6985"/>
          <wp:wrapNone/>
          <wp:docPr id="19520825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1"/>
      <w:tblW w:w="5953" w:type="dxa"/>
      <w:tblInd w:w="3261" w:type="dxa"/>
      <w:tblLayout w:type="fixed"/>
      <w:tblLook w:val="0400" w:firstRow="0" w:lastRow="0" w:firstColumn="0" w:lastColumn="0" w:noHBand="0" w:noVBand="1"/>
    </w:tblPr>
    <w:tblGrid>
      <w:gridCol w:w="2489"/>
      <w:gridCol w:w="3464"/>
    </w:tblGrid>
    <w:tr w:rsidR="002B4799" w14:paraId="71B7394D" w14:textId="77777777">
      <w:tc>
        <w:tcPr>
          <w:tcW w:w="2489" w:type="dxa"/>
        </w:tcPr>
        <w:p w14:paraId="6F6314B5" w14:textId="77777777" w:rsidR="002B4799" w:rsidRDefault="002B479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471E5532" w14:textId="1F0A4FCC" w:rsidR="002B4799" w:rsidRDefault="002B4799" w:rsidP="002B7ACF">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13289/INFOEM/IP/RR/202</w:t>
          </w:r>
          <w:r w:rsidR="003B2C01">
            <w:rPr>
              <w:rFonts w:ascii="Palatino Linotype" w:eastAsia="Palatino Linotype" w:hAnsi="Palatino Linotype" w:cs="Palatino Linotype"/>
              <w:b/>
              <w:sz w:val="22"/>
              <w:szCs w:val="22"/>
            </w:rPr>
            <w:t>5</w:t>
          </w:r>
        </w:p>
      </w:tc>
    </w:tr>
    <w:tr w:rsidR="002B4799" w14:paraId="4854212C" w14:textId="77777777">
      <w:tc>
        <w:tcPr>
          <w:tcW w:w="2489" w:type="dxa"/>
        </w:tcPr>
        <w:p w14:paraId="1D1E2C85" w14:textId="77777777" w:rsidR="002B4799" w:rsidRDefault="002B479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299EB360" w14:textId="767E10E3" w:rsidR="002B4799" w:rsidRPr="00E66354" w:rsidRDefault="00766FCE" w:rsidP="00766FCE">
          <w:pPr>
            <w:ind w:right="175"/>
            <w:jc w:val="both"/>
            <w:rPr>
              <w:rFonts w:ascii="Palatino Linotype" w:eastAsia="Palatino Linotype" w:hAnsi="Palatino Linotype" w:cs="Palatino Linotype"/>
              <w:b/>
              <w:sz w:val="22"/>
              <w:szCs w:val="22"/>
              <w:highlight w:val="yellow"/>
            </w:rPr>
          </w:pPr>
          <w:r>
            <w:rPr>
              <w:rFonts w:ascii="Palatino Linotype" w:eastAsia="Palatino Linotype" w:hAnsi="Palatino Linotype" w:cs="Palatino Linotype"/>
              <w:b/>
              <w:sz w:val="22"/>
              <w:szCs w:val="22"/>
            </w:rPr>
            <w:t xml:space="preserve">XXXXX XXX XXXXXXX XXXXXX XXXXXXX </w:t>
          </w:r>
        </w:p>
      </w:tc>
    </w:tr>
    <w:tr w:rsidR="002B4799" w14:paraId="082218B4" w14:textId="77777777">
      <w:trPr>
        <w:trHeight w:val="228"/>
      </w:trPr>
      <w:tc>
        <w:tcPr>
          <w:tcW w:w="2489" w:type="dxa"/>
          <w:vAlign w:val="center"/>
        </w:tcPr>
        <w:p w14:paraId="5E8970C5" w14:textId="77777777" w:rsidR="002B4799" w:rsidRDefault="002B479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9B822F6" w14:textId="1C379852" w:rsidR="002B4799" w:rsidRDefault="002B4799">
          <w:pPr>
            <w:ind w:left="-45" w:right="176"/>
            <w:jc w:val="both"/>
            <w:rPr>
              <w:rFonts w:ascii="Palatino Linotype" w:eastAsia="Palatino Linotype" w:hAnsi="Palatino Linotype" w:cs="Palatino Linotype"/>
              <w:b/>
              <w:sz w:val="22"/>
              <w:szCs w:val="22"/>
            </w:rPr>
          </w:pPr>
          <w:r w:rsidRPr="00B05D53">
            <w:rPr>
              <w:rFonts w:ascii="Palatino Linotype" w:eastAsia="Palatino Linotype" w:hAnsi="Palatino Linotype" w:cs="Palatino Linotype"/>
              <w:b/>
              <w:sz w:val="22"/>
              <w:szCs w:val="22"/>
            </w:rPr>
            <w:t xml:space="preserve">Ayuntamiento de </w:t>
          </w:r>
          <w:r w:rsidRPr="004A081A">
            <w:rPr>
              <w:rFonts w:ascii="Palatino Linotype" w:eastAsia="Palatino Linotype" w:hAnsi="Palatino Linotype" w:cs="Palatino Linotype"/>
              <w:b/>
              <w:sz w:val="22"/>
              <w:szCs w:val="22"/>
            </w:rPr>
            <w:t>Ecatepec de Morelos</w:t>
          </w:r>
        </w:p>
      </w:tc>
    </w:tr>
    <w:tr w:rsidR="002B4799" w14:paraId="10C74DEA" w14:textId="77777777">
      <w:tc>
        <w:tcPr>
          <w:tcW w:w="2489" w:type="dxa"/>
          <w:vAlign w:val="center"/>
        </w:tcPr>
        <w:p w14:paraId="1F1A62FF" w14:textId="77777777" w:rsidR="002B4799" w:rsidRDefault="002B4799">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52548D8D" w14:textId="77777777" w:rsidR="002B4799" w:rsidRDefault="002B4799">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904CEDE" w14:textId="77777777" w:rsidR="002B4799" w:rsidRDefault="002B479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5FA81C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BD6295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5565543"/>
    <w:multiLevelType w:val="multilevel"/>
    <w:tmpl w:val="41889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079D8"/>
    <w:multiLevelType w:val="multilevel"/>
    <w:tmpl w:val="3196C92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5C81A7C"/>
    <w:multiLevelType w:val="multilevel"/>
    <w:tmpl w:val="99D404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D25AD0"/>
    <w:multiLevelType w:val="hybridMultilevel"/>
    <w:tmpl w:val="9B3E43EC"/>
    <w:lvl w:ilvl="0" w:tplc="2F461F4A">
      <w:start w:val="1"/>
      <w:numFmt w:val="decimal"/>
      <w:lvlText w:val="%1."/>
      <w:lvlJc w:val="left"/>
      <w:pPr>
        <w:ind w:left="644" w:hanging="360"/>
      </w:pPr>
      <w:rPr>
        <w:rFonts w:hint="default"/>
        <w:b w:val="0"/>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ECA6C08"/>
    <w:multiLevelType w:val="multilevel"/>
    <w:tmpl w:val="77045766"/>
    <w:lvl w:ilvl="0">
      <w:start w:val="1"/>
      <w:numFmt w:val="decimal"/>
      <w:pStyle w:val="Listaconvietas3"/>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53180F32"/>
    <w:multiLevelType w:val="hybridMultilevel"/>
    <w:tmpl w:val="1B446B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620930DE"/>
    <w:multiLevelType w:val="multilevel"/>
    <w:tmpl w:val="07B63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C74710B"/>
    <w:multiLevelType w:val="hybridMultilevel"/>
    <w:tmpl w:val="A11085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0CC0097"/>
    <w:multiLevelType w:val="hybridMultilevel"/>
    <w:tmpl w:val="112625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9DE0164"/>
    <w:multiLevelType w:val="hybridMultilevel"/>
    <w:tmpl w:val="C172D9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BD4592D"/>
    <w:multiLevelType w:val="multilevel"/>
    <w:tmpl w:val="BB5AF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3"/>
  </w:num>
  <w:num w:numId="3">
    <w:abstractNumId w:val="14"/>
  </w:num>
  <w:num w:numId="4">
    <w:abstractNumId w:val="6"/>
  </w:num>
  <w:num w:numId="5">
    <w:abstractNumId w:val="9"/>
  </w:num>
  <w:num w:numId="6">
    <w:abstractNumId w:val="1"/>
  </w:num>
  <w:num w:numId="7">
    <w:abstractNumId w:val="0"/>
  </w:num>
  <w:num w:numId="8">
    <w:abstractNumId w:val="10"/>
  </w:num>
  <w:num w:numId="9">
    <w:abstractNumId w:val="5"/>
  </w:num>
  <w:num w:numId="10">
    <w:abstractNumId w:val="7"/>
  </w:num>
  <w:num w:numId="11">
    <w:abstractNumId w:val="11"/>
  </w:num>
  <w:num w:numId="12">
    <w:abstractNumId w:val="16"/>
  </w:num>
  <w:num w:numId="13">
    <w:abstractNumId w:val="4"/>
  </w:num>
  <w:num w:numId="14">
    <w:abstractNumId w:val="18"/>
  </w:num>
  <w:num w:numId="15">
    <w:abstractNumId w:val="2"/>
  </w:num>
  <w:num w:numId="16">
    <w:abstractNumId w:val="13"/>
  </w:num>
  <w:num w:numId="17">
    <w:abstractNumId w:val="15"/>
  </w:num>
  <w:num w:numId="18">
    <w:abstractNumId w:val="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A0"/>
    <w:rsid w:val="00001013"/>
    <w:rsid w:val="000024A8"/>
    <w:rsid w:val="00003CE4"/>
    <w:rsid w:val="00004D58"/>
    <w:rsid w:val="000064B5"/>
    <w:rsid w:val="00025977"/>
    <w:rsid w:val="000309D9"/>
    <w:rsid w:val="00031EA6"/>
    <w:rsid w:val="0003226E"/>
    <w:rsid w:val="00052702"/>
    <w:rsid w:val="00052F49"/>
    <w:rsid w:val="00057A0F"/>
    <w:rsid w:val="000653F9"/>
    <w:rsid w:val="000661FA"/>
    <w:rsid w:val="0006748F"/>
    <w:rsid w:val="000778D1"/>
    <w:rsid w:val="00077EEC"/>
    <w:rsid w:val="00082344"/>
    <w:rsid w:val="00082BC4"/>
    <w:rsid w:val="000844C8"/>
    <w:rsid w:val="0008515D"/>
    <w:rsid w:val="000967F1"/>
    <w:rsid w:val="000A4D58"/>
    <w:rsid w:val="000A73DA"/>
    <w:rsid w:val="000B0563"/>
    <w:rsid w:val="000B0896"/>
    <w:rsid w:val="000B0B75"/>
    <w:rsid w:val="000B3091"/>
    <w:rsid w:val="000B3BB5"/>
    <w:rsid w:val="000C3127"/>
    <w:rsid w:val="000D0779"/>
    <w:rsid w:val="000D66CA"/>
    <w:rsid w:val="000D757F"/>
    <w:rsid w:val="000E290B"/>
    <w:rsid w:val="000F2854"/>
    <w:rsid w:val="000F2C48"/>
    <w:rsid w:val="000F4585"/>
    <w:rsid w:val="000F727F"/>
    <w:rsid w:val="000F7A1C"/>
    <w:rsid w:val="00100890"/>
    <w:rsid w:val="00102489"/>
    <w:rsid w:val="0011644B"/>
    <w:rsid w:val="001258B7"/>
    <w:rsid w:val="0012634B"/>
    <w:rsid w:val="0013082E"/>
    <w:rsid w:val="001309F0"/>
    <w:rsid w:val="001322B9"/>
    <w:rsid w:val="00133291"/>
    <w:rsid w:val="001332FA"/>
    <w:rsid w:val="00134ECF"/>
    <w:rsid w:val="001361C4"/>
    <w:rsid w:val="00142C8A"/>
    <w:rsid w:val="00143423"/>
    <w:rsid w:val="00143A14"/>
    <w:rsid w:val="001440AD"/>
    <w:rsid w:val="001452C0"/>
    <w:rsid w:val="00156057"/>
    <w:rsid w:val="0016401F"/>
    <w:rsid w:val="001706FD"/>
    <w:rsid w:val="001735A5"/>
    <w:rsid w:val="00176DB0"/>
    <w:rsid w:val="00181750"/>
    <w:rsid w:val="0018290D"/>
    <w:rsid w:val="0018603F"/>
    <w:rsid w:val="00187914"/>
    <w:rsid w:val="00193278"/>
    <w:rsid w:val="001A0778"/>
    <w:rsid w:val="001A32EE"/>
    <w:rsid w:val="001A3D4C"/>
    <w:rsid w:val="001A72D4"/>
    <w:rsid w:val="001B415E"/>
    <w:rsid w:val="001B4AF8"/>
    <w:rsid w:val="001B5E9D"/>
    <w:rsid w:val="001B6B47"/>
    <w:rsid w:val="001C2313"/>
    <w:rsid w:val="001D1E76"/>
    <w:rsid w:val="001D2D68"/>
    <w:rsid w:val="001E0161"/>
    <w:rsid w:val="001E2666"/>
    <w:rsid w:val="001F3BA6"/>
    <w:rsid w:val="001F4FD3"/>
    <w:rsid w:val="001F64E8"/>
    <w:rsid w:val="0020097E"/>
    <w:rsid w:val="002056F0"/>
    <w:rsid w:val="0021130D"/>
    <w:rsid w:val="00212E14"/>
    <w:rsid w:val="00213EC3"/>
    <w:rsid w:val="00220FE4"/>
    <w:rsid w:val="00223511"/>
    <w:rsid w:val="0023072C"/>
    <w:rsid w:val="0023184C"/>
    <w:rsid w:val="00231963"/>
    <w:rsid w:val="002361D4"/>
    <w:rsid w:val="00253ED3"/>
    <w:rsid w:val="0026210D"/>
    <w:rsid w:val="00262320"/>
    <w:rsid w:val="00263FE8"/>
    <w:rsid w:val="0026479F"/>
    <w:rsid w:val="00271BB8"/>
    <w:rsid w:val="002725BF"/>
    <w:rsid w:val="00272921"/>
    <w:rsid w:val="00273787"/>
    <w:rsid w:val="002762E4"/>
    <w:rsid w:val="002825BA"/>
    <w:rsid w:val="0028645D"/>
    <w:rsid w:val="002951FD"/>
    <w:rsid w:val="002A6516"/>
    <w:rsid w:val="002A6FD5"/>
    <w:rsid w:val="002A7199"/>
    <w:rsid w:val="002B045F"/>
    <w:rsid w:val="002B2F3E"/>
    <w:rsid w:val="002B4799"/>
    <w:rsid w:val="002B7A69"/>
    <w:rsid w:val="002B7ACF"/>
    <w:rsid w:val="002C5F3C"/>
    <w:rsid w:val="002D0A03"/>
    <w:rsid w:val="002E3E87"/>
    <w:rsid w:val="002E461D"/>
    <w:rsid w:val="002F5AC8"/>
    <w:rsid w:val="00301FDC"/>
    <w:rsid w:val="0030662C"/>
    <w:rsid w:val="00330224"/>
    <w:rsid w:val="00331A87"/>
    <w:rsid w:val="0033200D"/>
    <w:rsid w:val="003325DF"/>
    <w:rsid w:val="00340A37"/>
    <w:rsid w:val="00340AD7"/>
    <w:rsid w:val="0034602C"/>
    <w:rsid w:val="0034618D"/>
    <w:rsid w:val="00360BCE"/>
    <w:rsid w:val="0036325A"/>
    <w:rsid w:val="00365022"/>
    <w:rsid w:val="003664C3"/>
    <w:rsid w:val="00367429"/>
    <w:rsid w:val="00370719"/>
    <w:rsid w:val="00370738"/>
    <w:rsid w:val="00372424"/>
    <w:rsid w:val="00375184"/>
    <w:rsid w:val="003779F8"/>
    <w:rsid w:val="00382740"/>
    <w:rsid w:val="00382B7F"/>
    <w:rsid w:val="00383985"/>
    <w:rsid w:val="0038463F"/>
    <w:rsid w:val="00386EDA"/>
    <w:rsid w:val="00397531"/>
    <w:rsid w:val="00397DDF"/>
    <w:rsid w:val="003A2BE9"/>
    <w:rsid w:val="003B2C01"/>
    <w:rsid w:val="003B589D"/>
    <w:rsid w:val="003B5E1E"/>
    <w:rsid w:val="003C0FC7"/>
    <w:rsid w:val="003C488E"/>
    <w:rsid w:val="003C6617"/>
    <w:rsid w:val="003D4C05"/>
    <w:rsid w:val="003D61F9"/>
    <w:rsid w:val="003D6643"/>
    <w:rsid w:val="003E3995"/>
    <w:rsid w:val="003F3603"/>
    <w:rsid w:val="003F50C0"/>
    <w:rsid w:val="0040045C"/>
    <w:rsid w:val="00420290"/>
    <w:rsid w:val="00420C30"/>
    <w:rsid w:val="00424DFD"/>
    <w:rsid w:val="00430882"/>
    <w:rsid w:val="00435111"/>
    <w:rsid w:val="004439F2"/>
    <w:rsid w:val="00455524"/>
    <w:rsid w:val="00455C2C"/>
    <w:rsid w:val="00457843"/>
    <w:rsid w:val="00460C75"/>
    <w:rsid w:val="00463F0F"/>
    <w:rsid w:val="00463FB8"/>
    <w:rsid w:val="00471407"/>
    <w:rsid w:val="004730D4"/>
    <w:rsid w:val="004802E9"/>
    <w:rsid w:val="00490112"/>
    <w:rsid w:val="00494072"/>
    <w:rsid w:val="00494CB2"/>
    <w:rsid w:val="004A081A"/>
    <w:rsid w:val="004A30AD"/>
    <w:rsid w:val="004A5926"/>
    <w:rsid w:val="004A6693"/>
    <w:rsid w:val="004B0BBC"/>
    <w:rsid w:val="004B35BD"/>
    <w:rsid w:val="004B68AF"/>
    <w:rsid w:val="004D1FF5"/>
    <w:rsid w:val="004D5C20"/>
    <w:rsid w:val="004D73B7"/>
    <w:rsid w:val="004D7DF2"/>
    <w:rsid w:val="004E1DF4"/>
    <w:rsid w:val="004F03DE"/>
    <w:rsid w:val="004F1364"/>
    <w:rsid w:val="004F74FF"/>
    <w:rsid w:val="00500DA9"/>
    <w:rsid w:val="00503F99"/>
    <w:rsid w:val="00504175"/>
    <w:rsid w:val="00504FA2"/>
    <w:rsid w:val="0050510A"/>
    <w:rsid w:val="00510048"/>
    <w:rsid w:val="0051150E"/>
    <w:rsid w:val="0051666B"/>
    <w:rsid w:val="00530D60"/>
    <w:rsid w:val="00533E33"/>
    <w:rsid w:val="00535FC8"/>
    <w:rsid w:val="00541317"/>
    <w:rsid w:val="00544E94"/>
    <w:rsid w:val="00546E25"/>
    <w:rsid w:val="005475B9"/>
    <w:rsid w:val="00547E14"/>
    <w:rsid w:val="00552496"/>
    <w:rsid w:val="00554822"/>
    <w:rsid w:val="00561AA1"/>
    <w:rsid w:val="005732B7"/>
    <w:rsid w:val="00574CB0"/>
    <w:rsid w:val="00574FB2"/>
    <w:rsid w:val="005771D4"/>
    <w:rsid w:val="005810A6"/>
    <w:rsid w:val="0058459E"/>
    <w:rsid w:val="005B22BA"/>
    <w:rsid w:val="005B676A"/>
    <w:rsid w:val="005C0C18"/>
    <w:rsid w:val="005C5ECD"/>
    <w:rsid w:val="005E060F"/>
    <w:rsid w:val="005E3109"/>
    <w:rsid w:val="005F4F51"/>
    <w:rsid w:val="005F52A0"/>
    <w:rsid w:val="005F5AAF"/>
    <w:rsid w:val="00607730"/>
    <w:rsid w:val="00607BD2"/>
    <w:rsid w:val="00610DDC"/>
    <w:rsid w:val="006262EB"/>
    <w:rsid w:val="00627673"/>
    <w:rsid w:val="00641BF3"/>
    <w:rsid w:val="00655EF3"/>
    <w:rsid w:val="0066021E"/>
    <w:rsid w:val="0066336C"/>
    <w:rsid w:val="00663D56"/>
    <w:rsid w:val="006812D0"/>
    <w:rsid w:val="00694AA0"/>
    <w:rsid w:val="006A0D3C"/>
    <w:rsid w:val="006A2500"/>
    <w:rsid w:val="006A35B9"/>
    <w:rsid w:val="006A45BC"/>
    <w:rsid w:val="006B339F"/>
    <w:rsid w:val="006B4AEC"/>
    <w:rsid w:val="006C1064"/>
    <w:rsid w:val="006C4BAE"/>
    <w:rsid w:val="006E155A"/>
    <w:rsid w:val="006E15E3"/>
    <w:rsid w:val="006E22E1"/>
    <w:rsid w:val="006F3A18"/>
    <w:rsid w:val="006F4589"/>
    <w:rsid w:val="006F76B7"/>
    <w:rsid w:val="00702E1B"/>
    <w:rsid w:val="007048DE"/>
    <w:rsid w:val="007049C9"/>
    <w:rsid w:val="0070776B"/>
    <w:rsid w:val="007161DC"/>
    <w:rsid w:val="007165D6"/>
    <w:rsid w:val="0072757A"/>
    <w:rsid w:val="007304EC"/>
    <w:rsid w:val="00731EF3"/>
    <w:rsid w:val="0073279E"/>
    <w:rsid w:val="007333D5"/>
    <w:rsid w:val="007347D2"/>
    <w:rsid w:val="0074045F"/>
    <w:rsid w:val="00743D96"/>
    <w:rsid w:val="00745294"/>
    <w:rsid w:val="00746A44"/>
    <w:rsid w:val="00751011"/>
    <w:rsid w:val="00753672"/>
    <w:rsid w:val="0075679E"/>
    <w:rsid w:val="00760B02"/>
    <w:rsid w:val="0076259D"/>
    <w:rsid w:val="0076423F"/>
    <w:rsid w:val="007643E2"/>
    <w:rsid w:val="00766FCE"/>
    <w:rsid w:val="0077158A"/>
    <w:rsid w:val="00771F7F"/>
    <w:rsid w:val="007728C9"/>
    <w:rsid w:val="00783C75"/>
    <w:rsid w:val="00786E97"/>
    <w:rsid w:val="007902B4"/>
    <w:rsid w:val="007A29DA"/>
    <w:rsid w:val="007A3A27"/>
    <w:rsid w:val="007A3B39"/>
    <w:rsid w:val="007A5B71"/>
    <w:rsid w:val="007D00F0"/>
    <w:rsid w:val="007D0435"/>
    <w:rsid w:val="007D5593"/>
    <w:rsid w:val="007E3B6A"/>
    <w:rsid w:val="007F3CCB"/>
    <w:rsid w:val="007F66F5"/>
    <w:rsid w:val="00802635"/>
    <w:rsid w:val="0080393C"/>
    <w:rsid w:val="00804671"/>
    <w:rsid w:val="008107E2"/>
    <w:rsid w:val="0081295B"/>
    <w:rsid w:val="00815FD0"/>
    <w:rsid w:val="00817A04"/>
    <w:rsid w:val="00820E38"/>
    <w:rsid w:val="0082626C"/>
    <w:rsid w:val="00827F98"/>
    <w:rsid w:val="00830AED"/>
    <w:rsid w:val="00831C7F"/>
    <w:rsid w:val="00832336"/>
    <w:rsid w:val="00837E5E"/>
    <w:rsid w:val="00842BEC"/>
    <w:rsid w:val="00843216"/>
    <w:rsid w:val="0084377E"/>
    <w:rsid w:val="00854416"/>
    <w:rsid w:val="00857C0C"/>
    <w:rsid w:val="0086388D"/>
    <w:rsid w:val="00865619"/>
    <w:rsid w:val="00867295"/>
    <w:rsid w:val="008823E0"/>
    <w:rsid w:val="00882DDC"/>
    <w:rsid w:val="00883836"/>
    <w:rsid w:val="0088463F"/>
    <w:rsid w:val="00890904"/>
    <w:rsid w:val="008914DE"/>
    <w:rsid w:val="0089235A"/>
    <w:rsid w:val="00897BD0"/>
    <w:rsid w:val="008A4625"/>
    <w:rsid w:val="008A4B43"/>
    <w:rsid w:val="008B0444"/>
    <w:rsid w:val="008B2980"/>
    <w:rsid w:val="008B3A1B"/>
    <w:rsid w:val="008B474D"/>
    <w:rsid w:val="008B7DA1"/>
    <w:rsid w:val="008D1B57"/>
    <w:rsid w:val="008D4E23"/>
    <w:rsid w:val="008E0B27"/>
    <w:rsid w:val="008E1CAA"/>
    <w:rsid w:val="008F2EDD"/>
    <w:rsid w:val="008F5E0C"/>
    <w:rsid w:val="008F735D"/>
    <w:rsid w:val="008F7C04"/>
    <w:rsid w:val="009016C5"/>
    <w:rsid w:val="00907832"/>
    <w:rsid w:val="00907CDD"/>
    <w:rsid w:val="00924016"/>
    <w:rsid w:val="0092492E"/>
    <w:rsid w:val="00927DB9"/>
    <w:rsid w:val="0093285E"/>
    <w:rsid w:val="0094425D"/>
    <w:rsid w:val="00945003"/>
    <w:rsid w:val="009452CA"/>
    <w:rsid w:val="009454C1"/>
    <w:rsid w:val="00947504"/>
    <w:rsid w:val="009502ED"/>
    <w:rsid w:val="00950E4F"/>
    <w:rsid w:val="0095178C"/>
    <w:rsid w:val="00957318"/>
    <w:rsid w:val="00967C99"/>
    <w:rsid w:val="009711CB"/>
    <w:rsid w:val="00980D6F"/>
    <w:rsid w:val="00980D84"/>
    <w:rsid w:val="009844BB"/>
    <w:rsid w:val="00984B1B"/>
    <w:rsid w:val="009952D9"/>
    <w:rsid w:val="009A3A3C"/>
    <w:rsid w:val="009A3E3A"/>
    <w:rsid w:val="009A6189"/>
    <w:rsid w:val="009B29D3"/>
    <w:rsid w:val="009B4ADD"/>
    <w:rsid w:val="009B5195"/>
    <w:rsid w:val="009C1FBD"/>
    <w:rsid w:val="009D0D80"/>
    <w:rsid w:val="009D3E26"/>
    <w:rsid w:val="009D42B1"/>
    <w:rsid w:val="009D73E1"/>
    <w:rsid w:val="009E1382"/>
    <w:rsid w:val="009F1E60"/>
    <w:rsid w:val="009F4157"/>
    <w:rsid w:val="009F5343"/>
    <w:rsid w:val="009F561E"/>
    <w:rsid w:val="009F7CB0"/>
    <w:rsid w:val="00A036C9"/>
    <w:rsid w:val="00A12096"/>
    <w:rsid w:val="00A16791"/>
    <w:rsid w:val="00A17271"/>
    <w:rsid w:val="00A20BCE"/>
    <w:rsid w:val="00A2767F"/>
    <w:rsid w:val="00A303D7"/>
    <w:rsid w:val="00A30507"/>
    <w:rsid w:val="00A3574B"/>
    <w:rsid w:val="00A45F8C"/>
    <w:rsid w:val="00A52B1B"/>
    <w:rsid w:val="00A57A19"/>
    <w:rsid w:val="00A618B3"/>
    <w:rsid w:val="00A64F2B"/>
    <w:rsid w:val="00A67B15"/>
    <w:rsid w:val="00A755DC"/>
    <w:rsid w:val="00A84826"/>
    <w:rsid w:val="00A8727F"/>
    <w:rsid w:val="00A97285"/>
    <w:rsid w:val="00AA085F"/>
    <w:rsid w:val="00AB180E"/>
    <w:rsid w:val="00AB30B2"/>
    <w:rsid w:val="00AC01DB"/>
    <w:rsid w:val="00AC581C"/>
    <w:rsid w:val="00AC70C7"/>
    <w:rsid w:val="00AD444D"/>
    <w:rsid w:val="00AD7617"/>
    <w:rsid w:val="00AE4C25"/>
    <w:rsid w:val="00AE52C6"/>
    <w:rsid w:val="00AF1F2F"/>
    <w:rsid w:val="00B039D1"/>
    <w:rsid w:val="00B04225"/>
    <w:rsid w:val="00B04701"/>
    <w:rsid w:val="00B04E6A"/>
    <w:rsid w:val="00B05D53"/>
    <w:rsid w:val="00B06597"/>
    <w:rsid w:val="00B072FD"/>
    <w:rsid w:val="00B101BA"/>
    <w:rsid w:val="00B101D9"/>
    <w:rsid w:val="00B14870"/>
    <w:rsid w:val="00B14A23"/>
    <w:rsid w:val="00B177E5"/>
    <w:rsid w:val="00B21B75"/>
    <w:rsid w:val="00B221EC"/>
    <w:rsid w:val="00B3392A"/>
    <w:rsid w:val="00B34E8D"/>
    <w:rsid w:val="00B5122B"/>
    <w:rsid w:val="00B70D85"/>
    <w:rsid w:val="00B748A2"/>
    <w:rsid w:val="00B853F2"/>
    <w:rsid w:val="00B86CD7"/>
    <w:rsid w:val="00B90F26"/>
    <w:rsid w:val="00B919FC"/>
    <w:rsid w:val="00BB3325"/>
    <w:rsid w:val="00BB495C"/>
    <w:rsid w:val="00BB55F5"/>
    <w:rsid w:val="00BC7DE5"/>
    <w:rsid w:val="00BD020A"/>
    <w:rsid w:val="00BD504B"/>
    <w:rsid w:val="00BE3EF4"/>
    <w:rsid w:val="00C00558"/>
    <w:rsid w:val="00C01C2E"/>
    <w:rsid w:val="00C01D5D"/>
    <w:rsid w:val="00C074F5"/>
    <w:rsid w:val="00C10893"/>
    <w:rsid w:val="00C1117A"/>
    <w:rsid w:val="00C1140A"/>
    <w:rsid w:val="00C1289E"/>
    <w:rsid w:val="00C203BF"/>
    <w:rsid w:val="00C24F74"/>
    <w:rsid w:val="00C314BD"/>
    <w:rsid w:val="00C37F2C"/>
    <w:rsid w:val="00C438D0"/>
    <w:rsid w:val="00C505A8"/>
    <w:rsid w:val="00C531D8"/>
    <w:rsid w:val="00C5376A"/>
    <w:rsid w:val="00C62663"/>
    <w:rsid w:val="00C85C03"/>
    <w:rsid w:val="00C87B6B"/>
    <w:rsid w:val="00C90819"/>
    <w:rsid w:val="00C95F85"/>
    <w:rsid w:val="00C97F6E"/>
    <w:rsid w:val="00CA0E3E"/>
    <w:rsid w:val="00CA1A20"/>
    <w:rsid w:val="00CB469A"/>
    <w:rsid w:val="00CC23F2"/>
    <w:rsid w:val="00CC3687"/>
    <w:rsid w:val="00CD0F50"/>
    <w:rsid w:val="00CD210A"/>
    <w:rsid w:val="00CD2E1D"/>
    <w:rsid w:val="00CE74C1"/>
    <w:rsid w:val="00CE7F47"/>
    <w:rsid w:val="00D067D1"/>
    <w:rsid w:val="00D1493B"/>
    <w:rsid w:val="00D17A09"/>
    <w:rsid w:val="00D25A09"/>
    <w:rsid w:val="00D46BA0"/>
    <w:rsid w:val="00D53C4C"/>
    <w:rsid w:val="00D53CC1"/>
    <w:rsid w:val="00D571DC"/>
    <w:rsid w:val="00D573F2"/>
    <w:rsid w:val="00D60D79"/>
    <w:rsid w:val="00D62902"/>
    <w:rsid w:val="00D63869"/>
    <w:rsid w:val="00D71236"/>
    <w:rsid w:val="00D71F7C"/>
    <w:rsid w:val="00D74224"/>
    <w:rsid w:val="00D76018"/>
    <w:rsid w:val="00D761B4"/>
    <w:rsid w:val="00D77EC0"/>
    <w:rsid w:val="00D80AEE"/>
    <w:rsid w:val="00D86C32"/>
    <w:rsid w:val="00D926EE"/>
    <w:rsid w:val="00DA3C43"/>
    <w:rsid w:val="00DB513A"/>
    <w:rsid w:val="00DC1F5B"/>
    <w:rsid w:val="00DD1E25"/>
    <w:rsid w:val="00DD4CBD"/>
    <w:rsid w:val="00DE0976"/>
    <w:rsid w:val="00DE5ADE"/>
    <w:rsid w:val="00DF17EB"/>
    <w:rsid w:val="00DF27AC"/>
    <w:rsid w:val="00DF478E"/>
    <w:rsid w:val="00E00E1B"/>
    <w:rsid w:val="00E04FEE"/>
    <w:rsid w:val="00E1082D"/>
    <w:rsid w:val="00E16633"/>
    <w:rsid w:val="00E24D85"/>
    <w:rsid w:val="00E311B5"/>
    <w:rsid w:val="00E40785"/>
    <w:rsid w:val="00E417D0"/>
    <w:rsid w:val="00E43918"/>
    <w:rsid w:val="00E44511"/>
    <w:rsid w:val="00E45884"/>
    <w:rsid w:val="00E47B11"/>
    <w:rsid w:val="00E516E2"/>
    <w:rsid w:val="00E53308"/>
    <w:rsid w:val="00E545C2"/>
    <w:rsid w:val="00E56B57"/>
    <w:rsid w:val="00E60046"/>
    <w:rsid w:val="00E61814"/>
    <w:rsid w:val="00E654C1"/>
    <w:rsid w:val="00E657BC"/>
    <w:rsid w:val="00E66354"/>
    <w:rsid w:val="00E80376"/>
    <w:rsid w:val="00E80A74"/>
    <w:rsid w:val="00E84CB1"/>
    <w:rsid w:val="00E91C46"/>
    <w:rsid w:val="00E92BDE"/>
    <w:rsid w:val="00E93B86"/>
    <w:rsid w:val="00E94EF9"/>
    <w:rsid w:val="00EA2309"/>
    <w:rsid w:val="00EA5CD6"/>
    <w:rsid w:val="00EB032A"/>
    <w:rsid w:val="00EB6F38"/>
    <w:rsid w:val="00EC099F"/>
    <w:rsid w:val="00EC3811"/>
    <w:rsid w:val="00EC6393"/>
    <w:rsid w:val="00EC6ECD"/>
    <w:rsid w:val="00ED09D2"/>
    <w:rsid w:val="00ED39E8"/>
    <w:rsid w:val="00ED4246"/>
    <w:rsid w:val="00ED519E"/>
    <w:rsid w:val="00ED661A"/>
    <w:rsid w:val="00ED7854"/>
    <w:rsid w:val="00EE042E"/>
    <w:rsid w:val="00EF3FE2"/>
    <w:rsid w:val="00F136A4"/>
    <w:rsid w:val="00F1393C"/>
    <w:rsid w:val="00F13C63"/>
    <w:rsid w:val="00F20BEB"/>
    <w:rsid w:val="00F21D6B"/>
    <w:rsid w:val="00F221D2"/>
    <w:rsid w:val="00F231B8"/>
    <w:rsid w:val="00F2377F"/>
    <w:rsid w:val="00F25CB7"/>
    <w:rsid w:val="00F25E2D"/>
    <w:rsid w:val="00F30612"/>
    <w:rsid w:val="00F30EE8"/>
    <w:rsid w:val="00F33904"/>
    <w:rsid w:val="00F33D9D"/>
    <w:rsid w:val="00F3756A"/>
    <w:rsid w:val="00F40A78"/>
    <w:rsid w:val="00F50F75"/>
    <w:rsid w:val="00F539C1"/>
    <w:rsid w:val="00F53D4C"/>
    <w:rsid w:val="00F5701B"/>
    <w:rsid w:val="00F62348"/>
    <w:rsid w:val="00F62898"/>
    <w:rsid w:val="00F74D28"/>
    <w:rsid w:val="00F809E5"/>
    <w:rsid w:val="00F827DF"/>
    <w:rsid w:val="00F8506A"/>
    <w:rsid w:val="00F90070"/>
    <w:rsid w:val="00F95385"/>
    <w:rsid w:val="00F96B54"/>
    <w:rsid w:val="00F97716"/>
    <w:rsid w:val="00FA0237"/>
    <w:rsid w:val="00FA3C9A"/>
    <w:rsid w:val="00FB0090"/>
    <w:rsid w:val="00FB62A9"/>
    <w:rsid w:val="00FC0744"/>
    <w:rsid w:val="00FC30CF"/>
    <w:rsid w:val="00FC36ED"/>
    <w:rsid w:val="00FC3BE5"/>
    <w:rsid w:val="00FC4683"/>
    <w:rsid w:val="00FC54A4"/>
    <w:rsid w:val="00FD1D03"/>
    <w:rsid w:val="00FD24EC"/>
    <w:rsid w:val="00FE251A"/>
    <w:rsid w:val="00FE3915"/>
    <w:rsid w:val="00FE75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6C3C"/>
  <w15:docId w15:val="{4E3D6FF7-1FD1-4EA6-BDE9-C4C1B259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3">
    <w:name w:val="TableNormal3"/>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5">
    <w:name w:val="Table Normal15"/>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6">
    <w:name w:val="Table Normal1"/>
    <w:tblPr>
      <w:tblCellMar>
        <w:top w:w="0" w:type="dxa"/>
        <w:left w:w="0" w:type="dxa"/>
        <w:bottom w:w="0" w:type="dxa"/>
        <w:right w:w="0" w:type="dxa"/>
      </w:tblCellMar>
    </w:tblPr>
  </w:style>
  <w:style w:type="table" w:customStyle="1" w:styleId="47">
    <w:name w:val="47"/>
    <w:basedOn w:val="TableNormal16"/>
    <w:tblPr>
      <w:tblStyleRowBandSize w:val="1"/>
      <w:tblStyleColBandSize w:val="1"/>
      <w:tblCellMar>
        <w:left w:w="115" w:type="dxa"/>
        <w:right w:w="115" w:type="dxa"/>
      </w:tblCellMar>
    </w:tblPr>
  </w:style>
  <w:style w:type="table" w:customStyle="1" w:styleId="46">
    <w:name w:val="46"/>
    <w:basedOn w:val="TableNormal16"/>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nhideWhenUsed/>
    <w:qFormat/>
    <w:rsid w:val="00806B5C"/>
    <w:rPr>
      <w:vertAlign w:val="superscript"/>
    </w:rPr>
  </w:style>
  <w:style w:type="table" w:customStyle="1" w:styleId="45">
    <w:name w:val="45"/>
    <w:basedOn w:val="TableNormal16"/>
    <w:tblPr>
      <w:tblStyleRowBandSize w:val="1"/>
      <w:tblStyleColBandSize w:val="1"/>
      <w:tblCellMar>
        <w:left w:w="115" w:type="dxa"/>
        <w:right w:w="115" w:type="dxa"/>
      </w:tblCellMar>
    </w:tblPr>
  </w:style>
  <w:style w:type="table" w:customStyle="1" w:styleId="44">
    <w:name w:val="44"/>
    <w:basedOn w:val="TableNormal16"/>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43"/>
    <w:basedOn w:val="TableNormal20"/>
    <w:tblPr>
      <w:tblStyleRowBandSize w:val="1"/>
      <w:tblStyleColBandSize w:val="1"/>
      <w:tblCellMar>
        <w:left w:w="115" w:type="dxa"/>
        <w:right w:w="115" w:type="dxa"/>
      </w:tblCellMar>
    </w:tblPr>
  </w:style>
  <w:style w:type="table" w:customStyle="1" w:styleId="42">
    <w:name w:val="42"/>
    <w:basedOn w:val="TableNormal2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41">
    <w:name w:val="41"/>
    <w:basedOn w:val="TableNormal30"/>
    <w:tblPr>
      <w:tblStyleRowBandSize w:val="1"/>
      <w:tblStyleColBandSize w:val="1"/>
      <w:tblCellMar>
        <w:left w:w="108" w:type="dxa"/>
        <w:right w:w="108" w:type="dxa"/>
      </w:tblCellMar>
    </w:tblPr>
  </w:style>
  <w:style w:type="table" w:customStyle="1" w:styleId="40">
    <w:name w:val="40"/>
    <w:basedOn w:val="TableNormal30"/>
    <w:tblPr>
      <w:tblStyleRowBandSize w:val="1"/>
      <w:tblStyleColBandSize w:val="1"/>
      <w:tblCellMar>
        <w:left w:w="108" w:type="dxa"/>
        <w:right w:w="108" w:type="dxa"/>
      </w:tblCellMar>
    </w:tblPr>
  </w:style>
  <w:style w:type="table" w:customStyle="1" w:styleId="39">
    <w:name w:val="39"/>
    <w:basedOn w:val="TableNormal30"/>
    <w:tblPr>
      <w:tblStyleRowBandSize w:val="1"/>
      <w:tblStyleColBandSize w:val="1"/>
      <w:tblCellMar>
        <w:left w:w="108" w:type="dxa"/>
        <w:right w:w="108" w:type="dxa"/>
      </w:tblCellMar>
    </w:tblPr>
  </w:style>
  <w:style w:type="table" w:customStyle="1" w:styleId="38">
    <w:name w:val="38"/>
    <w:basedOn w:val="TableNormal30"/>
    <w:tblPr>
      <w:tblStyleRowBandSize w:val="1"/>
      <w:tblStyleColBandSize w:val="1"/>
      <w:tblCellMar>
        <w:left w:w="108" w:type="dxa"/>
        <w:right w:w="108" w:type="dxa"/>
      </w:tblCellMar>
    </w:tblPr>
  </w:style>
  <w:style w:type="table" w:customStyle="1" w:styleId="37">
    <w:name w:val="37"/>
    <w:basedOn w:val="TableNormal30"/>
    <w:tblPr>
      <w:tblStyleRowBandSize w:val="1"/>
      <w:tblStyleColBandSize w:val="1"/>
      <w:tblCellMar>
        <w:left w:w="108" w:type="dxa"/>
        <w:right w:w="108" w:type="dxa"/>
      </w:tblCellMar>
    </w:tblPr>
  </w:style>
  <w:style w:type="table" w:customStyle="1" w:styleId="36">
    <w:name w:val="36"/>
    <w:basedOn w:val="TableNormal30"/>
    <w:tblPr>
      <w:tblStyleRowBandSize w:val="1"/>
      <w:tblStyleColBandSize w:val="1"/>
      <w:tblCellMar>
        <w:left w:w="115" w:type="dxa"/>
        <w:right w:w="115" w:type="dxa"/>
      </w:tblCellMar>
    </w:tblPr>
  </w:style>
  <w:style w:type="table" w:customStyle="1" w:styleId="35">
    <w:name w:val="35"/>
    <w:basedOn w:val="TableNormal30"/>
    <w:tblPr>
      <w:tblStyleRowBandSize w:val="1"/>
      <w:tblStyleColBandSize w:val="1"/>
      <w:tblCellMar>
        <w:left w:w="115" w:type="dxa"/>
        <w:right w:w="115" w:type="dxa"/>
      </w:tblCellMar>
    </w:tblPr>
  </w:style>
  <w:style w:type="table" w:customStyle="1" w:styleId="34">
    <w:name w:val="34"/>
    <w:basedOn w:val="TableNormal4"/>
    <w:tblPr>
      <w:tblStyleRowBandSize w:val="1"/>
      <w:tblStyleColBandSize w:val="1"/>
      <w:tblCellMar>
        <w:left w:w="108" w:type="dxa"/>
        <w:right w:w="108" w:type="dxa"/>
      </w:tblCellMar>
    </w:tblPr>
  </w:style>
  <w:style w:type="table" w:customStyle="1" w:styleId="33">
    <w:name w:val="33"/>
    <w:basedOn w:val="TableNormal4"/>
    <w:tblPr>
      <w:tblStyleRowBandSize w:val="1"/>
      <w:tblStyleColBandSize w:val="1"/>
      <w:tblCellMar>
        <w:left w:w="115" w:type="dxa"/>
        <w:right w:w="115" w:type="dxa"/>
      </w:tblCellMar>
    </w:tblPr>
  </w:style>
  <w:style w:type="table" w:customStyle="1" w:styleId="32">
    <w:name w:val="32"/>
    <w:basedOn w:val="TableNormal4"/>
    <w:tblPr>
      <w:tblStyleRowBandSize w:val="1"/>
      <w:tblStyleColBandSize w:val="1"/>
      <w:tblCellMar>
        <w:left w:w="115" w:type="dxa"/>
        <w:right w:w="115" w:type="dxa"/>
      </w:tblCellMar>
    </w:tblPr>
  </w:style>
  <w:style w:type="table" w:customStyle="1" w:styleId="31">
    <w:name w:val="31"/>
    <w:basedOn w:val="TableNormal5"/>
    <w:tblPr>
      <w:tblStyleRowBandSize w:val="1"/>
      <w:tblStyleColBandSize w:val="1"/>
      <w:tblCellMar>
        <w:left w:w="115" w:type="dxa"/>
        <w:right w:w="115" w:type="dxa"/>
      </w:tblCellMar>
    </w:tblPr>
  </w:style>
  <w:style w:type="table" w:customStyle="1" w:styleId="30">
    <w:name w:val="30"/>
    <w:basedOn w:val="TableNormal5"/>
    <w:tblPr>
      <w:tblStyleRowBandSize w:val="1"/>
      <w:tblStyleColBandSize w:val="1"/>
      <w:tblCellMar>
        <w:left w:w="115" w:type="dxa"/>
        <w:right w:w="115" w:type="dxa"/>
      </w:tblCellMar>
    </w:tblPr>
  </w:style>
  <w:style w:type="table" w:customStyle="1" w:styleId="29">
    <w:name w:val="29"/>
    <w:basedOn w:val="TableNormal5"/>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7"/>
    <w:tblPr>
      <w:tblStyleRowBandSize w:val="1"/>
      <w:tblStyleColBandSize w:val="1"/>
      <w:tblCellMar>
        <w:left w:w="115" w:type="dxa"/>
        <w:right w:w="115" w:type="dxa"/>
      </w:tblCellMar>
    </w:tblPr>
  </w:style>
  <w:style w:type="table" w:customStyle="1" w:styleId="25">
    <w:name w:val="25"/>
    <w:basedOn w:val="TableNormal7"/>
    <w:tblPr>
      <w:tblStyleRowBandSize w:val="1"/>
      <w:tblStyleColBandSize w:val="1"/>
      <w:tblCellMar>
        <w:left w:w="115" w:type="dxa"/>
        <w:right w:w="115" w:type="dxa"/>
      </w:tblCellMar>
    </w:tblPr>
  </w:style>
  <w:style w:type="table" w:customStyle="1" w:styleId="24">
    <w:name w:val="24"/>
    <w:basedOn w:val="TableNormal8"/>
    <w:tblPr>
      <w:tblStyleRowBandSize w:val="1"/>
      <w:tblStyleColBandSize w:val="1"/>
      <w:tblCellMar>
        <w:left w:w="115" w:type="dxa"/>
        <w:right w:w="115" w:type="dxa"/>
      </w:tblCellMar>
    </w:tblPr>
  </w:style>
  <w:style w:type="table" w:customStyle="1" w:styleId="23">
    <w:name w:val="23"/>
    <w:basedOn w:val="TableNormal8"/>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22">
    <w:name w:val="22"/>
    <w:basedOn w:val="TableNormal9"/>
    <w:tblPr>
      <w:tblStyleRowBandSize w:val="1"/>
      <w:tblStyleColBandSize w:val="1"/>
      <w:tblCellMar>
        <w:left w:w="115" w:type="dxa"/>
        <w:right w:w="115" w:type="dxa"/>
      </w:tblCellMar>
    </w:tblPr>
  </w:style>
  <w:style w:type="table" w:customStyle="1" w:styleId="21">
    <w:name w:val="21"/>
    <w:basedOn w:val="TableNormal9"/>
    <w:tblPr>
      <w:tblStyleRowBandSize w:val="1"/>
      <w:tblStyleColBandSize w:val="1"/>
      <w:tblCellMar>
        <w:left w:w="115" w:type="dxa"/>
        <w:right w:w="115" w:type="dxa"/>
      </w:tblCellMar>
    </w:tblPr>
  </w:style>
  <w:style w:type="table" w:customStyle="1" w:styleId="20">
    <w:name w:val="20"/>
    <w:basedOn w:val="TableNormal10"/>
    <w:tblPr>
      <w:tblStyleRowBandSize w:val="1"/>
      <w:tblStyleColBandSize w:val="1"/>
      <w:tblCellMar>
        <w:left w:w="115" w:type="dxa"/>
        <w:right w:w="115" w:type="dxa"/>
      </w:tblCellMar>
    </w:tblPr>
  </w:style>
  <w:style w:type="table" w:customStyle="1" w:styleId="19">
    <w:name w:val="19"/>
    <w:basedOn w:val="TableNormal10"/>
    <w:tblPr>
      <w:tblStyleRowBandSize w:val="1"/>
      <w:tblStyleColBandSize w:val="1"/>
      <w:tblCellMar>
        <w:left w:w="115" w:type="dxa"/>
        <w:right w:w="115" w:type="dxa"/>
      </w:tblCellMar>
    </w:tblPr>
  </w:style>
  <w:style w:type="table" w:customStyle="1" w:styleId="18">
    <w:name w:val="18"/>
    <w:basedOn w:val="TableNormal11"/>
    <w:tblPr>
      <w:tblStyleRowBandSize w:val="1"/>
      <w:tblStyleColBandSize w:val="1"/>
      <w:tblCellMar>
        <w:left w:w="115" w:type="dxa"/>
        <w:right w:w="115" w:type="dxa"/>
      </w:tblCellMar>
    </w:tblPr>
  </w:style>
  <w:style w:type="table" w:customStyle="1" w:styleId="17">
    <w:name w:val="17"/>
    <w:basedOn w:val="TableNormal11"/>
    <w:tblPr>
      <w:tblStyleRowBandSize w:val="1"/>
      <w:tblStyleColBandSize w:val="1"/>
      <w:tblCellMar>
        <w:left w:w="115" w:type="dxa"/>
        <w:right w:w="115" w:type="dxa"/>
      </w:tblCellMar>
    </w:tblPr>
  </w:style>
  <w:style w:type="table" w:customStyle="1" w:styleId="16">
    <w:name w:val="16"/>
    <w:basedOn w:val="TableNormal12"/>
    <w:tblPr>
      <w:tblStyleRowBandSize w:val="1"/>
      <w:tblStyleColBandSize w:val="1"/>
      <w:tblCellMar>
        <w:left w:w="115" w:type="dxa"/>
        <w:right w:w="115" w:type="dxa"/>
      </w:tblCellMar>
    </w:tblPr>
  </w:style>
  <w:style w:type="table" w:customStyle="1" w:styleId="15">
    <w:name w:val="15"/>
    <w:basedOn w:val="TableNormal12"/>
    <w:tblPr>
      <w:tblStyleRowBandSize w:val="1"/>
      <w:tblStyleColBandSize w:val="1"/>
      <w:tblCellMar>
        <w:left w:w="115" w:type="dxa"/>
        <w:right w:w="115" w:type="dxa"/>
      </w:tblCellMar>
    </w:tblPr>
  </w:style>
  <w:style w:type="table" w:customStyle="1" w:styleId="14">
    <w:name w:val="14"/>
    <w:basedOn w:val="TableNormal13"/>
    <w:tblPr>
      <w:tblStyleRowBandSize w:val="1"/>
      <w:tblStyleColBandSize w:val="1"/>
      <w:tblCellMar>
        <w:left w:w="115" w:type="dxa"/>
        <w:right w:w="115" w:type="dxa"/>
      </w:tblCellMar>
    </w:tblPr>
  </w:style>
  <w:style w:type="table" w:customStyle="1" w:styleId="13">
    <w:name w:val="13"/>
    <w:basedOn w:val="TableNormal13"/>
    <w:tblPr>
      <w:tblStyleRowBandSize w:val="1"/>
      <w:tblStyleColBandSize w:val="1"/>
      <w:tblCellMar>
        <w:left w:w="115" w:type="dxa"/>
        <w:right w:w="115" w:type="dxa"/>
      </w:tblCellMar>
    </w:tblPr>
  </w:style>
  <w:style w:type="table" w:customStyle="1" w:styleId="12">
    <w:name w:val="12"/>
    <w:basedOn w:val="TableNormal14"/>
    <w:tblPr>
      <w:tblStyleRowBandSize w:val="1"/>
      <w:tblStyleColBandSize w:val="1"/>
      <w:tblCellMar>
        <w:left w:w="115" w:type="dxa"/>
        <w:right w:w="115" w:type="dxa"/>
      </w:tblCellMar>
    </w:tblPr>
  </w:style>
  <w:style w:type="table" w:customStyle="1" w:styleId="11">
    <w:name w:val="11"/>
    <w:basedOn w:val="TableNormal14"/>
    <w:tblPr>
      <w:tblStyleRowBandSize w:val="1"/>
      <w:tblStyleColBandSize w:val="1"/>
      <w:tblCellMar>
        <w:left w:w="115" w:type="dxa"/>
        <w:right w:w="115" w:type="dxa"/>
      </w:tblCellMar>
    </w:tblPr>
  </w:style>
  <w:style w:type="table" w:customStyle="1" w:styleId="10">
    <w:name w:val="10"/>
    <w:basedOn w:val="TableNormal15"/>
    <w:tblPr>
      <w:tblStyleRowBandSize w:val="1"/>
      <w:tblStyleColBandSize w:val="1"/>
      <w:tblCellMar>
        <w:left w:w="115" w:type="dxa"/>
        <w:right w:w="115" w:type="dxa"/>
      </w:tblCellMar>
    </w:tblPr>
  </w:style>
  <w:style w:type="table" w:customStyle="1" w:styleId="9">
    <w:name w:val="9"/>
    <w:basedOn w:val="TableNormal15"/>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3"/>
    <w:tblPr>
      <w:tblStyleRowBandSize w:val="1"/>
      <w:tblStyleColBandSize w:val="1"/>
      <w:tblCellMar>
        <w:left w:w="115" w:type="dxa"/>
        <w:right w:w="115" w:type="dxa"/>
      </w:tblCellMar>
    </w:tblPr>
  </w:style>
  <w:style w:type="table" w:customStyle="1" w:styleId="1">
    <w:name w:val="1"/>
    <w:basedOn w:val="TableNormal3"/>
    <w:tblPr>
      <w:tblStyleRowBandSize w:val="1"/>
      <w:tblStyleColBandSize w:val="1"/>
      <w:tblCellMar>
        <w:left w:w="115" w:type="dxa"/>
        <w:right w:w="115" w:type="dxa"/>
      </w:tblCellMar>
    </w:tblPr>
  </w:style>
  <w:style w:type="paragraph" w:styleId="Lista">
    <w:name w:val="List"/>
    <w:basedOn w:val="Normal"/>
    <w:uiPriority w:val="99"/>
    <w:unhideWhenUsed/>
    <w:rsid w:val="0076259D"/>
    <w:pPr>
      <w:ind w:left="283" w:hanging="283"/>
      <w:contextualSpacing/>
    </w:pPr>
  </w:style>
  <w:style w:type="paragraph" w:styleId="Lista2">
    <w:name w:val="List 2"/>
    <w:basedOn w:val="Normal"/>
    <w:uiPriority w:val="99"/>
    <w:unhideWhenUsed/>
    <w:rsid w:val="0076259D"/>
    <w:pPr>
      <w:ind w:left="566" w:hanging="283"/>
      <w:contextualSpacing/>
    </w:pPr>
  </w:style>
  <w:style w:type="paragraph" w:styleId="Lista3">
    <w:name w:val="List 3"/>
    <w:basedOn w:val="Normal"/>
    <w:uiPriority w:val="99"/>
    <w:unhideWhenUsed/>
    <w:rsid w:val="0076259D"/>
    <w:pPr>
      <w:ind w:left="849" w:hanging="283"/>
      <w:contextualSpacing/>
    </w:pPr>
  </w:style>
  <w:style w:type="paragraph" w:styleId="Lista4">
    <w:name w:val="List 4"/>
    <w:basedOn w:val="Normal"/>
    <w:uiPriority w:val="99"/>
    <w:unhideWhenUsed/>
    <w:rsid w:val="0076259D"/>
    <w:pPr>
      <w:ind w:left="1132" w:hanging="283"/>
      <w:contextualSpacing/>
    </w:pPr>
  </w:style>
  <w:style w:type="paragraph" w:styleId="Lista5">
    <w:name w:val="List 5"/>
    <w:basedOn w:val="Normal"/>
    <w:uiPriority w:val="99"/>
    <w:unhideWhenUsed/>
    <w:rsid w:val="0076259D"/>
    <w:pPr>
      <w:ind w:left="1415" w:hanging="283"/>
      <w:contextualSpacing/>
    </w:pPr>
  </w:style>
  <w:style w:type="paragraph" w:styleId="Saludo">
    <w:name w:val="Salutation"/>
    <w:basedOn w:val="Normal"/>
    <w:next w:val="Normal"/>
    <w:link w:val="SaludoCar"/>
    <w:uiPriority w:val="99"/>
    <w:unhideWhenUsed/>
    <w:rsid w:val="0076259D"/>
  </w:style>
  <w:style w:type="character" w:customStyle="1" w:styleId="SaludoCar">
    <w:name w:val="Saludo Car"/>
    <w:basedOn w:val="Fuentedeprrafopredeter"/>
    <w:link w:val="Saludo"/>
    <w:uiPriority w:val="99"/>
    <w:rsid w:val="0076259D"/>
  </w:style>
  <w:style w:type="paragraph" w:styleId="Listaconvietas">
    <w:name w:val="List Bullet"/>
    <w:basedOn w:val="Normal"/>
    <w:uiPriority w:val="99"/>
    <w:unhideWhenUsed/>
    <w:rsid w:val="0076259D"/>
    <w:pPr>
      <w:numPr>
        <w:numId w:val="6"/>
      </w:numPr>
      <w:contextualSpacing/>
    </w:pPr>
  </w:style>
  <w:style w:type="paragraph" w:styleId="Listaconvietas2">
    <w:name w:val="List Bullet 2"/>
    <w:basedOn w:val="Normal"/>
    <w:uiPriority w:val="99"/>
    <w:unhideWhenUsed/>
    <w:rsid w:val="0076259D"/>
    <w:pPr>
      <w:numPr>
        <w:numId w:val="7"/>
      </w:numPr>
      <w:contextualSpacing/>
    </w:pPr>
  </w:style>
  <w:style w:type="paragraph" w:styleId="Continuarlista">
    <w:name w:val="List Continue"/>
    <w:basedOn w:val="Normal"/>
    <w:uiPriority w:val="99"/>
    <w:unhideWhenUsed/>
    <w:rsid w:val="0076259D"/>
    <w:pPr>
      <w:spacing w:after="120"/>
      <w:ind w:left="283"/>
      <w:contextualSpacing/>
    </w:pPr>
  </w:style>
  <w:style w:type="paragraph" w:styleId="Textoindependiente">
    <w:name w:val="Body Text"/>
    <w:basedOn w:val="Normal"/>
    <w:link w:val="TextoindependienteCar"/>
    <w:uiPriority w:val="99"/>
    <w:unhideWhenUsed/>
    <w:rsid w:val="0076259D"/>
    <w:pPr>
      <w:spacing w:after="120"/>
    </w:pPr>
  </w:style>
  <w:style w:type="character" w:customStyle="1" w:styleId="TextoindependienteCar">
    <w:name w:val="Texto independiente Car"/>
    <w:basedOn w:val="Fuentedeprrafopredeter"/>
    <w:link w:val="Textoindependiente"/>
    <w:uiPriority w:val="99"/>
    <w:rsid w:val="0076259D"/>
  </w:style>
  <w:style w:type="paragraph" w:styleId="Sangradetextonormal">
    <w:name w:val="Body Text Indent"/>
    <w:basedOn w:val="Normal"/>
    <w:link w:val="SangradetextonormalCar"/>
    <w:uiPriority w:val="99"/>
    <w:unhideWhenUsed/>
    <w:rsid w:val="0076259D"/>
    <w:pPr>
      <w:spacing w:after="120"/>
      <w:ind w:left="283"/>
    </w:pPr>
  </w:style>
  <w:style w:type="character" w:customStyle="1" w:styleId="SangradetextonormalCar">
    <w:name w:val="Sangría de texto normal Car"/>
    <w:basedOn w:val="Fuentedeprrafopredeter"/>
    <w:link w:val="Sangradetextonormal"/>
    <w:uiPriority w:val="99"/>
    <w:rsid w:val="0076259D"/>
  </w:style>
  <w:style w:type="paragraph" w:styleId="Textoindependienteprimerasangra2">
    <w:name w:val="Body Text First Indent 2"/>
    <w:basedOn w:val="Sangradetextonormal"/>
    <w:link w:val="Textoindependienteprimerasangra2Car"/>
    <w:uiPriority w:val="99"/>
    <w:unhideWhenUsed/>
    <w:rsid w:val="0076259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6259D"/>
  </w:style>
  <w:style w:type="character" w:customStyle="1" w:styleId="Mencinsinresolver3">
    <w:name w:val="Mención sin resolver3"/>
    <w:basedOn w:val="Fuentedeprrafopredeter"/>
    <w:uiPriority w:val="99"/>
    <w:semiHidden/>
    <w:unhideWhenUsed/>
    <w:rsid w:val="00C90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3920">
      <w:bodyDiv w:val="1"/>
      <w:marLeft w:val="0"/>
      <w:marRight w:val="0"/>
      <w:marTop w:val="0"/>
      <w:marBottom w:val="0"/>
      <w:divBdr>
        <w:top w:val="none" w:sz="0" w:space="0" w:color="auto"/>
        <w:left w:val="none" w:sz="0" w:space="0" w:color="auto"/>
        <w:bottom w:val="none" w:sz="0" w:space="0" w:color="auto"/>
        <w:right w:val="none" w:sz="0" w:space="0" w:color="auto"/>
      </w:divBdr>
    </w:div>
    <w:div w:id="1232617217">
      <w:bodyDiv w:val="1"/>
      <w:marLeft w:val="0"/>
      <w:marRight w:val="0"/>
      <w:marTop w:val="0"/>
      <w:marBottom w:val="0"/>
      <w:divBdr>
        <w:top w:val="none" w:sz="0" w:space="0" w:color="auto"/>
        <w:left w:val="none" w:sz="0" w:space="0" w:color="auto"/>
        <w:bottom w:val="none" w:sz="0" w:space="0" w:color="auto"/>
        <w:right w:val="none" w:sz="0" w:space="0" w:color="auto"/>
      </w:divBdr>
    </w:div>
    <w:div w:id="1328094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UmA8CbdtqGPvZMvoJJm3uf21g==">CgMxLjAyCWguM3JkY3JqbjIOaC5kYWozajJ4bzZxNjYyCGguZ2pkZ3hzMgloLjNkeTZ2a20yCWguMzBqMHpsbDIJaC4yczhleW8xMghoLnR5amN3dDIJaC4yZXQ5MnAwMgloLjI2aW4xcmcyCWguMTdkcDh2dTIIaC5sbnhiejk4AHIhMUpERlNuZGw5LUV0aHkyYUNyYlJzTExMdi1WQTkzblFP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7960</Words>
  <Characters>43785</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Maricela Villagómez Martínez</cp:lastModifiedBy>
  <cp:revision>2</cp:revision>
  <cp:lastPrinted>2026-02-27T18:12:00Z</cp:lastPrinted>
  <dcterms:created xsi:type="dcterms:W3CDTF">2026-04-06T22:52:00Z</dcterms:created>
  <dcterms:modified xsi:type="dcterms:W3CDTF">2026-04-06T22:52:00Z</dcterms:modified>
</cp:coreProperties>
</file>