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eading=h.uicqp1t4k1s1" w:colFirst="0" w:colLast="0" w:displacedByCustomXml="next"/>
    <w:bookmarkEnd w:id="0" w:displacedByCustomXml="next"/>
    <w:sdt>
      <w:sdtPr>
        <w:rPr>
          <w:rFonts w:ascii="Palatino Linotype" w:eastAsia="Palatino Linotype" w:hAnsi="Palatino Linotype" w:cs="Palatino Linotype"/>
          <w:color w:val="auto"/>
          <w:sz w:val="22"/>
          <w:szCs w:val="22"/>
          <w:lang w:val="es-ES"/>
        </w:rPr>
        <w:id w:val="247852533"/>
        <w:docPartObj>
          <w:docPartGallery w:val="Table of Contents"/>
          <w:docPartUnique/>
        </w:docPartObj>
      </w:sdtPr>
      <w:sdtEndPr>
        <w:rPr>
          <w:b/>
          <w:bCs/>
        </w:rPr>
      </w:sdtEndPr>
      <w:sdtContent>
        <w:p w14:paraId="4EDB1DA7" w14:textId="27551DBF" w:rsidR="00415DE1" w:rsidRDefault="00415DE1">
          <w:pPr>
            <w:pStyle w:val="TtulodeTDC"/>
          </w:pPr>
          <w:r>
            <w:rPr>
              <w:lang w:val="es-ES"/>
            </w:rPr>
            <w:t>Tabla de contenido</w:t>
          </w:r>
        </w:p>
        <w:p w14:paraId="1F80CC2F" w14:textId="77777777" w:rsidR="00415DE1" w:rsidRDefault="00415DE1">
          <w:pPr>
            <w:pStyle w:val="TDC1"/>
            <w:tabs>
              <w:tab w:val="right" w:leader="dot" w:pos="9204"/>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19989642" w:history="1">
            <w:r w:rsidRPr="00FE6668">
              <w:rPr>
                <w:rStyle w:val="Hipervnculo"/>
                <w:noProof/>
              </w:rPr>
              <w:t>A N T E C E D E N T E S</w:t>
            </w:r>
            <w:r>
              <w:rPr>
                <w:noProof/>
                <w:webHidden/>
              </w:rPr>
              <w:tab/>
            </w:r>
            <w:r>
              <w:rPr>
                <w:noProof/>
                <w:webHidden/>
              </w:rPr>
              <w:fldChar w:fldCharType="begin"/>
            </w:r>
            <w:r>
              <w:rPr>
                <w:noProof/>
                <w:webHidden/>
              </w:rPr>
              <w:instrText xml:space="preserve"> PAGEREF _Toc219989642 \h </w:instrText>
            </w:r>
            <w:r>
              <w:rPr>
                <w:noProof/>
                <w:webHidden/>
              </w:rPr>
            </w:r>
            <w:r>
              <w:rPr>
                <w:noProof/>
                <w:webHidden/>
              </w:rPr>
              <w:fldChar w:fldCharType="separate"/>
            </w:r>
            <w:r w:rsidR="008E7CBD">
              <w:rPr>
                <w:noProof/>
                <w:webHidden/>
              </w:rPr>
              <w:t>2</w:t>
            </w:r>
            <w:r>
              <w:rPr>
                <w:noProof/>
                <w:webHidden/>
              </w:rPr>
              <w:fldChar w:fldCharType="end"/>
            </w:r>
          </w:hyperlink>
        </w:p>
        <w:p w14:paraId="2B25F992" w14:textId="77777777" w:rsidR="00415DE1" w:rsidRDefault="003D7DA0">
          <w:pPr>
            <w:pStyle w:val="TDC2"/>
            <w:tabs>
              <w:tab w:val="right" w:leader="dot" w:pos="9204"/>
            </w:tabs>
            <w:rPr>
              <w:rFonts w:asciiTheme="minorHAnsi" w:eastAsiaTheme="minorEastAsia" w:hAnsiTheme="minorHAnsi" w:cstheme="minorBidi"/>
              <w:noProof/>
            </w:rPr>
          </w:pPr>
          <w:hyperlink w:anchor="_Toc219989643" w:history="1">
            <w:r w:rsidR="00415DE1" w:rsidRPr="00FE6668">
              <w:rPr>
                <w:rStyle w:val="Hipervnculo"/>
                <w:noProof/>
              </w:rPr>
              <w:t>I. Presentación de la solicitud de información</w:t>
            </w:r>
            <w:r w:rsidR="00415DE1">
              <w:rPr>
                <w:noProof/>
                <w:webHidden/>
              </w:rPr>
              <w:tab/>
            </w:r>
            <w:r w:rsidR="00415DE1">
              <w:rPr>
                <w:noProof/>
                <w:webHidden/>
              </w:rPr>
              <w:fldChar w:fldCharType="begin"/>
            </w:r>
            <w:r w:rsidR="00415DE1">
              <w:rPr>
                <w:noProof/>
                <w:webHidden/>
              </w:rPr>
              <w:instrText xml:space="preserve"> PAGEREF _Toc219989643 \h </w:instrText>
            </w:r>
            <w:r w:rsidR="00415DE1">
              <w:rPr>
                <w:noProof/>
                <w:webHidden/>
              </w:rPr>
            </w:r>
            <w:r w:rsidR="00415DE1">
              <w:rPr>
                <w:noProof/>
                <w:webHidden/>
              </w:rPr>
              <w:fldChar w:fldCharType="separate"/>
            </w:r>
            <w:r w:rsidR="008E7CBD">
              <w:rPr>
                <w:noProof/>
                <w:webHidden/>
              </w:rPr>
              <w:t>2</w:t>
            </w:r>
            <w:r w:rsidR="00415DE1">
              <w:rPr>
                <w:noProof/>
                <w:webHidden/>
              </w:rPr>
              <w:fldChar w:fldCharType="end"/>
            </w:r>
          </w:hyperlink>
        </w:p>
        <w:p w14:paraId="6AE42F5A" w14:textId="77777777" w:rsidR="00415DE1" w:rsidRDefault="003D7DA0">
          <w:pPr>
            <w:pStyle w:val="TDC2"/>
            <w:tabs>
              <w:tab w:val="right" w:leader="dot" w:pos="9204"/>
            </w:tabs>
            <w:rPr>
              <w:rFonts w:asciiTheme="minorHAnsi" w:eastAsiaTheme="minorEastAsia" w:hAnsiTheme="minorHAnsi" w:cstheme="minorBidi"/>
              <w:noProof/>
            </w:rPr>
          </w:pPr>
          <w:hyperlink w:anchor="_Toc219989644" w:history="1">
            <w:r w:rsidR="00415DE1" w:rsidRPr="00FE6668">
              <w:rPr>
                <w:rStyle w:val="Hipervnculo"/>
                <w:noProof/>
              </w:rPr>
              <w:t>II. Respuesta del Sujeto Obligado</w:t>
            </w:r>
            <w:r w:rsidR="00415DE1">
              <w:rPr>
                <w:noProof/>
                <w:webHidden/>
              </w:rPr>
              <w:tab/>
            </w:r>
            <w:r w:rsidR="00415DE1">
              <w:rPr>
                <w:noProof/>
                <w:webHidden/>
              </w:rPr>
              <w:fldChar w:fldCharType="begin"/>
            </w:r>
            <w:r w:rsidR="00415DE1">
              <w:rPr>
                <w:noProof/>
                <w:webHidden/>
              </w:rPr>
              <w:instrText xml:space="preserve"> PAGEREF _Toc219989644 \h </w:instrText>
            </w:r>
            <w:r w:rsidR="00415DE1">
              <w:rPr>
                <w:noProof/>
                <w:webHidden/>
              </w:rPr>
            </w:r>
            <w:r w:rsidR="00415DE1">
              <w:rPr>
                <w:noProof/>
                <w:webHidden/>
              </w:rPr>
              <w:fldChar w:fldCharType="separate"/>
            </w:r>
            <w:r w:rsidR="008E7CBD">
              <w:rPr>
                <w:noProof/>
                <w:webHidden/>
              </w:rPr>
              <w:t>3</w:t>
            </w:r>
            <w:r w:rsidR="00415DE1">
              <w:rPr>
                <w:noProof/>
                <w:webHidden/>
              </w:rPr>
              <w:fldChar w:fldCharType="end"/>
            </w:r>
          </w:hyperlink>
        </w:p>
        <w:p w14:paraId="4EF97D51" w14:textId="77777777" w:rsidR="00415DE1" w:rsidRDefault="003D7DA0">
          <w:pPr>
            <w:pStyle w:val="TDC2"/>
            <w:tabs>
              <w:tab w:val="right" w:leader="dot" w:pos="9204"/>
            </w:tabs>
            <w:rPr>
              <w:rFonts w:asciiTheme="minorHAnsi" w:eastAsiaTheme="minorEastAsia" w:hAnsiTheme="minorHAnsi" w:cstheme="minorBidi"/>
              <w:noProof/>
            </w:rPr>
          </w:pPr>
          <w:hyperlink w:anchor="_Toc219989645" w:history="1">
            <w:r w:rsidR="00415DE1" w:rsidRPr="00FE6668">
              <w:rPr>
                <w:rStyle w:val="Hipervnculo"/>
                <w:noProof/>
              </w:rPr>
              <w:t>III. Interposición del Recurso de Revisión</w:t>
            </w:r>
            <w:r w:rsidR="00415DE1">
              <w:rPr>
                <w:noProof/>
                <w:webHidden/>
              </w:rPr>
              <w:tab/>
            </w:r>
            <w:r w:rsidR="00415DE1">
              <w:rPr>
                <w:noProof/>
                <w:webHidden/>
              </w:rPr>
              <w:fldChar w:fldCharType="begin"/>
            </w:r>
            <w:r w:rsidR="00415DE1">
              <w:rPr>
                <w:noProof/>
                <w:webHidden/>
              </w:rPr>
              <w:instrText xml:space="preserve"> PAGEREF _Toc219989645 \h </w:instrText>
            </w:r>
            <w:r w:rsidR="00415DE1">
              <w:rPr>
                <w:noProof/>
                <w:webHidden/>
              </w:rPr>
            </w:r>
            <w:r w:rsidR="00415DE1">
              <w:rPr>
                <w:noProof/>
                <w:webHidden/>
              </w:rPr>
              <w:fldChar w:fldCharType="separate"/>
            </w:r>
            <w:r w:rsidR="008E7CBD">
              <w:rPr>
                <w:noProof/>
                <w:webHidden/>
              </w:rPr>
              <w:t>3</w:t>
            </w:r>
            <w:r w:rsidR="00415DE1">
              <w:rPr>
                <w:noProof/>
                <w:webHidden/>
              </w:rPr>
              <w:fldChar w:fldCharType="end"/>
            </w:r>
          </w:hyperlink>
        </w:p>
        <w:p w14:paraId="54495C60" w14:textId="77777777" w:rsidR="00415DE1" w:rsidRDefault="003D7DA0">
          <w:pPr>
            <w:pStyle w:val="TDC2"/>
            <w:tabs>
              <w:tab w:val="right" w:leader="dot" w:pos="9204"/>
            </w:tabs>
            <w:rPr>
              <w:rFonts w:asciiTheme="minorHAnsi" w:eastAsiaTheme="minorEastAsia" w:hAnsiTheme="minorHAnsi" w:cstheme="minorBidi"/>
              <w:noProof/>
            </w:rPr>
          </w:pPr>
          <w:hyperlink w:anchor="_Toc219989646" w:history="1">
            <w:r w:rsidR="00415DE1" w:rsidRPr="00FE6668">
              <w:rPr>
                <w:rStyle w:val="Hipervnculo"/>
                <w:noProof/>
              </w:rPr>
              <w:t>IV. Trámite del Recurso de Revisión ante este Instituto</w:t>
            </w:r>
            <w:r w:rsidR="00415DE1">
              <w:rPr>
                <w:noProof/>
                <w:webHidden/>
              </w:rPr>
              <w:tab/>
            </w:r>
            <w:r w:rsidR="00415DE1">
              <w:rPr>
                <w:noProof/>
                <w:webHidden/>
              </w:rPr>
              <w:fldChar w:fldCharType="begin"/>
            </w:r>
            <w:r w:rsidR="00415DE1">
              <w:rPr>
                <w:noProof/>
                <w:webHidden/>
              </w:rPr>
              <w:instrText xml:space="preserve"> PAGEREF _Toc219989646 \h </w:instrText>
            </w:r>
            <w:r w:rsidR="00415DE1">
              <w:rPr>
                <w:noProof/>
                <w:webHidden/>
              </w:rPr>
            </w:r>
            <w:r w:rsidR="00415DE1">
              <w:rPr>
                <w:noProof/>
                <w:webHidden/>
              </w:rPr>
              <w:fldChar w:fldCharType="separate"/>
            </w:r>
            <w:r w:rsidR="008E7CBD">
              <w:rPr>
                <w:noProof/>
                <w:webHidden/>
              </w:rPr>
              <w:t>4</w:t>
            </w:r>
            <w:r w:rsidR="00415DE1">
              <w:rPr>
                <w:noProof/>
                <w:webHidden/>
              </w:rPr>
              <w:fldChar w:fldCharType="end"/>
            </w:r>
          </w:hyperlink>
        </w:p>
        <w:p w14:paraId="1D69A173" w14:textId="77777777" w:rsidR="00415DE1" w:rsidRDefault="003D7DA0">
          <w:pPr>
            <w:pStyle w:val="TDC1"/>
            <w:tabs>
              <w:tab w:val="right" w:leader="dot" w:pos="9204"/>
            </w:tabs>
            <w:rPr>
              <w:rFonts w:asciiTheme="minorHAnsi" w:eastAsiaTheme="minorEastAsia" w:hAnsiTheme="minorHAnsi" w:cstheme="minorBidi"/>
              <w:noProof/>
            </w:rPr>
          </w:pPr>
          <w:hyperlink w:anchor="_Toc219989647" w:history="1">
            <w:r w:rsidR="00415DE1" w:rsidRPr="00FE6668">
              <w:rPr>
                <w:rStyle w:val="Hipervnculo"/>
                <w:noProof/>
              </w:rPr>
              <w:t>C O N S I D E R A N D O S</w:t>
            </w:r>
            <w:r w:rsidR="00415DE1">
              <w:rPr>
                <w:noProof/>
                <w:webHidden/>
              </w:rPr>
              <w:tab/>
            </w:r>
            <w:r w:rsidR="00415DE1">
              <w:rPr>
                <w:noProof/>
                <w:webHidden/>
              </w:rPr>
              <w:fldChar w:fldCharType="begin"/>
            </w:r>
            <w:r w:rsidR="00415DE1">
              <w:rPr>
                <w:noProof/>
                <w:webHidden/>
              </w:rPr>
              <w:instrText xml:space="preserve"> PAGEREF _Toc219989647 \h </w:instrText>
            </w:r>
            <w:r w:rsidR="00415DE1">
              <w:rPr>
                <w:noProof/>
                <w:webHidden/>
              </w:rPr>
            </w:r>
            <w:r w:rsidR="00415DE1">
              <w:rPr>
                <w:noProof/>
                <w:webHidden/>
              </w:rPr>
              <w:fldChar w:fldCharType="separate"/>
            </w:r>
            <w:r w:rsidR="008E7CBD">
              <w:rPr>
                <w:noProof/>
                <w:webHidden/>
              </w:rPr>
              <w:t>6</w:t>
            </w:r>
            <w:r w:rsidR="00415DE1">
              <w:rPr>
                <w:noProof/>
                <w:webHidden/>
              </w:rPr>
              <w:fldChar w:fldCharType="end"/>
            </w:r>
          </w:hyperlink>
        </w:p>
        <w:p w14:paraId="786372B2" w14:textId="77777777" w:rsidR="00415DE1" w:rsidRDefault="003D7DA0">
          <w:pPr>
            <w:pStyle w:val="TDC2"/>
            <w:tabs>
              <w:tab w:val="right" w:leader="dot" w:pos="9204"/>
            </w:tabs>
            <w:rPr>
              <w:rFonts w:asciiTheme="minorHAnsi" w:eastAsiaTheme="minorEastAsia" w:hAnsiTheme="minorHAnsi" w:cstheme="minorBidi"/>
              <w:noProof/>
            </w:rPr>
          </w:pPr>
          <w:hyperlink w:anchor="_Toc219989648" w:history="1">
            <w:r w:rsidR="00415DE1" w:rsidRPr="00FE6668">
              <w:rPr>
                <w:rStyle w:val="Hipervnculo"/>
                <w:noProof/>
              </w:rPr>
              <w:t>PRIMERO. Competencia</w:t>
            </w:r>
            <w:r w:rsidR="00415DE1">
              <w:rPr>
                <w:noProof/>
                <w:webHidden/>
              </w:rPr>
              <w:tab/>
            </w:r>
            <w:r w:rsidR="00415DE1">
              <w:rPr>
                <w:noProof/>
                <w:webHidden/>
              </w:rPr>
              <w:fldChar w:fldCharType="begin"/>
            </w:r>
            <w:r w:rsidR="00415DE1">
              <w:rPr>
                <w:noProof/>
                <w:webHidden/>
              </w:rPr>
              <w:instrText xml:space="preserve"> PAGEREF _Toc219989648 \h </w:instrText>
            </w:r>
            <w:r w:rsidR="00415DE1">
              <w:rPr>
                <w:noProof/>
                <w:webHidden/>
              </w:rPr>
            </w:r>
            <w:r w:rsidR="00415DE1">
              <w:rPr>
                <w:noProof/>
                <w:webHidden/>
              </w:rPr>
              <w:fldChar w:fldCharType="separate"/>
            </w:r>
            <w:r w:rsidR="008E7CBD">
              <w:rPr>
                <w:noProof/>
                <w:webHidden/>
              </w:rPr>
              <w:t>6</w:t>
            </w:r>
            <w:r w:rsidR="00415DE1">
              <w:rPr>
                <w:noProof/>
                <w:webHidden/>
              </w:rPr>
              <w:fldChar w:fldCharType="end"/>
            </w:r>
          </w:hyperlink>
        </w:p>
        <w:p w14:paraId="1A34002A" w14:textId="77777777" w:rsidR="00415DE1" w:rsidRDefault="003D7DA0">
          <w:pPr>
            <w:pStyle w:val="TDC2"/>
            <w:tabs>
              <w:tab w:val="right" w:leader="dot" w:pos="9204"/>
            </w:tabs>
            <w:rPr>
              <w:rFonts w:asciiTheme="minorHAnsi" w:eastAsiaTheme="minorEastAsia" w:hAnsiTheme="minorHAnsi" w:cstheme="minorBidi"/>
              <w:noProof/>
            </w:rPr>
          </w:pPr>
          <w:hyperlink w:anchor="_Toc219989649" w:history="1">
            <w:r w:rsidR="00415DE1" w:rsidRPr="00FE6668">
              <w:rPr>
                <w:rStyle w:val="Hipervnculo"/>
                <w:noProof/>
              </w:rPr>
              <w:t>SEGUNDO. Causales de improcedencia</w:t>
            </w:r>
            <w:r w:rsidR="00415DE1">
              <w:rPr>
                <w:noProof/>
                <w:webHidden/>
              </w:rPr>
              <w:tab/>
            </w:r>
            <w:r w:rsidR="00415DE1">
              <w:rPr>
                <w:noProof/>
                <w:webHidden/>
              </w:rPr>
              <w:fldChar w:fldCharType="begin"/>
            </w:r>
            <w:r w:rsidR="00415DE1">
              <w:rPr>
                <w:noProof/>
                <w:webHidden/>
              </w:rPr>
              <w:instrText xml:space="preserve"> PAGEREF _Toc219989649 \h </w:instrText>
            </w:r>
            <w:r w:rsidR="00415DE1">
              <w:rPr>
                <w:noProof/>
                <w:webHidden/>
              </w:rPr>
            </w:r>
            <w:r w:rsidR="00415DE1">
              <w:rPr>
                <w:noProof/>
                <w:webHidden/>
              </w:rPr>
              <w:fldChar w:fldCharType="separate"/>
            </w:r>
            <w:r w:rsidR="008E7CBD">
              <w:rPr>
                <w:noProof/>
                <w:webHidden/>
              </w:rPr>
              <w:t>7</w:t>
            </w:r>
            <w:r w:rsidR="00415DE1">
              <w:rPr>
                <w:noProof/>
                <w:webHidden/>
              </w:rPr>
              <w:fldChar w:fldCharType="end"/>
            </w:r>
          </w:hyperlink>
        </w:p>
        <w:p w14:paraId="57F71B81" w14:textId="77777777" w:rsidR="00415DE1" w:rsidRDefault="003D7DA0">
          <w:pPr>
            <w:pStyle w:val="TDC2"/>
            <w:tabs>
              <w:tab w:val="right" w:leader="dot" w:pos="9204"/>
            </w:tabs>
            <w:rPr>
              <w:rFonts w:asciiTheme="minorHAnsi" w:eastAsiaTheme="minorEastAsia" w:hAnsiTheme="minorHAnsi" w:cstheme="minorBidi"/>
              <w:noProof/>
            </w:rPr>
          </w:pPr>
          <w:hyperlink w:anchor="_Toc219989650" w:history="1">
            <w:r w:rsidR="00415DE1" w:rsidRPr="00FE6668">
              <w:rPr>
                <w:rStyle w:val="Hipervnculo"/>
                <w:noProof/>
              </w:rPr>
              <w:t>TERCERO. Causales de sobreseimiento</w:t>
            </w:r>
            <w:r w:rsidR="00415DE1">
              <w:rPr>
                <w:noProof/>
                <w:webHidden/>
              </w:rPr>
              <w:tab/>
            </w:r>
            <w:r w:rsidR="00415DE1">
              <w:rPr>
                <w:noProof/>
                <w:webHidden/>
              </w:rPr>
              <w:fldChar w:fldCharType="begin"/>
            </w:r>
            <w:r w:rsidR="00415DE1">
              <w:rPr>
                <w:noProof/>
                <w:webHidden/>
              </w:rPr>
              <w:instrText xml:space="preserve"> PAGEREF _Toc219989650 \h </w:instrText>
            </w:r>
            <w:r w:rsidR="00415DE1">
              <w:rPr>
                <w:noProof/>
                <w:webHidden/>
              </w:rPr>
            </w:r>
            <w:r w:rsidR="00415DE1">
              <w:rPr>
                <w:noProof/>
                <w:webHidden/>
              </w:rPr>
              <w:fldChar w:fldCharType="separate"/>
            </w:r>
            <w:r w:rsidR="008E7CBD">
              <w:rPr>
                <w:noProof/>
                <w:webHidden/>
              </w:rPr>
              <w:t>7</w:t>
            </w:r>
            <w:r w:rsidR="00415DE1">
              <w:rPr>
                <w:noProof/>
                <w:webHidden/>
              </w:rPr>
              <w:fldChar w:fldCharType="end"/>
            </w:r>
          </w:hyperlink>
        </w:p>
        <w:p w14:paraId="3DE7124F" w14:textId="77777777" w:rsidR="00415DE1" w:rsidRDefault="003D7DA0">
          <w:pPr>
            <w:pStyle w:val="TDC2"/>
            <w:tabs>
              <w:tab w:val="right" w:leader="dot" w:pos="9204"/>
            </w:tabs>
            <w:rPr>
              <w:rFonts w:asciiTheme="minorHAnsi" w:eastAsiaTheme="minorEastAsia" w:hAnsiTheme="minorHAnsi" w:cstheme="minorBidi"/>
              <w:noProof/>
            </w:rPr>
          </w:pPr>
          <w:hyperlink w:anchor="_Toc219989651" w:history="1">
            <w:r w:rsidR="00415DE1" w:rsidRPr="00FE6668">
              <w:rPr>
                <w:rStyle w:val="Hipervnculo"/>
                <w:noProof/>
              </w:rPr>
              <w:t>CUARTO. Decisión</w:t>
            </w:r>
            <w:r w:rsidR="00415DE1">
              <w:rPr>
                <w:noProof/>
                <w:webHidden/>
              </w:rPr>
              <w:tab/>
            </w:r>
            <w:r w:rsidR="00415DE1">
              <w:rPr>
                <w:noProof/>
                <w:webHidden/>
              </w:rPr>
              <w:fldChar w:fldCharType="begin"/>
            </w:r>
            <w:r w:rsidR="00415DE1">
              <w:rPr>
                <w:noProof/>
                <w:webHidden/>
              </w:rPr>
              <w:instrText xml:space="preserve"> PAGEREF _Toc219989651 \h </w:instrText>
            </w:r>
            <w:r w:rsidR="00415DE1">
              <w:rPr>
                <w:noProof/>
                <w:webHidden/>
              </w:rPr>
            </w:r>
            <w:r w:rsidR="00415DE1">
              <w:rPr>
                <w:noProof/>
                <w:webHidden/>
              </w:rPr>
              <w:fldChar w:fldCharType="separate"/>
            </w:r>
            <w:r w:rsidR="008E7CBD">
              <w:rPr>
                <w:noProof/>
                <w:webHidden/>
              </w:rPr>
              <w:t>14</w:t>
            </w:r>
            <w:r w:rsidR="00415DE1">
              <w:rPr>
                <w:noProof/>
                <w:webHidden/>
              </w:rPr>
              <w:fldChar w:fldCharType="end"/>
            </w:r>
          </w:hyperlink>
        </w:p>
        <w:p w14:paraId="64B6307F" w14:textId="77777777" w:rsidR="00415DE1" w:rsidRDefault="003D7DA0">
          <w:pPr>
            <w:pStyle w:val="TDC1"/>
            <w:tabs>
              <w:tab w:val="right" w:leader="dot" w:pos="9204"/>
            </w:tabs>
            <w:rPr>
              <w:rFonts w:asciiTheme="minorHAnsi" w:eastAsiaTheme="minorEastAsia" w:hAnsiTheme="minorHAnsi" w:cstheme="minorBidi"/>
              <w:noProof/>
            </w:rPr>
          </w:pPr>
          <w:hyperlink w:anchor="_Toc219989652" w:history="1">
            <w:r w:rsidR="00415DE1" w:rsidRPr="00FE6668">
              <w:rPr>
                <w:rStyle w:val="Hipervnculo"/>
                <w:noProof/>
              </w:rPr>
              <w:t>R E S U E L V E</w:t>
            </w:r>
            <w:r w:rsidR="00415DE1">
              <w:rPr>
                <w:noProof/>
                <w:webHidden/>
              </w:rPr>
              <w:tab/>
            </w:r>
            <w:r w:rsidR="00415DE1">
              <w:rPr>
                <w:noProof/>
                <w:webHidden/>
              </w:rPr>
              <w:fldChar w:fldCharType="begin"/>
            </w:r>
            <w:r w:rsidR="00415DE1">
              <w:rPr>
                <w:noProof/>
                <w:webHidden/>
              </w:rPr>
              <w:instrText xml:space="preserve"> PAGEREF _Toc219989652 \h </w:instrText>
            </w:r>
            <w:r w:rsidR="00415DE1">
              <w:rPr>
                <w:noProof/>
                <w:webHidden/>
              </w:rPr>
            </w:r>
            <w:r w:rsidR="00415DE1">
              <w:rPr>
                <w:noProof/>
                <w:webHidden/>
              </w:rPr>
              <w:fldChar w:fldCharType="separate"/>
            </w:r>
            <w:r w:rsidR="008E7CBD">
              <w:rPr>
                <w:noProof/>
                <w:webHidden/>
              </w:rPr>
              <w:t>15</w:t>
            </w:r>
            <w:r w:rsidR="00415DE1">
              <w:rPr>
                <w:noProof/>
                <w:webHidden/>
              </w:rPr>
              <w:fldChar w:fldCharType="end"/>
            </w:r>
          </w:hyperlink>
        </w:p>
        <w:p w14:paraId="470D7918" w14:textId="5B3BFC91" w:rsidR="00415DE1" w:rsidRDefault="00415DE1">
          <w:r>
            <w:rPr>
              <w:b/>
              <w:bCs/>
              <w:lang w:val="es-ES"/>
            </w:rPr>
            <w:fldChar w:fldCharType="end"/>
          </w:r>
        </w:p>
      </w:sdtContent>
    </w:sdt>
    <w:p w14:paraId="29C60F82" w14:textId="77777777" w:rsidR="00017B2F" w:rsidRPr="00BD3671" w:rsidRDefault="00C80E0A">
      <w:pPr>
        <w:spacing w:after="0" w:line="360" w:lineRule="auto"/>
      </w:pPr>
      <w:r w:rsidRPr="00BD3671">
        <w:br w:type="page"/>
      </w:r>
    </w:p>
    <w:p w14:paraId="2E4DC30C" w14:textId="77777777" w:rsidR="00017B2F" w:rsidRPr="00BD3671" w:rsidRDefault="00C80E0A">
      <w:pPr>
        <w:spacing w:after="0" w:line="360" w:lineRule="auto"/>
      </w:pPr>
      <w:r w:rsidRPr="00BD3671">
        <w:lastRenderedPageBreak/>
        <w:t>Resolución del Pleno del Instituto de Transparencia, Acceso a la Información Pública y Protección de Datos Personales del Estado de México y Municipios, con domicilio en Metepec, Estado de México, de fecha veintiuno de enero de dos mil veintiséis.</w:t>
      </w:r>
    </w:p>
    <w:p w14:paraId="78406E82" w14:textId="77777777" w:rsidR="00017B2F" w:rsidRPr="00BD3671" w:rsidRDefault="00017B2F">
      <w:pPr>
        <w:spacing w:after="0" w:line="360" w:lineRule="auto"/>
        <w:rPr>
          <w:b/>
          <w:bCs/>
        </w:rPr>
      </w:pPr>
    </w:p>
    <w:p w14:paraId="5ADC788C" w14:textId="09A72697" w:rsidR="00017B2F" w:rsidRPr="00BD3671" w:rsidRDefault="00C80E0A">
      <w:pPr>
        <w:spacing w:after="0" w:line="360" w:lineRule="auto"/>
      </w:pPr>
      <w:r w:rsidRPr="00BD3671">
        <w:rPr>
          <w:b/>
          <w:bCs/>
        </w:rPr>
        <w:t>VISTO</w:t>
      </w:r>
      <w:r w:rsidRPr="00BD3671">
        <w:t xml:space="preserve"> el expediente conformado con motivo del Recurso de Revisión </w:t>
      </w:r>
      <w:r w:rsidRPr="00BD3671">
        <w:rPr>
          <w:b/>
        </w:rPr>
        <w:t>10076/INFOEM/IP/RR/2025,</w:t>
      </w:r>
      <w:r w:rsidRPr="00BD3671">
        <w:t xml:space="preserve"> interpuesto por </w:t>
      </w:r>
      <w:r w:rsidR="00356BC4" w:rsidRPr="00356BC4">
        <w:rPr>
          <w:b/>
          <w:bCs/>
          <w:highlight w:val="black"/>
        </w:rPr>
        <w:t>XXXX</w:t>
      </w:r>
      <w:r w:rsidR="00CC68C3">
        <w:rPr>
          <w:b/>
          <w:bCs/>
          <w:highlight w:val="black"/>
        </w:rPr>
        <w:t>XXXX</w:t>
      </w:r>
      <w:bookmarkStart w:id="1" w:name="_GoBack"/>
      <w:bookmarkEnd w:id="1"/>
      <w:r w:rsidR="00356BC4" w:rsidRPr="00356BC4">
        <w:rPr>
          <w:b/>
          <w:bCs/>
          <w:highlight w:val="black"/>
        </w:rPr>
        <w:t>XXXXXXXX</w:t>
      </w:r>
      <w:r w:rsidRPr="00BD3671">
        <w:t xml:space="preserve">, en lo subsecuente, la persona Recurrente o Particular, en contra de la respuesta del Sujeto Obligado, </w:t>
      </w:r>
      <w:r w:rsidRPr="004C37A4">
        <w:rPr>
          <w:b/>
        </w:rPr>
        <w:t>Ayuntamiento de Chicoloapan</w:t>
      </w:r>
      <w:r w:rsidRPr="00BD3671">
        <w:t>, se emite la presente Resolución, con base en los antecedentes y considerandos que se exponen a continuación:</w:t>
      </w:r>
    </w:p>
    <w:p w14:paraId="57096E7F" w14:textId="77777777" w:rsidR="00017B2F" w:rsidRPr="00BD3671" w:rsidRDefault="00017B2F">
      <w:pPr>
        <w:spacing w:after="0" w:line="360" w:lineRule="auto"/>
      </w:pPr>
    </w:p>
    <w:p w14:paraId="1FE0DD99" w14:textId="77777777" w:rsidR="00017B2F" w:rsidRPr="00BD3671" w:rsidRDefault="00C80E0A">
      <w:pPr>
        <w:pStyle w:val="Ttulo1"/>
        <w:spacing w:before="0" w:after="0"/>
        <w:rPr>
          <w:sz w:val="22"/>
          <w:szCs w:val="22"/>
        </w:rPr>
      </w:pPr>
      <w:bookmarkStart w:id="2" w:name="_Toc219989642"/>
      <w:r w:rsidRPr="00BD3671">
        <w:rPr>
          <w:sz w:val="22"/>
          <w:szCs w:val="22"/>
        </w:rPr>
        <w:t>A N T E C E D E N T E S</w:t>
      </w:r>
      <w:bookmarkEnd w:id="2"/>
    </w:p>
    <w:p w14:paraId="10A1F9CC" w14:textId="77777777" w:rsidR="00017B2F" w:rsidRPr="00BD3671" w:rsidRDefault="00017B2F">
      <w:pPr>
        <w:spacing w:after="0" w:line="360" w:lineRule="auto"/>
      </w:pPr>
      <w:bookmarkStart w:id="3" w:name="_heading=h.gjdgxs" w:colFirst="0" w:colLast="0"/>
      <w:bookmarkEnd w:id="3"/>
    </w:p>
    <w:p w14:paraId="30F8B7F7" w14:textId="77777777" w:rsidR="00017B2F" w:rsidRPr="00BD3671" w:rsidRDefault="00C80E0A">
      <w:pPr>
        <w:pStyle w:val="Ttulo2"/>
        <w:spacing w:before="0" w:after="0"/>
      </w:pPr>
      <w:bookmarkStart w:id="4" w:name="_Toc219989643"/>
      <w:r w:rsidRPr="00BD3671">
        <w:t>I. Presentación de la solicitud de información</w:t>
      </w:r>
      <w:bookmarkEnd w:id="4"/>
    </w:p>
    <w:p w14:paraId="50B642B1" w14:textId="77777777" w:rsidR="00017B2F" w:rsidRPr="00BD3671" w:rsidRDefault="00017B2F">
      <w:pPr>
        <w:tabs>
          <w:tab w:val="left" w:pos="567"/>
        </w:tabs>
        <w:spacing w:after="0" w:line="360" w:lineRule="auto"/>
      </w:pPr>
    </w:p>
    <w:p w14:paraId="7B295079" w14:textId="77777777" w:rsidR="00017B2F" w:rsidRPr="00BD3671" w:rsidRDefault="00C80E0A">
      <w:pPr>
        <w:spacing w:after="0" w:line="360" w:lineRule="auto"/>
      </w:pPr>
      <w:r w:rsidRPr="00BD3671">
        <w:t xml:space="preserve">Con fecha quince de julio de dos mil veinticinco, la parte Solicitante presentó una solicitud de acceso a la información pública, a través del Sistema de Acceso a la Información Mexiquense, en lo sucesivo el SAIMEX; ante el </w:t>
      </w:r>
      <w:r w:rsidRPr="00BD3671">
        <w:rPr>
          <w:b/>
          <w:bCs/>
        </w:rPr>
        <w:t>Ayuntamiento de Chicoloapan</w:t>
      </w:r>
      <w:r w:rsidRPr="00BD3671">
        <w:t>, en la que requirió lo siguiente:</w:t>
      </w:r>
    </w:p>
    <w:p w14:paraId="7B01196E" w14:textId="77777777" w:rsidR="00017B2F" w:rsidRPr="00BD3671" w:rsidRDefault="00017B2F">
      <w:pPr>
        <w:spacing w:after="0" w:line="360" w:lineRule="auto"/>
      </w:pPr>
    </w:p>
    <w:p w14:paraId="74398B51" w14:textId="77777777" w:rsidR="00017B2F" w:rsidRPr="00BD3671" w:rsidRDefault="00C80E0A">
      <w:pPr>
        <w:tabs>
          <w:tab w:val="left" w:pos="567"/>
        </w:tabs>
        <w:spacing w:after="0" w:line="360" w:lineRule="auto"/>
        <w:ind w:left="567" w:right="709"/>
        <w:rPr>
          <w:b/>
          <w:bCs/>
          <w:sz w:val="20"/>
          <w:szCs w:val="20"/>
        </w:rPr>
      </w:pPr>
      <w:r w:rsidRPr="00BD3671">
        <w:rPr>
          <w:b/>
          <w:bCs/>
          <w:sz w:val="20"/>
          <w:szCs w:val="20"/>
        </w:rPr>
        <w:t>Folio de la solicitud: 00204/CHICOLOA/IP/2025</w:t>
      </w:r>
    </w:p>
    <w:p w14:paraId="5EA29417" w14:textId="77777777" w:rsidR="00017B2F" w:rsidRPr="00BD3671" w:rsidRDefault="00C80E0A">
      <w:pPr>
        <w:tabs>
          <w:tab w:val="left" w:pos="567"/>
        </w:tabs>
        <w:spacing w:after="0" w:line="360" w:lineRule="auto"/>
        <w:ind w:left="567" w:right="709"/>
        <w:rPr>
          <w:b/>
          <w:bCs/>
          <w:sz w:val="20"/>
          <w:szCs w:val="20"/>
        </w:rPr>
      </w:pPr>
      <w:r w:rsidRPr="00BD3671">
        <w:rPr>
          <w:b/>
          <w:bCs/>
          <w:sz w:val="20"/>
          <w:szCs w:val="20"/>
        </w:rPr>
        <w:t>DESCRIPCIÓN CLARA Y PRECISA DE LA INFORMACIÓN SOLICITADA</w:t>
      </w:r>
    </w:p>
    <w:p w14:paraId="1E182554" w14:textId="77777777" w:rsidR="00017B2F" w:rsidRPr="00BD3671" w:rsidRDefault="00C80E0A">
      <w:pPr>
        <w:tabs>
          <w:tab w:val="left" w:pos="4667"/>
        </w:tabs>
        <w:spacing w:after="0" w:line="360" w:lineRule="auto"/>
        <w:ind w:left="567" w:right="709"/>
        <w:rPr>
          <w:i/>
          <w:iCs/>
          <w:sz w:val="20"/>
          <w:szCs w:val="20"/>
        </w:rPr>
      </w:pPr>
      <w:r w:rsidRPr="00BD3671">
        <w:rPr>
          <w:i/>
          <w:iCs/>
          <w:sz w:val="20"/>
          <w:szCs w:val="20"/>
        </w:rPr>
        <w:t>“Se le solicita al gobierno del municipio de Chicoloapan, Estado de México, proporcione por este medio la razón o sustento jurídico para que el presidente municipal de Chicoloapan actual no cumpla con estipulado en LEY DE SEGURIDAD DEL ESTADO DE MÉXICO, específicamente en el cumplimiento del Artículo 22 Bis, en su punto IV. Ya que la LEY DE SEGURIDAD DEL ESTADO DE MÉXICO en su artículo 21 señala en sus apartados VII y XIV, estipula acciones en concreto para la aplicación de la Ley por parte del Presidente Municipal.” (Sic.)</w:t>
      </w:r>
    </w:p>
    <w:p w14:paraId="438CD34C" w14:textId="77777777" w:rsidR="00017B2F" w:rsidRPr="00BD3671" w:rsidRDefault="00C80E0A">
      <w:pPr>
        <w:tabs>
          <w:tab w:val="left" w:pos="4667"/>
        </w:tabs>
        <w:spacing w:after="0" w:line="360" w:lineRule="auto"/>
        <w:ind w:left="567" w:right="709"/>
        <w:rPr>
          <w:b/>
          <w:bCs/>
          <w:sz w:val="20"/>
          <w:szCs w:val="20"/>
        </w:rPr>
      </w:pPr>
      <w:r w:rsidRPr="00BD3671">
        <w:rPr>
          <w:b/>
          <w:bCs/>
          <w:sz w:val="20"/>
          <w:szCs w:val="20"/>
        </w:rPr>
        <w:t xml:space="preserve">MODALIDAD DE ENTREGA </w:t>
      </w:r>
      <w:r w:rsidRPr="00BD3671">
        <w:rPr>
          <w:i/>
          <w:iCs/>
          <w:sz w:val="20"/>
          <w:szCs w:val="20"/>
        </w:rPr>
        <w:t>“A través del SAIMEX.”</w:t>
      </w:r>
    </w:p>
    <w:p w14:paraId="0C92F5C3" w14:textId="77777777" w:rsidR="00017B2F" w:rsidRPr="00BD3671" w:rsidRDefault="00017B2F">
      <w:pPr>
        <w:tabs>
          <w:tab w:val="left" w:pos="4667"/>
        </w:tabs>
        <w:spacing w:after="0" w:line="360" w:lineRule="auto"/>
        <w:ind w:right="709"/>
        <w:rPr>
          <w:i/>
          <w:iCs/>
        </w:rPr>
      </w:pPr>
    </w:p>
    <w:p w14:paraId="7CEAE392" w14:textId="77777777" w:rsidR="00017B2F" w:rsidRPr="00BD3671" w:rsidRDefault="00C80E0A">
      <w:pPr>
        <w:pStyle w:val="Ttulo2"/>
        <w:spacing w:before="0" w:after="0"/>
      </w:pPr>
      <w:bookmarkStart w:id="5" w:name="_Toc219989644"/>
      <w:r w:rsidRPr="00BD3671">
        <w:t>II. Respuesta del Sujeto Obligado</w:t>
      </w:r>
      <w:bookmarkEnd w:id="5"/>
    </w:p>
    <w:p w14:paraId="5A295EE9" w14:textId="77777777" w:rsidR="00017B2F" w:rsidRPr="00BD3671" w:rsidRDefault="00017B2F">
      <w:pPr>
        <w:spacing w:after="0" w:line="360" w:lineRule="auto"/>
      </w:pPr>
    </w:p>
    <w:p w14:paraId="002AE8B1" w14:textId="77777777" w:rsidR="00017B2F" w:rsidRPr="00BD3671" w:rsidRDefault="00C80E0A">
      <w:pPr>
        <w:spacing w:after="0" w:line="360" w:lineRule="auto"/>
      </w:pPr>
      <w:r w:rsidRPr="00BD3671">
        <w:t xml:space="preserve">El diecinueve de agosto de dos mil veinticinco, el Sujeto Obligado a través de SAIMEX, dio respuesta, mediante el archivo denominado </w:t>
      </w:r>
      <w:r w:rsidRPr="00BD3671">
        <w:rPr>
          <w:b/>
          <w:bCs/>
          <w:i/>
          <w:iCs/>
        </w:rPr>
        <w:t xml:space="preserve">TRANSPARENCIA 00204.pdf, </w:t>
      </w:r>
      <w:r w:rsidRPr="00BD3671">
        <w:t>del que se desprende un oficio suscrito por el Consejero Jurídico del Sujeto Obligado, en el que informó lo siguiente:</w:t>
      </w:r>
    </w:p>
    <w:p w14:paraId="092D6BD4" w14:textId="77777777" w:rsidR="00017B2F" w:rsidRPr="00BD3671" w:rsidRDefault="00017B2F">
      <w:pPr>
        <w:spacing w:after="0" w:line="360" w:lineRule="auto"/>
        <w:rPr>
          <w:i/>
          <w:iCs/>
        </w:rPr>
      </w:pPr>
    </w:p>
    <w:p w14:paraId="2E8E46DC" w14:textId="77777777" w:rsidR="00017B2F" w:rsidRPr="00BD3671" w:rsidRDefault="00C80E0A" w:rsidP="00CE18B4">
      <w:pPr>
        <w:spacing w:after="0" w:line="360" w:lineRule="auto"/>
        <w:ind w:left="567" w:right="567"/>
        <w:rPr>
          <w:i/>
          <w:iCs/>
          <w:sz w:val="20"/>
          <w:szCs w:val="20"/>
        </w:rPr>
      </w:pPr>
      <w:r w:rsidRPr="00BD3671">
        <w:rPr>
          <w:i/>
          <w:iCs/>
          <w:sz w:val="20"/>
          <w:szCs w:val="20"/>
        </w:rPr>
        <w:t>“…</w:t>
      </w:r>
    </w:p>
    <w:p w14:paraId="23413989" w14:textId="77777777" w:rsidR="00017B2F" w:rsidRPr="00BD3671" w:rsidRDefault="00C80E0A" w:rsidP="00CE18B4">
      <w:pPr>
        <w:spacing w:after="0" w:line="360" w:lineRule="auto"/>
        <w:ind w:left="567" w:right="567"/>
        <w:rPr>
          <w:i/>
          <w:iCs/>
          <w:sz w:val="20"/>
          <w:szCs w:val="20"/>
        </w:rPr>
      </w:pPr>
      <w:r w:rsidRPr="00BD3671">
        <w:rPr>
          <w:i/>
          <w:iCs/>
          <w:sz w:val="20"/>
          <w:szCs w:val="20"/>
        </w:rPr>
        <w:t>De conformidad en lo dispuesto por el artículo 22 Bis fracción IV de la Ley de Seguridad para el Estado de México, es prudente hacer de conocimiento que el actual Director de Seguridad Pública y Movilidad de Chicoloapan Josafat Green Ramírez, en la actualidad cuenta con una experiencia de 16 años dentro de las corporaciones de seguridad pública, así como encontrarse dentro del periodo de certificación en seguridad pública, la cual se encuentra en trámite, de conformidad con el ordenamiento de marras.</w:t>
      </w:r>
    </w:p>
    <w:p w14:paraId="1848FC46" w14:textId="77777777" w:rsidR="00017B2F" w:rsidRPr="00BD3671" w:rsidRDefault="00C80E0A" w:rsidP="00CE18B4">
      <w:pPr>
        <w:spacing w:after="0" w:line="360" w:lineRule="auto"/>
        <w:ind w:left="567" w:right="567"/>
        <w:rPr>
          <w:i/>
          <w:iCs/>
          <w:sz w:val="20"/>
          <w:szCs w:val="20"/>
        </w:rPr>
      </w:pPr>
      <w:r w:rsidRPr="00BD3671">
        <w:rPr>
          <w:i/>
          <w:iCs/>
          <w:sz w:val="20"/>
          <w:szCs w:val="20"/>
        </w:rPr>
        <w:t>…”</w:t>
      </w:r>
    </w:p>
    <w:p w14:paraId="4302CDCD" w14:textId="77777777" w:rsidR="00017B2F" w:rsidRPr="00BD3671" w:rsidRDefault="00017B2F">
      <w:pPr>
        <w:pBdr>
          <w:top w:val="nil"/>
          <w:left w:val="nil"/>
          <w:bottom w:val="nil"/>
          <w:right w:val="nil"/>
          <w:between w:val="nil"/>
        </w:pBdr>
        <w:spacing w:after="0" w:line="360" w:lineRule="auto"/>
        <w:ind w:right="709"/>
      </w:pPr>
    </w:p>
    <w:p w14:paraId="5D9E14CA" w14:textId="77777777" w:rsidR="00017B2F" w:rsidRPr="00BD3671" w:rsidRDefault="00C80E0A">
      <w:pPr>
        <w:pStyle w:val="Ttulo2"/>
        <w:spacing w:before="0" w:after="0"/>
      </w:pPr>
      <w:bookmarkStart w:id="6" w:name="_Toc219989645"/>
      <w:r w:rsidRPr="00BD3671">
        <w:t>III. Interposición del Recurso de Revisión</w:t>
      </w:r>
      <w:bookmarkEnd w:id="6"/>
    </w:p>
    <w:p w14:paraId="14906D57" w14:textId="77777777" w:rsidR="00017B2F" w:rsidRPr="00BD3671" w:rsidRDefault="00017B2F">
      <w:pPr>
        <w:spacing w:after="0" w:line="360" w:lineRule="auto"/>
        <w:rPr>
          <w:b/>
          <w:bCs/>
        </w:rPr>
      </w:pPr>
    </w:p>
    <w:p w14:paraId="03BF61ED" w14:textId="77777777" w:rsidR="00017B2F" w:rsidRPr="00BD3671" w:rsidRDefault="00C80E0A">
      <w:pPr>
        <w:spacing w:after="0" w:line="360" w:lineRule="auto"/>
      </w:pPr>
      <w:bookmarkStart w:id="7" w:name="_heading=h.2et92p0" w:colFirst="0" w:colLast="0"/>
      <w:bookmarkEnd w:id="7"/>
      <w:r w:rsidRPr="00BD3671">
        <w:t>Con fecha veintiséis de agosto de dos mil veinticinco, se recibió en este Instituto, a través del SAIMEX, el Recurso de Revisión interpuesto por la persona Recurrente, en los siguientes términos:</w:t>
      </w:r>
    </w:p>
    <w:p w14:paraId="601C60DE" w14:textId="77777777" w:rsidR="00017B2F" w:rsidRPr="00BD3671" w:rsidRDefault="00017B2F">
      <w:pPr>
        <w:spacing w:after="0" w:line="360" w:lineRule="auto"/>
      </w:pPr>
    </w:p>
    <w:p w14:paraId="3BBCFF16" w14:textId="77777777" w:rsidR="00017B2F" w:rsidRPr="00BD3671" w:rsidRDefault="00C80E0A">
      <w:pPr>
        <w:spacing w:after="0" w:line="360" w:lineRule="auto"/>
        <w:ind w:left="567" w:right="709"/>
        <w:rPr>
          <w:b/>
          <w:bCs/>
          <w:sz w:val="20"/>
          <w:szCs w:val="20"/>
        </w:rPr>
      </w:pPr>
      <w:r w:rsidRPr="00BD3671">
        <w:rPr>
          <w:b/>
          <w:bCs/>
          <w:sz w:val="20"/>
          <w:szCs w:val="20"/>
        </w:rPr>
        <w:t>ACTO IMPUGNADO</w:t>
      </w:r>
      <w:r w:rsidRPr="00BD3671">
        <w:rPr>
          <w:b/>
          <w:bCs/>
          <w:sz w:val="20"/>
          <w:szCs w:val="20"/>
        </w:rPr>
        <w:tab/>
      </w:r>
    </w:p>
    <w:p w14:paraId="5C92D20C" w14:textId="77777777" w:rsidR="00017B2F" w:rsidRPr="00BD3671" w:rsidRDefault="00C80E0A">
      <w:pPr>
        <w:spacing w:after="0" w:line="360" w:lineRule="auto"/>
        <w:ind w:left="567" w:right="709"/>
        <w:rPr>
          <w:i/>
          <w:iCs/>
          <w:sz w:val="20"/>
          <w:szCs w:val="20"/>
        </w:rPr>
      </w:pPr>
      <w:r w:rsidRPr="00BD3671">
        <w:rPr>
          <w:i/>
          <w:iCs/>
          <w:sz w:val="20"/>
          <w:szCs w:val="20"/>
        </w:rPr>
        <w:t>“no se da respuesta a lo solcitado y solo presenta informacion que no es relevate al contexto de la respuesta solicitad.” (Sic.)</w:t>
      </w:r>
    </w:p>
    <w:p w14:paraId="0790F526" w14:textId="77777777" w:rsidR="00017B2F" w:rsidRPr="00BD3671" w:rsidRDefault="00017B2F">
      <w:pPr>
        <w:spacing w:after="0" w:line="360" w:lineRule="auto"/>
        <w:ind w:left="567" w:right="709"/>
        <w:rPr>
          <w:sz w:val="20"/>
          <w:szCs w:val="20"/>
        </w:rPr>
      </w:pPr>
    </w:p>
    <w:p w14:paraId="5F195DA9" w14:textId="77777777" w:rsidR="00017B2F" w:rsidRPr="00BD3671" w:rsidRDefault="00C80E0A">
      <w:pPr>
        <w:spacing w:after="0" w:line="360" w:lineRule="auto"/>
        <w:ind w:left="567" w:right="709"/>
        <w:rPr>
          <w:b/>
          <w:bCs/>
          <w:sz w:val="20"/>
          <w:szCs w:val="20"/>
        </w:rPr>
      </w:pPr>
      <w:r w:rsidRPr="00BD3671">
        <w:rPr>
          <w:b/>
          <w:bCs/>
          <w:sz w:val="20"/>
          <w:szCs w:val="20"/>
        </w:rPr>
        <w:t>RAZONES O MOTIVOS DE LA INCONFORMIDAD</w:t>
      </w:r>
      <w:r w:rsidRPr="00BD3671">
        <w:rPr>
          <w:b/>
          <w:bCs/>
          <w:sz w:val="20"/>
          <w:szCs w:val="20"/>
        </w:rPr>
        <w:tab/>
      </w:r>
    </w:p>
    <w:p w14:paraId="6B2B18B3" w14:textId="77777777" w:rsidR="00017B2F" w:rsidRPr="00BD3671" w:rsidRDefault="00C80E0A">
      <w:pPr>
        <w:tabs>
          <w:tab w:val="left" w:pos="4667"/>
        </w:tabs>
        <w:spacing w:after="0" w:line="360" w:lineRule="auto"/>
        <w:ind w:left="567" w:right="709"/>
        <w:rPr>
          <w:i/>
          <w:iCs/>
          <w:sz w:val="20"/>
          <w:szCs w:val="20"/>
        </w:rPr>
      </w:pPr>
      <w:r w:rsidRPr="00BD3671">
        <w:rPr>
          <w:i/>
          <w:iCs/>
          <w:sz w:val="20"/>
          <w:szCs w:val="20"/>
        </w:rPr>
        <w:t xml:space="preserve">“La LEY DE SEGURIDAD DEL ESTADO DE MÉXICO, específicamente en el cumplimiento del Artículo 22 Bis, en su punto IV. Dice: Tener título de Licenciatura, y contar con certificación o especialización como mando en seguridad pública expedida por la Universidad Mexiquense de Seguridad, y contar con experiencia mínima de un año en la materia. Y la respuesta emitida por el Consejero jurídico del Gobierno de Chicoloapan no justifica la falta al cumplimiento de la Ley por el Presidente municipal y el Ayuntamiento. Se le solicita adjunte la el sustento jurídico de la acción.” </w:t>
      </w:r>
    </w:p>
    <w:p w14:paraId="6F5F71FA" w14:textId="77777777" w:rsidR="00017B2F" w:rsidRPr="00BD3671" w:rsidRDefault="00017B2F">
      <w:pPr>
        <w:tabs>
          <w:tab w:val="left" w:pos="4667"/>
        </w:tabs>
        <w:spacing w:after="0" w:line="360" w:lineRule="auto"/>
        <w:rPr>
          <w:sz w:val="20"/>
          <w:szCs w:val="20"/>
        </w:rPr>
      </w:pPr>
    </w:p>
    <w:p w14:paraId="3BA473D7" w14:textId="77777777" w:rsidR="00017B2F" w:rsidRPr="00BD3671" w:rsidRDefault="00C80E0A">
      <w:pPr>
        <w:pStyle w:val="Ttulo2"/>
        <w:spacing w:before="0" w:after="0"/>
      </w:pPr>
      <w:bookmarkStart w:id="8" w:name="_Toc219989646"/>
      <w:r w:rsidRPr="00BD3671">
        <w:t>IV. Trámite del Recurso de Revisión ante este Instituto</w:t>
      </w:r>
      <w:bookmarkEnd w:id="8"/>
    </w:p>
    <w:p w14:paraId="2EFCC7DD" w14:textId="77777777" w:rsidR="00017B2F" w:rsidRPr="00BD3671" w:rsidRDefault="00017B2F">
      <w:pPr>
        <w:spacing w:after="0" w:line="360" w:lineRule="auto"/>
        <w:rPr>
          <w:b/>
          <w:bCs/>
        </w:rPr>
      </w:pPr>
    </w:p>
    <w:p w14:paraId="328C2B13" w14:textId="77777777" w:rsidR="00017B2F" w:rsidRPr="00BD3671" w:rsidRDefault="00C80E0A">
      <w:pPr>
        <w:spacing w:after="0" w:line="360" w:lineRule="auto"/>
      </w:pPr>
      <w:r w:rsidRPr="00BD3671">
        <w:rPr>
          <w:b/>
          <w:bCs/>
        </w:rPr>
        <w:t>a) Turno del Medio de Impugnación.</w:t>
      </w:r>
      <w:r w:rsidRPr="00BD3671">
        <w:t xml:space="preserve"> El veintiséis de agosto de dos mil veinticinco, el SAIMEX, asignó el número de expediente</w:t>
      </w:r>
      <w:r w:rsidRPr="00BD3671">
        <w:rPr>
          <w:b/>
          <w:bCs/>
        </w:rPr>
        <w:t xml:space="preserve"> 10076/INFOEM/IP/RR/2025, </w:t>
      </w:r>
      <w:r w:rsidRPr="00BD3671">
        <w:t>al medio de impugnación que nos ocupan, con base en el sistema aprobado por el Pleno de este Órgano Garante y se turnó al Comisionado Ponente, para los efectos del artículo 185, fracción I de la Ley de Transparencia y Acceso a la Información Pública del Estado de México y Municipios.</w:t>
      </w:r>
    </w:p>
    <w:p w14:paraId="465D3DCF" w14:textId="77777777" w:rsidR="00017B2F" w:rsidRPr="00BD3671" w:rsidRDefault="00017B2F">
      <w:pPr>
        <w:spacing w:after="0" w:line="360" w:lineRule="auto"/>
      </w:pPr>
    </w:p>
    <w:p w14:paraId="02191A1A" w14:textId="77777777" w:rsidR="00017B2F" w:rsidRPr="00BD3671" w:rsidRDefault="00C80E0A">
      <w:pPr>
        <w:spacing w:after="0" w:line="360" w:lineRule="auto"/>
      </w:pPr>
      <w:r w:rsidRPr="00BD3671">
        <w:rPr>
          <w:b/>
          <w:bCs/>
        </w:rPr>
        <w:t>b) Admisión del Recurso de Revisión.</w:t>
      </w:r>
      <w:r w:rsidRPr="00BD3671">
        <w:t xml:space="preserve"> El veintinueve de agosto de dos mil veinticinco, se notificó a través del SAIMEX, el acuerdo de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manifestara lo que a su derecho conviniera y formularán alegatos.</w:t>
      </w:r>
    </w:p>
    <w:p w14:paraId="180AFA24" w14:textId="77777777" w:rsidR="00017B2F" w:rsidRPr="00BD3671" w:rsidRDefault="00017B2F">
      <w:pPr>
        <w:spacing w:after="0" w:line="360" w:lineRule="auto"/>
        <w:rPr>
          <w:b/>
          <w:bCs/>
        </w:rPr>
      </w:pPr>
    </w:p>
    <w:p w14:paraId="782AEE60" w14:textId="77777777" w:rsidR="00017B2F" w:rsidRPr="00BD3671" w:rsidRDefault="00C80E0A">
      <w:pPr>
        <w:spacing w:after="0" w:line="360" w:lineRule="auto"/>
        <w:rPr>
          <w:color w:val="000000"/>
        </w:rPr>
      </w:pPr>
      <w:r w:rsidRPr="00BD3671">
        <w:rPr>
          <w:b/>
          <w:bCs/>
        </w:rPr>
        <w:t xml:space="preserve">c) </w:t>
      </w:r>
      <w:r w:rsidRPr="00BD3671">
        <w:rPr>
          <w:b/>
          <w:bCs/>
          <w:color w:val="000000"/>
        </w:rPr>
        <w:t xml:space="preserve">Informe Justificado. </w:t>
      </w:r>
      <w:r w:rsidRPr="00BD3671">
        <w:rPr>
          <w:color w:val="000000"/>
        </w:rPr>
        <w:t>En fecha seis de octubre de dos mil veinticinco, se recibió en este Instituto, a través del Sistema de Acceso a la Información Mexiquense (SAIMEX), el Informe Justificado, por parte del Sujeto Obligado, en los siguientes términos:</w:t>
      </w:r>
    </w:p>
    <w:p w14:paraId="2207CBAB" w14:textId="77777777" w:rsidR="00017B2F" w:rsidRPr="00BD3671" w:rsidRDefault="00017B2F">
      <w:pPr>
        <w:spacing w:after="0" w:line="360" w:lineRule="auto"/>
        <w:rPr>
          <w:color w:val="000000"/>
        </w:rPr>
      </w:pPr>
    </w:p>
    <w:p w14:paraId="201D1D17" w14:textId="77777777" w:rsidR="00017B2F" w:rsidRPr="00BD3671" w:rsidRDefault="00C80E0A">
      <w:pPr>
        <w:numPr>
          <w:ilvl w:val="0"/>
          <w:numId w:val="2"/>
        </w:numPr>
        <w:pBdr>
          <w:top w:val="nil"/>
          <w:left w:val="nil"/>
          <w:bottom w:val="nil"/>
          <w:right w:val="nil"/>
          <w:between w:val="nil"/>
        </w:pBdr>
        <w:spacing w:after="0" w:line="360" w:lineRule="auto"/>
        <w:rPr>
          <w:b/>
          <w:bCs/>
          <w:color w:val="000000"/>
        </w:rPr>
      </w:pPr>
      <w:r w:rsidRPr="00BD3671">
        <w:rPr>
          <w:b/>
          <w:bCs/>
          <w:i/>
          <w:iCs/>
          <w:color w:val="000000"/>
        </w:rPr>
        <w:t>Recurso de Revisión 204.pdf;</w:t>
      </w:r>
      <w:r w:rsidRPr="00BD3671">
        <w:rPr>
          <w:b/>
          <w:bCs/>
          <w:color w:val="000000"/>
        </w:rPr>
        <w:t xml:space="preserve"> </w:t>
      </w:r>
      <w:r w:rsidRPr="00BD3671">
        <w:rPr>
          <w:color w:val="000000"/>
        </w:rPr>
        <w:t>del que se desprenden los siguientes:</w:t>
      </w:r>
    </w:p>
    <w:p w14:paraId="17F1B727" w14:textId="77777777" w:rsidR="00017B2F" w:rsidRPr="00BD3671" w:rsidRDefault="00C80E0A">
      <w:pPr>
        <w:numPr>
          <w:ilvl w:val="1"/>
          <w:numId w:val="2"/>
        </w:numPr>
        <w:pBdr>
          <w:top w:val="nil"/>
          <w:left w:val="nil"/>
          <w:bottom w:val="nil"/>
          <w:right w:val="nil"/>
          <w:between w:val="nil"/>
        </w:pBdr>
        <w:spacing w:after="0" w:line="360" w:lineRule="auto"/>
        <w:rPr>
          <w:color w:val="000000"/>
        </w:rPr>
      </w:pPr>
      <w:r w:rsidRPr="00BD3671">
        <w:rPr>
          <w:color w:val="000000"/>
        </w:rPr>
        <w:t>Oficio suscrito por el Consejero Jurídico del Sujeto Obligado en el que informó lo siguiente:</w:t>
      </w:r>
    </w:p>
    <w:p w14:paraId="2F0C04B2" w14:textId="77777777" w:rsidR="00017B2F" w:rsidRPr="00BD3671" w:rsidRDefault="00017B2F">
      <w:pPr>
        <w:pBdr>
          <w:top w:val="nil"/>
          <w:left w:val="nil"/>
          <w:bottom w:val="nil"/>
          <w:right w:val="nil"/>
          <w:between w:val="nil"/>
        </w:pBdr>
        <w:spacing w:after="0" w:line="360" w:lineRule="auto"/>
        <w:rPr>
          <w:b/>
          <w:bCs/>
          <w:color w:val="000000"/>
        </w:rPr>
      </w:pPr>
    </w:p>
    <w:p w14:paraId="7B1CFCF9" w14:textId="77777777" w:rsidR="00017B2F" w:rsidRPr="00BD3671" w:rsidRDefault="00C80E0A">
      <w:pPr>
        <w:pBdr>
          <w:top w:val="nil"/>
          <w:left w:val="nil"/>
          <w:bottom w:val="nil"/>
          <w:right w:val="nil"/>
          <w:between w:val="nil"/>
        </w:pBdr>
        <w:spacing w:after="0" w:line="360" w:lineRule="auto"/>
        <w:rPr>
          <w:i/>
          <w:iCs/>
          <w:sz w:val="20"/>
          <w:szCs w:val="20"/>
        </w:rPr>
      </w:pPr>
      <w:r w:rsidRPr="00BD3671">
        <w:rPr>
          <w:b/>
          <w:bCs/>
          <w:i/>
          <w:iCs/>
          <w:color w:val="000000"/>
          <w:sz w:val="20"/>
          <w:szCs w:val="20"/>
        </w:rPr>
        <w:t>“</w:t>
      </w:r>
      <w:r w:rsidRPr="00BD3671">
        <w:rPr>
          <w:i/>
          <w:iCs/>
          <w:color w:val="000000"/>
          <w:sz w:val="20"/>
          <w:szCs w:val="20"/>
        </w:rPr>
        <w:t>C</w:t>
      </w:r>
      <w:r w:rsidRPr="00BD3671">
        <w:rPr>
          <w:i/>
          <w:iCs/>
          <w:sz w:val="20"/>
          <w:szCs w:val="20"/>
        </w:rPr>
        <w:t>on relación a las razones y motivos de inconformidad, y a efecto de robustecer la información proporcionada en la solicitud de la cual se impugna su respuesta, me permito anexar Acta Título de Licenciado en Derecho del Lic. Josafat Green Ramírez, así como la Ficha de Validación del Programa de Capacitación 2025, de 27 veintisiete de agosto de 2025 dos mil veinticinco, teniendo como instancia de profesionalización la Universidad Mexiquense de Seguridad, como instancia certificadora, en atención al artículo 22 Bis de la Ley de Seguridad del Estado de México.”</w:t>
      </w:r>
    </w:p>
    <w:p w14:paraId="2221D445" w14:textId="77777777" w:rsidR="00017B2F" w:rsidRPr="00BD3671" w:rsidRDefault="00017B2F">
      <w:pPr>
        <w:pBdr>
          <w:top w:val="nil"/>
          <w:left w:val="nil"/>
          <w:bottom w:val="nil"/>
          <w:right w:val="nil"/>
          <w:between w:val="nil"/>
        </w:pBdr>
        <w:spacing w:after="0" w:line="360" w:lineRule="auto"/>
        <w:rPr>
          <w:b/>
          <w:bCs/>
          <w:i/>
          <w:iCs/>
          <w:color w:val="000000"/>
        </w:rPr>
      </w:pPr>
    </w:p>
    <w:p w14:paraId="06D91FA1" w14:textId="77777777" w:rsidR="00017B2F" w:rsidRPr="00BD3671" w:rsidRDefault="00C80E0A" w:rsidP="00CE18B4">
      <w:pPr>
        <w:numPr>
          <w:ilvl w:val="1"/>
          <w:numId w:val="2"/>
        </w:numPr>
        <w:pBdr>
          <w:top w:val="nil"/>
          <w:left w:val="nil"/>
          <w:bottom w:val="nil"/>
          <w:right w:val="nil"/>
          <w:between w:val="nil"/>
        </w:pBdr>
        <w:spacing w:after="0" w:line="360" w:lineRule="auto"/>
        <w:ind w:left="709"/>
        <w:rPr>
          <w:color w:val="000000"/>
        </w:rPr>
      </w:pPr>
      <w:r w:rsidRPr="00BD3671">
        <w:rPr>
          <w:color w:val="000000"/>
        </w:rPr>
        <w:t xml:space="preserve">Acta de Titulación de Licenciatura en favor de la persona identificada como Director de Seguridad Pública y Movilidad. </w:t>
      </w:r>
    </w:p>
    <w:p w14:paraId="529F1EAE" w14:textId="77777777" w:rsidR="00017B2F" w:rsidRPr="00BD3671" w:rsidRDefault="00017B2F" w:rsidP="00CE18B4">
      <w:pPr>
        <w:pBdr>
          <w:top w:val="nil"/>
          <w:left w:val="nil"/>
          <w:bottom w:val="nil"/>
          <w:right w:val="nil"/>
          <w:between w:val="nil"/>
        </w:pBdr>
        <w:spacing w:after="0" w:line="360" w:lineRule="auto"/>
        <w:ind w:left="709"/>
        <w:rPr>
          <w:color w:val="000000"/>
        </w:rPr>
      </w:pPr>
    </w:p>
    <w:p w14:paraId="3D68E615" w14:textId="77777777" w:rsidR="00017B2F" w:rsidRPr="00BD3671" w:rsidRDefault="00C80E0A" w:rsidP="00CE18B4">
      <w:pPr>
        <w:numPr>
          <w:ilvl w:val="1"/>
          <w:numId w:val="2"/>
        </w:numPr>
        <w:pBdr>
          <w:top w:val="nil"/>
          <w:left w:val="nil"/>
          <w:bottom w:val="nil"/>
          <w:right w:val="nil"/>
          <w:between w:val="nil"/>
        </w:pBdr>
        <w:spacing w:after="0" w:line="360" w:lineRule="auto"/>
        <w:ind w:left="709"/>
        <w:rPr>
          <w:color w:val="000000"/>
        </w:rPr>
      </w:pPr>
      <w:r w:rsidRPr="00BD3671">
        <w:rPr>
          <w:color w:val="000000"/>
        </w:rPr>
        <w:t xml:space="preserve">Ficha de validación de Programas de Capacitación 2025, emitida por la Dirección General de Apoyo Técnico </w:t>
      </w:r>
      <w:r w:rsidRPr="00BD3671">
        <w:t>del</w:t>
      </w:r>
      <w:r w:rsidRPr="00BD3671">
        <w:rPr>
          <w:color w:val="000000"/>
        </w:rPr>
        <w:t xml:space="preserve"> Secretariado Ejecutivo.</w:t>
      </w:r>
    </w:p>
    <w:p w14:paraId="7C4F8A8B" w14:textId="77777777" w:rsidR="00017B2F" w:rsidRPr="00BD3671" w:rsidRDefault="00017B2F">
      <w:pPr>
        <w:pBdr>
          <w:top w:val="nil"/>
          <w:left w:val="nil"/>
          <w:bottom w:val="nil"/>
          <w:right w:val="nil"/>
          <w:between w:val="nil"/>
        </w:pBdr>
        <w:spacing w:after="0" w:line="360" w:lineRule="auto"/>
        <w:rPr>
          <w:b/>
          <w:bCs/>
          <w:color w:val="000000"/>
        </w:rPr>
      </w:pPr>
    </w:p>
    <w:p w14:paraId="1282EB50" w14:textId="77777777" w:rsidR="00017B2F" w:rsidRPr="00BD3671" w:rsidRDefault="00C80E0A">
      <w:pPr>
        <w:spacing w:after="0" w:line="360" w:lineRule="auto"/>
        <w:rPr>
          <w:color w:val="000000"/>
        </w:rPr>
      </w:pPr>
      <w:r w:rsidRPr="00BD3671">
        <w:rPr>
          <w:b/>
          <w:bCs/>
          <w:color w:val="000000"/>
        </w:rPr>
        <w:t xml:space="preserve">d) Vista de Informe Justificado. </w:t>
      </w:r>
      <w:r w:rsidRPr="00BD3671">
        <w:rPr>
          <w:color w:val="000000"/>
        </w:rPr>
        <w:t>El catorce de enero de dos mil veintiséis, se notificó a través del SAIMEX, el acuerdo mediante el cual se puso a la vista de la parte Recurrente el Informe Justificado, proveído por el cual se le otorgó a este último, un término de tres días hábiles contados a partir del día siguiente a la notificación, para que emitiera las manifestaciones que conforme a sus intereses convenga.</w:t>
      </w:r>
    </w:p>
    <w:p w14:paraId="438A166F" w14:textId="77777777" w:rsidR="00017B2F" w:rsidRPr="00BD3671" w:rsidRDefault="00017B2F">
      <w:pPr>
        <w:widowControl w:val="0"/>
        <w:spacing w:after="0" w:line="360" w:lineRule="auto"/>
        <w:rPr>
          <w:b/>
          <w:bCs/>
        </w:rPr>
      </w:pPr>
    </w:p>
    <w:p w14:paraId="238B66E9" w14:textId="77777777" w:rsidR="00017B2F" w:rsidRPr="00BD3671" w:rsidRDefault="00C80E0A">
      <w:pPr>
        <w:spacing w:after="0" w:line="360" w:lineRule="auto"/>
      </w:pPr>
      <w:r w:rsidRPr="00BD3671">
        <w:rPr>
          <w:b/>
          <w:bCs/>
        </w:rPr>
        <w:t xml:space="preserve">e) Manifestaciones de la parte Recurrente. </w:t>
      </w:r>
      <w:r w:rsidRPr="00BD3671">
        <w:t>De las constancias que integran el expediente se advierte que la parte Recurrente no añadió manifestaciones.</w:t>
      </w:r>
    </w:p>
    <w:p w14:paraId="35F7B02B" w14:textId="77777777" w:rsidR="00017B2F" w:rsidRPr="00BD3671" w:rsidRDefault="00017B2F">
      <w:pPr>
        <w:spacing w:after="0" w:line="360" w:lineRule="auto"/>
      </w:pPr>
    </w:p>
    <w:p w14:paraId="7A2E2BF2" w14:textId="77777777" w:rsidR="00017B2F" w:rsidRPr="00BD3671" w:rsidRDefault="00C80E0A">
      <w:pPr>
        <w:spacing w:after="0" w:line="360" w:lineRule="auto"/>
        <w:rPr>
          <w:b/>
          <w:bCs/>
          <w:color w:val="000000"/>
        </w:rPr>
      </w:pPr>
      <w:r w:rsidRPr="00BD3671">
        <w:rPr>
          <w:b/>
          <w:bCs/>
          <w:color w:val="000000"/>
        </w:rPr>
        <w:t>f)</w:t>
      </w:r>
      <w:r w:rsidRPr="00BD3671">
        <w:rPr>
          <w:color w:val="000000"/>
        </w:rPr>
        <w:t xml:space="preserve"> </w:t>
      </w:r>
      <w:r w:rsidRPr="00BD3671">
        <w:rPr>
          <w:b/>
          <w:bCs/>
          <w:color w:val="000000"/>
        </w:rPr>
        <w:t>Ampliación de plazo para resolver</w:t>
      </w:r>
      <w:r w:rsidRPr="00BD3671">
        <w:rPr>
          <w:color w:val="000000"/>
        </w:rPr>
        <w:t>. El catorce de enero de dos mil veintiséis, el Comisionado Ponente, con fundamento en lo dispuesto por el artículo 181, párrafo tercero, de la Ley de Transparencia y Acceso a la Información Pública del Estado de México y Municipios, acordó ampliar por un plazo razonable, el plazo para resolver el Recurso de Revisión que nos ocupa; acto que fue notificado a las partes en la misma fecha, mediante el SAIMEX.</w:t>
      </w:r>
    </w:p>
    <w:p w14:paraId="5858EA4F" w14:textId="77777777" w:rsidR="00017B2F" w:rsidRPr="00BD3671" w:rsidRDefault="00017B2F">
      <w:pPr>
        <w:spacing w:after="0" w:line="360" w:lineRule="auto"/>
      </w:pPr>
    </w:p>
    <w:p w14:paraId="6621BB3A" w14:textId="77777777" w:rsidR="00017B2F" w:rsidRPr="00BD3671" w:rsidRDefault="00C80E0A">
      <w:pPr>
        <w:spacing w:after="0" w:line="360" w:lineRule="auto"/>
      </w:pPr>
      <w:r w:rsidRPr="00BD3671">
        <w:rPr>
          <w:b/>
          <w:bCs/>
        </w:rPr>
        <w:t>g) Cierre de instrucción.</w:t>
      </w:r>
      <w:r w:rsidRPr="00BD3671">
        <w:t xml:space="preserve"> El veinte de enero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37189ACE" w14:textId="77777777" w:rsidR="00017B2F" w:rsidRPr="00BD3671" w:rsidRDefault="00017B2F">
      <w:pPr>
        <w:spacing w:after="0" w:line="360" w:lineRule="auto"/>
      </w:pPr>
    </w:p>
    <w:p w14:paraId="45F7988B" w14:textId="77777777" w:rsidR="00017B2F" w:rsidRPr="00BD3671" w:rsidRDefault="00C80E0A">
      <w:pPr>
        <w:spacing w:after="0" w:line="360" w:lineRule="auto"/>
      </w:pPr>
      <w:r w:rsidRPr="00BD3671">
        <w:t xml:space="preserve">En razón de que fue debidamente sustanciado e integrado el expediente electrónico y no existir diligencia pendiente de desahogo, se emite la resolución que conforme a Derecho proceda, de acuerdo a los siguientes: </w:t>
      </w:r>
    </w:p>
    <w:p w14:paraId="46A3DFD1" w14:textId="77777777" w:rsidR="00017B2F" w:rsidRPr="00BD3671" w:rsidRDefault="00017B2F">
      <w:pPr>
        <w:spacing w:after="0" w:line="360" w:lineRule="auto"/>
      </w:pPr>
    </w:p>
    <w:p w14:paraId="17CE2E2B" w14:textId="77777777" w:rsidR="00017B2F" w:rsidRPr="00BD3671" w:rsidRDefault="00C80E0A">
      <w:pPr>
        <w:pStyle w:val="Ttulo1"/>
        <w:spacing w:before="0" w:after="0"/>
        <w:rPr>
          <w:sz w:val="22"/>
          <w:szCs w:val="22"/>
        </w:rPr>
      </w:pPr>
      <w:bookmarkStart w:id="9" w:name="_Toc219989647"/>
      <w:r w:rsidRPr="00BD3671">
        <w:rPr>
          <w:sz w:val="22"/>
          <w:szCs w:val="22"/>
        </w:rPr>
        <w:t>C O N S I D E R A N D O S</w:t>
      </w:r>
      <w:bookmarkEnd w:id="9"/>
    </w:p>
    <w:p w14:paraId="5BCDE7E8" w14:textId="77777777" w:rsidR="00017B2F" w:rsidRPr="00BD3671" w:rsidRDefault="00017B2F">
      <w:pPr>
        <w:spacing w:after="0" w:line="360" w:lineRule="auto"/>
        <w:rPr>
          <w:b/>
          <w:bCs/>
        </w:rPr>
      </w:pPr>
    </w:p>
    <w:p w14:paraId="0546A9A5" w14:textId="77777777" w:rsidR="00017B2F" w:rsidRPr="00BD3671" w:rsidRDefault="00C80E0A">
      <w:pPr>
        <w:pStyle w:val="Ttulo2"/>
        <w:spacing w:before="0" w:after="0"/>
        <w:rPr>
          <w:b w:val="0"/>
          <w:bCs w:val="0"/>
          <w:color w:val="000000"/>
        </w:rPr>
      </w:pPr>
      <w:bookmarkStart w:id="10" w:name="_Toc219989648"/>
      <w:r w:rsidRPr="00BD3671">
        <w:rPr>
          <w:color w:val="000000"/>
        </w:rPr>
        <w:t>PRIMERO. Competencia</w:t>
      </w:r>
      <w:bookmarkEnd w:id="10"/>
    </w:p>
    <w:p w14:paraId="02E6C3CF" w14:textId="77777777" w:rsidR="00017B2F" w:rsidRPr="00BD3671" w:rsidRDefault="00017B2F">
      <w:pPr>
        <w:spacing w:after="0" w:line="360" w:lineRule="auto"/>
        <w:rPr>
          <w:b/>
          <w:bCs/>
          <w:color w:val="000000"/>
        </w:rPr>
      </w:pPr>
    </w:p>
    <w:p w14:paraId="69F29DC2" w14:textId="33526ADD" w:rsidR="00017B2F" w:rsidRPr="00BD3671" w:rsidRDefault="00BD3671">
      <w:pPr>
        <w:spacing w:after="0" w:line="360" w:lineRule="auto"/>
        <w:rPr>
          <w:color w:val="000000"/>
        </w:rPr>
      </w:pPr>
      <w:bookmarkStart w:id="11" w:name="_heading=h.ro28cz1kvkk7" w:colFirst="0" w:colLast="0"/>
      <w:bookmarkEnd w:id="11"/>
      <w:r w:rsidRPr="00BD3671">
        <w:rPr>
          <w:color w:val="000000"/>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w:t>
      </w:r>
      <w:r>
        <w:rPr>
          <w:color w:val="000000"/>
        </w:rPr>
        <w:t>l Estado de México y Municipios</w:t>
      </w:r>
      <w:r w:rsidR="00C80E0A" w:rsidRPr="00BD3671">
        <w:rPr>
          <w:color w:val="000000"/>
        </w:rPr>
        <w:t>.</w:t>
      </w:r>
    </w:p>
    <w:p w14:paraId="1B9B1936" w14:textId="77777777" w:rsidR="00017B2F" w:rsidRPr="00BD3671" w:rsidRDefault="00017B2F">
      <w:pPr>
        <w:spacing w:after="0" w:line="360" w:lineRule="auto"/>
        <w:rPr>
          <w:b/>
          <w:bCs/>
          <w:color w:val="000000"/>
        </w:rPr>
      </w:pPr>
    </w:p>
    <w:p w14:paraId="2822EF28" w14:textId="77777777" w:rsidR="00017B2F" w:rsidRPr="00BD3671" w:rsidRDefault="00C80E0A">
      <w:pPr>
        <w:pStyle w:val="Ttulo2"/>
        <w:spacing w:before="0" w:after="0"/>
        <w:rPr>
          <w:b w:val="0"/>
          <w:bCs w:val="0"/>
          <w:color w:val="000000"/>
        </w:rPr>
      </w:pPr>
      <w:bookmarkStart w:id="12" w:name="_Toc219989649"/>
      <w:r w:rsidRPr="00BD3671">
        <w:rPr>
          <w:color w:val="000000"/>
        </w:rPr>
        <w:t>SEGUNDO. Causales de improcedencia</w:t>
      </w:r>
      <w:bookmarkEnd w:id="12"/>
      <w:r w:rsidRPr="00BD3671">
        <w:rPr>
          <w:color w:val="000000"/>
        </w:rPr>
        <w:t xml:space="preserve"> </w:t>
      </w:r>
    </w:p>
    <w:p w14:paraId="5F3D9065" w14:textId="77777777" w:rsidR="00017B2F" w:rsidRPr="00BD3671" w:rsidRDefault="00017B2F">
      <w:pPr>
        <w:spacing w:after="0" w:line="360" w:lineRule="auto"/>
        <w:rPr>
          <w:color w:val="000000"/>
        </w:rPr>
      </w:pPr>
    </w:p>
    <w:p w14:paraId="57D95BBD" w14:textId="77777777" w:rsidR="00017B2F" w:rsidRPr="00BD3671" w:rsidRDefault="00C80E0A">
      <w:pPr>
        <w:spacing w:after="0" w:line="360" w:lineRule="auto"/>
        <w:rPr>
          <w:color w:val="000000"/>
        </w:rPr>
      </w:pPr>
      <w:r w:rsidRPr="00BD3671">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48A154D3" w14:textId="77777777" w:rsidR="00017B2F" w:rsidRPr="00BD3671" w:rsidRDefault="00017B2F">
      <w:pPr>
        <w:spacing w:after="0" w:line="360" w:lineRule="auto"/>
        <w:rPr>
          <w:color w:val="000000"/>
        </w:rPr>
      </w:pPr>
    </w:p>
    <w:p w14:paraId="70400375" w14:textId="77777777" w:rsidR="00017B2F" w:rsidRPr="00BD3671" w:rsidRDefault="00C80E0A">
      <w:pPr>
        <w:spacing w:after="0" w:line="360" w:lineRule="auto"/>
        <w:rPr>
          <w:color w:val="000000"/>
        </w:rPr>
      </w:pPr>
      <w:r w:rsidRPr="00BD3671">
        <w:rPr>
          <w:color w:val="000000"/>
        </w:rPr>
        <w:t>En el presente caso, no se actualizan las causales de improcedencia establecidas en el artículo 191, fracciones I a la V y VII, toda vez que: este Instituto no tiene conocimiento de que se haya presentado el Recurso de manera extemporánea; se encuentre en trámite algún medio de defensa presentado por el Recurrente ante otra instancia; no existió prevención alguna; la veracidad de la respuesta no formó parte del agravio; ni se amplió la solicitud de información.</w:t>
      </w:r>
    </w:p>
    <w:p w14:paraId="62D1936B" w14:textId="77777777" w:rsidR="00017B2F" w:rsidRPr="00BD3671" w:rsidRDefault="00017B2F">
      <w:pPr>
        <w:spacing w:after="0" w:line="360" w:lineRule="auto"/>
        <w:rPr>
          <w:color w:val="000000"/>
        </w:rPr>
      </w:pPr>
    </w:p>
    <w:p w14:paraId="1D1149B6" w14:textId="77777777" w:rsidR="00017B2F" w:rsidRPr="00BD3671" w:rsidRDefault="00C80E0A">
      <w:pPr>
        <w:spacing w:after="0" w:line="360" w:lineRule="auto"/>
        <w:rPr>
          <w:color w:val="000000"/>
        </w:rPr>
      </w:pPr>
      <w:r w:rsidRPr="00BD3671">
        <w:rPr>
          <w:color w:val="000000"/>
        </w:rPr>
        <w:t>Por lo cual, se actualiza la causal de procedencia del Recurso de Revisión señalada en el artículo 179, fracción VI, de la Ley en cita, pues la persona Recurrente se inconformó de la entrega de información que no corresponde con lo solicitado.</w:t>
      </w:r>
    </w:p>
    <w:p w14:paraId="3B459CCA" w14:textId="77777777" w:rsidR="00017B2F" w:rsidRPr="00BD3671" w:rsidRDefault="00017B2F">
      <w:pPr>
        <w:spacing w:after="0" w:line="360" w:lineRule="auto"/>
        <w:rPr>
          <w:color w:val="000000"/>
        </w:rPr>
      </w:pPr>
    </w:p>
    <w:p w14:paraId="789CCAC5" w14:textId="77777777" w:rsidR="00017B2F" w:rsidRPr="00BD3671" w:rsidRDefault="00C80E0A" w:rsidP="00415DE1">
      <w:pPr>
        <w:pStyle w:val="Ttulo2"/>
        <w:rPr>
          <w:b w:val="0"/>
          <w:bCs w:val="0"/>
          <w:color w:val="000000"/>
        </w:rPr>
      </w:pPr>
      <w:bookmarkStart w:id="13" w:name="_heading=h.hx7agk66bqhu" w:colFirst="0" w:colLast="0"/>
      <w:bookmarkStart w:id="14" w:name="_Toc219989650"/>
      <w:bookmarkEnd w:id="13"/>
      <w:r w:rsidRPr="00BD3671">
        <w:rPr>
          <w:color w:val="000000"/>
        </w:rPr>
        <w:t>TERCERO. Causales de sobreseimiento</w:t>
      </w:r>
      <w:bookmarkEnd w:id="14"/>
    </w:p>
    <w:p w14:paraId="321BDC28" w14:textId="77777777" w:rsidR="00017B2F" w:rsidRPr="00BD3671" w:rsidRDefault="00017B2F">
      <w:pPr>
        <w:spacing w:after="0" w:line="360" w:lineRule="auto"/>
        <w:rPr>
          <w:color w:val="000000"/>
        </w:rPr>
      </w:pPr>
    </w:p>
    <w:p w14:paraId="71D9B648" w14:textId="77777777" w:rsidR="00017B2F" w:rsidRPr="00BD3671" w:rsidRDefault="00C80E0A">
      <w:pPr>
        <w:spacing w:after="0" w:line="360" w:lineRule="auto"/>
        <w:rPr>
          <w:color w:val="000000"/>
        </w:rPr>
      </w:pPr>
      <w:r w:rsidRPr="00BD3671">
        <w:rPr>
          <w:color w:val="000000"/>
        </w:rPr>
        <w:t>Por ser de previo y especial pronunciamiento, este Instituto analiza si se actualiza alguna causal de sobreseimiento.</w:t>
      </w:r>
    </w:p>
    <w:p w14:paraId="4832DA7F" w14:textId="77777777" w:rsidR="00017B2F" w:rsidRPr="00BD3671" w:rsidRDefault="00017B2F">
      <w:pPr>
        <w:spacing w:after="0" w:line="360" w:lineRule="auto"/>
        <w:rPr>
          <w:color w:val="000000"/>
        </w:rPr>
      </w:pPr>
    </w:p>
    <w:p w14:paraId="61F51B2B" w14:textId="77777777" w:rsidR="00017B2F" w:rsidRPr="00BD3671" w:rsidRDefault="00C80E0A">
      <w:pPr>
        <w:spacing w:after="0" w:line="360" w:lineRule="auto"/>
        <w:rPr>
          <w:color w:val="000000"/>
        </w:rPr>
      </w:pPr>
      <w:r w:rsidRPr="00BD3671">
        <w:rPr>
          <w:color w:val="000000"/>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w:t>
      </w:r>
      <w:r w:rsidRPr="00BD3671">
        <w:rPr>
          <w:b/>
          <w:bCs/>
          <w:color w:val="000000"/>
        </w:rPr>
        <w:t xml:space="preserve"> no se configuran las causales establecidas en las fracciones I, II y III, </w:t>
      </w:r>
      <w:r w:rsidRPr="00BD3671">
        <w:rPr>
          <w:color w:val="000000"/>
        </w:rPr>
        <w:t>toda vez que no hay constancias en el expediente en que se actúa, de que el Recurrente se haya desistido, fallecido, o bien, que el Sujeto Obligado hubiese modificado o revocado el acto impugnado.</w:t>
      </w:r>
    </w:p>
    <w:p w14:paraId="13202314" w14:textId="77777777" w:rsidR="00017B2F" w:rsidRPr="00BD3671" w:rsidRDefault="00017B2F">
      <w:pPr>
        <w:spacing w:after="0" w:line="360" w:lineRule="auto"/>
        <w:rPr>
          <w:color w:val="000000"/>
        </w:rPr>
      </w:pPr>
    </w:p>
    <w:p w14:paraId="52EE83AA" w14:textId="77777777" w:rsidR="00017B2F" w:rsidRPr="00BD3671" w:rsidRDefault="00C80E0A">
      <w:pPr>
        <w:spacing w:after="0" w:line="360" w:lineRule="auto"/>
        <w:rPr>
          <w:color w:val="000000"/>
        </w:rPr>
      </w:pPr>
      <w:r w:rsidRPr="00BD3671">
        <w:rPr>
          <w:color w:val="000000"/>
        </w:rPr>
        <w:t>No obstante, por lo que hace a la hipótesis prevista en el artículo 192, fracción IV</w:t>
      </w:r>
      <w:r w:rsidRPr="00BD3671">
        <w:rPr>
          <w:b/>
          <w:bCs/>
          <w:color w:val="000000"/>
        </w:rPr>
        <w:t xml:space="preserve"> </w:t>
      </w:r>
      <w:r w:rsidRPr="00BD3671">
        <w:rPr>
          <w:color w:val="000000"/>
        </w:rPr>
        <w:t>y V a saber, que, una vez admitido el Recurso de Revisión, aparezca alguna causal de improcedencia en términos de la presente Ley, y cuando por cualquier motivo quede sin materia el Recurso de Revisión, respecto a la primera de las mencionadas es necesario traer a colación el artículo 191, fracción VI, del ordenamiento jurídico referido, que establecen lo siguiente:</w:t>
      </w:r>
    </w:p>
    <w:p w14:paraId="233E02F3" w14:textId="77777777" w:rsidR="00017B2F" w:rsidRPr="00BD3671" w:rsidRDefault="00017B2F">
      <w:pPr>
        <w:spacing w:after="0" w:line="360" w:lineRule="auto"/>
        <w:rPr>
          <w:color w:val="000000"/>
        </w:rPr>
      </w:pPr>
    </w:p>
    <w:p w14:paraId="1D03F73A" w14:textId="77777777" w:rsidR="00017B2F" w:rsidRPr="00BD3671" w:rsidRDefault="00C80E0A">
      <w:pPr>
        <w:spacing w:after="0" w:line="360" w:lineRule="auto"/>
        <w:ind w:left="567" w:right="567"/>
        <w:rPr>
          <w:i/>
          <w:iCs/>
          <w:color w:val="000000"/>
          <w:sz w:val="20"/>
          <w:szCs w:val="20"/>
        </w:rPr>
      </w:pPr>
      <w:r w:rsidRPr="00BD3671">
        <w:rPr>
          <w:b/>
          <w:bCs/>
          <w:i/>
          <w:iCs/>
          <w:color w:val="000000"/>
          <w:sz w:val="20"/>
          <w:szCs w:val="20"/>
        </w:rPr>
        <w:t>“Artículo 191.</w:t>
      </w:r>
      <w:r w:rsidRPr="00BD3671">
        <w:rPr>
          <w:i/>
          <w:iCs/>
          <w:color w:val="000000"/>
          <w:sz w:val="20"/>
          <w:szCs w:val="20"/>
        </w:rPr>
        <w:t xml:space="preserve"> El recurso será desechado por improcedente cuando:</w:t>
      </w:r>
    </w:p>
    <w:p w14:paraId="3C302278" w14:textId="77777777" w:rsidR="00017B2F" w:rsidRPr="00BD3671" w:rsidRDefault="00C80E0A">
      <w:pPr>
        <w:spacing w:after="0" w:line="360" w:lineRule="auto"/>
        <w:ind w:left="567" w:right="567"/>
        <w:rPr>
          <w:i/>
          <w:iCs/>
          <w:color w:val="000000"/>
          <w:sz w:val="20"/>
          <w:szCs w:val="20"/>
        </w:rPr>
      </w:pPr>
      <w:r w:rsidRPr="00BD3671">
        <w:rPr>
          <w:i/>
          <w:iCs/>
          <w:color w:val="000000"/>
          <w:sz w:val="20"/>
          <w:szCs w:val="20"/>
        </w:rPr>
        <w:t>…</w:t>
      </w:r>
    </w:p>
    <w:p w14:paraId="1DA72A7D" w14:textId="77777777" w:rsidR="00017B2F" w:rsidRPr="00BD3671" w:rsidRDefault="00C80E0A">
      <w:pPr>
        <w:spacing w:after="0" w:line="360" w:lineRule="auto"/>
        <w:ind w:left="567" w:right="567"/>
        <w:rPr>
          <w:i/>
          <w:iCs/>
          <w:color w:val="000000"/>
          <w:sz w:val="20"/>
          <w:szCs w:val="20"/>
        </w:rPr>
      </w:pPr>
      <w:r w:rsidRPr="00BD3671">
        <w:rPr>
          <w:i/>
          <w:iCs/>
          <w:color w:val="000000"/>
          <w:sz w:val="20"/>
          <w:szCs w:val="20"/>
        </w:rPr>
        <w:t>VI. Se trate de una consulta, o trámite en específico; y</w:t>
      </w:r>
    </w:p>
    <w:p w14:paraId="3115CF88" w14:textId="77777777" w:rsidR="00017B2F" w:rsidRPr="00BD3671" w:rsidRDefault="00C80E0A">
      <w:pPr>
        <w:spacing w:after="0" w:line="360" w:lineRule="auto"/>
        <w:ind w:left="567" w:right="567"/>
        <w:rPr>
          <w:i/>
          <w:iCs/>
          <w:color w:val="000000"/>
          <w:sz w:val="20"/>
          <w:szCs w:val="20"/>
        </w:rPr>
      </w:pPr>
      <w:r w:rsidRPr="00BD3671">
        <w:rPr>
          <w:i/>
          <w:iCs/>
          <w:color w:val="000000"/>
          <w:sz w:val="20"/>
          <w:szCs w:val="20"/>
        </w:rPr>
        <w:t>…”</w:t>
      </w:r>
    </w:p>
    <w:p w14:paraId="2CC7713E" w14:textId="77777777" w:rsidR="00017B2F" w:rsidRPr="00BD3671" w:rsidRDefault="00017B2F">
      <w:pPr>
        <w:spacing w:after="0" w:line="360" w:lineRule="auto"/>
        <w:rPr>
          <w:color w:val="000000"/>
        </w:rPr>
      </w:pPr>
    </w:p>
    <w:p w14:paraId="7A503362" w14:textId="77777777" w:rsidR="00017B2F" w:rsidRPr="00BD3671" w:rsidRDefault="00C80E0A">
      <w:pPr>
        <w:spacing w:after="0" w:line="360" w:lineRule="auto"/>
        <w:rPr>
          <w:color w:val="000000"/>
        </w:rPr>
      </w:pPr>
      <w:r w:rsidRPr="00BD3671">
        <w:rPr>
          <w:color w:val="000000"/>
        </w:rPr>
        <w:t xml:space="preserve">Conforme a lo anterior, se logra vislumbrar que las fracción VI del artículo 191, de la Ley de Transparencia y Acceso a la Información Pública del Estado de México y Municipios, precisa que el Recurso de Revisión será desechado por improcedente, cuando lo solicitado </w:t>
      </w:r>
      <w:r w:rsidRPr="00BD3671">
        <w:rPr>
          <w:b/>
          <w:bCs/>
          <w:color w:val="000000"/>
        </w:rPr>
        <w:t>se trate de una consulta.</w:t>
      </w:r>
    </w:p>
    <w:p w14:paraId="71D02AF6" w14:textId="77777777" w:rsidR="00017B2F" w:rsidRPr="00BD3671" w:rsidRDefault="00017B2F">
      <w:pPr>
        <w:spacing w:after="0" w:line="360" w:lineRule="auto"/>
        <w:rPr>
          <w:color w:val="000000"/>
        </w:rPr>
      </w:pPr>
    </w:p>
    <w:p w14:paraId="73090758" w14:textId="7DDF78FF" w:rsidR="00017B2F" w:rsidRPr="00BD3671" w:rsidRDefault="00C80E0A" w:rsidP="00CE18B4">
      <w:pPr>
        <w:tabs>
          <w:tab w:val="left" w:pos="4962"/>
        </w:tabs>
        <w:spacing w:after="0" w:line="360" w:lineRule="auto"/>
      </w:pPr>
      <w:r w:rsidRPr="00BD3671">
        <w:rPr>
          <w:color w:val="000000"/>
        </w:rPr>
        <w:t xml:space="preserve">En ese orden de ideas, de las constancias que obran en el expediente respectivo, se colige que la parte Recurrente, solicitó </w:t>
      </w:r>
      <w:r w:rsidR="00CE18B4" w:rsidRPr="00BD3671">
        <w:rPr>
          <w:color w:val="000000"/>
        </w:rPr>
        <w:t>l</w:t>
      </w:r>
      <w:r w:rsidRPr="00BD3671">
        <w:rPr>
          <w:color w:val="000000"/>
        </w:rPr>
        <w:t xml:space="preserve">a razón o sustento jurídico para que el Presidente Municipal de Chicoloapan </w:t>
      </w:r>
      <w:r w:rsidRPr="00BD3671">
        <w:rPr>
          <w:b/>
          <w:bCs/>
          <w:color w:val="000000"/>
        </w:rPr>
        <w:t xml:space="preserve">no cumpla con lo estipulado </w:t>
      </w:r>
      <w:r w:rsidRPr="00BD3671">
        <w:rPr>
          <w:color w:val="000000"/>
        </w:rPr>
        <w:t>específicamente en artículo 22 Bis, fracción IV de la Ley de Seguridad del Estado de México.</w:t>
      </w:r>
    </w:p>
    <w:p w14:paraId="3C6BBCAC" w14:textId="77777777" w:rsidR="00017B2F" w:rsidRPr="00BD3671" w:rsidRDefault="00017B2F">
      <w:pPr>
        <w:pBdr>
          <w:top w:val="nil"/>
          <w:left w:val="nil"/>
          <w:bottom w:val="nil"/>
          <w:right w:val="nil"/>
          <w:between w:val="nil"/>
        </w:pBdr>
        <w:tabs>
          <w:tab w:val="left" w:pos="4962"/>
        </w:tabs>
        <w:spacing w:after="0" w:line="360" w:lineRule="auto"/>
      </w:pPr>
    </w:p>
    <w:p w14:paraId="0C31D626" w14:textId="77777777" w:rsidR="00017B2F" w:rsidRPr="00BD3671" w:rsidRDefault="00C80E0A">
      <w:pPr>
        <w:pBdr>
          <w:top w:val="nil"/>
          <w:left w:val="nil"/>
          <w:bottom w:val="nil"/>
          <w:right w:val="nil"/>
          <w:between w:val="nil"/>
        </w:pBdr>
        <w:tabs>
          <w:tab w:val="left" w:pos="4962"/>
        </w:tabs>
        <w:spacing w:after="0" w:line="360" w:lineRule="auto"/>
      </w:pPr>
      <w:r w:rsidRPr="00BD3671">
        <w:t xml:space="preserve">En este sentido, destaca que la parte Recurrente requiere que se le explique una “razón” es decir pretende que se le emita un documento en el que se le expongas razones, motivos o argumentos por los que tienen lugar ciertas situaciones, lo cual, corresponde a peticiones que no resultan atendibles en el ejercicio de nuestra materia, dado que se tratan de </w:t>
      </w:r>
      <w:r w:rsidRPr="00BD3671">
        <w:rPr>
          <w:b/>
          <w:bCs/>
        </w:rPr>
        <w:t>cuestionamientos cuyas respuestas requieren un procesamiento de la información,</w:t>
      </w:r>
      <w:r w:rsidRPr="00BD3671">
        <w:t xml:space="preserve"> lo cual, es inatendible en el ejercicio del derecho de acceso a la información pública y a la transparencia</w:t>
      </w:r>
      <w:r w:rsidRPr="00BD3671">
        <w:rPr>
          <w:color w:val="000000"/>
        </w:rPr>
        <w:t xml:space="preserve"> Al respecto, </w:t>
      </w:r>
      <w:r w:rsidRPr="00BD3671">
        <w:t>mediante el derecho de acceso a la información pública, los solicitantes pueden acceder a toda aquella información generada por los Sujetos Obligados, es decir, la ciudadanía puede allegarse de aquellos documentos que obren en los archivos por las dependencias gubernamentales. Lo anterior, se robustece pues de conformidad con los 12, 24, último párrafo, y 160 de la Ley de Transparencia y Acceso a la Información Pública del Estado de México y Municipios, los Sujetos Obligados sólo entregarán la información que obre en sus archivos y no estarán obligados a procesarla, resumirla, efectuar cálculos o practicar investigaciones.</w:t>
      </w:r>
    </w:p>
    <w:p w14:paraId="6EF1241A" w14:textId="77777777" w:rsidR="00017B2F" w:rsidRPr="00BD3671" w:rsidRDefault="00017B2F">
      <w:pPr>
        <w:tabs>
          <w:tab w:val="left" w:pos="4962"/>
        </w:tabs>
        <w:spacing w:after="0" w:line="360" w:lineRule="auto"/>
        <w:rPr>
          <w:color w:val="000000"/>
        </w:rPr>
      </w:pPr>
    </w:p>
    <w:p w14:paraId="3402F168" w14:textId="77777777" w:rsidR="00017B2F" w:rsidRPr="00BD3671" w:rsidRDefault="00C80E0A">
      <w:pPr>
        <w:tabs>
          <w:tab w:val="left" w:pos="4962"/>
        </w:tabs>
        <w:spacing w:after="0" w:line="360" w:lineRule="auto"/>
      </w:pPr>
      <w:r w:rsidRPr="00BD3671">
        <w:t xml:space="preserve">De esta manera, el derecho de acceso a la información pública se satisface en aquellos casos en que se entregue la documentación en el que conste la información solicitada, sin necesidad de elaborar documentos </w:t>
      </w:r>
      <w:r w:rsidRPr="00BD3671">
        <w:rPr>
          <w:i/>
          <w:iCs/>
        </w:rPr>
        <w:t>ad hoc</w:t>
      </w:r>
      <w:r w:rsidRPr="00BD3671">
        <w:t>; lo cual, toma sustento en el artículo 160 de la Ley de Transparencia y Acceso a la Información Pública del Estado de México y Municipios, el cual refiere que los Sujetos Obligados deberán entregar la información que obre en sus archivos.</w:t>
      </w:r>
    </w:p>
    <w:p w14:paraId="6FF3F546" w14:textId="77777777" w:rsidR="00017B2F" w:rsidRPr="00BD3671" w:rsidRDefault="00017B2F">
      <w:pPr>
        <w:tabs>
          <w:tab w:val="left" w:pos="4962"/>
        </w:tabs>
        <w:spacing w:after="0" w:line="360" w:lineRule="auto"/>
      </w:pPr>
    </w:p>
    <w:p w14:paraId="7D157E1B" w14:textId="77777777" w:rsidR="00017B2F" w:rsidRPr="00BD3671" w:rsidRDefault="00C80E0A">
      <w:pPr>
        <w:tabs>
          <w:tab w:val="left" w:pos="4962"/>
        </w:tabs>
        <w:spacing w:after="0" w:line="360" w:lineRule="auto"/>
      </w:pPr>
      <w:r w:rsidRPr="00BD3671">
        <w:t xml:space="preserve">Además, resulta aplicable el Criterio 03/17 del entonces Instituto Nacional de Transparencia, Acceso a la Información y Protección de Datos Personales: </w:t>
      </w:r>
      <w:r w:rsidRPr="00BD3671">
        <w:rPr>
          <w:b/>
          <w:bCs/>
          <w:i/>
          <w:iCs/>
        </w:rPr>
        <w:t xml:space="preserve">No existe obligación de elaborar documentos ad hoc para atender las solicitudes de acceso a la información.; </w:t>
      </w:r>
      <w:r w:rsidRPr="00BD3671">
        <w:rPr>
          <w:b/>
          <w:bCs/>
        </w:rPr>
        <w:t>en el que se precisa que de conformidad con los</w:t>
      </w:r>
      <w:r w:rsidRPr="00BD3671">
        <w:t xml:space="preserve"> artículos 129 de la Ley General de Transparencia y Acceso a la Información Pública y 130, párrafo cuarto, de la Ley Federal de Transparencia y Acceso a la Información Pública, los Sujetos Obligados deben dar acceso a los documentos que se encuentren en sus archivos y que estén obligados a documentar conforme a sus facultades o funciones, de acuerdo a las características físicas de la información o del lugar donde se encuentre; de forma tal, que los Sujetos Obligados garantizan el derecho de acceso a la información al proporcionar la información que obre en sus archivos, sin que ello implique que deban generar documentos nuevos. </w:t>
      </w:r>
    </w:p>
    <w:p w14:paraId="3C93BF6E" w14:textId="77777777" w:rsidR="00017B2F" w:rsidRPr="00BD3671" w:rsidRDefault="00C80E0A">
      <w:pPr>
        <w:tabs>
          <w:tab w:val="left" w:pos="4962"/>
        </w:tabs>
        <w:spacing w:after="0" w:line="360" w:lineRule="auto"/>
      </w:pPr>
      <w:r w:rsidRPr="00BD3671">
        <w:rPr>
          <w:i/>
          <w:iCs/>
        </w:rPr>
        <w:t xml:space="preserve"> </w:t>
      </w:r>
    </w:p>
    <w:p w14:paraId="0B23AEEA" w14:textId="77777777" w:rsidR="00017B2F" w:rsidRPr="00BD3671" w:rsidRDefault="00C80E0A">
      <w:pPr>
        <w:spacing w:after="0" w:line="360" w:lineRule="auto"/>
      </w:pPr>
      <w:r w:rsidRPr="00BD3671">
        <w:t>Por ello, los Sujetos Obligados únicamente se encuentran obligados a proporcionar los documentos que den cuenta de la información solicitada, como obren en sus archivos, sin tener que elaborarlos a las necesidades de la parte Recurrente.</w:t>
      </w:r>
    </w:p>
    <w:p w14:paraId="72F9F336" w14:textId="77777777" w:rsidR="00017B2F" w:rsidRPr="00BD3671" w:rsidRDefault="00017B2F">
      <w:pPr>
        <w:tabs>
          <w:tab w:val="left" w:pos="4962"/>
        </w:tabs>
        <w:spacing w:after="0" w:line="360" w:lineRule="auto"/>
        <w:rPr>
          <w:color w:val="000000"/>
        </w:rPr>
      </w:pPr>
    </w:p>
    <w:p w14:paraId="79F46543" w14:textId="77777777" w:rsidR="00017B2F" w:rsidRPr="00BD3671" w:rsidRDefault="00C80E0A">
      <w:pPr>
        <w:tabs>
          <w:tab w:val="left" w:pos="4962"/>
        </w:tabs>
        <w:spacing w:after="0" w:line="360" w:lineRule="auto"/>
        <w:rPr>
          <w:color w:val="000000"/>
        </w:rPr>
      </w:pPr>
      <w:r w:rsidRPr="00BD3671">
        <w:rPr>
          <w:color w:val="000000"/>
        </w:rPr>
        <w:t>Así pues, por cuanto hace a las “</w:t>
      </w:r>
      <w:r w:rsidRPr="00BD3671">
        <w:rPr>
          <w:b/>
          <w:bCs/>
          <w:color w:val="000000"/>
        </w:rPr>
        <w:t>razones”</w:t>
      </w:r>
      <w:r w:rsidRPr="00BD3671">
        <w:rPr>
          <w:color w:val="000000"/>
        </w:rPr>
        <w:t xml:space="preserve"> solicitadas por la parte Recurrente, tienen otra naturaleza, y pueden tratarse de una consulta que implique el ejercicio de un derecho de petición y no de acceso a la información pública; puesto que pretenden obtener explicaciones o razonamientos que no obran en un documento ya existente.</w:t>
      </w:r>
    </w:p>
    <w:p w14:paraId="2FDDA4EA" w14:textId="77777777" w:rsidR="00017B2F" w:rsidRPr="00BD3671" w:rsidRDefault="00017B2F">
      <w:pPr>
        <w:tabs>
          <w:tab w:val="left" w:pos="4962"/>
        </w:tabs>
        <w:spacing w:after="0" w:line="360" w:lineRule="auto"/>
        <w:rPr>
          <w:color w:val="000000"/>
        </w:rPr>
      </w:pPr>
    </w:p>
    <w:p w14:paraId="650C7C4C" w14:textId="77777777" w:rsidR="00017B2F" w:rsidRPr="00BD3671" w:rsidRDefault="00C80E0A">
      <w:pPr>
        <w:tabs>
          <w:tab w:val="left" w:pos="4962"/>
        </w:tabs>
        <w:spacing w:after="0" w:line="360" w:lineRule="auto"/>
        <w:rPr>
          <w:i/>
          <w:iCs/>
          <w:color w:val="000000"/>
        </w:rPr>
      </w:pPr>
      <w:r w:rsidRPr="00BD3671">
        <w:rPr>
          <w:color w:val="000000"/>
        </w:rPr>
        <w:t xml:space="preserve">En ese tenor, por lo que respecta a la definición del derecho de petición se tiene que el Doctor Ignacio Burgoa Orihuela refiere que </w:t>
      </w:r>
      <w:r w:rsidRPr="00BD3671">
        <w:rPr>
          <w:i/>
          <w:iCs/>
          <w:color w:val="000000"/>
        </w:rPr>
        <w:t xml:space="preserve">“es un Derecho Público subjetivo individual de la Garantía Respectiva Consagrada en el artículo 8 de la Ley Fundamental. En tal virtud, la persona tiene la facultad de acudir a cualquier autoridad, formulando una solicitud o instancia </w:t>
      </w:r>
      <w:r w:rsidRPr="00BD3671">
        <w:rPr>
          <w:i/>
          <w:iCs/>
        </w:rPr>
        <w:t>escrita</w:t>
      </w:r>
      <w:r w:rsidRPr="00BD3671">
        <w:rPr>
          <w:i/>
          <w:iCs/>
          <w:color w:val="000000"/>
        </w:rPr>
        <w:t xml:space="preserve"> de cualquier índole, la cual adopta, específicamente, el carácter de simple petición administrativa, acción o recurso, etc.”. </w:t>
      </w:r>
    </w:p>
    <w:p w14:paraId="2B0960E7" w14:textId="77777777" w:rsidR="00017B2F" w:rsidRPr="00BD3671" w:rsidRDefault="00017B2F">
      <w:pPr>
        <w:tabs>
          <w:tab w:val="left" w:pos="4962"/>
        </w:tabs>
        <w:spacing w:after="0" w:line="360" w:lineRule="auto"/>
        <w:rPr>
          <w:color w:val="000000"/>
        </w:rPr>
      </w:pPr>
    </w:p>
    <w:p w14:paraId="21D749F9" w14:textId="77777777" w:rsidR="00017B2F" w:rsidRPr="00BD3671" w:rsidRDefault="00C80E0A">
      <w:pPr>
        <w:spacing w:after="0" w:line="360" w:lineRule="auto"/>
      </w:pPr>
      <w:r w:rsidRPr="00BD3671">
        <w:t xml:space="preserve">Lo anterior toma relevancia, pues según Trujillo, Humberto (2019), en el </w:t>
      </w:r>
      <w:r w:rsidRPr="00BD3671">
        <w:rPr>
          <w:i/>
          <w:iCs/>
        </w:rPr>
        <w:t>“Diccionario de Transparencia y Acceso a la Información Pública</w:t>
      </w:r>
      <w:r w:rsidRPr="00BD3671">
        <w:t>” (p. 122), el derecho de petición, es una prerrogativa constitucional que tienen las personas para solicitar o reclamar a las autoridades públicas; por lo que, las instancias deben recibirlas y realizar una respuesta. Además, la Jurisprudencia XXI.1o.P.A. J/27, de los Tribunales Colegiados de Circuito, localizada en la página 1406, del Semanario Judicial de la Federación y su Gaceta, Tomo XXXIII, marzo 2011, Novena Época, que establece lo siguiente:</w:t>
      </w:r>
    </w:p>
    <w:p w14:paraId="5B3D96F1" w14:textId="77777777" w:rsidR="00017B2F" w:rsidRPr="00BD3671" w:rsidRDefault="00017B2F">
      <w:pPr>
        <w:spacing w:after="0" w:line="360" w:lineRule="auto"/>
      </w:pPr>
    </w:p>
    <w:p w14:paraId="64D4924F" w14:textId="77777777" w:rsidR="00017B2F" w:rsidRPr="00BD3671" w:rsidRDefault="00C80E0A">
      <w:pPr>
        <w:spacing w:after="0" w:line="360" w:lineRule="auto"/>
        <w:ind w:left="567" w:right="709"/>
        <w:rPr>
          <w:i/>
          <w:iCs/>
          <w:sz w:val="20"/>
          <w:szCs w:val="20"/>
        </w:rPr>
      </w:pPr>
      <w:r w:rsidRPr="00BD3671">
        <w:rPr>
          <w:b/>
          <w:bCs/>
          <w:i/>
          <w:iCs/>
          <w:sz w:val="20"/>
          <w:szCs w:val="20"/>
        </w:rPr>
        <w:t xml:space="preserve">“DERECHO DE PETICIÓN. SUS ELEMENTOS. </w:t>
      </w:r>
      <w:r w:rsidRPr="00BD3671">
        <w:rPr>
          <w:i/>
          <w:iCs/>
          <w:sz w:val="20"/>
          <w:szCs w:val="20"/>
        </w:rPr>
        <w:t>El denominado "derecho de petición", acorde con los criterios de los tribunales del Poder Judicial de la Federación, es la garantía individual consagrada en el artículo 8o. de la Constitución Política de los Estados Unidos Mexicanos, en función de la cual cualquier gobernado que presente una petición ante una autoridad, tiene derecho a recibir una respuesta. Así, su ejercicio por el particular y la correlativa obligación de la autoridad de producir una respuesta, se caracterizan por los elementos siguientes: A. La petición: debe formularse de manera pacífica y respetuosa, dirigirse a una autoridad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petición y acordarla, que tendrá que ser congruente con la petición y la autoridad debe notificar el acuerdo recaído a la petición en forma personal al gobernado en el domicilio que señaló para tales efectos, sin que exista obligación de resolver en determinado sentido, esto es, el ejercicio del derecho de petición no constriñe a la autoridad ante quien se formuló, a que provea de conformidad lo solicitado por el promovente, sino que está en libertad de resolver de conformidad con los ordenamientos que resulten aplicables al caso, y la respuesta o trámite que se dé a la petición debe ser comunicada precisamente por la autoridad ante quien se ejercitó el derecho, y no por otra diversa.”</w:t>
      </w:r>
    </w:p>
    <w:p w14:paraId="49FDDD14" w14:textId="77777777" w:rsidR="00017B2F" w:rsidRPr="00BD3671" w:rsidRDefault="00017B2F">
      <w:pPr>
        <w:spacing w:after="0" w:line="360" w:lineRule="auto"/>
      </w:pPr>
    </w:p>
    <w:p w14:paraId="2B173630" w14:textId="77777777" w:rsidR="00017B2F" w:rsidRPr="00BD3671" w:rsidRDefault="00C80E0A">
      <w:pPr>
        <w:spacing w:after="0" w:line="360" w:lineRule="auto"/>
      </w:pPr>
      <w:r w:rsidRPr="00BD3671">
        <w:t>De la Jurisprudencia citada, se advierte que el derecho de petición, es una prerrogativa individual consagrada en el artículo 8° de la Constitución Política de los Estados Unidos Mexicanos, con el fin de que cualquier ciudadano o persona, presente una petición de manera pacífica y respetuosa (pregunta, consulta, duda, acción, entre otros), ante una autoridad, por lo que, tiene derecho de recibir una respuesta.</w:t>
      </w:r>
    </w:p>
    <w:p w14:paraId="348694D2" w14:textId="77777777" w:rsidR="00017B2F" w:rsidRPr="00BD3671" w:rsidRDefault="00017B2F">
      <w:pPr>
        <w:tabs>
          <w:tab w:val="left" w:pos="4962"/>
        </w:tabs>
        <w:spacing w:after="0" w:line="360" w:lineRule="auto"/>
        <w:rPr>
          <w:color w:val="000000"/>
        </w:rPr>
      </w:pPr>
    </w:p>
    <w:p w14:paraId="2A081DC6" w14:textId="77777777" w:rsidR="00017B2F" w:rsidRPr="00BD3671" w:rsidRDefault="00C80E0A">
      <w:pPr>
        <w:tabs>
          <w:tab w:val="left" w:pos="4962"/>
        </w:tabs>
        <w:spacing w:after="0" w:line="360" w:lineRule="auto"/>
        <w:rPr>
          <w:color w:val="000000"/>
        </w:rPr>
      </w:pPr>
      <w:r w:rsidRPr="00BD3671">
        <w:rPr>
          <w:color w:val="000000"/>
        </w:rPr>
        <w:t xml:space="preserve">Por otra parte, el derecho de acceso a la información pública, es aquel, en el que, los particulares pueden solicitar información referente a aquellos documentos que, en ejercicio de sus atribuciones, reflejen la toma de decisiones de los Sujetos Obligados o de aquellos que por cualquier motivo reciban, administren o apliquen recursos públicos, y está previsto en el artículo 6° de la Constitución Política de los Estados Unidos Mexicanos. </w:t>
      </w:r>
    </w:p>
    <w:p w14:paraId="146AF479" w14:textId="77777777" w:rsidR="00017B2F" w:rsidRPr="00BD3671" w:rsidRDefault="00017B2F">
      <w:pPr>
        <w:spacing w:after="0" w:line="360" w:lineRule="auto"/>
      </w:pPr>
    </w:p>
    <w:p w14:paraId="66317AA1" w14:textId="77777777" w:rsidR="00017B2F" w:rsidRPr="00BD3671" w:rsidRDefault="00C80E0A">
      <w:pPr>
        <w:tabs>
          <w:tab w:val="left" w:pos="4962"/>
        </w:tabs>
        <w:spacing w:after="0" w:line="360" w:lineRule="auto"/>
        <w:rPr>
          <w:color w:val="000000"/>
        </w:rPr>
      </w:pPr>
      <w:r w:rsidRPr="00BD3671">
        <w:rPr>
          <w:color w:val="000000"/>
        </w:rPr>
        <w:t xml:space="preserve">En consecuencia, </w:t>
      </w:r>
      <w:r w:rsidRPr="00BD3671">
        <w:rPr>
          <w:b/>
          <w:bCs/>
          <w:color w:val="000000"/>
        </w:rPr>
        <w:t>las razones solicitadas</w:t>
      </w:r>
      <w:r w:rsidRPr="00BD3671">
        <w:rPr>
          <w:color w:val="000000"/>
        </w:rPr>
        <w:t xml:space="preserve"> no pertenecen al derecho de acceso a la información sino al derecho de petición, ya que de ellos derivan cuestionamientos, cuya única respuesta implica que se procese la información y se emita un pronunciamiento específico; por lo que, corresponden a una consulta.</w:t>
      </w:r>
    </w:p>
    <w:p w14:paraId="133A66EE" w14:textId="77777777" w:rsidR="00017B2F" w:rsidRPr="00BD3671" w:rsidRDefault="00017B2F">
      <w:pPr>
        <w:tabs>
          <w:tab w:val="left" w:pos="4962"/>
        </w:tabs>
        <w:spacing w:after="0" w:line="360" w:lineRule="auto"/>
        <w:rPr>
          <w:color w:val="000000"/>
        </w:rPr>
      </w:pPr>
    </w:p>
    <w:p w14:paraId="428B7647" w14:textId="77777777" w:rsidR="00017B2F" w:rsidRPr="00BD3671" w:rsidRDefault="00C80E0A">
      <w:pPr>
        <w:tabs>
          <w:tab w:val="left" w:pos="4962"/>
        </w:tabs>
        <w:spacing w:after="0" w:line="360" w:lineRule="auto"/>
        <w:rPr>
          <w:color w:val="000000"/>
        </w:rPr>
      </w:pPr>
      <w:r w:rsidRPr="00BD3671">
        <w:rPr>
          <w:color w:val="000000"/>
        </w:rPr>
        <w:t>En atención a lo anterior, se actualiza la causal de improcedencia previsto en el artículo 191 fracción VI de la Ley de Transparencia y Acceso a la Información Pública del Estado de México y Municipios; que implica que el Recurso de Revisión será improcedente cuando se trate de una consulta.</w:t>
      </w:r>
    </w:p>
    <w:p w14:paraId="7B455602" w14:textId="77777777" w:rsidR="00017B2F" w:rsidRPr="00BD3671" w:rsidRDefault="00017B2F">
      <w:pPr>
        <w:tabs>
          <w:tab w:val="left" w:pos="4962"/>
        </w:tabs>
        <w:spacing w:after="0" w:line="360" w:lineRule="auto"/>
        <w:rPr>
          <w:color w:val="000000"/>
        </w:rPr>
      </w:pPr>
    </w:p>
    <w:p w14:paraId="2E019139" w14:textId="77777777" w:rsidR="00017B2F" w:rsidRPr="00BD3671" w:rsidRDefault="00C80E0A">
      <w:pPr>
        <w:tabs>
          <w:tab w:val="left" w:pos="4962"/>
        </w:tabs>
        <w:spacing w:after="0" w:line="360" w:lineRule="auto"/>
        <w:rPr>
          <w:color w:val="000000"/>
        </w:rPr>
      </w:pPr>
      <w:r w:rsidRPr="00BD3671">
        <w:rPr>
          <w:color w:val="000000"/>
        </w:rPr>
        <w:t xml:space="preserve">Por tanto, se actualiza el supuesto previsto en el artículo 192 fracción IV de la Ley de Transparencia y Acceso a la Información Pública del Estado de México y Municipios; que señala, como una causa de sobreseimiento que, una vez admitido un Recurso de Revisión aparezca una causal de improcedencia; </w:t>
      </w:r>
      <w:r w:rsidRPr="00BD3671">
        <w:rPr>
          <w:b/>
          <w:bCs/>
          <w:color w:val="000000"/>
        </w:rPr>
        <w:t>en el caso concreto, que la parte Recurrente formuló una consulta como solicitud de información.</w:t>
      </w:r>
      <w:r w:rsidRPr="00BD3671">
        <w:rPr>
          <w:color w:val="000000"/>
        </w:rPr>
        <w:t xml:space="preserve"> </w:t>
      </w:r>
    </w:p>
    <w:p w14:paraId="0D2D1359" w14:textId="77777777" w:rsidR="00017B2F" w:rsidRPr="00BD3671" w:rsidRDefault="00017B2F">
      <w:pPr>
        <w:tabs>
          <w:tab w:val="left" w:pos="4962"/>
        </w:tabs>
        <w:spacing w:after="0" w:line="360" w:lineRule="auto"/>
      </w:pPr>
    </w:p>
    <w:p w14:paraId="1E399D2D" w14:textId="77777777" w:rsidR="00017B2F" w:rsidRPr="00BD3671" w:rsidRDefault="00017B2F">
      <w:pPr>
        <w:tabs>
          <w:tab w:val="left" w:pos="4962"/>
        </w:tabs>
        <w:spacing w:after="0" w:line="360" w:lineRule="auto"/>
        <w:rPr>
          <w:color w:val="000000"/>
        </w:rPr>
      </w:pPr>
    </w:p>
    <w:p w14:paraId="234F7834" w14:textId="64E14F23" w:rsidR="00017B2F" w:rsidRPr="00BD3671" w:rsidRDefault="00E31B98">
      <w:pPr>
        <w:tabs>
          <w:tab w:val="left" w:pos="4962"/>
        </w:tabs>
        <w:spacing w:after="0" w:line="360" w:lineRule="auto"/>
        <w:rPr>
          <w:b/>
          <w:bCs/>
          <w:color w:val="000000"/>
        </w:rPr>
      </w:pPr>
      <w:r w:rsidRPr="00BD3671">
        <w:rPr>
          <w:color w:val="000000"/>
        </w:rPr>
        <w:t>Ahora bien, respecto al</w:t>
      </w:r>
      <w:r w:rsidR="00C80E0A" w:rsidRPr="00BD3671">
        <w:rPr>
          <w:color w:val="000000"/>
        </w:rPr>
        <w:t xml:space="preserve"> </w:t>
      </w:r>
      <w:r w:rsidR="00C80E0A" w:rsidRPr="00BD3671">
        <w:rPr>
          <w:b/>
          <w:bCs/>
          <w:color w:val="000000"/>
        </w:rPr>
        <w:t>sustento jurídico para que el Presidente Municipal no cumpla con lo estipulado en el artículo 22 Bis, fracción IV de la Ley de Seguridad del Estado de México.</w:t>
      </w:r>
    </w:p>
    <w:p w14:paraId="3AC326DA" w14:textId="77777777" w:rsidR="00017B2F" w:rsidRPr="00BD3671" w:rsidRDefault="00017B2F">
      <w:pPr>
        <w:tabs>
          <w:tab w:val="left" w:pos="4962"/>
        </w:tabs>
        <w:spacing w:after="0" w:line="360" w:lineRule="auto"/>
        <w:rPr>
          <w:b/>
          <w:bCs/>
          <w:color w:val="000000"/>
        </w:rPr>
      </w:pPr>
    </w:p>
    <w:p w14:paraId="6BB6495E" w14:textId="28CD14D7" w:rsidR="00017B2F" w:rsidRPr="00BD3671" w:rsidRDefault="00C80E0A">
      <w:pPr>
        <w:tabs>
          <w:tab w:val="left" w:pos="4962"/>
        </w:tabs>
        <w:spacing w:after="0" w:line="360" w:lineRule="auto"/>
        <w:rPr>
          <w:color w:val="000000"/>
        </w:rPr>
      </w:pPr>
      <w:r w:rsidRPr="00BD3671">
        <w:rPr>
          <w:color w:val="000000"/>
        </w:rPr>
        <w:t xml:space="preserve">Al respecto se debe tener en cuenta que los artículos de la Ley de Seguridad del Estado de México a los que hace alusión la parte Recurrente </w:t>
      </w:r>
      <w:r w:rsidR="00E31B98" w:rsidRPr="00BD3671">
        <w:t>indican</w:t>
      </w:r>
      <w:r w:rsidRPr="00BD3671">
        <w:rPr>
          <w:color w:val="000000"/>
        </w:rPr>
        <w:t xml:space="preserve"> lo siguiente:</w:t>
      </w:r>
    </w:p>
    <w:p w14:paraId="4B2982A0" w14:textId="77777777" w:rsidR="00017B2F" w:rsidRPr="00BD3671" w:rsidRDefault="00017B2F">
      <w:pPr>
        <w:tabs>
          <w:tab w:val="left" w:pos="4962"/>
        </w:tabs>
        <w:spacing w:after="0" w:line="360" w:lineRule="auto"/>
        <w:rPr>
          <w:color w:val="000000"/>
        </w:rPr>
      </w:pPr>
    </w:p>
    <w:p w14:paraId="1285081F" w14:textId="3914CB53" w:rsidR="00017B2F" w:rsidRPr="00BD3671" w:rsidRDefault="00C80E0A">
      <w:pPr>
        <w:numPr>
          <w:ilvl w:val="0"/>
          <w:numId w:val="2"/>
        </w:numPr>
        <w:pBdr>
          <w:top w:val="nil"/>
          <w:left w:val="nil"/>
          <w:bottom w:val="nil"/>
          <w:right w:val="nil"/>
          <w:between w:val="nil"/>
        </w:pBdr>
        <w:tabs>
          <w:tab w:val="left" w:pos="4962"/>
        </w:tabs>
        <w:spacing w:after="0" w:line="360" w:lineRule="auto"/>
        <w:rPr>
          <w:color w:val="000000"/>
        </w:rPr>
      </w:pPr>
      <w:r w:rsidRPr="00BD3671">
        <w:rPr>
          <w:color w:val="000000"/>
        </w:rPr>
        <w:t>Artículo 22 Bis, fracción IV</w:t>
      </w:r>
      <w:r w:rsidR="00E31B98" w:rsidRPr="00BD3671">
        <w:rPr>
          <w:color w:val="000000"/>
        </w:rPr>
        <w:t>: L</w:t>
      </w:r>
      <w:r w:rsidRPr="00BD3671">
        <w:rPr>
          <w:color w:val="000000"/>
        </w:rPr>
        <w:t>os requisitos que debe cumplir el Director de Seguridad Pública Municipal o su equivalente, dentro de los que se encuentra, tener título de Licenciatura, y contar con certificación o especialización como mando de seguridad pública expedida por la Universidad Mexiquense de Seguridad y contar con experiencia mínima de un año en la materia.</w:t>
      </w:r>
    </w:p>
    <w:p w14:paraId="1495587E" w14:textId="067EF8DF" w:rsidR="00017B2F" w:rsidRPr="00BD3671" w:rsidRDefault="00C80E0A">
      <w:pPr>
        <w:numPr>
          <w:ilvl w:val="0"/>
          <w:numId w:val="2"/>
        </w:numPr>
        <w:pBdr>
          <w:top w:val="nil"/>
          <w:left w:val="nil"/>
          <w:bottom w:val="nil"/>
          <w:right w:val="nil"/>
          <w:between w:val="nil"/>
        </w:pBdr>
        <w:tabs>
          <w:tab w:val="left" w:pos="4962"/>
        </w:tabs>
        <w:spacing w:after="0" w:line="360" w:lineRule="auto"/>
        <w:rPr>
          <w:color w:val="000000"/>
        </w:rPr>
      </w:pPr>
      <w:r w:rsidRPr="00BD3671">
        <w:rPr>
          <w:color w:val="000000"/>
        </w:rPr>
        <w:t>Artículo 21</w:t>
      </w:r>
      <w:r w:rsidR="00E31B98" w:rsidRPr="00BD3671">
        <w:rPr>
          <w:color w:val="000000"/>
        </w:rPr>
        <w:t>,</w:t>
      </w:r>
      <w:r w:rsidRPr="00BD3671">
        <w:rPr>
          <w:color w:val="000000"/>
        </w:rPr>
        <w:t xml:space="preserve"> fracciones VII y XIV</w:t>
      </w:r>
      <w:r w:rsidR="00E31B98" w:rsidRPr="00BD3671">
        <w:rPr>
          <w:color w:val="000000"/>
        </w:rPr>
        <w:t>: L</w:t>
      </w:r>
      <w:r w:rsidRPr="00BD3671">
        <w:rPr>
          <w:color w:val="000000"/>
        </w:rPr>
        <w:t xml:space="preserve">as atribuciones de los Presidentes Municipales y de las que destacan la de proponer al Ayuntamiento una terna para nombrar a la persona Titular de la Dirección de Seguridad Pública Municipal, previa opinión no vinculante de la Secretaría, y la de aplicar y vigilar el cumplimiento de la Ley, reglamentos, convenios y demás disposiciones en materia de seguridad pública. </w:t>
      </w:r>
    </w:p>
    <w:p w14:paraId="40709B56" w14:textId="77777777" w:rsidR="00017B2F" w:rsidRPr="00BD3671" w:rsidRDefault="00017B2F">
      <w:pPr>
        <w:tabs>
          <w:tab w:val="left" w:pos="4962"/>
        </w:tabs>
        <w:spacing w:after="0" w:line="360" w:lineRule="auto"/>
        <w:rPr>
          <w:color w:val="000000"/>
        </w:rPr>
      </w:pPr>
    </w:p>
    <w:p w14:paraId="3B04099C" w14:textId="77777777" w:rsidR="00017B2F" w:rsidRPr="00BD3671" w:rsidRDefault="00C80E0A">
      <w:pPr>
        <w:tabs>
          <w:tab w:val="left" w:pos="4962"/>
        </w:tabs>
        <w:spacing w:after="0" w:line="360" w:lineRule="auto"/>
        <w:rPr>
          <w:color w:val="000000"/>
        </w:rPr>
      </w:pPr>
      <w:r w:rsidRPr="00BD3671">
        <w:rPr>
          <w:color w:val="000000"/>
        </w:rPr>
        <w:t xml:space="preserve">Así pues, la parte Recurrente requiere el sustento jurídico para que no se cumpla una disposición normativa, ante lo cual, es menester señalar que el Sujeto Obligado pretendió dar atención a la solicitud de información, al precisar tanto en respuesta como en informe justificado, que el Director de Seguridad Pública y Movilidad cuenta con experiencia de 16 años dentro del ramo, asimismo remitió su acta de titulación y señaló que la certificación se encuentra en trámite y para acreditarlo remitió un documento de validación de programas de capacitación de la materia. </w:t>
      </w:r>
    </w:p>
    <w:p w14:paraId="24F17792" w14:textId="77777777" w:rsidR="00017B2F" w:rsidRPr="00BD3671" w:rsidRDefault="00017B2F">
      <w:pPr>
        <w:tabs>
          <w:tab w:val="left" w:pos="4962"/>
        </w:tabs>
        <w:spacing w:after="0" w:line="360" w:lineRule="auto"/>
        <w:rPr>
          <w:color w:val="000000"/>
        </w:rPr>
      </w:pPr>
    </w:p>
    <w:p w14:paraId="5E84E3F8" w14:textId="77777777" w:rsidR="00017B2F" w:rsidRPr="00BD3671" w:rsidRDefault="00C80E0A">
      <w:pPr>
        <w:tabs>
          <w:tab w:val="left" w:pos="4962"/>
        </w:tabs>
        <w:spacing w:after="0" w:line="360" w:lineRule="auto"/>
        <w:rPr>
          <w:color w:val="000000"/>
        </w:rPr>
      </w:pPr>
      <w:r w:rsidRPr="00BD3671">
        <w:rPr>
          <w:color w:val="000000"/>
        </w:rPr>
        <w:t xml:space="preserve">En este sentido, si bien la respuesta no fue suficiente para la parte Recurrente para tener por atendido su requerimiento, lo cierto es que este Organismo Garante advierte que la solicitud implica la entrega de un sustento legal o jurídico que resulta inexistente, </w:t>
      </w:r>
      <w:r w:rsidRPr="00BD3671">
        <w:rPr>
          <w:b/>
          <w:bCs/>
          <w:color w:val="000000"/>
        </w:rPr>
        <w:t>dado que no se localizó ningún artículo legal que implique o advierta la omisión de aplicación de facultades o bien exima del cumplimiento de la norma,</w:t>
      </w:r>
      <w:r w:rsidRPr="00BD3671">
        <w:rPr>
          <w:color w:val="000000"/>
        </w:rPr>
        <w:t xml:space="preserve"> por tanto, el requerimiento de información resulta en sí mismo, imposible de atender, en consecuencia, el Recurso de Revisión queda sin materia. </w:t>
      </w:r>
    </w:p>
    <w:p w14:paraId="2B2A8952" w14:textId="77777777" w:rsidR="00017B2F" w:rsidRPr="00BD3671" w:rsidRDefault="00017B2F">
      <w:pPr>
        <w:tabs>
          <w:tab w:val="left" w:pos="4962"/>
        </w:tabs>
        <w:spacing w:after="0" w:line="360" w:lineRule="auto"/>
        <w:rPr>
          <w:color w:val="000000"/>
        </w:rPr>
      </w:pPr>
    </w:p>
    <w:p w14:paraId="19E2DBAB" w14:textId="77777777" w:rsidR="00017B2F" w:rsidRPr="00BD3671" w:rsidRDefault="00C80E0A">
      <w:pPr>
        <w:spacing w:after="0" w:line="360" w:lineRule="auto"/>
        <w:rPr>
          <w:color w:val="000000"/>
        </w:rPr>
      </w:pPr>
      <w:r w:rsidRPr="00BD3671">
        <w:t xml:space="preserve">En  consecuencia, se advierte que </w:t>
      </w:r>
      <w:r w:rsidRPr="00BD3671">
        <w:rPr>
          <w:color w:val="000000"/>
        </w:rPr>
        <w:t>se actualiza la causal de sobreseimiento prevista en el artículo 192, fracción V, de la Ley de la materia que prevé el sobreseimiento cuando por cualquier motivo quede sin materia el Recurso de Revisión.</w:t>
      </w:r>
    </w:p>
    <w:p w14:paraId="2F11F089" w14:textId="77777777" w:rsidR="00017B2F" w:rsidRPr="00BD3671" w:rsidRDefault="00017B2F">
      <w:pPr>
        <w:tabs>
          <w:tab w:val="left" w:pos="4962"/>
        </w:tabs>
        <w:spacing w:after="0" w:line="360" w:lineRule="auto"/>
        <w:rPr>
          <w:color w:val="000000"/>
        </w:rPr>
      </w:pPr>
    </w:p>
    <w:p w14:paraId="5E458133" w14:textId="77777777" w:rsidR="00017B2F" w:rsidRPr="00BD3671" w:rsidRDefault="00C80E0A">
      <w:pPr>
        <w:tabs>
          <w:tab w:val="left" w:pos="4962"/>
        </w:tabs>
        <w:spacing w:after="0" w:line="360" w:lineRule="auto"/>
        <w:rPr>
          <w:color w:val="000000"/>
        </w:rPr>
      </w:pPr>
      <w:r w:rsidRPr="00BD3671">
        <w:rPr>
          <w:color w:val="000000"/>
        </w:rPr>
        <w:t xml:space="preserve">En conclusión, es procedente </w:t>
      </w:r>
      <w:r w:rsidRPr="00BD3671">
        <w:rPr>
          <w:b/>
          <w:bCs/>
          <w:color w:val="000000"/>
        </w:rPr>
        <w:t xml:space="preserve">SOBRESEER </w:t>
      </w:r>
      <w:r w:rsidRPr="00BD3671">
        <w:rPr>
          <w:color w:val="000000"/>
        </w:rPr>
        <w:t>el Recurso de Revisión, dado que en parte se trata de una consulta y en otra, se trata de un cuestionamiento inexistente y por tanto, surge una causal de improcedencia y quedó sin materia el Recurso de Revisión.</w:t>
      </w:r>
    </w:p>
    <w:p w14:paraId="2B7A5BAB" w14:textId="77777777" w:rsidR="00017B2F" w:rsidRPr="00BD3671" w:rsidRDefault="00017B2F">
      <w:pPr>
        <w:tabs>
          <w:tab w:val="left" w:pos="4962"/>
        </w:tabs>
        <w:spacing w:after="0" w:line="360" w:lineRule="auto"/>
        <w:rPr>
          <w:color w:val="000000"/>
        </w:rPr>
      </w:pPr>
    </w:p>
    <w:p w14:paraId="101B764E" w14:textId="28C68DF0" w:rsidR="00017B2F" w:rsidRPr="00BD3671" w:rsidRDefault="00E31B98">
      <w:pPr>
        <w:pStyle w:val="Ttulo2"/>
        <w:spacing w:before="0" w:after="0"/>
        <w:rPr>
          <w:b w:val="0"/>
          <w:bCs w:val="0"/>
        </w:rPr>
      </w:pPr>
      <w:bookmarkStart w:id="15" w:name="_Toc219989651"/>
      <w:r w:rsidRPr="00BD3671">
        <w:t>CUARTO</w:t>
      </w:r>
      <w:r w:rsidR="00C80E0A" w:rsidRPr="00BD3671">
        <w:t>. Decisión</w:t>
      </w:r>
      <w:bookmarkEnd w:id="15"/>
    </w:p>
    <w:p w14:paraId="0896573F" w14:textId="77777777" w:rsidR="00017B2F" w:rsidRPr="00BD3671" w:rsidRDefault="00017B2F">
      <w:pPr>
        <w:spacing w:after="0" w:line="360" w:lineRule="auto"/>
        <w:rPr>
          <w:b/>
          <w:bCs/>
        </w:rPr>
      </w:pPr>
    </w:p>
    <w:p w14:paraId="0A9DB540" w14:textId="77777777" w:rsidR="00017B2F" w:rsidRPr="00BD3671" w:rsidRDefault="00C80E0A">
      <w:pPr>
        <w:spacing w:after="0" w:line="360" w:lineRule="auto"/>
      </w:pPr>
      <w:bookmarkStart w:id="16" w:name="_heading=h.vwfyvmk8gqqw" w:colFirst="0" w:colLast="0"/>
      <w:bookmarkEnd w:id="16"/>
      <w:r w:rsidRPr="00BD3671">
        <w:t xml:space="preserve">Con fundamento en los artículos 186, fracción I y 192 fracciones IV y V; en relación con el 191, fracción VI, de la Ley de Transparencia y Acceso a la Información Pública del Estado de México y Municipios, este Instituto considera procedente </w:t>
      </w:r>
      <w:r w:rsidRPr="00BD3671">
        <w:rPr>
          <w:b/>
          <w:bCs/>
        </w:rPr>
        <w:t xml:space="preserve">SOBRESEER </w:t>
      </w:r>
      <w:r w:rsidRPr="00BD3671">
        <w:t xml:space="preserve">el Recurso de Revisión </w:t>
      </w:r>
      <w:r w:rsidRPr="00BD3671">
        <w:rPr>
          <w:b/>
          <w:bCs/>
        </w:rPr>
        <w:t>10076/INFOEM/IP/RR/2025</w:t>
      </w:r>
      <w:r w:rsidRPr="00BD3671">
        <w:t xml:space="preserve">, ya que, una vez admitido el Recurso de Revisión surgieron causales de improcedencia, dado que lo solicitado en parte se trata de una consulta, además, el Recurso de Revisión quedó sin materia.  </w:t>
      </w:r>
    </w:p>
    <w:p w14:paraId="5F3F15EA" w14:textId="77777777" w:rsidR="00017B2F" w:rsidRPr="00BD3671" w:rsidRDefault="00017B2F">
      <w:pPr>
        <w:tabs>
          <w:tab w:val="left" w:pos="4962"/>
        </w:tabs>
        <w:spacing w:after="0" w:line="360" w:lineRule="auto"/>
      </w:pPr>
    </w:p>
    <w:p w14:paraId="12389EA8" w14:textId="77777777" w:rsidR="00017B2F" w:rsidRPr="00BD3671" w:rsidRDefault="00C80E0A">
      <w:pPr>
        <w:spacing w:after="0" w:line="360" w:lineRule="auto"/>
        <w:rPr>
          <w:b/>
          <w:bCs/>
          <w:u w:val="single"/>
        </w:rPr>
      </w:pPr>
      <w:r w:rsidRPr="00BD3671">
        <w:rPr>
          <w:b/>
          <w:bCs/>
          <w:u w:val="single"/>
        </w:rPr>
        <w:t>Términos de la Resolución para conocimiento de la parte Recurrente</w:t>
      </w:r>
    </w:p>
    <w:p w14:paraId="212B550C" w14:textId="77777777" w:rsidR="00017B2F" w:rsidRPr="00BD3671" w:rsidRDefault="00017B2F">
      <w:pPr>
        <w:spacing w:after="0" w:line="360" w:lineRule="auto"/>
        <w:rPr>
          <w:b/>
          <w:bCs/>
          <w:u w:val="single"/>
        </w:rPr>
      </w:pPr>
    </w:p>
    <w:p w14:paraId="166A61D0" w14:textId="77777777" w:rsidR="00017B2F" w:rsidRPr="00BD3671" w:rsidRDefault="00C80E0A">
      <w:pPr>
        <w:widowControl w:val="0"/>
        <w:spacing w:after="0" w:line="360" w:lineRule="auto"/>
        <w:rPr>
          <w:color w:val="000000"/>
          <w:u w:val="single"/>
        </w:rPr>
      </w:pPr>
      <w:r w:rsidRPr="00BD3671">
        <w:rPr>
          <w:color w:val="000000"/>
          <w:u w:val="single"/>
        </w:rPr>
        <w:t xml:space="preserve">Se le hace del conocimiento al Particular que, el derecho de acceso a la información pública consiste en que la población pueda obtener la información o documentación que ya fue generada y deba existir en los archivos del Sujeto Obligado; es decir, que el Sujeto Obligado no deba generar documentos nuevos, o contestar cuestionamientos, ya que, esta actividad corresponde al derecho de petición, que se ejerce mediante otras vías. </w:t>
      </w:r>
    </w:p>
    <w:p w14:paraId="0A3721BD" w14:textId="77777777" w:rsidR="00017B2F" w:rsidRPr="00BD3671" w:rsidRDefault="00017B2F">
      <w:pPr>
        <w:widowControl w:val="0"/>
        <w:spacing w:after="0" w:line="360" w:lineRule="auto"/>
        <w:rPr>
          <w:color w:val="000000"/>
          <w:u w:val="single"/>
        </w:rPr>
      </w:pPr>
    </w:p>
    <w:p w14:paraId="0015F37B" w14:textId="77777777" w:rsidR="00017B2F" w:rsidRPr="00BD3671" w:rsidRDefault="00C80E0A">
      <w:pPr>
        <w:widowControl w:val="0"/>
        <w:spacing w:after="0" w:line="360" w:lineRule="auto"/>
        <w:rPr>
          <w:color w:val="000000"/>
          <w:u w:val="single"/>
        </w:rPr>
      </w:pPr>
      <w:r w:rsidRPr="00BD3671">
        <w:rPr>
          <w:color w:val="000000"/>
          <w:u w:val="single"/>
        </w:rPr>
        <w:t>Además, quedó sin materia la solicitud de un sustento jurídico inexistente. Por tanto, se determinó dar por terminado el presente asunto. Asimismo, se le dejan a salvo sus derechos para el caso de que sea de su interés presente una nueva solicitud, requiriendo documentos específicos a los cuáles requ</w:t>
      </w:r>
      <w:r w:rsidRPr="00BD3671">
        <w:rPr>
          <w:u w:val="single"/>
        </w:rPr>
        <w:t>ie</w:t>
      </w:r>
      <w:r w:rsidRPr="00BD3671">
        <w:rPr>
          <w:color w:val="000000"/>
          <w:u w:val="single"/>
        </w:rPr>
        <w:t>ra tener acceso.</w:t>
      </w:r>
    </w:p>
    <w:p w14:paraId="652A626A" w14:textId="77777777" w:rsidR="00017B2F" w:rsidRPr="00BD3671" w:rsidRDefault="00017B2F">
      <w:pPr>
        <w:widowControl w:val="0"/>
        <w:spacing w:after="0" w:line="360" w:lineRule="auto"/>
        <w:rPr>
          <w:color w:val="000000"/>
          <w:u w:val="single"/>
        </w:rPr>
      </w:pPr>
    </w:p>
    <w:p w14:paraId="260E6736" w14:textId="77777777" w:rsidR="00017B2F" w:rsidRPr="00BD3671" w:rsidRDefault="00C80E0A">
      <w:pPr>
        <w:widowControl w:val="0"/>
        <w:spacing w:after="0" w:line="360" w:lineRule="auto"/>
        <w:rPr>
          <w:u w:val="single"/>
        </w:rPr>
      </w:pPr>
      <w:r w:rsidRPr="00BD3671">
        <w:rPr>
          <w:color w:val="000000"/>
          <w:u w:val="single"/>
        </w:rPr>
        <w:t>La</w:t>
      </w:r>
      <w:r w:rsidRPr="00BD3671">
        <w:rPr>
          <w:u w:val="single"/>
        </w:rPr>
        <w:t xml:space="preserve"> labor del Instituto es apoyar a la población a acceder a la información y garantizar la protección de sus datos.</w:t>
      </w:r>
    </w:p>
    <w:p w14:paraId="119A368C" w14:textId="77777777" w:rsidR="00017B2F" w:rsidRPr="00BD3671" w:rsidRDefault="00017B2F">
      <w:pPr>
        <w:widowControl w:val="0"/>
        <w:spacing w:after="0" w:line="360" w:lineRule="auto"/>
      </w:pPr>
    </w:p>
    <w:p w14:paraId="642B479D" w14:textId="77777777" w:rsidR="00017B2F" w:rsidRPr="00BD3671" w:rsidRDefault="00C80E0A">
      <w:pPr>
        <w:spacing w:after="0" w:line="360" w:lineRule="auto"/>
      </w:pPr>
      <w:r w:rsidRPr="00BD3671">
        <w:t>Por lo expuesto y fundado, este Pleno:</w:t>
      </w:r>
    </w:p>
    <w:p w14:paraId="6B67390F" w14:textId="77777777" w:rsidR="00017B2F" w:rsidRPr="00BD3671" w:rsidRDefault="00017B2F">
      <w:pPr>
        <w:spacing w:after="0" w:line="360" w:lineRule="auto"/>
      </w:pPr>
    </w:p>
    <w:p w14:paraId="7204EB48" w14:textId="77777777" w:rsidR="00017B2F" w:rsidRPr="00BD3671" w:rsidRDefault="00C80E0A">
      <w:pPr>
        <w:pStyle w:val="Ttulo1"/>
        <w:spacing w:before="0" w:after="0"/>
        <w:rPr>
          <w:b w:val="0"/>
          <w:bCs w:val="0"/>
          <w:sz w:val="22"/>
          <w:szCs w:val="22"/>
        </w:rPr>
      </w:pPr>
      <w:bookmarkStart w:id="17" w:name="_Toc219989652"/>
      <w:r w:rsidRPr="00BD3671">
        <w:rPr>
          <w:sz w:val="22"/>
          <w:szCs w:val="22"/>
        </w:rPr>
        <w:t>R E S U E L V E</w:t>
      </w:r>
      <w:bookmarkEnd w:id="17"/>
    </w:p>
    <w:p w14:paraId="41C32CA8" w14:textId="77777777" w:rsidR="00017B2F" w:rsidRPr="00BD3671" w:rsidRDefault="00017B2F">
      <w:pPr>
        <w:spacing w:after="0" w:line="360" w:lineRule="auto"/>
      </w:pPr>
    </w:p>
    <w:p w14:paraId="7794FA7A" w14:textId="0FFBDFBA" w:rsidR="00017B2F" w:rsidRPr="00BD3671" w:rsidRDefault="00C80E0A">
      <w:pPr>
        <w:spacing w:after="0" w:line="360" w:lineRule="auto"/>
      </w:pPr>
      <w:r w:rsidRPr="00BD3671">
        <w:rPr>
          <w:b/>
          <w:bCs/>
        </w:rPr>
        <w:t xml:space="preserve">PRIMERO. </w:t>
      </w:r>
      <w:r w:rsidRPr="00BD3671">
        <w:t xml:space="preserve">Se </w:t>
      </w:r>
      <w:r w:rsidRPr="00BD3671">
        <w:rPr>
          <w:b/>
          <w:bCs/>
        </w:rPr>
        <w:t xml:space="preserve">SOBRESEE </w:t>
      </w:r>
      <w:r w:rsidRPr="00BD3671">
        <w:t xml:space="preserve">el Recurso de Revisión </w:t>
      </w:r>
      <w:r w:rsidRPr="00BD3671">
        <w:rPr>
          <w:b/>
          <w:bCs/>
        </w:rPr>
        <w:t>10076/INFOEM/IP/RR/2025</w:t>
      </w:r>
      <w:r w:rsidRPr="00BD3671">
        <w:t>, de conformidad con el artículo 192</w:t>
      </w:r>
      <w:r w:rsidR="00E31B98" w:rsidRPr="00BD3671">
        <w:t>,</w:t>
      </w:r>
      <w:r w:rsidRPr="00BD3671">
        <w:t xml:space="preserve"> fracciones IV y V de la Ley de Transparencia y Acceso a la Información Pública del Estado de México y Municipios, en términos de los Considerandos </w:t>
      </w:r>
      <w:r w:rsidR="00E31B98" w:rsidRPr="00BD3671">
        <w:rPr>
          <w:b/>
          <w:bCs/>
        </w:rPr>
        <w:t>TERCERO</w:t>
      </w:r>
      <w:r w:rsidRPr="00BD3671">
        <w:t xml:space="preserve"> y </w:t>
      </w:r>
      <w:r w:rsidR="00E31B98" w:rsidRPr="00BD3671">
        <w:rPr>
          <w:b/>
          <w:bCs/>
        </w:rPr>
        <w:t>CUARTO</w:t>
      </w:r>
      <w:r w:rsidRPr="00BD3671">
        <w:t xml:space="preserve"> de esta Resolución</w:t>
      </w:r>
      <w:r w:rsidR="00E31B98" w:rsidRPr="00BD3671">
        <w:t>.</w:t>
      </w:r>
    </w:p>
    <w:p w14:paraId="295A052B" w14:textId="77777777" w:rsidR="00017B2F" w:rsidRPr="00BD3671" w:rsidRDefault="00017B2F">
      <w:pPr>
        <w:spacing w:after="0" w:line="360" w:lineRule="auto"/>
      </w:pPr>
    </w:p>
    <w:p w14:paraId="7D851D5B" w14:textId="77777777" w:rsidR="00017B2F" w:rsidRPr="00BD3671" w:rsidRDefault="00C80E0A">
      <w:pPr>
        <w:spacing w:after="0" w:line="360" w:lineRule="auto"/>
        <w:ind w:right="-28"/>
        <w:rPr>
          <w:b/>
          <w:bCs/>
          <w:color w:val="000000"/>
        </w:rPr>
      </w:pPr>
      <w:r w:rsidRPr="00BD3671">
        <w:rPr>
          <w:b/>
          <w:bCs/>
          <w:color w:val="000000"/>
        </w:rPr>
        <w:t xml:space="preserve">SEGUNDO. NOTIFÍQUESE POR SAIMEX </w:t>
      </w:r>
      <w:r w:rsidRPr="00BD3671">
        <w:rPr>
          <w:color w:val="000000"/>
        </w:rPr>
        <w:t>la presente resolución al Titular de la Unidad de Transparencia del Sujeto Obligado.</w:t>
      </w:r>
    </w:p>
    <w:p w14:paraId="76C42AFC" w14:textId="77777777" w:rsidR="00017B2F" w:rsidRPr="00BD3671" w:rsidRDefault="00017B2F">
      <w:pPr>
        <w:spacing w:after="0" w:line="360" w:lineRule="auto"/>
        <w:rPr>
          <w:color w:val="000000"/>
        </w:rPr>
      </w:pPr>
    </w:p>
    <w:p w14:paraId="5EB1FA5C" w14:textId="77777777" w:rsidR="00017B2F" w:rsidRPr="00BD3671" w:rsidRDefault="00C80E0A">
      <w:pPr>
        <w:spacing w:after="0" w:line="360" w:lineRule="auto"/>
      </w:pPr>
      <w:r w:rsidRPr="00BD3671">
        <w:rPr>
          <w:b/>
          <w:bCs/>
          <w:color w:val="000000"/>
        </w:rPr>
        <w:t xml:space="preserve">TERCERO. </w:t>
      </w:r>
      <w:r w:rsidRPr="00BD3671">
        <w:rPr>
          <w:b/>
          <w:bCs/>
        </w:rPr>
        <w:t xml:space="preserve">NOTIFÍQUESE POR SAIMEX </w:t>
      </w:r>
      <w:r w:rsidRPr="00BD3671">
        <w:t xml:space="preserve">a </w:t>
      </w:r>
      <w:r w:rsidRPr="00BD3671">
        <w:rPr>
          <w:color w:val="000000"/>
        </w:rPr>
        <w:t xml:space="preserve">la persona </w:t>
      </w:r>
      <w:r w:rsidRPr="00BD3671">
        <w:t>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CDE7C27" w14:textId="77777777" w:rsidR="00017B2F" w:rsidRPr="00BD3671" w:rsidRDefault="00017B2F">
      <w:pPr>
        <w:spacing w:after="0" w:line="360" w:lineRule="auto"/>
      </w:pPr>
    </w:p>
    <w:p w14:paraId="2E4DD11D" w14:textId="393ED394" w:rsidR="00017B2F" w:rsidRDefault="00C80E0A">
      <w:pPr>
        <w:spacing w:after="0" w:line="360" w:lineRule="auto"/>
      </w:pPr>
      <w:r w:rsidRPr="00BD3671">
        <w:t xml:space="preserve">ASÍ LO RESUELVE, POR </w:t>
      </w:r>
      <w:r w:rsidRPr="00BD3671">
        <w:rPr>
          <w:b/>
          <w:bCs/>
        </w:rPr>
        <w:t>UNANIMIDAD</w:t>
      </w:r>
      <w:r w:rsidRPr="00BD3671">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w:t>
      </w:r>
      <w:r w:rsidR="00BD3671">
        <w:t xml:space="preserve"> NORIEGA</w:t>
      </w:r>
      <w:r w:rsidRPr="00BD3671">
        <w:t xml:space="preserve"> Y GUADALUPE RAMÍREZ PEÑA, EN LA </w:t>
      </w:r>
      <w:r w:rsidR="00BD3671">
        <w:t>SEGUNDA</w:t>
      </w:r>
      <w:r w:rsidRPr="00BD3671">
        <w:t xml:space="preserve"> SESIÓN ORDINARIA, CELEBRADA EL VEINTIUNO DE ENERO DE DOS MIL VEINTISÉIS, ANTE EL SECRETARIO TÉCNICO DEL PLENO, ALEXIS TAPIA RAMÍREZ.</w:t>
      </w:r>
    </w:p>
    <w:p w14:paraId="7A5C2391" w14:textId="77777777" w:rsidR="00017B2F" w:rsidRDefault="00017B2F">
      <w:pPr>
        <w:pStyle w:val="Ttulo2"/>
        <w:spacing w:before="0" w:after="0"/>
        <w:rPr>
          <w:b w:val="0"/>
          <w:bCs w:val="0"/>
        </w:rPr>
      </w:pPr>
    </w:p>
    <w:p w14:paraId="3BCD704E" w14:textId="77777777" w:rsidR="00017B2F" w:rsidRDefault="00017B2F">
      <w:pPr>
        <w:spacing w:after="0" w:line="360" w:lineRule="auto"/>
      </w:pPr>
    </w:p>
    <w:p w14:paraId="535A3946" w14:textId="77777777" w:rsidR="00017B2F" w:rsidRDefault="00017B2F">
      <w:pPr>
        <w:spacing w:after="0" w:line="360" w:lineRule="auto"/>
      </w:pPr>
    </w:p>
    <w:p w14:paraId="47542392" w14:textId="77777777" w:rsidR="00017B2F" w:rsidRDefault="00017B2F">
      <w:pPr>
        <w:spacing w:after="0" w:line="360" w:lineRule="auto"/>
      </w:pPr>
    </w:p>
    <w:p w14:paraId="01E57C86" w14:textId="77777777" w:rsidR="00017B2F" w:rsidRDefault="00017B2F">
      <w:pPr>
        <w:spacing w:after="0" w:line="360" w:lineRule="auto"/>
      </w:pPr>
    </w:p>
    <w:p w14:paraId="5BE6C40B" w14:textId="77777777" w:rsidR="00017B2F" w:rsidRDefault="00017B2F">
      <w:pPr>
        <w:spacing w:after="0" w:line="360" w:lineRule="auto"/>
      </w:pPr>
    </w:p>
    <w:p w14:paraId="3EFBD003" w14:textId="77777777" w:rsidR="00017B2F" w:rsidRDefault="00017B2F">
      <w:pPr>
        <w:spacing w:after="0" w:line="360" w:lineRule="auto"/>
      </w:pPr>
    </w:p>
    <w:p w14:paraId="5D67D0CA" w14:textId="77777777" w:rsidR="00017B2F" w:rsidRDefault="00017B2F">
      <w:pPr>
        <w:spacing w:after="0" w:line="360" w:lineRule="auto"/>
      </w:pPr>
    </w:p>
    <w:p w14:paraId="72C1BD15" w14:textId="77777777" w:rsidR="00017B2F" w:rsidRDefault="00017B2F">
      <w:pPr>
        <w:spacing w:after="0" w:line="360" w:lineRule="auto"/>
      </w:pPr>
    </w:p>
    <w:p w14:paraId="0D7FB775" w14:textId="77777777" w:rsidR="00017B2F" w:rsidRDefault="00017B2F">
      <w:pPr>
        <w:spacing w:after="0" w:line="360" w:lineRule="auto"/>
      </w:pPr>
    </w:p>
    <w:p w14:paraId="77ADBB79" w14:textId="77777777" w:rsidR="00017B2F" w:rsidRDefault="00017B2F">
      <w:pPr>
        <w:spacing w:after="0" w:line="360" w:lineRule="auto"/>
      </w:pPr>
    </w:p>
    <w:p w14:paraId="5EFE0518" w14:textId="77777777" w:rsidR="00017B2F" w:rsidRDefault="00017B2F">
      <w:pPr>
        <w:spacing w:after="0" w:line="360" w:lineRule="auto"/>
      </w:pPr>
    </w:p>
    <w:p w14:paraId="52165889" w14:textId="77777777" w:rsidR="00017B2F" w:rsidRDefault="00017B2F">
      <w:pPr>
        <w:spacing w:after="0" w:line="360" w:lineRule="auto"/>
      </w:pPr>
    </w:p>
    <w:p w14:paraId="3E4F7269" w14:textId="77777777" w:rsidR="00017B2F" w:rsidRDefault="00017B2F">
      <w:pPr>
        <w:spacing w:after="0" w:line="360" w:lineRule="auto"/>
      </w:pPr>
    </w:p>
    <w:p w14:paraId="08E4FC8A" w14:textId="77777777" w:rsidR="00017B2F" w:rsidRDefault="00017B2F">
      <w:pPr>
        <w:spacing w:after="0" w:line="360" w:lineRule="auto"/>
      </w:pPr>
    </w:p>
    <w:p w14:paraId="53B8FE2B" w14:textId="77777777" w:rsidR="00017B2F" w:rsidRDefault="00017B2F">
      <w:pPr>
        <w:spacing w:after="0" w:line="360" w:lineRule="auto"/>
      </w:pPr>
    </w:p>
    <w:p w14:paraId="7AFB8EC2" w14:textId="77777777" w:rsidR="00017B2F" w:rsidRDefault="00017B2F">
      <w:pPr>
        <w:spacing w:after="0" w:line="360" w:lineRule="auto"/>
      </w:pPr>
    </w:p>
    <w:p w14:paraId="1FA0B232" w14:textId="77777777" w:rsidR="00017B2F" w:rsidRDefault="00017B2F">
      <w:pPr>
        <w:spacing w:after="0" w:line="360" w:lineRule="auto"/>
      </w:pPr>
    </w:p>
    <w:p w14:paraId="72E0FC9B" w14:textId="77777777" w:rsidR="00017B2F" w:rsidRDefault="00017B2F">
      <w:pPr>
        <w:spacing w:after="0" w:line="360" w:lineRule="auto"/>
      </w:pPr>
    </w:p>
    <w:p w14:paraId="3C47BB59" w14:textId="77777777" w:rsidR="00017B2F" w:rsidRDefault="00017B2F">
      <w:pPr>
        <w:spacing w:after="0" w:line="360" w:lineRule="auto"/>
      </w:pPr>
    </w:p>
    <w:p w14:paraId="26EB14AF" w14:textId="77777777" w:rsidR="00017B2F" w:rsidRDefault="00017B2F">
      <w:pPr>
        <w:spacing w:after="0" w:line="360" w:lineRule="auto"/>
      </w:pPr>
    </w:p>
    <w:p w14:paraId="23853EC4" w14:textId="77777777" w:rsidR="00017B2F" w:rsidRDefault="00017B2F">
      <w:pPr>
        <w:spacing w:after="0" w:line="360" w:lineRule="auto"/>
      </w:pPr>
    </w:p>
    <w:p w14:paraId="49C599BA" w14:textId="77777777" w:rsidR="00017B2F" w:rsidRDefault="00017B2F">
      <w:pPr>
        <w:spacing w:after="0" w:line="360" w:lineRule="auto"/>
      </w:pPr>
    </w:p>
    <w:p w14:paraId="3CA75B13" w14:textId="77777777" w:rsidR="00017B2F" w:rsidRDefault="00017B2F">
      <w:pPr>
        <w:spacing w:after="0" w:line="360" w:lineRule="auto"/>
      </w:pPr>
    </w:p>
    <w:sectPr w:rsidR="00017B2F">
      <w:headerReference w:type="even" r:id="rId9"/>
      <w:headerReference w:type="default" r:id="rId10"/>
      <w:footerReference w:type="even" r:id="rId11"/>
      <w:footerReference w:type="default" r:id="rId12"/>
      <w:headerReference w:type="first" r:id="rId13"/>
      <w:footerReference w:type="first" r:id="rId14"/>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046405" w14:textId="77777777" w:rsidR="003D7DA0" w:rsidRDefault="003D7DA0">
      <w:pPr>
        <w:spacing w:after="0" w:line="240" w:lineRule="auto"/>
      </w:pPr>
      <w:r>
        <w:separator/>
      </w:r>
    </w:p>
  </w:endnote>
  <w:endnote w:type="continuationSeparator" w:id="0">
    <w:p w14:paraId="6CC4F8AA" w14:textId="77777777" w:rsidR="003D7DA0" w:rsidRDefault="003D7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98CB18F6-0F14-49AF-9B34-CCC431958C4B}"/>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DE05F01F-54CE-4E7F-8E19-9A40E188D5D9}"/>
    <w:embedBold r:id="rId3" w:fontKey="{A74CA49F-1474-4318-A8D5-272841720E56}"/>
    <w:embedItalic r:id="rId4" w:fontKey="{4ECAE3C6-5A2B-402D-A419-BB07928F4890}"/>
    <w:embedBoldItalic r:id="rId5" w:fontKey="{27E891DB-99F4-409C-9CAE-CC169F20B874}"/>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DB7105CE-7F44-4D35-AF73-CD27B04D2341}"/>
  </w:font>
  <w:font w:name="Georgia">
    <w:panose1 w:val="02040502050405020303"/>
    <w:charset w:val="00"/>
    <w:family w:val="roman"/>
    <w:pitch w:val="variable"/>
    <w:sig w:usb0="00000287" w:usb1="00000000" w:usb2="00000000" w:usb3="00000000" w:csb0="0000009F" w:csb1="00000000"/>
    <w:embedItalic r:id="rId7" w:fontKey="{4986729C-6BFA-4958-BCB2-52D5C6439464}"/>
  </w:font>
  <w:font w:name="Calibri">
    <w:panose1 w:val="020F0502020204030204"/>
    <w:charset w:val="00"/>
    <w:family w:val="swiss"/>
    <w:pitch w:val="variable"/>
    <w:sig w:usb0="E4002EFF" w:usb1="C200247B" w:usb2="00000009" w:usb3="00000000" w:csb0="000001FF" w:csb1="00000000"/>
    <w:embedRegular r:id="rId8" w:fontKey="{E1B7B75A-6A68-4088-BA00-7CB2FC916AF5}"/>
  </w:font>
  <w:font w:name="Garamond">
    <w:panose1 w:val="02020404030301010803"/>
    <w:charset w:val="00"/>
    <w:family w:val="roman"/>
    <w:pitch w:val="variable"/>
    <w:sig w:usb0="00000287" w:usb1="00000000" w:usb2="00000000" w:usb3="00000000" w:csb0="0000009F" w:csb1="00000000"/>
    <w:embedRegular r:id="rId9" w:fontKey="{569E88D1-9982-4D1C-B909-AC8B6C5522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9C82D4" w14:textId="77777777" w:rsidR="00017B2F" w:rsidRDefault="00C80E0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8E7CBD">
      <w:rPr>
        <w:b/>
        <w:bCs/>
        <w:noProof/>
        <w:color w:val="000000"/>
        <w:sz w:val="24"/>
        <w:szCs w:val="24"/>
      </w:rPr>
      <w:t>17</w:t>
    </w:r>
    <w:r>
      <w:rPr>
        <w:b/>
        <w:bCs/>
        <w:color w:val="000000"/>
        <w:sz w:val="24"/>
        <w:szCs w:val="24"/>
      </w:rPr>
      <w:fldChar w:fldCharType="end"/>
    </w:r>
  </w:p>
  <w:p w14:paraId="0A53D7BC" w14:textId="77777777" w:rsidR="00017B2F" w:rsidRDefault="00017B2F">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84B76" w14:textId="77777777" w:rsidR="00017B2F" w:rsidRDefault="00C80E0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CC68C3">
      <w:rPr>
        <w:b/>
        <w:bCs/>
        <w:noProof/>
        <w:color w:val="000000"/>
        <w:sz w:val="24"/>
        <w:szCs w:val="24"/>
      </w:rPr>
      <w:t>17</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CC68C3">
      <w:rPr>
        <w:b/>
        <w:bCs/>
        <w:noProof/>
        <w:color w:val="000000"/>
        <w:sz w:val="24"/>
        <w:szCs w:val="24"/>
      </w:rPr>
      <w:t>17</w:t>
    </w:r>
    <w:r>
      <w:rPr>
        <w:b/>
        <w:bCs/>
        <w:color w:val="000000"/>
        <w:sz w:val="24"/>
        <w:szCs w:val="24"/>
      </w:rPr>
      <w:fldChar w:fldCharType="end"/>
    </w:r>
  </w:p>
  <w:p w14:paraId="5A43DCD6" w14:textId="77777777" w:rsidR="00017B2F" w:rsidRDefault="00017B2F">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3C3027" w14:textId="77777777" w:rsidR="00017B2F" w:rsidRDefault="00C80E0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3D7DA0">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3D7DA0">
      <w:rPr>
        <w:b/>
        <w:bCs/>
        <w:noProof/>
        <w:color w:val="000000"/>
        <w:sz w:val="24"/>
        <w:szCs w:val="24"/>
      </w:rPr>
      <w:t>1</w:t>
    </w:r>
    <w:r>
      <w:rPr>
        <w:b/>
        <w:bCs/>
        <w:color w:val="000000"/>
        <w:sz w:val="24"/>
        <w:szCs w:val="24"/>
      </w:rPr>
      <w:fldChar w:fldCharType="end"/>
    </w:r>
  </w:p>
  <w:p w14:paraId="74102334" w14:textId="77777777" w:rsidR="00017B2F" w:rsidRDefault="00017B2F">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C04797" w14:textId="77777777" w:rsidR="003D7DA0" w:rsidRDefault="003D7DA0">
      <w:pPr>
        <w:spacing w:after="0" w:line="240" w:lineRule="auto"/>
      </w:pPr>
      <w:r>
        <w:separator/>
      </w:r>
    </w:p>
  </w:footnote>
  <w:footnote w:type="continuationSeparator" w:id="0">
    <w:p w14:paraId="125011ED" w14:textId="77777777" w:rsidR="003D7DA0" w:rsidRDefault="003D7D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820BF" w14:textId="77777777" w:rsidR="00017B2F" w:rsidRDefault="00017B2F">
    <w:pPr>
      <w:widowControl w:val="0"/>
      <w:pBdr>
        <w:top w:val="nil"/>
        <w:left w:val="nil"/>
        <w:bottom w:val="nil"/>
        <w:right w:val="nil"/>
        <w:between w:val="nil"/>
      </w:pBdr>
      <w:spacing w:after="0" w:line="276" w:lineRule="auto"/>
      <w:jc w:val="left"/>
      <w:rPr>
        <w:color w:val="000000"/>
      </w:rPr>
    </w:pPr>
  </w:p>
  <w:tbl>
    <w:tblPr>
      <w:tblStyle w:val="afffffff0"/>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017B2F" w14:paraId="6677B6B2" w14:textId="77777777">
      <w:trPr>
        <w:trHeight w:val="141"/>
      </w:trPr>
      <w:tc>
        <w:tcPr>
          <w:tcW w:w="2404" w:type="dxa"/>
        </w:tcPr>
        <w:p w14:paraId="738D2091" w14:textId="77777777" w:rsidR="00017B2F" w:rsidRDefault="00C80E0A">
          <w:pPr>
            <w:tabs>
              <w:tab w:val="right" w:pos="8838"/>
            </w:tabs>
            <w:ind w:right="-105"/>
            <w:rPr>
              <w:b/>
              <w:bCs/>
            </w:rPr>
          </w:pPr>
          <w:r>
            <w:rPr>
              <w:b/>
              <w:bCs/>
            </w:rPr>
            <w:t>Recurso de Revisión:</w:t>
          </w:r>
        </w:p>
      </w:tc>
      <w:tc>
        <w:tcPr>
          <w:tcW w:w="3587" w:type="dxa"/>
        </w:tcPr>
        <w:p w14:paraId="08274B12" w14:textId="77777777" w:rsidR="00017B2F" w:rsidRDefault="00C80E0A">
          <w:pPr>
            <w:tabs>
              <w:tab w:val="right" w:pos="8838"/>
            </w:tabs>
            <w:ind w:left="-28" w:right="683"/>
          </w:pPr>
          <w:r>
            <w:t>04196/INFOEM/IP/RR/2020</w:t>
          </w:r>
        </w:p>
      </w:tc>
    </w:tr>
    <w:tr w:rsidR="00017B2F" w14:paraId="0C148489" w14:textId="77777777">
      <w:trPr>
        <w:trHeight w:val="276"/>
      </w:trPr>
      <w:tc>
        <w:tcPr>
          <w:tcW w:w="2404" w:type="dxa"/>
        </w:tcPr>
        <w:p w14:paraId="19A8BD9B" w14:textId="77777777" w:rsidR="00017B2F" w:rsidRDefault="00C80E0A">
          <w:pPr>
            <w:tabs>
              <w:tab w:val="right" w:pos="8838"/>
            </w:tabs>
            <w:ind w:right="-105"/>
            <w:rPr>
              <w:b/>
              <w:bCs/>
            </w:rPr>
          </w:pPr>
          <w:r>
            <w:rPr>
              <w:b/>
              <w:bCs/>
            </w:rPr>
            <w:t>Sujeto Obligado:</w:t>
          </w:r>
        </w:p>
      </w:tc>
      <w:tc>
        <w:tcPr>
          <w:tcW w:w="3587" w:type="dxa"/>
        </w:tcPr>
        <w:p w14:paraId="797EAF35" w14:textId="77777777" w:rsidR="00017B2F" w:rsidRDefault="00C80E0A">
          <w:pPr>
            <w:tabs>
              <w:tab w:val="right" w:pos="8838"/>
            </w:tabs>
            <w:ind w:right="116"/>
          </w:pPr>
          <w:r>
            <w:t>Ayuntamiento de Chapultepec</w:t>
          </w:r>
        </w:p>
      </w:tc>
    </w:tr>
    <w:tr w:rsidR="00017B2F" w14:paraId="45CA8A17" w14:textId="77777777">
      <w:trPr>
        <w:trHeight w:val="276"/>
      </w:trPr>
      <w:tc>
        <w:tcPr>
          <w:tcW w:w="2404" w:type="dxa"/>
        </w:tcPr>
        <w:p w14:paraId="0A2D2E0D" w14:textId="77777777" w:rsidR="00017B2F" w:rsidRDefault="00C80E0A">
          <w:pPr>
            <w:tabs>
              <w:tab w:val="right" w:pos="8838"/>
            </w:tabs>
            <w:ind w:right="-105"/>
            <w:rPr>
              <w:b/>
              <w:bCs/>
            </w:rPr>
          </w:pPr>
          <w:r>
            <w:rPr>
              <w:b/>
              <w:bCs/>
            </w:rPr>
            <w:t>Comisionado Ponente:</w:t>
          </w:r>
        </w:p>
      </w:tc>
      <w:tc>
        <w:tcPr>
          <w:tcW w:w="3587" w:type="dxa"/>
        </w:tcPr>
        <w:p w14:paraId="024C57A2" w14:textId="77777777" w:rsidR="00017B2F" w:rsidRDefault="00C80E0A">
          <w:pPr>
            <w:tabs>
              <w:tab w:val="right" w:pos="8838"/>
            </w:tabs>
            <w:ind w:right="-32"/>
          </w:pPr>
          <w:r>
            <w:t>Luis Gustavo Parra Noriega</w:t>
          </w:r>
        </w:p>
      </w:tc>
    </w:tr>
  </w:tbl>
  <w:p w14:paraId="06205C98" w14:textId="77777777" w:rsidR="00017B2F" w:rsidRDefault="003D7DA0">
    <w:pPr>
      <w:pBdr>
        <w:top w:val="nil"/>
        <w:left w:val="nil"/>
        <w:bottom w:val="nil"/>
        <w:right w:val="nil"/>
        <w:between w:val="nil"/>
      </w:pBdr>
      <w:tabs>
        <w:tab w:val="center" w:pos="4419"/>
        <w:tab w:val="right" w:pos="8838"/>
      </w:tabs>
      <w:spacing w:after="0" w:line="240" w:lineRule="auto"/>
      <w:rPr>
        <w:color w:val="000000"/>
      </w:rPr>
    </w:pPr>
    <w:r>
      <w:rPr>
        <w:color w:val="000000"/>
      </w:rPr>
      <w:pict w14:anchorId="098038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34020" w14:textId="77777777" w:rsidR="00017B2F" w:rsidRDefault="00017B2F">
    <w:pPr>
      <w:rPr>
        <w:sz w:val="16"/>
        <w:szCs w:val="16"/>
      </w:rPr>
    </w:pPr>
  </w:p>
  <w:tbl>
    <w:tblPr>
      <w:tblStyle w:val="afffffff1"/>
      <w:tblW w:w="6095" w:type="dxa"/>
      <w:tblInd w:w="3123"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017B2F" w14:paraId="6F4D8C8F" w14:textId="77777777">
      <w:trPr>
        <w:trHeight w:val="141"/>
      </w:trPr>
      <w:tc>
        <w:tcPr>
          <w:tcW w:w="2409" w:type="dxa"/>
        </w:tcPr>
        <w:p w14:paraId="2D7FCF5D" w14:textId="77777777" w:rsidR="00017B2F" w:rsidRDefault="00C80E0A">
          <w:pPr>
            <w:tabs>
              <w:tab w:val="right" w:pos="8838"/>
            </w:tabs>
            <w:ind w:left="-395" w:right="-105" w:firstLine="395"/>
            <w:rPr>
              <w:b/>
              <w:bCs/>
            </w:rPr>
          </w:pPr>
          <w:r>
            <w:rPr>
              <w:b/>
              <w:bCs/>
            </w:rPr>
            <w:t>Recurso de Revisión:</w:t>
          </w:r>
        </w:p>
      </w:tc>
      <w:tc>
        <w:tcPr>
          <w:tcW w:w="3686" w:type="dxa"/>
        </w:tcPr>
        <w:p w14:paraId="1B42DE0E" w14:textId="77777777" w:rsidR="00017B2F" w:rsidRDefault="00C80E0A">
          <w:pPr>
            <w:tabs>
              <w:tab w:val="right" w:pos="8838"/>
            </w:tabs>
            <w:ind w:right="176"/>
          </w:pPr>
          <w:r>
            <w:t>10076/INFOEM/IP/RR/2025</w:t>
          </w:r>
        </w:p>
      </w:tc>
    </w:tr>
    <w:tr w:rsidR="00017B2F" w14:paraId="29548EA5" w14:textId="77777777">
      <w:trPr>
        <w:trHeight w:val="276"/>
      </w:trPr>
      <w:tc>
        <w:tcPr>
          <w:tcW w:w="2409" w:type="dxa"/>
        </w:tcPr>
        <w:p w14:paraId="0D16431D" w14:textId="77777777" w:rsidR="00017B2F" w:rsidRDefault="00C80E0A">
          <w:pPr>
            <w:tabs>
              <w:tab w:val="right" w:pos="8838"/>
            </w:tabs>
            <w:ind w:right="-105"/>
            <w:rPr>
              <w:b/>
              <w:bCs/>
            </w:rPr>
          </w:pPr>
          <w:r>
            <w:rPr>
              <w:b/>
              <w:bCs/>
            </w:rPr>
            <w:t>Sujeto Obligado:</w:t>
          </w:r>
        </w:p>
      </w:tc>
      <w:tc>
        <w:tcPr>
          <w:tcW w:w="3686" w:type="dxa"/>
        </w:tcPr>
        <w:p w14:paraId="2A195813" w14:textId="77777777" w:rsidR="00017B2F" w:rsidRDefault="00C80E0A">
          <w:pPr>
            <w:tabs>
              <w:tab w:val="left" w:pos="3158"/>
              <w:tab w:val="left" w:pos="4292"/>
              <w:tab w:val="right" w:pos="8838"/>
            </w:tabs>
            <w:ind w:right="176"/>
          </w:pPr>
          <w:r>
            <w:t>Ayuntamiento de Chicoloapan</w:t>
          </w:r>
        </w:p>
      </w:tc>
    </w:tr>
    <w:tr w:rsidR="00017B2F" w14:paraId="404AAA71" w14:textId="77777777">
      <w:trPr>
        <w:trHeight w:val="276"/>
      </w:trPr>
      <w:tc>
        <w:tcPr>
          <w:tcW w:w="2409" w:type="dxa"/>
        </w:tcPr>
        <w:p w14:paraId="2BF11D32" w14:textId="77777777" w:rsidR="00017B2F" w:rsidRDefault="00C80E0A">
          <w:pPr>
            <w:tabs>
              <w:tab w:val="right" w:pos="8838"/>
            </w:tabs>
            <w:ind w:right="-105"/>
            <w:rPr>
              <w:b/>
              <w:bCs/>
            </w:rPr>
          </w:pPr>
          <w:r>
            <w:rPr>
              <w:b/>
              <w:bCs/>
            </w:rPr>
            <w:t>Comisionado Ponente:</w:t>
          </w:r>
        </w:p>
      </w:tc>
      <w:tc>
        <w:tcPr>
          <w:tcW w:w="3686" w:type="dxa"/>
        </w:tcPr>
        <w:p w14:paraId="5BF9C50E" w14:textId="77777777" w:rsidR="00017B2F" w:rsidRDefault="00C80E0A">
          <w:pPr>
            <w:tabs>
              <w:tab w:val="right" w:pos="8838"/>
            </w:tabs>
            <w:ind w:right="176"/>
          </w:pPr>
          <w:r>
            <w:t>Luis Gustavo Parra Noriega</w:t>
          </w:r>
        </w:p>
        <w:p w14:paraId="18098547" w14:textId="77777777" w:rsidR="00017B2F" w:rsidRDefault="00017B2F">
          <w:pPr>
            <w:tabs>
              <w:tab w:val="right" w:pos="8838"/>
            </w:tabs>
            <w:ind w:right="176"/>
          </w:pPr>
        </w:p>
      </w:tc>
    </w:tr>
  </w:tbl>
  <w:p w14:paraId="0B798CFE" w14:textId="77777777" w:rsidR="00017B2F" w:rsidRDefault="003D7DA0">
    <w:pPr>
      <w:pBdr>
        <w:top w:val="nil"/>
        <w:left w:val="nil"/>
        <w:bottom w:val="nil"/>
        <w:right w:val="nil"/>
        <w:between w:val="nil"/>
      </w:pBdr>
      <w:tabs>
        <w:tab w:val="center" w:pos="4419"/>
        <w:tab w:val="right" w:pos="8838"/>
      </w:tabs>
      <w:spacing w:after="0" w:line="240" w:lineRule="auto"/>
      <w:rPr>
        <w:color w:val="000000"/>
      </w:rPr>
    </w:pPr>
    <w:r>
      <w:rPr>
        <w:color w:val="000000"/>
      </w:rPr>
      <w:pict w14:anchorId="17092A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1B8006" w14:textId="77777777" w:rsidR="00017B2F" w:rsidRDefault="003D7DA0">
    <w:pPr>
      <w:widowControl w:val="0"/>
      <w:pBdr>
        <w:top w:val="nil"/>
        <w:left w:val="nil"/>
        <w:bottom w:val="nil"/>
        <w:right w:val="nil"/>
        <w:between w:val="nil"/>
      </w:pBdr>
      <w:spacing w:after="0" w:line="276" w:lineRule="auto"/>
      <w:jc w:val="left"/>
      <w:rPr>
        <w:color w:val="000000"/>
      </w:rPr>
    </w:pPr>
    <w:r>
      <w:rPr>
        <w:color w:val="000000"/>
      </w:rPr>
      <w:pict w14:anchorId="559DB7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MARCA DE AGUA - HOJA RESOLUCIÓN" style="position:absolute;margin-left:-97.1pt;margin-top:-123.85pt;width:663.5pt;height:12in;z-index:-251658752;mso-position-horizontal:absolute;mso-position-horizontal-relative:margin;mso-position-vertical:absolute;mso-position-vertical-relative:margin">
          <v:imagedata r:id="rId1" o:title="image1"/>
          <w10:wrap anchorx="margin" anchory="margin"/>
        </v:shape>
      </w:pict>
    </w:r>
  </w:p>
  <w:tbl>
    <w:tblPr>
      <w:tblStyle w:val="afffffff2"/>
      <w:tblW w:w="9214" w:type="dxa"/>
      <w:tblInd w:w="0" w:type="dxa"/>
      <w:tblLayout w:type="fixed"/>
      <w:tblLook w:val="0400" w:firstRow="0" w:lastRow="0" w:firstColumn="0" w:lastColumn="0" w:noHBand="0" w:noVBand="1"/>
    </w:tblPr>
    <w:tblGrid>
      <w:gridCol w:w="2127"/>
      <w:gridCol w:w="7087"/>
    </w:tblGrid>
    <w:tr w:rsidR="00017B2F" w14:paraId="52C4FD52" w14:textId="77777777">
      <w:trPr>
        <w:trHeight w:val="1546"/>
      </w:trPr>
      <w:tc>
        <w:tcPr>
          <w:tcW w:w="2127" w:type="dxa"/>
        </w:tcPr>
        <w:p w14:paraId="340B4D35" w14:textId="77777777" w:rsidR="00017B2F" w:rsidRDefault="00017B2F">
          <w:pPr>
            <w:tabs>
              <w:tab w:val="right" w:pos="4273"/>
            </w:tabs>
            <w:rPr>
              <w:rFonts w:ascii="Garamond" w:eastAsia="Garamond" w:hAnsi="Garamond" w:cs="Garamond"/>
              <w:sz w:val="16"/>
              <w:szCs w:val="16"/>
            </w:rPr>
          </w:pPr>
        </w:p>
      </w:tc>
      <w:tc>
        <w:tcPr>
          <w:tcW w:w="7087" w:type="dxa"/>
        </w:tcPr>
        <w:p w14:paraId="309DBABA" w14:textId="77777777" w:rsidR="00017B2F" w:rsidRDefault="00017B2F">
          <w:pPr>
            <w:rPr>
              <w:sz w:val="10"/>
              <w:szCs w:val="10"/>
            </w:rPr>
          </w:pPr>
        </w:p>
        <w:tbl>
          <w:tblPr>
            <w:tblStyle w:val="afffffff3"/>
            <w:tblW w:w="6288" w:type="dxa"/>
            <w:tblInd w:w="755" w:type="dxa"/>
            <w:tblLayout w:type="fixed"/>
            <w:tblLook w:val="0400" w:firstRow="0" w:lastRow="0" w:firstColumn="0" w:lastColumn="0" w:noHBand="0" w:noVBand="1"/>
          </w:tblPr>
          <w:tblGrid>
            <w:gridCol w:w="2607"/>
            <w:gridCol w:w="3681"/>
          </w:tblGrid>
          <w:tr w:rsidR="00017B2F" w14:paraId="5D7DE52A" w14:textId="77777777">
            <w:trPr>
              <w:trHeight w:val="476"/>
            </w:trPr>
            <w:tc>
              <w:tcPr>
                <w:tcW w:w="2607" w:type="dxa"/>
                <w:vAlign w:val="bottom"/>
              </w:tcPr>
              <w:p w14:paraId="2E114E8F" w14:textId="77777777" w:rsidR="00017B2F" w:rsidRDefault="00C80E0A">
                <w:pPr>
                  <w:tabs>
                    <w:tab w:val="right" w:pos="8838"/>
                  </w:tabs>
                  <w:ind w:right="-105"/>
                  <w:rPr>
                    <w:b/>
                    <w:bCs/>
                  </w:rPr>
                </w:pPr>
                <w:r>
                  <w:rPr>
                    <w:b/>
                    <w:bCs/>
                  </w:rPr>
                  <w:t>Recurso de Revisión:</w:t>
                </w:r>
              </w:p>
            </w:tc>
            <w:tc>
              <w:tcPr>
                <w:tcW w:w="3681" w:type="dxa"/>
              </w:tcPr>
              <w:p w14:paraId="68FF8762" w14:textId="77777777" w:rsidR="00017B2F" w:rsidRDefault="00017B2F">
                <w:pPr>
                  <w:tabs>
                    <w:tab w:val="right" w:pos="8838"/>
                  </w:tabs>
                  <w:ind w:left="-28" w:right="-107"/>
                  <w:rPr>
                    <w:b/>
                    <w:bCs/>
                  </w:rPr>
                </w:pPr>
              </w:p>
              <w:p w14:paraId="2DF9A6B9" w14:textId="77777777" w:rsidR="00017B2F" w:rsidRDefault="00C80E0A">
                <w:pPr>
                  <w:tabs>
                    <w:tab w:val="right" w:pos="8838"/>
                  </w:tabs>
                  <w:ind w:left="-28" w:right="-107"/>
                </w:pPr>
                <w:r>
                  <w:t>10076/INFOEM/IP/RR/2025</w:t>
                </w:r>
              </w:p>
            </w:tc>
          </w:tr>
          <w:tr w:rsidR="00017B2F" w14:paraId="43BD3BFD" w14:textId="77777777">
            <w:trPr>
              <w:trHeight w:val="157"/>
            </w:trPr>
            <w:tc>
              <w:tcPr>
                <w:tcW w:w="2607" w:type="dxa"/>
              </w:tcPr>
              <w:p w14:paraId="41CD73EB" w14:textId="77777777" w:rsidR="00017B2F" w:rsidRDefault="00C80E0A">
                <w:pPr>
                  <w:tabs>
                    <w:tab w:val="right" w:pos="8838"/>
                  </w:tabs>
                  <w:ind w:right="-105"/>
                  <w:rPr>
                    <w:b/>
                    <w:bCs/>
                  </w:rPr>
                </w:pPr>
                <w:r>
                  <w:rPr>
                    <w:b/>
                    <w:bCs/>
                  </w:rPr>
                  <w:t>Recurrente:</w:t>
                </w:r>
              </w:p>
            </w:tc>
            <w:tc>
              <w:tcPr>
                <w:tcW w:w="3681" w:type="dxa"/>
              </w:tcPr>
              <w:p w14:paraId="01E4DB49" w14:textId="32DC4458" w:rsidR="00017B2F" w:rsidRPr="00356BC4" w:rsidRDefault="00356BC4">
                <w:pPr>
                  <w:tabs>
                    <w:tab w:val="right" w:pos="8838"/>
                  </w:tabs>
                  <w:ind w:right="-107"/>
                  <w:rPr>
                    <w:b/>
                    <w:bCs/>
                  </w:rPr>
                </w:pPr>
                <w:r w:rsidRPr="00356BC4">
                  <w:rPr>
                    <w:b/>
                    <w:bCs/>
                    <w:highlight w:val="black"/>
                  </w:rPr>
                  <w:t>XXXXXXXXXXXXXXXXXXXXXXXX</w:t>
                </w:r>
              </w:p>
            </w:tc>
          </w:tr>
          <w:tr w:rsidR="00017B2F" w14:paraId="041B8337" w14:textId="77777777">
            <w:trPr>
              <w:trHeight w:val="308"/>
            </w:trPr>
            <w:tc>
              <w:tcPr>
                <w:tcW w:w="2607" w:type="dxa"/>
              </w:tcPr>
              <w:p w14:paraId="4DB322CB" w14:textId="77777777" w:rsidR="00017B2F" w:rsidRDefault="00C80E0A">
                <w:pPr>
                  <w:tabs>
                    <w:tab w:val="right" w:pos="8838"/>
                  </w:tabs>
                  <w:ind w:right="-105"/>
                  <w:rPr>
                    <w:b/>
                    <w:bCs/>
                  </w:rPr>
                </w:pPr>
                <w:r>
                  <w:rPr>
                    <w:b/>
                    <w:bCs/>
                  </w:rPr>
                  <w:t>Sujeto Obligado:</w:t>
                </w:r>
              </w:p>
            </w:tc>
            <w:tc>
              <w:tcPr>
                <w:tcW w:w="3681" w:type="dxa"/>
              </w:tcPr>
              <w:p w14:paraId="6C4A93F8" w14:textId="77777777" w:rsidR="00017B2F" w:rsidRDefault="00C80E0A">
                <w:pPr>
                  <w:tabs>
                    <w:tab w:val="right" w:pos="8838"/>
                  </w:tabs>
                  <w:ind w:right="33"/>
                </w:pPr>
                <w:r>
                  <w:t>Ayuntamiento de Chicoloapan</w:t>
                </w:r>
              </w:p>
            </w:tc>
          </w:tr>
          <w:tr w:rsidR="00017B2F" w14:paraId="4819F5DB" w14:textId="77777777">
            <w:trPr>
              <w:trHeight w:val="308"/>
            </w:trPr>
            <w:tc>
              <w:tcPr>
                <w:tcW w:w="2607" w:type="dxa"/>
              </w:tcPr>
              <w:p w14:paraId="2E857AAC" w14:textId="77777777" w:rsidR="00017B2F" w:rsidRDefault="00C80E0A">
                <w:pPr>
                  <w:tabs>
                    <w:tab w:val="right" w:pos="8838"/>
                  </w:tabs>
                  <w:ind w:right="-105"/>
                  <w:rPr>
                    <w:b/>
                    <w:bCs/>
                  </w:rPr>
                </w:pPr>
                <w:r>
                  <w:rPr>
                    <w:b/>
                    <w:bCs/>
                  </w:rPr>
                  <w:t>Comisionado Ponente:</w:t>
                </w:r>
              </w:p>
            </w:tc>
            <w:tc>
              <w:tcPr>
                <w:tcW w:w="3681" w:type="dxa"/>
              </w:tcPr>
              <w:p w14:paraId="51BFD9F9" w14:textId="77777777" w:rsidR="00017B2F" w:rsidRDefault="00C80E0A">
                <w:pPr>
                  <w:tabs>
                    <w:tab w:val="right" w:pos="8838"/>
                  </w:tabs>
                  <w:ind w:right="-107"/>
                </w:pPr>
                <w:r>
                  <w:t>Luis Gustavo Parra Noriega</w:t>
                </w:r>
              </w:p>
            </w:tc>
          </w:tr>
        </w:tbl>
        <w:p w14:paraId="26F9A894" w14:textId="77777777" w:rsidR="00017B2F" w:rsidRDefault="00017B2F">
          <w:pPr>
            <w:tabs>
              <w:tab w:val="right" w:pos="8838"/>
            </w:tabs>
            <w:ind w:left="-28"/>
            <w:rPr>
              <w:rFonts w:ascii="Arial" w:eastAsia="Arial" w:hAnsi="Arial" w:cs="Arial"/>
              <w:b/>
              <w:bCs/>
            </w:rPr>
          </w:pPr>
        </w:p>
      </w:tc>
    </w:tr>
  </w:tbl>
  <w:p w14:paraId="6A371E89" w14:textId="77777777" w:rsidR="00017B2F" w:rsidRDefault="00017B2F">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AB922F3"/>
    <w:multiLevelType w:val="multilevel"/>
    <w:tmpl w:val="DDAE20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015496C"/>
    <w:multiLevelType w:val="multilevel"/>
    <w:tmpl w:val="E83E2E3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B2F"/>
    <w:rsid w:val="00017B2F"/>
    <w:rsid w:val="000D0760"/>
    <w:rsid w:val="00356BC4"/>
    <w:rsid w:val="003D7DA0"/>
    <w:rsid w:val="00415DE1"/>
    <w:rsid w:val="004C37A4"/>
    <w:rsid w:val="005A4B50"/>
    <w:rsid w:val="0080184F"/>
    <w:rsid w:val="008E7CBD"/>
    <w:rsid w:val="00A22BE3"/>
    <w:rsid w:val="00BD3671"/>
    <w:rsid w:val="00C55302"/>
    <w:rsid w:val="00C80E0A"/>
    <w:rsid w:val="00CC68C3"/>
    <w:rsid w:val="00CE18B4"/>
    <w:rsid w:val="00D53BDF"/>
    <w:rsid w:val="00E31B98"/>
    <w:rsid w:val="00F64E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88EA26"/>
  <w15:docId w15:val="{4ABC28B9-E59E-48F0-90AA-3059379EE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line="360" w:lineRule="auto"/>
      <w:jc w:val="center"/>
      <w:outlineLvl w:val="0"/>
    </w:pPr>
    <w:rPr>
      <w:b/>
      <w:bCs/>
      <w:sz w:val="24"/>
      <w:szCs w:val="24"/>
    </w:rPr>
  </w:style>
  <w:style w:type="paragraph" w:styleId="Ttulo2">
    <w:name w:val="heading 2"/>
    <w:basedOn w:val="Normal"/>
    <w:next w:val="Normal"/>
    <w:pPr>
      <w:keepNext/>
      <w:keepLines/>
      <w:spacing w:before="360" w:after="80" w:line="360" w:lineRule="auto"/>
      <w:jc w:val="left"/>
      <w:outlineLvl w:val="1"/>
    </w:pPr>
    <w:rPr>
      <w:b/>
      <w:bCs/>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5"/>
    <w:pPr>
      <w:spacing w:after="0" w:line="240" w:lineRule="auto"/>
    </w:pPr>
    <w:tblPr>
      <w:tblStyleRowBandSize w:val="1"/>
      <w:tblStyleColBandSize w:val="1"/>
      <w:tblCellMar>
        <w:left w:w="108" w:type="dxa"/>
        <w:right w:w="108" w:type="dxa"/>
      </w:tblCellMar>
    </w:tblPr>
  </w:style>
  <w:style w:type="table" w:customStyle="1" w:styleId="a0">
    <w:basedOn w:val="TableNormalf5"/>
    <w:pPr>
      <w:spacing w:after="0" w:line="240" w:lineRule="auto"/>
    </w:pPr>
    <w:tblPr>
      <w:tblStyleRowBandSize w:val="1"/>
      <w:tblStyleColBandSize w:val="1"/>
      <w:tblCellMar>
        <w:left w:w="108" w:type="dxa"/>
        <w:right w:w="108" w:type="dxa"/>
      </w:tblCellMar>
    </w:tblPr>
  </w:style>
  <w:style w:type="table" w:customStyle="1" w:styleId="a1">
    <w:basedOn w:val="TableNormalf5"/>
    <w:tblPr>
      <w:tblStyleRowBandSize w:val="1"/>
      <w:tblStyleColBandSize w:val="1"/>
      <w:tblCellMar>
        <w:left w:w="115" w:type="dxa"/>
        <w:right w:w="115" w:type="dxa"/>
      </w:tblCellMar>
    </w:tblPr>
  </w:style>
  <w:style w:type="table" w:customStyle="1" w:styleId="a2">
    <w:basedOn w:val="TableNormalf5"/>
    <w:pPr>
      <w:spacing w:after="0" w:line="240" w:lineRule="auto"/>
    </w:pPr>
    <w:tblPr>
      <w:tblStyleRowBandSize w:val="1"/>
      <w:tblStyleColBandSize w:val="1"/>
      <w:tblCellMar>
        <w:left w:w="108" w:type="dxa"/>
        <w:right w:w="108" w:type="dxa"/>
      </w:tblCellMar>
    </w:tblPr>
  </w:style>
  <w:style w:type="paragraph" w:styleId="Ttulode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5"/>
    <w:pPr>
      <w:spacing w:after="0" w:line="240" w:lineRule="auto"/>
    </w:pPr>
    <w:tblPr>
      <w:tblStyleRowBandSize w:val="1"/>
      <w:tblStyleColBandSize w:val="1"/>
      <w:tblCellMar>
        <w:left w:w="108" w:type="dxa"/>
        <w:right w:w="108" w:type="dxa"/>
      </w:tblCellMar>
    </w:tblPr>
  </w:style>
  <w:style w:type="table" w:customStyle="1" w:styleId="a4">
    <w:basedOn w:val="TableNormalf5"/>
    <w:pPr>
      <w:spacing w:after="0" w:line="240" w:lineRule="auto"/>
    </w:pPr>
    <w:tblPr>
      <w:tblStyleRowBandSize w:val="1"/>
      <w:tblStyleColBandSize w:val="1"/>
      <w:tblCellMar>
        <w:left w:w="108" w:type="dxa"/>
        <w:right w:w="108" w:type="dxa"/>
      </w:tblCellMar>
    </w:tblPr>
  </w:style>
  <w:style w:type="table" w:customStyle="1" w:styleId="a5">
    <w:basedOn w:val="TableNormalf5"/>
    <w:pPr>
      <w:spacing w:after="0" w:line="240" w:lineRule="auto"/>
    </w:pPr>
    <w:tblPr>
      <w:tblStyleRowBandSize w:val="1"/>
      <w:tblStyleColBandSize w:val="1"/>
      <w:tblCellMar>
        <w:left w:w="108" w:type="dxa"/>
        <w:right w:w="108" w:type="dxa"/>
      </w:tblCellMar>
    </w:tblPr>
  </w:style>
  <w:style w:type="table" w:customStyle="1" w:styleId="a6">
    <w:basedOn w:val="TableNormalf5"/>
    <w:pPr>
      <w:spacing w:after="0" w:line="240" w:lineRule="auto"/>
    </w:pPr>
    <w:tblPr>
      <w:tblStyleRowBandSize w:val="1"/>
      <w:tblStyleColBandSize w:val="1"/>
      <w:tblCellMar>
        <w:left w:w="108" w:type="dxa"/>
        <w:right w:w="108" w:type="dxa"/>
      </w:tblCellMar>
    </w:tblPr>
  </w:style>
  <w:style w:type="table" w:customStyle="1" w:styleId="a7">
    <w:basedOn w:val="TableNormalf4"/>
    <w:pPr>
      <w:spacing w:after="0" w:line="240" w:lineRule="auto"/>
    </w:pPr>
    <w:tblPr>
      <w:tblStyleRowBandSize w:val="1"/>
      <w:tblStyleColBandSize w:val="1"/>
      <w:tblCellMar>
        <w:left w:w="108" w:type="dxa"/>
        <w:right w:w="108" w:type="dxa"/>
      </w:tblCellMar>
    </w:tblPr>
  </w:style>
  <w:style w:type="table" w:customStyle="1" w:styleId="a8">
    <w:basedOn w:val="TableNormalf4"/>
    <w:pPr>
      <w:spacing w:after="0" w:line="240" w:lineRule="auto"/>
    </w:pPr>
    <w:tblPr>
      <w:tblStyleRowBandSize w:val="1"/>
      <w:tblStyleColBandSize w:val="1"/>
      <w:tblCellMar>
        <w:left w:w="108" w:type="dxa"/>
        <w:right w:w="108" w:type="dxa"/>
      </w:tblCellMar>
    </w:tblPr>
  </w:style>
  <w:style w:type="table" w:customStyle="1" w:styleId="a9">
    <w:basedOn w:val="TableNormalf4"/>
    <w:pPr>
      <w:spacing w:after="0" w:line="240" w:lineRule="auto"/>
    </w:pPr>
    <w:tblPr>
      <w:tblStyleRowBandSize w:val="1"/>
      <w:tblStyleColBandSize w:val="1"/>
      <w:tblCellMar>
        <w:left w:w="108" w:type="dxa"/>
        <w:right w:w="108" w:type="dxa"/>
      </w:tblCellMar>
    </w:tblPr>
  </w:style>
  <w:style w:type="table" w:customStyle="1" w:styleId="aa">
    <w:basedOn w:val="TableNormalf4"/>
    <w:pPr>
      <w:spacing w:after="0" w:line="240" w:lineRule="auto"/>
    </w:pPr>
    <w:tblPr>
      <w:tblStyleRowBandSize w:val="1"/>
      <w:tblStyleColBandSize w:val="1"/>
      <w:tblCellMar>
        <w:left w:w="108" w:type="dxa"/>
        <w:right w:w="108" w:type="dxa"/>
      </w:tblCellMar>
    </w:tblPr>
  </w:style>
  <w:style w:type="table" w:customStyle="1" w:styleId="ab">
    <w:basedOn w:val="TableNormalf3"/>
    <w:pPr>
      <w:spacing w:after="0" w:line="240" w:lineRule="auto"/>
    </w:pPr>
    <w:tblPr>
      <w:tblStyleRowBandSize w:val="1"/>
      <w:tblStyleColBandSize w:val="1"/>
      <w:tblCellMar>
        <w:left w:w="108" w:type="dxa"/>
        <w:right w:w="108" w:type="dxa"/>
      </w:tblCellMar>
    </w:tblPr>
  </w:style>
  <w:style w:type="table" w:customStyle="1" w:styleId="ac">
    <w:basedOn w:val="TableNormalf3"/>
    <w:pPr>
      <w:spacing w:after="0" w:line="240" w:lineRule="auto"/>
    </w:pPr>
    <w:tblPr>
      <w:tblStyleRowBandSize w:val="1"/>
      <w:tblStyleColBandSize w:val="1"/>
      <w:tblCellMar>
        <w:left w:w="108" w:type="dxa"/>
        <w:right w:w="108" w:type="dxa"/>
      </w:tblCellMar>
    </w:tblPr>
  </w:style>
  <w:style w:type="table" w:customStyle="1" w:styleId="ad">
    <w:basedOn w:val="TableNormalf3"/>
    <w:pPr>
      <w:spacing w:after="0" w:line="240" w:lineRule="auto"/>
    </w:pPr>
    <w:tblPr>
      <w:tblStyleRowBandSize w:val="1"/>
      <w:tblStyleColBandSize w:val="1"/>
      <w:tblCellMar>
        <w:left w:w="108" w:type="dxa"/>
        <w:right w:w="108" w:type="dxa"/>
      </w:tblCellMar>
    </w:tblPr>
  </w:style>
  <w:style w:type="table" w:customStyle="1" w:styleId="ae">
    <w:basedOn w:val="TableNormalf3"/>
    <w:pPr>
      <w:spacing w:after="0" w:line="240" w:lineRule="auto"/>
    </w:pPr>
    <w:tblPr>
      <w:tblStyleRowBandSize w:val="1"/>
      <w:tblStyleColBandSize w:val="1"/>
      <w:tblCellMar>
        <w:left w:w="108" w:type="dxa"/>
        <w:right w:w="108" w:type="dxa"/>
      </w:tblCellMar>
    </w:tblPr>
  </w:style>
  <w:style w:type="table" w:customStyle="1" w:styleId="af">
    <w:basedOn w:val="TableNormalf2"/>
    <w:pPr>
      <w:spacing w:after="0" w:line="240" w:lineRule="auto"/>
    </w:pPr>
    <w:tblPr>
      <w:tblStyleRowBandSize w:val="1"/>
      <w:tblStyleColBandSize w:val="1"/>
      <w:tblCellMar>
        <w:left w:w="108" w:type="dxa"/>
        <w:right w:w="108" w:type="dxa"/>
      </w:tblCellMar>
    </w:tblPr>
  </w:style>
  <w:style w:type="table" w:customStyle="1" w:styleId="af0">
    <w:basedOn w:val="TableNormalf2"/>
    <w:pPr>
      <w:spacing w:after="0" w:line="240" w:lineRule="auto"/>
    </w:pPr>
    <w:tblPr>
      <w:tblStyleRowBandSize w:val="1"/>
      <w:tblStyleColBandSize w:val="1"/>
      <w:tblCellMar>
        <w:left w:w="108" w:type="dxa"/>
        <w:right w:w="108" w:type="dxa"/>
      </w:tblCellMar>
    </w:tblPr>
  </w:style>
  <w:style w:type="table" w:customStyle="1" w:styleId="af1">
    <w:basedOn w:val="TableNormalf2"/>
    <w:pPr>
      <w:spacing w:after="0" w:line="240" w:lineRule="auto"/>
    </w:pPr>
    <w:tblPr>
      <w:tblStyleRowBandSize w:val="1"/>
      <w:tblStyleColBandSize w:val="1"/>
      <w:tblCellMar>
        <w:left w:w="108" w:type="dxa"/>
        <w:right w:w="108" w:type="dxa"/>
      </w:tblCellMar>
    </w:tblPr>
  </w:style>
  <w:style w:type="table" w:customStyle="1" w:styleId="af2">
    <w:basedOn w:val="TableNormalf2"/>
    <w:pPr>
      <w:spacing w:after="0" w:line="240" w:lineRule="auto"/>
    </w:pPr>
    <w:tblPr>
      <w:tblStyleRowBandSize w:val="1"/>
      <w:tblStyleColBandSize w:val="1"/>
      <w:tblCellMar>
        <w:left w:w="108" w:type="dxa"/>
        <w:right w:w="108" w:type="dxa"/>
      </w:tblCellMar>
    </w:tblPr>
  </w:style>
  <w:style w:type="table" w:customStyle="1" w:styleId="af3">
    <w:basedOn w:val="TableNormalf1"/>
    <w:pPr>
      <w:spacing w:after="0" w:line="240" w:lineRule="auto"/>
    </w:pPr>
    <w:tblPr>
      <w:tblStyleRowBandSize w:val="1"/>
      <w:tblStyleColBandSize w:val="1"/>
      <w:tblCellMar>
        <w:left w:w="108" w:type="dxa"/>
        <w:right w:w="108" w:type="dxa"/>
      </w:tblCellMar>
    </w:tblPr>
  </w:style>
  <w:style w:type="table" w:customStyle="1" w:styleId="af4">
    <w:basedOn w:val="TableNormalf1"/>
    <w:pPr>
      <w:spacing w:after="0" w:line="240" w:lineRule="auto"/>
    </w:pPr>
    <w:tblPr>
      <w:tblStyleRowBandSize w:val="1"/>
      <w:tblStyleColBandSize w:val="1"/>
      <w:tblCellMar>
        <w:left w:w="108" w:type="dxa"/>
        <w:right w:w="108" w:type="dxa"/>
      </w:tblCellMar>
    </w:tblPr>
  </w:style>
  <w:style w:type="table" w:customStyle="1" w:styleId="af5">
    <w:basedOn w:val="TableNormalf1"/>
    <w:pPr>
      <w:spacing w:after="0" w:line="240" w:lineRule="auto"/>
    </w:pPr>
    <w:tblPr>
      <w:tblStyleRowBandSize w:val="1"/>
      <w:tblStyleColBandSize w:val="1"/>
      <w:tblCellMar>
        <w:left w:w="108" w:type="dxa"/>
        <w:right w:w="108" w:type="dxa"/>
      </w:tblCellMar>
    </w:tblPr>
  </w:style>
  <w:style w:type="table" w:customStyle="1" w:styleId="af6">
    <w:basedOn w:val="TableNormalf1"/>
    <w:pPr>
      <w:spacing w:after="0" w:line="240" w:lineRule="auto"/>
    </w:pPr>
    <w:tblPr>
      <w:tblStyleRowBandSize w:val="1"/>
      <w:tblStyleColBandSize w:val="1"/>
      <w:tblCellMar>
        <w:left w:w="108" w:type="dxa"/>
        <w:right w:w="108" w:type="dxa"/>
      </w:tblCellMar>
    </w:tblPr>
  </w:style>
  <w:style w:type="table" w:customStyle="1" w:styleId="af7">
    <w:basedOn w:val="TableNormalf0"/>
    <w:pPr>
      <w:spacing w:after="0" w:line="240" w:lineRule="auto"/>
    </w:pPr>
    <w:tblPr>
      <w:tblStyleRowBandSize w:val="1"/>
      <w:tblStyleColBandSize w:val="1"/>
      <w:tblCellMar>
        <w:left w:w="108" w:type="dxa"/>
        <w:right w:w="108" w:type="dxa"/>
      </w:tblCellMar>
    </w:tblPr>
  </w:style>
  <w:style w:type="table" w:customStyle="1" w:styleId="af8">
    <w:basedOn w:val="TableNormalf0"/>
    <w:pPr>
      <w:spacing w:after="0" w:line="240" w:lineRule="auto"/>
    </w:pPr>
    <w:tblPr>
      <w:tblStyleRowBandSize w:val="1"/>
      <w:tblStyleColBandSize w:val="1"/>
      <w:tblCellMar>
        <w:left w:w="108" w:type="dxa"/>
        <w:right w:w="108" w:type="dxa"/>
      </w:tblCellMar>
    </w:tblPr>
  </w:style>
  <w:style w:type="table" w:customStyle="1" w:styleId="af9">
    <w:basedOn w:val="TableNormalf0"/>
    <w:pPr>
      <w:spacing w:after="0" w:line="240" w:lineRule="auto"/>
    </w:pPr>
    <w:tblPr>
      <w:tblStyleRowBandSize w:val="1"/>
      <w:tblStyleColBandSize w:val="1"/>
      <w:tblCellMar>
        <w:left w:w="108" w:type="dxa"/>
        <w:right w:w="108" w:type="dxa"/>
      </w:tblCellMar>
    </w:tblPr>
  </w:style>
  <w:style w:type="table" w:customStyle="1" w:styleId="afa">
    <w:basedOn w:val="TableNormalf0"/>
    <w:pPr>
      <w:spacing w:after="0" w:line="240" w:lineRule="auto"/>
    </w:pPr>
    <w:tblPr>
      <w:tblStyleRowBandSize w:val="1"/>
      <w:tblStyleColBandSize w:val="1"/>
      <w:tblCellMar>
        <w:left w:w="108" w:type="dxa"/>
        <w:right w:w="108" w:type="dxa"/>
      </w:tblCellMar>
    </w:tblPr>
  </w:style>
  <w:style w:type="table" w:customStyle="1" w:styleId="afb">
    <w:basedOn w:val="TableNormalf"/>
    <w:pPr>
      <w:spacing w:after="0" w:line="240" w:lineRule="auto"/>
    </w:pPr>
    <w:tblPr>
      <w:tblStyleRowBandSize w:val="1"/>
      <w:tblStyleColBandSize w:val="1"/>
      <w:tblCellMar>
        <w:left w:w="108" w:type="dxa"/>
        <w:right w:w="108" w:type="dxa"/>
      </w:tblCellMar>
    </w:tblPr>
  </w:style>
  <w:style w:type="table" w:customStyle="1" w:styleId="afc">
    <w:basedOn w:val="TableNormalf"/>
    <w:pPr>
      <w:spacing w:after="0" w:line="240" w:lineRule="auto"/>
    </w:pPr>
    <w:tblPr>
      <w:tblStyleRowBandSize w:val="1"/>
      <w:tblStyleColBandSize w:val="1"/>
      <w:tblCellMar>
        <w:left w:w="108" w:type="dxa"/>
        <w:right w:w="108" w:type="dxa"/>
      </w:tblCellMar>
    </w:tblPr>
  </w:style>
  <w:style w:type="table" w:customStyle="1" w:styleId="afd">
    <w:basedOn w:val="TableNormalf"/>
    <w:pPr>
      <w:spacing w:after="0" w:line="240" w:lineRule="auto"/>
    </w:pPr>
    <w:tblPr>
      <w:tblStyleRowBandSize w:val="1"/>
      <w:tblStyleColBandSize w:val="1"/>
      <w:tblCellMar>
        <w:left w:w="108" w:type="dxa"/>
        <w:right w:w="108" w:type="dxa"/>
      </w:tblCellMar>
    </w:tblPr>
  </w:style>
  <w:style w:type="table" w:customStyle="1" w:styleId="afe">
    <w:basedOn w:val="TableNormalf"/>
    <w:pPr>
      <w:spacing w:after="0" w:line="240" w:lineRule="auto"/>
    </w:pPr>
    <w:tblPr>
      <w:tblStyleRowBandSize w:val="1"/>
      <w:tblStyleColBandSize w:val="1"/>
      <w:tblCellMar>
        <w:left w:w="108" w:type="dxa"/>
        <w:right w:w="108" w:type="dxa"/>
      </w:tblCellMar>
    </w:tblPr>
  </w:style>
  <w:style w:type="table" w:customStyle="1" w:styleId="aff">
    <w:basedOn w:val="TableNormale"/>
    <w:pPr>
      <w:spacing w:after="0" w:line="240" w:lineRule="auto"/>
    </w:pPr>
    <w:tblPr>
      <w:tblStyleRowBandSize w:val="1"/>
      <w:tblStyleColBandSize w:val="1"/>
      <w:tblCellMar>
        <w:left w:w="108" w:type="dxa"/>
        <w:right w:w="108" w:type="dxa"/>
      </w:tblCellMar>
    </w:tblPr>
  </w:style>
  <w:style w:type="table" w:customStyle="1" w:styleId="aff0">
    <w:basedOn w:val="TableNormale"/>
    <w:pPr>
      <w:spacing w:after="0" w:line="240" w:lineRule="auto"/>
    </w:pPr>
    <w:tblPr>
      <w:tblStyleRowBandSize w:val="1"/>
      <w:tblStyleColBandSize w:val="1"/>
      <w:tblCellMar>
        <w:left w:w="108" w:type="dxa"/>
        <w:right w:w="108" w:type="dxa"/>
      </w:tblCellMar>
    </w:tblPr>
  </w:style>
  <w:style w:type="table" w:customStyle="1" w:styleId="aff1">
    <w:basedOn w:val="TableNormale"/>
    <w:pPr>
      <w:spacing w:after="0" w:line="240" w:lineRule="auto"/>
    </w:pPr>
    <w:tblPr>
      <w:tblStyleRowBandSize w:val="1"/>
      <w:tblStyleColBandSize w:val="1"/>
      <w:tblCellMar>
        <w:left w:w="108" w:type="dxa"/>
        <w:right w:w="108" w:type="dxa"/>
      </w:tblCellMar>
    </w:tblPr>
  </w:style>
  <w:style w:type="table" w:customStyle="1" w:styleId="aff2">
    <w:basedOn w:val="TableNormale"/>
    <w:pPr>
      <w:spacing w:after="0" w:line="240" w:lineRule="auto"/>
    </w:pPr>
    <w:tblPr>
      <w:tblStyleRowBandSize w:val="1"/>
      <w:tblStyleColBandSize w:val="1"/>
      <w:tblCellMar>
        <w:left w:w="108" w:type="dxa"/>
        <w:right w:w="108" w:type="dxa"/>
      </w:tblCellMar>
    </w:tblPr>
  </w:style>
  <w:style w:type="table" w:customStyle="1" w:styleId="aff3">
    <w:basedOn w:val="TableNormald"/>
    <w:pPr>
      <w:spacing w:after="0" w:line="240" w:lineRule="auto"/>
    </w:pPr>
    <w:tblPr>
      <w:tblStyleRowBandSize w:val="1"/>
      <w:tblStyleColBandSize w:val="1"/>
      <w:tblCellMar>
        <w:left w:w="108" w:type="dxa"/>
        <w:right w:w="108" w:type="dxa"/>
      </w:tblCellMar>
    </w:tblPr>
  </w:style>
  <w:style w:type="table" w:customStyle="1" w:styleId="aff4">
    <w:basedOn w:val="TableNormald"/>
    <w:pPr>
      <w:spacing w:after="0" w:line="240" w:lineRule="auto"/>
    </w:pPr>
    <w:tblPr>
      <w:tblStyleRowBandSize w:val="1"/>
      <w:tblStyleColBandSize w:val="1"/>
      <w:tblCellMar>
        <w:left w:w="108" w:type="dxa"/>
        <w:right w:w="108" w:type="dxa"/>
      </w:tblCellMar>
    </w:tblPr>
  </w:style>
  <w:style w:type="table" w:customStyle="1" w:styleId="aff5">
    <w:basedOn w:val="TableNormald"/>
    <w:pPr>
      <w:spacing w:after="0" w:line="240" w:lineRule="auto"/>
    </w:pPr>
    <w:tblPr>
      <w:tblStyleRowBandSize w:val="1"/>
      <w:tblStyleColBandSize w:val="1"/>
      <w:tblCellMar>
        <w:left w:w="108" w:type="dxa"/>
        <w:right w:w="108" w:type="dxa"/>
      </w:tblCellMar>
    </w:tblPr>
  </w:style>
  <w:style w:type="table" w:customStyle="1" w:styleId="aff6">
    <w:basedOn w:val="TableNormald"/>
    <w:pPr>
      <w:spacing w:after="0" w:line="240" w:lineRule="auto"/>
    </w:pPr>
    <w:tblPr>
      <w:tblStyleRowBandSize w:val="1"/>
      <w:tblStyleColBandSize w:val="1"/>
      <w:tblCellMar>
        <w:left w:w="108" w:type="dxa"/>
        <w:right w:w="108" w:type="dxa"/>
      </w:tblCellMar>
    </w:tblPr>
  </w:style>
  <w:style w:type="table" w:customStyle="1" w:styleId="aff7">
    <w:basedOn w:val="TableNormalc"/>
    <w:pPr>
      <w:spacing w:after="0" w:line="240" w:lineRule="auto"/>
    </w:pPr>
    <w:tblPr>
      <w:tblStyleRowBandSize w:val="1"/>
      <w:tblStyleColBandSize w:val="1"/>
      <w:tblCellMar>
        <w:left w:w="108" w:type="dxa"/>
        <w:right w:w="108" w:type="dxa"/>
      </w:tblCellMar>
    </w:tblPr>
  </w:style>
  <w:style w:type="table" w:customStyle="1" w:styleId="aff8">
    <w:basedOn w:val="TableNormalc"/>
    <w:pPr>
      <w:spacing w:after="0" w:line="240" w:lineRule="auto"/>
    </w:pPr>
    <w:tblPr>
      <w:tblStyleRowBandSize w:val="1"/>
      <w:tblStyleColBandSize w:val="1"/>
      <w:tblCellMar>
        <w:left w:w="108" w:type="dxa"/>
        <w:right w:w="108" w:type="dxa"/>
      </w:tblCellMar>
    </w:tblPr>
  </w:style>
  <w:style w:type="table" w:customStyle="1" w:styleId="aff9">
    <w:basedOn w:val="TableNormalc"/>
    <w:pPr>
      <w:spacing w:after="0" w:line="240" w:lineRule="auto"/>
    </w:pPr>
    <w:tblPr>
      <w:tblStyleRowBandSize w:val="1"/>
      <w:tblStyleColBandSize w:val="1"/>
      <w:tblCellMar>
        <w:left w:w="108" w:type="dxa"/>
        <w:right w:w="108" w:type="dxa"/>
      </w:tblCellMar>
    </w:tblPr>
  </w:style>
  <w:style w:type="table" w:customStyle="1" w:styleId="affa">
    <w:basedOn w:val="TableNormalc"/>
    <w:pPr>
      <w:spacing w:after="0" w:line="240" w:lineRule="auto"/>
    </w:pPr>
    <w:tblPr>
      <w:tblStyleRowBandSize w:val="1"/>
      <w:tblStyleColBandSize w:val="1"/>
      <w:tblCellMar>
        <w:left w:w="108" w:type="dxa"/>
        <w:right w:w="108" w:type="dxa"/>
      </w:tblCellMar>
    </w:tblPr>
  </w:style>
  <w:style w:type="table" w:customStyle="1" w:styleId="affb">
    <w:basedOn w:val="TableNormalc"/>
    <w:pPr>
      <w:spacing w:after="0" w:line="240" w:lineRule="auto"/>
    </w:pPr>
    <w:tblPr>
      <w:tblStyleRowBandSize w:val="1"/>
      <w:tblStyleColBandSize w:val="1"/>
      <w:tblCellMar>
        <w:left w:w="108" w:type="dxa"/>
        <w:right w:w="108" w:type="dxa"/>
      </w:tblCellMar>
    </w:tblPr>
  </w:style>
  <w:style w:type="table" w:customStyle="1" w:styleId="affc">
    <w:basedOn w:val="TableNormalc"/>
    <w:pPr>
      <w:spacing w:after="0" w:line="240" w:lineRule="auto"/>
    </w:pPr>
    <w:tblPr>
      <w:tblStyleRowBandSize w:val="1"/>
      <w:tblStyleColBandSize w:val="1"/>
      <w:tblCellMar>
        <w:left w:w="108" w:type="dxa"/>
        <w:right w:w="108" w:type="dxa"/>
      </w:tblCellMar>
    </w:tblPr>
  </w:style>
  <w:style w:type="table" w:customStyle="1" w:styleId="affd">
    <w:basedOn w:val="TableNormalc"/>
    <w:pPr>
      <w:spacing w:after="0" w:line="240" w:lineRule="auto"/>
    </w:pPr>
    <w:tblPr>
      <w:tblStyleRowBandSize w:val="1"/>
      <w:tblStyleColBandSize w:val="1"/>
      <w:tblCellMar>
        <w:left w:w="108" w:type="dxa"/>
        <w:right w:w="108" w:type="dxa"/>
      </w:tblCellMar>
    </w:tblPr>
  </w:style>
  <w:style w:type="table" w:customStyle="1" w:styleId="affe">
    <w:basedOn w:val="TableNormalc"/>
    <w:pPr>
      <w:spacing w:after="0" w:line="240" w:lineRule="auto"/>
    </w:pPr>
    <w:tblPr>
      <w:tblStyleRowBandSize w:val="1"/>
      <w:tblStyleColBandSize w:val="1"/>
      <w:tblCellMar>
        <w:left w:w="108" w:type="dxa"/>
        <w:right w:w="108" w:type="dxa"/>
      </w:tblCellMar>
    </w:tblPr>
  </w:style>
  <w:style w:type="table" w:customStyle="1" w:styleId="afff">
    <w:basedOn w:val="TableNormalc"/>
    <w:pPr>
      <w:spacing w:after="0" w:line="240" w:lineRule="auto"/>
    </w:pPr>
    <w:tblPr>
      <w:tblStyleRowBandSize w:val="1"/>
      <w:tblStyleColBandSize w:val="1"/>
      <w:tblCellMar>
        <w:left w:w="108" w:type="dxa"/>
        <w:right w:w="108" w:type="dxa"/>
      </w:tblCellMar>
    </w:tblPr>
  </w:style>
  <w:style w:type="table" w:customStyle="1" w:styleId="afff0">
    <w:basedOn w:val="TableNormalc"/>
    <w:pPr>
      <w:spacing w:after="0" w:line="240" w:lineRule="auto"/>
    </w:pPr>
    <w:tblPr>
      <w:tblStyleRowBandSize w:val="1"/>
      <w:tblStyleColBandSize w:val="1"/>
      <w:tblCellMar>
        <w:left w:w="108" w:type="dxa"/>
        <w:right w:w="108" w:type="dxa"/>
      </w:tblCellMar>
    </w:tblPr>
  </w:style>
  <w:style w:type="table" w:customStyle="1" w:styleId="afff1">
    <w:basedOn w:val="TableNormalc"/>
    <w:pPr>
      <w:spacing w:after="0" w:line="240" w:lineRule="auto"/>
    </w:pPr>
    <w:tblPr>
      <w:tblStyleRowBandSize w:val="1"/>
      <w:tblStyleColBandSize w:val="1"/>
      <w:tblCellMar>
        <w:left w:w="108" w:type="dxa"/>
        <w:right w:w="108" w:type="dxa"/>
      </w:tblCellMar>
    </w:tblPr>
  </w:style>
  <w:style w:type="table" w:customStyle="1" w:styleId="afff2">
    <w:basedOn w:val="TableNormalc"/>
    <w:pPr>
      <w:spacing w:after="0" w:line="240" w:lineRule="auto"/>
    </w:pPr>
    <w:tblPr>
      <w:tblStyleRowBandSize w:val="1"/>
      <w:tblStyleColBandSize w:val="1"/>
      <w:tblCellMar>
        <w:left w:w="108" w:type="dxa"/>
        <w:right w:w="108" w:type="dxa"/>
      </w:tblCellMar>
    </w:tblPr>
  </w:style>
  <w:style w:type="table" w:customStyle="1" w:styleId="afff3">
    <w:basedOn w:val="TableNormalc"/>
    <w:pPr>
      <w:spacing w:after="0" w:line="240" w:lineRule="auto"/>
    </w:pPr>
    <w:tblPr>
      <w:tblStyleRowBandSize w:val="1"/>
      <w:tblStyleColBandSize w:val="1"/>
      <w:tblCellMar>
        <w:left w:w="108" w:type="dxa"/>
        <w:right w:w="108" w:type="dxa"/>
      </w:tblCellMar>
    </w:tblPr>
  </w:style>
  <w:style w:type="table" w:customStyle="1" w:styleId="afff4">
    <w:basedOn w:val="TableNormalc"/>
    <w:pPr>
      <w:spacing w:after="0" w:line="240" w:lineRule="auto"/>
    </w:pPr>
    <w:tblPr>
      <w:tblStyleRowBandSize w:val="1"/>
      <w:tblStyleColBandSize w:val="1"/>
      <w:tblCellMar>
        <w:left w:w="108" w:type="dxa"/>
        <w:right w:w="108" w:type="dxa"/>
      </w:tblCellMar>
    </w:tblPr>
  </w:style>
  <w:style w:type="table" w:customStyle="1" w:styleId="afff5">
    <w:basedOn w:val="TableNormalc"/>
    <w:pPr>
      <w:spacing w:after="0" w:line="240" w:lineRule="auto"/>
    </w:pPr>
    <w:tblPr>
      <w:tblStyleRowBandSize w:val="1"/>
      <w:tblStyleColBandSize w:val="1"/>
      <w:tblCellMar>
        <w:left w:w="108" w:type="dxa"/>
        <w:right w:w="108" w:type="dxa"/>
      </w:tblCellMar>
    </w:tblPr>
  </w:style>
  <w:style w:type="table" w:customStyle="1" w:styleId="afff6">
    <w:basedOn w:val="TableNormalc"/>
    <w:pPr>
      <w:spacing w:after="0" w:line="240" w:lineRule="auto"/>
    </w:pPr>
    <w:tblPr>
      <w:tblStyleRowBandSize w:val="1"/>
      <w:tblStyleColBandSize w:val="1"/>
      <w:tblCellMar>
        <w:left w:w="108" w:type="dxa"/>
        <w:right w:w="108" w:type="dxa"/>
      </w:tblCellMar>
    </w:tblPr>
  </w:style>
  <w:style w:type="table" w:customStyle="1" w:styleId="afff7">
    <w:basedOn w:val="TableNormalc"/>
    <w:pPr>
      <w:spacing w:after="0" w:line="240" w:lineRule="auto"/>
    </w:pPr>
    <w:tblPr>
      <w:tblStyleRowBandSize w:val="1"/>
      <w:tblStyleColBandSize w:val="1"/>
      <w:tblCellMar>
        <w:left w:w="108" w:type="dxa"/>
        <w:right w:w="108" w:type="dxa"/>
      </w:tblCellMar>
    </w:tblPr>
  </w:style>
  <w:style w:type="table" w:customStyle="1" w:styleId="afff8">
    <w:basedOn w:val="TableNormalc"/>
    <w:pPr>
      <w:spacing w:after="0" w:line="240" w:lineRule="auto"/>
    </w:pPr>
    <w:tblPr>
      <w:tblStyleRowBandSize w:val="1"/>
      <w:tblStyleColBandSize w:val="1"/>
      <w:tblCellMar>
        <w:left w:w="108" w:type="dxa"/>
        <w:right w:w="108" w:type="dxa"/>
      </w:tblCellMar>
    </w:tblPr>
  </w:style>
  <w:style w:type="table" w:customStyle="1" w:styleId="afff9">
    <w:basedOn w:val="TableNormalc"/>
    <w:pPr>
      <w:spacing w:after="0" w:line="240" w:lineRule="auto"/>
    </w:pPr>
    <w:tblPr>
      <w:tblStyleRowBandSize w:val="1"/>
      <w:tblStyleColBandSize w:val="1"/>
      <w:tblCellMar>
        <w:left w:w="108" w:type="dxa"/>
        <w:right w:w="108" w:type="dxa"/>
      </w:tblCellMar>
    </w:tblPr>
  </w:style>
  <w:style w:type="table" w:customStyle="1" w:styleId="afffa">
    <w:basedOn w:val="TableNormalc"/>
    <w:pPr>
      <w:spacing w:after="0" w:line="240" w:lineRule="auto"/>
    </w:pPr>
    <w:tblPr>
      <w:tblStyleRowBandSize w:val="1"/>
      <w:tblStyleColBandSize w:val="1"/>
      <w:tblCellMar>
        <w:left w:w="108" w:type="dxa"/>
        <w:right w:w="108" w:type="dxa"/>
      </w:tblCellMar>
    </w:tblPr>
  </w:style>
  <w:style w:type="table" w:customStyle="1" w:styleId="afffb">
    <w:basedOn w:val="TableNormalc"/>
    <w:pPr>
      <w:spacing w:after="0" w:line="240" w:lineRule="auto"/>
    </w:pPr>
    <w:tblPr>
      <w:tblStyleRowBandSize w:val="1"/>
      <w:tblStyleColBandSize w:val="1"/>
      <w:tblCellMar>
        <w:left w:w="108" w:type="dxa"/>
        <w:right w:w="108" w:type="dxa"/>
      </w:tblCellMar>
    </w:tblPr>
  </w:style>
  <w:style w:type="table" w:customStyle="1" w:styleId="afffc">
    <w:basedOn w:val="TableNormalc"/>
    <w:pPr>
      <w:spacing w:after="0" w:line="240" w:lineRule="auto"/>
    </w:pPr>
    <w:tblPr>
      <w:tblStyleRowBandSize w:val="1"/>
      <w:tblStyleColBandSize w:val="1"/>
      <w:tblCellMar>
        <w:left w:w="108" w:type="dxa"/>
        <w:right w:w="108" w:type="dxa"/>
      </w:tblCellMar>
    </w:tblPr>
  </w:style>
  <w:style w:type="table" w:customStyle="1" w:styleId="afffd">
    <w:basedOn w:val="TableNormalb"/>
    <w:pPr>
      <w:spacing w:after="0" w:line="240" w:lineRule="auto"/>
    </w:pPr>
    <w:tblPr>
      <w:tblStyleRowBandSize w:val="1"/>
      <w:tblStyleColBandSize w:val="1"/>
      <w:tblCellMar>
        <w:left w:w="108" w:type="dxa"/>
        <w:right w:w="108" w:type="dxa"/>
      </w:tblCellMar>
    </w:tblPr>
  </w:style>
  <w:style w:type="table" w:customStyle="1" w:styleId="afffe">
    <w:basedOn w:val="TableNormalb"/>
    <w:pPr>
      <w:spacing w:after="0" w:line="240" w:lineRule="auto"/>
    </w:pPr>
    <w:tblPr>
      <w:tblStyleRowBandSize w:val="1"/>
      <w:tblStyleColBandSize w:val="1"/>
      <w:tblCellMar>
        <w:left w:w="108" w:type="dxa"/>
        <w:right w:w="108" w:type="dxa"/>
      </w:tblCellMar>
    </w:tblPr>
  </w:style>
  <w:style w:type="table" w:customStyle="1" w:styleId="affff">
    <w:basedOn w:val="TableNormalb"/>
    <w:pPr>
      <w:spacing w:after="0" w:line="240" w:lineRule="auto"/>
    </w:pPr>
    <w:tblPr>
      <w:tblStyleRowBandSize w:val="1"/>
      <w:tblStyleColBandSize w:val="1"/>
      <w:tblCellMar>
        <w:left w:w="108" w:type="dxa"/>
        <w:right w:w="108" w:type="dxa"/>
      </w:tblCellMar>
    </w:tblPr>
  </w:style>
  <w:style w:type="table" w:customStyle="1" w:styleId="affff0">
    <w:basedOn w:val="TableNormalb"/>
    <w:pPr>
      <w:spacing w:after="0" w:line="240" w:lineRule="auto"/>
    </w:pPr>
    <w:tblPr>
      <w:tblStyleRowBandSize w:val="1"/>
      <w:tblStyleColBandSize w:val="1"/>
      <w:tblCellMar>
        <w:left w:w="108" w:type="dxa"/>
        <w:right w:w="108" w:type="dxa"/>
      </w:tblCellMar>
    </w:tblPr>
  </w:style>
  <w:style w:type="table" w:customStyle="1" w:styleId="affff1">
    <w:basedOn w:val="TableNormalb"/>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a"/>
    <w:pPr>
      <w:spacing w:after="0" w:line="240" w:lineRule="auto"/>
    </w:pPr>
    <w:tblPr>
      <w:tblStyleRowBandSize w:val="1"/>
      <w:tblStyleColBandSize w:val="1"/>
      <w:tblCellMar>
        <w:left w:w="108" w:type="dxa"/>
        <w:right w:w="108" w:type="dxa"/>
      </w:tblCellMar>
    </w:tblPr>
  </w:style>
  <w:style w:type="table" w:customStyle="1" w:styleId="affff3">
    <w:basedOn w:val="TableNormala"/>
    <w:pPr>
      <w:spacing w:after="0" w:line="240" w:lineRule="auto"/>
    </w:pPr>
    <w:tblPr>
      <w:tblStyleRowBandSize w:val="1"/>
      <w:tblStyleColBandSize w:val="1"/>
      <w:tblCellMar>
        <w:left w:w="108" w:type="dxa"/>
        <w:right w:w="108" w:type="dxa"/>
      </w:tblCellMar>
    </w:tblPr>
  </w:style>
  <w:style w:type="table" w:customStyle="1" w:styleId="affff4">
    <w:basedOn w:val="TableNormala"/>
    <w:pPr>
      <w:spacing w:after="0" w:line="240" w:lineRule="auto"/>
    </w:pPr>
    <w:tblPr>
      <w:tblStyleRowBandSize w:val="1"/>
      <w:tblStyleColBandSize w:val="1"/>
      <w:tblCellMar>
        <w:left w:w="108" w:type="dxa"/>
        <w:right w:w="108" w:type="dxa"/>
      </w:tblCellMar>
    </w:tblPr>
  </w:style>
  <w:style w:type="table" w:customStyle="1" w:styleId="affff5">
    <w:basedOn w:val="TableNormala"/>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9"/>
    <w:pPr>
      <w:spacing w:after="0" w:line="240" w:lineRule="auto"/>
    </w:pPr>
    <w:tblPr>
      <w:tblStyleRowBandSize w:val="1"/>
      <w:tblStyleColBandSize w:val="1"/>
      <w:tblCellMar>
        <w:left w:w="108" w:type="dxa"/>
        <w:right w:w="108" w:type="dxa"/>
      </w:tblCellMar>
    </w:tblPr>
  </w:style>
  <w:style w:type="table" w:customStyle="1" w:styleId="affff7">
    <w:basedOn w:val="TableNormal9"/>
    <w:pPr>
      <w:spacing w:after="0" w:line="240" w:lineRule="auto"/>
    </w:pPr>
    <w:tblPr>
      <w:tblStyleRowBandSize w:val="1"/>
      <w:tblStyleColBandSize w:val="1"/>
      <w:tblCellMar>
        <w:left w:w="108" w:type="dxa"/>
        <w:right w:w="108" w:type="dxa"/>
      </w:tblCellMar>
    </w:tblPr>
  </w:style>
  <w:style w:type="table" w:customStyle="1" w:styleId="affff8">
    <w:basedOn w:val="TableNormal9"/>
    <w:pPr>
      <w:spacing w:after="0" w:line="240" w:lineRule="auto"/>
    </w:pPr>
    <w:tblPr>
      <w:tblStyleRowBandSize w:val="1"/>
      <w:tblStyleColBandSize w:val="1"/>
      <w:tblCellMar>
        <w:left w:w="108" w:type="dxa"/>
        <w:right w:w="108" w:type="dxa"/>
      </w:tblCellMar>
    </w:tblPr>
  </w:style>
  <w:style w:type="table" w:customStyle="1" w:styleId="affff9">
    <w:basedOn w:val="TableNormal9"/>
    <w:pPr>
      <w:spacing w:after="0" w:line="240" w:lineRule="auto"/>
    </w:pPr>
    <w:tblPr>
      <w:tblStyleRowBandSize w:val="1"/>
      <w:tblStyleColBandSize w:val="1"/>
      <w:tblCellMar>
        <w:left w:w="108" w:type="dxa"/>
        <w:right w:w="108" w:type="dxa"/>
      </w:tblCellMar>
    </w:tblPr>
  </w:style>
  <w:style w:type="table" w:customStyle="1" w:styleId="affffa">
    <w:basedOn w:val="TableNormal9"/>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8"/>
    <w:pPr>
      <w:spacing w:after="0" w:line="240" w:lineRule="auto"/>
    </w:pPr>
    <w:tblPr>
      <w:tblStyleRowBandSize w:val="1"/>
      <w:tblStyleColBandSize w:val="1"/>
      <w:tblCellMar>
        <w:left w:w="108" w:type="dxa"/>
        <w:right w:w="108" w:type="dxa"/>
      </w:tblCellMar>
    </w:tblPr>
  </w:style>
  <w:style w:type="table" w:customStyle="1" w:styleId="affffc">
    <w:basedOn w:val="TableNormal8"/>
    <w:pPr>
      <w:spacing w:after="0" w:line="240" w:lineRule="auto"/>
    </w:pPr>
    <w:tblPr>
      <w:tblStyleRowBandSize w:val="1"/>
      <w:tblStyleColBandSize w:val="1"/>
      <w:tblCellMar>
        <w:left w:w="108" w:type="dxa"/>
        <w:right w:w="108" w:type="dxa"/>
      </w:tblCellMar>
    </w:tblPr>
  </w:style>
  <w:style w:type="table" w:customStyle="1" w:styleId="affffd">
    <w:basedOn w:val="TableNormal8"/>
    <w:pPr>
      <w:spacing w:after="0" w:line="240" w:lineRule="auto"/>
    </w:pPr>
    <w:tblPr>
      <w:tblStyleRowBandSize w:val="1"/>
      <w:tblStyleColBandSize w:val="1"/>
      <w:tblCellMar>
        <w:left w:w="108" w:type="dxa"/>
        <w:right w:w="108" w:type="dxa"/>
      </w:tblCellMar>
    </w:tblPr>
  </w:style>
  <w:style w:type="table" w:customStyle="1" w:styleId="affffe">
    <w:basedOn w:val="TableNormal8"/>
    <w:pPr>
      <w:spacing w:after="0" w:line="240" w:lineRule="auto"/>
    </w:pPr>
    <w:tblPr>
      <w:tblStyleRowBandSize w:val="1"/>
      <w:tblStyleColBandSize w:val="1"/>
      <w:tblCellMar>
        <w:left w:w="108" w:type="dxa"/>
        <w:right w:w="108" w:type="dxa"/>
      </w:tblCellMar>
    </w:tblPr>
  </w:style>
  <w:style w:type="table" w:customStyle="1" w:styleId="afffff">
    <w:basedOn w:val="TableNormal7"/>
    <w:pPr>
      <w:spacing w:after="0" w:line="240" w:lineRule="auto"/>
    </w:pPr>
    <w:tblPr>
      <w:tblStyleRowBandSize w:val="1"/>
      <w:tblStyleColBandSize w:val="1"/>
      <w:tblCellMar>
        <w:left w:w="108" w:type="dxa"/>
        <w:right w:w="108" w:type="dxa"/>
      </w:tblCellMar>
    </w:tblPr>
  </w:style>
  <w:style w:type="table" w:customStyle="1" w:styleId="afffff0">
    <w:basedOn w:val="TableNormal7"/>
    <w:pPr>
      <w:spacing w:after="0" w:line="240" w:lineRule="auto"/>
    </w:pPr>
    <w:tblPr>
      <w:tblStyleRowBandSize w:val="1"/>
      <w:tblStyleColBandSize w:val="1"/>
      <w:tblCellMar>
        <w:left w:w="108" w:type="dxa"/>
        <w:right w:w="108" w:type="dxa"/>
      </w:tblCellMar>
    </w:tblPr>
  </w:style>
  <w:style w:type="table" w:customStyle="1" w:styleId="afffff1">
    <w:basedOn w:val="TableNormal7"/>
    <w:pPr>
      <w:spacing w:after="0" w:line="240" w:lineRule="auto"/>
    </w:pPr>
    <w:tblPr>
      <w:tblStyleRowBandSize w:val="1"/>
      <w:tblStyleColBandSize w:val="1"/>
      <w:tblCellMar>
        <w:left w:w="108" w:type="dxa"/>
        <w:right w:w="108" w:type="dxa"/>
      </w:tblCellMar>
    </w:tblPr>
  </w:style>
  <w:style w:type="table" w:customStyle="1" w:styleId="afffff2">
    <w:basedOn w:val="TableNormal7"/>
    <w:pPr>
      <w:spacing w:after="0" w:line="240" w:lineRule="auto"/>
    </w:pPr>
    <w:tblPr>
      <w:tblStyleRowBandSize w:val="1"/>
      <w:tblStyleColBandSize w:val="1"/>
      <w:tblCellMar>
        <w:left w:w="108" w:type="dxa"/>
        <w:right w:w="108" w:type="dxa"/>
      </w:tblCellMar>
    </w:tblPr>
  </w:style>
  <w:style w:type="table" w:customStyle="1" w:styleId="afffff3">
    <w:basedOn w:val="TableNormal7"/>
    <w:pPr>
      <w:spacing w:after="0" w:line="240" w:lineRule="auto"/>
    </w:pPr>
    <w:tblPr>
      <w:tblStyleRowBandSize w:val="1"/>
      <w:tblStyleColBandSize w:val="1"/>
      <w:tblCellMar>
        <w:left w:w="108" w:type="dxa"/>
        <w:right w:w="108" w:type="dxa"/>
      </w:tblCellMar>
    </w:tblPr>
  </w:style>
  <w:style w:type="table" w:customStyle="1" w:styleId="afffff4">
    <w:basedOn w:val="TableNormal6"/>
    <w:pPr>
      <w:spacing w:after="0" w:line="240" w:lineRule="auto"/>
    </w:pPr>
    <w:tblPr>
      <w:tblStyleRowBandSize w:val="1"/>
      <w:tblStyleColBandSize w:val="1"/>
      <w:tblCellMar>
        <w:left w:w="108" w:type="dxa"/>
        <w:right w:w="108" w:type="dxa"/>
      </w:tblCellMar>
    </w:tblPr>
  </w:style>
  <w:style w:type="table" w:customStyle="1" w:styleId="afffff5">
    <w:basedOn w:val="TableNormal6"/>
    <w:pPr>
      <w:spacing w:after="0" w:line="240" w:lineRule="auto"/>
    </w:pPr>
    <w:tblPr>
      <w:tblStyleRowBandSize w:val="1"/>
      <w:tblStyleColBandSize w:val="1"/>
      <w:tblCellMar>
        <w:left w:w="108" w:type="dxa"/>
        <w:right w:w="108" w:type="dxa"/>
      </w:tblCellMar>
    </w:tblPr>
  </w:style>
  <w:style w:type="table" w:customStyle="1" w:styleId="afffff6">
    <w:basedOn w:val="TableNormal6"/>
    <w:pPr>
      <w:spacing w:after="0" w:line="240" w:lineRule="auto"/>
    </w:pPr>
    <w:tblPr>
      <w:tblStyleRowBandSize w:val="1"/>
      <w:tblStyleColBandSize w:val="1"/>
      <w:tblCellMar>
        <w:left w:w="108" w:type="dxa"/>
        <w:right w:w="108" w:type="dxa"/>
      </w:tblCellMar>
    </w:tblPr>
  </w:style>
  <w:style w:type="table" w:customStyle="1" w:styleId="afffff7">
    <w:basedOn w:val="TableNormal6"/>
    <w:pPr>
      <w:spacing w:after="0" w:line="240" w:lineRule="auto"/>
    </w:pPr>
    <w:tblPr>
      <w:tblStyleRowBandSize w:val="1"/>
      <w:tblStyleColBandSize w:val="1"/>
      <w:tblCellMar>
        <w:left w:w="108" w:type="dxa"/>
        <w:right w:w="108" w:type="dxa"/>
      </w:tblCellMar>
    </w:tblPr>
  </w:style>
  <w:style w:type="table" w:customStyle="1" w:styleId="afffff8">
    <w:basedOn w:val="TableNormal5"/>
    <w:pPr>
      <w:spacing w:after="0" w:line="240" w:lineRule="auto"/>
    </w:pPr>
    <w:tblPr>
      <w:tblStyleRowBandSize w:val="1"/>
      <w:tblStyleColBandSize w:val="1"/>
      <w:tblCellMar>
        <w:left w:w="108" w:type="dxa"/>
        <w:right w:w="108" w:type="dxa"/>
      </w:tblCellMar>
    </w:tblPr>
  </w:style>
  <w:style w:type="table" w:customStyle="1" w:styleId="afffff9">
    <w:basedOn w:val="TableNormal5"/>
    <w:pPr>
      <w:spacing w:after="0" w:line="240" w:lineRule="auto"/>
    </w:pPr>
    <w:tblPr>
      <w:tblStyleRowBandSize w:val="1"/>
      <w:tblStyleColBandSize w:val="1"/>
      <w:tblCellMar>
        <w:left w:w="108" w:type="dxa"/>
        <w:right w:w="108" w:type="dxa"/>
      </w:tblCellMar>
    </w:tblPr>
  </w:style>
  <w:style w:type="table" w:customStyle="1" w:styleId="afffffa">
    <w:basedOn w:val="TableNormal5"/>
    <w:pPr>
      <w:spacing w:after="0" w:line="240" w:lineRule="auto"/>
    </w:pPr>
    <w:tblPr>
      <w:tblStyleRowBandSize w:val="1"/>
      <w:tblStyleColBandSize w:val="1"/>
      <w:tblCellMar>
        <w:left w:w="108" w:type="dxa"/>
        <w:right w:w="108" w:type="dxa"/>
      </w:tblCellMar>
    </w:tblPr>
  </w:style>
  <w:style w:type="table" w:customStyle="1" w:styleId="afffffb">
    <w:basedOn w:val="TableNormal5"/>
    <w:pPr>
      <w:spacing w:after="0" w:line="240" w:lineRule="auto"/>
    </w:pPr>
    <w:tblPr>
      <w:tblStyleRowBandSize w:val="1"/>
      <w:tblStyleColBandSize w:val="1"/>
      <w:tblCellMar>
        <w:left w:w="108" w:type="dxa"/>
        <w:right w:w="108" w:type="dxa"/>
      </w:tblCellMar>
    </w:tblPr>
  </w:style>
  <w:style w:type="table" w:customStyle="1" w:styleId="afffffc">
    <w:basedOn w:val="TableNormal5"/>
    <w:pPr>
      <w:spacing w:after="0" w:line="240" w:lineRule="auto"/>
    </w:pPr>
    <w:tblPr>
      <w:tblStyleRowBandSize w:val="1"/>
      <w:tblStyleColBandSize w:val="1"/>
      <w:tblCellMar>
        <w:left w:w="108" w:type="dxa"/>
        <w:right w:w="108" w:type="dxa"/>
      </w:tblCellMar>
    </w:tblPr>
  </w:style>
  <w:style w:type="table" w:customStyle="1" w:styleId="afffffd">
    <w:basedOn w:val="TableNormal5"/>
    <w:pPr>
      <w:spacing w:after="0" w:line="240" w:lineRule="auto"/>
    </w:pPr>
    <w:tblPr>
      <w:tblStyleRowBandSize w:val="1"/>
      <w:tblStyleColBandSize w:val="1"/>
      <w:tblCellMar>
        <w:left w:w="108" w:type="dxa"/>
        <w:right w:w="108" w:type="dxa"/>
      </w:tblCellMar>
    </w:tblPr>
  </w:style>
  <w:style w:type="table" w:customStyle="1" w:styleId="afffffe">
    <w:basedOn w:val="TableNormal4"/>
    <w:pPr>
      <w:spacing w:after="0" w:line="240" w:lineRule="auto"/>
    </w:pPr>
    <w:tblPr>
      <w:tblStyleRowBandSize w:val="1"/>
      <w:tblStyleColBandSize w:val="1"/>
      <w:tblCellMar>
        <w:left w:w="108" w:type="dxa"/>
        <w:right w:w="108" w:type="dxa"/>
      </w:tblCellMar>
    </w:tblPr>
  </w:style>
  <w:style w:type="table" w:customStyle="1" w:styleId="affffff">
    <w:basedOn w:val="TableNormal4"/>
    <w:pPr>
      <w:spacing w:after="0" w:line="240" w:lineRule="auto"/>
    </w:pPr>
    <w:tblPr>
      <w:tblStyleRowBandSize w:val="1"/>
      <w:tblStyleColBandSize w:val="1"/>
      <w:tblCellMar>
        <w:left w:w="108" w:type="dxa"/>
        <w:right w:w="108" w:type="dxa"/>
      </w:tblCellMar>
    </w:tblPr>
  </w:style>
  <w:style w:type="table" w:customStyle="1" w:styleId="affffff0">
    <w:basedOn w:val="TableNormal4"/>
    <w:pPr>
      <w:spacing w:after="0" w:line="240" w:lineRule="auto"/>
    </w:pPr>
    <w:tblPr>
      <w:tblStyleRowBandSize w:val="1"/>
      <w:tblStyleColBandSize w:val="1"/>
      <w:tblCellMar>
        <w:left w:w="108" w:type="dxa"/>
        <w:right w:w="108" w:type="dxa"/>
      </w:tblCellMar>
    </w:tblPr>
  </w:style>
  <w:style w:type="table" w:customStyle="1" w:styleId="affffff1">
    <w:basedOn w:val="TableNormal4"/>
    <w:pPr>
      <w:spacing w:after="0" w:line="240" w:lineRule="auto"/>
    </w:pPr>
    <w:tblPr>
      <w:tblStyleRowBandSize w:val="1"/>
      <w:tblStyleColBandSize w:val="1"/>
      <w:tblCellMar>
        <w:left w:w="108" w:type="dxa"/>
        <w:right w:w="108" w:type="dxa"/>
      </w:tblCellMar>
    </w:tblPr>
  </w:style>
  <w:style w:type="table" w:customStyle="1" w:styleId="affffff2">
    <w:basedOn w:val="TableNormal4"/>
    <w:pPr>
      <w:spacing w:after="0" w:line="240" w:lineRule="auto"/>
    </w:pPr>
    <w:tblPr>
      <w:tblStyleRowBandSize w:val="1"/>
      <w:tblStyleColBandSize w:val="1"/>
      <w:tblCellMar>
        <w:left w:w="108" w:type="dxa"/>
        <w:right w:w="108" w:type="dxa"/>
      </w:tblCellMar>
    </w:tblPr>
  </w:style>
  <w:style w:type="table" w:customStyle="1" w:styleId="affffff3">
    <w:basedOn w:val="TableNormal4"/>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00432B"/>
    <w:rPr>
      <w:color w:val="605E5C"/>
      <w:shd w:val="clear" w:color="auto" w:fill="E1DFDD"/>
    </w:rPr>
  </w:style>
  <w:style w:type="table" w:customStyle="1" w:styleId="affffff4">
    <w:basedOn w:val="TableNormal3"/>
    <w:pPr>
      <w:spacing w:after="0" w:line="240" w:lineRule="auto"/>
    </w:pPr>
    <w:tblPr>
      <w:tblStyleRowBandSize w:val="1"/>
      <w:tblStyleColBandSize w:val="1"/>
      <w:tblCellMar>
        <w:left w:w="108" w:type="dxa"/>
        <w:right w:w="108" w:type="dxa"/>
      </w:tblCellMar>
    </w:tblPr>
  </w:style>
  <w:style w:type="table" w:customStyle="1" w:styleId="affffff5">
    <w:basedOn w:val="TableNormal3"/>
    <w:pPr>
      <w:spacing w:after="0" w:line="240" w:lineRule="auto"/>
    </w:pPr>
    <w:tblPr>
      <w:tblStyleRowBandSize w:val="1"/>
      <w:tblStyleColBandSize w:val="1"/>
      <w:tblCellMar>
        <w:left w:w="108" w:type="dxa"/>
        <w:right w:w="108" w:type="dxa"/>
      </w:tblCellMar>
    </w:tblPr>
  </w:style>
  <w:style w:type="table" w:customStyle="1" w:styleId="affffff6">
    <w:basedOn w:val="TableNormal3"/>
    <w:pPr>
      <w:spacing w:after="0" w:line="240" w:lineRule="auto"/>
    </w:pPr>
    <w:tblPr>
      <w:tblStyleRowBandSize w:val="1"/>
      <w:tblStyleColBandSize w:val="1"/>
      <w:tblCellMar>
        <w:left w:w="108" w:type="dxa"/>
        <w:right w:w="108" w:type="dxa"/>
      </w:tblCellMar>
    </w:tblPr>
  </w:style>
  <w:style w:type="table" w:customStyle="1" w:styleId="affffff7">
    <w:basedOn w:val="TableNormal3"/>
    <w:pPr>
      <w:spacing w:after="0" w:line="240" w:lineRule="auto"/>
    </w:pPr>
    <w:tblPr>
      <w:tblStyleRowBandSize w:val="1"/>
      <w:tblStyleColBandSize w:val="1"/>
      <w:tblCellMar>
        <w:left w:w="108" w:type="dxa"/>
        <w:right w:w="108" w:type="dxa"/>
      </w:tblCellMar>
    </w:tblPr>
  </w:style>
  <w:style w:type="table" w:customStyle="1" w:styleId="affffff8">
    <w:basedOn w:val="TableNormal2"/>
    <w:pPr>
      <w:spacing w:after="0" w:line="240" w:lineRule="auto"/>
    </w:pPr>
    <w:tblPr>
      <w:tblStyleRowBandSize w:val="1"/>
      <w:tblStyleColBandSize w:val="1"/>
      <w:tblCellMar>
        <w:left w:w="108" w:type="dxa"/>
        <w:right w:w="108" w:type="dxa"/>
      </w:tblCellMar>
    </w:tblPr>
  </w:style>
  <w:style w:type="table" w:customStyle="1" w:styleId="affffff9">
    <w:basedOn w:val="TableNormal2"/>
    <w:pPr>
      <w:spacing w:after="0" w:line="240" w:lineRule="auto"/>
    </w:pPr>
    <w:tblPr>
      <w:tblStyleRowBandSize w:val="1"/>
      <w:tblStyleColBandSize w:val="1"/>
      <w:tblCellMar>
        <w:left w:w="108" w:type="dxa"/>
        <w:right w:w="108" w:type="dxa"/>
      </w:tblCellMar>
    </w:tblPr>
  </w:style>
  <w:style w:type="table" w:customStyle="1" w:styleId="affffffa">
    <w:basedOn w:val="TableNormal2"/>
    <w:pPr>
      <w:spacing w:after="0" w:line="240" w:lineRule="auto"/>
    </w:pPr>
    <w:tblPr>
      <w:tblStyleRowBandSize w:val="1"/>
      <w:tblStyleColBandSize w:val="1"/>
      <w:tblCellMar>
        <w:left w:w="108" w:type="dxa"/>
        <w:right w:w="108" w:type="dxa"/>
      </w:tblCellMar>
    </w:tblPr>
  </w:style>
  <w:style w:type="table" w:customStyle="1" w:styleId="affffffb">
    <w:basedOn w:val="TableNormal2"/>
    <w:pPr>
      <w:spacing w:after="0" w:line="240" w:lineRule="auto"/>
    </w:pPr>
    <w:tblPr>
      <w:tblStyleRowBandSize w:val="1"/>
      <w:tblStyleColBandSize w:val="1"/>
      <w:tblCellMar>
        <w:left w:w="108" w:type="dxa"/>
        <w:right w:w="108" w:type="dxa"/>
      </w:tblCellMar>
    </w:tblPr>
  </w:style>
  <w:style w:type="table" w:customStyle="1" w:styleId="affffffc">
    <w:basedOn w:val="TableNormal1"/>
    <w:pPr>
      <w:spacing w:after="0" w:line="240" w:lineRule="auto"/>
    </w:pPr>
    <w:tblPr>
      <w:tblStyleRowBandSize w:val="1"/>
      <w:tblStyleColBandSize w:val="1"/>
      <w:tblCellMar>
        <w:left w:w="108" w:type="dxa"/>
        <w:right w:w="108" w:type="dxa"/>
      </w:tblCellMar>
    </w:tblPr>
  </w:style>
  <w:style w:type="table" w:customStyle="1" w:styleId="affffffd">
    <w:basedOn w:val="TableNormal1"/>
    <w:pPr>
      <w:spacing w:after="0" w:line="240" w:lineRule="auto"/>
    </w:pPr>
    <w:tblPr>
      <w:tblStyleRowBandSize w:val="1"/>
      <w:tblStyleColBandSize w:val="1"/>
      <w:tblCellMar>
        <w:left w:w="108" w:type="dxa"/>
        <w:right w:w="108" w:type="dxa"/>
      </w:tblCellMar>
    </w:tblPr>
  </w:style>
  <w:style w:type="table" w:customStyle="1" w:styleId="affffffe">
    <w:basedOn w:val="TableNormal1"/>
    <w:pPr>
      <w:spacing w:after="0" w:line="240" w:lineRule="auto"/>
    </w:pPr>
    <w:tblPr>
      <w:tblStyleRowBandSize w:val="1"/>
      <w:tblStyleColBandSize w:val="1"/>
      <w:tblCellMar>
        <w:left w:w="108" w:type="dxa"/>
        <w:right w:w="108" w:type="dxa"/>
      </w:tblCellMar>
    </w:tblPr>
  </w:style>
  <w:style w:type="table" w:customStyle="1" w:styleId="afffffff">
    <w:basedOn w:val="TableNormal1"/>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fffff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3">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mqeexIJauh0KVjn5ewLi8eGdbQ==">CgMxLjAyDmgudWljcXAxdDRrMXMxMg5oLjlqNDJrZ2h0eng1bjIIaC5namRneHMyDmguZnM5c3BmZjRtY3MxMg5oLmhiZWRybnFweDF5bTIOaC50NzhpYW00Z2V4M2MyCWguMmV0OTJwMDINaC5qcHRhMmZhcHA4OTIOaC4yMWo5Z2hweHEwOTEyDWgudzdqOGVrd3owd3MyDmgucm8yOGN6MWt2a2s3Mg5oLnlocnd5cGlkajdnczIOaC5oeDdhZ2s2NmJxaHUyDWguMjVhNHZwMmtmdXoyDmgudndmeXZtazhncXF3Mg5oLmRrc2t2ZWZjaWQ3bzgAciExVU0tMG5vZUQ2QzdYNWJnXzRjNkpLMmhFaXNHRWVCQW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71CC9EE-48F3-403E-9F8B-B8F7AD61A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4036</Words>
  <Characters>22198</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26182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ROX</cp:lastModifiedBy>
  <cp:revision>5</cp:revision>
  <cp:lastPrinted>2026-01-23T16:48:00Z</cp:lastPrinted>
  <dcterms:created xsi:type="dcterms:W3CDTF">2026-01-23T16:47:00Z</dcterms:created>
  <dcterms:modified xsi:type="dcterms:W3CDTF">2026-03-13T20:51:00Z</dcterms:modified>
</cp:coreProperties>
</file>