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4C23CC" w14:textId="0795F0DF" w:rsidR="002F653A" w:rsidRPr="00247163" w:rsidRDefault="00CB53E8">
      <w:pPr>
        <w:spacing w:line="360" w:lineRule="auto"/>
        <w:ind w:right="-591"/>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color w:val="000000"/>
        </w:rPr>
        <w:t>Resolución del Pleno del Instituto de Transparencia, Acceso a la Información Pública y Pr</w:t>
      </w:r>
      <w:bookmarkStart w:id="0" w:name="_GoBack"/>
      <w:bookmarkEnd w:id="0"/>
      <w:r w:rsidRPr="00247163">
        <w:rPr>
          <w:rFonts w:ascii="Palatino Linotype" w:eastAsia="Palatino Linotype" w:hAnsi="Palatino Linotype" w:cs="Palatino Linotype"/>
          <w:color w:val="000000"/>
        </w:rPr>
        <w:t xml:space="preserve">otección de Datos Personales del Estado de México y Municipios, con domicilio en Metepec, Estado de México, </w:t>
      </w:r>
      <w:r w:rsidRPr="00247163">
        <w:rPr>
          <w:rFonts w:ascii="Palatino Linotype" w:eastAsia="Palatino Linotype" w:hAnsi="Palatino Linotype" w:cs="Palatino Linotype"/>
          <w:b/>
          <w:bCs/>
        </w:rPr>
        <w:t>de fecha</w:t>
      </w:r>
      <w:r w:rsidR="00284529" w:rsidRPr="00247163">
        <w:rPr>
          <w:rFonts w:ascii="Palatino Linotype" w:eastAsia="Palatino Linotype" w:hAnsi="Palatino Linotype" w:cs="Palatino Linotype"/>
          <w:b/>
          <w:bCs/>
          <w:color w:val="000000"/>
        </w:rPr>
        <w:t xml:space="preserve"> tres</w:t>
      </w:r>
      <w:r w:rsidR="000101BB" w:rsidRPr="00247163">
        <w:rPr>
          <w:rFonts w:ascii="Palatino Linotype" w:eastAsia="Palatino Linotype" w:hAnsi="Palatino Linotype" w:cs="Palatino Linotype"/>
          <w:b/>
          <w:bCs/>
          <w:color w:val="000000"/>
        </w:rPr>
        <w:t xml:space="preserve"> (03)</w:t>
      </w:r>
      <w:r w:rsidR="00284529" w:rsidRPr="00247163">
        <w:rPr>
          <w:rFonts w:ascii="Palatino Linotype" w:eastAsia="Palatino Linotype" w:hAnsi="Palatino Linotype" w:cs="Palatino Linotype"/>
          <w:b/>
          <w:bCs/>
          <w:color w:val="000000"/>
        </w:rPr>
        <w:t xml:space="preserve"> de junio</w:t>
      </w:r>
      <w:r w:rsidRPr="00247163">
        <w:rPr>
          <w:rFonts w:ascii="Palatino Linotype" w:eastAsia="Palatino Linotype" w:hAnsi="Palatino Linotype" w:cs="Palatino Linotype"/>
          <w:b/>
          <w:bCs/>
          <w:color w:val="000000"/>
        </w:rPr>
        <w:t xml:space="preserve"> de dos mil veintiséis.</w:t>
      </w:r>
    </w:p>
    <w:p w14:paraId="2B063648" w14:textId="77777777" w:rsidR="002F653A" w:rsidRPr="00247163" w:rsidRDefault="002F653A">
      <w:pPr>
        <w:spacing w:line="360" w:lineRule="auto"/>
        <w:ind w:right="-591"/>
        <w:jc w:val="both"/>
        <w:rPr>
          <w:rFonts w:ascii="Palatino Linotype" w:eastAsia="Palatino Linotype" w:hAnsi="Palatino Linotype" w:cs="Palatino Linotype"/>
          <w:color w:val="000000"/>
        </w:rPr>
      </w:pPr>
    </w:p>
    <w:p w14:paraId="285D3496" w14:textId="2B65E0AA" w:rsidR="002F653A" w:rsidRPr="00247163" w:rsidRDefault="00CB53E8">
      <w:pPr>
        <w:spacing w:line="360" w:lineRule="auto"/>
        <w:ind w:right="-591"/>
        <w:jc w:val="both"/>
        <w:rPr>
          <w:rFonts w:ascii="Palatino Linotype" w:eastAsia="Palatino Linotype" w:hAnsi="Palatino Linotype" w:cs="Palatino Linotype"/>
        </w:rPr>
      </w:pPr>
      <w:r w:rsidRPr="00247163">
        <w:rPr>
          <w:rFonts w:ascii="Palatino Linotype" w:eastAsia="Palatino Linotype" w:hAnsi="Palatino Linotype" w:cs="Palatino Linotype"/>
          <w:b/>
          <w:bCs/>
        </w:rPr>
        <w:t>VISTO</w:t>
      </w:r>
      <w:r w:rsidRPr="00247163">
        <w:rPr>
          <w:rFonts w:ascii="Palatino Linotype" w:eastAsia="Palatino Linotype" w:hAnsi="Palatino Linotype" w:cs="Palatino Linotype"/>
        </w:rPr>
        <w:t xml:space="preserve"> el expediente electrónico formado con motivo del Recurso de Revisión </w:t>
      </w:r>
      <w:r w:rsidRPr="00247163">
        <w:rPr>
          <w:rFonts w:ascii="Palatino Linotype" w:eastAsia="Palatino Linotype" w:hAnsi="Palatino Linotype" w:cs="Palatino Linotype"/>
          <w:b/>
          <w:bCs/>
        </w:rPr>
        <w:t xml:space="preserve">13283/INFOEM/IP/RR/2025, </w:t>
      </w:r>
      <w:r w:rsidRPr="00247163">
        <w:rPr>
          <w:rFonts w:ascii="Palatino Linotype" w:eastAsia="Palatino Linotype" w:hAnsi="Palatino Linotype" w:cs="Palatino Linotype"/>
        </w:rPr>
        <w:t xml:space="preserve">promovido por </w:t>
      </w:r>
      <w:r w:rsidR="00E54902">
        <w:rPr>
          <w:rFonts w:ascii="Palatino Linotype" w:eastAsia="Palatino Linotype" w:hAnsi="Palatino Linotype" w:cs="Palatino Linotype"/>
          <w:b/>
          <w:bCs/>
        </w:rPr>
        <w:t>XXXX</w:t>
      </w:r>
      <w:r w:rsidRPr="00247163">
        <w:rPr>
          <w:rFonts w:ascii="Palatino Linotype" w:eastAsia="Palatino Linotype" w:hAnsi="Palatino Linotype" w:cs="Palatino Linotype"/>
          <w:b/>
          <w:bCs/>
        </w:rPr>
        <w:t xml:space="preserve">, </w:t>
      </w:r>
      <w:r w:rsidRPr="00247163">
        <w:rPr>
          <w:rFonts w:ascii="Palatino Linotype" w:eastAsia="Palatino Linotype" w:hAnsi="Palatino Linotype" w:cs="Palatino Linotype"/>
        </w:rPr>
        <w:t xml:space="preserve">a quien en lo sucesivo se le denominará </w:t>
      </w:r>
      <w:r w:rsidRPr="00247163">
        <w:rPr>
          <w:rFonts w:ascii="Palatino Linotype" w:eastAsia="Palatino Linotype" w:hAnsi="Palatino Linotype" w:cs="Palatino Linotype"/>
          <w:b/>
          <w:bCs/>
        </w:rPr>
        <w:t>RECURRENTE</w:t>
      </w:r>
      <w:r w:rsidRPr="00247163">
        <w:rPr>
          <w:rFonts w:ascii="Palatino Linotype" w:eastAsia="Palatino Linotype" w:hAnsi="Palatino Linotype" w:cs="Palatino Linotype"/>
        </w:rPr>
        <w:t xml:space="preserve">, en contra de la respuesta del </w:t>
      </w:r>
      <w:r w:rsidRPr="00247163">
        <w:rPr>
          <w:rFonts w:ascii="Palatino Linotype" w:eastAsia="Palatino Linotype" w:hAnsi="Palatino Linotype" w:cs="Palatino Linotype"/>
          <w:b/>
          <w:bCs/>
        </w:rPr>
        <w:t>Sistema Municipal Para el Desarrollo Integral de la Familia de San Felipe del Progreso,</w:t>
      </w:r>
      <w:r w:rsidRPr="00247163">
        <w:rPr>
          <w:rFonts w:ascii="Palatino Linotype" w:eastAsia="Palatino Linotype" w:hAnsi="Palatino Linotype" w:cs="Palatino Linotype"/>
        </w:rPr>
        <w:t xml:space="preserve"> en adelante el</w:t>
      </w:r>
      <w:r w:rsidRPr="00247163">
        <w:rPr>
          <w:rFonts w:ascii="Palatino Linotype" w:eastAsia="Palatino Linotype" w:hAnsi="Palatino Linotype" w:cs="Palatino Linotype"/>
          <w:b/>
          <w:bCs/>
        </w:rPr>
        <w:t xml:space="preserve"> SUJETO OBLIGADO</w:t>
      </w:r>
      <w:r w:rsidRPr="00247163">
        <w:rPr>
          <w:rFonts w:ascii="Palatino Linotype" w:eastAsia="Palatino Linotype" w:hAnsi="Palatino Linotype" w:cs="Palatino Linotype"/>
        </w:rPr>
        <w:t xml:space="preserve">, por lo que se procede a dictar la presente resolución, con base en los siguientes: </w:t>
      </w:r>
    </w:p>
    <w:p w14:paraId="1AB71C76" w14:textId="77777777" w:rsidR="002F653A" w:rsidRPr="00247163" w:rsidRDefault="002F653A">
      <w:pPr>
        <w:spacing w:line="360" w:lineRule="auto"/>
        <w:ind w:right="-591"/>
        <w:jc w:val="both"/>
        <w:rPr>
          <w:rFonts w:ascii="Palatino Linotype" w:eastAsia="Palatino Linotype" w:hAnsi="Palatino Linotype" w:cs="Palatino Linotype"/>
          <w:b/>
          <w:bCs/>
        </w:rPr>
      </w:pPr>
    </w:p>
    <w:p w14:paraId="7DCB96A8" w14:textId="77777777" w:rsidR="002F653A" w:rsidRPr="00247163" w:rsidRDefault="00CB53E8">
      <w:pPr>
        <w:keepNext/>
        <w:keepLines/>
        <w:spacing w:line="360" w:lineRule="auto"/>
        <w:ind w:right="-591"/>
        <w:jc w:val="center"/>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A N T E C E D E N T E S</w:t>
      </w:r>
    </w:p>
    <w:p w14:paraId="065FA94A" w14:textId="77777777" w:rsidR="002F653A" w:rsidRPr="00247163" w:rsidRDefault="002F653A">
      <w:pPr>
        <w:spacing w:line="360" w:lineRule="auto"/>
        <w:ind w:right="-591"/>
        <w:jc w:val="both"/>
        <w:rPr>
          <w:rFonts w:ascii="Palatino Linotype" w:eastAsia="Palatino Linotype" w:hAnsi="Palatino Linotype" w:cs="Palatino Linotype"/>
          <w:color w:val="000000"/>
        </w:rPr>
      </w:pPr>
    </w:p>
    <w:p w14:paraId="1EEE31E9" w14:textId="77777777" w:rsidR="002F653A" w:rsidRPr="00247163" w:rsidRDefault="00CB53E8">
      <w:pPr>
        <w:numPr>
          <w:ilvl w:val="0"/>
          <w:numId w:val="1"/>
        </w:numPr>
        <w:spacing w:line="360" w:lineRule="auto"/>
        <w:ind w:left="0" w:right="-59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En fecha  trece de noviembre de dos mil veinticinco se presentó ante el </w:t>
      </w:r>
      <w:r w:rsidRPr="00247163">
        <w:rPr>
          <w:rFonts w:ascii="Palatino Linotype" w:eastAsia="Palatino Linotype" w:hAnsi="Palatino Linotype" w:cs="Palatino Linotype"/>
          <w:b/>
          <w:bCs/>
        </w:rPr>
        <w:t xml:space="preserve">SUJETO OBLIGADO </w:t>
      </w:r>
      <w:r w:rsidRPr="00247163">
        <w:rPr>
          <w:rFonts w:ascii="Palatino Linotype" w:eastAsia="Palatino Linotype" w:hAnsi="Palatino Linotype" w:cs="Palatino Linotype"/>
        </w:rPr>
        <w:t xml:space="preserve">vía Sistema de Acceso a la Información; </w:t>
      </w:r>
      <w:r w:rsidRPr="00247163">
        <w:rPr>
          <w:rFonts w:ascii="Palatino Linotype" w:eastAsia="Palatino Linotype" w:hAnsi="Palatino Linotype" w:cs="Palatino Linotype"/>
          <w:color w:val="000000"/>
        </w:rPr>
        <w:t xml:space="preserve">(SAIMEX), la solicitud de información pública, con el número de </w:t>
      </w:r>
      <w:r w:rsidRPr="00247163">
        <w:rPr>
          <w:rFonts w:ascii="Palatino Linotype" w:eastAsia="Palatino Linotype" w:hAnsi="Palatino Linotype" w:cs="Palatino Linotype"/>
        </w:rPr>
        <w:t>expediente</w:t>
      </w:r>
      <w:r w:rsidRPr="00247163">
        <w:rPr>
          <w:rFonts w:ascii="Palatino Linotype" w:eastAsia="Palatino Linotype" w:hAnsi="Palatino Linotype" w:cs="Palatino Linotype"/>
          <w:b/>
          <w:bCs/>
        </w:rPr>
        <w:t xml:space="preserve"> 00011/DIFFELIPRO/IP/2025</w:t>
      </w:r>
      <w:r w:rsidRPr="00247163">
        <w:rPr>
          <w:rFonts w:ascii="Palatino Linotype" w:eastAsia="Palatino Linotype" w:hAnsi="Palatino Linotype" w:cs="Palatino Linotype"/>
        </w:rPr>
        <w:t>, en la que se solicitó lo siguiente:</w:t>
      </w:r>
    </w:p>
    <w:p w14:paraId="32FD69B3" w14:textId="77777777" w:rsidR="002F653A" w:rsidRPr="00247163" w:rsidRDefault="002F653A">
      <w:pPr>
        <w:ind w:right="-591"/>
        <w:jc w:val="both"/>
        <w:rPr>
          <w:rFonts w:ascii="Palatino Linotype" w:eastAsia="Palatino Linotype" w:hAnsi="Palatino Linotype" w:cs="Palatino Linotype"/>
        </w:rPr>
      </w:pPr>
    </w:p>
    <w:p w14:paraId="3ECCB864"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“Ing. Brayan Antonio Sarmiento Alanis Titular de la Unidad de Transparencia DIF Municipal de San Felipe del Progreso Asunto: Seguimiento de la solicitud 717827 y observacion sobre el manejo del estatus en PNT. Por este medio me permito manifestar una situacion irregular detectada en la solicitud de informacion 717827, presentada a traves de la Plataforma Nacional de Transparencia (PNT). Dicha solicitud fue respondida mediante el archivo denominado "Quinta Sesion Extraordinaria.pdf", documento en el que se aprueba una prorroga para la atencion de la solicitud. Sin embargo, en el sistema de la PNT la respuesta fue registrada con el estatus de "Entrega de informacion" y no como "Solicitud de prorroga", lo que </w:t>
      </w:r>
      <w:r w:rsidRPr="00247163">
        <w:rPr>
          <w:rFonts w:ascii="Palatino Linotype" w:eastAsia="Palatino Linotype" w:hAnsi="Palatino Linotype" w:cs="Palatino Linotype"/>
          <w:i/>
          <w:iCs/>
          <w:color w:val="000000"/>
        </w:rPr>
        <w:lastRenderedPageBreak/>
        <w:t xml:space="preserve">genera una inconsistencia tecnica y deja constancia erronea de cumplimiento. Desconocemos la razon de ello, pero entendemos que este error no puede ser modificado directamente por nosotros o por la Unidad de Transparencia, y reconocemos que la plataforma presenta deficiencias y fallas frecuentes que dificultan la gestion adecuada de solicitudes y quejas. Es importante precisar que, conforme al Articulo 149 de la Ley de Transparencia del Estado de Mexico, la prorroga solo puede solicitarse por una ocasion, hasta por cinco dias habiles, y debe notificarse al solicitante dentro de los primeros cinco dias habiles posteriores a la presentacion de la solicitud. Señalamos respetuosamente que dicho plazo fue omitido. No obstante lo anterior, en un ejercicio de buena fe y colaboracion institucional, solicitamos que el seguimiento continue moral y operativamente a traves de esta nueva solicitud de informacion, garantizando la transparencia y trazabilidad del proceso. Reconocemos la existencia del acuerdo del Comite de Transparencia y aceptamos esperar el tiempo que se ha determinado, solicitando unicamente que la comunicacion y la entrega final se realicen mediante SAIMEX, donde el procedimiento puede gestionarse con mayor claridad. Aprovechamos este medio para reiterar y ampliar la peticion, solicitando adicionalmente: Version publica del curriculum vitae del Titular de la Unidad de Transparencia. Recibos de nomina del Titular de la Unidad de Transparencia, en version publica, del 1 de enero de 2025 a la fecha de esta solicitud. Certificado de competencia laboral en los estandares aplicables en materia de transparencia. Sin mas por el momento, y con respeto institucional, se solicita dar seguimiento responsable, continuo y documentado por SAIMEX, conforme a los principios de maxima publicidad y rendicion de cuentas. En caso contrario, y ante una negativa por parte del area que usted dignamente dirige, dejamos nuevamente la solicitud de informacion integra para su contestacion. Atentamente T. I. M. Con fundamento en los artículos 6° de la Constitución Política de los Estados Unidos Mexicanos; 3, 4, 5, 7, 8, 113, 115 y 116 de la Ley de Transparencia y Acceso a la Información Pública del Estado de México y Municipios, solicito de manera respetuosa se me proporcione la siguiente información relacionada con la URIS o UBRIS de su municipio: 1. Organigrama vigente de la unidad, que incluya la relación jerárquica y funcional del personal adscrito, señalando de forma expresa el nombre completo de los servidores públicos que lo integran, el puesto que ocupan, el área de adscripción y, en su caso, el nivel o categoría correspondiente. 2. </w:t>
      </w:r>
      <w:r w:rsidRPr="00247163">
        <w:rPr>
          <w:rFonts w:ascii="Palatino Linotype" w:eastAsia="Palatino Linotype" w:hAnsi="Palatino Linotype" w:cs="Palatino Linotype"/>
          <w:i/>
          <w:iCs/>
          <w:color w:val="000000"/>
        </w:rPr>
        <w:lastRenderedPageBreak/>
        <w:t xml:space="preserve">Reglamentos, manuales de organización y operación que rijan su funcionamiento. 3. Normatividad aplicable a la operación de la unidad. 4. Relación de personal adscrito, indicando nombre, puesto, tipo de contratación, funciones generales y percepciones brutas y netas, correspondientes al periodo del 1 de enero de 2024 a la fecha de la presente solicitud. 5. Versión pública del currículum vitae del personal adscrito, correspondiente al periodo del 1 de enero de 2024 a la fecha de la presente solicitud. 6. Relación de cursos, capacitaciones o certificaciones recibidas por el personal adscrito a la unidad desde el 1 de enero de 2024 a la fecha, especificando tema, institución capacitadora, fechas y duración. 7. Toda la información financiera destinada a la operación de la unidad, correspondiente a los ejercicios 2024 y 2025 hasta la fecha de la presente solicitud, incluyendo de manera expresa y desglosada: a) Presupuesto anual autorizado y ejercido, desglosado por capítulo de gasto. b) Informes de avance en el ejercicio presupuestal. c) Contratos y comprobantes de pago a proveedores y prestadores de servicios de la unidad, correspondientes al periodo del 1 de enero de 2024 a la fecha de la presente solicitud. d) Gastos operativos y administrativos (entre ellos: materiales, servicios, viáticos, mantenimiento, etc.). e) Relación de unidades vehiculares adscritas a la unidad o en servicio para esta. f) Gastos realizados por concepto de combustible, incluyendo: – Comprobantes fiscales (facturas o CFDI) de adquisición de combustible, correspondientes al periodo del 1 de enero de 2024 a la fecha de la presente solicitud. – Bitácoras de control de consumo de combustible que contengan fecha, unidad vehicular, cantidad abastecida, kilometraje registrado y persona responsable. – Bitácoras de uso, seguimiento y asignación de las unidades vehiculares, especificando fechas, trayectos o rutas, fines del traslado y personal autorizado. g) Inversiones en infraestructura o adquisición de equipo especializado. h) Apoyos o subsidios entregados a beneficiarios, especificando monto, concepto, fecha, criterios de asignación y comprobantes de entrega. i) Ingresos propios generados, con su desglose mensual. j) Versiones públicas de facturas o CFDI emitidos o recibidos vinculados a la operación de la unidad. k) Versiones públicas de los recibos de nómina y comprobantes de dispersión correspondientes al personal de la unidad, del 1 de enero de 2024 a la fecha de la presente solicitud, incluyendo de forma expresa: – Recibos individuales por cada periodo de pago. – Comprobantes de transferencia bancaria (como estados de cuenta, reportes de dispersión u otros documentos generados por la institución bancaria o el </w:t>
      </w:r>
      <w:r w:rsidRPr="00247163">
        <w:rPr>
          <w:rFonts w:ascii="Palatino Linotype" w:eastAsia="Palatino Linotype" w:hAnsi="Palatino Linotype" w:cs="Palatino Linotype"/>
          <w:i/>
          <w:iCs/>
          <w:color w:val="000000"/>
        </w:rPr>
        <w:lastRenderedPageBreak/>
        <w:t xml:space="preserve">área financiera) cuando el pago se haya realizado vía electrónica. – En caso de pagos en efectivo, cheques u otra modalidad no electrónica, los documentos que respalden dicha entrega (relaciones firmadas, recibos físicos, actas de entrega, etc.). l) Inventario de bienes muebles e inmuebles asignados a la unidad, incluyendo mobiliario, equipo médico, insumos y tecnología, especificando su ubicación, estado físico y persona responsable. 8. Versiones públicas de los recibos individuales y comprobantes de ingresos generados por consultas, terapias y cualquier otro servicio prestado por la unidad, correspondientes al periodo del 1 de enero de 2024 a la fecha de la presente solicitud. 9. Versiones públicas de los recibos y/o comprobantes de condonaciones realizadas por concepto de consultas, terapias u otros servicios, correspondientes al periodo del 1 de enero de 2024 a la fecha de la presente solicitud. 10. Versiones públicas de bitácoras y expedientes de atención médica o terapéutica, incluyendo número de pacientes atendidos y tipo de servicio, correspondientes al periodo del 1 de enero de 2024 a la fecha de la presente solicitud. 11. Versiones públicas del padrón de beneficiarios atendidos por la unidad, correspondientes al periodo del 1 de enero de 2024 a la fecha de la presente solicitud. 12. Indicadores de desempeño, metas programadas y avances alcanzados por la unidad en los ejercicios 2022, 2023, 2024 y lo que va de 2025, así como informes o evaluaciones internas que documenten resultados de atención o impacto social. 13. Versiones públicas de todos los documentos de entrega-recepción de la unidad, correspondientes a los ejercicios administrativos 2019–2021 y 2022–2024. 14. Versiones públicas de los documentos derivados de auditorías, visitas de supervisión, inspecciones o revisiones internas o externas realizadas a la unidad desde el año 2022 a la fecha, incluyendo observaciones, recomendaciones, acciones correctivas, y cualquier otro documento vinculado al seguimiento o cumplimiento de dichas observaciones o recomendaciones. Es importante precisar que la información solicitada forma parte de sus obligaciones de transparencia, por lo que no existe motivo legal que justifique su clasificación como reservada. Si bien parte de dicha información contiene datos personales o confidenciales, ello no impide su entrega en versión pública, conforme a lo establecido en los artículos 129 al 132 de la Ley de Transparencia estatal y los Lineamientos Generales en materia de clasificación y desclasificación de información. Se realiza esta solicitud con el interés de conocer cómo se administran y aplican los recursos públicos destinados a la atención de </w:t>
      </w:r>
      <w:r w:rsidRPr="00247163">
        <w:rPr>
          <w:rFonts w:ascii="Palatino Linotype" w:eastAsia="Palatino Linotype" w:hAnsi="Palatino Linotype" w:cs="Palatino Linotype"/>
          <w:i/>
          <w:iCs/>
          <w:color w:val="000000"/>
        </w:rPr>
        <w:lastRenderedPageBreak/>
        <w:t xml:space="preserve">personas con discapacidad, conforme a lo establecido en la Ley para la Inclusión de las Personas con Discapacidad del Estado de México. Esta acción forma parte de un ejercicio ciudadano internacional de observación y monitoreo que busca promover la transparencia, la rendición de cuentas y el cumplimiento efectivo de las obligaciones institucionales en beneficio de este sector de la población en situación de vulnerabilidad. Muchas gracias.” (Sic) </w:t>
      </w:r>
    </w:p>
    <w:p w14:paraId="4ECAAF4A" w14:textId="77777777" w:rsidR="002F653A" w:rsidRPr="00247163" w:rsidRDefault="002F653A">
      <w:pPr>
        <w:pBdr>
          <w:top w:val="nil"/>
          <w:left w:val="nil"/>
          <w:bottom w:val="nil"/>
          <w:right w:val="nil"/>
          <w:between w:val="nil"/>
        </w:pBdr>
        <w:spacing w:line="360" w:lineRule="auto"/>
        <w:ind w:left="567" w:right="-591"/>
        <w:jc w:val="both"/>
        <w:rPr>
          <w:rFonts w:ascii="Palatino Linotype" w:eastAsia="Palatino Linotype" w:hAnsi="Palatino Linotype" w:cs="Palatino Linotype"/>
          <w:color w:val="000000"/>
        </w:rPr>
      </w:pPr>
    </w:p>
    <w:p w14:paraId="50B3975A" w14:textId="77777777" w:rsidR="002F653A" w:rsidRPr="00247163" w:rsidRDefault="00CB53E8">
      <w:pPr>
        <w:numPr>
          <w:ilvl w:val="0"/>
          <w:numId w:val="2"/>
        </w:num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rPr>
        <w:t>Modalidad de entrega de la información</w:t>
      </w:r>
      <w:r w:rsidRPr="00247163">
        <w:rPr>
          <w:rFonts w:ascii="Palatino Linotype" w:eastAsia="Palatino Linotype" w:hAnsi="Palatino Linotype" w:cs="Palatino Linotype"/>
          <w:color w:val="000000"/>
        </w:rPr>
        <w:t xml:space="preserve">: a través del </w:t>
      </w:r>
      <w:r w:rsidRPr="00247163">
        <w:rPr>
          <w:rFonts w:ascii="Palatino Linotype" w:eastAsia="Palatino Linotype" w:hAnsi="Palatino Linotype" w:cs="Palatino Linotype"/>
          <w:b/>
          <w:bCs/>
          <w:color w:val="000000"/>
        </w:rPr>
        <w:t>SAIMEX.</w:t>
      </w:r>
    </w:p>
    <w:p w14:paraId="14C24000"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b/>
          <w:bCs/>
        </w:rPr>
      </w:pPr>
    </w:p>
    <w:p w14:paraId="7B1DED7A" w14:textId="77777777" w:rsidR="002F653A" w:rsidRPr="00247163" w:rsidRDefault="00CB53E8">
      <w:pPr>
        <w:numPr>
          <w:ilvl w:val="0"/>
          <w:numId w:val="1"/>
        </w:numPr>
        <w:spacing w:line="360" w:lineRule="auto"/>
        <w:ind w:left="0" w:right="-59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veinticinco de noviembre de dos mil veinticinco, 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b/>
          <w:bCs/>
          <w:i/>
          <w:iCs/>
        </w:rPr>
        <w:t xml:space="preserve"> </w:t>
      </w:r>
      <w:r w:rsidRPr="00247163">
        <w:rPr>
          <w:rFonts w:ascii="Palatino Linotype" w:eastAsia="Palatino Linotype" w:hAnsi="Palatino Linotype" w:cs="Palatino Linotype"/>
        </w:rPr>
        <w:t>dio respuesta a la solicitud de información, adjuntando un archivo electrónico,  que en cuestión de este recurso  refieren lo siguiente:</w:t>
      </w:r>
    </w:p>
    <w:p w14:paraId="462C6B57" w14:textId="77777777" w:rsidR="002F653A" w:rsidRPr="00247163" w:rsidRDefault="00CB53E8">
      <w:pPr>
        <w:numPr>
          <w:ilvl w:val="0"/>
          <w:numId w:val="2"/>
        </w:numPr>
        <w:pBdr>
          <w:top w:val="nil"/>
          <w:left w:val="nil"/>
          <w:bottom w:val="nil"/>
          <w:right w:val="nil"/>
          <w:between w:val="nil"/>
        </w:pBdr>
        <w:ind w:left="1134" w:right="822"/>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 xml:space="preserve">SMDIF-UT-121-2025.pdf </w:t>
      </w:r>
      <w:r w:rsidRPr="00247163">
        <w:rPr>
          <w:rFonts w:ascii="Palatino Linotype" w:eastAsia="Palatino Linotype" w:hAnsi="Palatino Linotype" w:cs="Palatino Linotype"/>
          <w:i/>
          <w:iCs/>
          <w:color w:val="000000"/>
        </w:rPr>
        <w:t>Donde titular de la Unidad de Transparencia refiere haber digitalizado las documentales requeridas integrando un expediente digital con un peso total de 679 Mb señalando que SAIMEX no cuenta con la capacidad para la entrega por dicho medio por lo que entrega un link en formato cerrado para la consulta en google drive.</w:t>
      </w:r>
    </w:p>
    <w:p w14:paraId="311EB290" w14:textId="77777777" w:rsidR="002F653A" w:rsidRPr="00247163" w:rsidRDefault="002F653A">
      <w:pPr>
        <w:pBdr>
          <w:top w:val="nil"/>
          <w:left w:val="nil"/>
          <w:bottom w:val="nil"/>
          <w:right w:val="nil"/>
          <w:between w:val="nil"/>
        </w:pBdr>
        <w:ind w:left="774" w:right="822"/>
        <w:jc w:val="both"/>
        <w:rPr>
          <w:rFonts w:ascii="Palatino Linotype" w:eastAsia="Palatino Linotype" w:hAnsi="Palatino Linotype" w:cs="Palatino Linotype"/>
          <w:b/>
          <w:bCs/>
          <w:color w:val="000000"/>
        </w:rPr>
      </w:pPr>
    </w:p>
    <w:p w14:paraId="01B4FC82" w14:textId="77777777" w:rsidR="002F653A" w:rsidRPr="00247163" w:rsidRDefault="00CB53E8">
      <w:pPr>
        <w:numPr>
          <w:ilvl w:val="0"/>
          <w:numId w:val="1"/>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Inconforme con la respuesta emitida por el Sujeto Obligado, el Recurrente interpuso el presente recurso de revisión el </w:t>
      </w:r>
      <w:r w:rsidRPr="00247163">
        <w:rPr>
          <w:rFonts w:ascii="Palatino Linotype" w:eastAsia="Palatino Linotype" w:hAnsi="Palatino Linotype" w:cs="Palatino Linotype"/>
          <w:b/>
          <w:bCs/>
          <w:color w:val="000000"/>
        </w:rPr>
        <w:t>día veintiséis de noviembre de dos mil veinticinco</w:t>
      </w:r>
      <w:r w:rsidRPr="00247163">
        <w:rPr>
          <w:rFonts w:ascii="Palatino Linotype" w:eastAsia="Palatino Linotype" w:hAnsi="Palatino Linotype" w:cs="Palatino Linotype"/>
          <w:color w:val="000000"/>
        </w:rPr>
        <w:t xml:space="preserve">, con el expediente número </w:t>
      </w:r>
      <w:r w:rsidRPr="00247163">
        <w:rPr>
          <w:rFonts w:ascii="Palatino Linotype" w:eastAsia="Palatino Linotype" w:hAnsi="Palatino Linotype" w:cs="Palatino Linotype"/>
          <w:b/>
          <w:bCs/>
          <w:color w:val="000000"/>
        </w:rPr>
        <w:t>13283/INFOEM/IP/RR/2025</w:t>
      </w:r>
      <w:r w:rsidRPr="00247163">
        <w:rPr>
          <w:rFonts w:ascii="Palatino Linotype" w:eastAsia="Palatino Linotype" w:hAnsi="Palatino Linotype" w:cs="Palatino Linotype"/>
          <w:color w:val="000000"/>
        </w:rPr>
        <w:t>, manifestando lo siguiente:</w:t>
      </w:r>
    </w:p>
    <w:p w14:paraId="1747B190" w14:textId="77777777" w:rsidR="002F653A" w:rsidRPr="00247163" w:rsidRDefault="002F653A">
      <w:pPr>
        <w:spacing w:line="360" w:lineRule="auto"/>
        <w:ind w:right="-591"/>
        <w:jc w:val="both"/>
        <w:rPr>
          <w:rFonts w:ascii="Palatino Linotype" w:eastAsia="Palatino Linotype" w:hAnsi="Palatino Linotype" w:cs="Palatino Linotype"/>
          <w:color w:val="000000"/>
        </w:rPr>
      </w:pPr>
    </w:p>
    <w:p w14:paraId="3473ACD8" w14:textId="77777777" w:rsidR="002F653A" w:rsidRPr="00247163" w:rsidRDefault="00CB53E8">
      <w:pPr>
        <w:numPr>
          <w:ilvl w:val="0"/>
          <w:numId w:val="6"/>
        </w:numPr>
        <w:ind w:left="1134" w:right="822"/>
        <w:jc w:val="both"/>
        <w:rPr>
          <w:rFonts w:ascii="Palatino Linotype" w:eastAsia="Palatino Linotype" w:hAnsi="Palatino Linotype" w:cs="Palatino Linotype"/>
          <w:b/>
          <w:bCs/>
        </w:rPr>
      </w:pPr>
      <w:r w:rsidRPr="00247163">
        <w:rPr>
          <w:rFonts w:ascii="Palatino Linotype" w:eastAsia="Palatino Linotype" w:hAnsi="Palatino Linotype" w:cs="Palatino Linotype"/>
          <w:b/>
          <w:bCs/>
        </w:rPr>
        <w:t xml:space="preserve">ACTO IMPUGNADO </w:t>
      </w:r>
    </w:p>
    <w:p w14:paraId="54BAA88B" w14:textId="77777777" w:rsidR="002F653A" w:rsidRPr="00247163" w:rsidRDefault="00CB53E8">
      <w:pP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 “La Unidad de Transparencia del Sistema Municipal DIF de San Felipe del Progreso emitió el oficio No. SMDIF/UT/121/2025 (24 de noviembre de 2025), mediante el cual señala haber habilitado un “medio alterno” para entregar la información solicitada. El oficio fue digitalizado en formato PDF y cargado en SAIMEX con una resolución insuficiente, lo que impide la identificación precisa del enlace proporcionado. Debido a que el enlace es ilegible y no puede transcribirse con certeza, la información no resulta </w:t>
      </w:r>
      <w:r w:rsidRPr="00247163">
        <w:rPr>
          <w:rFonts w:ascii="Palatino Linotype" w:eastAsia="Palatino Linotype" w:hAnsi="Palatino Linotype" w:cs="Palatino Linotype"/>
          <w:i/>
          <w:iCs/>
          <w:color w:val="000000"/>
        </w:rPr>
        <w:lastRenderedPageBreak/>
        <w:t>accesible, por lo que nuevamente vemos vulnerado el derecho de acceso a la información.” (Sic)</w:t>
      </w:r>
    </w:p>
    <w:p w14:paraId="17E0C0AE" w14:textId="77777777" w:rsidR="002F653A" w:rsidRPr="00247163" w:rsidRDefault="002F653A">
      <w:pPr>
        <w:ind w:left="1134" w:right="822"/>
        <w:jc w:val="both"/>
        <w:rPr>
          <w:rFonts w:ascii="Palatino Linotype" w:eastAsia="Palatino Linotype" w:hAnsi="Palatino Linotype" w:cs="Palatino Linotype"/>
          <w:b/>
          <w:bCs/>
        </w:rPr>
      </w:pPr>
    </w:p>
    <w:p w14:paraId="244C8112" w14:textId="77777777" w:rsidR="002F653A" w:rsidRPr="00247163" w:rsidRDefault="002F653A">
      <w:pPr>
        <w:ind w:left="1134" w:right="822"/>
        <w:jc w:val="both"/>
        <w:rPr>
          <w:rFonts w:ascii="Palatino Linotype" w:eastAsia="Palatino Linotype" w:hAnsi="Palatino Linotype" w:cs="Palatino Linotype"/>
          <w:b/>
          <w:bCs/>
        </w:rPr>
      </w:pPr>
    </w:p>
    <w:p w14:paraId="26004950" w14:textId="77777777" w:rsidR="002F653A" w:rsidRPr="00247163" w:rsidRDefault="00CB53E8">
      <w:pPr>
        <w:numPr>
          <w:ilvl w:val="0"/>
          <w:numId w:val="5"/>
        </w:numPr>
        <w:ind w:left="1134" w:right="822"/>
        <w:jc w:val="both"/>
        <w:rPr>
          <w:rFonts w:ascii="Palatino Linotype" w:eastAsia="Palatino Linotype" w:hAnsi="Palatino Linotype" w:cs="Palatino Linotype"/>
          <w:b/>
          <w:bCs/>
        </w:rPr>
      </w:pPr>
      <w:r w:rsidRPr="00247163">
        <w:rPr>
          <w:rFonts w:ascii="Palatino Linotype" w:eastAsia="Palatino Linotype" w:hAnsi="Palatino Linotype" w:cs="Palatino Linotype"/>
          <w:b/>
          <w:bCs/>
        </w:rPr>
        <w:t>RAZONES O MOTIVOS DE INCONFORMIDAD</w:t>
      </w:r>
    </w:p>
    <w:p w14:paraId="74093742" w14:textId="77777777" w:rsidR="002F653A" w:rsidRPr="00247163" w:rsidRDefault="00CB53E8">
      <w:pP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“El oficio SMDIF/UT/121/2025 nos fue proporcionado en SAIMEX con una calidad de </w:t>
      </w:r>
      <w:r w:rsidRPr="00247163">
        <w:rPr>
          <w:rFonts w:ascii="Palatino Linotype" w:eastAsia="Palatino Linotype" w:hAnsi="Palatino Linotype" w:cs="Palatino Linotype"/>
          <w:b/>
          <w:bCs/>
          <w:i/>
          <w:iCs/>
          <w:color w:val="000000"/>
        </w:rPr>
        <w:t xml:space="preserve">digitalización tan baja que el enlace al supuesto medio alterno carece de nitidez suficiente para identificar sus caracteres. </w:t>
      </w:r>
      <w:r w:rsidRPr="00247163">
        <w:rPr>
          <w:rFonts w:ascii="Palatino Linotype" w:eastAsia="Palatino Linotype" w:hAnsi="Palatino Linotype" w:cs="Palatino Linotype"/>
          <w:i/>
          <w:iCs/>
          <w:color w:val="000000"/>
        </w:rPr>
        <w:t>En consecuencia, el enlace no pudo ser reproducido ni utilizado en ningún navegador.</w:t>
      </w:r>
      <w:r w:rsidRPr="00247163">
        <w:rPr>
          <w:rFonts w:ascii="Palatino Linotype" w:eastAsia="Palatino Linotype" w:hAnsi="Palatino Linotype" w:cs="Palatino Linotype"/>
          <w:b/>
          <w:bCs/>
          <w:i/>
          <w:iCs/>
          <w:color w:val="000000"/>
        </w:rPr>
        <w:t xml:space="preserve"> Intentamos realizar varios tipos de combinaciones para interpretar el enlace y en todos los casos, Google Drive arrojó error de acceso 404</w:t>
      </w:r>
      <w:r w:rsidRPr="00247163">
        <w:rPr>
          <w:rFonts w:ascii="Palatino Linotype" w:eastAsia="Palatino Linotype" w:hAnsi="Palatino Linotype" w:cs="Palatino Linotype"/>
          <w:i/>
          <w:iCs/>
          <w:color w:val="000000"/>
        </w:rPr>
        <w:t xml:space="preserve">. Esto confirma que la información no es accesible, lo cual constituye una entrega vacía y contraria a los principios de accesibilidad, certeza y máxima publicidad previstos en la Ley de Transparencia y Acceso a la Información Pública del Estado de México y Municipios, particularmente en sus artículos 8, 11, 156 y 164. Adicionalmente, reconocemos que el propio INFOEM ha autorizado, en términos generales, la habilitación de medios alternos cuando existan limitaciones técnicas para cargar archivos en SAIMEX. Sin embargo, consideramos que el uso específico de Google Drive no resulta oportuno ni adecuado, ya que en ejercicios previos de acceso a la información —tanto en México como en otras jurisdicciones— hemos comprobado que esta plataforma puede solicitar datos del usuario o registrar información asociada al acceso a documentos. Esto puede comprometer directa o indirectamente la identidad del solicitante, lo cual es incompatible con el derecho constitucional en México a solicitar información pública sin identificarse, previsto en el artículo 6 de la Constitución. Asimismo, deseamos enfatizar que nuestro ejercicio de acceso a la información fue aplicado de manera uniforme en diversos municipios, sin que en esos casos, hasta el momento, se hayan presentado problemas de accesibilidad, calidad de digitalización o registro incorrecto del estatus del trámite. Lo anterior contrasta con la situación actual y demuestra que la reiteración de inconsistencias administrativas ha afectado el seguimiento del procedimiento y compromete la garantía efectiva del derecho de acceso a la información. Finalmente, y con el propósito de facilitar el cumplimiento, solicitamos que en la etapa de alegatos </w:t>
      </w:r>
      <w:r w:rsidRPr="00247163">
        <w:rPr>
          <w:rFonts w:ascii="Palatino Linotype" w:eastAsia="Palatino Linotype" w:hAnsi="Palatino Linotype" w:cs="Palatino Linotype"/>
          <w:b/>
          <w:bCs/>
          <w:i/>
          <w:iCs/>
          <w:color w:val="000000"/>
        </w:rPr>
        <w:t xml:space="preserve">se otorgue al Sistema Municipal DIF de San Felipe del Progreso la oportunidad de proporcionar un enlace </w:t>
      </w:r>
      <w:r w:rsidRPr="00247163">
        <w:rPr>
          <w:rFonts w:ascii="Palatino Linotype" w:eastAsia="Palatino Linotype" w:hAnsi="Palatino Linotype" w:cs="Palatino Linotype"/>
          <w:b/>
          <w:bCs/>
          <w:i/>
          <w:iCs/>
          <w:color w:val="000000"/>
        </w:rPr>
        <w:lastRenderedPageBreak/>
        <w:t>funcional al medio alterno, copiado y pegado directamente en la plataforma correspondiente</w:t>
      </w:r>
      <w:r w:rsidRPr="00247163">
        <w:rPr>
          <w:rFonts w:ascii="Palatino Linotype" w:eastAsia="Palatino Linotype" w:hAnsi="Palatino Linotype" w:cs="Palatino Linotype"/>
          <w:i/>
          <w:iCs/>
          <w:color w:val="000000"/>
        </w:rPr>
        <w:t>, sin el uso de archivos escaneados, imágenes o formatos que puedan afectar su visibilidad o acceso. Esta medida permitiría subsanar las inconsistencias advertidas y garantizar que la información sea accesible de manera directa, completa y verificable. Muchas gracias por su atención.” (Sic)</w:t>
      </w:r>
    </w:p>
    <w:p w14:paraId="2099DDD5" w14:textId="77777777" w:rsidR="002F653A" w:rsidRPr="00247163" w:rsidRDefault="002F653A">
      <w:pPr>
        <w:spacing w:line="360" w:lineRule="auto"/>
        <w:ind w:left="1134" w:right="822"/>
        <w:jc w:val="both"/>
        <w:rPr>
          <w:rFonts w:ascii="Palatino Linotype" w:eastAsia="Palatino Linotype" w:hAnsi="Palatino Linotype" w:cs="Palatino Linotype"/>
          <w:i/>
          <w:iCs/>
          <w:color w:val="000000"/>
        </w:rPr>
      </w:pPr>
    </w:p>
    <w:p w14:paraId="49DFFBC9" w14:textId="77777777" w:rsidR="002F653A" w:rsidRPr="00247163" w:rsidRDefault="00CB53E8">
      <w:pPr>
        <w:numPr>
          <w:ilvl w:val="0"/>
          <w:numId w:val="1"/>
        </w:numPr>
        <w:spacing w:line="360" w:lineRule="auto"/>
        <w:ind w:left="0" w:right="-591"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rPr>
        <w:t xml:space="preserve">Posteriormente, la Comisionada Ponente con fundamento en lo dispuesto por el artículo 185, fracción II, de la Ley de la materia, a través del acuerdo de admisión del </w:t>
      </w:r>
      <w:r w:rsidRPr="00247163">
        <w:rPr>
          <w:rFonts w:ascii="Palatino Linotype" w:eastAsia="Palatino Linotype" w:hAnsi="Palatino Linotype" w:cs="Palatino Linotype"/>
          <w:b/>
          <w:bCs/>
        </w:rPr>
        <w:t>veintiocho de noviembre de dos mil veinticinco</w:t>
      </w:r>
      <w:r w:rsidRPr="00247163">
        <w:rPr>
          <w:rFonts w:ascii="Palatino Linotype" w:eastAsia="Palatino Linotype" w:hAnsi="Palatino Linotype" w:cs="Palatino Linotype"/>
        </w:rPr>
        <w:t xml:space="preserve">, puso a disposición de las partes el expediente electrónico vía </w:t>
      </w:r>
      <w:r w:rsidRPr="00247163">
        <w:rPr>
          <w:rFonts w:ascii="Palatino Linotype" w:eastAsia="Palatino Linotype" w:hAnsi="Palatino Linotype" w:cs="Palatino Linotype"/>
          <w:b/>
          <w:bCs/>
        </w:rPr>
        <w:t xml:space="preserve">SAIMEX </w:t>
      </w:r>
      <w:r w:rsidRPr="00247163">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presentase el informe justificado procedente. </w:t>
      </w:r>
    </w:p>
    <w:p w14:paraId="30CB2BD5" w14:textId="77777777" w:rsidR="002F653A" w:rsidRPr="00247163" w:rsidRDefault="002F653A">
      <w:pPr>
        <w:ind w:right="-591"/>
        <w:jc w:val="both"/>
        <w:rPr>
          <w:rFonts w:ascii="Palatino Linotype" w:eastAsia="Palatino Linotype" w:hAnsi="Palatino Linotype" w:cs="Palatino Linotype"/>
          <w:i/>
          <w:iCs/>
          <w:color w:val="000000"/>
        </w:rPr>
      </w:pPr>
    </w:p>
    <w:p w14:paraId="7D5D4DBC" w14:textId="77777777" w:rsidR="002F653A" w:rsidRPr="00247163" w:rsidRDefault="00CB53E8">
      <w:pPr>
        <w:numPr>
          <w:ilvl w:val="0"/>
          <w:numId w:val="1"/>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Durante la etapa de manifestaciones en fecha doce de febrero de dos mil veintiséis  </w:t>
      </w:r>
      <w:r w:rsidRPr="00247163">
        <w:rPr>
          <w:rFonts w:ascii="Palatino Linotype" w:eastAsia="Palatino Linotype" w:hAnsi="Palatino Linotype" w:cs="Palatino Linotype"/>
          <w:b/>
          <w:bCs/>
          <w:color w:val="000000"/>
        </w:rPr>
        <w:t xml:space="preserve"> </w:t>
      </w:r>
      <w:r w:rsidRPr="00247163">
        <w:rPr>
          <w:rFonts w:ascii="Palatino Linotype" w:eastAsia="Palatino Linotype" w:hAnsi="Palatino Linotype" w:cs="Palatino Linotype"/>
          <w:color w:val="000000"/>
        </w:rPr>
        <w:t>el Sujeto Obligado mediante un archivo electrónico rindió el Informe Justificado correspondiente a derecho, donde medularmente se señala lo siguiente:</w:t>
      </w:r>
    </w:p>
    <w:p w14:paraId="7F7C30CF" w14:textId="77777777" w:rsidR="002F653A" w:rsidRPr="00247163" w:rsidRDefault="00CB53E8">
      <w:pPr>
        <w:spacing w:after="28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rPr>
        <w:tab/>
        <w:t xml:space="preserve">SMDIF-UT-122-2025.pdf: </w:t>
      </w:r>
      <w:r w:rsidRPr="00247163">
        <w:rPr>
          <w:rFonts w:ascii="Palatino Linotype" w:eastAsia="Palatino Linotype" w:hAnsi="Palatino Linotype" w:cs="Palatino Linotype"/>
          <w:i/>
          <w:iCs/>
        </w:rPr>
        <w:t>Donde el Titular de la Unidad de Transparencia pone a disposición del particular el enlace referido en respuesta en formato abierto para su consulta directa, confirma así mismo su respuesta primigenia.</w:t>
      </w:r>
    </w:p>
    <w:p w14:paraId="5A697DCB" w14:textId="77777777" w:rsidR="002F653A" w:rsidRPr="00247163" w:rsidRDefault="00CB53E8">
      <w:pPr>
        <w:pBdr>
          <w:top w:val="nil"/>
          <w:left w:val="nil"/>
          <w:bottom w:val="nil"/>
          <w:right w:val="nil"/>
          <w:between w:val="nil"/>
        </w:pBdr>
        <w:tabs>
          <w:tab w:val="left" w:pos="426"/>
        </w:tabs>
        <w:spacing w:line="360" w:lineRule="auto"/>
        <w:ind w:right="-591"/>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color w:val="000000"/>
        </w:rPr>
        <w:t xml:space="preserve">Por su parte, el </w:t>
      </w:r>
      <w:r w:rsidRPr="00247163">
        <w:rPr>
          <w:rFonts w:ascii="Palatino Linotype" w:eastAsia="Palatino Linotype" w:hAnsi="Palatino Linotype" w:cs="Palatino Linotype"/>
          <w:b/>
          <w:bCs/>
          <w:color w:val="000000"/>
        </w:rPr>
        <w:t>RECURRENTE</w:t>
      </w:r>
      <w:r w:rsidRPr="00247163">
        <w:rPr>
          <w:rFonts w:ascii="Palatino Linotype" w:eastAsia="Palatino Linotype" w:hAnsi="Palatino Linotype" w:cs="Palatino Linotype"/>
          <w:color w:val="000000"/>
        </w:rPr>
        <w:t xml:space="preserve"> no realizó manifestaciones que a su derecho </w:t>
      </w:r>
      <w:r w:rsidRPr="00247163">
        <w:rPr>
          <w:rFonts w:ascii="Palatino Linotype" w:eastAsia="Palatino Linotype" w:hAnsi="Palatino Linotype" w:cs="Palatino Linotype"/>
        </w:rPr>
        <w:t>conviniera o asistieran.</w:t>
      </w:r>
    </w:p>
    <w:p w14:paraId="1C0BB3AF" w14:textId="77777777" w:rsidR="002F653A" w:rsidRPr="00247163" w:rsidRDefault="002F653A">
      <w:pPr>
        <w:spacing w:after="280"/>
        <w:ind w:left="1134" w:right="-591"/>
        <w:jc w:val="both"/>
        <w:rPr>
          <w:rFonts w:ascii="Palatino Linotype" w:eastAsia="Palatino Linotype" w:hAnsi="Palatino Linotype" w:cs="Palatino Linotype"/>
          <w:i/>
          <w:iCs/>
        </w:rPr>
      </w:pPr>
    </w:p>
    <w:p w14:paraId="07F8F960" w14:textId="77777777" w:rsidR="002F653A" w:rsidRPr="00247163" w:rsidRDefault="00CB53E8">
      <w:pPr>
        <w:numPr>
          <w:ilvl w:val="0"/>
          <w:numId w:val="3"/>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rPr>
        <w:t xml:space="preserve">El </w:t>
      </w:r>
      <w:r w:rsidRPr="00247163">
        <w:rPr>
          <w:rFonts w:ascii="Palatino Linotype" w:eastAsia="Palatino Linotype" w:hAnsi="Palatino Linotype" w:cs="Palatino Linotype"/>
          <w:b/>
          <w:bCs/>
        </w:rPr>
        <w:t>cinco de febrero</w:t>
      </w:r>
      <w:r w:rsidRPr="00247163">
        <w:rPr>
          <w:rFonts w:ascii="Palatino Linotype" w:eastAsia="Palatino Linotype" w:hAnsi="Palatino Linotype" w:cs="Palatino Linotype"/>
          <w:b/>
          <w:bCs/>
          <w:color w:val="000000"/>
        </w:rPr>
        <w:t xml:space="preserve"> de dos mil veintiséis</w:t>
      </w:r>
      <w:r w:rsidRPr="00247163">
        <w:rPr>
          <w:rFonts w:ascii="Palatino Linotype" w:eastAsia="Palatino Linotype" w:hAnsi="Palatino Linotype" w:cs="Palatino Linotype"/>
          <w:color w:val="000000"/>
        </w:rPr>
        <w:t>, se acordó ampliar el término para resolver el presente asunto.</w:t>
      </w:r>
    </w:p>
    <w:p w14:paraId="75837F36" w14:textId="77777777" w:rsidR="002F653A" w:rsidRPr="00247163" w:rsidRDefault="002F653A">
      <w:pPr>
        <w:pBdr>
          <w:top w:val="nil"/>
          <w:left w:val="nil"/>
          <w:bottom w:val="nil"/>
          <w:right w:val="nil"/>
          <w:between w:val="nil"/>
        </w:pBdr>
        <w:ind w:left="720" w:right="-591"/>
        <w:rPr>
          <w:rFonts w:ascii="Palatino Linotype" w:eastAsia="Palatino Linotype" w:hAnsi="Palatino Linotype" w:cs="Palatino Linotype"/>
          <w:b/>
          <w:bCs/>
          <w:color w:val="000000"/>
        </w:rPr>
      </w:pPr>
    </w:p>
    <w:p w14:paraId="50B42251" w14:textId="77777777" w:rsidR="002F653A" w:rsidRPr="00247163" w:rsidRDefault="00CB53E8">
      <w:pPr>
        <w:numPr>
          <w:ilvl w:val="0"/>
          <w:numId w:val="3"/>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14:paraId="29956641" w14:textId="77777777" w:rsidR="002F653A" w:rsidRPr="00247163" w:rsidRDefault="002F653A">
      <w:pPr>
        <w:spacing w:line="360" w:lineRule="auto"/>
        <w:ind w:right="-591"/>
        <w:jc w:val="both"/>
        <w:rPr>
          <w:rFonts w:ascii="Palatino Linotype" w:eastAsia="Palatino Linotype" w:hAnsi="Palatino Linotype" w:cs="Palatino Linotype"/>
        </w:rPr>
      </w:pPr>
    </w:p>
    <w:p w14:paraId="63808382" w14:textId="77777777" w:rsidR="002F653A" w:rsidRPr="00247163" w:rsidRDefault="00CB53E8">
      <w:pPr>
        <w:numPr>
          <w:ilvl w:val="0"/>
          <w:numId w:val="3"/>
        </w:numPr>
        <w:spacing w:line="360" w:lineRule="auto"/>
        <w:ind w:left="0" w:right="-59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La Comisionada Ponente decretó el cierre de instrucción mediante el acuerdo del </w:t>
      </w:r>
      <w:r w:rsidRPr="00247163">
        <w:rPr>
          <w:rFonts w:ascii="Palatino Linotype" w:eastAsia="Palatino Linotype" w:hAnsi="Palatino Linotype" w:cs="Palatino Linotype"/>
          <w:b/>
          <w:bCs/>
        </w:rPr>
        <w:t xml:space="preserve">diecinueve de mayo de dos mil veintiséis; </w:t>
      </w:r>
      <w:r w:rsidRPr="00247163">
        <w:rPr>
          <w:rFonts w:ascii="Palatino Linotype" w:eastAsia="Palatino Linotype" w:hAnsi="Palatino Linotype" w:cs="Palatino Linotype"/>
        </w:rPr>
        <w:t>por lo que en virtud de que el expediente electrónico ha sido debidamente sustanciado y no existe diligencia pendiente de desahogo, se procede a emitir la presente resolución que conforme a Derecho corresponda y;</w:t>
      </w:r>
    </w:p>
    <w:p w14:paraId="5441FF65" w14:textId="77777777" w:rsidR="002F653A" w:rsidRPr="00247163" w:rsidRDefault="00CB53E8">
      <w:pPr>
        <w:spacing w:before="600" w:after="600" w:line="276" w:lineRule="auto"/>
        <w:ind w:right="-591"/>
        <w:jc w:val="center"/>
        <w:rPr>
          <w:rFonts w:ascii="Palatino Linotype" w:eastAsia="Palatino Linotype" w:hAnsi="Palatino Linotype" w:cs="Palatino Linotype"/>
          <w:b/>
          <w:bCs/>
        </w:rPr>
      </w:pPr>
      <w:r w:rsidRPr="00247163">
        <w:rPr>
          <w:rFonts w:ascii="Palatino Linotype" w:eastAsia="Palatino Linotype" w:hAnsi="Palatino Linotype" w:cs="Palatino Linotype"/>
          <w:b/>
          <w:bCs/>
        </w:rPr>
        <w:t>C O N S I D E R A N D O</w:t>
      </w:r>
    </w:p>
    <w:p w14:paraId="02EFB87C" w14:textId="77777777" w:rsidR="002F653A" w:rsidRPr="00247163" w:rsidRDefault="00CB53E8">
      <w:pPr>
        <w:keepNext/>
        <w:keepLines/>
        <w:spacing w:line="360" w:lineRule="auto"/>
        <w:ind w:right="-591"/>
        <w:rPr>
          <w:rFonts w:ascii="Palatino Linotype" w:eastAsia="Palatino Linotype" w:hAnsi="Palatino Linotype" w:cs="Palatino Linotype"/>
          <w:b/>
          <w:bCs/>
        </w:rPr>
      </w:pPr>
      <w:r w:rsidRPr="00247163">
        <w:rPr>
          <w:rFonts w:ascii="Palatino Linotype" w:eastAsia="Palatino Linotype" w:hAnsi="Palatino Linotype" w:cs="Palatino Linotype"/>
          <w:b/>
          <w:bCs/>
        </w:rPr>
        <w:t>PRIMERO. De la competencia</w:t>
      </w:r>
    </w:p>
    <w:p w14:paraId="41852B03" w14:textId="77777777" w:rsidR="002F653A" w:rsidRPr="00247163" w:rsidRDefault="00CB53E8">
      <w:pPr>
        <w:numPr>
          <w:ilvl w:val="0"/>
          <w:numId w:val="31"/>
        </w:numPr>
        <w:spacing w:line="360" w:lineRule="auto"/>
        <w:ind w:left="0" w:right="-591" w:firstLine="0"/>
        <w:jc w:val="both"/>
      </w:pPr>
      <w:r w:rsidRPr="00247163">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0DA03C8" w14:textId="77777777" w:rsidR="002F653A" w:rsidRPr="00247163" w:rsidRDefault="00CB53E8">
      <w:pPr>
        <w:keepNext/>
        <w:keepLines/>
        <w:spacing w:line="360" w:lineRule="auto"/>
        <w:ind w:right="-591"/>
        <w:rPr>
          <w:rFonts w:ascii="Palatino Linotype" w:eastAsia="Palatino Linotype" w:hAnsi="Palatino Linotype" w:cs="Palatino Linotype"/>
          <w:b/>
          <w:bCs/>
        </w:rPr>
      </w:pPr>
      <w:bookmarkStart w:id="1" w:name="_heading=h.tyjcwt" w:colFirst="0" w:colLast="0"/>
      <w:bookmarkEnd w:id="1"/>
      <w:r w:rsidRPr="00247163">
        <w:rPr>
          <w:rFonts w:ascii="Palatino Linotype" w:eastAsia="Palatino Linotype" w:hAnsi="Palatino Linotype" w:cs="Palatino Linotype"/>
          <w:b/>
          <w:bCs/>
        </w:rPr>
        <w:lastRenderedPageBreak/>
        <w:t>SEGUNDO. De la oportunidad y procedencia.</w:t>
      </w:r>
    </w:p>
    <w:p w14:paraId="06CFE2E8" w14:textId="77777777" w:rsidR="002F653A" w:rsidRPr="00247163" w:rsidRDefault="00CB53E8">
      <w:pPr>
        <w:numPr>
          <w:ilvl w:val="0"/>
          <w:numId w:val="31"/>
        </w:numPr>
        <w:spacing w:line="360" w:lineRule="auto"/>
        <w:ind w:left="0" w:right="-591" w:firstLine="0"/>
        <w:jc w:val="both"/>
      </w:pPr>
      <w:r w:rsidRPr="00247163">
        <w:rPr>
          <w:rFonts w:ascii="Palatino Linotype" w:eastAsia="Palatino Linotype" w:hAnsi="Palatino Linotype" w:cs="Palatino Linotype"/>
        </w:rPr>
        <w:t xml:space="preserve">El medio de impugnación fue presentado a través del </w:t>
      </w:r>
      <w:r w:rsidRPr="00247163">
        <w:rPr>
          <w:rFonts w:ascii="Palatino Linotype" w:eastAsia="Palatino Linotype" w:hAnsi="Palatino Linotype" w:cs="Palatino Linotype"/>
          <w:b/>
          <w:bCs/>
        </w:rPr>
        <w:t>SAIMEX,</w:t>
      </w:r>
      <w:r w:rsidRPr="00247163">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entregó respuesta el </w:t>
      </w:r>
      <w:r w:rsidRPr="00247163">
        <w:rPr>
          <w:rFonts w:ascii="Palatino Linotype" w:eastAsia="Palatino Linotype" w:hAnsi="Palatino Linotype" w:cs="Palatino Linotype"/>
          <w:b/>
          <w:bCs/>
        </w:rPr>
        <w:t>veinticinco de noviembre de dos mil veinticinco</w:t>
      </w:r>
      <w:r w:rsidRPr="00247163">
        <w:rPr>
          <w:rFonts w:ascii="Palatino Linotype" w:eastAsia="Palatino Linotype" w:hAnsi="Palatino Linotype" w:cs="Palatino Linotype"/>
        </w:rPr>
        <w:t xml:space="preserve">, de tal forma que el plazo para interponer el recurso transcurrió del </w:t>
      </w:r>
      <w:r w:rsidRPr="00247163">
        <w:rPr>
          <w:rFonts w:ascii="Palatino Linotype" w:eastAsia="Palatino Linotype" w:hAnsi="Palatino Linotype" w:cs="Palatino Linotype"/>
          <w:b/>
          <w:bCs/>
        </w:rPr>
        <w:t xml:space="preserve">veintiséis de noviembre al dieciséis de diciembre de dos mil veinticinco, </w:t>
      </w:r>
      <w:r w:rsidRPr="00247163">
        <w:rPr>
          <w:rFonts w:ascii="Palatino Linotype" w:eastAsia="Palatino Linotype" w:hAnsi="Palatino Linotype" w:cs="Palatino Linotype"/>
        </w:rPr>
        <w:t xml:space="preserve">en consecuencia, si el </w:t>
      </w:r>
      <w:r w:rsidRPr="00247163">
        <w:rPr>
          <w:rFonts w:ascii="Palatino Linotype" w:eastAsia="Palatino Linotype" w:hAnsi="Palatino Linotype" w:cs="Palatino Linotype"/>
          <w:b/>
          <w:bCs/>
        </w:rPr>
        <w:t>PARTICULAR</w:t>
      </w:r>
      <w:r w:rsidRPr="00247163">
        <w:rPr>
          <w:rFonts w:ascii="Palatino Linotype" w:eastAsia="Palatino Linotype" w:hAnsi="Palatino Linotype" w:cs="Palatino Linotype"/>
        </w:rPr>
        <w:t xml:space="preserve"> presentó su inconformidad </w:t>
      </w:r>
      <w:r w:rsidRPr="00247163">
        <w:rPr>
          <w:rFonts w:ascii="Palatino Linotype" w:eastAsia="Palatino Linotype" w:hAnsi="Palatino Linotype" w:cs="Palatino Linotype"/>
          <w:b/>
          <w:bCs/>
          <w:i/>
          <w:iCs/>
        </w:rPr>
        <w:t>veintiséis de noviembre de dos mil veinticinco</w:t>
      </w:r>
      <w:r w:rsidRPr="00247163">
        <w:rPr>
          <w:rFonts w:ascii="Palatino Linotype" w:eastAsia="Palatino Linotype" w:hAnsi="Palatino Linotype" w:cs="Palatino Linotype"/>
        </w:rPr>
        <w:t xml:space="preserve">, este  se encuentra dentro de los márgenes temporales previstos en el artículo 178 de la </w:t>
      </w:r>
      <w:r w:rsidRPr="00247163">
        <w:rPr>
          <w:rFonts w:ascii="Palatino Linotype" w:eastAsia="Palatino Linotype" w:hAnsi="Palatino Linotype" w:cs="Palatino Linotype"/>
          <w:b/>
          <w:bCs/>
        </w:rPr>
        <w:t xml:space="preserve">Ley de Transparencia y Acceso a la Información Pública del Estado de México y Municipios </w:t>
      </w:r>
      <w:r w:rsidRPr="00247163">
        <w:rPr>
          <w:rFonts w:ascii="Palatino Linotype" w:eastAsia="Palatino Linotype" w:hAnsi="Palatino Linotype" w:cs="Palatino Linotype"/>
        </w:rPr>
        <w:t xml:space="preserve">vigente. </w:t>
      </w:r>
    </w:p>
    <w:p w14:paraId="70408A30" w14:textId="77777777" w:rsidR="002F653A" w:rsidRPr="00247163" w:rsidRDefault="002F653A">
      <w:pPr>
        <w:spacing w:line="360" w:lineRule="auto"/>
        <w:ind w:right="-591"/>
        <w:jc w:val="both"/>
      </w:pPr>
    </w:p>
    <w:p w14:paraId="77023E35" w14:textId="77777777" w:rsidR="002F653A" w:rsidRPr="00247163" w:rsidRDefault="00CB53E8">
      <w:pPr>
        <w:numPr>
          <w:ilvl w:val="0"/>
          <w:numId w:val="31"/>
        </w:numPr>
        <w:spacing w:line="360" w:lineRule="auto"/>
        <w:ind w:left="0" w:right="-982" w:firstLine="0"/>
        <w:jc w:val="both"/>
      </w:pPr>
      <w:r w:rsidRPr="00247163">
        <w:rPr>
          <w:rFonts w:ascii="Palatino Linotype" w:eastAsia="Palatino Linotype" w:hAnsi="Palatino Linotype" w:cs="Palatino Linotype"/>
        </w:rPr>
        <w:t>Por otro lado el escrito contiene las formalidades previstas en el artículo 180 último párrafo de la citada Ley de la materia, por lo que es procedente que este Instituto conozca y resuelva el presente recurso.</w:t>
      </w:r>
    </w:p>
    <w:p w14:paraId="2C197150" w14:textId="77777777" w:rsidR="002F653A" w:rsidRPr="00247163" w:rsidRDefault="002F653A">
      <w:pPr>
        <w:spacing w:line="360" w:lineRule="auto"/>
        <w:ind w:right="-591"/>
        <w:jc w:val="both"/>
        <w:rPr>
          <w:rFonts w:ascii="Palatino Linotype" w:eastAsia="Palatino Linotype" w:hAnsi="Palatino Linotype" w:cs="Palatino Linotype"/>
        </w:rPr>
      </w:pPr>
    </w:p>
    <w:p w14:paraId="671CDFDA" w14:textId="77777777" w:rsidR="002F653A" w:rsidRPr="00247163" w:rsidRDefault="00CB53E8">
      <w:pPr>
        <w:pStyle w:val="Ttulo2"/>
        <w:ind w:right="-591"/>
        <w:rPr>
          <w:rFonts w:ascii="Palatino Linotype" w:eastAsia="Palatino Linotype" w:hAnsi="Palatino Linotype" w:cs="Palatino Linotype"/>
          <w:b/>
          <w:bCs/>
          <w:i/>
          <w:iCs/>
          <w:color w:val="000000"/>
          <w:sz w:val="24"/>
          <w:szCs w:val="24"/>
        </w:rPr>
      </w:pPr>
      <w:r w:rsidRPr="00247163">
        <w:rPr>
          <w:rFonts w:ascii="Palatino Linotype" w:eastAsia="Palatino Linotype" w:hAnsi="Palatino Linotype" w:cs="Palatino Linotype"/>
          <w:b/>
          <w:bCs/>
          <w:color w:val="000000"/>
          <w:sz w:val="24"/>
          <w:szCs w:val="24"/>
        </w:rPr>
        <w:t xml:space="preserve">TERCERO. Del planteamiento de la </w:t>
      </w:r>
      <w:r w:rsidRPr="00247163">
        <w:rPr>
          <w:rFonts w:ascii="Palatino Linotype" w:eastAsia="Palatino Linotype" w:hAnsi="Palatino Linotype" w:cs="Palatino Linotype"/>
          <w:b/>
          <w:bCs/>
          <w:i/>
          <w:iCs/>
          <w:color w:val="000000"/>
          <w:sz w:val="24"/>
          <w:szCs w:val="24"/>
        </w:rPr>
        <w:t>Litis.</w:t>
      </w:r>
    </w:p>
    <w:p w14:paraId="59C4AD92" w14:textId="77777777" w:rsidR="002F653A" w:rsidRPr="00247163" w:rsidRDefault="00CB53E8">
      <w:pPr>
        <w:numPr>
          <w:ilvl w:val="0"/>
          <w:numId w:val="31"/>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rPr>
        <w:t>De las constancias en el expediente al rubro indicado, se desprende que el particular</w:t>
      </w:r>
      <w:r w:rsidRPr="00247163">
        <w:rPr>
          <w:rFonts w:ascii="Palatino Linotype" w:eastAsia="Palatino Linotype" w:hAnsi="Palatino Linotype" w:cs="Palatino Linotype"/>
          <w:color w:val="000000"/>
        </w:rPr>
        <w:t xml:space="preserve"> solicitó tener acceso, a la información que a continuación se simplifica:</w:t>
      </w:r>
    </w:p>
    <w:p w14:paraId="6943B226"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Organigrama vigente de la unidad, que incluya la relación jerárquica y funcional del personal adscrito, señalando de forma expresa el nombre completo de los servidores públicos que lo integran, el puesto que ocupan, el área de adscripción y, en su caso, el nivel o categoría correspondiente.</w:t>
      </w:r>
    </w:p>
    <w:p w14:paraId="65163C29"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Reglamentos, manuales de organización y operación que rijan su funcionamiento.</w:t>
      </w:r>
    </w:p>
    <w:p w14:paraId="210EE15D"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Normatividad aplicable a la operación de la unidad.</w:t>
      </w:r>
    </w:p>
    <w:p w14:paraId="52E878E9"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Relación de personal adscrito, indicando nombre, puesto, tipo de contratación, funciones generales y percepciones brutas y netas, correspondientes al periodo del 1 de enero de 2024 a la fecha de la presente solicitud.</w:t>
      </w:r>
    </w:p>
    <w:p w14:paraId="3B737177"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Versión pública del currículum vitae del personal adscrito, correspondiente al periodo del 1 de enero de 2024 a la fecha de la presente solicitud.</w:t>
      </w:r>
    </w:p>
    <w:p w14:paraId="56D4AE82"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Relación de cursos, capacitaciones o certificaciones recibidas por el personal adscrito a la unidad desde el 1 de enero de 2024 a la fecha, especificando tema, institución capacitadora, fechas y duración</w:t>
      </w:r>
    </w:p>
    <w:p w14:paraId="3837879F"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Toda la información financiera destinada a la operación de la unidad, correspondiente a los ejercicios 2024 y 2025 hasta la fecha de la presente solicitud, incluyendo de manera expresa y desglosada:</w:t>
      </w:r>
    </w:p>
    <w:p w14:paraId="455AA2CC"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Presupuesto anual autorizado y ejercido, desglosado por capítulo de gasto</w:t>
      </w:r>
    </w:p>
    <w:p w14:paraId="41244340"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Informes de avance en el ejercicio presupuestal.</w:t>
      </w:r>
    </w:p>
    <w:p w14:paraId="2734D19B"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Contratos y comprobantes de pago a proveedores y prestadores de servicios de la unidad, correspondientes al periodo del 1 de enero de 2024 a la fecha de la presente solicitud.</w:t>
      </w:r>
    </w:p>
    <w:p w14:paraId="3059FB9B"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Gastos operativos y administrativos (entre ellos: materiales, servicios, viáticos, mantenimiento, etc.). e) Relación de unidades vehiculares adscritas a la unidad o en servicio para esta.</w:t>
      </w:r>
    </w:p>
    <w:p w14:paraId="07162A0D"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Gastos realizados por concepto de combustible, incluyendo: – Comprobantes fiscales (facturas o CFDI) de adquisición de combustible, correspondientes al periodo del 1 de enero de 2024 a la fecha de la presente solicitud</w:t>
      </w:r>
    </w:p>
    <w:p w14:paraId="7857E5CC"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Bitácoras de control de consumo de combustible que contengan fecha, unidad vehicular, cantidad abastecida, kilometraje registrado y persona responsable</w:t>
      </w:r>
    </w:p>
    <w:p w14:paraId="5F17C256"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Bitácoras de uso, seguimiento y asignación de las unidades vehiculares, especificando fechas, trayectos o rutas, fines del traslado y personal autorizado</w:t>
      </w:r>
    </w:p>
    <w:p w14:paraId="2D874791"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Inversiones en infraestructura o adquisición de equipo especializado.</w:t>
      </w:r>
    </w:p>
    <w:p w14:paraId="39D155DA"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Apoyos o subsidios entregados a beneficiarios, especificando monto, concepto, fecha, criterios de asignación y comprobantes de entrega.</w:t>
      </w:r>
    </w:p>
    <w:p w14:paraId="2ED74D4F"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Ingresos propios generados, con su desglose mensual.</w:t>
      </w:r>
    </w:p>
    <w:p w14:paraId="14BDA39F"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 facturas o CFDI emitidos o recibidos vinculados a la operación de la unidad.</w:t>
      </w:r>
    </w:p>
    <w:p w14:paraId="4A3ACF05" w14:textId="77777777" w:rsidR="002F653A" w:rsidRPr="00247163" w:rsidRDefault="00CB53E8">
      <w:pPr>
        <w:numPr>
          <w:ilvl w:val="4"/>
          <w:numId w:val="31"/>
        </w:numPr>
        <w:pBdr>
          <w:top w:val="nil"/>
          <w:left w:val="nil"/>
          <w:bottom w:val="nil"/>
          <w:right w:val="nil"/>
          <w:between w:val="nil"/>
        </w:pBdr>
        <w:ind w:left="1701"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 los recibos de nómina y comprobantes de dispersión correspondientes al personal de la unidad, del 1 de enero de 2024 a la fecha de la presente solicitud, incluyendo de forma expresa:</w:t>
      </w:r>
    </w:p>
    <w:p w14:paraId="4D24DEDD" w14:textId="77777777" w:rsidR="002F653A" w:rsidRPr="00247163" w:rsidRDefault="00CB53E8">
      <w:pPr>
        <w:numPr>
          <w:ilvl w:val="5"/>
          <w:numId w:val="31"/>
        </w:numPr>
        <w:pBdr>
          <w:top w:val="nil"/>
          <w:left w:val="nil"/>
          <w:bottom w:val="nil"/>
          <w:right w:val="nil"/>
          <w:between w:val="nil"/>
        </w:pBdr>
        <w:ind w:left="1985"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Recibos individuales por cada periodo de pago</w:t>
      </w:r>
    </w:p>
    <w:p w14:paraId="1A869B48" w14:textId="77777777" w:rsidR="002F653A" w:rsidRPr="00247163" w:rsidRDefault="00CB53E8">
      <w:pPr>
        <w:numPr>
          <w:ilvl w:val="5"/>
          <w:numId w:val="31"/>
        </w:numPr>
        <w:pBdr>
          <w:top w:val="nil"/>
          <w:left w:val="nil"/>
          <w:bottom w:val="nil"/>
          <w:right w:val="nil"/>
          <w:between w:val="nil"/>
        </w:pBdr>
        <w:ind w:left="1985"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Comprobantes de transferencia bancaria (como estados de cuenta, reportes de dispersión u otros documentos generados por la institución bancaria o el área financiera) cuando el pago se haya realizado vía electrónica</w:t>
      </w:r>
    </w:p>
    <w:p w14:paraId="38FFC836" w14:textId="77777777" w:rsidR="002F653A" w:rsidRPr="00247163" w:rsidRDefault="00CB53E8">
      <w:pPr>
        <w:numPr>
          <w:ilvl w:val="5"/>
          <w:numId w:val="31"/>
        </w:numPr>
        <w:pBdr>
          <w:top w:val="nil"/>
          <w:left w:val="nil"/>
          <w:bottom w:val="nil"/>
          <w:right w:val="nil"/>
          <w:between w:val="nil"/>
        </w:pBdr>
        <w:ind w:left="1985"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En caso de pagos en efectivo, cheques u otra modalidad no electrónica, los documentos que respalden dicha entrega (relaciones firmadas, recibos físicos, actas de entrega, etc.).</w:t>
      </w:r>
    </w:p>
    <w:p w14:paraId="47B09C27"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Inventario de bienes muebles e inmuebles asignados a la unidad, incluyendo mobiliario, equipo médico, insumos y tecnología, especificando su ubicación, estado físico y persona responsable</w:t>
      </w:r>
    </w:p>
    <w:p w14:paraId="5D636A85"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 los recibos individuales y comprobantes de ingresos generados por consultas, terapias y cualquier otro servicio prestado por la unidad, correspondientes al periodo del 1 de enero de 2024 a la fecha de la presente solicitud</w:t>
      </w:r>
    </w:p>
    <w:p w14:paraId="49FA4ECD"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 los recibos y/o comprobantes de condonaciones realizadas por concepto de consultas, terapias u otros servicios, correspondientes al periodo del 1 de enero de 2024 a la fecha de la presente solicitud.</w:t>
      </w:r>
    </w:p>
    <w:p w14:paraId="22ADEA30"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 bitácoras y expedientes de atención médica o terapéutica, incluyendo número de pacientes atendidos y tipo de servicio, correspondientes al periodo del 1 de enero de 2024 a la fecha de la presente solicitud.</w:t>
      </w:r>
    </w:p>
    <w:p w14:paraId="04FDF381"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del padrón de beneficiarios atendidos por la unidad, correspondientes al periodo del 1 de enero de 2024 a la fecha de la presente solicitud.</w:t>
      </w:r>
    </w:p>
    <w:p w14:paraId="1D735AF5"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Indicadores de desempeño, metas programadas y avances alcanzados por la unidad en los ejercicios 2022, 2023, 2024 y lo que va de 2025, así como informes o evaluaciones internas que documenten resultados de atención o impacto social.</w:t>
      </w:r>
    </w:p>
    <w:p w14:paraId="6D751A3B"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Versiones públicas de todos los documentos de entrega-recepción de la unidad, correspondientes a los ejercicios administrativos 2019–2021 y 2022–2024.</w:t>
      </w:r>
    </w:p>
    <w:p w14:paraId="407C303C" w14:textId="77777777" w:rsidR="002F653A" w:rsidRPr="00247163" w:rsidRDefault="00CB53E8">
      <w:pPr>
        <w:numPr>
          <w:ilvl w:val="3"/>
          <w:numId w:val="31"/>
        </w:num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Versiones públicas de los documentos derivados de auditorías, visitas de supervisión, inspecciones o revisiones internas o externas realizadas a la unidad desde el año 2022 a la fecha, incluyendo observaciones, </w:t>
      </w:r>
      <w:r w:rsidRPr="00247163">
        <w:rPr>
          <w:rFonts w:ascii="Palatino Linotype" w:eastAsia="Palatino Linotype" w:hAnsi="Palatino Linotype" w:cs="Palatino Linotype"/>
          <w:i/>
          <w:iCs/>
          <w:color w:val="000000"/>
        </w:rPr>
        <w:lastRenderedPageBreak/>
        <w:t>recomendaciones, acciones correctivas, y cualquier otro documento vinculado al seguimiento o cumplimiento de dichas observaciones o recomendaciones.</w:t>
      </w:r>
    </w:p>
    <w:p w14:paraId="77534FBA" w14:textId="77777777" w:rsidR="002F653A" w:rsidRPr="00247163" w:rsidRDefault="002F653A">
      <w:pPr>
        <w:ind w:left="1980" w:right="-591"/>
        <w:rPr>
          <w:rFonts w:ascii="Palatino Linotype" w:eastAsia="Palatino Linotype" w:hAnsi="Palatino Linotype" w:cs="Palatino Linotype"/>
          <w:i/>
          <w:iCs/>
          <w:color w:val="000000"/>
        </w:rPr>
      </w:pPr>
    </w:p>
    <w:p w14:paraId="52267BEB" w14:textId="77777777" w:rsidR="002F653A" w:rsidRPr="00247163" w:rsidRDefault="00CB53E8">
      <w:pPr>
        <w:numPr>
          <w:ilvl w:val="0"/>
          <w:numId w:val="7"/>
        </w:numPr>
        <w:pBdr>
          <w:top w:val="nil"/>
          <w:left w:val="nil"/>
          <w:bottom w:val="nil"/>
          <w:right w:val="nil"/>
          <w:between w:val="nil"/>
        </w:pBdr>
        <w:tabs>
          <w:tab w:val="left" w:pos="851"/>
        </w:tabs>
        <w:spacing w:line="360" w:lineRule="auto"/>
        <w:ind w:left="0" w:right="-982" w:firstLine="0"/>
        <w:jc w:val="both"/>
        <w:rPr>
          <w:rFonts w:ascii="Palatino Linotype" w:eastAsia="Palatino Linotype" w:hAnsi="Palatino Linotype" w:cs="Palatino Linotype"/>
          <w:b/>
          <w:bCs/>
        </w:rPr>
      </w:pPr>
      <w:r w:rsidRPr="00247163">
        <w:rPr>
          <w:rFonts w:ascii="Palatino Linotype" w:eastAsia="Palatino Linotype" w:hAnsi="Palatino Linotype" w:cs="Palatino Linotype"/>
          <w:color w:val="000000"/>
        </w:rPr>
        <w:t>En respuesta el Sujeto Obligado, remitió en respuesta lo descrito  en el numeral 2. , por lo que, inconforme con la respuesta, se interpuso el recurso de revisión, argumentando sustancialmente la negativa a la información solicitada.</w:t>
      </w:r>
    </w:p>
    <w:p w14:paraId="296CCF33" w14:textId="77777777" w:rsidR="002F653A" w:rsidRPr="00247163" w:rsidRDefault="002F653A">
      <w:pPr>
        <w:ind w:left="720" w:right="-591"/>
        <w:jc w:val="both"/>
        <w:rPr>
          <w:rFonts w:ascii="Palatino Linotype" w:eastAsia="Palatino Linotype" w:hAnsi="Palatino Linotype" w:cs="Palatino Linotype"/>
          <w:i/>
          <w:iCs/>
          <w:color w:val="000000"/>
        </w:rPr>
      </w:pPr>
    </w:p>
    <w:p w14:paraId="4E558F6C" w14:textId="77777777" w:rsidR="002F653A" w:rsidRPr="00247163" w:rsidRDefault="00CB53E8">
      <w:pPr>
        <w:numPr>
          <w:ilvl w:val="0"/>
          <w:numId w:val="7"/>
        </w:numPr>
        <w:pBdr>
          <w:top w:val="nil"/>
          <w:left w:val="nil"/>
          <w:bottom w:val="nil"/>
          <w:right w:val="nil"/>
          <w:between w:val="nil"/>
        </w:pBdr>
        <w:spacing w:line="360" w:lineRule="auto"/>
        <w:ind w:left="0" w:right="-591" w:firstLine="0"/>
        <w:jc w:val="both"/>
      </w:pPr>
      <w:r w:rsidRPr="00247163">
        <w:rPr>
          <w:rFonts w:ascii="Palatino Linotype" w:eastAsia="Palatino Linotype" w:hAnsi="Palatino Linotype" w:cs="Palatino Linotype"/>
          <w:color w:val="000000"/>
        </w:rPr>
        <w:t xml:space="preserve">En dichas condiciones, la controversia a resolver en el presente proveído, corresponde a determinar si se actualiza la causal de procedencia prevista en el </w:t>
      </w:r>
      <w:r w:rsidRPr="00247163">
        <w:rPr>
          <w:rFonts w:ascii="Palatino Linotype" w:eastAsia="Palatino Linotype" w:hAnsi="Palatino Linotype" w:cs="Palatino Linotype"/>
          <w:b/>
          <w:bCs/>
          <w:color w:val="000000"/>
        </w:rPr>
        <w:t>artículo 179, fracción I, de la Ley de Transparencia y Acceso a la Información Pública del Estado de México y Municipios</w:t>
      </w:r>
      <w:r w:rsidRPr="00247163">
        <w:rPr>
          <w:rFonts w:ascii="Palatino Linotype" w:eastAsia="Palatino Linotype" w:hAnsi="Palatino Linotype" w:cs="Palatino Linotype"/>
          <w:color w:val="000000"/>
        </w:rPr>
        <w:t xml:space="preserve">; fracción que determina la hipótesis relativa a </w:t>
      </w:r>
      <w:r w:rsidRPr="00247163">
        <w:rPr>
          <w:rFonts w:ascii="Palatino Linotype" w:eastAsia="Palatino Linotype" w:hAnsi="Palatino Linotype" w:cs="Palatino Linotype"/>
          <w:b/>
          <w:bCs/>
          <w:color w:val="000000"/>
        </w:rPr>
        <w:t>la negativa a la entrega de la información</w:t>
      </w:r>
      <w:r w:rsidRPr="00247163">
        <w:rPr>
          <w:rFonts w:ascii="Palatino Linotype" w:eastAsia="Palatino Linotype" w:hAnsi="Palatino Linotype" w:cs="Palatino Linotype"/>
          <w:color w:val="000000"/>
        </w:rPr>
        <w:t>; contexto del cual se dolió el Recurrente al momento de interponer su inconformidad. De modo tal que el presente recurso de revisión se abocará en determinar si el Sujeto Obligado con su respuesta ciertamente actualiza la causal de procedencia</w:t>
      </w:r>
      <w:r w:rsidRPr="00247163">
        <w:rPr>
          <w:rFonts w:ascii="Palatino Linotype" w:eastAsia="Palatino Linotype" w:hAnsi="Palatino Linotype" w:cs="Palatino Linotype"/>
          <w:b/>
          <w:bCs/>
          <w:color w:val="000000"/>
        </w:rPr>
        <w:t xml:space="preserve"> </w:t>
      </w:r>
      <w:r w:rsidRPr="00247163">
        <w:rPr>
          <w:rFonts w:ascii="Palatino Linotype" w:eastAsia="Palatino Linotype" w:hAnsi="Palatino Linotype" w:cs="Palatino Linotype"/>
          <w:color w:val="000000"/>
        </w:rPr>
        <w:t xml:space="preserve">señalada. </w:t>
      </w:r>
    </w:p>
    <w:p w14:paraId="25264410" w14:textId="77777777" w:rsidR="000101BB" w:rsidRPr="00247163" w:rsidRDefault="000101BB">
      <w:pPr>
        <w:pStyle w:val="Ttulo2"/>
        <w:ind w:right="-591"/>
        <w:rPr>
          <w:rFonts w:ascii="Palatino Linotype" w:eastAsia="Palatino Linotype" w:hAnsi="Palatino Linotype" w:cs="Palatino Linotype"/>
          <w:b/>
          <w:bCs/>
          <w:color w:val="000000"/>
          <w:sz w:val="24"/>
          <w:szCs w:val="24"/>
        </w:rPr>
      </w:pPr>
      <w:bookmarkStart w:id="2" w:name="_heading=h.1t3h5sf" w:colFirst="0" w:colLast="0"/>
      <w:bookmarkEnd w:id="2"/>
    </w:p>
    <w:p w14:paraId="436C0F68" w14:textId="77777777" w:rsidR="002F653A" w:rsidRPr="00247163" w:rsidRDefault="00CB53E8">
      <w:pPr>
        <w:pStyle w:val="Ttulo2"/>
        <w:ind w:right="-591"/>
        <w:rPr>
          <w:rFonts w:ascii="Palatino Linotype" w:eastAsia="Palatino Linotype" w:hAnsi="Palatino Linotype" w:cs="Palatino Linotype"/>
          <w:b/>
          <w:bCs/>
          <w:color w:val="000000"/>
          <w:sz w:val="24"/>
          <w:szCs w:val="24"/>
        </w:rPr>
      </w:pPr>
      <w:r w:rsidRPr="00247163">
        <w:rPr>
          <w:rFonts w:ascii="Palatino Linotype" w:eastAsia="Palatino Linotype" w:hAnsi="Palatino Linotype" w:cs="Palatino Linotype"/>
          <w:b/>
          <w:bCs/>
          <w:color w:val="000000"/>
          <w:sz w:val="24"/>
          <w:szCs w:val="24"/>
        </w:rPr>
        <w:t>CUARTO. Del estudio y resolución del asunto.</w:t>
      </w:r>
    </w:p>
    <w:p w14:paraId="2397D536" w14:textId="77777777" w:rsidR="002F653A" w:rsidRPr="00247163" w:rsidRDefault="00CB53E8">
      <w:pPr>
        <w:keepNext/>
        <w:keepLines/>
        <w:numPr>
          <w:ilvl w:val="0"/>
          <w:numId w:val="8"/>
        </w:numPr>
        <w:spacing w:after="240" w:line="276" w:lineRule="auto"/>
        <w:ind w:left="786" w:right="-982"/>
        <w:rPr>
          <w:rFonts w:ascii="Palatino Linotype" w:eastAsia="Palatino Linotype" w:hAnsi="Palatino Linotype" w:cs="Palatino Linotype"/>
          <w:b/>
          <w:bCs/>
        </w:rPr>
      </w:pPr>
      <w:r w:rsidRPr="00247163">
        <w:rPr>
          <w:rFonts w:ascii="Palatino Linotype" w:eastAsia="Palatino Linotype" w:hAnsi="Palatino Linotype" w:cs="Palatino Linotype"/>
          <w:b/>
          <w:bCs/>
        </w:rPr>
        <w:t>Del derecho de acceso a la información.</w:t>
      </w:r>
    </w:p>
    <w:p w14:paraId="12DB3696" w14:textId="77777777" w:rsidR="002F653A" w:rsidRPr="00247163" w:rsidRDefault="00CB53E8">
      <w:pPr>
        <w:numPr>
          <w:ilvl w:val="0"/>
          <w:numId w:val="9"/>
        </w:numPr>
        <w:pBdr>
          <w:top w:val="nil"/>
          <w:left w:val="nil"/>
          <w:bottom w:val="nil"/>
          <w:right w:val="nil"/>
          <w:between w:val="nil"/>
        </w:pBdr>
        <w:spacing w:line="360" w:lineRule="auto"/>
        <w:ind w:left="0" w:right="-982"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7EC9D448" w14:textId="77777777" w:rsidR="002F653A" w:rsidRPr="00247163" w:rsidRDefault="002F653A">
      <w:pPr>
        <w:spacing w:line="360" w:lineRule="auto"/>
        <w:ind w:right="-982"/>
        <w:jc w:val="both"/>
        <w:rPr>
          <w:rFonts w:ascii="Palatino Linotype" w:eastAsia="Palatino Linotype" w:hAnsi="Palatino Linotype" w:cs="Palatino Linotype"/>
        </w:rPr>
      </w:pPr>
    </w:p>
    <w:p w14:paraId="1FE1CC6A" w14:textId="77777777" w:rsidR="002F653A" w:rsidRPr="00247163" w:rsidRDefault="00CB53E8">
      <w:pPr>
        <w:numPr>
          <w:ilvl w:val="0"/>
          <w:numId w:val="9"/>
        </w:numPr>
        <w:spacing w:line="360" w:lineRule="auto"/>
        <w:ind w:left="0" w:right="-982"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Definiendo el Derecho de Acceso a la Información Pública como: </w:t>
      </w:r>
      <w:r w:rsidRPr="00247163">
        <w:rPr>
          <w:rFonts w:ascii="Palatino Linotype" w:eastAsia="Palatino Linotype" w:hAnsi="Palatino Linotype" w:cs="Palatino Linotype"/>
          <w:i/>
          <w:iCs/>
          <w:color w:val="000000"/>
        </w:rPr>
        <w:t>La igualdad de oportunidades para recibir, buscar e impartir información</w:t>
      </w:r>
      <w:r w:rsidRPr="00247163">
        <w:rPr>
          <w:rFonts w:ascii="Palatino Linotype" w:eastAsia="Palatino Linotype" w:hAnsi="Palatino Linotype" w:cs="Palatino Linotype"/>
          <w:i/>
          <w:iCs/>
          <w:vertAlign w:val="superscript"/>
        </w:rPr>
        <w:footnoteReference w:id="1"/>
      </w:r>
      <w:r w:rsidRPr="00247163">
        <w:rPr>
          <w:rFonts w:ascii="Palatino Linotype" w:eastAsia="Palatino Linotype" w:hAnsi="Palatino Linotype" w:cs="Palatino Linotype"/>
          <w:i/>
          <w:iCs/>
          <w:color w:val="000000"/>
        </w:rPr>
        <w:t xml:space="preserve">en posesión de cualquier autoridad, entidad, órgano y organismo </w:t>
      </w:r>
      <w:r w:rsidRPr="00247163">
        <w:rPr>
          <w:rFonts w:ascii="Palatino Linotype" w:eastAsia="Palatino Linotype" w:hAnsi="Palatino Linotype" w:cs="Palatino Linotype"/>
          <w:i/>
          <w:iCs/>
          <w:color w:val="000000"/>
        </w:rPr>
        <w:lastRenderedPageBreak/>
        <w:t>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47163">
        <w:rPr>
          <w:rFonts w:ascii="Palatino Linotype" w:eastAsia="Palatino Linotype" w:hAnsi="Palatino Linotype" w:cs="Palatino Linotype"/>
          <w:i/>
          <w:iCs/>
          <w:vertAlign w:val="superscript"/>
        </w:rPr>
        <w:footnoteReference w:id="2"/>
      </w:r>
      <w:r w:rsidRPr="00247163">
        <w:rPr>
          <w:rFonts w:ascii="Palatino Linotype" w:eastAsia="Palatino Linotype" w:hAnsi="Palatino Linotype" w:cs="Palatino Linotype"/>
          <w:color w:val="000000"/>
        </w:rPr>
        <w:t>que se constituye como una herramienta fundamental para ejercer</w:t>
      </w:r>
      <w:r w:rsidRPr="00247163">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247163">
        <w:rPr>
          <w:rFonts w:ascii="Palatino Linotype" w:eastAsia="Palatino Linotype" w:hAnsi="Palatino Linotype" w:cs="Palatino Linotype"/>
          <w:i/>
          <w:iCs/>
          <w:vertAlign w:val="superscript"/>
        </w:rPr>
        <w:footnoteReference w:id="3"/>
      </w:r>
      <w:r w:rsidRPr="00247163">
        <w:rPr>
          <w:rFonts w:ascii="Palatino Linotype" w:eastAsia="Palatino Linotype" w:hAnsi="Palatino Linotype" w:cs="Palatino Linotype"/>
          <w:color w:val="000000"/>
        </w:rPr>
        <w:t>fomentando</w:t>
      </w:r>
      <w:r w:rsidRPr="00247163">
        <w:rPr>
          <w:rFonts w:ascii="Palatino Linotype" w:eastAsia="Palatino Linotype" w:hAnsi="Palatino Linotype" w:cs="Palatino Linotype"/>
          <w:i/>
          <w:iCs/>
          <w:color w:val="000000"/>
        </w:rPr>
        <w:t xml:space="preserve"> la transparencia de las actividades estatales y </w:t>
      </w:r>
      <w:r w:rsidRPr="00247163">
        <w:rPr>
          <w:rFonts w:ascii="Palatino Linotype" w:eastAsia="Palatino Linotype" w:hAnsi="Palatino Linotype" w:cs="Palatino Linotype"/>
          <w:color w:val="000000"/>
        </w:rPr>
        <w:t>promoviendo</w:t>
      </w:r>
      <w:r w:rsidRPr="00247163">
        <w:rPr>
          <w:rFonts w:ascii="Palatino Linotype" w:eastAsia="Palatino Linotype" w:hAnsi="Palatino Linotype" w:cs="Palatino Linotype"/>
          <w:i/>
          <w:iCs/>
          <w:color w:val="000000"/>
        </w:rPr>
        <w:t xml:space="preserve"> la responsabilidad de los funcionarios sobre su gestión pública,</w:t>
      </w:r>
      <w:r w:rsidRPr="00247163">
        <w:rPr>
          <w:rFonts w:ascii="Palatino Linotype" w:eastAsia="Palatino Linotype" w:hAnsi="Palatino Linotype" w:cs="Palatino Linotype"/>
          <w:i/>
          <w:iCs/>
          <w:vertAlign w:val="superscript"/>
        </w:rPr>
        <w:footnoteReference w:id="4"/>
      </w:r>
      <w:r w:rsidRPr="00247163">
        <w:rPr>
          <w:rFonts w:ascii="Palatino Linotype" w:eastAsia="Palatino Linotype" w:hAnsi="Palatino Linotype" w:cs="Palatino Linotype"/>
          <w:color w:val="000000"/>
        </w:rPr>
        <w:t>que permite</w:t>
      </w:r>
      <w:r w:rsidRPr="00247163">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480DCDAA" w14:textId="77777777" w:rsidR="000101BB" w:rsidRPr="00247163" w:rsidRDefault="000101BB" w:rsidP="000101BB">
      <w:pPr>
        <w:spacing w:line="360" w:lineRule="auto"/>
        <w:ind w:right="-982"/>
        <w:jc w:val="both"/>
        <w:rPr>
          <w:rFonts w:ascii="Palatino Linotype" w:eastAsia="Palatino Linotype" w:hAnsi="Palatino Linotype" w:cs="Palatino Linotype"/>
        </w:rPr>
      </w:pPr>
    </w:p>
    <w:p w14:paraId="346BB488" w14:textId="77777777" w:rsidR="002F653A" w:rsidRPr="00247163" w:rsidRDefault="00CB53E8">
      <w:pPr>
        <w:numPr>
          <w:ilvl w:val="0"/>
          <w:numId w:val="9"/>
        </w:numPr>
        <w:spacing w:line="360" w:lineRule="auto"/>
        <w:ind w:left="0" w:right="-982"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2F99DD3" w14:textId="77777777" w:rsidR="002F653A" w:rsidRPr="00247163" w:rsidRDefault="00CB53E8">
      <w:pPr>
        <w:ind w:left="1134" w:right="-98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r w:rsidRPr="00247163">
        <w:rPr>
          <w:rFonts w:ascii="Palatino Linotype" w:eastAsia="Palatino Linotype" w:hAnsi="Palatino Linotype" w:cs="Palatino Linotype"/>
          <w:b/>
          <w:bCs/>
          <w:i/>
          <w:iCs/>
        </w:rPr>
        <w:t>Artículo 1.-</w:t>
      </w:r>
      <w:r w:rsidRPr="00247163">
        <w:rPr>
          <w:rFonts w:ascii="Palatino Linotype" w:eastAsia="Palatino Linotype" w:hAnsi="Palatino Linotype" w:cs="Palatino Linotype"/>
          <w:i/>
          <w:iCs/>
        </w:rPr>
        <w:t xml:space="preserve"> </w:t>
      </w:r>
    </w:p>
    <w:p w14:paraId="5D286804" w14:textId="77777777" w:rsidR="002F653A" w:rsidRPr="00247163" w:rsidRDefault="00CB53E8">
      <w:pPr>
        <w:ind w:left="1134" w:right="-98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722B3C6A"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Todas las</w:t>
      </w:r>
      <w:r w:rsidRPr="00247163">
        <w:rPr>
          <w:rFonts w:ascii="Palatino Linotype" w:eastAsia="Palatino Linotype" w:hAnsi="Palatino Linotype" w:cs="Palatino Linotype"/>
        </w:rPr>
        <w:t xml:space="preserve"> </w:t>
      </w:r>
      <w:r w:rsidRPr="00247163">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FB99BF9" w14:textId="77777777" w:rsidR="002F653A" w:rsidRPr="00247163" w:rsidRDefault="00CB53E8">
      <w:pPr>
        <w:ind w:left="1134" w:right="-982"/>
        <w:jc w:val="both"/>
        <w:rPr>
          <w:rFonts w:ascii="Palatino Linotype" w:eastAsia="Palatino Linotype" w:hAnsi="Palatino Linotype" w:cs="Palatino Linotype"/>
        </w:rPr>
      </w:pPr>
      <w:r w:rsidRPr="00247163">
        <w:rPr>
          <w:rFonts w:ascii="Palatino Linotype" w:eastAsia="Palatino Linotype" w:hAnsi="Palatino Linotype" w:cs="Palatino Linotype"/>
          <w:i/>
          <w:iCs/>
        </w:rPr>
        <w:t>(…)</w:t>
      </w:r>
      <w:r w:rsidRPr="00247163">
        <w:rPr>
          <w:rFonts w:ascii="Palatino Linotype" w:eastAsia="Palatino Linotype" w:hAnsi="Palatino Linotype" w:cs="Palatino Linotype"/>
        </w:rPr>
        <w:t>”.</w:t>
      </w:r>
    </w:p>
    <w:p w14:paraId="0EA1AE33" w14:textId="77777777" w:rsidR="002F653A" w:rsidRPr="00247163" w:rsidRDefault="002F653A">
      <w:pPr>
        <w:ind w:left="1134" w:right="-982"/>
        <w:jc w:val="both"/>
        <w:rPr>
          <w:rFonts w:ascii="Palatino Linotype" w:eastAsia="Palatino Linotype" w:hAnsi="Palatino Linotype" w:cs="Palatino Linotype"/>
          <w:b/>
          <w:bCs/>
        </w:rPr>
      </w:pPr>
    </w:p>
    <w:p w14:paraId="6BA48F0D" w14:textId="77777777" w:rsidR="002F653A" w:rsidRPr="00247163" w:rsidRDefault="00CB53E8">
      <w:pPr>
        <w:numPr>
          <w:ilvl w:val="0"/>
          <w:numId w:val="9"/>
        </w:numPr>
        <w:spacing w:line="360" w:lineRule="auto"/>
        <w:ind w:left="0" w:right="-982"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derecho, </w:t>
      </w:r>
      <w:r w:rsidRPr="00247163">
        <w:rPr>
          <w:rFonts w:ascii="Palatino Linotype" w:eastAsia="Palatino Linotype" w:hAnsi="Palatino Linotype" w:cs="Palatino Linotype"/>
        </w:rPr>
        <w:lastRenderedPageBreak/>
        <w:t>también se reconocen garantías para su protección, lo que vincula con el mandato del párrafo tercero del mismo artículo.</w:t>
      </w:r>
    </w:p>
    <w:p w14:paraId="2310CC3A" w14:textId="77777777" w:rsidR="002F653A" w:rsidRPr="00247163" w:rsidRDefault="002F653A">
      <w:pPr>
        <w:spacing w:line="360" w:lineRule="auto"/>
        <w:ind w:left="360" w:right="-982"/>
        <w:jc w:val="both"/>
        <w:rPr>
          <w:rFonts w:ascii="Palatino Linotype" w:eastAsia="Palatino Linotype" w:hAnsi="Palatino Linotype" w:cs="Palatino Linotype"/>
        </w:rPr>
      </w:pPr>
    </w:p>
    <w:p w14:paraId="56779321" w14:textId="77777777" w:rsidR="002F653A" w:rsidRPr="00247163" w:rsidRDefault="00CB53E8">
      <w:pPr>
        <w:numPr>
          <w:ilvl w:val="0"/>
          <w:numId w:val="9"/>
        </w:numPr>
        <w:spacing w:line="360" w:lineRule="auto"/>
        <w:ind w:left="0" w:right="-982"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44542C75" w14:textId="77777777" w:rsidR="002F653A" w:rsidRPr="00247163" w:rsidRDefault="00CB53E8">
      <w:pPr>
        <w:tabs>
          <w:tab w:val="left" w:pos="7938"/>
        </w:tabs>
        <w:spacing w:after="240"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Constitución Política de los Estados Unidos Mexicanos</w:t>
      </w:r>
    </w:p>
    <w:p w14:paraId="6C3A6BAE" w14:textId="77777777" w:rsidR="002F653A" w:rsidRPr="00247163" w:rsidRDefault="00CB53E8">
      <w:pPr>
        <w:tabs>
          <w:tab w:val="left" w:pos="7938"/>
        </w:tabs>
        <w:spacing w:before="240" w:after="240"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“Artículo 6.</w:t>
      </w:r>
    </w:p>
    <w:p w14:paraId="1841D0A0" w14:textId="77777777" w:rsidR="002F653A" w:rsidRPr="00247163" w:rsidRDefault="00CB53E8">
      <w:pPr>
        <w:tabs>
          <w:tab w:val="left" w:pos="7938"/>
        </w:tabs>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2FED3882" w14:textId="77777777" w:rsidR="002F653A" w:rsidRPr="00247163" w:rsidRDefault="00CB53E8">
      <w:pPr>
        <w:tabs>
          <w:tab w:val="left" w:pos="7938"/>
        </w:tabs>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Para efectos de lo dispuesto en el presente artículo se observará lo siguiente:</w:t>
      </w:r>
    </w:p>
    <w:p w14:paraId="3A9D9769" w14:textId="77777777" w:rsidR="002F653A" w:rsidRPr="00247163" w:rsidRDefault="00CB53E8">
      <w:pPr>
        <w:tabs>
          <w:tab w:val="left" w:pos="7938"/>
        </w:tabs>
        <w:spacing w:before="240" w:after="240"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A</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Para el ejercicio del derecho de acceso a la información</w:t>
      </w:r>
      <w:r w:rsidRPr="00247163">
        <w:rPr>
          <w:rFonts w:ascii="Palatino Linotype" w:eastAsia="Palatino Linotype" w:hAnsi="Palatino Linotype" w:cs="Palatino Linotype"/>
          <w:i/>
          <w:iCs/>
        </w:rPr>
        <w:t xml:space="preserve">, la Federación y </w:t>
      </w:r>
      <w:r w:rsidRPr="00247163">
        <w:rPr>
          <w:rFonts w:ascii="Palatino Linotype" w:eastAsia="Palatino Linotype" w:hAnsi="Palatino Linotype" w:cs="Palatino Linotype"/>
          <w:b/>
          <w:bCs/>
          <w:i/>
          <w:iCs/>
        </w:rPr>
        <w:t>las entidades federativas, en el ámbito de sus respectivas competencias, se regirán por los siguientes principios y bases:</w:t>
      </w:r>
    </w:p>
    <w:p w14:paraId="4AC67C39" w14:textId="77777777" w:rsidR="002F653A" w:rsidRPr="00247163" w:rsidRDefault="00CB53E8">
      <w:pPr>
        <w:tabs>
          <w:tab w:val="left" w:pos="7938"/>
        </w:tabs>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I. Toda la información en posesión de cualquier</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autoridad</w:t>
      </w:r>
      <w:r w:rsidRPr="00247163">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47163">
        <w:rPr>
          <w:rFonts w:ascii="Palatino Linotype" w:eastAsia="Palatino Linotype" w:hAnsi="Palatino Linotype" w:cs="Palatino Linotype"/>
          <w:b/>
          <w:bCs/>
          <w:i/>
          <w:iCs/>
        </w:rPr>
        <w:t>municipal</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es pública</w:t>
      </w:r>
      <w:r w:rsidRPr="00247163">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247163">
        <w:rPr>
          <w:rFonts w:ascii="Palatino Linotype" w:eastAsia="Palatino Linotype" w:hAnsi="Palatino Linotype" w:cs="Palatino Linotype"/>
          <w:b/>
          <w:bCs/>
          <w:i/>
          <w:iCs/>
        </w:rPr>
        <w:t xml:space="preserve">En la interpretación de este derecho deberá prevalecer el principio de máxima publicidad. Los sujetos obligados deberán documentar todo acto que derive del ejercicio de sus facultades, competencias o </w:t>
      </w:r>
      <w:r w:rsidRPr="00247163">
        <w:rPr>
          <w:rFonts w:ascii="Palatino Linotype" w:eastAsia="Palatino Linotype" w:hAnsi="Palatino Linotype" w:cs="Palatino Linotype"/>
          <w:b/>
          <w:bCs/>
          <w:i/>
          <w:iCs/>
        </w:rPr>
        <w:lastRenderedPageBreak/>
        <w:t>funciones</w:t>
      </w:r>
      <w:r w:rsidRPr="00247163">
        <w:rPr>
          <w:rFonts w:ascii="Palatino Linotype" w:eastAsia="Palatino Linotype" w:hAnsi="Palatino Linotype" w:cs="Palatino Linotype"/>
          <w:i/>
          <w:iCs/>
        </w:rPr>
        <w:t>, la ley determinará los supuestos específicos bajo los cuales procederá la declaración de inexistencia de la información.”</w:t>
      </w:r>
    </w:p>
    <w:p w14:paraId="3B9871D2" w14:textId="77777777" w:rsidR="002F653A" w:rsidRPr="00247163" w:rsidRDefault="002F653A">
      <w:pPr>
        <w:tabs>
          <w:tab w:val="left" w:pos="567"/>
          <w:tab w:val="left" w:pos="7938"/>
        </w:tabs>
        <w:spacing w:before="240"/>
        <w:ind w:left="1134" w:right="822"/>
        <w:jc w:val="both"/>
        <w:rPr>
          <w:rFonts w:ascii="Palatino Linotype" w:eastAsia="Palatino Linotype" w:hAnsi="Palatino Linotype" w:cs="Palatino Linotype"/>
          <w:b/>
          <w:bCs/>
          <w:i/>
          <w:iCs/>
        </w:rPr>
      </w:pPr>
    </w:p>
    <w:p w14:paraId="62535A55" w14:textId="77777777" w:rsidR="002F653A" w:rsidRPr="00247163" w:rsidRDefault="00CB53E8">
      <w:pPr>
        <w:tabs>
          <w:tab w:val="left" w:pos="7938"/>
        </w:tabs>
        <w:spacing w:after="240"/>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Constitución Política del Estado Libre y Soberano de México</w:t>
      </w:r>
    </w:p>
    <w:p w14:paraId="32BD4EF0" w14:textId="77777777" w:rsidR="002F653A" w:rsidRPr="00247163" w:rsidRDefault="00CB53E8">
      <w:pPr>
        <w:tabs>
          <w:tab w:val="left" w:pos="7938"/>
        </w:tabs>
        <w:spacing w:before="240" w:after="24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5</w:t>
      </w:r>
      <w:r w:rsidRPr="00247163">
        <w:rPr>
          <w:rFonts w:ascii="Palatino Linotype" w:eastAsia="Palatino Linotype" w:hAnsi="Palatino Linotype" w:cs="Palatino Linotype"/>
          <w:i/>
          <w:iCs/>
        </w:rPr>
        <w:t xml:space="preserve">.- </w:t>
      </w:r>
    </w:p>
    <w:p w14:paraId="238A21C9" w14:textId="77777777" w:rsidR="002F653A" w:rsidRPr="00247163" w:rsidRDefault="00CB53E8">
      <w:pPr>
        <w:tabs>
          <w:tab w:val="left" w:pos="7938"/>
        </w:tabs>
        <w:spacing w:before="240" w:after="24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053ED246" w14:textId="77777777" w:rsidR="002F653A" w:rsidRPr="00247163" w:rsidRDefault="00CB53E8">
      <w:pPr>
        <w:tabs>
          <w:tab w:val="left" w:pos="7938"/>
        </w:tabs>
        <w:spacing w:before="240" w:after="24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247163">
        <w:rPr>
          <w:rFonts w:ascii="Palatino Linotype" w:eastAsia="Palatino Linotype" w:hAnsi="Palatino Linotype" w:cs="Palatino Linotype"/>
          <w:i/>
          <w:iCs/>
        </w:rPr>
        <w:t>.</w:t>
      </w:r>
    </w:p>
    <w:p w14:paraId="56156806" w14:textId="77777777" w:rsidR="002F653A" w:rsidRPr="00247163" w:rsidRDefault="00CB53E8">
      <w:pPr>
        <w:tabs>
          <w:tab w:val="left" w:pos="7938"/>
        </w:tabs>
        <w:spacing w:before="240" w:after="24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0E44888C" w14:textId="77777777" w:rsidR="002F653A" w:rsidRPr="00247163" w:rsidRDefault="002F653A">
      <w:pPr>
        <w:tabs>
          <w:tab w:val="left" w:pos="7938"/>
        </w:tabs>
        <w:spacing w:before="240" w:after="240"/>
        <w:ind w:left="1134" w:right="822"/>
        <w:jc w:val="both"/>
        <w:rPr>
          <w:rFonts w:ascii="Palatino Linotype" w:eastAsia="Palatino Linotype" w:hAnsi="Palatino Linotype" w:cs="Palatino Linotype"/>
          <w:i/>
          <w:iCs/>
        </w:rPr>
      </w:pPr>
    </w:p>
    <w:p w14:paraId="76371894" w14:textId="77777777" w:rsidR="002F653A" w:rsidRPr="00247163" w:rsidRDefault="00CB53E8">
      <w:pPr>
        <w:tabs>
          <w:tab w:val="left" w:pos="7938"/>
        </w:tabs>
        <w:spacing w:before="240" w:after="24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Este derecho se regirá por los principios y bases siguientes</w:t>
      </w:r>
      <w:r w:rsidRPr="00247163">
        <w:rPr>
          <w:rFonts w:ascii="Palatino Linotype" w:eastAsia="Palatino Linotype" w:hAnsi="Palatino Linotype" w:cs="Palatino Linotype"/>
          <w:i/>
          <w:iCs/>
        </w:rPr>
        <w:t>:</w:t>
      </w:r>
    </w:p>
    <w:p w14:paraId="3AB6EF09" w14:textId="77777777" w:rsidR="002F653A" w:rsidRPr="00247163" w:rsidRDefault="00CB53E8">
      <w:pPr>
        <w:tabs>
          <w:tab w:val="left" w:pos="7938"/>
        </w:tabs>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I. Toda la información en posesión de cualquier autoridad, entidad, órgano y organismos de los</w:t>
      </w:r>
      <w:r w:rsidRPr="00247163">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247163">
        <w:rPr>
          <w:rFonts w:ascii="Palatino Linotype" w:eastAsia="Palatino Linotype" w:hAnsi="Palatino Linotype" w:cs="Palatino Linotype"/>
          <w:b/>
          <w:bCs/>
          <w:i/>
          <w:iCs/>
        </w:rPr>
        <w:t>municipales</w:t>
      </w:r>
      <w:r w:rsidRPr="00247163">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47163">
        <w:rPr>
          <w:rFonts w:ascii="Palatino Linotype" w:eastAsia="Palatino Linotype" w:hAnsi="Palatino Linotype" w:cs="Palatino Linotype"/>
          <w:b/>
          <w:bCs/>
          <w:i/>
          <w:iCs/>
        </w:rPr>
        <w:t>es pública</w:t>
      </w:r>
      <w:r w:rsidRPr="00247163">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247163">
        <w:rPr>
          <w:rFonts w:ascii="Palatino Linotype" w:eastAsia="Palatino Linotype" w:hAnsi="Palatino Linotype" w:cs="Palatino Linotype"/>
          <w:b/>
          <w:bCs/>
          <w:i/>
          <w:iCs/>
        </w:rPr>
        <w:t>En la interpretación de este derecho deberá prevalecer el principio de máxima publicidad</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 xml:space="preserve">Los sujetos obligados deberán documentar todo acto que derive del ejercicio de </w:t>
      </w:r>
      <w:r w:rsidRPr="00247163">
        <w:rPr>
          <w:rFonts w:ascii="Palatino Linotype" w:eastAsia="Palatino Linotype" w:hAnsi="Palatino Linotype" w:cs="Palatino Linotype"/>
          <w:b/>
          <w:bCs/>
          <w:i/>
          <w:iCs/>
        </w:rPr>
        <w:lastRenderedPageBreak/>
        <w:t>sus facultades, competencias o funciones</w:t>
      </w:r>
      <w:r w:rsidRPr="00247163">
        <w:rPr>
          <w:rFonts w:ascii="Palatino Linotype" w:eastAsia="Palatino Linotype" w:hAnsi="Palatino Linotype" w:cs="Palatino Linotype"/>
          <w:i/>
          <w:iCs/>
        </w:rPr>
        <w:t>, la ley determinará los supuestos específicos bajo los cuales procederá la declaración de inexistencia de la información.”</w:t>
      </w:r>
    </w:p>
    <w:p w14:paraId="16FCFD1F" w14:textId="77777777" w:rsidR="002F653A" w:rsidRPr="00247163" w:rsidRDefault="002F653A">
      <w:pPr>
        <w:tabs>
          <w:tab w:val="left" w:pos="567"/>
        </w:tabs>
        <w:spacing w:before="240" w:after="240"/>
        <w:ind w:right="822"/>
        <w:jc w:val="both"/>
        <w:rPr>
          <w:rFonts w:ascii="Palatino Linotype" w:eastAsia="Palatino Linotype" w:hAnsi="Palatino Linotype" w:cs="Palatino Linotype"/>
          <w:b/>
          <w:bCs/>
          <w:i/>
          <w:iCs/>
        </w:rPr>
      </w:pPr>
    </w:p>
    <w:p w14:paraId="0287415E" w14:textId="77777777" w:rsidR="002F653A" w:rsidRPr="00247163" w:rsidRDefault="00CB53E8">
      <w:pPr>
        <w:numPr>
          <w:ilvl w:val="0"/>
          <w:numId w:val="9"/>
        </w:numPr>
        <w:spacing w:before="240" w:line="360" w:lineRule="auto"/>
        <w:ind w:left="0" w:right="-982"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247163">
        <w:rPr>
          <w:rFonts w:ascii="Palatino Linotype" w:eastAsia="Palatino Linotype" w:hAnsi="Palatino Linotype" w:cs="Palatino Linotype"/>
          <w:i/>
          <w:iCs/>
        </w:rPr>
        <w:t>por los principios de simplicidad, rapidez gratuidad del procedimiento, auxilio y orientación a los particulares</w:t>
      </w:r>
      <w:r w:rsidRPr="00247163">
        <w:rPr>
          <w:rFonts w:ascii="Palatino Linotype" w:eastAsia="Palatino Linotype" w:hAnsi="Palatino Linotype" w:cs="Palatino Linotype"/>
        </w:rPr>
        <w:t>, contemplando el derecho de las personas con discapacidad y hablantes de lengua indígena.</w:t>
      </w:r>
    </w:p>
    <w:p w14:paraId="19E361FB" w14:textId="77777777" w:rsidR="002F653A" w:rsidRPr="00247163" w:rsidRDefault="002F653A">
      <w:pPr>
        <w:spacing w:line="360" w:lineRule="auto"/>
        <w:ind w:right="-982"/>
        <w:jc w:val="both"/>
        <w:rPr>
          <w:rFonts w:ascii="Palatino Linotype" w:eastAsia="Palatino Linotype" w:hAnsi="Palatino Linotype" w:cs="Palatino Linotype"/>
        </w:rPr>
      </w:pPr>
    </w:p>
    <w:p w14:paraId="4332A1D1" w14:textId="77777777" w:rsidR="002F653A" w:rsidRPr="00247163" w:rsidRDefault="00CB53E8">
      <w:pPr>
        <w:numPr>
          <w:ilvl w:val="0"/>
          <w:numId w:val="9"/>
        </w:numPr>
        <w:spacing w:line="360" w:lineRule="auto"/>
        <w:ind w:left="0" w:right="-982"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Derecho de Acceso a la Información se garantiza y respeta oportunamente, y según lo que dispone la Ley, las </w:t>
      </w:r>
      <w:r w:rsidRPr="00247163">
        <w:rPr>
          <w:rFonts w:ascii="Palatino Linotype" w:eastAsia="Palatino Linotype" w:hAnsi="Palatino Linotype" w:cs="Palatino Linotype"/>
          <w:i/>
          <w:iCs/>
        </w:rPr>
        <w:t>solicitudes de acceso a la información</w:t>
      </w:r>
      <w:r w:rsidRPr="00247163">
        <w:rPr>
          <w:rFonts w:ascii="Palatino Linotype" w:eastAsia="Palatino Linotype" w:hAnsi="Palatino Linotype" w:cs="Palatino Linotype"/>
        </w:rPr>
        <w:t>.</w:t>
      </w:r>
    </w:p>
    <w:p w14:paraId="0876B249" w14:textId="77777777" w:rsidR="002F653A" w:rsidRPr="00247163" w:rsidRDefault="002F653A">
      <w:pPr>
        <w:spacing w:line="360" w:lineRule="auto"/>
        <w:ind w:right="-982"/>
        <w:jc w:val="both"/>
        <w:rPr>
          <w:rFonts w:ascii="Palatino Linotype" w:eastAsia="Palatino Linotype" w:hAnsi="Palatino Linotype" w:cs="Palatino Linotype"/>
        </w:rPr>
      </w:pPr>
    </w:p>
    <w:p w14:paraId="4CA24873" w14:textId="77777777" w:rsidR="002F653A" w:rsidRPr="00247163" w:rsidRDefault="00CB53E8">
      <w:pPr>
        <w:numPr>
          <w:ilvl w:val="0"/>
          <w:numId w:val="9"/>
        </w:numPr>
        <w:spacing w:line="360" w:lineRule="auto"/>
        <w:ind w:left="0" w:right="-982" w:firstLine="0"/>
        <w:jc w:val="both"/>
        <w:rPr>
          <w:rFonts w:ascii="Palatino Linotype" w:eastAsia="Palatino Linotype" w:hAnsi="Palatino Linotype" w:cs="Palatino Linotype"/>
        </w:rPr>
      </w:pPr>
      <w:bookmarkStart w:id="3" w:name="_heading=h.17dp8vu" w:colFirst="0" w:colLast="0"/>
      <w:bookmarkEnd w:id="3"/>
      <w:r w:rsidRPr="00247163">
        <w:rPr>
          <w:rFonts w:ascii="Palatino Linotype" w:eastAsia="Palatino Linotype" w:hAnsi="Palatino Linotype" w:cs="Palatino Linotype"/>
        </w:rPr>
        <w:t xml:space="preserve">Así entonces, se procede analizar, en primer lugar, si 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08C24AE2" w14:textId="77777777" w:rsidR="002F653A" w:rsidRPr="00247163" w:rsidRDefault="002F653A"/>
    <w:p w14:paraId="20BF712F" w14:textId="77777777" w:rsidR="002F653A" w:rsidRPr="00247163" w:rsidRDefault="00CB53E8">
      <w:pPr>
        <w:numPr>
          <w:ilvl w:val="0"/>
          <w:numId w:val="29"/>
        </w:numPr>
        <w:spacing w:line="360" w:lineRule="auto"/>
        <w:ind w:left="0" w:right="-591" w:firstLine="0"/>
        <w:jc w:val="both"/>
      </w:pPr>
      <w:r w:rsidRPr="00247163">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w:t>
      </w:r>
      <w:r w:rsidRPr="00247163">
        <w:rPr>
          <w:rFonts w:ascii="Palatino Linotype" w:eastAsia="Palatino Linotype" w:hAnsi="Palatino Linotype" w:cs="Palatino Linotype"/>
        </w:rPr>
        <w:lastRenderedPageBreak/>
        <w:t>documentar todo acto que derive del ejercicio de sus facultades, competencias o funciones desde su origen la eventual publicidad y reutilización de la información que generen.</w:t>
      </w:r>
    </w:p>
    <w:p w14:paraId="6B65CA93" w14:textId="77777777" w:rsidR="002F653A" w:rsidRPr="00247163" w:rsidRDefault="002F653A">
      <w:pPr>
        <w:spacing w:line="360" w:lineRule="auto"/>
        <w:ind w:right="-591"/>
        <w:jc w:val="both"/>
        <w:rPr>
          <w:rFonts w:ascii="Palatino Linotype" w:eastAsia="Palatino Linotype" w:hAnsi="Palatino Linotype" w:cs="Palatino Linotype"/>
        </w:rPr>
      </w:pPr>
    </w:p>
    <w:p w14:paraId="3B195394" w14:textId="77777777" w:rsidR="002F653A" w:rsidRPr="00247163" w:rsidRDefault="00CB53E8">
      <w:pPr>
        <w:numPr>
          <w:ilvl w:val="0"/>
          <w:numId w:val="29"/>
        </w:numPr>
        <w:spacing w:line="360" w:lineRule="auto"/>
        <w:ind w:left="0" w:right="-591" w:firstLine="0"/>
        <w:jc w:val="both"/>
      </w:pPr>
      <w:r w:rsidRPr="00247163">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55A81713" w14:textId="77777777" w:rsidR="002F653A" w:rsidRPr="00247163" w:rsidRDefault="002F653A">
      <w:pPr>
        <w:pBdr>
          <w:top w:val="nil"/>
          <w:left w:val="nil"/>
          <w:bottom w:val="nil"/>
          <w:right w:val="nil"/>
          <w:between w:val="nil"/>
        </w:pBdr>
        <w:spacing w:line="360" w:lineRule="auto"/>
        <w:ind w:left="720" w:right="-591"/>
        <w:rPr>
          <w:rFonts w:ascii="Palatino Linotype" w:eastAsia="Palatino Linotype" w:hAnsi="Palatino Linotype" w:cs="Palatino Linotype"/>
          <w:color w:val="000000"/>
        </w:rPr>
      </w:pPr>
    </w:p>
    <w:p w14:paraId="2C8A2A97" w14:textId="77777777" w:rsidR="002F653A" w:rsidRPr="00247163" w:rsidRDefault="00CB53E8">
      <w:pPr>
        <w:numPr>
          <w:ilvl w:val="0"/>
          <w:numId w:val="29"/>
        </w:numPr>
        <w:spacing w:line="360" w:lineRule="auto"/>
        <w:ind w:left="0" w:right="-591" w:firstLine="0"/>
        <w:jc w:val="both"/>
      </w:pPr>
      <w:r w:rsidRPr="00247163">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4B90B1E8" w14:textId="77777777" w:rsidR="002F653A" w:rsidRPr="00247163" w:rsidRDefault="002F653A">
      <w:pPr>
        <w:ind w:right="-591"/>
        <w:jc w:val="both"/>
        <w:rPr>
          <w:rFonts w:ascii="Palatino Linotype" w:eastAsia="Palatino Linotype" w:hAnsi="Palatino Linotype" w:cs="Palatino Linotype"/>
        </w:rPr>
      </w:pPr>
    </w:p>
    <w:p w14:paraId="0905DCF6" w14:textId="77777777" w:rsidR="002F653A" w:rsidRPr="00247163" w:rsidRDefault="00CB53E8">
      <w:pPr>
        <w:numPr>
          <w:ilvl w:val="0"/>
          <w:numId w:val="29"/>
        </w:numP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sidRPr="00247163">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40FA8E60" w14:textId="77777777" w:rsidR="002F653A" w:rsidRPr="00247163" w:rsidRDefault="00CB53E8">
      <w:pP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r w:rsidRPr="00247163">
        <w:rPr>
          <w:rFonts w:ascii="Palatino Linotype" w:eastAsia="Palatino Linotype" w:hAnsi="Palatino Linotype" w:cs="Palatino Linotype"/>
          <w:b/>
          <w:bCs/>
          <w:i/>
          <w:iCs/>
          <w:color w:val="000000"/>
        </w:rPr>
        <w:t xml:space="preserve">Artículo 3. </w:t>
      </w:r>
      <w:r w:rsidRPr="00247163">
        <w:rPr>
          <w:rFonts w:ascii="Palatino Linotype" w:eastAsia="Palatino Linotype" w:hAnsi="Palatino Linotype" w:cs="Palatino Linotype"/>
          <w:i/>
          <w:iCs/>
          <w:color w:val="000000"/>
        </w:rPr>
        <w:t>Para los efectos de la presente Ley se entenderá por:</w:t>
      </w:r>
    </w:p>
    <w:p w14:paraId="6734DDE0" w14:textId="77777777" w:rsidR="002F653A" w:rsidRPr="00247163" w:rsidRDefault="00CB53E8">
      <w:pP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p>
    <w:p w14:paraId="7230D4E1" w14:textId="77777777" w:rsidR="002F653A" w:rsidRPr="00247163" w:rsidRDefault="00CB53E8">
      <w:pP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b/>
          <w:bCs/>
          <w:i/>
          <w:iCs/>
          <w:color w:val="000000"/>
        </w:rPr>
        <w:t>XI. Documento:</w:t>
      </w:r>
      <w:r w:rsidRPr="00247163">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5663BB44" w14:textId="77777777" w:rsidR="002F653A" w:rsidRPr="00247163" w:rsidRDefault="00CB53E8">
      <w:pPr>
        <w:spacing w:line="360"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p>
    <w:p w14:paraId="4B13FF89" w14:textId="77777777" w:rsidR="002F653A" w:rsidRPr="00247163" w:rsidRDefault="002F653A">
      <w:pPr>
        <w:ind w:right="822"/>
        <w:jc w:val="both"/>
        <w:rPr>
          <w:rFonts w:ascii="Palatino Linotype" w:eastAsia="Palatino Linotype" w:hAnsi="Palatino Linotype" w:cs="Palatino Linotype"/>
        </w:rPr>
      </w:pPr>
    </w:p>
    <w:p w14:paraId="593F10D2" w14:textId="77777777" w:rsidR="002F653A" w:rsidRPr="00247163" w:rsidRDefault="00CB53E8">
      <w:pPr>
        <w:numPr>
          <w:ilvl w:val="0"/>
          <w:numId w:val="29"/>
        </w:numPr>
        <w:spacing w:line="360" w:lineRule="auto"/>
        <w:ind w:left="0" w:right="-591" w:firstLine="0"/>
        <w:jc w:val="both"/>
        <w:rPr>
          <w:color w:val="000000"/>
        </w:rPr>
      </w:pPr>
      <w:r w:rsidRPr="00247163">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3753143" w14:textId="77777777" w:rsidR="002F653A" w:rsidRPr="00247163" w:rsidRDefault="00CB53E8">
      <w:pPr>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rPr>
        <w:t>“</w:t>
      </w:r>
      <w:r w:rsidRPr="00247163">
        <w:rPr>
          <w:rFonts w:ascii="Palatino Linotype" w:eastAsia="Palatino Linotype" w:hAnsi="Palatino Linotype" w:cs="Palatino Linotype"/>
          <w:b/>
          <w:bCs/>
          <w:i/>
          <w:iCs/>
        </w:rPr>
        <w:t>CRITERIO 0002-11</w:t>
      </w:r>
    </w:p>
    <w:p w14:paraId="21EFC38A"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sidRPr="00247163">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62D43B4"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En consecuencia el acceso a la información se refiere a que se cumplan cualquiera de los siguientes tres supuestos:</w:t>
      </w:r>
    </w:p>
    <w:p w14:paraId="118AF735" w14:textId="77777777" w:rsidR="002F653A" w:rsidRPr="00247163" w:rsidRDefault="00CB53E8">
      <w:pPr>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lastRenderedPageBreak/>
        <w:t xml:space="preserve">1) </w:t>
      </w:r>
      <w:r w:rsidRPr="00247163">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14:paraId="1B3A632E"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14:paraId="29FB94A8"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14:paraId="3382CCAB" w14:textId="77777777" w:rsidR="002F653A" w:rsidRPr="00247163" w:rsidRDefault="00CB53E8">
      <w:pPr>
        <w:tabs>
          <w:tab w:val="left" w:pos="851"/>
        </w:tabs>
        <w:spacing w:line="360" w:lineRule="auto"/>
        <w:ind w:left="1134" w:right="822"/>
        <w:rPr>
          <w:rFonts w:ascii="Palatino Linotype" w:eastAsia="Palatino Linotype" w:hAnsi="Palatino Linotype" w:cs="Palatino Linotype"/>
        </w:rPr>
      </w:pPr>
      <w:r w:rsidRPr="00247163">
        <w:rPr>
          <w:rFonts w:ascii="Palatino Linotype" w:eastAsia="Palatino Linotype" w:hAnsi="Palatino Linotype" w:cs="Palatino Linotype"/>
        </w:rPr>
        <w:t>(Énfasis Añadido)</w:t>
      </w:r>
    </w:p>
    <w:p w14:paraId="3BF29B95" w14:textId="77777777" w:rsidR="002F653A" w:rsidRPr="00247163" w:rsidRDefault="002F653A">
      <w:pPr>
        <w:pBdr>
          <w:top w:val="nil"/>
          <w:left w:val="nil"/>
          <w:bottom w:val="nil"/>
          <w:right w:val="nil"/>
          <w:between w:val="nil"/>
        </w:pBdr>
        <w:ind w:right="-591"/>
        <w:jc w:val="both"/>
        <w:rPr>
          <w:rFonts w:ascii="Palatino Linotype" w:eastAsia="Palatino Linotype" w:hAnsi="Palatino Linotype" w:cs="Palatino Linotype"/>
          <w:color w:val="000000"/>
        </w:rPr>
      </w:pPr>
    </w:p>
    <w:p w14:paraId="65476656" w14:textId="77777777" w:rsidR="002F653A" w:rsidRPr="00247163" w:rsidRDefault="00CB53E8">
      <w:pPr>
        <w:numPr>
          <w:ilvl w:val="0"/>
          <w:numId w:val="29"/>
        </w:numPr>
        <w:spacing w:line="360" w:lineRule="auto"/>
        <w:ind w:left="0" w:right="-591" w:firstLine="0"/>
        <w:jc w:val="both"/>
        <w:rPr>
          <w:color w:val="000000"/>
        </w:rPr>
      </w:pPr>
      <w:r w:rsidRPr="00247163">
        <w:rPr>
          <w:rFonts w:ascii="Palatino Linotype" w:eastAsia="Palatino Linotype" w:hAnsi="Palatino Linotype" w:cs="Palatino Linotype"/>
          <w:color w:val="000000"/>
        </w:rPr>
        <w:t>Por su parte los artículos 160 y 166, de la Ley local en la materia, que se reproduce de la siguiente forma:</w:t>
      </w:r>
    </w:p>
    <w:p w14:paraId="7F2DEED2"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r w:rsidRPr="00247163">
        <w:rPr>
          <w:rFonts w:ascii="Palatino Linotype" w:eastAsia="Palatino Linotype" w:hAnsi="Palatino Linotype" w:cs="Palatino Linotype"/>
          <w:b/>
          <w:bCs/>
          <w:i/>
          <w:iCs/>
        </w:rPr>
        <w:t>Artículo 160.</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247163">
        <w:rPr>
          <w:rFonts w:ascii="Palatino Linotype" w:eastAsia="Palatino Linotype" w:hAnsi="Palatino Linotype" w:cs="Palatino Linotype"/>
          <w:i/>
          <w:iCs/>
        </w:rPr>
        <w:t>.</w:t>
      </w:r>
    </w:p>
    <w:p w14:paraId="202FD89D" w14:textId="77777777" w:rsidR="002F653A" w:rsidRPr="00247163" w:rsidRDefault="002F653A">
      <w:pPr>
        <w:ind w:left="1134" w:right="822"/>
        <w:jc w:val="both"/>
        <w:rPr>
          <w:rFonts w:ascii="Palatino Linotype" w:eastAsia="Palatino Linotype" w:hAnsi="Palatino Linotype" w:cs="Palatino Linotype"/>
          <w:i/>
          <w:iCs/>
        </w:rPr>
      </w:pPr>
    </w:p>
    <w:p w14:paraId="6695CF48"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En caso que la información solicitada consista en bases de datos se deberá privilegiar la entrega de la misma en formatos abiertos.</w:t>
      </w:r>
    </w:p>
    <w:p w14:paraId="1C3DEB9A" w14:textId="77777777" w:rsidR="002F653A" w:rsidRPr="00247163" w:rsidRDefault="00CB53E8">
      <w:pPr>
        <w:ind w:left="1134" w:right="822"/>
        <w:jc w:val="both"/>
        <w:rPr>
          <w:rFonts w:ascii="Palatino Linotype" w:eastAsia="Palatino Linotype" w:hAnsi="Palatino Linotype" w:cs="Palatino Linotype"/>
          <w:i/>
          <w:iCs/>
          <w:u w:val="single"/>
        </w:rPr>
      </w:pPr>
      <w:r w:rsidRPr="00247163">
        <w:rPr>
          <w:rFonts w:ascii="Palatino Linotype" w:eastAsia="Palatino Linotype" w:hAnsi="Palatino Linotype" w:cs="Palatino Linotype"/>
          <w:b/>
          <w:bCs/>
          <w:i/>
          <w:iCs/>
        </w:rPr>
        <w:t>Artículo 166.</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14:paraId="0E8442BF" w14:textId="77777777" w:rsidR="002F653A" w:rsidRPr="00247163" w:rsidRDefault="00CB53E8">
      <w:pPr>
        <w:spacing w:line="360" w:lineRule="auto"/>
        <w:ind w:left="1134" w:right="822"/>
        <w:jc w:val="both"/>
        <w:rPr>
          <w:rFonts w:ascii="Palatino Linotype" w:eastAsia="Palatino Linotype" w:hAnsi="Palatino Linotype" w:cs="Palatino Linotype"/>
        </w:rPr>
      </w:pPr>
      <w:r w:rsidRPr="00247163">
        <w:rPr>
          <w:rFonts w:ascii="Palatino Linotype" w:eastAsia="Palatino Linotype" w:hAnsi="Palatino Linotype" w:cs="Palatino Linotype"/>
        </w:rPr>
        <w:t>(Énfasis añadido)</w:t>
      </w:r>
    </w:p>
    <w:p w14:paraId="03015E06" w14:textId="77777777" w:rsidR="002F653A" w:rsidRPr="00247163" w:rsidRDefault="002F653A">
      <w:pPr>
        <w:ind w:right="-591"/>
        <w:jc w:val="both"/>
        <w:rPr>
          <w:rFonts w:ascii="Palatino Linotype" w:eastAsia="Palatino Linotype" w:hAnsi="Palatino Linotype" w:cs="Palatino Linotype"/>
        </w:rPr>
      </w:pPr>
    </w:p>
    <w:p w14:paraId="6680CE57" w14:textId="77777777" w:rsidR="002F653A" w:rsidRPr="00247163" w:rsidRDefault="00CB53E8">
      <w:pPr>
        <w:numPr>
          <w:ilvl w:val="0"/>
          <w:numId w:val="29"/>
        </w:numPr>
        <w:spacing w:line="360" w:lineRule="auto"/>
        <w:ind w:left="0" w:right="-591" w:firstLine="0"/>
        <w:jc w:val="both"/>
        <w:rPr>
          <w:color w:val="000000"/>
        </w:rPr>
      </w:pPr>
      <w:r w:rsidRPr="00247163">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14:paraId="12AB395B" w14:textId="77777777" w:rsidR="002F653A" w:rsidRPr="00247163" w:rsidRDefault="00CB53E8">
      <w:pPr>
        <w:numPr>
          <w:ilvl w:val="0"/>
          <w:numId w:val="18"/>
        </w:numPr>
        <w:pBdr>
          <w:top w:val="nil"/>
          <w:left w:val="nil"/>
          <w:bottom w:val="nil"/>
          <w:right w:val="nil"/>
          <w:between w:val="nil"/>
        </w:pBdr>
        <w:tabs>
          <w:tab w:val="left" w:pos="0"/>
          <w:tab w:val="left" w:pos="567"/>
        </w:tabs>
        <w:spacing w:line="360" w:lineRule="auto"/>
        <w:ind w:left="0" w:right="-591"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rPr>
        <w:lastRenderedPageBreak/>
        <w:t xml:space="preserve">De la naturaleza de la información solicitada. </w:t>
      </w:r>
    </w:p>
    <w:p w14:paraId="4DC419EC" w14:textId="77777777" w:rsidR="002F653A" w:rsidRPr="00247163" w:rsidRDefault="00CB53E8">
      <w:pPr>
        <w:numPr>
          <w:ilvl w:val="0"/>
          <w:numId w:val="29"/>
        </w:numPr>
        <w:spacing w:line="360" w:lineRule="auto"/>
        <w:ind w:left="0" w:right="-591" w:firstLine="0"/>
        <w:jc w:val="both"/>
      </w:pPr>
      <w:r w:rsidRPr="00247163">
        <w:rPr>
          <w:rFonts w:ascii="Palatino Linotype" w:eastAsia="Palatino Linotype" w:hAnsi="Palatino Linotype" w:cs="Palatino Linotype"/>
        </w:rPr>
        <w:t xml:space="preserve">Se precisa que se obvia el análisis de la competencia por parte del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para generar, administrar o poseer la información solicitada, dado que éste ha asumido la misma, en razón que en su respuesta admitió contar con dicha información, tan es así que remitió en liga la información requerida por el particular  y aún el Acuerdo que sustentó las versiones públicas de lo entregado en respuesta.</w:t>
      </w:r>
    </w:p>
    <w:p w14:paraId="77233F9C" w14:textId="77777777" w:rsidR="002F653A" w:rsidRPr="00247163" w:rsidRDefault="002F653A">
      <w:pPr>
        <w:tabs>
          <w:tab w:val="left" w:pos="0"/>
          <w:tab w:val="left" w:pos="567"/>
        </w:tabs>
        <w:spacing w:line="360" w:lineRule="auto"/>
        <w:ind w:left="-566" w:right="-591"/>
        <w:jc w:val="both"/>
        <w:rPr>
          <w:rFonts w:ascii="Palatino Linotype" w:eastAsia="Palatino Linotype" w:hAnsi="Palatino Linotype" w:cs="Palatino Linotype"/>
        </w:rPr>
      </w:pPr>
    </w:p>
    <w:p w14:paraId="1E4C2B73" w14:textId="77777777" w:rsidR="002F653A" w:rsidRPr="00247163" w:rsidRDefault="00CB53E8">
      <w:pPr>
        <w:numPr>
          <w:ilvl w:val="0"/>
          <w:numId w:val="29"/>
        </w:numPr>
        <w:spacing w:line="360" w:lineRule="auto"/>
        <w:ind w:left="0" w:right="-591" w:firstLine="0"/>
        <w:jc w:val="both"/>
      </w:pPr>
      <w:bookmarkStart w:id="4" w:name="_heading=h.2s8eyo1" w:colFirst="0" w:colLast="0"/>
      <w:bookmarkEnd w:id="4"/>
      <w:r w:rsidRPr="00247163">
        <w:rPr>
          <w:rFonts w:ascii="Palatino Linotype" w:eastAsia="Palatino Linotype" w:hAnsi="Palatino Linotype" w:cs="Palatino Linotype"/>
        </w:rPr>
        <w:t xml:space="preserve">En efecto, el </w:t>
      </w:r>
      <w:r w:rsidRPr="00247163">
        <w:rPr>
          <w:rFonts w:ascii="Palatino Linotype" w:eastAsia="Palatino Linotype" w:hAnsi="Palatino Linotype" w:cs="Palatino Linotype"/>
          <w:color w:val="000000"/>
        </w:rPr>
        <w:t>hecho</w:t>
      </w:r>
      <w:r w:rsidRPr="00247163">
        <w:rPr>
          <w:rFonts w:ascii="Palatino Linotype" w:eastAsia="Palatino Linotype" w:hAnsi="Palatino Linotype" w:cs="Palatino Linotype"/>
        </w:rPr>
        <w:t xml:space="preserve"> de que </w:t>
      </w:r>
      <w:r w:rsidRPr="00247163">
        <w:rPr>
          <w:rFonts w:ascii="Palatino Linotype" w:eastAsia="Palatino Linotype" w:hAnsi="Palatino Linotype" w:cs="Palatino Linotype"/>
          <w:b/>
          <w:bCs/>
        </w:rPr>
        <w:t>EL SUJETO OBLIGADO</w:t>
      </w:r>
      <w:r w:rsidRPr="00247163">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14:paraId="6B2BA448" w14:textId="77777777" w:rsidR="002F653A" w:rsidRPr="00247163" w:rsidRDefault="00CB53E8">
      <w:pPr>
        <w:tabs>
          <w:tab w:val="left" w:pos="8505"/>
        </w:tabs>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r w:rsidRPr="00247163">
        <w:rPr>
          <w:rFonts w:ascii="Palatino Linotype" w:eastAsia="Palatino Linotype" w:hAnsi="Palatino Linotype" w:cs="Palatino Linotype"/>
          <w:b/>
          <w:bCs/>
          <w:i/>
          <w:iCs/>
        </w:rPr>
        <w:t>Artículo 12.</w:t>
      </w:r>
      <w:r w:rsidRPr="00247163">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14:paraId="044A3F44" w14:textId="77777777" w:rsidR="002F653A" w:rsidRPr="00247163" w:rsidRDefault="002F653A">
      <w:pPr>
        <w:tabs>
          <w:tab w:val="left" w:pos="8505"/>
        </w:tabs>
        <w:ind w:left="1134" w:right="822"/>
        <w:jc w:val="both"/>
        <w:rPr>
          <w:rFonts w:ascii="Palatino Linotype" w:eastAsia="Palatino Linotype" w:hAnsi="Palatino Linotype" w:cs="Palatino Linotype"/>
          <w:i/>
          <w:iCs/>
        </w:rPr>
      </w:pPr>
    </w:p>
    <w:p w14:paraId="2F69D6C4" w14:textId="77777777" w:rsidR="002F653A" w:rsidRPr="00247163" w:rsidRDefault="00CB53E8">
      <w:pPr>
        <w:tabs>
          <w:tab w:val="left" w:pos="8505"/>
        </w:tabs>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0A60E67D" w14:textId="77777777" w:rsidR="002F653A" w:rsidRPr="00247163" w:rsidRDefault="002F653A">
      <w:pPr>
        <w:tabs>
          <w:tab w:val="left" w:pos="8505"/>
        </w:tabs>
        <w:ind w:left="1134" w:right="822"/>
        <w:jc w:val="both"/>
        <w:rPr>
          <w:rFonts w:ascii="Palatino Linotype" w:eastAsia="Palatino Linotype" w:hAnsi="Palatino Linotype" w:cs="Palatino Linotype"/>
          <w:i/>
          <w:iCs/>
        </w:rPr>
      </w:pPr>
    </w:p>
    <w:p w14:paraId="4276EF40" w14:textId="77777777" w:rsidR="002F653A" w:rsidRPr="00247163" w:rsidRDefault="002F653A">
      <w:pPr>
        <w:pBdr>
          <w:top w:val="nil"/>
          <w:left w:val="nil"/>
          <w:bottom w:val="nil"/>
          <w:right w:val="nil"/>
          <w:between w:val="nil"/>
        </w:pBdr>
        <w:ind w:left="-566" w:right="-591"/>
        <w:rPr>
          <w:rFonts w:ascii="Palatino Linotype" w:eastAsia="Palatino Linotype" w:hAnsi="Palatino Linotype" w:cs="Palatino Linotype"/>
          <w:color w:val="000000"/>
        </w:rPr>
      </w:pPr>
    </w:p>
    <w:p w14:paraId="67C539AC" w14:textId="77777777" w:rsidR="002F653A" w:rsidRPr="00247163" w:rsidRDefault="00CB53E8">
      <w:pPr>
        <w:numPr>
          <w:ilvl w:val="0"/>
          <w:numId w:val="29"/>
        </w:numPr>
        <w:spacing w:line="360" w:lineRule="auto"/>
        <w:ind w:left="0" w:right="-591" w:firstLine="0"/>
        <w:jc w:val="both"/>
        <w:rPr>
          <w:color w:val="000000"/>
        </w:rPr>
      </w:pPr>
      <w:r w:rsidRPr="00247163">
        <w:rPr>
          <w:rFonts w:ascii="Palatino Linotype" w:eastAsia="Palatino Linotype" w:hAnsi="Palatino Linotype" w:cs="Palatino Linotype"/>
        </w:rPr>
        <w:t xml:space="preserve">Así, el estudio de </w:t>
      </w:r>
      <w:r w:rsidRPr="00247163">
        <w:rPr>
          <w:rFonts w:ascii="Palatino Linotype" w:eastAsia="Palatino Linotype" w:hAnsi="Palatino Linotype" w:cs="Palatino Linotype"/>
          <w:color w:val="000000"/>
        </w:rPr>
        <w:t>la</w:t>
      </w:r>
      <w:r w:rsidRPr="00247163">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247163">
        <w:rPr>
          <w:rFonts w:ascii="Palatino Linotype" w:eastAsia="Palatino Linotype" w:hAnsi="Palatino Linotype" w:cs="Palatino Linotype"/>
          <w:b/>
          <w:bCs/>
        </w:rPr>
        <w:t>EL SUJETO OBLIGADO</w:t>
      </w:r>
      <w:r w:rsidRPr="00247163">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y </w:t>
      </w:r>
      <w:r w:rsidRPr="00247163">
        <w:rPr>
          <w:rFonts w:ascii="Palatino Linotype" w:eastAsia="Palatino Linotype" w:hAnsi="Palatino Linotype" w:cs="Palatino Linotype"/>
        </w:rPr>
        <w:lastRenderedPageBreak/>
        <w:t>administra, en ejercicio de sus funciones de derecho público, motivo por el cual, se actualiza el supuesto jurídico, previsto en el artículo 12 de la Ley de la materia, anteriormente referido.</w:t>
      </w:r>
    </w:p>
    <w:p w14:paraId="14426A02" w14:textId="77777777" w:rsidR="002F653A" w:rsidRPr="00247163" w:rsidRDefault="002F653A">
      <w:pPr>
        <w:spacing w:line="360" w:lineRule="auto"/>
        <w:ind w:right="-591"/>
        <w:jc w:val="both"/>
        <w:rPr>
          <w:color w:val="000000"/>
        </w:rPr>
      </w:pPr>
    </w:p>
    <w:p w14:paraId="52E97F21" w14:textId="77777777" w:rsidR="002F653A" w:rsidRPr="00247163" w:rsidRDefault="00CB53E8">
      <w:pPr>
        <w:numPr>
          <w:ilvl w:val="0"/>
          <w:numId w:val="29"/>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De lo anterior,  es de recordar la información a la que desea tener acceso el solicitante   para lo que se presenta la siguiente tabla, donde se establecen los diversos puntos de la solicitud, la respuesta otorgada y su cumplimiento:</w:t>
      </w:r>
    </w:p>
    <w:p w14:paraId="62BEFBDD" w14:textId="77777777" w:rsidR="002F653A" w:rsidRPr="00247163" w:rsidRDefault="002F653A">
      <w:pPr>
        <w:pBdr>
          <w:top w:val="nil"/>
          <w:left w:val="nil"/>
          <w:bottom w:val="nil"/>
          <w:right w:val="nil"/>
          <w:between w:val="nil"/>
        </w:pBdr>
        <w:ind w:left="720"/>
        <w:rPr>
          <w:color w:val="000000"/>
        </w:rPr>
      </w:pPr>
    </w:p>
    <w:tbl>
      <w:tblPr>
        <w:tblStyle w:val="a"/>
        <w:tblpPr w:leftFromText="141" w:rightFromText="141" w:vertAnchor="text" w:tblpY="1"/>
        <w:tblW w:w="9918" w:type="dxa"/>
        <w:tblInd w:w="0" w:type="dxa"/>
        <w:tblBorders>
          <w:top w:val="single" w:sz="4" w:space="0" w:color="B7DDE8"/>
          <w:left w:val="single" w:sz="4" w:space="0" w:color="B7DDE8"/>
          <w:bottom w:val="single" w:sz="4" w:space="0" w:color="B7DDE8"/>
          <w:right w:val="single" w:sz="4" w:space="0" w:color="B7DDE8"/>
          <w:insideH w:val="single" w:sz="4" w:space="0" w:color="B7DDE8"/>
          <w:insideV w:val="single" w:sz="4" w:space="0" w:color="B7DDE8"/>
        </w:tblBorders>
        <w:tblLayout w:type="fixed"/>
        <w:tblLook w:val="04A0" w:firstRow="1" w:lastRow="0" w:firstColumn="1" w:lastColumn="0" w:noHBand="0" w:noVBand="1"/>
      </w:tblPr>
      <w:tblGrid>
        <w:gridCol w:w="3964"/>
        <w:gridCol w:w="3261"/>
        <w:gridCol w:w="2693"/>
      </w:tblGrid>
      <w:tr w:rsidR="002F653A" w:rsidRPr="00247163" w14:paraId="361EF7FB" w14:textId="77777777" w:rsidTr="002F65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shd w:val="clear" w:color="auto" w:fill="EEECE1"/>
            <w:vAlign w:val="center"/>
          </w:tcPr>
          <w:p w14:paraId="53D1362F" w14:textId="77777777" w:rsidR="002F653A" w:rsidRPr="00247163" w:rsidRDefault="00CB53E8">
            <w:pPr>
              <w:tabs>
                <w:tab w:val="center" w:pos="1363"/>
                <w:tab w:val="right" w:pos="2726"/>
              </w:tabs>
              <w:rPr>
                <w:rFonts w:ascii="Palatino Linotype" w:eastAsia="Palatino Linotype" w:hAnsi="Palatino Linotype" w:cs="Palatino Linotype"/>
                <w:sz w:val="24"/>
                <w:szCs w:val="24"/>
              </w:rPr>
            </w:pPr>
            <w:r w:rsidRPr="00247163">
              <w:rPr>
                <w:rFonts w:ascii="Palatino Linotype" w:eastAsia="Palatino Linotype" w:hAnsi="Palatino Linotype" w:cs="Palatino Linotype"/>
                <w:sz w:val="24"/>
                <w:szCs w:val="24"/>
              </w:rPr>
              <w:tab/>
              <w:t>SOLICITUD</w:t>
            </w:r>
            <w:r w:rsidRPr="00247163">
              <w:rPr>
                <w:rFonts w:ascii="Palatino Linotype" w:eastAsia="Palatino Linotype" w:hAnsi="Palatino Linotype" w:cs="Palatino Linotype"/>
                <w:sz w:val="24"/>
                <w:szCs w:val="24"/>
              </w:rPr>
              <w:tab/>
            </w:r>
          </w:p>
        </w:tc>
        <w:tc>
          <w:tcPr>
            <w:tcW w:w="3261" w:type="dxa"/>
            <w:shd w:val="clear" w:color="auto" w:fill="EEECE1"/>
            <w:vAlign w:val="center"/>
          </w:tcPr>
          <w:p w14:paraId="1C188E4E" w14:textId="77777777" w:rsidR="002F653A" w:rsidRPr="00247163" w:rsidRDefault="00CB53E8">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247163">
              <w:rPr>
                <w:rFonts w:ascii="Palatino Linotype" w:eastAsia="Palatino Linotype" w:hAnsi="Palatino Linotype" w:cs="Palatino Linotype"/>
                <w:sz w:val="24"/>
                <w:szCs w:val="24"/>
              </w:rPr>
              <w:t>INFORME JUSTIFICADO</w:t>
            </w:r>
          </w:p>
        </w:tc>
        <w:tc>
          <w:tcPr>
            <w:tcW w:w="2693" w:type="dxa"/>
            <w:shd w:val="clear" w:color="auto" w:fill="EEECE1"/>
            <w:vAlign w:val="center"/>
          </w:tcPr>
          <w:p w14:paraId="75180905" w14:textId="77777777" w:rsidR="002F653A" w:rsidRPr="00247163" w:rsidRDefault="00CB53E8">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247163">
              <w:rPr>
                <w:rFonts w:ascii="Palatino Linotype" w:eastAsia="Palatino Linotype" w:hAnsi="Palatino Linotype" w:cs="Palatino Linotype"/>
                <w:sz w:val="24"/>
                <w:szCs w:val="24"/>
              </w:rPr>
              <w:t>CUMPLIMIENTO</w:t>
            </w:r>
          </w:p>
        </w:tc>
      </w:tr>
      <w:tr w:rsidR="002F653A" w:rsidRPr="00247163" w14:paraId="1EC615B2" w14:textId="77777777" w:rsidTr="002F653A">
        <w:tc>
          <w:tcPr>
            <w:cnfStyle w:val="001000000000" w:firstRow="0" w:lastRow="0" w:firstColumn="1" w:lastColumn="0" w:oddVBand="0" w:evenVBand="0" w:oddHBand="0" w:evenHBand="0" w:firstRowFirstColumn="0" w:firstRowLastColumn="0" w:lastRowFirstColumn="0" w:lastRowLastColumn="0"/>
            <w:tcW w:w="9918" w:type="dxa"/>
            <w:gridSpan w:val="3"/>
            <w:vAlign w:val="center"/>
          </w:tcPr>
          <w:p w14:paraId="5D1C3910" w14:textId="77777777" w:rsidR="002F653A" w:rsidRPr="00247163" w:rsidRDefault="00CB53E8">
            <w:pPr>
              <w:jc w:val="center"/>
              <w:rPr>
                <w:rFonts w:ascii="Palatino Linotype" w:eastAsia="Palatino Linotype" w:hAnsi="Palatino Linotype" w:cs="Palatino Linotype"/>
                <w:sz w:val="24"/>
                <w:szCs w:val="24"/>
              </w:rPr>
            </w:pPr>
            <w:r w:rsidRPr="00247163">
              <w:rPr>
                <w:rFonts w:ascii="Palatino Linotype" w:eastAsia="Palatino Linotype" w:hAnsi="Palatino Linotype" w:cs="Palatino Linotype"/>
                <w:sz w:val="24"/>
                <w:szCs w:val="24"/>
              </w:rPr>
              <w:t>DE LA UNIDAD URIS O UBRIS DEL MUNICIPIO</w:t>
            </w:r>
          </w:p>
        </w:tc>
      </w:tr>
      <w:tr w:rsidR="002F653A" w:rsidRPr="00247163" w14:paraId="22F5595A"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303B234F"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sz w:val="24"/>
                <w:szCs w:val="24"/>
              </w:rPr>
              <w:t>1. Organigrama vigente de la unidad, que incluya la relación jerárquica y funcional del personal adscrito, señalando de forma expresa el nombre completo de los servidores públicos que lo integran, el puesto que ocupan, el área de adscripción y, en su caso, el nivel o categoría correspondiente.</w:t>
            </w:r>
          </w:p>
        </w:tc>
        <w:tc>
          <w:tcPr>
            <w:tcW w:w="3261" w:type="dxa"/>
            <w:vAlign w:val="center"/>
          </w:tcPr>
          <w:p w14:paraId="67C658C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ORGANIGRAMA</w:t>
            </w:r>
          </w:p>
        </w:tc>
        <w:tc>
          <w:tcPr>
            <w:tcW w:w="2693" w:type="dxa"/>
            <w:vAlign w:val="center"/>
          </w:tcPr>
          <w:p w14:paraId="3F48A448"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SI</w:t>
            </w:r>
          </w:p>
          <w:p w14:paraId="60D33DC3"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 existe obligación de elaborar documentos ad hoc para atender las solicitudes de acceso a la información</w:t>
            </w:r>
          </w:p>
        </w:tc>
      </w:tr>
      <w:tr w:rsidR="002F653A" w:rsidRPr="00247163" w14:paraId="331A2FE0"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3971A0AC"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2. Reglamentos, manuales de organización y operación que rijan su funcionamiento.</w:t>
            </w:r>
          </w:p>
        </w:tc>
        <w:tc>
          <w:tcPr>
            <w:tcW w:w="3261" w:type="dxa"/>
            <w:vAlign w:val="center"/>
          </w:tcPr>
          <w:p w14:paraId="572DAB31"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DIVERSOS MANUALES, REGLAMENTOS</w:t>
            </w:r>
          </w:p>
        </w:tc>
        <w:tc>
          <w:tcPr>
            <w:tcW w:w="2693" w:type="dxa"/>
            <w:vAlign w:val="center"/>
          </w:tcPr>
          <w:p w14:paraId="0E0D664C"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SI</w:t>
            </w:r>
          </w:p>
        </w:tc>
      </w:tr>
      <w:tr w:rsidR="002F653A" w:rsidRPr="00247163" w14:paraId="55D194CB"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0EAB7C0B"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3. Normatividad aplicable a la operación de la unidad.</w:t>
            </w:r>
          </w:p>
        </w:tc>
        <w:tc>
          <w:tcPr>
            <w:tcW w:w="3261" w:type="dxa"/>
            <w:vAlign w:val="center"/>
          </w:tcPr>
          <w:p w14:paraId="63C27967"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PRESENTA DIVERSOS MANUALES, REGLAMENTOS, NORMAS, </w:t>
            </w:r>
          </w:p>
        </w:tc>
        <w:tc>
          <w:tcPr>
            <w:tcW w:w="2693" w:type="dxa"/>
            <w:vAlign w:val="center"/>
          </w:tcPr>
          <w:p w14:paraId="36B8423B"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SI</w:t>
            </w:r>
          </w:p>
        </w:tc>
      </w:tr>
      <w:tr w:rsidR="002F653A" w:rsidRPr="00247163" w14:paraId="7A9F2F37"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644614E6"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4. Relación de personal adscrito, indicando nombre, puesto, tipo de contratación, funciones generales y percepciones brutas y netas, correspondientes al periodo del 1 de enero de 2024 a la fecha de la presente solicitud.</w:t>
            </w:r>
          </w:p>
        </w:tc>
        <w:tc>
          <w:tcPr>
            <w:tcW w:w="3261" w:type="dxa"/>
            <w:vAlign w:val="center"/>
          </w:tcPr>
          <w:p w14:paraId="6F9C9DA2"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PLANTILLA DE PERSONAL, RECIBOS DE NÓMINA</w:t>
            </w:r>
          </w:p>
          <w:p w14:paraId="66584723"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 </w:t>
            </w:r>
          </w:p>
        </w:tc>
        <w:tc>
          <w:tcPr>
            <w:tcW w:w="2693" w:type="dxa"/>
            <w:vAlign w:val="center"/>
          </w:tcPr>
          <w:p w14:paraId="63ADEA25"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21FC84E1"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Los servidores públicos son diferentes en la plantilla de personal, CV´S, recibos de nómina y dispersión de nómina.</w:t>
            </w:r>
          </w:p>
          <w:p w14:paraId="6F8273BE"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 No se pronuncia sobre función.</w:t>
            </w:r>
          </w:p>
        </w:tc>
      </w:tr>
      <w:tr w:rsidR="002F653A" w:rsidRPr="00247163" w14:paraId="0805BEE3"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7E34019"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 xml:space="preserve">5. Versión pública del currículum vitae del personal adscrito, correspondiente </w:t>
            </w:r>
            <w:r w:rsidRPr="00247163">
              <w:rPr>
                <w:rFonts w:ascii="Palatino Linotype" w:eastAsia="Palatino Linotype" w:hAnsi="Palatino Linotype" w:cs="Palatino Linotype"/>
                <w:b w:val="0"/>
                <w:bCs w:val="0"/>
                <w:i/>
                <w:iCs/>
                <w:color w:val="000000"/>
                <w:sz w:val="24"/>
                <w:szCs w:val="24"/>
              </w:rPr>
              <w:lastRenderedPageBreak/>
              <w:t>al periodo del 1 de enero de 2024 a la fecha de la presente solicitud.</w:t>
            </w:r>
          </w:p>
        </w:tc>
        <w:tc>
          <w:tcPr>
            <w:tcW w:w="3261" w:type="dxa"/>
            <w:vAlign w:val="center"/>
          </w:tcPr>
          <w:p w14:paraId="741EE74E"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PRESENTA DIVERSOS CV</w:t>
            </w:r>
          </w:p>
        </w:tc>
        <w:tc>
          <w:tcPr>
            <w:tcW w:w="2693" w:type="dxa"/>
            <w:vAlign w:val="center"/>
          </w:tcPr>
          <w:p w14:paraId="609C8E93"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71168553"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Faltan CV de diversos servidores público, no se señala si corresponden a la temporalidad requerida, falta nombre en cv, los nombres de los servidores públicos que refiere adscritos a la Unidad son diferentes en las diversas documentales entregadas.</w:t>
            </w:r>
          </w:p>
        </w:tc>
      </w:tr>
      <w:tr w:rsidR="002F653A" w:rsidRPr="00247163" w14:paraId="4CE39AD9"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5F78B625" w14:textId="77777777" w:rsidR="002F653A" w:rsidRPr="00247163" w:rsidRDefault="00CB53E8">
            <w:pPr>
              <w:jc w:val="both"/>
              <w:rPr>
                <w:rFonts w:ascii="Palatino Linotype" w:eastAsia="Palatino Linotype" w:hAnsi="Palatino Linotype" w:cs="Palatino Linotype"/>
                <w:i/>
                <w:iCs/>
                <w:color w:val="000000"/>
                <w:sz w:val="24"/>
                <w:szCs w:val="24"/>
              </w:rPr>
            </w:pPr>
            <w:r w:rsidRPr="00247163">
              <w:rPr>
                <w:rFonts w:ascii="Palatino Linotype" w:eastAsia="Palatino Linotype" w:hAnsi="Palatino Linotype" w:cs="Palatino Linotype"/>
                <w:b w:val="0"/>
                <w:bCs w:val="0"/>
                <w:i/>
                <w:iCs/>
                <w:color w:val="000000"/>
                <w:sz w:val="24"/>
                <w:szCs w:val="24"/>
              </w:rPr>
              <w:lastRenderedPageBreak/>
              <w:t>6. Relación de cursos, capacitaciones o certificaciones recibidas por el personal adscrito a la unidad desde el 1 de enero de 2024 a la fecha, especificando tema, institución capacitadora, fechas y duración</w:t>
            </w:r>
          </w:p>
          <w:p w14:paraId="34F0A5AC" w14:textId="77777777" w:rsidR="002F653A" w:rsidRPr="00247163" w:rsidRDefault="002F653A">
            <w:pPr>
              <w:jc w:val="both"/>
              <w:rPr>
                <w:rFonts w:ascii="Palatino Linotype" w:eastAsia="Palatino Linotype" w:hAnsi="Palatino Linotype" w:cs="Palatino Linotype"/>
                <w:i/>
                <w:iCs/>
                <w:sz w:val="24"/>
                <w:szCs w:val="24"/>
              </w:rPr>
            </w:pPr>
          </w:p>
        </w:tc>
        <w:tc>
          <w:tcPr>
            <w:tcW w:w="3261" w:type="dxa"/>
            <w:vAlign w:val="center"/>
          </w:tcPr>
          <w:p w14:paraId="0F109779"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LISTADO DE SERVIDORES PÚBLICOS CAPACITADOS EN EL MES DE OCTUBRE DE 2025</w:t>
            </w:r>
          </w:p>
        </w:tc>
        <w:tc>
          <w:tcPr>
            <w:tcW w:w="2693" w:type="dxa"/>
            <w:vAlign w:val="center"/>
          </w:tcPr>
          <w:p w14:paraId="0A8FA439"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439BD914"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No se pronuncia del año 2024, de enero a septiembre de 2025 y de lo transcurrido del mes de noviembre de 2025.</w:t>
            </w:r>
          </w:p>
        </w:tc>
      </w:tr>
      <w:tr w:rsidR="002F653A" w:rsidRPr="00247163" w14:paraId="0496E12D" w14:textId="77777777" w:rsidTr="002F653A">
        <w:tc>
          <w:tcPr>
            <w:cnfStyle w:val="001000000000" w:firstRow="0" w:lastRow="0" w:firstColumn="1" w:lastColumn="0" w:oddVBand="0" w:evenVBand="0" w:oddHBand="0" w:evenHBand="0" w:firstRowFirstColumn="0" w:firstRowLastColumn="0" w:lastRowFirstColumn="0" w:lastRowLastColumn="0"/>
            <w:tcW w:w="9918" w:type="dxa"/>
            <w:gridSpan w:val="3"/>
            <w:vAlign w:val="center"/>
          </w:tcPr>
          <w:p w14:paraId="52B854B7" w14:textId="77777777" w:rsidR="002F653A" w:rsidRPr="00247163" w:rsidRDefault="00CB53E8">
            <w:pPr>
              <w:jc w:val="both"/>
              <w:rPr>
                <w:rFonts w:ascii="Palatino Linotype" w:eastAsia="Palatino Linotype" w:hAnsi="Palatino Linotype" w:cs="Palatino Linotype"/>
                <w:sz w:val="24"/>
                <w:szCs w:val="24"/>
              </w:rPr>
            </w:pPr>
            <w:r w:rsidRPr="00247163">
              <w:rPr>
                <w:rFonts w:ascii="Palatino Linotype" w:eastAsia="Palatino Linotype" w:hAnsi="Palatino Linotype" w:cs="Palatino Linotype"/>
                <w:b w:val="0"/>
                <w:bCs w:val="0"/>
                <w:i/>
                <w:iCs/>
                <w:color w:val="000000"/>
                <w:sz w:val="24"/>
                <w:szCs w:val="24"/>
              </w:rPr>
              <w:t>7</w:t>
            </w:r>
            <w:r w:rsidRPr="00247163">
              <w:rPr>
                <w:rFonts w:ascii="Palatino Linotype" w:eastAsia="Palatino Linotype" w:hAnsi="Palatino Linotype" w:cs="Palatino Linotype"/>
                <w:b w:val="0"/>
                <w:bCs w:val="0"/>
                <w:color w:val="000000"/>
                <w:sz w:val="24"/>
                <w:szCs w:val="24"/>
              </w:rPr>
              <w:t>. Toda la información financiera destinada a la operación de la unidad, correspondiente a los ejercicios 2024 y 2025 hasta la fecha de la presente solicitud, incluyendo de manera expresa y desglosada:</w:t>
            </w:r>
          </w:p>
        </w:tc>
      </w:tr>
      <w:tr w:rsidR="002F653A" w:rsidRPr="00247163" w14:paraId="711B3161"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2B493605"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a) Presupuesto anual autorizado y ejercido, desglosado por capítulo de gasto</w:t>
            </w:r>
          </w:p>
        </w:tc>
        <w:tc>
          <w:tcPr>
            <w:tcW w:w="3261" w:type="dxa"/>
            <w:vAlign w:val="center"/>
          </w:tcPr>
          <w:p w14:paraId="32AA19E9"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CARÁTULA DE PRESUPUESTO DE INGRESOS PBRM-03B, CARÁTULA DE PRESUPUESTO DE EGRESOS PBRM-05, TABULADOR DE SUELDOS PBRM-04C,  DEL 01 DE ENERO AL 31 DE DICIEMBRE DE 2024</w:t>
            </w:r>
          </w:p>
        </w:tc>
        <w:tc>
          <w:tcPr>
            <w:tcW w:w="2693" w:type="dxa"/>
            <w:vAlign w:val="center"/>
          </w:tcPr>
          <w:p w14:paraId="42B0CD0C"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13B71131"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No se pronuncia del año 2025</w:t>
            </w:r>
          </w:p>
        </w:tc>
      </w:tr>
      <w:tr w:rsidR="002F653A" w:rsidRPr="00247163" w14:paraId="5A03877D"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3B42595D"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b) Informes de avance en el ejercicio presupuestal.</w:t>
            </w:r>
          </w:p>
        </w:tc>
        <w:tc>
          <w:tcPr>
            <w:tcW w:w="3261" w:type="dxa"/>
            <w:vAlign w:val="center"/>
          </w:tcPr>
          <w:p w14:paraId="7B6B19D3"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PRESENTA CALENDARIO DE EGRESOS 2025, ESTADO ANALÍTICO DEL EJERCICIO DEL PRESUPUESTO DE </w:t>
            </w:r>
            <w:r w:rsidRPr="00247163">
              <w:rPr>
                <w:rFonts w:ascii="Palatino Linotype" w:eastAsia="Palatino Linotype" w:hAnsi="Palatino Linotype" w:cs="Palatino Linotype"/>
                <w:i/>
                <w:iCs/>
                <w:sz w:val="24"/>
                <w:szCs w:val="24"/>
              </w:rPr>
              <w:lastRenderedPageBreak/>
              <w:t>EGRESOS CLASIFICACIÓN POR OBJETO DEL GASTO (2024 TRIMESTRE 1,2,3 Y 4)  ESTADO ANALÍTICO DEL EJERCICIO DEL PRESUPUESTO DE EGRESOS CLASIFICACIÓN POR TIPO DE GASTO(2024 TRIMESTRE 1  Y 2), ESTADO ANALÍTICO DEL EJERCICIO DEL PRESUPUESTO DE EGRESOS CLASIFICACIÓN ADMINISTRATIVA(2024 TRIMESTE 1 Y 2,) ESTADO ANALÍTICO DEL EJERCICIO DEL PRESUPUESTO DE EGRESOS CLASIFICACIÓN FUNCIONALIDAD(2024 TRIMESTRE 1 Y 2),</w:t>
            </w:r>
          </w:p>
        </w:tc>
        <w:tc>
          <w:tcPr>
            <w:tcW w:w="2693" w:type="dxa"/>
            <w:vAlign w:val="center"/>
          </w:tcPr>
          <w:p w14:paraId="56CABA13"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lastRenderedPageBreak/>
              <w:t>NO</w:t>
            </w:r>
          </w:p>
          <w:p w14:paraId="3A513FA6"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Omite documentales que integran el informe dentro de la temporalidad requerida </w:t>
            </w:r>
          </w:p>
        </w:tc>
      </w:tr>
      <w:tr w:rsidR="002F653A" w:rsidRPr="00247163" w14:paraId="32A6E116"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5471AB7D"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c) Contratos y comprobantes de pago a proveedores y prestadores de servicios de la unidad, correspondientes al periodo del 1 de enero de 2024 a la fecha de la presente solicitud.</w:t>
            </w:r>
          </w:p>
        </w:tc>
        <w:tc>
          <w:tcPr>
            <w:tcW w:w="3261" w:type="dxa"/>
            <w:vAlign w:val="center"/>
          </w:tcPr>
          <w:p w14:paraId="27CCB58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PRESENTA 31 CONTRATOS PEDIDO DEL 17 DE ENERO AL 8 DE NOVIEMBRE  (NO.C340, FA5452, 1254DF4, 28C7A109, B5346, F 134, 7906B1, 3 A99FE, B5529, FA5967, C5777F1, A646, 7132821E, E1273BB0, AC485EF6, EBB3B2, A659, B6C69A9, FA6428, D51EDFAA, A6402, A159441215, 6E2CC44, A668, C406, FA6558, A4451, FA6620, FA6815, B1990BB,  B340E8BF)</w:t>
            </w:r>
          </w:p>
          <w:p w14:paraId="735CAAB8"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2025.- No se pronuncia</w:t>
            </w:r>
          </w:p>
        </w:tc>
        <w:tc>
          <w:tcPr>
            <w:tcW w:w="2693" w:type="dxa"/>
            <w:vAlign w:val="center"/>
          </w:tcPr>
          <w:p w14:paraId="450E5B44"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lastRenderedPageBreak/>
              <w:t>NO</w:t>
            </w:r>
          </w:p>
          <w:p w14:paraId="52D01472" w14:textId="77777777" w:rsidR="002F653A" w:rsidRPr="00247163" w:rsidRDefault="00CB53E8">
            <w:pPr>
              <w:ind w:left="34"/>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Testa información no susceptible de serlo enunciativamente nombre y firma de proveedores persona física, ; nombre de representante y firma, número de acta constitutiva, número de notario, RFC de persona moral, Domicilio fiscal)</w:t>
            </w:r>
          </w:p>
          <w:p w14:paraId="13AD43F7" w14:textId="77777777" w:rsidR="002F653A" w:rsidRPr="00247163" w:rsidRDefault="00CB53E8">
            <w:pPr>
              <w:ind w:left="34"/>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Omite comprobantes de pago relacionados a los contratos presentados;</w:t>
            </w:r>
          </w:p>
          <w:p w14:paraId="79151971" w14:textId="77777777" w:rsidR="002F653A" w:rsidRPr="00247163" w:rsidRDefault="00CB53E8">
            <w:pPr>
              <w:ind w:left="34"/>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No se pronuncia de 2025 a la fecha de la solicitud.</w:t>
            </w:r>
          </w:p>
          <w:p w14:paraId="397E0587" w14:textId="77777777" w:rsidR="002F653A" w:rsidRPr="00247163" w:rsidRDefault="002F653A">
            <w:pPr>
              <w:ind w:left="175"/>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p>
        </w:tc>
      </w:tr>
      <w:tr w:rsidR="002F653A" w:rsidRPr="00247163" w14:paraId="4FECF5C2"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715E90D"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lastRenderedPageBreak/>
              <w:t xml:space="preserve">d) Gastos operativos y administrativos (entre ellos: materiales, servicios, viáticos, mantenimiento, etc.). </w:t>
            </w:r>
          </w:p>
        </w:tc>
        <w:tc>
          <w:tcPr>
            <w:tcW w:w="3261" w:type="dxa"/>
            <w:shd w:val="clear" w:color="auto" w:fill="auto"/>
            <w:vAlign w:val="center"/>
          </w:tcPr>
          <w:p w14:paraId="2E9A6C51"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 2024: Presenta 48 requerimientos de compras y/o servicios; bitácora de mantenimiento, formato general de pago de servicio de gas, </w:t>
            </w:r>
          </w:p>
          <w:p w14:paraId="753A3C09"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No se pronuncia sobre gastos operativos a la fecha de la solicitud</w:t>
            </w:r>
          </w:p>
          <w:p w14:paraId="561E1297" w14:textId="77777777" w:rsidR="002F653A" w:rsidRPr="00247163" w:rsidRDefault="002F653A">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p>
        </w:tc>
        <w:tc>
          <w:tcPr>
            <w:tcW w:w="2693" w:type="dxa"/>
            <w:vAlign w:val="center"/>
          </w:tcPr>
          <w:p w14:paraId="5ABC054B"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PARCIALMENTE</w:t>
            </w:r>
          </w:p>
          <w:p w14:paraId="7A23F14C"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no se pronuncia de la totalidad de las documentales en la temporalidad requerida</w:t>
            </w:r>
          </w:p>
        </w:tc>
      </w:tr>
      <w:tr w:rsidR="002F653A" w:rsidRPr="00247163" w14:paraId="5D6F59BB"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509CE4C6" w14:textId="77777777" w:rsidR="002F653A" w:rsidRPr="00247163" w:rsidRDefault="00CB53E8">
            <w:pPr>
              <w:jc w:val="both"/>
              <w:rPr>
                <w:rFonts w:ascii="Palatino Linotype" w:eastAsia="Palatino Linotype" w:hAnsi="Palatino Linotype" w:cs="Palatino Linotype"/>
                <w:i/>
                <w:iCs/>
                <w:color w:val="000000"/>
                <w:sz w:val="24"/>
                <w:szCs w:val="24"/>
              </w:rPr>
            </w:pPr>
            <w:r w:rsidRPr="00247163">
              <w:rPr>
                <w:rFonts w:ascii="Palatino Linotype" w:eastAsia="Palatino Linotype" w:hAnsi="Palatino Linotype" w:cs="Palatino Linotype"/>
                <w:b w:val="0"/>
                <w:bCs w:val="0"/>
                <w:i/>
                <w:iCs/>
                <w:color w:val="000000"/>
                <w:sz w:val="24"/>
                <w:szCs w:val="24"/>
              </w:rPr>
              <w:t>e) Relación de unidades vehiculares adscritas a la unidad o en servicio para esta.</w:t>
            </w:r>
          </w:p>
        </w:tc>
        <w:tc>
          <w:tcPr>
            <w:tcW w:w="3261" w:type="dxa"/>
            <w:vAlign w:val="center"/>
          </w:tcPr>
          <w:p w14:paraId="2E015CD8"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Presenta inventario de bienes, se observa la existencia de tres vehículos más, </w:t>
            </w:r>
          </w:p>
          <w:p w14:paraId="055386F1" w14:textId="77777777" w:rsidR="002F653A" w:rsidRPr="00247163" w:rsidRDefault="002F653A">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highlight w:val="green"/>
              </w:rPr>
            </w:pPr>
          </w:p>
        </w:tc>
        <w:tc>
          <w:tcPr>
            <w:tcW w:w="2693" w:type="dxa"/>
            <w:vAlign w:val="center"/>
          </w:tcPr>
          <w:p w14:paraId="706C6F10"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SI</w:t>
            </w:r>
          </w:p>
          <w:p w14:paraId="0AEDBCC4" w14:textId="77777777" w:rsidR="002F653A" w:rsidRPr="00247163" w:rsidRDefault="002F653A">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p>
        </w:tc>
      </w:tr>
      <w:tr w:rsidR="002F653A" w:rsidRPr="00247163" w14:paraId="65AD341F"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13D2536C"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 xml:space="preserve"> f) Gastos realizados por concepto de combustible, incluyendo: – Comprobantes fiscales (facturas o CFDI) de adquisición de combustible, correspondientes al periodo del 1 de enero de 2024 a la fecha de la presente solicitud</w:t>
            </w:r>
          </w:p>
        </w:tc>
        <w:tc>
          <w:tcPr>
            <w:tcW w:w="3261" w:type="dxa"/>
            <w:vAlign w:val="center"/>
          </w:tcPr>
          <w:p w14:paraId="06D70CB6"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Presenta facturas de marzo a agosto y de octubre a diciembre</w:t>
            </w:r>
          </w:p>
          <w:p w14:paraId="030F579F"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No se pronuncia</w:t>
            </w:r>
          </w:p>
        </w:tc>
        <w:tc>
          <w:tcPr>
            <w:tcW w:w="2693" w:type="dxa"/>
            <w:vAlign w:val="center"/>
          </w:tcPr>
          <w:p w14:paraId="7EA11665"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w:t>
            </w:r>
          </w:p>
          <w:p w14:paraId="04E52446"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No presenta documentales de la totalidad de la temporalidad requerida.</w:t>
            </w:r>
          </w:p>
        </w:tc>
      </w:tr>
      <w:tr w:rsidR="002F653A" w:rsidRPr="00247163" w14:paraId="5C1E002C"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0B566EC"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sz w:val="24"/>
                <w:szCs w:val="24"/>
              </w:rPr>
              <w:t>g)</w:t>
            </w:r>
            <w:r w:rsidRPr="00247163">
              <w:rPr>
                <w:rFonts w:ascii="Palatino Linotype" w:eastAsia="Palatino Linotype" w:hAnsi="Palatino Linotype" w:cs="Palatino Linotype"/>
                <w:b w:val="0"/>
                <w:bCs w:val="0"/>
                <w:i/>
                <w:iCs/>
                <w:color w:val="000000"/>
                <w:sz w:val="24"/>
                <w:szCs w:val="24"/>
              </w:rPr>
              <w:t xml:space="preserve"> Bitácoras de control de consumo de combustible que contengan fecha, unidad vehicular, cantidad abastecida, kilometraje registrado y persona responsable</w:t>
            </w:r>
          </w:p>
        </w:tc>
        <w:tc>
          <w:tcPr>
            <w:tcW w:w="3261" w:type="dxa"/>
            <w:vAlign w:val="center"/>
          </w:tcPr>
          <w:p w14:paraId="0A3A4786"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Presenta bitácoras de combustible del 19/01/2024 al 27/12/2024</w:t>
            </w:r>
          </w:p>
          <w:p w14:paraId="78D6A6B5"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bitácoras de 01/01/2025 al 31/10/2025 formato de vales del 18/01/25 al 17/10/25</w:t>
            </w:r>
          </w:p>
        </w:tc>
        <w:tc>
          <w:tcPr>
            <w:tcW w:w="2693" w:type="dxa"/>
            <w:vAlign w:val="center"/>
          </w:tcPr>
          <w:p w14:paraId="5DC67573"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SI</w:t>
            </w:r>
          </w:p>
          <w:p w14:paraId="219494D2"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 existe obligación de elaborar documentos ad hoc para atender las solicitudes de acceso a la información</w:t>
            </w:r>
          </w:p>
        </w:tc>
      </w:tr>
      <w:tr w:rsidR="002F653A" w:rsidRPr="00247163" w14:paraId="09231437"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05F9878E"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sz w:val="24"/>
                <w:szCs w:val="24"/>
              </w:rPr>
              <w:t xml:space="preserve">h) </w:t>
            </w:r>
            <w:r w:rsidRPr="00247163">
              <w:rPr>
                <w:rFonts w:ascii="Palatino Linotype" w:eastAsia="Palatino Linotype" w:hAnsi="Palatino Linotype" w:cs="Palatino Linotype"/>
                <w:b w:val="0"/>
                <w:bCs w:val="0"/>
                <w:i/>
                <w:iCs/>
                <w:color w:val="000000"/>
                <w:sz w:val="24"/>
                <w:szCs w:val="24"/>
              </w:rPr>
              <w:t>Bitácoras de uso, seguimiento y asignación de las unidades vehiculares, especificando fechas, trayectos o rutas, fines del traslado y personal autorizado</w:t>
            </w:r>
          </w:p>
        </w:tc>
        <w:tc>
          <w:tcPr>
            <w:tcW w:w="3261" w:type="dxa"/>
            <w:vAlign w:val="center"/>
          </w:tcPr>
          <w:p w14:paraId="50D217D2"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Presenta bitácoras de combustible del 19/01/2024 al 27/12/2024</w:t>
            </w:r>
          </w:p>
          <w:p w14:paraId="26E8A6D6"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2025:  Presenta bitácoras de 01/01/2025 al 31/10/2025 </w:t>
            </w:r>
            <w:r w:rsidRPr="00247163">
              <w:rPr>
                <w:rFonts w:ascii="Palatino Linotype" w:eastAsia="Palatino Linotype" w:hAnsi="Palatino Linotype" w:cs="Palatino Linotype"/>
                <w:i/>
                <w:iCs/>
                <w:sz w:val="24"/>
                <w:szCs w:val="24"/>
              </w:rPr>
              <w:lastRenderedPageBreak/>
              <w:t>formato de vales del 18/01/25 al 17/10/25</w:t>
            </w:r>
          </w:p>
        </w:tc>
        <w:tc>
          <w:tcPr>
            <w:tcW w:w="2693" w:type="dxa"/>
            <w:vAlign w:val="center"/>
          </w:tcPr>
          <w:p w14:paraId="46552786"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lastRenderedPageBreak/>
              <w:t>SI</w:t>
            </w:r>
          </w:p>
          <w:p w14:paraId="4BDA19F8"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 xml:space="preserve">No existe obligación de elaborar documentos ad hoc para atender las </w:t>
            </w:r>
            <w:r w:rsidRPr="00247163">
              <w:rPr>
                <w:rFonts w:ascii="Palatino Linotype" w:eastAsia="Palatino Linotype" w:hAnsi="Palatino Linotype" w:cs="Palatino Linotype"/>
                <w:b/>
                <w:bCs/>
                <w:sz w:val="24"/>
                <w:szCs w:val="24"/>
              </w:rPr>
              <w:lastRenderedPageBreak/>
              <w:t>solicitudes de acceso a la información</w:t>
            </w:r>
          </w:p>
        </w:tc>
      </w:tr>
      <w:tr w:rsidR="002F653A" w:rsidRPr="00247163" w14:paraId="32925DDB"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21CB42A5"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lastRenderedPageBreak/>
              <w:t>i) Inversiones en infraestructura o adquisición de equipo especializado.</w:t>
            </w:r>
          </w:p>
        </w:tc>
        <w:tc>
          <w:tcPr>
            <w:tcW w:w="3261" w:type="dxa"/>
            <w:vAlign w:val="center"/>
          </w:tcPr>
          <w:p w14:paraId="0DC8846B"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2024:No se pronuncia</w:t>
            </w:r>
          </w:p>
          <w:p w14:paraId="608CB37E"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Estado Analítico del Activo del primer trimestre 2025</w:t>
            </w:r>
          </w:p>
        </w:tc>
        <w:tc>
          <w:tcPr>
            <w:tcW w:w="2693" w:type="dxa"/>
            <w:vAlign w:val="center"/>
          </w:tcPr>
          <w:p w14:paraId="10CED293"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PARCIALMENTE</w:t>
            </w:r>
          </w:p>
          <w:p w14:paraId="69711729"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i/>
                <w:iCs/>
                <w:sz w:val="24"/>
                <w:szCs w:val="24"/>
              </w:rPr>
              <w:t>No presenta documentales de la totalidad de la temporalidad requerida.</w:t>
            </w:r>
          </w:p>
        </w:tc>
      </w:tr>
      <w:tr w:rsidR="002F653A" w:rsidRPr="00247163" w14:paraId="6527D42C"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34276BDB"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j) Apoyos o subsidios entregados a beneficiarios, especificando monto, concepto, fecha, criterios de asignación y comprobantes de entrega.</w:t>
            </w:r>
          </w:p>
        </w:tc>
        <w:tc>
          <w:tcPr>
            <w:tcW w:w="3261" w:type="dxa"/>
            <w:vAlign w:val="center"/>
          </w:tcPr>
          <w:p w14:paraId="67618D78"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No se pronuncia</w:t>
            </w:r>
          </w:p>
          <w:p w14:paraId="247D176D"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listado de beneficiarios donde se testa nombre de agosto a octubre.</w:t>
            </w:r>
          </w:p>
        </w:tc>
        <w:tc>
          <w:tcPr>
            <w:tcW w:w="2693" w:type="dxa"/>
            <w:vAlign w:val="center"/>
          </w:tcPr>
          <w:p w14:paraId="6DF87A79"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PARCIALMENTE</w:t>
            </w:r>
          </w:p>
          <w:p w14:paraId="707F77E7"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i/>
                <w:iCs/>
                <w:sz w:val="24"/>
                <w:szCs w:val="24"/>
              </w:rPr>
              <w:t>No presenta documentales de la totalidad de la temporalidad requerida.</w:t>
            </w:r>
          </w:p>
        </w:tc>
      </w:tr>
      <w:tr w:rsidR="002F653A" w:rsidRPr="00247163" w14:paraId="7B4DE4B9"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403948B"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k) Ingresos propios generados, con su desglose mensual.</w:t>
            </w:r>
          </w:p>
        </w:tc>
        <w:tc>
          <w:tcPr>
            <w:tcW w:w="3261" w:type="dxa"/>
            <w:vAlign w:val="center"/>
          </w:tcPr>
          <w:p w14:paraId="58667C4D"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Entrega diario de ingresos de febrero a diciembre y facturas.</w:t>
            </w:r>
          </w:p>
          <w:p w14:paraId="6EBB6DB6"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reporte de concentrado de ingresos de enero a octubre</w:t>
            </w:r>
          </w:p>
        </w:tc>
        <w:tc>
          <w:tcPr>
            <w:tcW w:w="2693" w:type="dxa"/>
            <w:vAlign w:val="center"/>
          </w:tcPr>
          <w:p w14:paraId="276CD3DB"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PARCIALMENTE</w:t>
            </w:r>
          </w:p>
          <w:p w14:paraId="15085267"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i/>
                <w:iCs/>
                <w:sz w:val="24"/>
                <w:szCs w:val="24"/>
              </w:rPr>
              <w:t xml:space="preserve">No presenta documentales de la totalidad de la temporalidad requerida.  </w:t>
            </w:r>
          </w:p>
        </w:tc>
      </w:tr>
      <w:tr w:rsidR="002F653A" w:rsidRPr="00247163" w14:paraId="263FFB3D"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764C8CF5"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l) Versiones públicas de facturas o CFDI emitidos o recibidos vinculados a la operación de la unidad.</w:t>
            </w:r>
          </w:p>
        </w:tc>
        <w:tc>
          <w:tcPr>
            <w:tcW w:w="3261" w:type="dxa"/>
            <w:vAlign w:val="center"/>
          </w:tcPr>
          <w:p w14:paraId="71C887AA"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No se pronuncia</w:t>
            </w:r>
          </w:p>
          <w:p w14:paraId="35097DEB"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No se pronuncia</w:t>
            </w:r>
          </w:p>
        </w:tc>
        <w:tc>
          <w:tcPr>
            <w:tcW w:w="2693" w:type="dxa"/>
            <w:vAlign w:val="center"/>
          </w:tcPr>
          <w:p w14:paraId="48306F45"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color w:val="000000"/>
                <w:sz w:val="24"/>
                <w:szCs w:val="24"/>
              </w:rPr>
            </w:pPr>
            <w:r w:rsidRPr="00247163">
              <w:rPr>
                <w:rFonts w:ascii="Palatino Linotype" w:eastAsia="Palatino Linotype" w:hAnsi="Palatino Linotype" w:cs="Palatino Linotype"/>
                <w:b/>
                <w:bCs/>
                <w:color w:val="000000"/>
                <w:sz w:val="24"/>
                <w:szCs w:val="24"/>
              </w:rPr>
              <w:t>NO</w:t>
            </w:r>
          </w:p>
          <w:p w14:paraId="05298E2D" w14:textId="77777777" w:rsidR="002F653A" w:rsidRPr="00247163" w:rsidRDefault="002F653A">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p>
        </w:tc>
      </w:tr>
      <w:tr w:rsidR="002F653A" w:rsidRPr="00247163" w14:paraId="3B18FAE9" w14:textId="77777777" w:rsidTr="002F653A">
        <w:tc>
          <w:tcPr>
            <w:cnfStyle w:val="001000000000" w:firstRow="0" w:lastRow="0" w:firstColumn="1" w:lastColumn="0" w:oddVBand="0" w:evenVBand="0" w:oddHBand="0" w:evenHBand="0" w:firstRowFirstColumn="0" w:firstRowLastColumn="0" w:lastRowFirstColumn="0" w:lastRowLastColumn="0"/>
            <w:tcW w:w="9918" w:type="dxa"/>
            <w:gridSpan w:val="3"/>
            <w:vAlign w:val="center"/>
          </w:tcPr>
          <w:p w14:paraId="7F96110C" w14:textId="77777777" w:rsidR="002F653A" w:rsidRPr="00247163" w:rsidRDefault="00CB53E8">
            <w:pPr>
              <w:jc w:val="both"/>
              <w:rPr>
                <w:rFonts w:ascii="Palatino Linotype" w:eastAsia="Palatino Linotype" w:hAnsi="Palatino Linotype" w:cs="Palatino Linotype"/>
                <w:sz w:val="24"/>
                <w:szCs w:val="24"/>
              </w:rPr>
            </w:pPr>
            <w:r w:rsidRPr="00247163">
              <w:rPr>
                <w:rFonts w:ascii="Palatino Linotype" w:eastAsia="Palatino Linotype" w:hAnsi="Palatino Linotype" w:cs="Palatino Linotype"/>
                <w:b w:val="0"/>
                <w:bCs w:val="0"/>
                <w:i/>
                <w:iCs/>
                <w:color w:val="000000"/>
                <w:sz w:val="24"/>
                <w:szCs w:val="24"/>
              </w:rPr>
              <w:t>8) Versiones públicas de los recibos de nómina y comprobantes de dispersión correspondientes al personal de la unidad, del 1 de enero de 2024 a la fecha de la presente solicitud, incluyendo de forma expresa:</w:t>
            </w:r>
          </w:p>
        </w:tc>
      </w:tr>
      <w:tr w:rsidR="002F653A" w:rsidRPr="00247163" w14:paraId="057B4F32"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85E98BB"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sz w:val="24"/>
                <w:szCs w:val="24"/>
              </w:rPr>
              <w:t>I)</w:t>
            </w:r>
            <w:r w:rsidRPr="00247163">
              <w:rPr>
                <w:rFonts w:ascii="Palatino Linotype" w:eastAsia="Palatino Linotype" w:hAnsi="Palatino Linotype" w:cs="Palatino Linotype"/>
                <w:b w:val="0"/>
                <w:bCs w:val="0"/>
                <w:i/>
                <w:iCs/>
                <w:color w:val="000000"/>
                <w:sz w:val="24"/>
                <w:szCs w:val="24"/>
              </w:rPr>
              <w:t xml:space="preserve"> Recibos individuales por cada periodo de pago</w:t>
            </w:r>
          </w:p>
        </w:tc>
        <w:tc>
          <w:tcPr>
            <w:tcW w:w="3261" w:type="dxa"/>
          </w:tcPr>
          <w:p w14:paraId="701620D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Entrega versión pública de recibos de nómina de diversos servidores públicos del año.</w:t>
            </w:r>
          </w:p>
          <w:p w14:paraId="1BF6A8F5"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2025: Entrega versión pública de recibos de nómina de diversos servidores públicos de enero a abril </w:t>
            </w:r>
          </w:p>
        </w:tc>
        <w:tc>
          <w:tcPr>
            <w:tcW w:w="2693" w:type="dxa"/>
          </w:tcPr>
          <w:p w14:paraId="60BC722E"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38752AE0"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Los servidores públicos son diferentes en la plantilla de personal, CV´S, recibos de nómina y dispersión de nómina.</w:t>
            </w:r>
          </w:p>
          <w:p w14:paraId="01FA96E4"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Los recibos de nómina no corresponden a los de la plantilla presentada.</w:t>
            </w:r>
          </w:p>
        </w:tc>
      </w:tr>
      <w:tr w:rsidR="002F653A" w:rsidRPr="00247163" w14:paraId="3AECBF6A"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6699E4A4"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sz w:val="24"/>
                <w:szCs w:val="24"/>
              </w:rPr>
              <w:t>II)</w:t>
            </w:r>
            <w:r w:rsidRPr="00247163">
              <w:rPr>
                <w:rFonts w:ascii="Palatino Linotype" w:eastAsia="Palatino Linotype" w:hAnsi="Palatino Linotype" w:cs="Palatino Linotype"/>
                <w:b w:val="0"/>
                <w:bCs w:val="0"/>
                <w:i/>
                <w:iCs/>
                <w:color w:val="000000"/>
                <w:sz w:val="24"/>
                <w:szCs w:val="24"/>
              </w:rPr>
              <w:t xml:space="preserve"> Comprobantes de transferencia bancaria (como estados de cuenta, reportes de dispersión u otros </w:t>
            </w:r>
            <w:r w:rsidRPr="00247163">
              <w:rPr>
                <w:rFonts w:ascii="Palatino Linotype" w:eastAsia="Palatino Linotype" w:hAnsi="Palatino Linotype" w:cs="Palatino Linotype"/>
                <w:b w:val="0"/>
                <w:bCs w:val="0"/>
                <w:i/>
                <w:iCs/>
                <w:color w:val="000000"/>
                <w:sz w:val="24"/>
                <w:szCs w:val="24"/>
              </w:rPr>
              <w:lastRenderedPageBreak/>
              <w:t>documentos generados por la institución bancaria o el área financiera) cuando el pago se haya realizado vía electrónica</w:t>
            </w:r>
          </w:p>
        </w:tc>
        <w:tc>
          <w:tcPr>
            <w:tcW w:w="3261" w:type="dxa"/>
          </w:tcPr>
          <w:p w14:paraId="38E5503F"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 xml:space="preserve">2024:   Presenta versión pública de reporte de transmisión de pagos de enero a noviembre </w:t>
            </w:r>
          </w:p>
          <w:p w14:paraId="504441EC"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2025: Presenta versión pública de reporte de transmisión de pagos de 14 febrero, abril, mayo, 27 junio, julio, agosto y septiembre.</w:t>
            </w:r>
          </w:p>
        </w:tc>
        <w:tc>
          <w:tcPr>
            <w:tcW w:w="2693" w:type="dxa"/>
          </w:tcPr>
          <w:p w14:paraId="65A1EE0C"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lastRenderedPageBreak/>
              <w:t>PARCIALMENTE</w:t>
            </w:r>
          </w:p>
          <w:p w14:paraId="1036311B"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Los servidores públicos son diferentes en la </w:t>
            </w:r>
            <w:r w:rsidRPr="00247163">
              <w:rPr>
                <w:rFonts w:ascii="Palatino Linotype" w:eastAsia="Palatino Linotype" w:hAnsi="Palatino Linotype" w:cs="Palatino Linotype"/>
                <w:i/>
                <w:iCs/>
                <w:sz w:val="24"/>
                <w:szCs w:val="24"/>
              </w:rPr>
              <w:lastRenderedPageBreak/>
              <w:t>plantilla de personal, CV´S, recibos de nómina y dispersión de nómina.</w:t>
            </w:r>
          </w:p>
          <w:p w14:paraId="0A069E1F" w14:textId="77777777" w:rsidR="002F653A" w:rsidRPr="00247163" w:rsidRDefault="002F653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p>
        </w:tc>
      </w:tr>
      <w:tr w:rsidR="002F653A" w:rsidRPr="00247163" w14:paraId="73A9B022"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2778092B"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sz w:val="24"/>
                <w:szCs w:val="24"/>
              </w:rPr>
              <w:lastRenderedPageBreak/>
              <w:t>II)</w:t>
            </w:r>
            <w:r w:rsidRPr="00247163">
              <w:rPr>
                <w:rFonts w:ascii="Palatino Linotype" w:eastAsia="Palatino Linotype" w:hAnsi="Palatino Linotype" w:cs="Palatino Linotype"/>
                <w:b w:val="0"/>
                <w:bCs w:val="0"/>
                <w:i/>
                <w:iCs/>
                <w:color w:val="000000"/>
                <w:sz w:val="24"/>
                <w:szCs w:val="24"/>
              </w:rPr>
              <w:t xml:space="preserve"> En caso de pagos en efectivo, cheques u otra modalidad no electrónica, los documentos que respalden dicha entrega (relaciones firmadas, recibos físicos, actas de entrega, etc.).</w:t>
            </w:r>
          </w:p>
        </w:tc>
        <w:tc>
          <w:tcPr>
            <w:tcW w:w="3261" w:type="dxa"/>
          </w:tcPr>
          <w:p w14:paraId="43049149"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entrega versión pública de recibos de nómina de diversos servidores públicos</w:t>
            </w:r>
          </w:p>
          <w:p w14:paraId="21466F1E"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Entrega versión pública de recibos de nómina de diversos servidores públicos de enero a abril</w:t>
            </w:r>
          </w:p>
        </w:tc>
        <w:tc>
          <w:tcPr>
            <w:tcW w:w="2693" w:type="dxa"/>
          </w:tcPr>
          <w:p w14:paraId="2621A452"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PARCIALMENTE</w:t>
            </w:r>
          </w:p>
        </w:tc>
      </w:tr>
      <w:tr w:rsidR="002F653A" w:rsidRPr="00247163" w14:paraId="08646644"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FD6FA18"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9. Inventario de bienes muebles e inmuebles asignados a la unidad, incluyendo mobiliario, equipo médico, insumos y tecnología, especificando su ubicación, estado físico y persona responsable</w:t>
            </w:r>
          </w:p>
        </w:tc>
        <w:tc>
          <w:tcPr>
            <w:tcW w:w="3261" w:type="dxa"/>
            <w:vAlign w:val="center"/>
          </w:tcPr>
          <w:p w14:paraId="05453A5F"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Presenta inventario</w:t>
            </w:r>
          </w:p>
          <w:p w14:paraId="4BDD0535" w14:textId="77777777" w:rsidR="002F653A" w:rsidRPr="00247163" w:rsidRDefault="00CB53E8">
            <w:pPr>
              <w:tabs>
                <w:tab w:val="left" w:pos="968"/>
              </w:tabs>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acta circunstanciada de inventario</w:t>
            </w:r>
          </w:p>
        </w:tc>
        <w:tc>
          <w:tcPr>
            <w:tcW w:w="2693" w:type="dxa"/>
            <w:vAlign w:val="center"/>
          </w:tcPr>
          <w:p w14:paraId="791DB305"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SI</w:t>
            </w:r>
          </w:p>
          <w:p w14:paraId="0369AED2" w14:textId="77777777" w:rsidR="002F653A" w:rsidRPr="00247163" w:rsidRDefault="00CB53E8">
            <w:pPr>
              <w:jc w:val="cente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 existe obligación de elaborar documentos ad hoc para atender las solicitudes de acceso a la información</w:t>
            </w:r>
          </w:p>
        </w:tc>
      </w:tr>
      <w:tr w:rsidR="002F653A" w:rsidRPr="00247163" w14:paraId="094615EC"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0EB3E61E"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10. Versiones públicas de los recibos individuales y comprobantes de ingresos generados por consultas, terapias y cualquier otro servicio prestado por la unidad, correspondientes al periodo del 1 de enero de 2024 a la fecha de la presente solicitud</w:t>
            </w:r>
          </w:p>
        </w:tc>
        <w:tc>
          <w:tcPr>
            <w:tcW w:w="3261" w:type="dxa"/>
          </w:tcPr>
          <w:p w14:paraId="268FD535"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No se pronuncia</w:t>
            </w:r>
          </w:p>
          <w:p w14:paraId="76F31097"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No se pronuncia</w:t>
            </w:r>
          </w:p>
        </w:tc>
        <w:tc>
          <w:tcPr>
            <w:tcW w:w="2693" w:type="dxa"/>
          </w:tcPr>
          <w:p w14:paraId="65D075DA" w14:textId="77777777" w:rsidR="002F653A" w:rsidRPr="00247163" w:rsidRDefault="00CB53E8">
            <w:pPr>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tc>
      </w:tr>
      <w:tr w:rsidR="002F653A" w:rsidRPr="00247163" w14:paraId="346D1005"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60C3BD86"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11. Versiones públicas de los recibos y/o comprobantes de condonaciones realizadas por concepto de consultas, terapias u otros servicios, correspondientes al periodo del 1 de enero de 2024 a la fecha de la presente solicitud.</w:t>
            </w:r>
          </w:p>
        </w:tc>
        <w:tc>
          <w:tcPr>
            <w:tcW w:w="3261" w:type="dxa"/>
          </w:tcPr>
          <w:p w14:paraId="504A9FC3"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No se pronuncia</w:t>
            </w:r>
          </w:p>
          <w:p w14:paraId="59DFCCC3"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listado de beneficiarios donde se testa nombre</w:t>
            </w:r>
          </w:p>
        </w:tc>
        <w:tc>
          <w:tcPr>
            <w:tcW w:w="2693" w:type="dxa"/>
            <w:shd w:val="clear" w:color="auto" w:fill="auto"/>
          </w:tcPr>
          <w:p w14:paraId="79BF3545"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376B8F81" w14:textId="77777777" w:rsidR="002F653A" w:rsidRPr="00247163" w:rsidRDefault="002F653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p>
        </w:tc>
      </w:tr>
      <w:tr w:rsidR="002F653A" w:rsidRPr="00247163" w14:paraId="71406E5E"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570C6695"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 xml:space="preserve">12. Versiones públicas de bitácoras y expedientes de atención médica o </w:t>
            </w:r>
            <w:r w:rsidRPr="00247163">
              <w:rPr>
                <w:rFonts w:ascii="Palatino Linotype" w:eastAsia="Palatino Linotype" w:hAnsi="Palatino Linotype" w:cs="Palatino Linotype"/>
                <w:b w:val="0"/>
                <w:bCs w:val="0"/>
                <w:i/>
                <w:iCs/>
                <w:color w:val="000000"/>
                <w:sz w:val="24"/>
                <w:szCs w:val="24"/>
              </w:rPr>
              <w:lastRenderedPageBreak/>
              <w:t>terapéutica, incluyendo número de pacientes atendidos y tipo de servicio, correspondientes al periodo del 1 de enero de 2024 a la fecha de la presente solicitud.</w:t>
            </w:r>
          </w:p>
        </w:tc>
        <w:tc>
          <w:tcPr>
            <w:tcW w:w="3261" w:type="dxa"/>
          </w:tcPr>
          <w:p w14:paraId="11C84902"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 xml:space="preserve">2024: Presenta versión pública de relación de expedientes </w:t>
            </w:r>
          </w:p>
          <w:p w14:paraId="4BA59443"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lastRenderedPageBreak/>
              <w:t>2025: Presenta concentrado de pacientes atendidos de enero a noviembre (estadística)</w:t>
            </w:r>
          </w:p>
        </w:tc>
        <w:tc>
          <w:tcPr>
            <w:tcW w:w="2693" w:type="dxa"/>
          </w:tcPr>
          <w:p w14:paraId="2A35B392"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lastRenderedPageBreak/>
              <w:t>PARCIALMENTE</w:t>
            </w:r>
          </w:p>
          <w:p w14:paraId="6936AAB9" w14:textId="77777777" w:rsidR="002F653A" w:rsidRPr="00247163" w:rsidRDefault="00CB53E8" w:rsidP="00D86E7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highlight w:val="yellow"/>
              </w:rPr>
            </w:pPr>
            <w:r w:rsidRPr="00247163">
              <w:rPr>
                <w:rFonts w:ascii="Palatino Linotype" w:eastAsia="Palatino Linotype" w:hAnsi="Palatino Linotype" w:cs="Palatino Linotype"/>
                <w:i/>
                <w:iCs/>
                <w:sz w:val="24"/>
                <w:szCs w:val="24"/>
              </w:rPr>
              <w:lastRenderedPageBreak/>
              <w:t xml:space="preserve">Falta  </w:t>
            </w:r>
            <w:r w:rsidR="00D86E75" w:rsidRPr="00247163">
              <w:rPr>
                <w:rFonts w:ascii="Palatino Linotype" w:eastAsia="Palatino Linotype" w:hAnsi="Palatino Linotype" w:cs="Palatino Linotype"/>
                <w:i/>
                <w:iCs/>
                <w:sz w:val="24"/>
                <w:szCs w:val="24"/>
              </w:rPr>
              <w:t xml:space="preserve">concentrado de pacientes atendidos (estadística) </w:t>
            </w:r>
            <w:r w:rsidR="00D62B36" w:rsidRPr="00247163">
              <w:rPr>
                <w:rFonts w:ascii="Palatino Linotype" w:eastAsia="Palatino Linotype" w:hAnsi="Palatino Linotype" w:cs="Palatino Linotype"/>
                <w:i/>
                <w:iCs/>
                <w:sz w:val="24"/>
                <w:szCs w:val="24"/>
              </w:rPr>
              <w:t xml:space="preserve">en </w:t>
            </w:r>
            <w:r w:rsidR="00D86E75" w:rsidRPr="00247163">
              <w:rPr>
                <w:rFonts w:ascii="Palatino Linotype" w:eastAsia="Palatino Linotype" w:hAnsi="Palatino Linotype" w:cs="Palatino Linotype"/>
                <w:i/>
                <w:iCs/>
                <w:sz w:val="24"/>
                <w:szCs w:val="24"/>
              </w:rPr>
              <w:t>2024.</w:t>
            </w:r>
          </w:p>
        </w:tc>
      </w:tr>
      <w:tr w:rsidR="002F653A" w:rsidRPr="00247163" w14:paraId="40D6CAA0"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4FD71352"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lastRenderedPageBreak/>
              <w:t>13. Versiones públicas del padrón de beneficiarios atendidos por la unidad, correspondientes al periodo del 1 de enero de 2024 a la fecha de la presente solicitud.</w:t>
            </w:r>
          </w:p>
        </w:tc>
        <w:tc>
          <w:tcPr>
            <w:tcW w:w="3261" w:type="dxa"/>
          </w:tcPr>
          <w:p w14:paraId="090CFE58"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2024: No se pronuncia</w:t>
            </w:r>
          </w:p>
          <w:p w14:paraId="5286295E"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2025: Presenta listado de beneficiarios donde se testa nombre</w:t>
            </w:r>
          </w:p>
        </w:tc>
        <w:tc>
          <w:tcPr>
            <w:tcW w:w="2693" w:type="dxa"/>
          </w:tcPr>
          <w:p w14:paraId="7FEDEC3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PARCIALMENTE</w:t>
            </w:r>
          </w:p>
          <w:p w14:paraId="658BD77D"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Falta 2024</w:t>
            </w:r>
          </w:p>
        </w:tc>
      </w:tr>
      <w:tr w:rsidR="002F653A" w:rsidRPr="00247163" w14:paraId="0A98C2B7"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0B282B67"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14. Indicadores de desempeño, metas programadas y avances alcanzados por la unidad en los ejercicios 2022, 2023, 2024 y lo que va de 2025, así como informes o evaluaciones internas que documenten resultados de atención o impacto social.</w:t>
            </w:r>
          </w:p>
        </w:tc>
        <w:tc>
          <w:tcPr>
            <w:tcW w:w="3261" w:type="dxa"/>
          </w:tcPr>
          <w:p w14:paraId="1F15C8A4"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reporte de incidentes 1250/2023</w:t>
            </w:r>
          </w:p>
          <w:p w14:paraId="21BEF43A"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2022: Entrega seguimiento de indicadores PbRM-08b (anual, semestral y mensual), Diseño de indicadores estrategias de gestión PbRM01d,  Matriz de indicadores para resultados por programa presupuestario y dependencia general PbRM01e. (algunos ilegibles)</w:t>
            </w:r>
          </w:p>
          <w:p w14:paraId="35AC14D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2023: Entrega calendarización de metas enero –diciembre, Avance trimestral de metas de actividad por proyecto 2023 PbRM 08c, Seguimiento de indicadores 2023 de gestión o estratégico (anual, semestral, mensual) PbRM-08b</w:t>
            </w:r>
          </w:p>
          <w:p w14:paraId="25A81F53"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2024: Entrega Guía metodológica para el seguimiento y evaluación del plan de desarrollo municipal PbRM – 08c, Avance trimestral de metas de actividad por proyecto 2024, ficha técnica de </w:t>
            </w:r>
            <w:r w:rsidRPr="00247163">
              <w:rPr>
                <w:rFonts w:ascii="Palatino Linotype" w:eastAsia="Palatino Linotype" w:hAnsi="Palatino Linotype" w:cs="Palatino Linotype"/>
                <w:i/>
                <w:iCs/>
                <w:sz w:val="24"/>
                <w:szCs w:val="24"/>
              </w:rPr>
              <w:lastRenderedPageBreak/>
              <w:t>seguimiento de indicadores de gestión o estratégico PbRM-08b mensual, trimestral semestral.</w:t>
            </w:r>
          </w:p>
          <w:p w14:paraId="3DC674DD" w14:textId="77777777" w:rsidR="002F653A" w:rsidRPr="00247163" w:rsidRDefault="00CB53E8">
            <w:pPr>
              <w:tabs>
                <w:tab w:val="left" w:pos="914"/>
              </w:tabs>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2025: </w:t>
            </w:r>
            <w:r w:rsidRPr="00247163">
              <w:rPr>
                <w:rFonts w:ascii="Palatino Linotype" w:eastAsia="Palatino Linotype" w:hAnsi="Palatino Linotype" w:cs="Palatino Linotype"/>
                <w:i/>
                <w:iCs/>
                <w:sz w:val="24"/>
                <w:szCs w:val="24"/>
              </w:rPr>
              <w:tab/>
              <w:t>Entrega ficha técnica de seguimiento de indicadores de gestión o estratégico PbRM-08b semestral, mensual, trimestral, avance trimestral de metas de actividad por proyecto de enero a junio PbRM-08c</w:t>
            </w:r>
          </w:p>
        </w:tc>
        <w:tc>
          <w:tcPr>
            <w:tcW w:w="2693" w:type="dxa"/>
          </w:tcPr>
          <w:p w14:paraId="017E2798"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lastRenderedPageBreak/>
              <w:t>PARCIALMENTE</w:t>
            </w:r>
          </w:p>
          <w:p w14:paraId="5FC19582"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ILEGIBLE</w:t>
            </w:r>
          </w:p>
          <w:p w14:paraId="20918B4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i/>
                <w:iCs/>
                <w:sz w:val="24"/>
                <w:szCs w:val="24"/>
              </w:rPr>
              <w:t>INCOMPLETO</w:t>
            </w:r>
          </w:p>
        </w:tc>
      </w:tr>
      <w:tr w:rsidR="002F653A" w:rsidRPr="00247163" w14:paraId="41D8C874"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2172A87F" w14:textId="77777777" w:rsidR="002F653A" w:rsidRPr="00247163" w:rsidRDefault="00CB53E8">
            <w:pPr>
              <w:jc w:val="both"/>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b w:val="0"/>
                <w:bCs w:val="0"/>
                <w:i/>
                <w:iCs/>
                <w:color w:val="000000"/>
                <w:sz w:val="24"/>
                <w:szCs w:val="24"/>
              </w:rPr>
              <w:t xml:space="preserve">15. Versiones públicas de todos los documentos de entrega-recepción de la unidad, correspondientes a los ejercicios administrativos 2019–2021 y 2022–2024. </w:t>
            </w:r>
          </w:p>
        </w:tc>
        <w:tc>
          <w:tcPr>
            <w:tcW w:w="3261" w:type="dxa"/>
          </w:tcPr>
          <w:p w14:paraId="46B6C49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Entrega Acta ordinaria de entrega – recepción del mes de agosto de 2025.</w:t>
            </w:r>
          </w:p>
        </w:tc>
        <w:tc>
          <w:tcPr>
            <w:tcW w:w="2693" w:type="dxa"/>
          </w:tcPr>
          <w:p w14:paraId="6CA08E0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p w14:paraId="66756CB8"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sz w:val="24"/>
                <w:szCs w:val="24"/>
              </w:rPr>
            </w:pPr>
            <w:r w:rsidRPr="00247163">
              <w:rPr>
                <w:rFonts w:ascii="Palatino Linotype" w:eastAsia="Palatino Linotype" w:hAnsi="Palatino Linotype" w:cs="Palatino Linotype"/>
                <w:sz w:val="24"/>
                <w:szCs w:val="24"/>
              </w:rPr>
              <w:t>No se pronuncia de los años requeridos.</w:t>
            </w:r>
          </w:p>
        </w:tc>
      </w:tr>
      <w:tr w:rsidR="002F653A" w:rsidRPr="00247163" w14:paraId="6E217358" w14:textId="77777777" w:rsidTr="002F653A">
        <w:tc>
          <w:tcPr>
            <w:cnfStyle w:val="001000000000" w:firstRow="0" w:lastRow="0" w:firstColumn="1" w:lastColumn="0" w:oddVBand="0" w:evenVBand="0" w:oddHBand="0" w:evenHBand="0" w:firstRowFirstColumn="0" w:firstRowLastColumn="0" w:lastRowFirstColumn="0" w:lastRowLastColumn="0"/>
            <w:tcW w:w="3964" w:type="dxa"/>
            <w:vAlign w:val="center"/>
          </w:tcPr>
          <w:p w14:paraId="348EDC6A" w14:textId="77777777" w:rsidR="002F653A" w:rsidRPr="00247163" w:rsidRDefault="00CB53E8">
            <w:pPr>
              <w:jc w:val="both"/>
              <w:rPr>
                <w:rFonts w:ascii="Palatino Linotype" w:eastAsia="Palatino Linotype" w:hAnsi="Palatino Linotype" w:cs="Palatino Linotype"/>
                <w:i/>
                <w:iCs/>
                <w:color w:val="000000"/>
                <w:sz w:val="24"/>
                <w:szCs w:val="24"/>
              </w:rPr>
            </w:pPr>
            <w:r w:rsidRPr="00247163">
              <w:rPr>
                <w:rFonts w:ascii="Palatino Linotype" w:eastAsia="Palatino Linotype" w:hAnsi="Palatino Linotype" w:cs="Palatino Linotype"/>
                <w:b w:val="0"/>
                <w:bCs w:val="0"/>
                <w:i/>
                <w:iCs/>
                <w:color w:val="000000"/>
                <w:sz w:val="24"/>
                <w:szCs w:val="24"/>
              </w:rPr>
              <w:t>16. Versiones públicas de los documentos derivados de auditorías, visitas de supervisión, inspecciones o revisiones internas o externas realizadas a la unidad desde el año 2022 a la fecha, incluyendo observaciones, recomendaciones, acciones correctivas, y cualquier otro documento vinculado al seguimiento o cumplimiento de dichas observaciones o recomendaciones.</w:t>
            </w:r>
          </w:p>
        </w:tc>
        <w:tc>
          <w:tcPr>
            <w:tcW w:w="3261" w:type="dxa"/>
          </w:tcPr>
          <w:p w14:paraId="67AA92EA"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Presenta reporte de incidentes 1250/2023</w:t>
            </w:r>
          </w:p>
          <w:p w14:paraId="15D314FE" w14:textId="77777777" w:rsidR="002F653A" w:rsidRPr="00247163" w:rsidRDefault="002F653A">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sz w:val="24"/>
                <w:szCs w:val="24"/>
              </w:rPr>
            </w:pPr>
          </w:p>
        </w:tc>
        <w:tc>
          <w:tcPr>
            <w:tcW w:w="2693" w:type="dxa"/>
          </w:tcPr>
          <w:p w14:paraId="5DD92306" w14:textId="77777777" w:rsidR="002F653A" w:rsidRPr="00247163" w:rsidRDefault="00CB53E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b/>
                <w:bCs/>
                <w:sz w:val="24"/>
                <w:szCs w:val="24"/>
              </w:rPr>
            </w:pPr>
            <w:r w:rsidRPr="00247163">
              <w:rPr>
                <w:rFonts w:ascii="Palatino Linotype" w:eastAsia="Palatino Linotype" w:hAnsi="Palatino Linotype" w:cs="Palatino Linotype"/>
                <w:b/>
                <w:bCs/>
                <w:sz w:val="24"/>
                <w:szCs w:val="24"/>
              </w:rPr>
              <w:t>NO</w:t>
            </w:r>
          </w:p>
        </w:tc>
      </w:tr>
    </w:tbl>
    <w:p w14:paraId="1452F2D4" w14:textId="77777777" w:rsidR="002F653A" w:rsidRPr="00247163" w:rsidRDefault="002F653A">
      <w:pPr>
        <w:pBdr>
          <w:top w:val="nil"/>
          <w:left w:val="nil"/>
          <w:bottom w:val="nil"/>
          <w:right w:val="nil"/>
          <w:between w:val="nil"/>
        </w:pBdr>
        <w:spacing w:line="360" w:lineRule="auto"/>
        <w:ind w:right="-591"/>
        <w:jc w:val="both"/>
        <w:rPr>
          <w:color w:val="000000"/>
        </w:rPr>
      </w:pPr>
    </w:p>
    <w:p w14:paraId="4D3A6C3B" w14:textId="77777777" w:rsidR="002F653A" w:rsidRPr="00247163" w:rsidRDefault="002F653A">
      <w:pPr>
        <w:pBdr>
          <w:top w:val="nil"/>
          <w:left w:val="nil"/>
          <w:bottom w:val="nil"/>
          <w:right w:val="nil"/>
          <w:between w:val="nil"/>
        </w:pBdr>
        <w:ind w:left="720"/>
        <w:rPr>
          <w:rFonts w:ascii="Palatino Linotype" w:eastAsia="Palatino Linotype" w:hAnsi="Palatino Linotype" w:cs="Palatino Linotype"/>
          <w:color w:val="000000"/>
        </w:rPr>
      </w:pPr>
    </w:p>
    <w:p w14:paraId="5556FCA2" w14:textId="77777777" w:rsidR="002F653A" w:rsidRPr="00247163" w:rsidRDefault="00CB53E8">
      <w:pPr>
        <w:numPr>
          <w:ilvl w:val="0"/>
          <w:numId w:val="10"/>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color w:val="000000"/>
        </w:rPr>
        <w:t xml:space="preserve">A más de lo anterior, es de explorado derecho que este Instituto no se encuentra facultado para dudar de la veracidad de la </w:t>
      </w:r>
      <w:r w:rsidRPr="00247163">
        <w:rPr>
          <w:rFonts w:ascii="Palatino Linotype" w:eastAsia="Palatino Linotype" w:hAnsi="Palatino Linotype" w:cs="Palatino Linotype"/>
        </w:rPr>
        <w:t>información</w:t>
      </w:r>
      <w:r w:rsidRPr="00247163">
        <w:rPr>
          <w:rFonts w:ascii="Palatino Linotype" w:eastAsia="Palatino Linotype" w:hAnsi="Palatino Linotype" w:cs="Palatino Linotype"/>
          <w:color w:val="000000"/>
        </w:rPr>
        <w:t xml:space="preserve"> que le fue entregada al hoy </w:t>
      </w:r>
      <w:r w:rsidRPr="00247163">
        <w:rPr>
          <w:rFonts w:ascii="Palatino Linotype" w:eastAsia="Palatino Linotype" w:hAnsi="Palatino Linotype" w:cs="Palatino Linotype"/>
          <w:b/>
          <w:bCs/>
          <w:color w:val="000000"/>
        </w:rPr>
        <w:t>RECURRENTE</w:t>
      </w:r>
      <w:r w:rsidRPr="00247163">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sidRPr="00247163">
        <w:rPr>
          <w:rFonts w:ascii="Palatino Linotype" w:eastAsia="Palatino Linotype" w:hAnsi="Palatino Linotype" w:cs="Palatino Linotype"/>
        </w:rPr>
        <w:t xml:space="preserve">situación que se aleja de las atribuciones de este Instituto </w:t>
      </w:r>
      <w:r w:rsidRPr="00247163">
        <w:rPr>
          <w:rFonts w:ascii="Palatino Linotype" w:eastAsia="Palatino Linotype" w:hAnsi="Palatino Linotype" w:cs="Palatino Linotype"/>
          <w:i/>
          <w:iCs/>
          <w:color w:val="000000"/>
        </w:rPr>
        <w:t>máxime</w:t>
      </w:r>
      <w:r w:rsidRPr="00247163">
        <w:rPr>
          <w:rFonts w:ascii="Palatino Linotype" w:eastAsia="Palatino Linotype" w:hAnsi="Palatino Linotype" w:cs="Palatino Linotype"/>
          <w:color w:val="000000"/>
        </w:rPr>
        <w:t xml:space="preserve"> que al momento que ponen a disposición ésta, la misma tiene el </w:t>
      </w:r>
      <w:r w:rsidRPr="00247163">
        <w:rPr>
          <w:rFonts w:ascii="Palatino Linotype" w:eastAsia="Palatino Linotype" w:hAnsi="Palatino Linotype" w:cs="Palatino Linotype"/>
          <w:color w:val="000000"/>
        </w:rPr>
        <w:lastRenderedPageBreak/>
        <w:t>carácter oficial y se presume veraz, tan es así que la misma queda registrada en el Sistema de Acceso a la Información Mexiquense (SAIMEX).</w:t>
      </w:r>
    </w:p>
    <w:p w14:paraId="0526AD98" w14:textId="77777777" w:rsidR="002F653A" w:rsidRPr="00247163" w:rsidRDefault="002F653A">
      <w:pPr>
        <w:pBdr>
          <w:top w:val="nil"/>
          <w:left w:val="nil"/>
          <w:bottom w:val="nil"/>
          <w:right w:val="nil"/>
          <w:between w:val="nil"/>
        </w:pBdr>
        <w:spacing w:line="360" w:lineRule="auto"/>
        <w:ind w:left="720" w:right="-596"/>
        <w:rPr>
          <w:rFonts w:ascii="Palatino Linotype" w:eastAsia="Palatino Linotype" w:hAnsi="Palatino Linotype" w:cs="Palatino Linotype"/>
          <w:color w:val="000000"/>
        </w:rPr>
      </w:pPr>
    </w:p>
    <w:p w14:paraId="37DE526C" w14:textId="77777777" w:rsidR="002F653A" w:rsidRPr="00247163" w:rsidRDefault="00CB53E8">
      <w:pPr>
        <w:numPr>
          <w:ilvl w:val="0"/>
          <w:numId w:val="10"/>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Sirviendo de apoyo a lo anterior por analogía, el criterio 31-10 emitido por el entonces Instituto </w:t>
      </w:r>
      <w:r w:rsidRPr="00247163">
        <w:rPr>
          <w:rFonts w:ascii="Palatino Linotype" w:eastAsia="Palatino Linotype" w:hAnsi="Palatino Linotype" w:cs="Palatino Linotype"/>
          <w:color w:val="000000"/>
        </w:rPr>
        <w:t>Nacional</w:t>
      </w:r>
      <w:r w:rsidRPr="00247163">
        <w:rPr>
          <w:rFonts w:ascii="Palatino Linotype" w:eastAsia="Palatino Linotype" w:hAnsi="Palatino Linotype" w:cs="Palatino Linotype"/>
        </w:rPr>
        <w:t xml:space="preserve"> de Transparencia, Acceso a la Información y Protección de Datos Personales, que a la letra dice:</w:t>
      </w:r>
    </w:p>
    <w:p w14:paraId="670CC788" w14:textId="77777777" w:rsidR="002F653A" w:rsidRPr="00247163" w:rsidRDefault="00CB53E8">
      <w:pPr>
        <w:pBdr>
          <w:top w:val="nil"/>
          <w:left w:val="nil"/>
          <w:bottom w:val="nil"/>
          <w:right w:val="nil"/>
          <w:between w:val="nil"/>
        </w:pBdr>
        <w:spacing w:line="360"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“El Instituto Federal de Acceso a la Información y Protección de Datos </w:t>
      </w:r>
      <w:r w:rsidRPr="00247163">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247163">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704FA57D" w14:textId="77777777" w:rsidR="002F653A" w:rsidRPr="00247163" w:rsidRDefault="002F653A">
      <w:pPr>
        <w:pBdr>
          <w:top w:val="nil"/>
          <w:left w:val="nil"/>
          <w:bottom w:val="nil"/>
          <w:right w:val="nil"/>
          <w:between w:val="nil"/>
        </w:pBdr>
        <w:spacing w:line="360" w:lineRule="auto"/>
        <w:ind w:left="851" w:right="27"/>
        <w:jc w:val="both"/>
        <w:rPr>
          <w:rFonts w:ascii="Palatino Linotype" w:eastAsia="Palatino Linotype" w:hAnsi="Palatino Linotype" w:cs="Palatino Linotype"/>
          <w:i/>
          <w:iCs/>
          <w:color w:val="000000"/>
        </w:rPr>
      </w:pPr>
    </w:p>
    <w:p w14:paraId="3A8C9AA1" w14:textId="77777777" w:rsidR="002F653A" w:rsidRPr="00247163" w:rsidRDefault="00CB53E8">
      <w:pPr>
        <w:numPr>
          <w:ilvl w:val="0"/>
          <w:numId w:val="10"/>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Así como lo dispuesto por la </w:t>
      </w:r>
      <w:r w:rsidRPr="00247163">
        <w:rPr>
          <w:rFonts w:ascii="Palatino Linotype" w:eastAsia="Palatino Linotype" w:hAnsi="Palatino Linotype" w:cs="Palatino Linotype"/>
          <w:b/>
          <w:bCs/>
        </w:rPr>
        <w:t xml:space="preserve">Ley de Transparencia y Acceso a la Información Pública del </w:t>
      </w:r>
      <w:r w:rsidRPr="00247163">
        <w:rPr>
          <w:rFonts w:ascii="Palatino Linotype" w:eastAsia="Palatino Linotype" w:hAnsi="Palatino Linotype" w:cs="Palatino Linotype"/>
          <w:color w:val="000000"/>
        </w:rPr>
        <w:t>Estado</w:t>
      </w:r>
      <w:r w:rsidRPr="00247163">
        <w:rPr>
          <w:rFonts w:ascii="Palatino Linotype" w:eastAsia="Palatino Linotype" w:hAnsi="Palatino Linotype" w:cs="Palatino Linotype"/>
          <w:b/>
          <w:bCs/>
        </w:rPr>
        <w:t xml:space="preserve"> de México y Municipios</w:t>
      </w:r>
      <w:r w:rsidRPr="00247163">
        <w:rPr>
          <w:rFonts w:ascii="Palatino Linotype" w:eastAsia="Palatino Linotype" w:hAnsi="Palatino Linotype" w:cs="Palatino Linotype"/>
        </w:rPr>
        <w:t xml:space="preserve"> en su artículo 3, el cual establece que la información </w:t>
      </w:r>
      <w:r w:rsidRPr="00247163">
        <w:rPr>
          <w:rFonts w:ascii="Palatino Linotype" w:eastAsia="Palatino Linotype" w:hAnsi="Palatino Linotype" w:cs="Palatino Linotype"/>
        </w:rPr>
        <w:lastRenderedPageBreak/>
        <w:t>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3F14F3D2" w14:textId="77777777" w:rsidR="002F653A" w:rsidRPr="00247163" w:rsidRDefault="00CB53E8">
      <w:pPr>
        <w:pBdr>
          <w:top w:val="nil"/>
          <w:left w:val="nil"/>
          <w:bottom w:val="nil"/>
          <w:right w:val="nil"/>
          <w:between w:val="nil"/>
        </w:pBdr>
        <w:tabs>
          <w:tab w:val="left" w:pos="7938"/>
        </w:tabs>
        <w:spacing w:line="276" w:lineRule="auto"/>
        <w:ind w:left="1134" w:right="822"/>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247163">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14:paraId="21DA9742" w14:textId="77777777" w:rsidR="002F653A" w:rsidRPr="00247163" w:rsidRDefault="002F653A">
      <w:pPr>
        <w:pBdr>
          <w:top w:val="nil"/>
          <w:left w:val="nil"/>
          <w:bottom w:val="nil"/>
          <w:right w:val="nil"/>
          <w:between w:val="nil"/>
        </w:pBdr>
        <w:spacing w:line="360" w:lineRule="auto"/>
        <w:ind w:left="567" w:right="27"/>
        <w:jc w:val="both"/>
        <w:rPr>
          <w:rFonts w:ascii="Palatino Linotype" w:eastAsia="Palatino Linotype" w:hAnsi="Palatino Linotype" w:cs="Palatino Linotype"/>
          <w:b/>
          <w:bCs/>
          <w:i/>
          <w:iCs/>
          <w:color w:val="000000"/>
        </w:rPr>
      </w:pPr>
    </w:p>
    <w:p w14:paraId="59E97BE4" w14:textId="77777777" w:rsidR="002F653A" w:rsidRPr="00247163" w:rsidRDefault="00CB53E8">
      <w:pPr>
        <w:numPr>
          <w:ilvl w:val="0"/>
          <w:numId w:val="10"/>
        </w:numP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rPr>
        <w:t xml:space="preserve">Numerales que compelen al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14:paraId="6D42CD84" w14:textId="77777777" w:rsidR="002F653A" w:rsidRPr="00247163" w:rsidRDefault="002F653A">
      <w:pPr>
        <w:pBdr>
          <w:top w:val="nil"/>
          <w:left w:val="nil"/>
          <w:bottom w:val="nil"/>
          <w:right w:val="nil"/>
          <w:between w:val="nil"/>
        </w:pBdr>
        <w:ind w:left="720"/>
        <w:rPr>
          <w:rFonts w:ascii="Palatino Linotype" w:eastAsia="Palatino Linotype" w:hAnsi="Palatino Linotype" w:cs="Palatino Linotype"/>
          <w:color w:val="000000"/>
        </w:rPr>
      </w:pPr>
    </w:p>
    <w:p w14:paraId="36D32C2D" w14:textId="77777777" w:rsidR="002F653A" w:rsidRPr="00247163" w:rsidRDefault="00CB53E8">
      <w:pPr>
        <w:numPr>
          <w:ilvl w:val="0"/>
          <w:numId w:val="15"/>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t>Ahora bien por cuanto hace al cambio de modalidad referida por el Sujeto Obligado en respuesta y posteriormente en Informe Justificado, la Ley de Transparencia y Acceso a la Información Pública del Estado de México y Municipios establece en los artículos 155 fracción V, 158 y 164 lo siguiente:</w:t>
      </w:r>
    </w:p>
    <w:p w14:paraId="5E52917D"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b/>
          <w:bCs/>
          <w:i/>
          <w:iCs/>
          <w:color w:val="000000"/>
        </w:rPr>
        <w:t>Artículo 155</w:t>
      </w:r>
      <w:r w:rsidRPr="00247163">
        <w:rPr>
          <w:rFonts w:ascii="Palatino Linotype" w:eastAsia="Palatino Linotype" w:hAnsi="Palatino Linotype" w:cs="Palatino Linotype"/>
          <w:i/>
          <w:iCs/>
          <w:color w:val="000000"/>
        </w:rPr>
        <w:t>. Para presentar una solicitud por escrito, no se podrán exigir mayores requisitos que los siguientes:</w:t>
      </w:r>
    </w:p>
    <w:p w14:paraId="20A44BC4"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 a IV. …</w:t>
      </w:r>
    </w:p>
    <w:p w14:paraId="59FB727F"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 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w:t>
      </w:r>
    </w:p>
    <w:p w14:paraId="1E64593E"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w:t>
      </w:r>
    </w:p>
    <w:p w14:paraId="0AC0509B"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b/>
          <w:bCs/>
          <w:i/>
          <w:iCs/>
          <w:color w:val="000000"/>
        </w:rPr>
        <w:t>Artículo 158.</w:t>
      </w:r>
      <w:r w:rsidRPr="00247163">
        <w:rPr>
          <w:rFonts w:ascii="Palatino Linotype" w:eastAsia="Palatino Linotype" w:hAnsi="Palatino Linotype" w:cs="Palatino Linotype"/>
          <w:i/>
          <w:iCs/>
          <w:color w:val="000000"/>
        </w:rPr>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0EE0FCD0"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 </w:t>
      </w:r>
    </w:p>
    <w:p w14:paraId="684F7B5F"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En todo caso, se facilitará su copia simple o certificada, así como su reproducción por cualquier medio disponible en las instalaciones del sujeto obligado o que, en su caso, aporte el solicitante.</w:t>
      </w:r>
    </w:p>
    <w:p w14:paraId="4C3CD41C" w14:textId="77777777" w:rsidR="002F653A" w:rsidRPr="00247163" w:rsidRDefault="002F653A">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p>
    <w:p w14:paraId="54A225E4" w14:textId="77777777" w:rsidR="002F653A" w:rsidRPr="00247163" w:rsidRDefault="00CB53E8">
      <w:pPr>
        <w:pBdr>
          <w:top w:val="nil"/>
          <w:left w:val="nil"/>
          <w:bottom w:val="nil"/>
          <w:right w:val="nil"/>
          <w:between w:val="nil"/>
        </w:pBdr>
        <w:tabs>
          <w:tab w:val="left" w:pos="851"/>
        </w:tabs>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b/>
          <w:bCs/>
          <w:i/>
          <w:iCs/>
          <w:color w:val="000000"/>
        </w:rPr>
        <w:t>Artículo 164</w:t>
      </w:r>
      <w:r w:rsidRPr="00247163">
        <w:rPr>
          <w:rFonts w:ascii="Palatino Linotype" w:eastAsia="Palatino Linotype" w:hAnsi="Palatino Linotype" w:cs="Palatino Linotype"/>
          <w:i/>
          <w:iCs/>
          <w:color w:val="000000"/>
        </w:rPr>
        <w:t>. El acceso se dará en la modalidad de entrega y, en su caso, de envío elegidos por el solicitante. Cuando la información no pueda entregarse o enviarse en la modalidad solicitada, el sujeto obligado deberá ofrecer otra u otras modalidades de entrega.</w:t>
      </w:r>
    </w:p>
    <w:p w14:paraId="6B946EFF" w14:textId="77777777" w:rsidR="002F653A" w:rsidRPr="00247163" w:rsidRDefault="002F653A">
      <w:pPr>
        <w:pBdr>
          <w:top w:val="nil"/>
          <w:left w:val="nil"/>
          <w:bottom w:val="nil"/>
          <w:right w:val="nil"/>
          <w:between w:val="nil"/>
        </w:pBdr>
        <w:tabs>
          <w:tab w:val="left" w:pos="851"/>
        </w:tabs>
        <w:ind w:left="-566" w:right="113"/>
        <w:jc w:val="both"/>
        <w:rPr>
          <w:rFonts w:ascii="Palatino Linotype" w:eastAsia="Palatino Linotype" w:hAnsi="Palatino Linotype" w:cs="Palatino Linotype"/>
          <w:i/>
          <w:iCs/>
          <w:color w:val="000000"/>
        </w:rPr>
      </w:pPr>
    </w:p>
    <w:p w14:paraId="38731E4E" w14:textId="77777777" w:rsidR="002F653A" w:rsidRPr="00247163" w:rsidRDefault="00CB53E8">
      <w:pPr>
        <w:numPr>
          <w:ilvl w:val="0"/>
          <w:numId w:val="15"/>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t>La normatividad en materia establece que se privilegiará la modalidad de entrega elegida por el Recurrente y será excepcional un cambio de modalidad cuando la información sobrepase las capacidades técnicas administrativas y humanas, dicho cambio será debidamente fundado y motivado.</w:t>
      </w:r>
    </w:p>
    <w:p w14:paraId="335E5EF1" w14:textId="77777777" w:rsidR="002F653A" w:rsidRPr="00247163" w:rsidRDefault="002F653A">
      <w:pPr>
        <w:pBdr>
          <w:top w:val="nil"/>
          <w:left w:val="nil"/>
          <w:bottom w:val="nil"/>
          <w:right w:val="nil"/>
          <w:between w:val="nil"/>
        </w:pBdr>
        <w:tabs>
          <w:tab w:val="left" w:pos="426"/>
        </w:tabs>
        <w:spacing w:line="360" w:lineRule="auto"/>
        <w:ind w:left="-566" w:right="113"/>
        <w:jc w:val="both"/>
        <w:rPr>
          <w:rFonts w:ascii="Palatino Linotype" w:eastAsia="Palatino Linotype" w:hAnsi="Palatino Linotype" w:cs="Palatino Linotype"/>
          <w:color w:val="000000"/>
        </w:rPr>
      </w:pPr>
    </w:p>
    <w:p w14:paraId="466D1DC4" w14:textId="77777777" w:rsidR="002F653A" w:rsidRPr="00247163" w:rsidRDefault="00CB53E8">
      <w:pPr>
        <w:numPr>
          <w:ilvl w:val="0"/>
          <w:numId w:val="15"/>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Del artículo 158 ya transcrito, se tiene que, excepcionalmente, en el caso de que la información solicitada implique un análisis, estudio o procesamiento de documentos, cuya entrega o reproducción sobrepase las capacidades técnicas administrativas y humanas del </w:t>
      </w:r>
      <w:r w:rsidRPr="00247163">
        <w:rPr>
          <w:rFonts w:ascii="Palatino Linotype" w:eastAsia="Palatino Linotype" w:hAnsi="Palatino Linotype" w:cs="Palatino Linotype"/>
          <w:b/>
          <w:bCs/>
          <w:color w:val="000000"/>
        </w:rPr>
        <w:t>SUJETO OBLIGADO</w:t>
      </w:r>
      <w:r w:rsidRPr="00247163">
        <w:rPr>
          <w:rFonts w:ascii="Palatino Linotype" w:eastAsia="Palatino Linotype" w:hAnsi="Palatino Linotype" w:cs="Palatino Linotype"/>
          <w:color w:val="000000"/>
        </w:rPr>
        <w:t xml:space="preserve">, éste podrá poder a disposición los documentos vía </w:t>
      </w:r>
      <w:r w:rsidRPr="00247163">
        <w:rPr>
          <w:rFonts w:ascii="Palatino Linotype" w:eastAsia="Palatino Linotype" w:hAnsi="Palatino Linotype" w:cs="Palatino Linotype"/>
          <w:i/>
          <w:iCs/>
          <w:color w:val="000000"/>
        </w:rPr>
        <w:t>In Situ</w:t>
      </w:r>
      <w:r w:rsidRPr="00247163">
        <w:rPr>
          <w:rFonts w:ascii="Palatino Linotype" w:eastAsia="Palatino Linotype" w:hAnsi="Palatino Linotype" w:cs="Palatino Linotype"/>
          <w:color w:val="000000"/>
        </w:rPr>
        <w:t xml:space="preserve"> o Consulta Directa, </w:t>
      </w:r>
      <w:r w:rsidRPr="00247163">
        <w:rPr>
          <w:rFonts w:ascii="Palatino Linotype" w:eastAsia="Palatino Linotype" w:hAnsi="Palatino Linotype" w:cs="Palatino Linotype"/>
          <w:b/>
          <w:bCs/>
          <w:color w:val="000000"/>
        </w:rPr>
        <w:t>siempre y cuando se funden y motiven las razones que justifiquen la imposibilidad de entregar la información en la modalidad originalmente solicitada</w:t>
      </w:r>
      <w:r w:rsidRPr="00247163">
        <w:rPr>
          <w:rFonts w:ascii="Palatino Linotype" w:eastAsia="Palatino Linotype" w:hAnsi="Palatino Linotype" w:cs="Palatino Linotype"/>
          <w:color w:val="000000"/>
        </w:rPr>
        <w:t xml:space="preserve">. </w:t>
      </w:r>
    </w:p>
    <w:p w14:paraId="631BB65A" w14:textId="77777777" w:rsidR="002F653A" w:rsidRPr="00247163" w:rsidRDefault="002F653A">
      <w:pPr>
        <w:pBdr>
          <w:top w:val="nil"/>
          <w:left w:val="nil"/>
          <w:bottom w:val="nil"/>
          <w:right w:val="nil"/>
          <w:between w:val="nil"/>
        </w:pBdr>
        <w:tabs>
          <w:tab w:val="left" w:pos="0"/>
        </w:tabs>
        <w:spacing w:line="360" w:lineRule="auto"/>
        <w:ind w:left="-566" w:right="113"/>
        <w:jc w:val="both"/>
        <w:rPr>
          <w:rFonts w:ascii="Palatino Linotype" w:eastAsia="Palatino Linotype" w:hAnsi="Palatino Linotype" w:cs="Palatino Linotype"/>
          <w:color w:val="000000"/>
          <w:highlight w:val="cyan"/>
        </w:rPr>
      </w:pPr>
    </w:p>
    <w:p w14:paraId="392F85D8" w14:textId="77777777" w:rsidR="002F653A" w:rsidRPr="00247163" w:rsidRDefault="00CB53E8">
      <w:pPr>
        <w:numPr>
          <w:ilvl w:val="0"/>
          <w:numId w:val="15"/>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lastRenderedPageBreak/>
        <w:t xml:space="preserve">Es decir, del artículo anterior, se derivan tres hipótesis que en conjunto, y de manera fundada y motivada, validan el cambio de modalidad de entrega de la información y las cuales son, que las documentales a proporcionar </w:t>
      </w:r>
      <w:r w:rsidRPr="00247163">
        <w:rPr>
          <w:rFonts w:ascii="Palatino Linotype" w:eastAsia="Palatino Linotype" w:hAnsi="Palatino Linotype" w:cs="Palatino Linotype"/>
          <w:b/>
          <w:bCs/>
          <w:color w:val="000000"/>
        </w:rPr>
        <w:t>sobrepasen las capacidades técnicas, administrativas y humanas del SUJETO OBLIGADO</w:t>
      </w:r>
      <w:r w:rsidRPr="00247163">
        <w:rPr>
          <w:rFonts w:ascii="Palatino Linotype" w:eastAsia="Palatino Linotype" w:hAnsi="Palatino Linotype" w:cs="Palatino Linotype"/>
          <w:color w:val="000000"/>
        </w:rPr>
        <w:t xml:space="preserve">. </w:t>
      </w:r>
    </w:p>
    <w:p w14:paraId="6F2E7F91" w14:textId="77777777" w:rsidR="002F653A" w:rsidRPr="00247163" w:rsidRDefault="002F653A">
      <w:pPr>
        <w:pBdr>
          <w:top w:val="nil"/>
          <w:left w:val="nil"/>
          <w:bottom w:val="nil"/>
          <w:right w:val="nil"/>
          <w:between w:val="nil"/>
        </w:pBdr>
        <w:spacing w:line="360" w:lineRule="auto"/>
        <w:ind w:right="113"/>
        <w:jc w:val="both"/>
        <w:rPr>
          <w:color w:val="000000"/>
        </w:rPr>
      </w:pPr>
    </w:p>
    <w:p w14:paraId="65E0BE2E" w14:textId="77777777" w:rsidR="002F653A" w:rsidRPr="00247163" w:rsidRDefault="00CB53E8">
      <w:pPr>
        <w:numPr>
          <w:ilvl w:val="0"/>
          <w:numId w:val="15"/>
        </w:numPr>
        <w:pBdr>
          <w:top w:val="nil"/>
          <w:left w:val="nil"/>
          <w:bottom w:val="nil"/>
          <w:right w:val="nil"/>
          <w:between w:val="nil"/>
        </w:pBdr>
        <w:tabs>
          <w:tab w:val="left" w:pos="0"/>
        </w:tabs>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Precisado lo anterior, resulta viable establecer que a pesar de que el SUJETO OBLIGADO, cuenta con la información solicitada, </w:t>
      </w:r>
      <w:r w:rsidRPr="00247163">
        <w:rPr>
          <w:rFonts w:ascii="Palatino Linotype" w:eastAsia="Palatino Linotype" w:hAnsi="Palatino Linotype" w:cs="Palatino Linotype"/>
        </w:rPr>
        <w:t>esté</w:t>
      </w:r>
      <w:r w:rsidRPr="00247163">
        <w:rPr>
          <w:rFonts w:ascii="Palatino Linotype" w:eastAsia="Palatino Linotype" w:hAnsi="Palatino Linotype" w:cs="Palatino Linotype"/>
          <w:color w:val="000000"/>
        </w:rPr>
        <w:t xml:space="preserve">  garantizó el derecho de acceso a la información del particular, argumentando que el documento solicitado sobrepasa las capacidades técnicas, administrativas y humanas, refiriendo que el peso de la información requerida poseía un peso de 679 megabytes; esto además, de que realizar el reporte de incidencias ante la Dirección de Informática, específicamente en el área de soporte técnico de este instituto, tal y como lo señala la ley de la materia, lo cual se comprueba con la siguiente captura de pantalla;</w:t>
      </w:r>
    </w:p>
    <w:p w14:paraId="79ECE91D" w14:textId="77777777" w:rsidR="002F653A" w:rsidRPr="00247163" w:rsidRDefault="00CB53E8">
      <w:pPr>
        <w:pBdr>
          <w:top w:val="nil"/>
          <w:left w:val="nil"/>
          <w:bottom w:val="nil"/>
          <w:right w:val="nil"/>
          <w:between w:val="nil"/>
        </w:pBdr>
        <w:tabs>
          <w:tab w:val="left" w:pos="0"/>
        </w:tabs>
        <w:spacing w:line="360" w:lineRule="auto"/>
        <w:ind w:right="113"/>
        <w:jc w:val="center"/>
        <w:rPr>
          <w:rFonts w:ascii="Palatino Linotype" w:eastAsia="Palatino Linotype" w:hAnsi="Palatino Linotype" w:cs="Palatino Linotype"/>
          <w:color w:val="000000"/>
        </w:rPr>
      </w:pPr>
      <w:r w:rsidRPr="00247163">
        <w:rPr>
          <w:rFonts w:ascii="Palatino Linotype" w:eastAsia="Palatino Linotype" w:hAnsi="Palatino Linotype" w:cs="Palatino Linotype"/>
          <w:noProof/>
          <w:color w:val="000000"/>
        </w:rPr>
        <w:drawing>
          <wp:inline distT="0" distB="0" distL="0" distR="0" wp14:anchorId="097E2BA1" wp14:editId="485C7D27">
            <wp:extent cx="4427592" cy="2189349"/>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4427592" cy="2189349"/>
                    </a:xfrm>
                    <a:prstGeom prst="rect">
                      <a:avLst/>
                    </a:prstGeom>
                    <a:ln/>
                  </pic:spPr>
                </pic:pic>
              </a:graphicData>
            </a:graphic>
          </wp:inline>
        </w:drawing>
      </w:r>
      <w:r w:rsidRPr="00247163">
        <w:rPr>
          <w:rFonts w:ascii="Palatino Linotype" w:eastAsia="Palatino Linotype" w:hAnsi="Palatino Linotype" w:cs="Palatino Linotype"/>
          <w:color w:val="000000"/>
        </w:rPr>
        <w:t xml:space="preserve"> </w:t>
      </w:r>
      <w:r w:rsidRPr="00247163">
        <w:rPr>
          <w:rFonts w:ascii="Palatino Linotype" w:eastAsia="Palatino Linotype" w:hAnsi="Palatino Linotype" w:cs="Palatino Linotype"/>
          <w:color w:val="000000"/>
          <w:vertAlign w:val="superscript"/>
        </w:rPr>
        <w:footnoteReference w:id="5"/>
      </w:r>
    </w:p>
    <w:p w14:paraId="10B7E7C9" w14:textId="77777777" w:rsidR="002F653A" w:rsidRPr="00247163" w:rsidRDefault="00CB53E8">
      <w:pPr>
        <w:pBdr>
          <w:top w:val="nil"/>
          <w:left w:val="nil"/>
          <w:bottom w:val="nil"/>
          <w:right w:val="nil"/>
          <w:between w:val="nil"/>
        </w:pBdr>
        <w:tabs>
          <w:tab w:val="left" w:pos="0"/>
        </w:tabs>
        <w:spacing w:line="360" w:lineRule="auto"/>
        <w:ind w:right="-596"/>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 Así mismo éste órgano garante al realizar la descarga de las documentales referidas obtuvo que la misma posee un peso de 728 MB, peso que habrá de incrementarse derivado del cumplimiento parcial del Sujeto Obligado como se comprenderá en párrafos posteriores.</w:t>
      </w:r>
    </w:p>
    <w:p w14:paraId="7A43D35F" w14:textId="77777777" w:rsidR="002F653A" w:rsidRPr="00247163" w:rsidRDefault="002F653A">
      <w:pPr>
        <w:pBdr>
          <w:top w:val="nil"/>
          <w:left w:val="nil"/>
          <w:bottom w:val="nil"/>
          <w:right w:val="nil"/>
          <w:between w:val="nil"/>
        </w:pBdr>
        <w:tabs>
          <w:tab w:val="left" w:pos="0"/>
        </w:tabs>
        <w:spacing w:line="360" w:lineRule="auto"/>
        <w:ind w:right="113"/>
        <w:jc w:val="both"/>
        <w:rPr>
          <w:rFonts w:ascii="Palatino Linotype" w:eastAsia="Palatino Linotype" w:hAnsi="Palatino Linotype" w:cs="Palatino Linotype"/>
          <w:color w:val="000000"/>
        </w:rPr>
      </w:pPr>
    </w:p>
    <w:p w14:paraId="1710DD0C" w14:textId="77777777" w:rsidR="002F653A" w:rsidRPr="00247163" w:rsidRDefault="00CB53E8">
      <w:pPr>
        <w:numPr>
          <w:ilvl w:val="0"/>
          <w:numId w:val="15"/>
        </w:numPr>
        <w:pBdr>
          <w:top w:val="nil"/>
          <w:left w:val="nil"/>
          <w:bottom w:val="nil"/>
          <w:right w:val="nil"/>
          <w:between w:val="nil"/>
        </w:pBdr>
        <w:tabs>
          <w:tab w:val="left" w:pos="0"/>
        </w:tabs>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 En atención a lo anterior, resulta necesario precisar que, el peso máximo de archivos que soporta el SAIMEX para adjuntar como respuesta a las solicitudes de información tiene el soporte tecnológico para que se puedan adjuntar archivos con un peso aprox.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 siendo pues dable validar la entrega de la información por el medio referido.</w:t>
      </w:r>
    </w:p>
    <w:p w14:paraId="7CFCE0CF" w14:textId="77777777" w:rsidR="002F653A" w:rsidRPr="00247163" w:rsidRDefault="00CB53E8">
      <w:pPr>
        <w:pBdr>
          <w:top w:val="nil"/>
          <w:left w:val="nil"/>
          <w:bottom w:val="nil"/>
          <w:right w:val="nil"/>
          <w:between w:val="nil"/>
        </w:pBdr>
        <w:tabs>
          <w:tab w:val="left" w:pos="0"/>
        </w:tabs>
        <w:ind w:left="-566" w:right="113"/>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 </w:t>
      </w:r>
    </w:p>
    <w:p w14:paraId="0C496209" w14:textId="77777777" w:rsidR="002F653A" w:rsidRPr="00247163" w:rsidRDefault="002F653A">
      <w:pPr>
        <w:pBdr>
          <w:top w:val="nil"/>
          <w:left w:val="nil"/>
          <w:bottom w:val="nil"/>
          <w:right w:val="nil"/>
          <w:between w:val="nil"/>
        </w:pBdr>
        <w:ind w:left="-566" w:right="113"/>
        <w:rPr>
          <w:rFonts w:ascii="Palatino Linotype" w:eastAsia="Palatino Linotype" w:hAnsi="Palatino Linotype" w:cs="Palatino Linotype"/>
          <w:color w:val="000000"/>
          <w:highlight w:val="cyan"/>
        </w:rPr>
      </w:pPr>
    </w:p>
    <w:p w14:paraId="7642980E" w14:textId="77777777" w:rsidR="00DF71BB" w:rsidRPr="00247163" w:rsidRDefault="00CB53E8" w:rsidP="00DF71BB">
      <w:pPr>
        <w:numPr>
          <w:ilvl w:val="0"/>
          <w:numId w:val="33"/>
        </w:numPr>
        <w:pBdr>
          <w:top w:val="nil"/>
          <w:left w:val="nil"/>
          <w:bottom w:val="nil"/>
          <w:right w:val="nil"/>
          <w:between w:val="nil"/>
        </w:pBdr>
        <w:tabs>
          <w:tab w:val="left" w:pos="0"/>
        </w:tabs>
        <w:spacing w:line="360" w:lineRule="auto"/>
        <w:ind w:left="0" w:firstLine="0"/>
        <w:jc w:val="both"/>
        <w:rPr>
          <w:color w:val="000000"/>
        </w:rPr>
      </w:pPr>
      <w:r w:rsidRPr="00247163">
        <w:rPr>
          <w:rFonts w:ascii="Palatino Linotype" w:eastAsia="Palatino Linotype" w:hAnsi="Palatino Linotype" w:cs="Palatino Linotype"/>
          <w:color w:val="000000"/>
        </w:rPr>
        <w:t xml:space="preserve">Es de recordar que la esencia de solicitar la entrega de la información vía SAIMEX es que el particular se haga de ésta por </w:t>
      </w:r>
      <w:r w:rsidRPr="00247163">
        <w:rPr>
          <w:rFonts w:ascii="Palatino Linotype" w:eastAsia="Palatino Linotype" w:hAnsi="Palatino Linotype" w:cs="Palatino Linotype"/>
          <w:b/>
          <w:bCs/>
          <w:color w:val="000000"/>
        </w:rPr>
        <w:t>medios electrónicos</w:t>
      </w:r>
      <w:r w:rsidRPr="00247163">
        <w:rPr>
          <w:rFonts w:ascii="Palatino Linotype" w:eastAsia="Palatino Linotype" w:hAnsi="Palatino Linotype" w:cs="Palatino Linotype"/>
          <w:color w:val="000000"/>
        </w:rPr>
        <w:t xml:space="preserve">; esto es, por una vía digital, a distancia, que le permita descargar los documentos desde un ordenador o teléfono móvil, de ahí que el </w:t>
      </w:r>
      <w:r w:rsidRPr="00247163">
        <w:rPr>
          <w:rFonts w:ascii="Palatino Linotype" w:eastAsia="Palatino Linotype" w:hAnsi="Palatino Linotype" w:cs="Palatino Linotype"/>
          <w:b/>
          <w:bCs/>
          <w:color w:val="000000"/>
        </w:rPr>
        <w:t>SUJETO OBLIGADO</w:t>
      </w:r>
      <w:r w:rsidRPr="00247163">
        <w:rPr>
          <w:rFonts w:ascii="Palatino Linotype" w:eastAsia="Palatino Linotype" w:hAnsi="Palatino Linotype" w:cs="Palatino Linotype"/>
          <w:color w:val="000000"/>
        </w:rPr>
        <w:t xml:space="preserve"> al ofrecer en respuesta otras modalidades digitales para entregar la información al particular, tales como, de manera enunciativa más no limitativa, habilitar una liga electrónica para que descargue los archivos a través de un servicio de nube; </w:t>
      </w:r>
      <w:r w:rsidR="00DF71BB" w:rsidRPr="00247163">
        <w:rPr>
          <w:rFonts w:ascii="Palatino Linotype" w:eastAsia="Palatino Linotype" w:hAnsi="Palatino Linotype" w:cs="Palatino Linotype"/>
          <w:color w:val="000000"/>
        </w:rPr>
        <w:t xml:space="preserve">tales como, de manera enunciativa </w:t>
      </w:r>
      <w:r w:rsidR="00DF71BB" w:rsidRPr="00247163">
        <w:rPr>
          <w:rFonts w:ascii="Palatino Linotype" w:eastAsia="Palatino Linotype" w:hAnsi="Palatino Linotype" w:cs="Palatino Linotype"/>
        </w:rPr>
        <w:t>más</w:t>
      </w:r>
      <w:r w:rsidR="00DF71BB" w:rsidRPr="00247163">
        <w:rPr>
          <w:rFonts w:ascii="Palatino Linotype" w:eastAsia="Palatino Linotype" w:hAnsi="Palatino Linotype" w:cs="Palatino Linotype"/>
          <w:color w:val="000000"/>
        </w:rPr>
        <w:t xml:space="preserve"> no limitativa, </w:t>
      </w:r>
      <w:r w:rsidR="00DF71BB" w:rsidRPr="00247163">
        <w:rPr>
          <w:rFonts w:ascii="Palatino Linotype" w:eastAsia="Palatino Linotype" w:hAnsi="Palatino Linotype" w:cs="Palatino Linotype"/>
          <w:b/>
          <w:color w:val="000000"/>
        </w:rPr>
        <w:t xml:space="preserve">habilitar una liga electrónica para que descargue los archivos a través de un servicio de nube; enviar la información a su cuenta de correo electrónico; concederle el acceso en disco compacto, con la posibilidad de envío mediante correo certificado, previo pago del costo del CD y del envío; o, en su caso, darle la posibilidad de obtenerla de manera </w:t>
      </w:r>
      <w:r w:rsidR="00DF71BB" w:rsidRPr="00247163">
        <w:rPr>
          <w:rFonts w:ascii="Palatino Linotype" w:eastAsia="Palatino Linotype" w:hAnsi="Palatino Linotype" w:cs="Palatino Linotype"/>
          <w:b/>
          <w:color w:val="000000"/>
        </w:rPr>
        <w:lastRenderedPageBreak/>
        <w:t>gratuita si ella misma aporta el CD o la USB en la que se le proporcionarán los archivos electrónicos</w:t>
      </w:r>
      <w:r w:rsidR="00DF71BB" w:rsidRPr="00247163">
        <w:rPr>
          <w:rFonts w:ascii="Palatino Linotype" w:eastAsia="Palatino Linotype" w:hAnsi="Palatino Linotype" w:cs="Palatino Linotype"/>
          <w:color w:val="000000"/>
        </w:rPr>
        <w:t xml:space="preserve">. </w:t>
      </w:r>
    </w:p>
    <w:p w14:paraId="73D05867" w14:textId="77777777" w:rsidR="00DF71BB" w:rsidRPr="00247163" w:rsidRDefault="00DF71BB" w:rsidP="00DF71BB">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1ADC696C" w14:textId="77777777" w:rsidR="00DF71BB" w:rsidRPr="00247163" w:rsidRDefault="00DF71BB" w:rsidP="00DF71BB">
      <w:pPr>
        <w:numPr>
          <w:ilvl w:val="0"/>
          <w:numId w:val="33"/>
        </w:numPr>
        <w:pBdr>
          <w:top w:val="nil"/>
          <w:left w:val="nil"/>
          <w:bottom w:val="nil"/>
          <w:right w:val="nil"/>
          <w:between w:val="nil"/>
        </w:pBdr>
        <w:tabs>
          <w:tab w:val="left" w:pos="426"/>
        </w:tabs>
        <w:spacing w:line="360" w:lineRule="auto"/>
        <w:ind w:left="0" w:firstLine="0"/>
        <w:jc w:val="both"/>
        <w:rPr>
          <w:color w:val="000000"/>
        </w:rPr>
      </w:pPr>
      <w:r w:rsidRPr="00247163">
        <w:rPr>
          <w:rFonts w:ascii="Palatino Linotype" w:eastAsia="Palatino Linotype" w:hAnsi="Palatino Linotype" w:cs="Palatino Linotype"/>
          <w:color w:val="000000"/>
        </w:rPr>
        <w:t xml:space="preserve">Por ello, conviene traer a estudio lo establecido en el Capítulo X de </w:t>
      </w:r>
      <w:r w:rsidRPr="00247163">
        <w:rPr>
          <w:rFonts w:ascii="Palatino Linotype" w:eastAsia="Palatino Linotype" w:hAnsi="Palatino Linotype" w:cs="Palatino Linotype"/>
          <w:i/>
          <w:color w:val="000000"/>
        </w:rPr>
        <w:t>Lineamientos Generales en Materia de Clasificación y Desclasificación de la Información, así como para la Elaboración de Versiones Públicas</w:t>
      </w:r>
      <w:r w:rsidRPr="00247163">
        <w:rPr>
          <w:rFonts w:ascii="Palatino Linotype" w:eastAsia="Palatino Linotype" w:hAnsi="Palatino Linotype" w:cs="Palatino Linotype"/>
          <w:color w:val="000000"/>
        </w:rPr>
        <w:t>, relativo a la Consulta Directa, mismo que se transcribe a continuación:</w:t>
      </w:r>
    </w:p>
    <w:p w14:paraId="14C50D68" w14:textId="77777777" w:rsidR="00DF71BB" w:rsidRPr="00247163" w:rsidRDefault="00DF71BB" w:rsidP="00DF71BB">
      <w:pPr>
        <w:pBdr>
          <w:top w:val="nil"/>
          <w:left w:val="nil"/>
          <w:bottom w:val="nil"/>
          <w:right w:val="nil"/>
          <w:between w:val="nil"/>
        </w:pBdr>
        <w:tabs>
          <w:tab w:val="left" w:pos="426"/>
        </w:tabs>
        <w:spacing w:line="360" w:lineRule="auto"/>
        <w:jc w:val="both"/>
        <w:rPr>
          <w:color w:val="000000"/>
        </w:rPr>
      </w:pPr>
    </w:p>
    <w:p w14:paraId="66A018F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b/>
          <w:i/>
          <w:color w:val="000000"/>
        </w:rPr>
      </w:pPr>
      <w:r w:rsidRPr="00247163">
        <w:rPr>
          <w:rFonts w:ascii="Palatino Linotype" w:eastAsia="Palatino Linotype" w:hAnsi="Palatino Linotype" w:cs="Palatino Linotype"/>
          <w:i/>
          <w:color w:val="000000"/>
        </w:rPr>
        <w:t>“</w:t>
      </w:r>
      <w:r w:rsidRPr="00247163">
        <w:rPr>
          <w:rFonts w:ascii="Palatino Linotype" w:eastAsia="Palatino Linotype" w:hAnsi="Palatino Linotype" w:cs="Palatino Linotype"/>
          <w:b/>
          <w:i/>
          <w:color w:val="000000"/>
        </w:rPr>
        <w:t xml:space="preserve">CAPÍTULO X </w:t>
      </w:r>
    </w:p>
    <w:p w14:paraId="26EA6877"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b/>
          <w:i/>
          <w:color w:val="000000"/>
        </w:rPr>
      </w:pPr>
      <w:r w:rsidRPr="00247163">
        <w:rPr>
          <w:rFonts w:ascii="Palatino Linotype" w:eastAsia="Palatino Linotype" w:hAnsi="Palatino Linotype" w:cs="Palatino Linotype"/>
          <w:b/>
          <w:i/>
          <w:color w:val="000000"/>
        </w:rPr>
        <w:t xml:space="preserve">DE LA CONSULTA DIRECTA </w:t>
      </w:r>
    </w:p>
    <w:p w14:paraId="09B66192"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34C9C454"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Sexagésimo séptimo.</w:t>
      </w:r>
      <w:r w:rsidRPr="00247163">
        <w:rPr>
          <w:rFonts w:ascii="Palatino Linotype" w:eastAsia="Palatino Linotype" w:hAnsi="Palatino Linotype" w:cs="Palatino Linotype"/>
          <w:i/>
          <w:color w:val="000000"/>
        </w:rPr>
        <w:t xml:space="preserve"> 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 </w:t>
      </w:r>
    </w:p>
    <w:p w14:paraId="3B7D9D63"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5D0BB4C2"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Sexagésimo octavo.</w:t>
      </w:r>
      <w:r w:rsidRPr="00247163">
        <w:rPr>
          <w:rFonts w:ascii="Palatino Linotype" w:eastAsia="Palatino Linotype" w:hAnsi="Palatino Linotype" w:cs="Palatino Linotype"/>
          <w:i/>
          <w:color w:val="000000"/>
        </w:rPr>
        <w:t xml:space="preserve"> 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 </w:t>
      </w:r>
    </w:p>
    <w:p w14:paraId="25224F7E"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30506686"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Sexagésimo noveno.</w:t>
      </w:r>
      <w:r w:rsidRPr="00247163">
        <w:rPr>
          <w:rFonts w:ascii="Palatino Linotype" w:eastAsia="Palatino Linotype" w:hAnsi="Palatino Linotype" w:cs="Palatino Linotype"/>
          <w:i/>
          <w:color w:val="000000"/>
        </w:rPr>
        <w:t xml:space="preserve"> 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w:t>
      </w:r>
      <w:r w:rsidRPr="00247163">
        <w:rPr>
          <w:rFonts w:ascii="Palatino Linotype" w:eastAsia="Palatino Linotype" w:hAnsi="Palatino Linotype" w:cs="Palatino Linotype"/>
          <w:i/>
          <w:color w:val="000000"/>
        </w:rPr>
        <w:lastRenderedPageBreak/>
        <w:t xml:space="preserve">de ser posible, ofrecer las demás modalidades en las que es viable el acceso a la información. </w:t>
      </w:r>
    </w:p>
    <w:p w14:paraId="1779DCAD"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3913A2F4"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Septuagésimo.</w:t>
      </w:r>
      <w:r w:rsidRPr="00247163">
        <w:rPr>
          <w:rFonts w:ascii="Palatino Linotype" w:eastAsia="Palatino Linotype" w:hAnsi="Palatino Linotype" w:cs="Palatino Linotype"/>
          <w:i/>
          <w:color w:val="000000"/>
        </w:rPr>
        <w:t xml:space="preserve"> Para el desahogo de las actuaciones tendientes a permitir la consulta directa, en los casos en que ésta resulte procedente, los sujetos obligados deberán observar lo siguiente: </w:t>
      </w:r>
    </w:p>
    <w:p w14:paraId="415F36C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I.</w:t>
      </w:r>
      <w:r w:rsidRPr="00247163">
        <w:rPr>
          <w:rFonts w:ascii="Palatino Linotype" w:eastAsia="Palatino Linotype" w:hAnsi="Palatino Linotype" w:cs="Palatino Linotype"/>
          <w:i/>
          <w:color w:val="000000"/>
        </w:rPr>
        <w:t xml:space="preserve">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 </w:t>
      </w:r>
    </w:p>
    <w:p w14:paraId="7CC4EC0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II.</w:t>
      </w:r>
      <w:r w:rsidRPr="00247163">
        <w:rPr>
          <w:rFonts w:ascii="Palatino Linotype" w:eastAsia="Palatino Linotype" w:hAnsi="Palatino Linotype" w:cs="Palatino Linotype"/>
          <w:i/>
          <w:color w:val="000000"/>
        </w:rPr>
        <w:t xml:space="preserve"> En su caso, la procedencia de los ajustes razonables solicitados y/o la procedencia de acceso en la lengua indígena requerida; </w:t>
      </w:r>
    </w:p>
    <w:p w14:paraId="299F6E7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 xml:space="preserve">III. </w:t>
      </w:r>
      <w:r w:rsidRPr="00247163">
        <w:rPr>
          <w:rFonts w:ascii="Palatino Linotype" w:eastAsia="Palatino Linotype" w:hAnsi="Palatino Linotype" w:cs="Palatino Linotype"/>
          <w:i/>
          <w:color w:val="000000"/>
        </w:rPr>
        <w:t xml:space="preserve">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 </w:t>
      </w:r>
    </w:p>
    <w:p w14:paraId="645D550B"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 xml:space="preserve">IV. </w:t>
      </w:r>
      <w:r w:rsidRPr="00247163">
        <w:rPr>
          <w:rFonts w:ascii="Palatino Linotype" w:eastAsia="Palatino Linotype" w:hAnsi="Palatino Linotype" w:cs="Palatino Linotype"/>
          <w:i/>
          <w:color w:val="000000"/>
        </w:rPr>
        <w:t>Proporcionar al solicitante las facilidades y asistencia requerida para la consulta de los documentos;</w:t>
      </w:r>
    </w:p>
    <w:p w14:paraId="6B947F54"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V.</w:t>
      </w:r>
      <w:r w:rsidRPr="00247163">
        <w:rPr>
          <w:rFonts w:ascii="Palatino Linotype" w:eastAsia="Palatino Linotype" w:hAnsi="Palatino Linotype" w:cs="Palatino Linotype"/>
          <w:i/>
          <w:color w:val="000000"/>
        </w:rPr>
        <w:t xml:space="preserve"> Abstenerse de requerir al solicitante que acredite interés alguno; </w:t>
      </w:r>
    </w:p>
    <w:p w14:paraId="3AE5AEC7"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VI.</w:t>
      </w:r>
      <w:r w:rsidRPr="00247163">
        <w:rPr>
          <w:rFonts w:ascii="Palatino Linotype" w:eastAsia="Palatino Linotype" w:hAnsi="Palatino Linotype" w:cs="Palatino Linotype"/>
          <w:i/>
          <w:color w:val="000000"/>
        </w:rPr>
        <w:t xml:space="preserve"> Adoptar las medidas técnicas, físicas, administrativas y demás que resulten necesarias para garantizar la integridad de la información a consultar, de conformidad con las características específicas del documento solicitado, tales como: </w:t>
      </w:r>
    </w:p>
    <w:p w14:paraId="186EEC7A"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a)</w:t>
      </w:r>
      <w:r w:rsidRPr="00247163">
        <w:rPr>
          <w:rFonts w:ascii="Palatino Linotype" w:eastAsia="Palatino Linotype" w:hAnsi="Palatino Linotype" w:cs="Palatino Linotype"/>
          <w:i/>
          <w:color w:val="000000"/>
        </w:rPr>
        <w:t xml:space="preserve"> Contar con instalaciones y mobiliario adecuado para asegurar tanto la integridad del documento consultado, como para proporcionar al solicitante las mejores condiciones para poder llevar a cabo la consulta directa; </w:t>
      </w:r>
    </w:p>
    <w:p w14:paraId="7272B22C"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b)</w:t>
      </w:r>
      <w:r w:rsidRPr="00247163">
        <w:rPr>
          <w:rFonts w:ascii="Palatino Linotype" w:eastAsia="Palatino Linotype" w:hAnsi="Palatino Linotype" w:cs="Palatino Linotype"/>
          <w:i/>
          <w:color w:val="000000"/>
        </w:rPr>
        <w:t xml:space="preserve"> Equipo y personal de vigilancia;</w:t>
      </w:r>
    </w:p>
    <w:p w14:paraId="352A487B"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c)</w:t>
      </w:r>
      <w:r w:rsidRPr="00247163">
        <w:rPr>
          <w:rFonts w:ascii="Palatino Linotype" w:eastAsia="Palatino Linotype" w:hAnsi="Palatino Linotype" w:cs="Palatino Linotype"/>
          <w:i/>
          <w:color w:val="000000"/>
        </w:rPr>
        <w:t xml:space="preserve"> Plan de acción contra robo o vandalismo; </w:t>
      </w:r>
    </w:p>
    <w:p w14:paraId="322B7252"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d)</w:t>
      </w:r>
      <w:r w:rsidRPr="00247163">
        <w:rPr>
          <w:rFonts w:ascii="Palatino Linotype" w:eastAsia="Palatino Linotype" w:hAnsi="Palatino Linotype" w:cs="Palatino Linotype"/>
          <w:i/>
          <w:color w:val="000000"/>
        </w:rPr>
        <w:t xml:space="preserve"> Extintores de fuego de gas inocuo; </w:t>
      </w:r>
    </w:p>
    <w:p w14:paraId="47CD933F"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lastRenderedPageBreak/>
        <w:t>e)</w:t>
      </w:r>
      <w:r w:rsidRPr="00247163">
        <w:rPr>
          <w:rFonts w:ascii="Palatino Linotype" w:eastAsia="Palatino Linotype" w:hAnsi="Palatino Linotype" w:cs="Palatino Linotype"/>
          <w:i/>
          <w:color w:val="000000"/>
        </w:rPr>
        <w:t xml:space="preserve"> Registro e identificación del personal autorizado para el tratamiento de los documentos o expedientes a revisar;</w:t>
      </w:r>
    </w:p>
    <w:p w14:paraId="3496C176"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f)</w:t>
      </w:r>
      <w:r w:rsidRPr="00247163">
        <w:rPr>
          <w:rFonts w:ascii="Palatino Linotype" w:eastAsia="Palatino Linotype" w:hAnsi="Palatino Linotype" w:cs="Palatino Linotype"/>
          <w:i/>
          <w:color w:val="000000"/>
        </w:rPr>
        <w:t xml:space="preserve"> Registro e identificación de los particulares autorizados para llevar a cabo la consulta directa, y </w:t>
      </w:r>
    </w:p>
    <w:p w14:paraId="1688A316"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g)</w:t>
      </w:r>
      <w:r w:rsidRPr="00247163">
        <w:rPr>
          <w:rFonts w:ascii="Palatino Linotype" w:eastAsia="Palatino Linotype" w:hAnsi="Palatino Linotype" w:cs="Palatino Linotype"/>
          <w:i/>
          <w:color w:val="000000"/>
        </w:rPr>
        <w:t xml:space="preserve"> Las demás que, a criterio de los sujetos obligados, resulten necesarias. </w:t>
      </w:r>
    </w:p>
    <w:p w14:paraId="12E546F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VII.</w:t>
      </w:r>
      <w:r w:rsidRPr="00247163">
        <w:rPr>
          <w:rFonts w:ascii="Palatino Linotype" w:eastAsia="Palatino Linotype" w:hAnsi="Palatino Linotype" w:cs="Palatino Linotype"/>
          <w:i/>
          <w:color w:val="000000"/>
        </w:rPr>
        <w:t xml:space="preserve"> Hacer del conocimiento del solicitante, previo al acceso a la información, las reglas a que se sujetará la consulta para garantizar la integridad de los documentos, y</w:t>
      </w:r>
    </w:p>
    <w:p w14:paraId="00DFCED1"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VIII.</w:t>
      </w:r>
      <w:r w:rsidRPr="00247163">
        <w:rPr>
          <w:rFonts w:ascii="Palatino Linotype" w:eastAsia="Palatino Linotype" w:hAnsi="Palatino Linotype" w:cs="Palatino Linotype"/>
          <w:i/>
          <w:color w:val="000000"/>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 </w:t>
      </w:r>
    </w:p>
    <w:p w14:paraId="250DE90A"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21B1F88E"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 xml:space="preserve">Septuagésimo primero. </w:t>
      </w:r>
      <w:r w:rsidRPr="00247163">
        <w:rPr>
          <w:rFonts w:ascii="Palatino Linotype" w:eastAsia="Palatino Linotype" w:hAnsi="Palatino Linotype" w:cs="Palatino Linotype"/>
          <w:i/>
          <w:color w:val="000000"/>
        </w:rPr>
        <w:t xml:space="preserve">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 </w:t>
      </w:r>
    </w:p>
    <w:p w14:paraId="43992F59"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 xml:space="preserve">El solicitante deberá observar en todo momento las reglas que el sujeto obligado haya hecho de su conocimiento para efectos de la conservación de los documentos. </w:t>
      </w:r>
    </w:p>
    <w:p w14:paraId="66BA3DA9"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11DC7A21"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t>Septuagésimo segundo.</w:t>
      </w:r>
      <w:r w:rsidRPr="00247163">
        <w:rPr>
          <w:rFonts w:ascii="Palatino Linotype" w:eastAsia="Palatino Linotype" w:hAnsi="Palatino Linotype" w:cs="Palatino Linotype"/>
          <w:i/>
          <w:color w:val="000000"/>
        </w:rPr>
        <w:t xml:space="preserve"> El solicitante deberá realizar la consulta de los documentos requeridos en el lugar, horarios y con la persona destinada para tal efecto. </w:t>
      </w:r>
    </w:p>
    <w:p w14:paraId="5245EF8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 xml:space="preserve">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 </w:t>
      </w:r>
    </w:p>
    <w:p w14:paraId="6002AF9C"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p>
    <w:p w14:paraId="6217DBE5"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b/>
          <w:i/>
          <w:color w:val="000000"/>
        </w:rPr>
        <w:lastRenderedPageBreak/>
        <w:t>Septuagésimo tercero.</w:t>
      </w:r>
      <w:r w:rsidRPr="00247163">
        <w:rPr>
          <w:rFonts w:ascii="Palatino Linotype" w:eastAsia="Palatino Linotype" w:hAnsi="Palatino Linotype" w:cs="Palatino Linotype"/>
          <w:i/>
          <w:color w:val="000000"/>
        </w:rPr>
        <w:t xml:space="preserve"> 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 </w:t>
      </w:r>
    </w:p>
    <w:p w14:paraId="485BD36E"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La información deberá ser entregada sin costo, cuando implique la entrega de no más de veinte hojas simples.”</w:t>
      </w:r>
    </w:p>
    <w:p w14:paraId="05CB0ABE" w14:textId="77777777" w:rsidR="00DF71BB" w:rsidRPr="00247163" w:rsidRDefault="00DF71BB" w:rsidP="00DF71BB">
      <w:pPr>
        <w:pBdr>
          <w:top w:val="nil"/>
          <w:left w:val="nil"/>
          <w:bottom w:val="nil"/>
          <w:right w:val="nil"/>
          <w:between w:val="nil"/>
        </w:pBdr>
        <w:tabs>
          <w:tab w:val="left" w:pos="851"/>
        </w:tabs>
        <w:spacing w:line="276" w:lineRule="auto"/>
        <w:ind w:left="851"/>
        <w:jc w:val="both"/>
        <w:rPr>
          <w:rFonts w:ascii="Palatino Linotype" w:eastAsia="Palatino Linotype" w:hAnsi="Palatino Linotype" w:cs="Palatino Linotype"/>
          <w:i/>
          <w:color w:val="000000"/>
        </w:rPr>
      </w:pPr>
    </w:p>
    <w:p w14:paraId="5967BE17" w14:textId="77777777" w:rsidR="00DF71BB" w:rsidRPr="00247163" w:rsidRDefault="00DF71BB" w:rsidP="00DF71BB">
      <w:pPr>
        <w:numPr>
          <w:ilvl w:val="0"/>
          <w:numId w:val="33"/>
        </w:numPr>
        <w:pBdr>
          <w:top w:val="nil"/>
          <w:left w:val="nil"/>
          <w:bottom w:val="nil"/>
          <w:right w:val="nil"/>
          <w:between w:val="nil"/>
        </w:pBdr>
        <w:tabs>
          <w:tab w:val="left" w:pos="0"/>
        </w:tabs>
        <w:spacing w:line="360" w:lineRule="auto"/>
        <w:ind w:left="0" w:firstLine="0"/>
        <w:jc w:val="both"/>
        <w:rPr>
          <w:color w:val="000000"/>
        </w:rPr>
      </w:pPr>
      <w:r w:rsidRPr="00247163">
        <w:rPr>
          <w:rFonts w:ascii="Palatino Linotype" w:eastAsia="Palatino Linotype" w:hAnsi="Palatino Linotype" w:cs="Palatino Linotype"/>
          <w:color w:val="000000"/>
        </w:rPr>
        <w:t>Por lo anterior, se advierte que el</w:t>
      </w:r>
      <w:r w:rsidRPr="00247163">
        <w:rPr>
          <w:rFonts w:ascii="Palatino Linotype" w:eastAsia="Palatino Linotype" w:hAnsi="Palatino Linotype" w:cs="Palatino Linotype"/>
          <w:b/>
          <w:color w:val="000000"/>
        </w:rPr>
        <w:t xml:space="preserve"> SUJETO OBLIGADO</w:t>
      </w:r>
      <w:r w:rsidRPr="00247163">
        <w:rPr>
          <w:rFonts w:ascii="Palatino Linotype" w:eastAsia="Palatino Linotype" w:hAnsi="Palatino Linotype" w:cs="Palatino Linotype"/>
          <w:color w:val="000000"/>
        </w:rPr>
        <w:t xml:space="preserve"> acreditó la imposibilidad técnica, establecida en el artículo 158 de la Ley de Transparencia y Acceso a la Información Pública del Estado de México y Municipios, para validar el cambio de modalidad a Consulta Directa; sin embargo, los agravios expuestos por el particular resultan fundados, puesto que faltaron </w:t>
      </w:r>
      <w:r w:rsidRPr="00247163">
        <w:rPr>
          <w:rFonts w:ascii="Palatino Linotype" w:eastAsia="Palatino Linotype" w:hAnsi="Palatino Linotype" w:cs="Palatino Linotype"/>
          <w:b/>
          <w:color w:val="000000"/>
        </w:rPr>
        <w:t xml:space="preserve">opciones </w:t>
      </w:r>
      <w:r w:rsidRPr="00247163">
        <w:rPr>
          <w:rFonts w:ascii="Palatino Linotype" w:eastAsia="Palatino Linotype" w:hAnsi="Palatino Linotype" w:cs="Palatino Linotype"/>
          <w:color w:val="000000"/>
        </w:rPr>
        <w:t xml:space="preserve">por brindarle al </w:t>
      </w:r>
      <w:r w:rsidRPr="00247163">
        <w:rPr>
          <w:rFonts w:ascii="Palatino Linotype" w:eastAsia="Palatino Linotype" w:hAnsi="Palatino Linotype" w:cs="Palatino Linotype"/>
          <w:b/>
          <w:color w:val="000000"/>
        </w:rPr>
        <w:t xml:space="preserve">RECURRENTE, </w:t>
      </w:r>
      <w:r w:rsidRPr="00247163">
        <w:rPr>
          <w:rFonts w:ascii="Palatino Linotype" w:eastAsia="Palatino Linotype" w:hAnsi="Palatino Linotype" w:cs="Palatino Linotype"/>
          <w:color w:val="000000"/>
        </w:rPr>
        <w:t xml:space="preserve">para </w:t>
      </w:r>
      <w:r w:rsidRPr="00247163">
        <w:rPr>
          <w:rFonts w:ascii="Palatino Linotype" w:eastAsia="Palatino Linotype" w:hAnsi="Palatino Linotype" w:cs="Palatino Linotype"/>
          <w:b/>
          <w:color w:val="000000"/>
        </w:rPr>
        <w:t>acceder a la información peticionada</w:t>
      </w:r>
      <w:r w:rsidRPr="00247163">
        <w:rPr>
          <w:rFonts w:ascii="Palatino Linotype" w:eastAsia="Palatino Linotype" w:hAnsi="Palatino Linotype" w:cs="Palatino Linotype"/>
          <w:color w:val="000000"/>
        </w:rPr>
        <w:t xml:space="preserve">. </w:t>
      </w:r>
    </w:p>
    <w:p w14:paraId="7BF4527E" w14:textId="77777777" w:rsidR="00DF71BB" w:rsidRPr="00247163" w:rsidRDefault="00DF71BB" w:rsidP="00DF71BB">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color w:val="000000"/>
          <w:highlight w:val="yellow"/>
        </w:rPr>
      </w:pPr>
    </w:p>
    <w:p w14:paraId="670D9951" w14:textId="77777777" w:rsidR="00DF71BB" w:rsidRPr="00247163" w:rsidRDefault="00DF71BB" w:rsidP="00DF71BB">
      <w:pPr>
        <w:numPr>
          <w:ilvl w:val="0"/>
          <w:numId w:val="33"/>
        </w:numPr>
        <w:pBdr>
          <w:top w:val="nil"/>
          <w:left w:val="nil"/>
          <w:bottom w:val="nil"/>
          <w:right w:val="nil"/>
          <w:between w:val="nil"/>
        </w:pBdr>
        <w:tabs>
          <w:tab w:val="left" w:pos="0"/>
        </w:tabs>
        <w:spacing w:line="360" w:lineRule="auto"/>
        <w:ind w:left="0" w:firstLine="0"/>
        <w:jc w:val="both"/>
        <w:rPr>
          <w:color w:val="000000"/>
        </w:rPr>
      </w:pPr>
      <w:r w:rsidRPr="00247163">
        <w:rPr>
          <w:rFonts w:ascii="Palatino Linotype" w:eastAsia="Palatino Linotype" w:hAnsi="Palatino Linotype" w:cs="Palatino Linotype"/>
          <w:color w:val="000000"/>
        </w:rPr>
        <w:t>En ese sentido, no es ocioso enfatizar que el</w:t>
      </w:r>
      <w:r w:rsidRPr="00247163">
        <w:rPr>
          <w:rFonts w:ascii="Palatino Linotype" w:eastAsia="Palatino Linotype" w:hAnsi="Palatino Linotype" w:cs="Palatino Linotype"/>
          <w:b/>
          <w:color w:val="000000"/>
        </w:rPr>
        <w:t xml:space="preserve"> SUJETO OBLIGADO</w:t>
      </w:r>
      <w:r w:rsidRPr="00247163">
        <w:rPr>
          <w:rFonts w:ascii="Palatino Linotype" w:eastAsia="Palatino Linotype" w:hAnsi="Palatino Linotype" w:cs="Palatino Linotype"/>
          <w:color w:val="000000"/>
        </w:rPr>
        <w:t xml:space="preserve"> deberá atender lo establecido en el artículo 166 de la Ley de Transparencia y Acceso a la Información Pública del Estado de México y Municipios, el cual establece lo siguiente:</w:t>
      </w:r>
    </w:p>
    <w:p w14:paraId="4696E721"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w:t>
      </w:r>
      <w:r w:rsidRPr="00247163">
        <w:rPr>
          <w:rFonts w:ascii="Palatino Linotype" w:eastAsia="Palatino Linotype" w:hAnsi="Palatino Linotype" w:cs="Palatino Linotype"/>
          <w:b/>
          <w:i/>
          <w:color w:val="000000"/>
        </w:rPr>
        <w:t>Artículo 166.</w:t>
      </w:r>
      <w:r w:rsidRPr="00247163">
        <w:rPr>
          <w:rFonts w:ascii="Palatino Linotype" w:eastAsia="Palatino Linotype" w:hAnsi="Palatino Linotype" w:cs="Palatino Linotype"/>
          <w:i/>
          <w:color w:val="000000"/>
        </w:rPr>
        <w:t xml:space="preserve"> La obligación de acceso a la información pública se tendrá por cumplida cuando el solicitante tenga a su disposición la información requerida, o cuando realice la consulta de la misma en el lugar en el que ésta se localice.</w:t>
      </w:r>
    </w:p>
    <w:p w14:paraId="262DB8C7"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b/>
          <w:i/>
          <w:color w:val="000000"/>
        </w:rPr>
      </w:pPr>
      <w:r w:rsidRPr="00247163">
        <w:rPr>
          <w:rFonts w:ascii="Palatino Linotype" w:eastAsia="Palatino Linotype" w:hAnsi="Palatino Linotype" w:cs="Palatino Linotype"/>
          <w:b/>
          <w:i/>
          <w:color w:val="000000"/>
        </w:rPr>
        <w:t>La Unidad de Transparencia tendrá disponible la información solicitada, durante un plazo mínimo de sesenta días hábiles, contado a partir de que el solicitante hubiere realizado, en su caso, el pago respectivo, el cual deberá efectuarse en un plazo no mayor a treinta días hábiles.</w:t>
      </w:r>
    </w:p>
    <w:p w14:paraId="43167153"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 xml:space="preserve">Transcurridos dichos plazos, si los solicitantes no acuden a recibir la información requerida los sujetos obligados darán por concluida la solicitud y </w:t>
      </w:r>
      <w:r w:rsidRPr="00247163">
        <w:rPr>
          <w:rFonts w:ascii="Palatino Linotype" w:eastAsia="Palatino Linotype" w:hAnsi="Palatino Linotype" w:cs="Palatino Linotype"/>
          <w:i/>
          <w:color w:val="000000"/>
        </w:rPr>
        <w:lastRenderedPageBreak/>
        <w:t>procederán, de ser el caso, a la destrucción del material en el que se reprodujo la información.</w:t>
      </w:r>
    </w:p>
    <w:p w14:paraId="4F065E7C"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Cuando el sujeto obligado no entregue la respuesta a la solicitud dentro del plazo previsto en la Ley, la solicitud se entenderá negada y el solicitante podrá interponer el recurso de revisión previsto en este ordenamiento.</w:t>
      </w:r>
    </w:p>
    <w:p w14:paraId="42639303"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i/>
          <w:color w:val="000000"/>
        </w:rPr>
      </w:pPr>
      <w:r w:rsidRPr="00247163">
        <w:rPr>
          <w:rFonts w:ascii="Palatino Linotype" w:eastAsia="Palatino Linotype" w:hAnsi="Palatino Linotype" w:cs="Palatino Linotype"/>
          <w:i/>
          <w:color w:val="000000"/>
        </w:rPr>
        <w:t xml:space="preserve">Una vez entregada la información, el solicitante acusará recibo por escrito, dándose por terminado el trámite de acceso a la información.” </w:t>
      </w:r>
    </w:p>
    <w:p w14:paraId="010BBD60" w14:textId="77777777" w:rsidR="00DF71BB" w:rsidRPr="00247163" w:rsidRDefault="00DF71BB" w:rsidP="00DF71BB">
      <w:pPr>
        <w:pBdr>
          <w:top w:val="nil"/>
          <w:left w:val="nil"/>
          <w:bottom w:val="nil"/>
          <w:right w:val="nil"/>
          <w:between w:val="nil"/>
        </w:pBdr>
        <w:tabs>
          <w:tab w:val="left" w:pos="851"/>
        </w:tabs>
        <w:spacing w:line="276" w:lineRule="auto"/>
        <w:ind w:left="851" w:right="85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(Énfasis añadido)</w:t>
      </w:r>
    </w:p>
    <w:p w14:paraId="3A6CB2D7" w14:textId="77777777" w:rsidR="00DF71BB" w:rsidRPr="00247163" w:rsidRDefault="00DF71BB" w:rsidP="00DF71BB">
      <w:pPr>
        <w:pBdr>
          <w:top w:val="nil"/>
          <w:left w:val="nil"/>
          <w:bottom w:val="nil"/>
          <w:right w:val="nil"/>
          <w:between w:val="nil"/>
        </w:pBdr>
        <w:spacing w:line="360" w:lineRule="auto"/>
        <w:ind w:right="27"/>
        <w:jc w:val="both"/>
        <w:rPr>
          <w:color w:val="000000"/>
        </w:rPr>
      </w:pPr>
    </w:p>
    <w:p w14:paraId="7715A6F6" w14:textId="77777777" w:rsidR="00DF71BB" w:rsidRPr="00247163" w:rsidRDefault="00DF71BB" w:rsidP="00DF71BB">
      <w:pPr>
        <w:numPr>
          <w:ilvl w:val="0"/>
          <w:numId w:val="34"/>
        </w:numPr>
        <w:pBdr>
          <w:top w:val="nil"/>
          <w:left w:val="nil"/>
          <w:bottom w:val="nil"/>
          <w:right w:val="nil"/>
          <w:between w:val="nil"/>
        </w:pBdr>
        <w:tabs>
          <w:tab w:val="left" w:pos="426"/>
        </w:tabs>
        <w:spacing w:line="360" w:lineRule="auto"/>
        <w:ind w:left="0" w:firstLine="0"/>
        <w:jc w:val="both"/>
        <w:rPr>
          <w:color w:val="000000"/>
        </w:rPr>
      </w:pPr>
      <w:r w:rsidRPr="00247163">
        <w:rPr>
          <w:rFonts w:ascii="Palatino Linotype" w:eastAsia="Palatino Linotype" w:hAnsi="Palatino Linotype" w:cs="Palatino Linotype"/>
          <w:color w:val="000000"/>
        </w:rPr>
        <w:t xml:space="preserve">Por lo anterior, a fin de dar cumplimiento a la presente resolución, será necesario que el </w:t>
      </w:r>
      <w:r w:rsidRPr="00247163">
        <w:rPr>
          <w:rFonts w:ascii="Palatino Linotype" w:eastAsia="Palatino Linotype" w:hAnsi="Palatino Linotype" w:cs="Palatino Linotype"/>
          <w:b/>
          <w:color w:val="000000"/>
        </w:rPr>
        <w:t>SUJETO OBLIGADO</w:t>
      </w:r>
      <w:r w:rsidRPr="00247163">
        <w:rPr>
          <w:rFonts w:ascii="Palatino Linotype" w:eastAsia="Palatino Linotype" w:hAnsi="Palatino Linotype" w:cs="Palatino Linotype"/>
          <w:color w:val="000000"/>
        </w:rPr>
        <w:t xml:space="preserve"> tenga disponible la información solicitada por el </w:t>
      </w:r>
      <w:r w:rsidRPr="00247163">
        <w:rPr>
          <w:rFonts w:ascii="Palatino Linotype" w:eastAsia="Palatino Linotype" w:hAnsi="Palatino Linotype" w:cs="Palatino Linotype"/>
          <w:b/>
          <w:color w:val="000000"/>
        </w:rPr>
        <w:t>RECURRENTE</w:t>
      </w:r>
      <w:r w:rsidRPr="00247163">
        <w:rPr>
          <w:rFonts w:ascii="Palatino Linotype" w:eastAsia="Palatino Linotype" w:hAnsi="Palatino Linotype" w:cs="Palatino Linotype"/>
          <w:color w:val="000000"/>
        </w:rPr>
        <w:t xml:space="preserve">, en su Unidad de Transparencia, durante un plazo </w:t>
      </w:r>
      <w:r w:rsidRPr="00247163">
        <w:rPr>
          <w:rFonts w:ascii="Palatino Linotype" w:eastAsia="Palatino Linotype" w:hAnsi="Palatino Linotype" w:cs="Palatino Linotype"/>
          <w:b/>
          <w:color w:val="000000"/>
        </w:rPr>
        <w:t>mínimo</w:t>
      </w:r>
      <w:r w:rsidRPr="00247163">
        <w:rPr>
          <w:rFonts w:ascii="Palatino Linotype" w:eastAsia="Palatino Linotype" w:hAnsi="Palatino Linotype" w:cs="Palatino Linotype"/>
          <w:color w:val="000000"/>
        </w:rPr>
        <w:t xml:space="preserve"> de 60 días naturales a partir de la notificación de la presente resolución, en términos del segundo párrafo del artículo 166 de la Ley de Transparencia y Acceso a la Información Pública del Estado de México y Municipios.</w:t>
      </w:r>
    </w:p>
    <w:p w14:paraId="14B33444" w14:textId="77777777" w:rsidR="00DF71BB" w:rsidRPr="00247163" w:rsidRDefault="00DF71BB" w:rsidP="00DF71BB">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14:paraId="39E8C2C9" w14:textId="77777777" w:rsidR="00DF71BB" w:rsidRPr="00247163" w:rsidRDefault="00DF71BB" w:rsidP="00DF71BB">
      <w:pPr>
        <w:numPr>
          <w:ilvl w:val="0"/>
          <w:numId w:val="34"/>
        </w:numPr>
        <w:pBdr>
          <w:top w:val="nil"/>
          <w:left w:val="nil"/>
          <w:bottom w:val="nil"/>
          <w:right w:val="nil"/>
          <w:between w:val="nil"/>
        </w:pBdr>
        <w:spacing w:line="360" w:lineRule="auto"/>
        <w:ind w:left="0" w:firstLine="0"/>
        <w:jc w:val="both"/>
        <w:rPr>
          <w:color w:val="000000"/>
        </w:rPr>
      </w:pPr>
      <w:r w:rsidRPr="00247163">
        <w:rPr>
          <w:rFonts w:ascii="Palatino Linotype" w:eastAsia="Palatino Linotype" w:hAnsi="Palatino Linotype" w:cs="Palatino Linotype"/>
          <w:color w:val="000000"/>
        </w:rPr>
        <w:t>Si dentro del transcurso del término señalado en el párrafo anterior, el Particular  acude por la información, el Sujeto Obligado levantará un acta de hechos misma que debe ser remitida a este Instituto, por conducto de la Secretaría Técnica del Pleno, junto con el acuse de recibo de la información del Particular; sin embargo, si una vez fenecido el plazo, el solicitante no acudiera por los documentos ordenados, el Sujeto Obligado, mediante acuerdo dará por concluida la solicitud y podrá, de ser el caso, realizar la destrucción del material en el que se reprodujo, situación que también deberá informar a este Instituto, por el mismo conducto.</w:t>
      </w:r>
    </w:p>
    <w:p w14:paraId="318567B2" w14:textId="77777777" w:rsidR="00DF71BB" w:rsidRPr="00247163" w:rsidRDefault="00DF71BB" w:rsidP="00DF71BB">
      <w:pPr>
        <w:pBdr>
          <w:top w:val="nil"/>
          <w:left w:val="nil"/>
          <w:bottom w:val="nil"/>
          <w:right w:val="nil"/>
          <w:between w:val="nil"/>
        </w:pBdr>
        <w:spacing w:line="360" w:lineRule="auto"/>
        <w:ind w:right="27"/>
        <w:jc w:val="both"/>
        <w:rPr>
          <w:color w:val="000000"/>
        </w:rPr>
      </w:pPr>
    </w:p>
    <w:p w14:paraId="65E7E6DC" w14:textId="77777777" w:rsidR="002F653A" w:rsidRPr="00247163" w:rsidRDefault="00DF71BB" w:rsidP="00DF71BB">
      <w:pPr>
        <w:numPr>
          <w:ilvl w:val="0"/>
          <w:numId w:val="34"/>
        </w:numPr>
        <w:pBdr>
          <w:top w:val="nil"/>
          <w:left w:val="nil"/>
          <w:bottom w:val="nil"/>
          <w:right w:val="nil"/>
          <w:between w:val="nil"/>
        </w:pBdr>
        <w:spacing w:line="360" w:lineRule="auto"/>
        <w:ind w:left="0" w:right="27" w:firstLine="0"/>
        <w:jc w:val="both"/>
        <w:rPr>
          <w:color w:val="000000"/>
        </w:rPr>
      </w:pPr>
      <w:r w:rsidRPr="00247163">
        <w:rPr>
          <w:rFonts w:ascii="Palatino Linotype" w:eastAsia="Palatino Linotype" w:hAnsi="Palatino Linotype" w:cs="Palatino Linotype"/>
          <w:color w:val="000000"/>
        </w:rPr>
        <w:lastRenderedPageBreak/>
        <w:t>Ahora bien,</w:t>
      </w:r>
      <w:r w:rsidR="00CB53E8" w:rsidRPr="00247163">
        <w:rPr>
          <w:rFonts w:ascii="Palatino Linotype" w:eastAsia="Palatino Linotype" w:hAnsi="Palatino Linotype" w:cs="Palatino Linotype"/>
          <w:color w:val="000000"/>
        </w:rPr>
        <w:t xml:space="preserve"> es necesario precisar que la Ley de Transparencia y Acceso a la Información Pública del Estado de México y Municipios establece en su artículo 11 que en </w:t>
      </w:r>
      <w:r w:rsidR="00CB53E8" w:rsidRPr="00247163">
        <w:rPr>
          <w:rFonts w:ascii="Palatino Linotype" w:eastAsia="Palatino Linotype" w:hAnsi="Palatino Linotype" w:cs="Palatino Linotype"/>
          <w:i/>
          <w:iCs/>
          <w:color w:val="000000"/>
        </w:rPr>
        <w:t xml:space="preserve">la entrega de la información se deberá garantizar que ésta sea </w:t>
      </w:r>
      <w:r w:rsidR="00CB53E8" w:rsidRPr="00247163">
        <w:rPr>
          <w:rFonts w:ascii="Palatino Linotype" w:eastAsia="Palatino Linotype" w:hAnsi="Palatino Linotype" w:cs="Palatino Linotype"/>
          <w:b/>
          <w:bCs/>
          <w:i/>
          <w:iCs/>
          <w:color w:val="000000"/>
        </w:rPr>
        <w:t>accesible</w:t>
      </w:r>
      <w:r w:rsidR="00CB53E8" w:rsidRPr="00247163">
        <w:rPr>
          <w:rFonts w:ascii="Palatino Linotype" w:eastAsia="Palatino Linotype" w:hAnsi="Palatino Linotype" w:cs="Palatino Linotype"/>
          <w:i/>
          <w:iCs/>
          <w:color w:val="000000"/>
        </w:rPr>
        <w:t xml:space="preserve">, </w:t>
      </w:r>
      <w:r w:rsidR="00CB53E8" w:rsidRPr="00247163">
        <w:rPr>
          <w:rFonts w:ascii="Palatino Linotype" w:eastAsia="Palatino Linotype" w:hAnsi="Palatino Linotype" w:cs="Palatino Linotype"/>
          <w:b/>
          <w:bCs/>
          <w:i/>
          <w:iCs/>
          <w:color w:val="000000"/>
        </w:rPr>
        <w:t>actualizada, completa,</w:t>
      </w:r>
      <w:r w:rsidR="00CB53E8" w:rsidRPr="00247163">
        <w:rPr>
          <w:rFonts w:ascii="Palatino Linotype" w:eastAsia="Palatino Linotype" w:hAnsi="Palatino Linotype" w:cs="Palatino Linotype"/>
          <w:i/>
          <w:iCs/>
          <w:color w:val="000000"/>
        </w:rPr>
        <w:t xml:space="preserve"> congruente, confiable, </w:t>
      </w:r>
      <w:r w:rsidR="00CB53E8" w:rsidRPr="00247163">
        <w:rPr>
          <w:rFonts w:ascii="Palatino Linotype" w:eastAsia="Palatino Linotype" w:hAnsi="Palatino Linotype" w:cs="Palatino Linotype"/>
          <w:b/>
          <w:bCs/>
          <w:i/>
          <w:iCs/>
          <w:color w:val="000000"/>
        </w:rPr>
        <w:t>verificable</w:t>
      </w:r>
      <w:r w:rsidR="00CB53E8" w:rsidRPr="00247163">
        <w:rPr>
          <w:rFonts w:ascii="Palatino Linotype" w:eastAsia="Palatino Linotype" w:hAnsi="Palatino Linotype" w:cs="Palatino Linotype"/>
          <w:i/>
          <w:iCs/>
          <w:color w:val="000000"/>
        </w:rPr>
        <w:t xml:space="preserve">, veraz, integral, oportuna y expedita. </w:t>
      </w:r>
      <w:r w:rsidR="00CB53E8" w:rsidRPr="00247163">
        <w:rPr>
          <w:rFonts w:ascii="Palatino Linotype" w:eastAsia="Palatino Linotype" w:hAnsi="Palatino Linotype" w:cs="Palatino Linotype"/>
          <w:color w:val="000000"/>
        </w:rPr>
        <w:t>Asimismo, el artículo 161 de la Ley en comento, refiere lo siguiente:</w:t>
      </w:r>
    </w:p>
    <w:p w14:paraId="1F6DABB0" w14:textId="77777777" w:rsidR="002F653A" w:rsidRPr="00247163" w:rsidRDefault="00CB53E8">
      <w:pPr>
        <w:spacing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 xml:space="preserve">Artículo 161. Cuando la información requerida por el solicitante ya esté disponible al público </w:t>
      </w:r>
      <w:r w:rsidRPr="00247163">
        <w:rPr>
          <w:rFonts w:ascii="Palatino Linotype" w:eastAsia="Palatino Linotype" w:hAnsi="Palatino Linotype" w:cs="Palatino Linotype"/>
          <w:i/>
          <w:iCs/>
        </w:rPr>
        <w:t xml:space="preserve">en medios impresos, tales como libros, compendios, trípticos, registros públicos, </w:t>
      </w:r>
      <w:r w:rsidRPr="00247163">
        <w:rPr>
          <w:rFonts w:ascii="Palatino Linotype" w:eastAsia="Palatino Linotype" w:hAnsi="Palatino Linotype" w:cs="Palatino Linotype"/>
          <w:b/>
          <w:bCs/>
          <w:i/>
          <w:iCs/>
        </w:rPr>
        <w:t>en formatos electrónicos</w:t>
      </w:r>
      <w:r w:rsidRPr="00247163">
        <w:rPr>
          <w:rFonts w:ascii="Palatino Linotype" w:eastAsia="Palatino Linotype" w:hAnsi="Palatino Linotype" w:cs="Palatino Linotype"/>
          <w:i/>
          <w:iCs/>
        </w:rPr>
        <w:t xml:space="preserve"> disponibles en Internet o en cualquier otro medio, </w:t>
      </w:r>
      <w:r w:rsidRPr="00247163">
        <w:rPr>
          <w:rFonts w:ascii="Palatino Linotype" w:eastAsia="Palatino Linotype" w:hAnsi="Palatino Linotype" w:cs="Palatino Linotype"/>
          <w:b/>
          <w:bCs/>
          <w:i/>
          <w:iC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4D603E54" w14:textId="77777777" w:rsidR="002F653A" w:rsidRPr="00247163" w:rsidRDefault="00CB53E8">
      <w:pPr>
        <w:spacing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(Énfasis añadido)</w:t>
      </w:r>
    </w:p>
    <w:p w14:paraId="0043E99F" w14:textId="77777777" w:rsidR="002F653A" w:rsidRPr="00247163" w:rsidRDefault="002F653A">
      <w:pPr>
        <w:spacing w:line="360" w:lineRule="auto"/>
        <w:ind w:left="567" w:right="27"/>
        <w:jc w:val="both"/>
        <w:rPr>
          <w:rFonts w:ascii="Palatino Linotype" w:eastAsia="Palatino Linotype" w:hAnsi="Palatino Linotype" w:cs="Palatino Linotype"/>
          <w:b/>
          <w:bCs/>
          <w:i/>
          <w:iCs/>
        </w:rPr>
      </w:pPr>
    </w:p>
    <w:p w14:paraId="486628B7" w14:textId="77777777" w:rsidR="002F653A" w:rsidRPr="00247163" w:rsidRDefault="00CB53E8" w:rsidP="00DF71BB">
      <w:pPr>
        <w:numPr>
          <w:ilvl w:val="0"/>
          <w:numId w:val="34"/>
        </w:numPr>
        <w:pBdr>
          <w:top w:val="nil"/>
          <w:left w:val="nil"/>
          <w:bottom w:val="nil"/>
          <w:right w:val="nil"/>
          <w:between w:val="nil"/>
        </w:pBdr>
        <w:spacing w:line="360" w:lineRule="auto"/>
        <w:ind w:left="0" w:right="27" w:firstLine="0"/>
        <w:jc w:val="both"/>
        <w:rPr>
          <w:color w:val="000000"/>
        </w:rPr>
      </w:pPr>
      <w:r w:rsidRPr="00247163">
        <w:rPr>
          <w:rFonts w:ascii="Palatino Linotype" w:eastAsia="Palatino Linotype" w:hAnsi="Palatino Linotype" w:cs="Palatino Linotype"/>
          <w:color w:val="000000"/>
        </w:rPr>
        <w:t xml:space="preserve">Es así que, toda aquella información que sea requerida por los particulares que, previamente se encuentre disponible en sitios electrónicos, como puede ser de manera enunciativa más no limitativa, el sitio oficial del Sujeto Obligado o el portal IPOMEX o las páginas institucionales. Los Sujetos Obligado deben indicar la dirección electrónica donde obra la información solicitada. </w:t>
      </w:r>
      <w:r w:rsidRPr="00247163">
        <w:rPr>
          <w:rFonts w:ascii="Palatino Linotype" w:eastAsia="Palatino Linotype" w:hAnsi="Palatino Linotype" w:cs="Palatino Linotype"/>
          <w:b/>
          <w:bCs/>
          <w:color w:val="000000"/>
        </w:rPr>
        <w:t>Esta dirección electrónica debe ser precisa, de tal modo que no implique realizar una búsqueda en toda la información que ahí se encuentre, debiendo cumplir</w:t>
      </w:r>
      <w:r w:rsidRPr="00247163">
        <w:rPr>
          <w:rFonts w:ascii="Palatino Linotype" w:eastAsia="Palatino Linotype" w:hAnsi="Palatino Linotype" w:cs="Palatino Linotype"/>
          <w:color w:val="000000"/>
        </w:rPr>
        <w:t xml:space="preserve"> una serie de requisitos, a saber:</w:t>
      </w:r>
    </w:p>
    <w:p w14:paraId="1234D7EA" w14:textId="77777777" w:rsidR="002F653A" w:rsidRPr="00247163" w:rsidRDefault="00CB53E8">
      <w:pPr>
        <w:numPr>
          <w:ilvl w:val="0"/>
          <w:numId w:val="27"/>
        </w:numPr>
        <w:pBdr>
          <w:top w:val="nil"/>
          <w:left w:val="nil"/>
          <w:bottom w:val="nil"/>
          <w:right w:val="nil"/>
          <w:between w:val="nil"/>
        </w:pBdr>
        <w:spacing w:line="360" w:lineRule="auto"/>
        <w:ind w:left="1134" w:right="822"/>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La dirección electrónica debe señalarse en un plazo no mayor a cinco días hábiles;</w:t>
      </w:r>
    </w:p>
    <w:p w14:paraId="104BEF4C" w14:textId="77777777" w:rsidR="002F653A" w:rsidRPr="00247163" w:rsidRDefault="00CB53E8">
      <w:pPr>
        <w:numPr>
          <w:ilvl w:val="0"/>
          <w:numId w:val="27"/>
        </w:numPr>
        <w:pBdr>
          <w:top w:val="nil"/>
          <w:left w:val="nil"/>
          <w:bottom w:val="nil"/>
          <w:right w:val="nil"/>
          <w:between w:val="nil"/>
        </w:pBdr>
        <w:spacing w:line="360" w:lineRule="auto"/>
        <w:ind w:left="1134" w:right="822"/>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lastRenderedPageBreak/>
        <w:t>La dirección electrónica debe ser precisa, de tal modo que no implique realizar una búsqueda en toda la información que ahí se encuentre; y,</w:t>
      </w:r>
    </w:p>
    <w:p w14:paraId="4C27EE6E" w14:textId="77777777" w:rsidR="002F653A" w:rsidRPr="00247163" w:rsidRDefault="00CB53E8">
      <w:pPr>
        <w:numPr>
          <w:ilvl w:val="0"/>
          <w:numId w:val="27"/>
        </w:numPr>
        <w:pBdr>
          <w:top w:val="nil"/>
          <w:left w:val="nil"/>
          <w:bottom w:val="nil"/>
          <w:right w:val="nil"/>
          <w:between w:val="nil"/>
        </w:pBdr>
        <w:spacing w:line="360" w:lineRule="auto"/>
        <w:ind w:left="1134"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rPr>
        <w:t>La dirección electrónica debe ir acompañada del procedimiento a seguir, en caso de que la información se encuentre en distintos puntos del sitio electrónico referido; y,</w:t>
      </w:r>
    </w:p>
    <w:p w14:paraId="32F2D82A" w14:textId="77777777" w:rsidR="002F653A" w:rsidRPr="00247163" w:rsidRDefault="00CB53E8">
      <w:pPr>
        <w:numPr>
          <w:ilvl w:val="0"/>
          <w:numId w:val="27"/>
        </w:numPr>
        <w:pBdr>
          <w:top w:val="nil"/>
          <w:left w:val="nil"/>
          <w:bottom w:val="nil"/>
          <w:right w:val="nil"/>
          <w:between w:val="nil"/>
        </w:pBdr>
        <w:spacing w:line="360" w:lineRule="auto"/>
        <w:ind w:left="1134"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u w:val="single"/>
        </w:rPr>
        <w:t>La dirección electrónica se debe entregar en formato abierto,</w:t>
      </w:r>
      <w:r w:rsidRPr="00247163">
        <w:rPr>
          <w:rFonts w:ascii="Palatino Linotype" w:eastAsia="Palatino Linotype" w:hAnsi="Palatino Linotype" w:cs="Palatino Linotype"/>
          <w:b/>
          <w:bCs/>
          <w:color w:val="000000"/>
        </w:rPr>
        <w:t xml:space="preserve"> para que el Recurrente pueda copiar y pegar sin la necesidad de transcribir la liga electrónica.</w:t>
      </w:r>
    </w:p>
    <w:p w14:paraId="295B93CF" w14:textId="77777777" w:rsidR="002F653A" w:rsidRPr="00247163" w:rsidRDefault="002F653A">
      <w:pPr>
        <w:pBdr>
          <w:top w:val="nil"/>
          <w:left w:val="nil"/>
          <w:bottom w:val="nil"/>
          <w:right w:val="nil"/>
          <w:between w:val="nil"/>
        </w:pBdr>
        <w:spacing w:line="360" w:lineRule="auto"/>
        <w:ind w:right="27"/>
        <w:jc w:val="both"/>
        <w:rPr>
          <w:rFonts w:ascii="Palatino Linotype" w:eastAsia="Palatino Linotype" w:hAnsi="Palatino Linotype" w:cs="Palatino Linotype"/>
        </w:rPr>
      </w:pPr>
    </w:p>
    <w:p w14:paraId="394229CA" w14:textId="77777777" w:rsidR="002F653A" w:rsidRPr="00247163" w:rsidRDefault="00CB53E8" w:rsidP="00DF71BB">
      <w:pPr>
        <w:numPr>
          <w:ilvl w:val="0"/>
          <w:numId w:val="34"/>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Ahora bien, de la revisión de esta, se logra vislumbrar que en encuentran en un formato cerrado, es decir, que no se puede copiar y pegar para tener acceso; sobre el tema, Trujillo, Humberto (2019), en el “Diccionario de Transparencia y Acceso a la Información Pública” (p. 136 y 137), precisa que cuando un Sujeto Obligado </w:t>
      </w:r>
      <w:r w:rsidRPr="00247163">
        <w:rPr>
          <w:rFonts w:ascii="Palatino Linotype" w:eastAsia="Palatino Linotype" w:hAnsi="Palatino Linotype" w:cs="Palatino Linotype"/>
        </w:rPr>
        <w:t>proporcionó</w:t>
      </w:r>
      <w:r w:rsidRPr="00247163">
        <w:rPr>
          <w:rFonts w:ascii="Palatino Linotype" w:eastAsia="Palatino Linotype" w:hAnsi="Palatino Linotype" w:cs="Palatino Linotype"/>
          <w:color w:val="000000"/>
        </w:rPr>
        <w:t xml:space="preserve"> información pública de manera electrónica es necesario garantizar su interoperabilidad, lo cual se traduce al hecho a que la información contenga datos en formatos y estándares abiertos para su reproducción y reutilización electrónica de manera libre y sin ninguna restricción.</w:t>
      </w:r>
    </w:p>
    <w:p w14:paraId="3A4A1010" w14:textId="77777777" w:rsidR="002F653A" w:rsidRPr="00247163" w:rsidRDefault="002F653A">
      <w:pPr>
        <w:spacing w:line="360" w:lineRule="auto"/>
        <w:ind w:right="27"/>
        <w:jc w:val="both"/>
        <w:rPr>
          <w:rFonts w:ascii="Palatino Linotype" w:eastAsia="Palatino Linotype" w:hAnsi="Palatino Linotype" w:cs="Palatino Linotype"/>
        </w:rPr>
      </w:pPr>
    </w:p>
    <w:p w14:paraId="4656FBF2" w14:textId="77777777" w:rsidR="002F653A" w:rsidRPr="00247163" w:rsidRDefault="00CB53E8" w:rsidP="00DF71BB">
      <w:pPr>
        <w:numPr>
          <w:ilvl w:val="0"/>
          <w:numId w:val="34"/>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t>Asimismo, establece que al proporcionar información pública es necesario que sea en un formato que no tenga ninguna restricción en el acceso o reutilización, por lo que, es necesario que los datos digitales (como ligas electrónicas), se proporcionen en un formato abierto.</w:t>
      </w:r>
    </w:p>
    <w:p w14:paraId="120C4D5B" w14:textId="77777777" w:rsidR="002F653A" w:rsidRPr="00247163" w:rsidRDefault="002F653A">
      <w:pPr>
        <w:spacing w:line="360" w:lineRule="auto"/>
        <w:ind w:right="27"/>
        <w:jc w:val="both"/>
        <w:rPr>
          <w:rFonts w:ascii="Palatino Linotype" w:eastAsia="Palatino Linotype" w:hAnsi="Palatino Linotype" w:cs="Palatino Linotype"/>
        </w:rPr>
      </w:pPr>
    </w:p>
    <w:p w14:paraId="7D0058BF" w14:textId="77777777" w:rsidR="002F653A" w:rsidRPr="00247163" w:rsidRDefault="00CB53E8" w:rsidP="00DF71BB">
      <w:pPr>
        <w:numPr>
          <w:ilvl w:val="0"/>
          <w:numId w:val="34"/>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lastRenderedPageBreak/>
        <w:t>En ese contexto, el artículo 3°, fracciones VIII y XVI de la Ley de Transparencia y Acceso a la Información Pública del Estado de México y Municipios, precisan lo siguiente:</w:t>
      </w:r>
    </w:p>
    <w:p w14:paraId="11599C8A" w14:textId="77777777" w:rsidR="002F653A" w:rsidRPr="00247163" w:rsidRDefault="00CB53E8">
      <w:pPr>
        <w:numPr>
          <w:ilvl w:val="0"/>
          <w:numId w:val="26"/>
        </w:numPr>
        <w:pBdr>
          <w:top w:val="nil"/>
          <w:left w:val="nil"/>
          <w:bottom w:val="nil"/>
          <w:right w:val="nil"/>
          <w:between w:val="nil"/>
        </w:pBdr>
        <w:spacing w:line="360" w:lineRule="auto"/>
        <w:ind w:left="1134" w:right="822"/>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 xml:space="preserve">Dato abierto: </w:t>
      </w:r>
      <w:r w:rsidRPr="00247163">
        <w:rPr>
          <w:rFonts w:ascii="Palatino Linotype" w:eastAsia="Palatino Linotype" w:hAnsi="Palatino Linotype" w:cs="Palatino Linotype"/>
          <w:color w:val="000000"/>
        </w:rPr>
        <w:t>Datos digitales de carácter público que son accesibles en línea que pueden ser usados, reutilizados y redistribuidos por cualquier persona, mismos que se conforman de diversas características, entre las cuales se encuentra que se encuentren en formatos abiertos.</w:t>
      </w:r>
    </w:p>
    <w:p w14:paraId="35D70511" w14:textId="77777777" w:rsidR="002F653A" w:rsidRPr="00247163" w:rsidRDefault="00CB53E8">
      <w:pPr>
        <w:numPr>
          <w:ilvl w:val="0"/>
          <w:numId w:val="26"/>
        </w:numPr>
        <w:pBdr>
          <w:top w:val="nil"/>
          <w:left w:val="nil"/>
          <w:bottom w:val="nil"/>
          <w:right w:val="nil"/>
          <w:between w:val="nil"/>
        </w:pBdr>
        <w:spacing w:line="360" w:lineRule="auto"/>
        <w:ind w:left="1134" w:right="822"/>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 xml:space="preserve">Formato accesible: </w:t>
      </w:r>
      <w:r w:rsidRPr="00247163">
        <w:rPr>
          <w:rFonts w:ascii="Palatino Linotype" w:eastAsia="Palatino Linotype" w:hAnsi="Palatino Linotype" w:cs="Palatino Linotype"/>
          <w:color w:val="000000"/>
        </w:rPr>
        <w:t xml:space="preserve">Conjunto de características técnicas y de presentación de la información que corresponden a la estructura lógica usada para almacenar datos de forma integral y facilitan su procesamiento digital, cuyas especificaciones </w:t>
      </w:r>
      <w:r w:rsidRPr="00247163">
        <w:rPr>
          <w:rFonts w:ascii="Palatino Linotype" w:eastAsia="Palatino Linotype" w:hAnsi="Palatino Linotype" w:cs="Palatino Linotype"/>
        </w:rPr>
        <w:t>están</w:t>
      </w:r>
      <w:r w:rsidRPr="00247163">
        <w:rPr>
          <w:rFonts w:ascii="Palatino Linotype" w:eastAsia="Palatino Linotype" w:hAnsi="Palatino Linotype" w:cs="Palatino Linotype"/>
          <w:color w:val="000000"/>
        </w:rPr>
        <w:t xml:space="preserve"> disponibles públicamente y que permite el acceso sin restricción de uso por parte de los usuarios.</w:t>
      </w:r>
    </w:p>
    <w:p w14:paraId="14EA3A17" w14:textId="77777777" w:rsidR="002F653A" w:rsidRPr="00247163" w:rsidRDefault="002F653A">
      <w:pPr>
        <w:spacing w:line="360" w:lineRule="auto"/>
        <w:ind w:right="27"/>
        <w:jc w:val="both"/>
        <w:rPr>
          <w:rFonts w:ascii="Palatino Linotype" w:eastAsia="Palatino Linotype" w:hAnsi="Palatino Linotype" w:cs="Palatino Linotype"/>
        </w:rPr>
      </w:pPr>
    </w:p>
    <w:p w14:paraId="78C340D2" w14:textId="77777777" w:rsidR="002F653A" w:rsidRPr="00247163" w:rsidRDefault="00CB53E8" w:rsidP="00DF71BB">
      <w:pPr>
        <w:numPr>
          <w:ilvl w:val="0"/>
          <w:numId w:val="34"/>
        </w:numPr>
        <w:pBdr>
          <w:top w:val="nil"/>
          <w:left w:val="nil"/>
          <w:bottom w:val="nil"/>
          <w:right w:val="nil"/>
          <w:between w:val="nil"/>
        </w:pBdr>
        <w:spacing w:line="360" w:lineRule="auto"/>
        <w:ind w:left="0" w:right="-596" w:firstLine="0"/>
        <w:jc w:val="both"/>
        <w:rPr>
          <w:color w:val="000000"/>
        </w:rPr>
      </w:pPr>
      <w:r w:rsidRPr="00247163">
        <w:rPr>
          <w:rFonts w:ascii="Palatino Linotype" w:eastAsia="Palatino Linotype" w:hAnsi="Palatino Linotype" w:cs="Palatino Linotype"/>
          <w:color w:val="000000"/>
        </w:rPr>
        <w:t>Conforme a lo anterior, se considera que en el caso de que la información peticionada obre en ligas electrónicas, el Sujeto Obligado deberá privilegiar la entrega de estas, en datos abiertos, es decir, en un formato que permita la accesibilidad y facilidad a los Particulares, para obtener la información contenida estas.</w:t>
      </w:r>
    </w:p>
    <w:p w14:paraId="759AA887" w14:textId="77777777" w:rsidR="002F653A" w:rsidRPr="00247163" w:rsidRDefault="002F653A">
      <w:pPr>
        <w:pBdr>
          <w:top w:val="nil"/>
          <w:left w:val="nil"/>
          <w:bottom w:val="nil"/>
          <w:right w:val="nil"/>
          <w:between w:val="nil"/>
        </w:pBdr>
        <w:ind w:left="720" w:right="27"/>
        <w:rPr>
          <w:rFonts w:ascii="Palatino Linotype" w:eastAsia="Palatino Linotype" w:hAnsi="Palatino Linotype" w:cs="Palatino Linotype"/>
          <w:b/>
          <w:bCs/>
          <w:color w:val="000000"/>
        </w:rPr>
      </w:pPr>
    </w:p>
    <w:p w14:paraId="49404724" w14:textId="77777777" w:rsidR="002F653A" w:rsidRPr="00247163" w:rsidRDefault="00CB53E8" w:rsidP="00247163">
      <w:pPr>
        <w:numPr>
          <w:ilvl w:val="0"/>
          <w:numId w:val="34"/>
        </w:numPr>
        <w:pBdr>
          <w:top w:val="nil"/>
          <w:left w:val="nil"/>
          <w:bottom w:val="nil"/>
          <w:right w:val="nil"/>
          <w:between w:val="nil"/>
        </w:pBdr>
        <w:spacing w:line="360" w:lineRule="auto"/>
        <w:ind w:left="0" w:right="-596" w:firstLine="0"/>
        <w:jc w:val="both"/>
        <w:rPr>
          <w:rFonts w:ascii="Arial" w:eastAsia="Arial" w:hAnsi="Arial" w:cs="Arial"/>
          <w:color w:val="333333"/>
        </w:rPr>
      </w:pPr>
      <w:r w:rsidRPr="00247163">
        <w:rPr>
          <w:rFonts w:ascii="Palatino Linotype" w:eastAsia="Palatino Linotype" w:hAnsi="Palatino Linotype" w:cs="Palatino Linotype"/>
          <w:color w:val="000000"/>
        </w:rPr>
        <w:t xml:space="preserve">De lo anterior,  si bien es cierto el Sujeto Obligado entregó la liga en formato cerrado, al digitar manualmente en el buscador el link: </w:t>
      </w:r>
      <w:hyperlink r:id="rId9">
        <w:r w:rsidRPr="00247163">
          <w:rPr>
            <w:rFonts w:ascii="Palatino Linotype" w:eastAsia="Palatino Linotype" w:hAnsi="Palatino Linotype" w:cs="Palatino Linotype"/>
            <w:color w:val="0000FF"/>
            <w:u w:val="single"/>
          </w:rPr>
          <w:t>https://drive.google.com/drive/folders/1BoKLqqzKj053tKpGdDXLGFf9GwLi-IeG?usp=sharing</w:t>
        </w:r>
      </w:hyperlink>
      <w:r w:rsidRPr="00247163">
        <w:rPr>
          <w:rFonts w:ascii="Palatino Linotype" w:eastAsia="Palatino Linotype" w:hAnsi="Palatino Linotype" w:cs="Palatino Linotype"/>
          <w:color w:val="0000FF"/>
          <w:u w:val="single"/>
        </w:rPr>
        <w:t xml:space="preserve">  </w:t>
      </w:r>
      <w:r w:rsidRPr="00247163">
        <w:rPr>
          <w:rFonts w:ascii="Palatino Linotype" w:eastAsia="Palatino Linotype" w:hAnsi="Palatino Linotype" w:cs="Palatino Linotype"/>
          <w:color w:val="0000FF"/>
        </w:rPr>
        <w:t xml:space="preserve"> </w:t>
      </w:r>
      <w:r w:rsidRPr="00247163">
        <w:rPr>
          <w:rFonts w:ascii="Palatino Linotype" w:eastAsia="Palatino Linotype" w:hAnsi="Palatino Linotype" w:cs="Palatino Linotype"/>
          <w:color w:val="333333"/>
        </w:rPr>
        <w:t>pudo accederse a la siguiente pantalla:</w:t>
      </w:r>
    </w:p>
    <w:p w14:paraId="41F612E9" w14:textId="77777777" w:rsidR="002F653A" w:rsidRPr="00247163" w:rsidRDefault="00CB53E8">
      <w:pPr>
        <w:pBdr>
          <w:top w:val="nil"/>
          <w:left w:val="nil"/>
          <w:bottom w:val="nil"/>
          <w:right w:val="nil"/>
          <w:between w:val="nil"/>
        </w:pBdr>
        <w:ind w:right="-596"/>
        <w:jc w:val="center"/>
        <w:rPr>
          <w:rFonts w:ascii="Arial" w:eastAsia="Arial" w:hAnsi="Arial" w:cs="Arial"/>
          <w:color w:val="333333"/>
        </w:rPr>
      </w:pPr>
      <w:r w:rsidRPr="00247163">
        <w:rPr>
          <w:rFonts w:ascii="Arial" w:eastAsia="Arial" w:hAnsi="Arial" w:cs="Arial"/>
          <w:noProof/>
          <w:color w:val="333333"/>
        </w:rPr>
        <w:lastRenderedPageBreak/>
        <w:drawing>
          <wp:inline distT="0" distB="0" distL="0" distR="0" wp14:anchorId="1F3A2DD1" wp14:editId="15FC6CF1">
            <wp:extent cx="3813906" cy="3969292"/>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3813906" cy="3969292"/>
                    </a:xfrm>
                    <a:prstGeom prst="rect">
                      <a:avLst/>
                    </a:prstGeom>
                    <a:ln/>
                  </pic:spPr>
                </pic:pic>
              </a:graphicData>
            </a:graphic>
          </wp:inline>
        </w:drawing>
      </w:r>
    </w:p>
    <w:p w14:paraId="18403E87" w14:textId="77777777" w:rsidR="002F653A" w:rsidRPr="00247163" w:rsidRDefault="00CB53E8">
      <w:pPr>
        <w:pBdr>
          <w:top w:val="nil"/>
          <w:left w:val="nil"/>
          <w:bottom w:val="nil"/>
          <w:right w:val="nil"/>
          <w:between w:val="nil"/>
        </w:pBdr>
        <w:tabs>
          <w:tab w:val="center" w:pos="4419"/>
          <w:tab w:val="right" w:pos="8838"/>
        </w:tabs>
        <w:spacing w:line="360" w:lineRule="auto"/>
        <w:ind w:right="-596"/>
        <w:jc w:val="both"/>
        <w:rPr>
          <w:rFonts w:ascii="Palatino Linotype" w:eastAsia="Palatino Linotype" w:hAnsi="Palatino Linotype" w:cs="Palatino Linotype"/>
          <w:color w:val="333333"/>
        </w:rPr>
      </w:pPr>
      <w:r w:rsidRPr="00247163">
        <w:rPr>
          <w:rFonts w:ascii="Palatino Linotype" w:eastAsia="Palatino Linotype" w:hAnsi="Palatino Linotype" w:cs="Palatino Linotype"/>
          <w:color w:val="333333"/>
        </w:rPr>
        <w:t>Donde puede accederse a la información referida por el Sujeto Obligado en respuesta, sin embargo como se ha establecido el formato de la misma coartó el derecho de acceso a la información del particular, por lo que la entrega de la liga por parte del Sujeto Obligado mediante informe justificado permite al particular lograr el correcto ejercicio de su derecho.</w:t>
      </w:r>
    </w:p>
    <w:p w14:paraId="73AB7843" w14:textId="77777777" w:rsidR="002F653A" w:rsidRPr="00247163" w:rsidRDefault="00CB53E8">
      <w:pPr>
        <w:pBdr>
          <w:top w:val="nil"/>
          <w:left w:val="nil"/>
          <w:bottom w:val="nil"/>
          <w:right w:val="nil"/>
          <w:between w:val="nil"/>
        </w:pBdr>
        <w:tabs>
          <w:tab w:val="center" w:pos="4419"/>
          <w:tab w:val="right" w:pos="8838"/>
        </w:tabs>
        <w:spacing w:line="360" w:lineRule="auto"/>
        <w:ind w:right="-596"/>
        <w:jc w:val="both"/>
        <w:rPr>
          <w:rFonts w:ascii="Palatino Linotype" w:eastAsia="Palatino Linotype" w:hAnsi="Palatino Linotype" w:cs="Palatino Linotype"/>
          <w:color w:val="333333"/>
        </w:rPr>
      </w:pPr>
      <w:r w:rsidRPr="00247163">
        <w:rPr>
          <w:rFonts w:ascii="Palatino Linotype" w:eastAsia="Palatino Linotype" w:hAnsi="Palatino Linotype" w:cs="Palatino Linotype"/>
          <w:color w:val="333333"/>
        </w:rPr>
        <w:t xml:space="preserve"> </w:t>
      </w:r>
    </w:p>
    <w:p w14:paraId="14319D86" w14:textId="77777777" w:rsidR="002F653A" w:rsidRPr="00247163" w:rsidRDefault="00CB53E8" w:rsidP="00DF71BB">
      <w:pPr>
        <w:numPr>
          <w:ilvl w:val="0"/>
          <w:numId w:val="34"/>
        </w:numPr>
        <w:pBdr>
          <w:top w:val="nil"/>
          <w:left w:val="nil"/>
          <w:bottom w:val="nil"/>
          <w:right w:val="nil"/>
          <w:between w:val="nil"/>
        </w:pBdr>
        <w:shd w:val="clear" w:color="auto" w:fill="FDFCFB"/>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Ahora bien,  por cuanto hace a los puntos de la </w:t>
      </w:r>
      <w:r w:rsidRPr="00247163">
        <w:rPr>
          <w:rFonts w:ascii="Palatino Linotype" w:eastAsia="Palatino Linotype" w:hAnsi="Palatino Linotype" w:cs="Palatino Linotype"/>
          <w:i/>
          <w:iCs/>
          <w:color w:val="000000"/>
        </w:rPr>
        <w:t>solicitud uno, dos, tres, f, g y nueve</w:t>
      </w:r>
      <w:r w:rsidRPr="00247163">
        <w:rPr>
          <w:rFonts w:ascii="Palatino Linotype" w:eastAsia="Palatino Linotype" w:hAnsi="Palatino Linotype" w:cs="Palatino Linotype"/>
          <w:color w:val="000000"/>
        </w:rPr>
        <w:t xml:space="preserve">, relativos al interés del particular de conocer el </w:t>
      </w:r>
      <w:r w:rsidRPr="00247163">
        <w:rPr>
          <w:rFonts w:ascii="Palatino Linotype" w:eastAsia="Palatino Linotype" w:hAnsi="Palatino Linotype" w:cs="Palatino Linotype"/>
          <w:i/>
          <w:iCs/>
          <w:color w:val="000000"/>
        </w:rPr>
        <w:t>organigrama, reglamentos, normatividad aplicable, bitácoras de control de consumo de combustible y uso de vehículos, así como inventarios de bienes</w:t>
      </w:r>
      <w:r w:rsidRPr="00247163">
        <w:rPr>
          <w:rFonts w:ascii="Palatino Linotype" w:eastAsia="Palatino Linotype" w:hAnsi="Palatino Linotype" w:cs="Palatino Linotype"/>
          <w:color w:val="000000"/>
        </w:rPr>
        <w:t xml:space="preserve">; es de referir que al presentar documentales en las que el Sujeto Obligado haga constar la información pública referida se satisfaga el derecho de acceso a la información pública toda vez que, los Sujetos Obligados no tienen el deber de generar, poseer o administrar la </w:t>
      </w:r>
      <w:r w:rsidRPr="00247163">
        <w:rPr>
          <w:rFonts w:ascii="Palatino Linotype" w:eastAsia="Palatino Linotype" w:hAnsi="Palatino Linotype" w:cs="Palatino Linotype"/>
          <w:color w:val="000000"/>
        </w:rPr>
        <w:lastRenderedPageBreak/>
        <w:t>información pública con el grado de detalle solicitado; esto es, que no tienen el deber de generar un documento ad hoc, para satisfacer el derecho de acceso a la información pública.</w:t>
      </w:r>
    </w:p>
    <w:p w14:paraId="4E74E8D5" w14:textId="77777777" w:rsidR="002F653A" w:rsidRPr="00247163" w:rsidRDefault="002F653A">
      <w:pPr>
        <w:pBdr>
          <w:top w:val="nil"/>
          <w:left w:val="nil"/>
          <w:bottom w:val="nil"/>
          <w:right w:val="nil"/>
          <w:between w:val="nil"/>
        </w:pBdr>
        <w:spacing w:line="360" w:lineRule="auto"/>
        <w:ind w:right="-591"/>
        <w:jc w:val="both"/>
        <w:rPr>
          <w:color w:val="000000"/>
        </w:rPr>
      </w:pPr>
    </w:p>
    <w:p w14:paraId="76151455" w14:textId="77777777" w:rsidR="002F653A" w:rsidRPr="00247163" w:rsidRDefault="00CB53E8" w:rsidP="00DF71BB">
      <w:pPr>
        <w:numPr>
          <w:ilvl w:val="0"/>
          <w:numId w:val="34"/>
        </w:numPr>
        <w:pBdr>
          <w:top w:val="nil"/>
          <w:left w:val="nil"/>
          <w:bottom w:val="nil"/>
          <w:right w:val="nil"/>
          <w:between w:val="nil"/>
        </w:pBdr>
        <w:shd w:val="clear" w:color="auto" w:fill="FDFCFB"/>
        <w:spacing w:line="360" w:lineRule="auto"/>
        <w:ind w:left="0" w:right="-596" w:firstLine="0"/>
        <w:jc w:val="both"/>
        <w:rPr>
          <w:color w:val="000000"/>
        </w:rPr>
      </w:pPr>
      <w:r w:rsidRPr="00247163">
        <w:rPr>
          <w:rFonts w:ascii="Palatino Linotype" w:eastAsia="Palatino Linotype" w:hAnsi="Palatino Linotype" w:cs="Palatino Linotype"/>
          <w:color w:val="000000"/>
        </w:rPr>
        <w:t>Como apoyo a lo anterior, es aplicable el Criterio 03-17, emitido por el Instituto Nacional de Transparencia, Acceso a la Información y Protección de Datos Personales, que dice:</w:t>
      </w:r>
    </w:p>
    <w:p w14:paraId="21BA02BB"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i/>
          <w:iCs/>
          <w:color w:val="000000"/>
        </w:rPr>
        <w:t>“No existe obligación de elaborar documentos ad hoc para atender las solicitudes de acceso a la información.</w:t>
      </w:r>
      <w:r w:rsidRPr="00247163">
        <w:rPr>
          <w:rFonts w:ascii="Palatino Linotype" w:eastAsia="Palatino Linotype" w:hAnsi="Palatino Linotype" w:cs="Palatino Linotype"/>
          <w:i/>
          <w:iCs/>
          <w:color w:val="000000"/>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8079187"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 </w:t>
      </w:r>
    </w:p>
    <w:p w14:paraId="5566E0D4"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Resoluciones:</w:t>
      </w:r>
    </w:p>
    <w:p w14:paraId="66CBF75C"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 RRA 0050/16. Instituto Nacional para la Evaluación de la Educación. 13 julio de 2016. Por unanimidad. Comisionado Ponente: Francisco Javier Acuña Llamas.</w:t>
      </w:r>
    </w:p>
    <w:p w14:paraId="39DD762A" w14:textId="77777777" w:rsidR="002F653A" w:rsidRPr="00247163" w:rsidRDefault="00CB53E8">
      <w:pPr>
        <w:numPr>
          <w:ilvl w:val="0"/>
          <w:numId w:val="11"/>
        </w:numPr>
        <w:pBdr>
          <w:top w:val="nil"/>
          <w:left w:val="nil"/>
          <w:bottom w:val="nil"/>
          <w:right w:val="nil"/>
          <w:between w:val="nil"/>
        </w:pBdr>
        <w:shd w:val="clear" w:color="auto" w:fill="FDFCFB"/>
        <w:ind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RRA 0310/16. Instituto Nacional de Transparencia, Acceso a la Información y Protección de Datos Personales. 10 de agosto de 2016. Por unanimidad. Comisionada Ponente. Areli Cano Guadiana.</w:t>
      </w:r>
    </w:p>
    <w:p w14:paraId="000AF8C3" w14:textId="77777777" w:rsidR="002F653A" w:rsidRPr="00247163" w:rsidRDefault="00CB53E8">
      <w:pPr>
        <w:numPr>
          <w:ilvl w:val="0"/>
          <w:numId w:val="11"/>
        </w:numPr>
        <w:pBdr>
          <w:top w:val="nil"/>
          <w:left w:val="nil"/>
          <w:bottom w:val="nil"/>
          <w:right w:val="nil"/>
          <w:between w:val="nil"/>
        </w:pBdr>
        <w:shd w:val="clear" w:color="auto" w:fill="FDFCFB"/>
        <w:ind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RRA 1889/16. Secretaría de Hacienda y Crédito Público. 05 de octubre de 2016. Por unanimidad. Comisionada Ponente. Ximena Puente de la Mora.”</w:t>
      </w:r>
    </w:p>
    <w:p w14:paraId="3FF5F99A"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rPr>
        <w:t> </w:t>
      </w:r>
    </w:p>
    <w:p w14:paraId="5A755B97" w14:textId="77777777" w:rsidR="002F653A" w:rsidRPr="00247163" w:rsidRDefault="00CB53E8" w:rsidP="00DF71BB">
      <w:pPr>
        <w:numPr>
          <w:ilvl w:val="0"/>
          <w:numId w:val="34"/>
        </w:numPr>
        <w:pBdr>
          <w:top w:val="nil"/>
          <w:left w:val="nil"/>
          <w:bottom w:val="nil"/>
          <w:right w:val="nil"/>
          <w:between w:val="nil"/>
        </w:pBdr>
        <w:shd w:val="clear" w:color="auto" w:fill="FDFCFB"/>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    Así mismo, el artículo 24, de la Ley de la materia, dispone que los Sujetos Obligados sólo proporcionarán la información pública que generen, administren o posean en el ejercicio de sus atribuciones; por consiguiente, la información pública se encuentra a disposición de </w:t>
      </w:r>
      <w:r w:rsidRPr="00247163">
        <w:rPr>
          <w:rFonts w:ascii="Palatino Linotype" w:eastAsia="Palatino Linotype" w:hAnsi="Palatino Linotype" w:cs="Palatino Linotype"/>
          <w:color w:val="000000"/>
        </w:rPr>
        <w:lastRenderedPageBreak/>
        <w:t>cualquier persona, lo que implica que es deber de los Sujetos Obligados, garantizar el derecho de acceso a la información pública.</w:t>
      </w:r>
    </w:p>
    <w:p w14:paraId="6347A4BE" w14:textId="77777777" w:rsidR="002F653A" w:rsidRPr="00247163" w:rsidRDefault="00CB53E8">
      <w:pPr>
        <w:shd w:val="clear" w:color="auto" w:fill="FDFCFB"/>
        <w:spacing w:line="360" w:lineRule="auto"/>
        <w:ind w:right="-596"/>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rPr>
        <w:t> </w:t>
      </w:r>
    </w:p>
    <w:p w14:paraId="4E87F4A6" w14:textId="77777777" w:rsidR="002F653A" w:rsidRPr="00247163" w:rsidRDefault="00CB53E8" w:rsidP="00DF71BB">
      <w:pPr>
        <w:numPr>
          <w:ilvl w:val="0"/>
          <w:numId w:val="34"/>
        </w:numPr>
        <w:pBdr>
          <w:top w:val="nil"/>
          <w:left w:val="nil"/>
          <w:bottom w:val="nil"/>
          <w:right w:val="nil"/>
          <w:between w:val="nil"/>
        </w:pBdr>
        <w:shd w:val="clear" w:color="auto" w:fill="FDFCFB"/>
        <w:spacing w:line="360" w:lineRule="auto"/>
        <w:ind w:left="0" w:right="-596" w:firstLine="0"/>
        <w:jc w:val="both"/>
        <w:rPr>
          <w:color w:val="000000"/>
        </w:rPr>
      </w:pPr>
      <w:r w:rsidRPr="00247163">
        <w:rPr>
          <w:rFonts w:ascii="Palatino Linotype" w:eastAsia="Palatino Linotype" w:hAnsi="Palatino Linotype" w:cs="Palatino Linotype"/>
          <w:color w:val="000000"/>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6791547" w14:textId="4E0931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w:t>
      </w:r>
      <w:r w:rsidRPr="00247163">
        <w:rPr>
          <w:rFonts w:ascii="Palatino Linotype" w:eastAsia="Palatino Linotype" w:hAnsi="Palatino Linotype" w:cs="Palatino Linotype"/>
          <w:b/>
          <w:bCs/>
          <w:i/>
          <w:iCs/>
          <w:color w:val="000000"/>
        </w:rPr>
        <w:t>“Artículo 3.</w:t>
      </w:r>
      <w:r w:rsidRPr="00247163">
        <w:rPr>
          <w:rFonts w:ascii="Palatino Linotype" w:eastAsia="Palatino Linotype" w:hAnsi="Palatino Linotype" w:cs="Palatino Linotype"/>
          <w:i/>
          <w:iCs/>
          <w:color w:val="000000"/>
        </w:rPr>
        <w:t> Para los efectos de la presente Ley se entenderá por:</w:t>
      </w:r>
    </w:p>
    <w:p w14:paraId="0E320B3B"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w:t>
      </w:r>
    </w:p>
    <w:p w14:paraId="30E58005"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i/>
          <w:iCs/>
          <w:color w:val="000000"/>
        </w:rPr>
        <w:t>XI. Documento:</w:t>
      </w:r>
      <w:r w:rsidRPr="00247163">
        <w:rPr>
          <w:rFonts w:ascii="Palatino Linotype" w:eastAsia="Palatino Linotype" w:hAnsi="Palatino Linotype" w:cs="Palatino Linotype"/>
          <w:i/>
          <w:iCs/>
          <w:color w:val="000000"/>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247163">
        <w:rPr>
          <w:rFonts w:ascii="Palatino Linotype" w:eastAsia="Palatino Linotype" w:hAnsi="Palatino Linotype" w:cs="Palatino Linotype"/>
          <w:b/>
          <w:bCs/>
          <w:i/>
          <w:iCs/>
          <w:color w:val="000000"/>
        </w:rPr>
        <w:t>Los documentos podrán estar en cualquier medio, sea escrito, impreso, sonoro, visual, electrónico, informático u holográfico;</w:t>
      </w:r>
    </w:p>
    <w:p w14:paraId="6F6D1263"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
          <w:iCs/>
          <w:color w:val="000000"/>
        </w:rPr>
        <w:t>(…)”</w:t>
      </w:r>
    </w:p>
    <w:p w14:paraId="4667403F" w14:textId="77777777" w:rsidR="002F653A" w:rsidRPr="00247163" w:rsidRDefault="00CB53E8">
      <w:pPr>
        <w:shd w:val="clear" w:color="auto" w:fill="FDFCFB"/>
        <w:ind w:left="1135" w:right="822"/>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b/>
          <w:bCs/>
          <w:color w:val="000000"/>
        </w:rPr>
        <w:t> </w:t>
      </w:r>
    </w:p>
    <w:p w14:paraId="02189A77" w14:textId="77777777" w:rsidR="002F653A" w:rsidRPr="00247163" w:rsidRDefault="00CB53E8" w:rsidP="00DF71BB">
      <w:pPr>
        <w:numPr>
          <w:ilvl w:val="0"/>
          <w:numId w:val="34"/>
        </w:numPr>
        <w:pBdr>
          <w:top w:val="nil"/>
          <w:left w:val="nil"/>
          <w:bottom w:val="nil"/>
          <w:right w:val="nil"/>
          <w:between w:val="nil"/>
        </w:pBdr>
        <w:shd w:val="clear" w:color="auto" w:fill="FDFCFB"/>
        <w:spacing w:line="360" w:lineRule="auto"/>
        <w:ind w:left="0" w:right="-596" w:firstLine="0"/>
        <w:jc w:val="both"/>
        <w:rPr>
          <w:color w:val="000000"/>
        </w:rPr>
      </w:pPr>
      <w:r w:rsidRPr="00247163">
        <w:rPr>
          <w:rFonts w:ascii="Palatino Linotype" w:eastAsia="Palatino Linotype" w:hAnsi="Palatino Linotype" w:cs="Palatino Linotype"/>
          <w:color w:val="000000"/>
        </w:rPr>
        <w:t xml:space="preserve">Siendo aplicable el Criterio de interpretación en el orden administrativo número 0002- 11, emitido por Acuerdo del Pleno del Instituto de Transparencia y Acceso a la Información Pública del Estado de México y Municipios; publicado en el Periódico Oficial del Gobierno del </w:t>
      </w:r>
      <w:r w:rsidRPr="00247163">
        <w:rPr>
          <w:rFonts w:ascii="Palatino Linotype" w:eastAsia="Palatino Linotype" w:hAnsi="Palatino Linotype" w:cs="Palatino Linotype"/>
          <w:color w:val="000000"/>
        </w:rPr>
        <w:lastRenderedPageBreak/>
        <w:t>Estado Libre y Soberano de México “Gaceta del Gobierno”, el diecinueve de octubre de dos mil once, cuyo rubro y texto dispone:</w:t>
      </w:r>
    </w:p>
    <w:p w14:paraId="04EA7816" w14:textId="77777777" w:rsidR="002F653A" w:rsidRPr="00247163" w:rsidRDefault="00CB53E8">
      <w:pPr>
        <w:shd w:val="clear" w:color="auto" w:fill="FDFCFB"/>
        <w:spacing w:line="360" w:lineRule="auto"/>
        <w:ind w:left="1135"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color w:val="000000"/>
        </w:rPr>
        <w:t> </w:t>
      </w:r>
      <w:r w:rsidRPr="00247163">
        <w:rPr>
          <w:rFonts w:ascii="Palatino Linotype" w:eastAsia="Palatino Linotype" w:hAnsi="Palatino Linotype" w:cs="Palatino Linotype"/>
          <w:i/>
          <w:iCs/>
          <w:color w:val="000000"/>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320DA7F5" w14:textId="77777777" w:rsidR="002F653A" w:rsidRPr="00247163" w:rsidRDefault="002F653A">
      <w:pPr>
        <w:shd w:val="clear" w:color="auto" w:fill="FDFCFB"/>
        <w:spacing w:line="360" w:lineRule="auto"/>
        <w:ind w:left="1135" w:right="822"/>
        <w:jc w:val="both"/>
        <w:rPr>
          <w:rFonts w:ascii="Palatino Linotype" w:eastAsia="Palatino Linotype" w:hAnsi="Palatino Linotype" w:cs="Palatino Linotype"/>
          <w:i/>
          <w:iCs/>
        </w:rPr>
      </w:pPr>
    </w:p>
    <w:p w14:paraId="50F122CF" w14:textId="77777777" w:rsidR="002F653A" w:rsidRPr="00247163" w:rsidRDefault="00CB53E8">
      <w:pPr>
        <w:spacing w:line="360" w:lineRule="auto"/>
        <w:ind w:right="-596"/>
        <w:jc w:val="both"/>
        <w:rPr>
          <w:rFonts w:ascii="Palatino Linotype" w:eastAsia="Palatino Linotype" w:hAnsi="Palatino Linotype" w:cs="Palatino Linotype"/>
        </w:rPr>
      </w:pPr>
      <w:r w:rsidRPr="00247163">
        <w:rPr>
          <w:rFonts w:ascii="Palatino Linotype" w:eastAsia="Palatino Linotype" w:hAnsi="Palatino Linotype" w:cs="Palatino Linotype"/>
        </w:rPr>
        <w:t>Por lo que para tales puntos se tiene por colmado el derecho del particular por parte del Derecho Obligado</w:t>
      </w:r>
    </w:p>
    <w:p w14:paraId="4DD12E5C" w14:textId="77777777" w:rsidR="002F653A" w:rsidRPr="00247163" w:rsidRDefault="002F653A">
      <w:pPr>
        <w:spacing w:line="276" w:lineRule="auto"/>
        <w:ind w:left="1135" w:right="822"/>
        <w:jc w:val="both"/>
        <w:rPr>
          <w:rFonts w:ascii="Palatino Linotype" w:eastAsia="Palatino Linotype" w:hAnsi="Palatino Linotype" w:cs="Palatino Linotype"/>
          <w:b/>
          <w:bCs/>
          <w:color w:val="1F497D"/>
        </w:rPr>
      </w:pPr>
    </w:p>
    <w:p w14:paraId="6CEC68C5" w14:textId="77777777" w:rsidR="002F653A" w:rsidRPr="00247163" w:rsidRDefault="00CB53E8" w:rsidP="00D42D1A">
      <w:pPr>
        <w:numPr>
          <w:ilvl w:val="0"/>
          <w:numId w:val="12"/>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Por cuanto hace a los puntos de la solicitud  </w:t>
      </w:r>
      <w:r w:rsidRPr="00247163">
        <w:rPr>
          <w:rFonts w:ascii="Palatino Linotype" w:eastAsia="Palatino Linotype" w:hAnsi="Palatino Linotype" w:cs="Palatino Linotype"/>
          <w:i/>
          <w:iCs/>
          <w:color w:val="000000"/>
        </w:rPr>
        <w:t>cuatro, cinco, seis, siete, a, b, c, d, e, h, i, j, k, I, II, diez, once, doce, trece, catorce, quince y dieciséis,</w:t>
      </w:r>
      <w:r w:rsidRPr="00247163">
        <w:rPr>
          <w:rFonts w:ascii="Palatino Linotype" w:eastAsia="Palatino Linotype" w:hAnsi="Palatino Linotype" w:cs="Palatino Linotype"/>
          <w:color w:val="000000"/>
        </w:rPr>
        <w:t xml:space="preserve"> derivado de las documentales entregadas de las que éste Órgano Garante determinó el cumplimiento parcial por parte del Sujeto Obligado al advertirse la falta de los principios de congruencia y exhaustividad al ser omiso de entregar la totalidad de lo solicitado en la temporalidad requerida por el particular; sobre el tema, el artículo 1.8, fracción XIII, del Código Administrativo del Estado de México, establece que para que tenga validez, todo acto administrativo deberá resolver todos los puntos propuestos por los interesados.</w:t>
      </w:r>
    </w:p>
    <w:p w14:paraId="447C363E" w14:textId="77777777" w:rsidR="002F653A" w:rsidRPr="00247163" w:rsidRDefault="002F653A">
      <w:pPr>
        <w:widowControl w:val="0"/>
        <w:spacing w:line="360" w:lineRule="auto"/>
        <w:ind w:right="-596"/>
        <w:rPr>
          <w:rFonts w:ascii="Palatino Linotype" w:eastAsia="Palatino Linotype" w:hAnsi="Palatino Linotype" w:cs="Palatino Linotype"/>
          <w:color w:val="000000"/>
        </w:rPr>
      </w:pPr>
    </w:p>
    <w:p w14:paraId="6C39B8EB" w14:textId="77777777" w:rsidR="002F653A" w:rsidRPr="00247163" w:rsidRDefault="00CB53E8">
      <w:pPr>
        <w:numPr>
          <w:ilvl w:val="0"/>
          <w:numId w:val="12"/>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De forma enunciativa a lo anterior al consultar las documentales referentes al interés del particular para conocer los nombres de los servidores públicos, sus percepciones, funciones, CV e incluso capacitaciones recibidas dentro de la temporalidad señalada en la solicitud, se observaron diferentes nombres de servidores públicos señalados en las diversas documentales lo que se traduce en incertidumbre del particular dando como resultado que no sea posible percibir al menos cual es el personal adscrito al área requerida.</w:t>
      </w:r>
    </w:p>
    <w:p w14:paraId="7D780BC0" w14:textId="77777777" w:rsidR="002F653A" w:rsidRPr="00247163" w:rsidRDefault="002F653A">
      <w:pPr>
        <w:pBdr>
          <w:top w:val="nil"/>
          <w:left w:val="nil"/>
          <w:bottom w:val="nil"/>
          <w:right w:val="nil"/>
          <w:between w:val="nil"/>
        </w:pBdr>
        <w:ind w:left="720"/>
        <w:rPr>
          <w:rFonts w:ascii="Palatino Linotype" w:eastAsia="Palatino Linotype" w:hAnsi="Palatino Linotype" w:cs="Palatino Linotype"/>
          <w:color w:val="000000"/>
        </w:rPr>
      </w:pPr>
    </w:p>
    <w:p w14:paraId="0167B2AD" w14:textId="77777777" w:rsidR="002F653A" w:rsidRPr="00247163" w:rsidRDefault="00CB53E8">
      <w:pPr>
        <w:numPr>
          <w:ilvl w:val="0"/>
          <w:numId w:val="12"/>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En  sentido similar se observó de las documentales entregadas la existencia de tres vehículos al que el Sujeto Obligado admitió tener en inventario bajo resguardo del área,  como se advierte:</w:t>
      </w:r>
    </w:p>
    <w:p w14:paraId="023E35F2" w14:textId="77777777" w:rsidR="002F653A" w:rsidRPr="00247163" w:rsidRDefault="002F653A">
      <w:pPr>
        <w:pBdr>
          <w:top w:val="nil"/>
          <w:left w:val="nil"/>
          <w:bottom w:val="nil"/>
          <w:right w:val="nil"/>
          <w:between w:val="nil"/>
        </w:pBdr>
        <w:ind w:left="720"/>
        <w:rPr>
          <w:rFonts w:ascii="Palatino Linotype" w:eastAsia="Palatino Linotype" w:hAnsi="Palatino Linotype" w:cs="Palatino Linotype"/>
          <w:color w:val="000000"/>
        </w:rPr>
      </w:pPr>
    </w:p>
    <w:p w14:paraId="27A84701" w14:textId="77777777" w:rsidR="002F653A" w:rsidRPr="00247163" w:rsidRDefault="00CB53E8">
      <w:pPr>
        <w:spacing w:line="360" w:lineRule="auto"/>
        <w:ind w:right="27"/>
        <w:jc w:val="center"/>
        <w:rPr>
          <w:rFonts w:ascii="Palatino Linotype" w:eastAsia="Palatino Linotype" w:hAnsi="Palatino Linotype" w:cs="Palatino Linotype"/>
          <w:color w:val="000000"/>
        </w:rPr>
      </w:pPr>
      <w:r w:rsidRPr="00247163">
        <w:rPr>
          <w:noProof/>
        </w:rPr>
        <w:lastRenderedPageBreak/>
        <w:drawing>
          <wp:inline distT="0" distB="0" distL="0" distR="0" wp14:anchorId="0FEC0E01" wp14:editId="6DE1F588">
            <wp:extent cx="4962043" cy="1942088"/>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a:stretch>
                      <a:fillRect/>
                    </a:stretch>
                  </pic:blipFill>
                  <pic:spPr>
                    <a:xfrm>
                      <a:off x="0" y="0"/>
                      <a:ext cx="4962043" cy="1942088"/>
                    </a:xfrm>
                    <a:prstGeom prst="rect">
                      <a:avLst/>
                    </a:prstGeom>
                    <a:ln/>
                  </pic:spPr>
                </pic:pic>
              </a:graphicData>
            </a:graphic>
          </wp:inline>
        </w:drawing>
      </w:r>
      <w:r w:rsidRPr="00247163">
        <w:rPr>
          <w:noProof/>
        </w:rPr>
        <w:drawing>
          <wp:inline distT="0" distB="0" distL="0" distR="0" wp14:anchorId="109552F4" wp14:editId="4B9C0786">
            <wp:extent cx="5922645" cy="1921569"/>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5922645" cy="1921569"/>
                    </a:xfrm>
                    <a:prstGeom prst="rect">
                      <a:avLst/>
                    </a:prstGeom>
                    <a:ln/>
                  </pic:spPr>
                </pic:pic>
              </a:graphicData>
            </a:graphic>
          </wp:inline>
        </w:drawing>
      </w:r>
      <w:r w:rsidRPr="00247163">
        <w:rPr>
          <w:noProof/>
        </w:rPr>
        <mc:AlternateContent>
          <mc:Choice Requires="wps">
            <w:drawing>
              <wp:anchor distT="0" distB="0" distL="114300" distR="114300" simplePos="0" relativeHeight="251658240" behindDoc="0" locked="0" layoutInCell="1" hidden="0" allowOverlap="1" wp14:anchorId="3BD971F4" wp14:editId="1FF5620D">
                <wp:simplePos x="0" y="0"/>
                <wp:positionH relativeFrom="column">
                  <wp:posOffset>887219</wp:posOffset>
                </wp:positionH>
                <wp:positionV relativeFrom="paragraph">
                  <wp:posOffset>1428958</wp:posOffset>
                </wp:positionV>
                <wp:extent cx="2060961" cy="438895"/>
                <wp:effectExtent l="0" t="0" r="0" b="0"/>
                <wp:wrapNone/>
                <wp:docPr id="1" name="Rectángulo redondeado 1"/>
                <wp:cNvGraphicFramePr/>
                <a:graphic xmlns:a="http://schemas.openxmlformats.org/drawingml/2006/main">
                  <a:graphicData uri="http://schemas.microsoft.com/office/word/2010/wordprocessingShape">
                    <wps:wsp>
                      <wps:cNvSpPr/>
                      <wps:spPr>
                        <a:xfrm>
                          <a:off x="4320282" y="3565315"/>
                          <a:ext cx="2051436" cy="429370"/>
                        </a:xfrm>
                        <a:prstGeom prst="roundRect">
                          <a:avLst>
                            <a:gd name="adj" fmla="val 16667"/>
                          </a:avLst>
                        </a:prstGeom>
                        <a:noFill/>
                        <a:ln w="9525" cap="flat" cmpd="sng">
                          <a:solidFill>
                            <a:srgbClr val="FF0000"/>
                          </a:solidFill>
                          <a:prstDash val="solid"/>
                          <a:round/>
                          <a:headEnd type="none" w="sm" len="sm"/>
                          <a:tailEnd type="none" w="sm" len="sm"/>
                        </a:ln>
                      </wps:spPr>
                      <wps:txbx>
                        <w:txbxContent>
                          <w:p w14:paraId="52F8314D" w14:textId="77777777" w:rsidR="000101BB" w:rsidRDefault="000101BB">
                            <w:pPr>
                              <w:textDirection w:val="btLr"/>
                            </w:pPr>
                          </w:p>
                        </w:txbxContent>
                      </wps:txbx>
                      <wps:bodyPr spcFirstLastPara="1" wrap="square" lIns="91425" tIns="91425" rIns="91425" bIns="91425" anchor="ctr" anchorCtr="0">
                        <a:noAutofit/>
                      </wps:bodyPr>
                    </wps:wsp>
                  </a:graphicData>
                </a:graphic>
              </wp:anchor>
            </w:drawing>
          </mc:Choice>
          <mc:Fallback>
            <w:pict>
              <v:roundrect w14:anchorId="3BD971F4" id="Rectángulo redondeado 1" o:spid="_x0000_s1026" style="position:absolute;left:0;text-align:left;margin-left:69.85pt;margin-top:112.5pt;width:162.3pt;height:34.5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" filled="f" strokecolor="red">
                <v:stroke startarrowwidth="narrow" startarrowlength="short" endarrowwidth="narrow" endarrowlength="short"/>
                <v:textbox inset="2.53958mm,2.53958mm,2.53958mm,2.53958mm">
                  <w:txbxContent>
                    <w:p w14:paraId="52F8314D" w14:textId="77777777" w:rsidR="000101BB" w:rsidRDefault="000101BB">
                      <w:pPr>
                        <w:textDirection w:val="btLr"/>
                      </w:pPr>
                    </w:p>
                  </w:txbxContent>
                </v:textbox>
              </v:roundrect>
            </w:pict>
          </mc:Fallback>
        </mc:AlternateContent>
      </w:r>
      <w:r w:rsidRPr="00247163">
        <w:rPr>
          <w:noProof/>
        </w:rPr>
        <mc:AlternateContent>
          <mc:Choice Requires="wps">
            <w:drawing>
              <wp:anchor distT="0" distB="0" distL="114300" distR="114300" simplePos="0" relativeHeight="251659264" behindDoc="0" locked="0" layoutInCell="1" hidden="0" allowOverlap="1" wp14:anchorId="23BF6058" wp14:editId="7FDFDEB7">
                <wp:simplePos x="0" y="0"/>
                <wp:positionH relativeFrom="column">
                  <wp:posOffset>1491519</wp:posOffset>
                </wp:positionH>
                <wp:positionV relativeFrom="paragraph">
                  <wp:posOffset>2947657</wp:posOffset>
                </wp:positionV>
                <wp:extent cx="3667125" cy="438895"/>
                <wp:effectExtent l="0" t="0" r="0" b="0"/>
                <wp:wrapNone/>
                <wp:docPr id="5" name="Rectángulo redondeado 5"/>
                <wp:cNvGraphicFramePr/>
                <a:graphic xmlns:a="http://schemas.openxmlformats.org/drawingml/2006/main">
                  <a:graphicData uri="http://schemas.microsoft.com/office/word/2010/wordprocessingShape">
                    <wps:wsp>
                      <wps:cNvSpPr/>
                      <wps:spPr>
                        <a:xfrm>
                          <a:off x="3517200" y="3565315"/>
                          <a:ext cx="3657600" cy="429370"/>
                        </a:xfrm>
                        <a:prstGeom prst="roundRect">
                          <a:avLst>
                            <a:gd name="adj" fmla="val 16667"/>
                          </a:avLst>
                        </a:prstGeom>
                        <a:noFill/>
                        <a:ln w="9525" cap="flat" cmpd="sng">
                          <a:solidFill>
                            <a:srgbClr val="FF0000"/>
                          </a:solidFill>
                          <a:prstDash val="solid"/>
                          <a:round/>
                          <a:headEnd type="none" w="sm" len="sm"/>
                          <a:tailEnd type="none" w="sm" len="sm"/>
                        </a:ln>
                      </wps:spPr>
                      <wps:txbx>
                        <w:txbxContent>
                          <w:p w14:paraId="021BA95C" w14:textId="77777777" w:rsidR="000101BB" w:rsidRDefault="000101BB">
                            <w:pPr>
                              <w:textDirection w:val="btLr"/>
                            </w:pPr>
                          </w:p>
                        </w:txbxContent>
                      </wps:txbx>
                      <wps:bodyPr spcFirstLastPara="1" wrap="square" lIns="91425" tIns="91425" rIns="91425" bIns="91425" anchor="ctr" anchorCtr="0">
                        <a:noAutofit/>
                      </wps:bodyPr>
                    </wps:wsp>
                  </a:graphicData>
                </a:graphic>
              </wp:anchor>
            </w:drawing>
          </mc:Choice>
          <mc:Fallback>
            <w:pict>
              <v:roundrect w14:anchorId="23BF6058" id="Rectángulo redondeado 5" o:spid="_x0000_s1027" style="position:absolute;left:0;text-align:left;margin-left:117.45pt;margin-top:232.1pt;width:288.75pt;height:34.5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" filled="f" strokecolor="red">
                <v:stroke startarrowwidth="narrow" startarrowlength="short" endarrowwidth="narrow" endarrowlength="short"/>
                <v:textbox inset="2.53958mm,2.53958mm,2.53958mm,2.53958mm">
                  <w:txbxContent>
                    <w:p w14:paraId="021BA95C" w14:textId="77777777" w:rsidR="000101BB" w:rsidRDefault="000101BB">
                      <w:pPr>
                        <w:textDirection w:val="btLr"/>
                      </w:pPr>
                    </w:p>
                  </w:txbxContent>
                </v:textbox>
              </v:roundrect>
            </w:pict>
          </mc:Fallback>
        </mc:AlternateContent>
      </w:r>
    </w:p>
    <w:p w14:paraId="7DB8B847" w14:textId="77777777" w:rsidR="002F653A" w:rsidRPr="00247163" w:rsidRDefault="00CB53E8">
      <w:pPr>
        <w:spacing w:line="360" w:lineRule="auto"/>
        <w:ind w:right="27"/>
        <w:jc w:val="center"/>
        <w:rPr>
          <w:rFonts w:ascii="Palatino Linotype" w:eastAsia="Palatino Linotype" w:hAnsi="Palatino Linotype" w:cs="Palatino Linotype"/>
          <w:color w:val="000000"/>
        </w:rPr>
      </w:pPr>
      <w:r w:rsidRPr="00247163">
        <w:rPr>
          <w:noProof/>
        </w:rPr>
        <w:drawing>
          <wp:inline distT="0" distB="0" distL="0" distR="0" wp14:anchorId="4A700F03" wp14:editId="47FCBBBC">
            <wp:extent cx="5922645" cy="1287627"/>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srcRect/>
                    <a:stretch>
                      <a:fillRect/>
                    </a:stretch>
                  </pic:blipFill>
                  <pic:spPr>
                    <a:xfrm>
                      <a:off x="0" y="0"/>
                      <a:ext cx="5922645" cy="1287627"/>
                    </a:xfrm>
                    <a:prstGeom prst="rect">
                      <a:avLst/>
                    </a:prstGeom>
                    <a:ln/>
                  </pic:spPr>
                </pic:pic>
              </a:graphicData>
            </a:graphic>
          </wp:inline>
        </w:drawing>
      </w:r>
      <w:r w:rsidRPr="00247163">
        <w:rPr>
          <w:noProof/>
        </w:rPr>
        <mc:AlternateContent>
          <mc:Choice Requires="wps">
            <w:drawing>
              <wp:anchor distT="0" distB="0" distL="114300" distR="114300" simplePos="0" relativeHeight="251660288" behindDoc="0" locked="0" layoutInCell="1" hidden="0" allowOverlap="1" wp14:anchorId="45BAE660" wp14:editId="2E24CADE">
                <wp:simplePos x="0" y="0"/>
                <wp:positionH relativeFrom="column">
                  <wp:posOffset>1268577</wp:posOffset>
                </wp:positionH>
                <wp:positionV relativeFrom="paragraph">
                  <wp:posOffset>774080</wp:posOffset>
                </wp:positionV>
                <wp:extent cx="3667125" cy="438895"/>
                <wp:effectExtent l="0" t="0" r="0" b="0"/>
                <wp:wrapNone/>
                <wp:docPr id="4" name="Rectángulo redondeado 4"/>
                <wp:cNvGraphicFramePr/>
                <a:graphic xmlns:a="http://schemas.openxmlformats.org/drawingml/2006/main">
                  <a:graphicData uri="http://schemas.microsoft.com/office/word/2010/wordprocessingShape">
                    <wps:wsp>
                      <wps:cNvSpPr/>
                      <wps:spPr>
                        <a:xfrm>
                          <a:off x="3517200" y="3565315"/>
                          <a:ext cx="3657600" cy="429370"/>
                        </a:xfrm>
                        <a:prstGeom prst="roundRect">
                          <a:avLst>
                            <a:gd name="adj" fmla="val 16667"/>
                          </a:avLst>
                        </a:prstGeom>
                        <a:noFill/>
                        <a:ln w="9525" cap="flat" cmpd="sng">
                          <a:solidFill>
                            <a:srgbClr val="FF0000"/>
                          </a:solidFill>
                          <a:prstDash val="solid"/>
                          <a:round/>
                          <a:headEnd type="none" w="sm" len="sm"/>
                          <a:tailEnd type="none" w="sm" len="sm"/>
                        </a:ln>
                      </wps:spPr>
                      <wps:txbx>
                        <w:txbxContent>
                          <w:p w14:paraId="0B5A15C0" w14:textId="77777777" w:rsidR="000101BB" w:rsidRDefault="000101BB">
                            <w:pPr>
                              <w:textDirection w:val="btLr"/>
                            </w:pPr>
                          </w:p>
                        </w:txbxContent>
                      </wps:txbx>
                      <wps:bodyPr spcFirstLastPara="1" wrap="square" lIns="91425" tIns="91425" rIns="91425" bIns="91425" anchor="ctr" anchorCtr="0">
                        <a:noAutofit/>
                      </wps:bodyPr>
                    </wps:wsp>
                  </a:graphicData>
                </a:graphic>
              </wp:anchor>
            </w:drawing>
          </mc:Choice>
          <mc:Fallback>
            <w:pict>
              <v:roundrect w14:anchorId="45BAE660" id="Rectángulo redondeado 4" o:spid="_x0000_s1028" style="position:absolute;left:0;text-align:left;margin-left:99.9pt;margin-top:60.95pt;width:288.75pt;height:34.5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" filled="f" strokecolor="red">
                <v:stroke startarrowwidth="narrow" startarrowlength="short" endarrowwidth="narrow" endarrowlength="short"/>
                <v:textbox inset="2.53958mm,2.53958mm,2.53958mm,2.53958mm">
                  <w:txbxContent>
                    <w:p w14:paraId="0B5A15C0" w14:textId="77777777" w:rsidR="000101BB" w:rsidRDefault="000101BB">
                      <w:pPr>
                        <w:textDirection w:val="btLr"/>
                      </w:pPr>
                    </w:p>
                  </w:txbxContent>
                </v:textbox>
              </v:roundrect>
            </w:pict>
          </mc:Fallback>
        </mc:AlternateContent>
      </w:r>
    </w:p>
    <w:p w14:paraId="32827537" w14:textId="77777777" w:rsidR="002F653A" w:rsidRPr="00247163" w:rsidRDefault="00CB53E8">
      <w:pPr>
        <w:spacing w:line="360" w:lineRule="auto"/>
        <w:ind w:right="27"/>
        <w:jc w:val="center"/>
        <w:rPr>
          <w:rFonts w:ascii="Palatino Linotype" w:eastAsia="Palatino Linotype" w:hAnsi="Palatino Linotype" w:cs="Palatino Linotype"/>
          <w:color w:val="000000"/>
        </w:rPr>
      </w:pPr>
      <w:r w:rsidRPr="00247163">
        <w:rPr>
          <w:noProof/>
        </w:rPr>
        <w:drawing>
          <wp:inline distT="0" distB="0" distL="0" distR="0" wp14:anchorId="54875FE5" wp14:editId="6876A556">
            <wp:extent cx="5922645" cy="1690147"/>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922645" cy="1690147"/>
                    </a:xfrm>
                    <a:prstGeom prst="rect">
                      <a:avLst/>
                    </a:prstGeom>
                    <a:ln/>
                  </pic:spPr>
                </pic:pic>
              </a:graphicData>
            </a:graphic>
          </wp:inline>
        </w:drawing>
      </w:r>
      <w:r w:rsidRPr="00247163">
        <w:rPr>
          <w:noProof/>
        </w:rPr>
        <mc:AlternateContent>
          <mc:Choice Requires="wps">
            <w:drawing>
              <wp:anchor distT="0" distB="0" distL="114300" distR="114300" simplePos="0" relativeHeight="251661312" behindDoc="0" locked="0" layoutInCell="1" hidden="0" allowOverlap="1" wp14:anchorId="2AB1C995" wp14:editId="018F1DD8">
                <wp:simplePos x="0" y="0"/>
                <wp:positionH relativeFrom="column">
                  <wp:posOffset>1451459</wp:posOffset>
                </wp:positionH>
                <wp:positionV relativeFrom="paragraph">
                  <wp:posOffset>872035</wp:posOffset>
                </wp:positionV>
                <wp:extent cx="3667125" cy="438895"/>
                <wp:effectExtent l="0" t="0" r="0" b="0"/>
                <wp:wrapNone/>
                <wp:docPr id="2" name="Rectángulo redondeado 2"/>
                <wp:cNvGraphicFramePr/>
                <a:graphic xmlns:a="http://schemas.openxmlformats.org/drawingml/2006/main">
                  <a:graphicData uri="http://schemas.microsoft.com/office/word/2010/wordprocessingShape">
                    <wps:wsp>
                      <wps:cNvSpPr/>
                      <wps:spPr>
                        <a:xfrm>
                          <a:off x="3517200" y="3565315"/>
                          <a:ext cx="3657600" cy="429370"/>
                        </a:xfrm>
                        <a:prstGeom prst="roundRect">
                          <a:avLst>
                            <a:gd name="adj" fmla="val 16667"/>
                          </a:avLst>
                        </a:prstGeom>
                        <a:noFill/>
                        <a:ln w="9525" cap="flat" cmpd="sng">
                          <a:solidFill>
                            <a:srgbClr val="FF0000"/>
                          </a:solidFill>
                          <a:prstDash val="solid"/>
                          <a:round/>
                          <a:headEnd type="none" w="sm" len="sm"/>
                          <a:tailEnd type="none" w="sm" len="sm"/>
                        </a:ln>
                      </wps:spPr>
                      <wps:txbx>
                        <w:txbxContent>
                          <w:p w14:paraId="3A1B14EE" w14:textId="77777777" w:rsidR="000101BB" w:rsidRDefault="000101BB">
                            <w:pPr>
                              <w:textDirection w:val="btLr"/>
                            </w:pPr>
                          </w:p>
                        </w:txbxContent>
                      </wps:txbx>
                      <wps:bodyPr spcFirstLastPara="1" wrap="square" lIns="91425" tIns="91425" rIns="91425" bIns="91425" anchor="ctr" anchorCtr="0">
                        <a:noAutofit/>
                      </wps:bodyPr>
                    </wps:wsp>
                  </a:graphicData>
                </a:graphic>
              </wp:anchor>
            </w:drawing>
          </mc:Choice>
          <mc:Fallback>
            <w:pict>
              <v:roundrect w14:anchorId="2AB1C995" id="Rectángulo redondeado 2" o:spid="_x0000_s1029" style="position:absolute;left:0;text-align:left;margin-left:114.3pt;margin-top:68.65pt;width:288.75pt;height:34.5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" filled="f" strokecolor="red">
                <v:stroke startarrowwidth="narrow" startarrowlength="short" endarrowwidth="narrow" endarrowlength="short"/>
                <v:textbox inset="2.53958mm,2.53958mm,2.53958mm,2.53958mm">
                  <w:txbxContent>
                    <w:p w14:paraId="3A1B14EE" w14:textId="77777777" w:rsidR="000101BB" w:rsidRDefault="000101BB">
                      <w:pPr>
                        <w:textDirection w:val="btLr"/>
                      </w:pPr>
                    </w:p>
                  </w:txbxContent>
                </v:textbox>
              </v:roundrect>
            </w:pict>
          </mc:Fallback>
        </mc:AlternateContent>
      </w:r>
    </w:p>
    <w:p w14:paraId="51D79320" w14:textId="77777777" w:rsidR="002F653A" w:rsidRPr="00247163" w:rsidRDefault="00CB53E8">
      <w:pPr>
        <w:spacing w:line="360" w:lineRule="auto"/>
        <w:ind w:right="-596"/>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Siendo el vehículo referido en la primera imagen el que fue reconocido por el Sujeto Obligado como parte de su inventario, pero documenta el abasto de combustible para otras tres unidades, por lo que, por cuanto hace a la relación de unidades referida en el punto </w:t>
      </w:r>
      <w:r w:rsidRPr="00247163">
        <w:rPr>
          <w:rFonts w:ascii="Palatino Linotype" w:eastAsia="Palatino Linotype" w:hAnsi="Palatino Linotype" w:cs="Palatino Linotype"/>
          <w:i/>
          <w:iCs/>
          <w:color w:val="000000"/>
        </w:rPr>
        <w:t xml:space="preserve">e </w:t>
      </w:r>
      <w:r w:rsidRPr="00247163">
        <w:rPr>
          <w:rFonts w:ascii="Palatino Linotype" w:eastAsia="Palatino Linotype" w:hAnsi="Palatino Linotype" w:cs="Palatino Linotype"/>
          <w:color w:val="000000"/>
        </w:rPr>
        <w:t xml:space="preserve">se tiene por colmada la solicitud del ahora recurrente al haber admitido  el Sujeto Obligado su resguardo y haber erogado recursos para abastecimiento de combustible, incluyendo adicionalmente datos de identificación. </w:t>
      </w:r>
    </w:p>
    <w:p w14:paraId="56340BCA" w14:textId="77777777" w:rsidR="002F653A" w:rsidRPr="00247163" w:rsidRDefault="002F653A">
      <w:pPr>
        <w:pBdr>
          <w:top w:val="nil"/>
          <w:left w:val="nil"/>
          <w:bottom w:val="nil"/>
          <w:right w:val="nil"/>
          <w:between w:val="nil"/>
        </w:pBdr>
        <w:ind w:left="720" w:right="-596"/>
        <w:rPr>
          <w:rFonts w:ascii="Palatino Linotype" w:eastAsia="Palatino Linotype" w:hAnsi="Palatino Linotype" w:cs="Palatino Linotype"/>
          <w:color w:val="000000"/>
        </w:rPr>
      </w:pPr>
    </w:p>
    <w:p w14:paraId="25B52411" w14:textId="77777777" w:rsidR="002F653A" w:rsidRPr="00247163" w:rsidRDefault="00CB53E8">
      <w:pPr>
        <w:numPr>
          <w:ilvl w:val="0"/>
          <w:numId w:val="12"/>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Ahora bien, el Criterio de Interpretación, con clave de control SO/002/2017, del Instituto Nacional de Transparencia, Acceso a la Información y Protección de Datos Personales, mismo que establece que todo acto administrativo debe apegarse al </w:t>
      </w:r>
      <w:r w:rsidRPr="00247163">
        <w:rPr>
          <w:rFonts w:ascii="Palatino Linotype" w:eastAsia="Palatino Linotype" w:hAnsi="Palatino Linotype" w:cs="Palatino Linotype"/>
          <w:b/>
          <w:bCs/>
          <w:color w:val="000000"/>
        </w:rPr>
        <w:t>principio de exhaustividad</w:t>
      </w:r>
      <w:r w:rsidRPr="00247163">
        <w:rPr>
          <w:rFonts w:ascii="Palatino Linotype" w:eastAsia="Palatino Linotype" w:hAnsi="Palatino Linotype" w:cs="Palatino Linotype"/>
          <w:color w:val="000000"/>
        </w:rPr>
        <w:t xml:space="preserve">,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w:t>
      </w:r>
      <w:r w:rsidRPr="00247163">
        <w:rPr>
          <w:rFonts w:ascii="Palatino Linotype" w:eastAsia="Palatino Linotype" w:hAnsi="Palatino Linotype" w:cs="Palatino Linotype"/>
        </w:rPr>
        <w:t>manera</w:t>
      </w:r>
      <w:r w:rsidRPr="00247163">
        <w:rPr>
          <w:rFonts w:ascii="Palatino Linotype" w:eastAsia="Palatino Linotype" w:hAnsi="Palatino Linotype" w:cs="Palatino Linotype"/>
          <w:color w:val="000000"/>
        </w:rPr>
        <w:t xml:space="preserve"> íntegra- sobre todos los puntos requeridos, a fin de satisfacer la solicitud correspondiente.</w:t>
      </w:r>
    </w:p>
    <w:p w14:paraId="3135784B" w14:textId="77777777" w:rsidR="002F653A" w:rsidRPr="00247163" w:rsidRDefault="002F653A">
      <w:pPr>
        <w:spacing w:line="360" w:lineRule="auto"/>
        <w:ind w:right="27"/>
        <w:rPr>
          <w:rFonts w:ascii="Palatino Linotype" w:eastAsia="Palatino Linotype" w:hAnsi="Palatino Linotype" w:cs="Palatino Linotype"/>
          <w:color w:val="000000"/>
        </w:rPr>
      </w:pPr>
    </w:p>
    <w:p w14:paraId="6B54A019" w14:textId="77777777" w:rsidR="002F653A" w:rsidRPr="00247163" w:rsidRDefault="00CB53E8">
      <w:pPr>
        <w:pStyle w:val="Puesto"/>
        <w:ind w:left="1134" w:right="822"/>
        <w:rPr>
          <w:rFonts w:ascii="Palatino Linotype" w:eastAsia="Palatino Linotype" w:hAnsi="Palatino Linotype" w:cs="Palatino Linotype"/>
          <w:b w:val="0"/>
          <w:bCs w:val="0"/>
          <w:i/>
          <w:iCs/>
          <w:sz w:val="24"/>
          <w:szCs w:val="24"/>
        </w:rPr>
      </w:pPr>
      <w:r w:rsidRPr="00247163">
        <w:rPr>
          <w:rFonts w:ascii="Palatino Linotype" w:eastAsia="Palatino Linotype" w:hAnsi="Palatino Linotype" w:cs="Palatino Linotype"/>
          <w:i/>
          <w:iCs/>
          <w:sz w:val="24"/>
          <w:szCs w:val="24"/>
        </w:rPr>
        <w:lastRenderedPageBreak/>
        <w:t xml:space="preserve">“CONGRUENCIA Y EXHAUSTIVIDAD. SUS ALCANCES PARA GARANTIZAR EL DERECHO DE ACCESO A LA INFORMACIÓN. </w:t>
      </w:r>
    </w:p>
    <w:p w14:paraId="288ECA88" w14:textId="77777777" w:rsidR="002F653A" w:rsidRPr="00247163" w:rsidRDefault="00CB53E8">
      <w:pPr>
        <w:pStyle w:val="Puesto"/>
        <w:ind w:left="1134" w:right="822"/>
        <w:jc w:val="both"/>
        <w:rPr>
          <w:rFonts w:ascii="Palatino Linotype" w:eastAsia="Palatino Linotype" w:hAnsi="Palatino Linotype" w:cs="Palatino Linotype"/>
          <w:b w:val="0"/>
          <w:bCs w:val="0"/>
          <w:i/>
          <w:iCs/>
          <w:sz w:val="24"/>
          <w:szCs w:val="24"/>
        </w:rPr>
      </w:pPr>
      <w:r w:rsidRPr="00247163">
        <w:rPr>
          <w:rFonts w:ascii="Palatino Linotype" w:eastAsia="Palatino Linotype" w:hAnsi="Palatino Linotype" w:cs="Palatino Linotype"/>
          <w:b w:val="0"/>
          <w:bCs w:val="0"/>
          <w:i/>
          <w:iCs/>
          <w:sz w:val="24"/>
          <w:szCs w:val="24"/>
        </w:rPr>
        <w:t>De conformidad con el artículo 3 de la Ley Federal de Procedimiento Administrativo, de aplicación supletoria a la Ley Federal de Transparencia y Acceso a la Información Pública, en términos de su artículo 7</w:t>
      </w:r>
      <w:r w:rsidRPr="00247163">
        <w:rPr>
          <w:rFonts w:ascii="Palatino Linotype" w:eastAsia="Palatino Linotype" w:hAnsi="Palatino Linotype" w:cs="Palatino Linotype"/>
          <w:b w:val="0"/>
          <w:bCs w:val="0"/>
          <w:i/>
          <w:iCs/>
          <w:sz w:val="24"/>
          <w:szCs w:val="24"/>
          <w:u w:val="single"/>
        </w:rPr>
        <w:t>; todo acto administrativo debe cumplir con los principios de congruencia y exhaustividad.</w:t>
      </w:r>
      <w:r w:rsidRPr="00247163">
        <w:rPr>
          <w:rFonts w:ascii="Palatino Linotype" w:eastAsia="Palatino Linotype" w:hAnsi="Palatino Linotype" w:cs="Palatino Linotype"/>
          <w:b w:val="0"/>
          <w:bCs w:val="0"/>
          <w:i/>
          <w:iCs/>
          <w:sz w:val="24"/>
          <w:szCs w:val="24"/>
        </w:rPr>
        <w:t xml:space="preserve"> Para el efectivo ejercicio del derecho de acceso a la información, la congruencia implica que exista concordancia entre el requerimiento formulado por el particular y la respuesta proporcionada por el sujeto obligado; mientras que la </w:t>
      </w:r>
      <w:r w:rsidRPr="00247163">
        <w:rPr>
          <w:rFonts w:ascii="Palatino Linotype" w:eastAsia="Palatino Linotype" w:hAnsi="Palatino Linotype" w:cs="Palatino Linotype"/>
          <w:b w:val="0"/>
          <w:bCs w:val="0"/>
          <w:i/>
          <w:iCs/>
          <w:sz w:val="24"/>
          <w:szCs w:val="24"/>
          <w:u w:val="single"/>
        </w:rPr>
        <w:t>exhaustividad significa</w:t>
      </w:r>
      <w:r w:rsidRPr="00247163">
        <w:rPr>
          <w:rFonts w:ascii="Palatino Linotype" w:eastAsia="Palatino Linotype" w:hAnsi="Palatino Linotype" w:cs="Palatino Linotype"/>
          <w:b w:val="0"/>
          <w:bCs w:val="0"/>
          <w:i/>
          <w:iCs/>
          <w:sz w:val="24"/>
          <w:szCs w:val="24"/>
        </w:rPr>
        <w:t xml:space="preserve"> que </w:t>
      </w:r>
      <w:r w:rsidRPr="00247163">
        <w:rPr>
          <w:rFonts w:ascii="Palatino Linotype" w:eastAsia="Palatino Linotype" w:hAnsi="Palatino Linotype" w:cs="Palatino Linotype"/>
          <w:b w:val="0"/>
          <w:bCs w:val="0"/>
          <w:i/>
          <w:iCs/>
          <w:sz w:val="24"/>
          <w:szCs w:val="24"/>
          <w:u w:val="single"/>
        </w:rPr>
        <w:t>dicha respuesta se refiera expresamente a cada uno de los puntos solicitados</w:t>
      </w:r>
      <w:r w:rsidRPr="00247163">
        <w:rPr>
          <w:rFonts w:ascii="Palatino Linotype" w:eastAsia="Palatino Linotype" w:hAnsi="Palatino Linotype" w:cs="Palatino Linotype"/>
          <w:b w:val="0"/>
          <w:bCs w:val="0"/>
          <w:i/>
          <w:iCs/>
          <w:sz w:val="24"/>
          <w:szCs w:val="24"/>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8FC892B" w14:textId="77777777" w:rsidR="002F653A" w:rsidRPr="00247163" w:rsidRDefault="00CB53E8">
      <w:pPr>
        <w:pStyle w:val="Puesto"/>
        <w:ind w:left="1134" w:right="822"/>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RRA 0003/16 Comisión Nacional de las Zonas Áridas. 29 de junio de 2016. Por unanimidad. Comisionado Ponente Oscar Mauricio Guerra Ford. </w:t>
      </w:r>
    </w:p>
    <w:p w14:paraId="5B26EE37" w14:textId="77777777" w:rsidR="002F653A" w:rsidRPr="00247163" w:rsidRDefault="00CB53E8">
      <w:pPr>
        <w:pStyle w:val="Puesto"/>
        <w:ind w:left="1134" w:right="822"/>
        <w:rPr>
          <w:rFonts w:ascii="Palatino Linotype" w:eastAsia="Palatino Linotype" w:hAnsi="Palatino Linotype" w:cs="Palatino Linotype"/>
          <w:i/>
          <w:iCs/>
          <w:sz w:val="24"/>
          <w:szCs w:val="24"/>
        </w:rPr>
      </w:pPr>
      <w:r w:rsidRPr="00247163">
        <w:rPr>
          <w:rFonts w:ascii="Palatino Linotype" w:eastAsia="Palatino Linotype" w:hAnsi="Palatino Linotype" w:cs="Palatino Linotype"/>
          <w:i/>
          <w:iCs/>
          <w:sz w:val="24"/>
          <w:szCs w:val="24"/>
        </w:rPr>
        <w:t xml:space="preserve">RRA 0100/16. Sindicato Nacional de Trabajadores de la Educación. 13 de julio de 2016. Por unanimidad. Comisionada Ponente Areli Cano Guadiana. </w:t>
      </w:r>
    </w:p>
    <w:p w14:paraId="7F8DABA3" w14:textId="77777777" w:rsidR="002F653A" w:rsidRPr="00247163" w:rsidRDefault="00CB53E8">
      <w:pPr>
        <w:pStyle w:val="Puesto"/>
        <w:ind w:left="1134" w:right="822"/>
        <w:rPr>
          <w:rFonts w:ascii="Palatino Linotype" w:eastAsia="Palatino Linotype" w:hAnsi="Palatino Linotype" w:cs="Palatino Linotype"/>
          <w:b w:val="0"/>
          <w:bCs w:val="0"/>
          <w:i/>
          <w:iCs/>
          <w:sz w:val="24"/>
          <w:szCs w:val="24"/>
        </w:rPr>
      </w:pPr>
      <w:r w:rsidRPr="00247163">
        <w:rPr>
          <w:rFonts w:ascii="Palatino Linotype" w:eastAsia="Palatino Linotype" w:hAnsi="Palatino Linotype" w:cs="Palatino Linotype"/>
          <w:i/>
          <w:iCs/>
          <w:sz w:val="24"/>
          <w:szCs w:val="24"/>
        </w:rPr>
        <w:t>RRA 1419/16 Secretaría de Educación Pública. 14 de septiembre de 2016. Por unanimidad. Comisionado Ponente Rosendoevgueni Monterrey Chepov.” (Sic)</w:t>
      </w:r>
    </w:p>
    <w:p w14:paraId="78FE8F7C" w14:textId="77777777" w:rsidR="002F653A" w:rsidRPr="00247163" w:rsidRDefault="002F653A">
      <w:pPr>
        <w:ind w:right="27"/>
        <w:rPr>
          <w:rFonts w:ascii="Palatino Linotype" w:eastAsia="Palatino Linotype" w:hAnsi="Palatino Linotype" w:cs="Palatino Linotype"/>
        </w:rPr>
      </w:pPr>
    </w:p>
    <w:p w14:paraId="58D3913D" w14:textId="77777777" w:rsidR="002F653A" w:rsidRPr="00247163" w:rsidRDefault="00CB53E8">
      <w:pPr>
        <w:numPr>
          <w:ilvl w:val="0"/>
          <w:numId w:val="12"/>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En consecuencia se concluye que la respuesta proporcionada por dicha autoridad, en los puntos referidos (</w:t>
      </w:r>
      <w:r w:rsidRPr="00247163">
        <w:rPr>
          <w:rFonts w:ascii="Palatino Linotype" w:eastAsia="Palatino Linotype" w:hAnsi="Palatino Linotype" w:cs="Palatino Linotype"/>
          <w:i/>
          <w:iCs/>
          <w:color w:val="000000"/>
        </w:rPr>
        <w:t>exceptuando el punto e)</w:t>
      </w:r>
      <w:r w:rsidRPr="00247163">
        <w:rPr>
          <w:rFonts w:ascii="Palatino Linotype" w:eastAsia="Palatino Linotype" w:hAnsi="Palatino Linotype" w:cs="Palatino Linotype"/>
          <w:color w:val="000000"/>
        </w:rPr>
        <w:t xml:space="preserve"> no satisface el derecho de acceso a la información de </w:t>
      </w:r>
      <w:r w:rsidRPr="00247163">
        <w:rPr>
          <w:rFonts w:ascii="Palatino Linotype" w:eastAsia="Palatino Linotype" w:hAnsi="Palatino Linotype" w:cs="Palatino Linotype"/>
          <w:b/>
          <w:bCs/>
          <w:color w:val="000000"/>
        </w:rPr>
        <w:t>LA PARTE RECURRENTE</w:t>
      </w:r>
      <w:r w:rsidRPr="00247163">
        <w:rPr>
          <w:rFonts w:ascii="Palatino Linotype" w:eastAsia="Palatino Linotype" w:hAnsi="Palatino Linotype" w:cs="Palatino Linotype"/>
          <w:color w:val="000000"/>
        </w:rPr>
        <w:t xml:space="preserve">, por lo tanto resulta dable ordenar previa búsqueda exhaustiva </w:t>
      </w:r>
      <w:r w:rsidRPr="00247163">
        <w:rPr>
          <w:rFonts w:ascii="Palatino Linotype" w:eastAsia="Palatino Linotype" w:hAnsi="Palatino Linotype" w:cs="Palatino Linotype"/>
          <w:color w:val="000000"/>
        </w:rPr>
        <w:lastRenderedPageBreak/>
        <w:t xml:space="preserve">y razonable la entrega del soporte documental en donde obre la información peticionada por </w:t>
      </w:r>
      <w:r w:rsidRPr="00247163">
        <w:rPr>
          <w:rFonts w:ascii="Palatino Linotype" w:eastAsia="Palatino Linotype" w:hAnsi="Palatino Linotype" w:cs="Palatino Linotype"/>
          <w:b/>
          <w:bCs/>
          <w:color w:val="000000"/>
        </w:rPr>
        <w:t xml:space="preserve">LA PARTE RECURRENTE, </w:t>
      </w:r>
      <w:r w:rsidRPr="00247163">
        <w:rPr>
          <w:rFonts w:ascii="Palatino Linotype" w:eastAsia="Palatino Linotype" w:hAnsi="Palatino Linotype" w:cs="Palatino Linotype"/>
          <w:color w:val="000000"/>
        </w:rPr>
        <w:t>en versión pública de ser procedente, en apego a los artículos 12, 160 y 162 de la Ley de Transparencia y Acceso a la Información Pública del Estado de México y Municipios.</w:t>
      </w:r>
    </w:p>
    <w:p w14:paraId="4777C17A" w14:textId="77777777" w:rsidR="002F653A" w:rsidRPr="00247163" w:rsidRDefault="002F653A">
      <w:pPr>
        <w:pBdr>
          <w:top w:val="nil"/>
          <w:left w:val="nil"/>
          <w:bottom w:val="nil"/>
          <w:right w:val="nil"/>
          <w:between w:val="nil"/>
        </w:pBdr>
        <w:ind w:left="720" w:right="-596"/>
        <w:rPr>
          <w:rFonts w:ascii="Palatino Linotype" w:eastAsia="Palatino Linotype" w:hAnsi="Palatino Linotype" w:cs="Palatino Linotype"/>
          <w:color w:val="000000"/>
        </w:rPr>
      </w:pPr>
    </w:p>
    <w:p w14:paraId="584649DF" w14:textId="77777777" w:rsidR="00FA3F8F" w:rsidRPr="00247163" w:rsidRDefault="00FA3F8F" w:rsidP="00D42D1A">
      <w:pPr>
        <w:numPr>
          <w:ilvl w:val="0"/>
          <w:numId w:val="35"/>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iCs/>
          <w:color w:val="000000"/>
        </w:rPr>
        <w:t xml:space="preserve">No obstante lo anterior es de señalar que </w:t>
      </w:r>
      <w:r w:rsidRPr="00247163">
        <w:rPr>
          <w:rFonts w:ascii="Palatino Linotype" w:eastAsia="Palatino Linotype" w:hAnsi="Palatino Linotype" w:cs="Palatino Linotype"/>
          <w:color w:val="000000"/>
        </w:rPr>
        <w:t xml:space="preserve">los datos personales refieren aquella información relativa al individuo, es información que lo identifica, le da identidad y lo describe, pero además precisan su origen, edad, lugar de residencia, trayectoria académica, laboral o profesional. También describen aspectos más sensibles o delicados de la persona, como su forma de pensar, </w:t>
      </w:r>
      <w:r w:rsidRPr="00247163">
        <w:rPr>
          <w:rFonts w:ascii="Palatino Linotype" w:eastAsia="Palatino Linotype" w:hAnsi="Palatino Linotype" w:cs="Palatino Linotype"/>
          <w:b/>
          <w:color w:val="000000"/>
        </w:rPr>
        <w:t>estado de salud</w:t>
      </w:r>
      <w:r w:rsidRPr="00247163">
        <w:rPr>
          <w:rFonts w:ascii="Palatino Linotype" w:eastAsia="Palatino Linotype" w:hAnsi="Palatino Linotype" w:cs="Palatino Linotype"/>
          <w:color w:val="000000"/>
        </w:rPr>
        <w:t>, sus características físicas, opiniones políticas, creencias o convicciones religiosas, entre otros.</w:t>
      </w:r>
    </w:p>
    <w:p w14:paraId="1B8CE713" w14:textId="77777777" w:rsidR="00FA3F8F" w:rsidRPr="00247163" w:rsidRDefault="00FA3F8F" w:rsidP="00FA3F8F">
      <w:pPr>
        <w:pBdr>
          <w:top w:val="nil"/>
          <w:left w:val="nil"/>
          <w:bottom w:val="nil"/>
          <w:right w:val="nil"/>
          <w:between w:val="nil"/>
        </w:pBdr>
        <w:ind w:left="708" w:right="-596"/>
        <w:rPr>
          <w:rFonts w:ascii="Palatino Linotype" w:eastAsia="Palatino Linotype" w:hAnsi="Palatino Linotype" w:cs="Palatino Linotype"/>
          <w:color w:val="000000"/>
        </w:rPr>
      </w:pPr>
    </w:p>
    <w:p w14:paraId="07898F6F" w14:textId="77777777" w:rsidR="00597553" w:rsidRDefault="00FA3F8F" w:rsidP="00D42D1A">
      <w:pPr>
        <w:pStyle w:val="Prrafodelista"/>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color w:val="000000"/>
        </w:rPr>
        <w:t xml:space="preserve">Por lo que </w:t>
      </w:r>
      <w:r w:rsidRPr="00247163">
        <w:rPr>
          <w:rFonts w:ascii="Palatino Linotype" w:eastAsia="Palatino Linotype" w:hAnsi="Palatino Linotype" w:cs="Palatino Linotype"/>
          <w:b/>
          <w:color w:val="000000"/>
        </w:rPr>
        <w:t>Estado de Salud y datos clínicos relativos son considerados como datos sensibles</w:t>
      </w:r>
      <w:r w:rsidRPr="00247163">
        <w:rPr>
          <w:rFonts w:eastAsia="Palatino Linotype"/>
          <w:b/>
          <w:vertAlign w:val="superscript"/>
        </w:rPr>
        <w:footnoteReference w:id="6"/>
      </w:r>
      <w:r w:rsidRPr="00247163">
        <w:rPr>
          <w:rFonts w:ascii="Palatino Linotype" w:eastAsia="Palatino Linotype" w:hAnsi="Palatino Linotype" w:cs="Palatino Linotype"/>
          <w:color w:val="000000"/>
        </w:rPr>
        <w:t xml:space="preserve"> referentes a la esfera de su titular, cuya utilización indebida puede dar origen a discriminación o conllevar un riesgo grave para éste, requiriendo máxima protecció</w:t>
      </w:r>
      <w:r w:rsidR="00597553" w:rsidRPr="00247163">
        <w:rPr>
          <w:rFonts w:ascii="Palatino Linotype" w:eastAsia="Palatino Linotype" w:hAnsi="Palatino Linotype" w:cs="Palatino Linotype"/>
          <w:color w:val="000000"/>
        </w:rPr>
        <w:t xml:space="preserve">n por parte del Sujeto Obligado, </w:t>
      </w:r>
      <w:r w:rsidR="00597553" w:rsidRPr="00247163">
        <w:rPr>
          <w:rFonts w:ascii="Palatino Linotype" w:eastAsia="Palatino Linotype" w:hAnsi="Palatino Linotype" w:cs="Palatino Linotype"/>
        </w:rPr>
        <w:t xml:space="preserve">de esta manera, las bitácoras y expedientes </w:t>
      </w:r>
      <w:r w:rsidR="00B330F5" w:rsidRPr="00247163">
        <w:rPr>
          <w:rFonts w:ascii="Palatino Linotype" w:eastAsia="Palatino Linotype" w:hAnsi="Palatino Linotype" w:cs="Palatino Linotype"/>
        </w:rPr>
        <w:t>requerido en el punto doce al tratarse de documentos</w:t>
      </w:r>
      <w:r w:rsidR="00597553" w:rsidRPr="00247163">
        <w:rPr>
          <w:rFonts w:ascii="Palatino Linotype" w:eastAsia="Palatino Linotype" w:hAnsi="Palatino Linotype" w:cs="Palatino Linotype"/>
        </w:rPr>
        <w:t xml:space="preserve"> de naturaleza confidencial que tiene</w:t>
      </w:r>
      <w:r w:rsidR="00B330F5" w:rsidRPr="00247163">
        <w:rPr>
          <w:rFonts w:ascii="Palatino Linotype" w:eastAsia="Palatino Linotype" w:hAnsi="Palatino Linotype" w:cs="Palatino Linotype"/>
        </w:rPr>
        <w:t>n</w:t>
      </w:r>
      <w:r w:rsidR="00597553" w:rsidRPr="00247163">
        <w:rPr>
          <w:rFonts w:ascii="Palatino Linotype" w:eastAsia="Palatino Linotype" w:hAnsi="Palatino Linotype" w:cs="Palatino Linotype"/>
        </w:rPr>
        <w:t xml:space="preserve"> que ver únicamente con la vida privada de las personas, motivo por el cual se considera que actualiza la causal de clasificación establecida en el artículo 143, fracción I, de la Ley de Transparencia y Acceso a la Información Pública del Estado de México y Municipios.</w:t>
      </w:r>
    </w:p>
    <w:p w14:paraId="51BB7181" w14:textId="77777777" w:rsidR="00247163" w:rsidRPr="00247163" w:rsidRDefault="00247163" w:rsidP="00247163">
      <w:pPr>
        <w:pStyle w:val="Prrafodelista"/>
        <w:spacing w:line="360" w:lineRule="auto"/>
        <w:ind w:left="0" w:right="-596"/>
        <w:jc w:val="both"/>
        <w:rPr>
          <w:rFonts w:ascii="Palatino Linotype" w:eastAsia="Palatino Linotype" w:hAnsi="Palatino Linotype" w:cs="Palatino Linotype"/>
        </w:rPr>
      </w:pPr>
    </w:p>
    <w:p w14:paraId="43504C66" w14:textId="77777777" w:rsidR="002F653A" w:rsidRPr="00247163" w:rsidRDefault="00CB53E8" w:rsidP="00B330F5">
      <w:pPr>
        <w:numPr>
          <w:ilvl w:val="0"/>
          <w:numId w:val="36"/>
        </w:numPr>
        <w:pBdr>
          <w:top w:val="nil"/>
          <w:left w:val="nil"/>
          <w:bottom w:val="nil"/>
          <w:right w:val="nil"/>
          <w:between w:val="nil"/>
        </w:pBdr>
        <w:spacing w:after="120" w:line="360" w:lineRule="auto"/>
        <w:ind w:left="0" w:right="-596" w:firstLine="0"/>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color w:val="000000"/>
        </w:rPr>
        <w:t xml:space="preserve">Por cuanto hace a los puntos </w:t>
      </w:r>
      <w:r w:rsidRPr="00247163">
        <w:rPr>
          <w:rFonts w:ascii="Palatino Linotype" w:eastAsia="Palatino Linotype" w:hAnsi="Palatino Linotype" w:cs="Palatino Linotype"/>
          <w:i/>
          <w:iCs/>
          <w:color w:val="000000"/>
        </w:rPr>
        <w:t>a, b y 14</w:t>
      </w:r>
      <w:r w:rsidRPr="00247163">
        <w:rPr>
          <w:rFonts w:ascii="Palatino Linotype" w:eastAsia="Palatino Linotype" w:hAnsi="Palatino Linotype" w:cs="Palatino Linotype"/>
          <w:color w:val="000000"/>
        </w:rPr>
        <w:t xml:space="preserve">  el </w:t>
      </w:r>
      <w:r w:rsidRPr="00247163">
        <w:rPr>
          <w:rFonts w:ascii="Palatino Linotype" w:eastAsia="Palatino Linotype" w:hAnsi="Palatino Linotype" w:cs="Palatino Linotype"/>
          <w:i/>
          <w:iCs/>
          <w:color w:val="000000"/>
        </w:rPr>
        <w:t>Código Financiero del Estado de México y Municipios refiere:</w:t>
      </w:r>
    </w:p>
    <w:p w14:paraId="7A8FABEF" w14:textId="77777777" w:rsidR="002F653A" w:rsidRPr="00247163" w:rsidRDefault="00CB53E8">
      <w:pPr>
        <w:spacing w:after="120"/>
        <w:ind w:left="851" w:right="27"/>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lastRenderedPageBreak/>
        <w:t>“Artículo 292</w:t>
      </w:r>
      <w:r w:rsidRPr="00247163">
        <w:rPr>
          <w:rFonts w:ascii="Palatino Linotype" w:eastAsia="Palatino Linotype" w:hAnsi="Palatino Linotype" w:cs="Palatino Linotype"/>
          <w:i/>
          <w:iCs/>
        </w:rPr>
        <w:t xml:space="preserve">.- El Proyecto de Presupuesto de Egresos del Gobierno del Estado de México deberá contribuir a un balance presupuestario sostenible en términos de la legislación en la materia, será elaborado atendiendo el modelo de Presupuesto Basado en Resultados y sujeto a la evaluación del desempeño de sus programas presupuestarios, y se integrará con los recursos que se destinen a los poderes Ejecutivo, Legislativo y Judicial, a los organismos autónomos y a los municipios. </w:t>
      </w:r>
    </w:p>
    <w:p w14:paraId="74C3E994" w14:textId="77777777" w:rsidR="002F653A" w:rsidRPr="00247163" w:rsidRDefault="00CB53E8">
      <w:pPr>
        <w:spacing w:after="120"/>
        <w:ind w:left="851" w:right="27"/>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 xml:space="preserve">Para el caso de los Municipios, el Proyecto de Presupuesto se integrará con los recursos que se destinen al Ayuntamiento y a los organismos municipales. </w:t>
      </w:r>
    </w:p>
    <w:p w14:paraId="1AE4D96A" w14:textId="77777777" w:rsidR="002F653A" w:rsidRPr="00247163" w:rsidRDefault="00CB53E8">
      <w:pPr>
        <w:spacing w:after="120"/>
        <w:ind w:left="851" w:right="27"/>
        <w:jc w:val="both"/>
        <w:rPr>
          <w:rFonts w:ascii="Palatino Linotype" w:eastAsia="Palatino Linotype" w:hAnsi="Palatino Linotype" w:cs="Palatino Linotype"/>
          <w:b/>
          <w:bCs/>
          <w:i/>
          <w:iCs/>
        </w:rPr>
      </w:pPr>
      <w:r w:rsidRPr="00247163">
        <w:rPr>
          <w:rFonts w:ascii="Palatino Linotype" w:eastAsia="Palatino Linotype" w:hAnsi="Palatino Linotype" w:cs="Palatino Linotype"/>
          <w:i/>
          <w:iCs/>
        </w:rPr>
        <w:t>La distribución será conforme a lo siguiente:</w:t>
      </w:r>
    </w:p>
    <w:p w14:paraId="58757AB8" w14:textId="77777777" w:rsidR="002F653A" w:rsidRPr="00247163" w:rsidRDefault="00CB53E8">
      <w:pPr>
        <w:spacing w:after="120"/>
        <w:ind w:left="1134" w:right="27"/>
        <w:jc w:val="both"/>
        <w:rPr>
          <w:rFonts w:ascii="Palatino Linotype" w:eastAsia="Palatino Linotype" w:hAnsi="Palatino Linotype" w:cs="Palatino Linotype"/>
        </w:rPr>
      </w:pPr>
      <w:r w:rsidRPr="00247163">
        <w:rPr>
          <w:rFonts w:ascii="Palatino Linotype" w:eastAsia="Palatino Linotype" w:hAnsi="Palatino Linotype" w:cs="Palatino Linotype"/>
          <w:b/>
          <w:bCs/>
        </w:rPr>
        <w:t>I.</w:t>
      </w:r>
      <w:r w:rsidRPr="00247163">
        <w:rPr>
          <w:rFonts w:ascii="Palatino Linotype" w:eastAsia="Palatino Linotype" w:hAnsi="Palatino Linotype" w:cs="Palatino Linotype"/>
        </w:rPr>
        <w:t xml:space="preserve"> El gasto programable comprende los siguientes capítulos: </w:t>
      </w:r>
    </w:p>
    <w:p w14:paraId="2DF1BC10"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a). 1000 Servicios Personales. </w:t>
      </w:r>
    </w:p>
    <w:p w14:paraId="2DC875C6"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b). 2000 Materiales y Suministros. </w:t>
      </w:r>
    </w:p>
    <w:p w14:paraId="7E5AFD19"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c). 3000 Servicios Generales. </w:t>
      </w:r>
    </w:p>
    <w:p w14:paraId="03ACB5ED"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d). 4000 Transferencias, Asignaciones, Subsidios y otras ayudas. </w:t>
      </w:r>
    </w:p>
    <w:p w14:paraId="13CBF2BB"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 5000 Bienes Muebles, Inmuebles e Intangibles. </w:t>
      </w:r>
    </w:p>
    <w:p w14:paraId="122BBB2A" w14:textId="77777777" w:rsidR="002F653A" w:rsidRPr="00247163" w:rsidRDefault="00CB53E8">
      <w:pPr>
        <w:spacing w:after="120"/>
        <w:ind w:left="1418" w:right="27"/>
        <w:jc w:val="both"/>
        <w:rPr>
          <w:rFonts w:ascii="Palatino Linotype" w:eastAsia="Palatino Linotype" w:hAnsi="Palatino Linotype" w:cs="Palatino Linotype"/>
          <w:b/>
          <w:bCs/>
        </w:rPr>
      </w:pPr>
      <w:r w:rsidRPr="00247163">
        <w:rPr>
          <w:rFonts w:ascii="Palatino Linotype" w:eastAsia="Palatino Linotype" w:hAnsi="Palatino Linotype" w:cs="Palatino Linotype"/>
        </w:rPr>
        <w:t xml:space="preserve">f). 6000 Inversión Pública. </w:t>
      </w:r>
    </w:p>
    <w:p w14:paraId="32B7FBD2"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g). 7000 Inversiones Financieras y otras provisiones. </w:t>
      </w:r>
    </w:p>
    <w:p w14:paraId="57447EA8" w14:textId="77777777" w:rsidR="002F653A" w:rsidRPr="00247163" w:rsidRDefault="00CB53E8">
      <w:pPr>
        <w:spacing w:after="120"/>
        <w:ind w:left="1134" w:right="27"/>
        <w:jc w:val="both"/>
        <w:rPr>
          <w:rFonts w:ascii="Palatino Linotype" w:eastAsia="Palatino Linotype" w:hAnsi="Palatino Linotype" w:cs="Palatino Linotype"/>
        </w:rPr>
      </w:pPr>
      <w:r w:rsidRPr="00247163">
        <w:rPr>
          <w:rFonts w:ascii="Palatino Linotype" w:eastAsia="Palatino Linotype" w:hAnsi="Palatino Linotype" w:cs="Palatino Linotype"/>
          <w:b/>
          <w:bCs/>
        </w:rPr>
        <w:t>II</w:t>
      </w:r>
      <w:r w:rsidRPr="00247163">
        <w:rPr>
          <w:rFonts w:ascii="Palatino Linotype" w:eastAsia="Palatino Linotype" w:hAnsi="Palatino Linotype" w:cs="Palatino Linotype"/>
        </w:rPr>
        <w:t xml:space="preserve">. El gasto no programable comprende los siguientes capítulos: </w:t>
      </w:r>
    </w:p>
    <w:p w14:paraId="79BBC4ED" w14:textId="77777777" w:rsidR="002F653A" w:rsidRPr="00247163" w:rsidRDefault="00CB53E8">
      <w:pP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a). 8000 Participaciones y Aportaciones. </w:t>
      </w:r>
    </w:p>
    <w:p w14:paraId="337EA665" w14:textId="77777777" w:rsidR="002F653A" w:rsidRPr="00247163" w:rsidRDefault="00CB53E8">
      <w:pPr>
        <w:pBdr>
          <w:top w:val="nil"/>
          <w:left w:val="nil"/>
          <w:bottom w:val="nil"/>
          <w:right w:val="nil"/>
          <w:between w:val="nil"/>
        </w:pBdr>
        <w:spacing w:after="120"/>
        <w:ind w:left="1418" w:right="27"/>
        <w:jc w:val="both"/>
        <w:rPr>
          <w:rFonts w:ascii="Palatino Linotype" w:eastAsia="Palatino Linotype" w:hAnsi="Palatino Linotype" w:cs="Palatino Linotype"/>
        </w:rPr>
      </w:pPr>
      <w:r w:rsidRPr="00247163">
        <w:rPr>
          <w:rFonts w:ascii="Palatino Linotype" w:eastAsia="Palatino Linotype" w:hAnsi="Palatino Linotype" w:cs="Palatino Linotype"/>
        </w:rPr>
        <w:t>b). 9000 Deuda Pública.</w:t>
      </w:r>
    </w:p>
    <w:p w14:paraId="1CC2328E" w14:textId="77777777" w:rsidR="00B330F5" w:rsidRPr="00247163" w:rsidRDefault="00B330F5">
      <w:pPr>
        <w:pBdr>
          <w:top w:val="nil"/>
          <w:left w:val="nil"/>
          <w:bottom w:val="nil"/>
          <w:right w:val="nil"/>
          <w:between w:val="nil"/>
        </w:pBdr>
        <w:spacing w:after="120"/>
        <w:ind w:left="1418" w:right="27"/>
        <w:jc w:val="both"/>
        <w:rPr>
          <w:rFonts w:ascii="Palatino Linotype" w:eastAsia="Palatino Linotype" w:hAnsi="Palatino Linotype" w:cs="Palatino Linotype"/>
        </w:rPr>
      </w:pPr>
    </w:p>
    <w:p w14:paraId="611A3E76"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De acuerdo con el Manual para la Planeación, Programación y Presupuesto de Egresos Municipal, para el Ejercicio Fiscal 2025, la definición de los Capítulos de gasto es la siguiente:</w:t>
      </w:r>
    </w:p>
    <w:p w14:paraId="46DB1CA5"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1000 SERVICIOS PERSONALES</w:t>
      </w:r>
      <w:r w:rsidRPr="00247163">
        <w:rPr>
          <w:rFonts w:ascii="Palatino Linotype" w:eastAsia="Palatino Linotype" w:hAnsi="Palatino Linotype" w:cs="Palatino Linotype"/>
          <w:i/>
          <w:iCs/>
        </w:rPr>
        <w:t xml:space="preserve">. 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 </w:t>
      </w:r>
    </w:p>
    <w:p w14:paraId="5EE6AF5F"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lastRenderedPageBreak/>
        <w:t>2000 MATERIALES Y SUMINISTROS</w:t>
      </w:r>
      <w:r w:rsidRPr="00247163">
        <w:rPr>
          <w:rFonts w:ascii="Palatino Linotype" w:eastAsia="Palatino Linotype" w:hAnsi="Palatino Linotype" w:cs="Palatino Linotype"/>
          <w:i/>
          <w:iCs/>
        </w:rPr>
        <w:t xml:space="preserve">. Agrupa las asignaciones destinadas a la adquisición de toda clase de insumos y suministros requeridos para la prestación de bienes y servicios públicos y para el desempeño de las actividades administrativas. </w:t>
      </w:r>
    </w:p>
    <w:p w14:paraId="52E2A9A6"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3000 SERVICIOS GENERALES</w:t>
      </w:r>
      <w:r w:rsidRPr="00247163">
        <w:rPr>
          <w:rFonts w:ascii="Palatino Linotype" w:eastAsia="Palatino Linotype" w:hAnsi="Palatino Linotype" w:cs="Palatino Linotype"/>
          <w:i/>
          <w:iCs/>
        </w:rPr>
        <w:t xml:space="preserve">. Asignaciones destinadas a cubrir el costo de todo tipo de servicios que se contraten con particulares o instituciones del propio sector público; así como los servicios oficiales requeridos para el desempeño de actividades vinculadas con la función pública. </w:t>
      </w:r>
    </w:p>
    <w:p w14:paraId="5C9332D9"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 xml:space="preserve">4000 TRANSFERENCIAS, ASIGNACIONES, SUBSIDIOS Y OTRAS AYUDAS. </w:t>
      </w:r>
      <w:r w:rsidRPr="00247163">
        <w:rPr>
          <w:rFonts w:ascii="Palatino Linotype" w:eastAsia="Palatino Linotype" w:hAnsi="Palatino Linotype" w:cs="Palatino Linotype"/>
          <w:i/>
          <w:iCs/>
        </w:rPr>
        <w:t xml:space="preserve">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 </w:t>
      </w:r>
    </w:p>
    <w:p w14:paraId="16129E1A"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5000 BIENES MUEBLES, INMUEBLES E INTANGIBLES</w:t>
      </w:r>
      <w:r w:rsidRPr="00247163">
        <w:rPr>
          <w:rFonts w:ascii="Palatino Linotype" w:eastAsia="Palatino Linotype" w:hAnsi="Palatino Linotype" w:cs="Palatino Linotype"/>
          <w:i/>
          <w:iCs/>
        </w:rPr>
        <w:t xml:space="preserve">. Agrupa las asignaciones destinadas a la adquisición de toda clase de bienes muebles e inmuebles requeridos en el desempeño de las actividades de los entes públicos. Incluye los pagos por adjudicación, expropiación e indemnización de bienes muebles e inmuebles a favor del Gobierno. </w:t>
      </w:r>
    </w:p>
    <w:p w14:paraId="63481B2B"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6000 INVERSIÓN PÚBLICA</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Asignaciones destinadas a obras por contrato</w:t>
      </w:r>
      <w:r w:rsidRPr="00247163">
        <w:rPr>
          <w:rFonts w:ascii="Palatino Linotype" w:eastAsia="Palatino Linotype" w:hAnsi="Palatino Linotype" w:cs="Palatino Linotype"/>
          <w:i/>
          <w:iCs/>
        </w:rPr>
        <w:t xml:space="preserve"> y proyectos productivos y acciones de fomento. Incluye los gastos en estudios de pre‐inversión y preparación del proyecto.</w:t>
      </w:r>
    </w:p>
    <w:p w14:paraId="604724A6"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7000 INVERSIONES FINANCIERAS Y OTRAS PROVISIONES</w:t>
      </w:r>
      <w:r w:rsidRPr="00247163">
        <w:rPr>
          <w:rFonts w:ascii="Palatino Linotype" w:eastAsia="Palatino Linotype" w:hAnsi="Palatino Linotype" w:cs="Palatino Linotype"/>
          <w:i/>
          <w:iCs/>
        </w:rPr>
        <w:t>. 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w:t>
      </w:r>
    </w:p>
    <w:p w14:paraId="2455E0F4"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lastRenderedPageBreak/>
        <w:t>8000 PARTICIPACIONES Y APORTACIONES.</w:t>
      </w:r>
      <w:r w:rsidRPr="00247163">
        <w:rPr>
          <w:rFonts w:ascii="Palatino Linotype" w:eastAsia="Palatino Linotype" w:hAnsi="Palatino Linotype" w:cs="Palatino Linotype"/>
          <w:i/>
          <w:iCs/>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14:paraId="0DA3B2A8" w14:textId="77777777" w:rsidR="002F653A" w:rsidRPr="00247163" w:rsidRDefault="00CB53E8">
      <w:pPr>
        <w:pBdr>
          <w:top w:val="nil"/>
          <w:left w:val="nil"/>
          <w:bottom w:val="nil"/>
          <w:right w:val="nil"/>
          <w:between w:val="nil"/>
        </w:pBdr>
        <w:spacing w:before="240" w:after="240"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9000 DEUDA PÚBLICA</w:t>
      </w:r>
      <w:r w:rsidRPr="00247163">
        <w:rPr>
          <w:rFonts w:ascii="Palatino Linotype" w:eastAsia="Palatino Linotype" w:hAnsi="Palatino Linotype" w:cs="Palatino Linotype"/>
          <w:i/>
          <w:iCs/>
        </w:rPr>
        <w:t>.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14:paraId="1EFE4273" w14:textId="7CF8AAB9" w:rsidR="00247163" w:rsidRDefault="00CB53E8" w:rsidP="00247163">
      <w:pPr>
        <w:numPr>
          <w:ilvl w:val="0"/>
          <w:numId w:val="36"/>
        </w:numPr>
        <w:pBdr>
          <w:top w:val="nil"/>
          <w:left w:val="nil"/>
          <w:bottom w:val="nil"/>
          <w:right w:val="nil"/>
          <w:between w:val="nil"/>
        </w:pBdr>
        <w:spacing w:before="240"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Por su parte, el Código Financiero del Estado de México, en su artículo 285, señala que el presupuesto de egresos constituye el instrumento jurídico, de política económica y de política de gasto, que aprueba la Legislatura conforme a la iniciativa que presenta el Gobernador, en el cual se establece el ejercicio, control del gasto público y evaluación del desempeño de los Entes Públicos, de acuerdo con su naturaleza jurídica y según corresponda, con base en los objetivos, parámetros e indicadores de desempeño y programas derivados del Plan de Desarrollo del Estado de México, durante el ejercicio fiscal correspondiente y en apego a lo establecido en la legislación aplicable.</w:t>
      </w:r>
    </w:p>
    <w:p w14:paraId="6ABA6A53" w14:textId="77777777" w:rsidR="00247163" w:rsidRPr="00247163" w:rsidRDefault="00247163" w:rsidP="00247163">
      <w:pPr>
        <w:pBdr>
          <w:top w:val="nil"/>
          <w:left w:val="nil"/>
          <w:bottom w:val="nil"/>
          <w:right w:val="nil"/>
          <w:between w:val="nil"/>
        </w:pBdr>
        <w:spacing w:before="240" w:line="360" w:lineRule="auto"/>
        <w:ind w:right="-596"/>
        <w:jc w:val="both"/>
        <w:rPr>
          <w:rFonts w:ascii="Palatino Linotype" w:eastAsia="Palatino Linotype" w:hAnsi="Palatino Linotype" w:cs="Palatino Linotype"/>
          <w:color w:val="000000"/>
        </w:rPr>
      </w:pPr>
    </w:p>
    <w:p w14:paraId="1F25A786" w14:textId="77777777" w:rsidR="002F653A" w:rsidRPr="00247163" w:rsidRDefault="00CB53E8" w:rsidP="00B330F5">
      <w:pPr>
        <w:numPr>
          <w:ilvl w:val="0"/>
          <w:numId w:val="36"/>
        </w:numPr>
        <w:pBdr>
          <w:top w:val="nil"/>
          <w:left w:val="nil"/>
          <w:bottom w:val="nil"/>
          <w:right w:val="nil"/>
          <w:between w:val="nil"/>
        </w:pBdr>
        <w:spacing w:after="240" w:line="360" w:lineRule="auto"/>
        <w:ind w:left="0" w:right="27"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En el mismo sentido, el Manual para la Planeación, Programación y Presupuesto de Egresos Municipal para el ejercicio fiscal 2025, en el marco conceptual, numeral 1.2, define al presupuesto de la siguiente forma:</w:t>
      </w:r>
    </w:p>
    <w:p w14:paraId="029892EE" w14:textId="77777777" w:rsidR="002F653A" w:rsidRPr="00247163" w:rsidRDefault="00CB53E8">
      <w:pPr>
        <w:spacing w:before="120" w:after="120"/>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i/>
          <w:iCs/>
        </w:rPr>
        <w:lastRenderedPageBreak/>
        <w:t xml:space="preserve">“Con base en lo que establece el artículo 285 del Código Financiero del Estado de México y Municipios, el </w:t>
      </w:r>
      <w:r w:rsidRPr="00247163">
        <w:rPr>
          <w:rFonts w:ascii="Palatino Linotype" w:eastAsia="Palatino Linotype" w:hAnsi="Palatino Linotype" w:cs="Palatino Linotype"/>
          <w:b/>
          <w:bCs/>
          <w:i/>
          <w:iCs/>
        </w:rPr>
        <w:t>Presupuesto de Egresos Municipal</w:t>
      </w:r>
      <w:r w:rsidRPr="00247163">
        <w:rPr>
          <w:rFonts w:ascii="Palatino Linotype" w:eastAsia="Palatino Linotype" w:hAnsi="Palatino Linotype" w:cs="Palatino Linotype"/>
          <w:i/>
          <w:iCs/>
        </w:rPr>
        <w:t xml:space="preserve"> se conceptualiza como </w:t>
      </w:r>
      <w:r w:rsidRPr="00247163">
        <w:rPr>
          <w:rFonts w:ascii="Palatino Linotype" w:eastAsia="Palatino Linotype" w:hAnsi="Palatino Linotype" w:cs="Palatino Linotype"/>
          <w:b/>
          <w:bCs/>
          <w:i/>
          <w:iCs/>
        </w:rPr>
        <w:t>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 xml:space="preserve">durante el ejercicio fiscal correspondiente. </w:t>
      </w:r>
    </w:p>
    <w:p w14:paraId="3249605F" w14:textId="77777777" w:rsidR="002F653A" w:rsidRPr="00247163" w:rsidRDefault="00CB53E8">
      <w:pPr>
        <w:spacing w:before="120" w:after="120"/>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Para efecto de este Manual, </w:t>
      </w:r>
      <w:r w:rsidRPr="00247163">
        <w:rPr>
          <w:rFonts w:ascii="Palatino Linotype" w:eastAsia="Palatino Linotype" w:hAnsi="Palatino Linotype" w:cs="Palatino Linotype"/>
          <w:b/>
          <w:bCs/>
          <w:i/>
          <w:iCs/>
        </w:rPr>
        <w:t xml:space="preserve">el presupuesto es la estimación financiera anticipada, generalmente anual, de los ingresos y egresos del gobierno, necesarios para cumplir con los objetivos establecidos en los planes, programas y proyectos determinados. </w:t>
      </w:r>
      <w:r w:rsidRPr="00247163">
        <w:rPr>
          <w:rFonts w:ascii="Palatino Linotype" w:eastAsia="Palatino Linotype" w:hAnsi="Palatino Linotype" w:cs="Palatino Linotype"/>
          <w:i/>
          <w:iCs/>
        </w:rPr>
        <w:t xml:space="preserve">Asimismo, constituye el instrumento operativo básico para la ejecución de las decisiones de política económica y de planeación. </w:t>
      </w:r>
      <w:r w:rsidRPr="00247163">
        <w:rPr>
          <w:rFonts w:ascii="Palatino Linotype" w:eastAsia="Palatino Linotype" w:hAnsi="Palatino Linotype" w:cs="Palatino Linotype"/>
          <w:b/>
          <w:bCs/>
          <w:i/>
          <w:iCs/>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r w:rsidRPr="00247163">
        <w:rPr>
          <w:rFonts w:ascii="Palatino Linotype" w:eastAsia="Palatino Linotype" w:hAnsi="Palatino Linotype" w:cs="Palatino Linotype"/>
          <w:i/>
          <w:iCs/>
        </w:rPr>
        <w:t>.”</w:t>
      </w:r>
    </w:p>
    <w:p w14:paraId="4402E0EC" w14:textId="77777777" w:rsidR="002F653A" w:rsidRPr="00247163" w:rsidRDefault="002F653A">
      <w:pPr>
        <w:spacing w:before="120" w:after="120"/>
        <w:ind w:left="1134" w:right="822"/>
        <w:jc w:val="both"/>
        <w:rPr>
          <w:rFonts w:ascii="Palatino Linotype" w:eastAsia="Palatino Linotype" w:hAnsi="Palatino Linotype" w:cs="Palatino Linotype"/>
          <w:i/>
          <w:iCs/>
        </w:rPr>
      </w:pPr>
    </w:p>
    <w:p w14:paraId="3D7BA85C"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Asimismo, resulta pertinente señalar que, de conformidad con el Manual para la Planeación, Programación y Presupuesto de Egresos Municipal, los formatos que integran el presupuesto de egresos municipal son los siguientes: </w:t>
      </w:r>
    </w:p>
    <w:p w14:paraId="4BF6971B" w14:textId="77777777" w:rsidR="002F653A" w:rsidRPr="00247163" w:rsidRDefault="00CB53E8">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r w:rsidRPr="00247163">
        <w:rPr>
          <w:rFonts w:ascii="Palatino Linotype" w:eastAsia="Palatino Linotype" w:hAnsi="Palatino Linotype" w:cs="Palatino Linotype"/>
          <w:noProof/>
        </w:rPr>
        <w:lastRenderedPageBreak/>
        <w:drawing>
          <wp:inline distT="0" distB="0" distL="0" distR="0" wp14:anchorId="6A788A3C" wp14:editId="2D5C046E">
            <wp:extent cx="4320000" cy="3503743"/>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320000" cy="3503743"/>
                    </a:xfrm>
                    <a:prstGeom prst="rect">
                      <a:avLst/>
                    </a:prstGeom>
                    <a:ln/>
                  </pic:spPr>
                </pic:pic>
              </a:graphicData>
            </a:graphic>
          </wp:inline>
        </w:drawing>
      </w:r>
    </w:p>
    <w:p w14:paraId="4E0FBDCD" w14:textId="77777777" w:rsidR="002F653A" w:rsidRPr="00247163" w:rsidRDefault="002F653A">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p>
    <w:p w14:paraId="4CF136E4"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Para iniciar con el llenado de los formatos que integran el Programa Anual se deberá llenar el formato </w:t>
      </w:r>
      <w:r w:rsidRPr="00247163">
        <w:rPr>
          <w:rFonts w:ascii="Palatino Linotype" w:eastAsia="Palatino Linotype" w:hAnsi="Palatino Linotype" w:cs="Palatino Linotype"/>
          <w:b/>
          <w:bCs/>
          <w:color w:val="000000"/>
        </w:rPr>
        <w:t>PbRM-01a “Dimensión Administrativa del Gasto”,</w:t>
      </w:r>
      <w:r w:rsidRPr="00247163">
        <w:rPr>
          <w:rFonts w:ascii="Palatino Linotype" w:eastAsia="Palatino Linotype" w:hAnsi="Palatino Linotype" w:cs="Palatino Linotype"/>
          <w:color w:val="000000"/>
        </w:rPr>
        <w:t xml:space="preserve"> el cual tiene como propósito identificar a nivel de estructura administrativa los programas y proyectos de los cuales se responsabiliza cada una de las Dependencias y Organismos municipales, se </w:t>
      </w:r>
      <w:r w:rsidRPr="00247163">
        <w:rPr>
          <w:rFonts w:ascii="Palatino Linotype" w:eastAsia="Palatino Linotype" w:hAnsi="Palatino Linotype" w:cs="Palatino Linotype"/>
        </w:rPr>
        <w:t>continúa</w:t>
      </w:r>
      <w:r w:rsidRPr="00247163">
        <w:rPr>
          <w:rFonts w:ascii="Palatino Linotype" w:eastAsia="Palatino Linotype" w:hAnsi="Palatino Linotype" w:cs="Palatino Linotype"/>
          <w:color w:val="000000"/>
        </w:rPr>
        <w:t xml:space="preserve"> con el llenado del formato </w:t>
      </w:r>
      <w:r w:rsidRPr="00247163">
        <w:rPr>
          <w:rFonts w:ascii="Palatino Linotype" w:eastAsia="Palatino Linotype" w:hAnsi="Palatino Linotype" w:cs="Palatino Linotype"/>
          <w:b/>
          <w:bCs/>
          <w:color w:val="000000"/>
        </w:rPr>
        <w:t>PbRM-01b “Descripción del Programa presupuestario”</w:t>
      </w:r>
      <w:r w:rsidRPr="00247163">
        <w:rPr>
          <w:rFonts w:ascii="Palatino Linotype" w:eastAsia="Palatino Linotype" w:hAnsi="Palatino Linotype" w:cs="Palatino Linotype"/>
          <w:color w:val="000000"/>
        </w:rPr>
        <w:t>, mismo que tiene como propósito, identificar el diagnóstico del entorno de responsabilidad del programa respectivo para sustentar y justificar la asignación del presupuesto del ejercicio fiscal 2025, definir los objetivos que se pretenden alcanzar y establecer las estrategias que serán aplicadas para dar viabilidad al logro de dichos objetivos.</w:t>
      </w:r>
    </w:p>
    <w:p w14:paraId="5CD3A55D"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lastRenderedPageBreak/>
        <w:t xml:space="preserve">El formato </w:t>
      </w:r>
      <w:r w:rsidRPr="00247163">
        <w:rPr>
          <w:rFonts w:ascii="Palatino Linotype" w:eastAsia="Palatino Linotype" w:hAnsi="Palatino Linotype" w:cs="Palatino Linotype"/>
          <w:b/>
          <w:bCs/>
        </w:rPr>
        <w:t>PbRM-01c “Programa Anual de Metas de actividad por Proyecto”,</w:t>
      </w:r>
      <w:r w:rsidRPr="00247163">
        <w:rPr>
          <w:rFonts w:ascii="Palatino Linotype" w:eastAsia="Palatino Linotype" w:hAnsi="Palatino Linotype" w:cs="Palatino Linotype"/>
        </w:rPr>
        <w:t xml:space="preserve"> tiene como propósito establecer las acciones sustantivas para cada proyecto, mismas que deberán reflejar la diferencia entre el cumplimiento alcanzado durante el ejercicio fiscal 2024 y las cifras programadas que se estimen alcanzar en el ejercicio 2025.</w:t>
      </w:r>
    </w:p>
    <w:p w14:paraId="2D936833"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formato </w:t>
      </w:r>
      <w:r w:rsidRPr="00247163">
        <w:rPr>
          <w:rFonts w:ascii="Palatino Linotype" w:eastAsia="Palatino Linotype" w:hAnsi="Palatino Linotype" w:cs="Palatino Linotype"/>
          <w:b/>
          <w:bCs/>
        </w:rPr>
        <w:t>PbRM-01d “Ficha técnica de diseño de indicadores estratégicos o de gestión 2025”</w:t>
      </w:r>
      <w:r w:rsidRPr="00247163">
        <w:rPr>
          <w:rFonts w:ascii="Palatino Linotype" w:eastAsia="Palatino Linotype" w:hAnsi="Palatino Linotype" w:cs="Palatino Linotype"/>
        </w:rPr>
        <w:t xml:space="preserve">, tiene como finalidad el registro de los indicadores de gestión que se manejan en el SEGEMUN, mismos que deberán estar vinculados directamente a las metas programadas en el formato </w:t>
      </w:r>
      <w:r w:rsidRPr="00247163">
        <w:rPr>
          <w:rFonts w:ascii="Palatino Linotype" w:eastAsia="Palatino Linotype" w:hAnsi="Palatino Linotype" w:cs="Palatino Linotype"/>
          <w:b/>
          <w:bCs/>
        </w:rPr>
        <w:t>PbRM-01e “Matriz de Indicadores para Resultados por Programa presupuestario y Dependencia General”.</w:t>
      </w:r>
      <w:r w:rsidRPr="00247163">
        <w:rPr>
          <w:rFonts w:ascii="Palatino Linotype" w:eastAsia="Palatino Linotype" w:hAnsi="Palatino Linotype" w:cs="Palatino Linotype"/>
        </w:rPr>
        <w:t xml:space="preserve"> Estos indicadores están alineados a nivel estratégico o de gestión. El formato PbRM-01e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2025.</w:t>
      </w:r>
    </w:p>
    <w:p w14:paraId="310D3297"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formato </w:t>
      </w:r>
      <w:r w:rsidRPr="00247163">
        <w:rPr>
          <w:rFonts w:ascii="Palatino Linotype" w:eastAsia="Palatino Linotype" w:hAnsi="Palatino Linotype" w:cs="Palatino Linotype"/>
          <w:b/>
          <w:bCs/>
        </w:rPr>
        <w:t>PbRM-02a “Calendarización de metas de actividad”,</w:t>
      </w:r>
      <w:r w:rsidRPr="00247163">
        <w:rPr>
          <w:rFonts w:ascii="Palatino Linotype" w:eastAsia="Palatino Linotype" w:hAnsi="Palatino Linotype" w:cs="Palatino Linotype"/>
        </w:rPr>
        <w:t xml:space="preserve"> tiene por objeto identificar trimestralmente la ejecución de la meta anual, la cual proviene del formato PbRM-01c, con el propósito de dar seguimiento a lo programado y tomar en su caso las medidas correctivas para evitar su desviación.</w:t>
      </w:r>
    </w:p>
    <w:p w14:paraId="466AE081"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En el formato </w:t>
      </w:r>
      <w:r w:rsidRPr="00247163">
        <w:rPr>
          <w:rFonts w:ascii="Palatino Linotype" w:eastAsia="Palatino Linotype" w:hAnsi="Palatino Linotype" w:cs="Palatino Linotype"/>
          <w:b/>
          <w:bCs/>
        </w:rPr>
        <w:t xml:space="preserve">PbRM-03a“Presupuesto de Ingresos Detallado”, </w:t>
      </w:r>
      <w:r w:rsidRPr="00247163">
        <w:rPr>
          <w:rFonts w:ascii="Palatino Linotype" w:eastAsia="Palatino Linotype" w:hAnsi="Palatino Linotype" w:cs="Palatino Linotype"/>
        </w:rPr>
        <w:t>se deben</w:t>
      </w:r>
      <w:r w:rsidRPr="00247163">
        <w:rPr>
          <w:rFonts w:ascii="Palatino Linotype" w:eastAsia="Palatino Linotype" w:hAnsi="Palatino Linotype" w:cs="Palatino Linotype"/>
          <w:b/>
          <w:bCs/>
        </w:rPr>
        <w:t xml:space="preserve"> </w:t>
      </w:r>
      <w:r w:rsidRPr="00247163">
        <w:rPr>
          <w:rFonts w:ascii="Palatino Linotype" w:eastAsia="Palatino Linotype" w:hAnsi="Palatino Linotype" w:cs="Palatino Linotype"/>
        </w:rPr>
        <w:t xml:space="preserve">registrar los ingresos que se estiman recaudar para el siguiente ejercicio, antes de la publicación de la Ley de Ingresos, Participaciones Federales y Programas Federales y Estatales, el </w:t>
      </w:r>
      <w:r w:rsidRPr="00247163">
        <w:rPr>
          <w:rFonts w:ascii="Palatino Linotype" w:eastAsia="Palatino Linotype" w:hAnsi="Palatino Linotype" w:cs="Palatino Linotype"/>
        </w:rPr>
        <w:lastRenderedPageBreak/>
        <w:t>cual servirá como base para comunicar los techos financieros a cada una de las Dependencias Generales.</w:t>
      </w:r>
    </w:p>
    <w:p w14:paraId="0FE7AAB1"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formato </w:t>
      </w:r>
      <w:r w:rsidRPr="00247163">
        <w:rPr>
          <w:rFonts w:ascii="Palatino Linotype" w:eastAsia="Palatino Linotype" w:hAnsi="Palatino Linotype" w:cs="Palatino Linotype"/>
          <w:b/>
          <w:bCs/>
        </w:rPr>
        <w:t>PbRM-03b “Carátula de Presupuesto de Ingresos”</w:t>
      </w:r>
      <w:r w:rsidRPr="00247163">
        <w:rPr>
          <w:rFonts w:ascii="Palatino Linotype" w:eastAsia="Palatino Linotype" w:hAnsi="Palatino Linotype" w:cs="Palatino Linotype"/>
        </w:rPr>
        <w:t xml:space="preserve"> tiene por objeto presentar a nivel capítulo el total del Presupuesto Autorizado de Ingresos del Municipio para el ejercicio presupuestal. El cual se integra con los datos globales del formato PbRM 03a Ingreso detallado.</w:t>
      </w:r>
    </w:p>
    <w:p w14:paraId="0C8DDA62" w14:textId="4DF071B5" w:rsidR="00247163" w:rsidRDefault="00CB53E8" w:rsidP="00247163">
      <w:pPr>
        <w:numPr>
          <w:ilvl w:val="0"/>
          <w:numId w:val="36"/>
        </w:numPr>
        <w:pBdr>
          <w:top w:val="nil"/>
          <w:left w:val="nil"/>
          <w:bottom w:val="nil"/>
          <w:right w:val="nil"/>
          <w:between w:val="nil"/>
        </w:pBdr>
        <w:spacing w:before="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En el formato</w:t>
      </w:r>
      <w:r w:rsidRPr="00247163">
        <w:rPr>
          <w:rFonts w:ascii="Palatino Linotype" w:eastAsia="Palatino Linotype" w:hAnsi="Palatino Linotype" w:cs="Palatino Linotype"/>
          <w:b/>
          <w:bCs/>
        </w:rPr>
        <w:t xml:space="preserve"> PbRM-04a “Presupuesto de Egresos Detallado" </w:t>
      </w:r>
      <w:r w:rsidRPr="00247163">
        <w:rPr>
          <w:rFonts w:ascii="Palatino Linotype" w:eastAsia="Palatino Linotype" w:hAnsi="Palatino Linotype" w:cs="Palatino Linotype"/>
        </w:rPr>
        <w:t>se identificar el gasto total según el clasificador por objeto del gasto y su programación durante el ejercicio presupuestal correspondiente.</w:t>
      </w:r>
    </w:p>
    <w:p w14:paraId="1C46FC7B" w14:textId="77777777" w:rsidR="00247163" w:rsidRPr="00247163" w:rsidRDefault="00247163" w:rsidP="00247163">
      <w:pPr>
        <w:pBdr>
          <w:top w:val="nil"/>
          <w:left w:val="nil"/>
          <w:bottom w:val="nil"/>
          <w:right w:val="nil"/>
          <w:between w:val="nil"/>
        </w:pBdr>
        <w:spacing w:before="240" w:line="360" w:lineRule="auto"/>
        <w:ind w:right="27"/>
        <w:jc w:val="both"/>
        <w:rPr>
          <w:rFonts w:ascii="Palatino Linotype" w:eastAsia="Palatino Linotype" w:hAnsi="Palatino Linotype" w:cs="Palatino Linotype"/>
        </w:rPr>
      </w:pPr>
    </w:p>
    <w:p w14:paraId="3107C67D" w14:textId="77777777" w:rsidR="002F653A" w:rsidRPr="00247163" w:rsidRDefault="00CB53E8" w:rsidP="00B330F5">
      <w:pPr>
        <w:numPr>
          <w:ilvl w:val="0"/>
          <w:numId w:val="36"/>
        </w:numPr>
        <w:pBdr>
          <w:top w:val="nil"/>
          <w:left w:val="nil"/>
          <w:bottom w:val="nil"/>
          <w:right w:val="nil"/>
          <w:between w:val="nil"/>
        </w:pBdr>
        <w:spacing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Formato </w:t>
      </w:r>
      <w:r w:rsidRPr="00247163">
        <w:rPr>
          <w:rFonts w:ascii="Palatino Linotype" w:eastAsia="Palatino Linotype" w:hAnsi="Palatino Linotype" w:cs="Palatino Linotype"/>
          <w:b/>
          <w:bCs/>
        </w:rPr>
        <w:t>PbRM-04b “Presupuesto de Egresos por Objeto del Gasto y Dependencia General”</w:t>
      </w:r>
      <w:r w:rsidRPr="00247163">
        <w:rPr>
          <w:rFonts w:ascii="Palatino Linotype" w:eastAsia="Palatino Linotype" w:hAnsi="Palatino Linotype" w:cs="Palatino Linotype"/>
        </w:rPr>
        <w:t xml:space="preserve"> identifica el gasto a nivel de dependencia general por partida del gasto, con calendarización mensual y total anual.</w:t>
      </w:r>
    </w:p>
    <w:p w14:paraId="1A58128C"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En el formato </w:t>
      </w:r>
      <w:r w:rsidRPr="00247163">
        <w:rPr>
          <w:rFonts w:ascii="Palatino Linotype" w:eastAsia="Palatino Linotype" w:hAnsi="Palatino Linotype" w:cs="Palatino Linotype"/>
          <w:b/>
          <w:bCs/>
        </w:rPr>
        <w:t>PbRM-04c Presupuesto de Egresos Global Calendarizado</w:t>
      </w:r>
      <w:r w:rsidRPr="00247163">
        <w:rPr>
          <w:rFonts w:ascii="Palatino Linotype" w:eastAsia="Palatino Linotype" w:hAnsi="Palatino Linotype" w:cs="Palatino Linotype"/>
        </w:rPr>
        <w:t xml:space="preserve"> se identifica el gasto total según el clasificador por objeto del gasto y su programación durante todo el ejercicio presupuestal.</w:t>
      </w:r>
    </w:p>
    <w:p w14:paraId="1B3AAEA8"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En el </w:t>
      </w:r>
      <w:r w:rsidRPr="00247163">
        <w:rPr>
          <w:rFonts w:ascii="Palatino Linotype" w:eastAsia="Palatino Linotype" w:hAnsi="Palatino Linotype" w:cs="Palatino Linotype"/>
          <w:b/>
          <w:bCs/>
        </w:rPr>
        <w:t xml:space="preserve">formato PbRM-04d “Carátula de presupuesto de egresos” </w:t>
      </w:r>
      <w:r w:rsidRPr="00247163">
        <w:rPr>
          <w:rFonts w:ascii="Palatino Linotype" w:eastAsia="Palatino Linotype" w:hAnsi="Palatino Linotype" w:cs="Palatino Linotype"/>
        </w:rPr>
        <w:t>se</w:t>
      </w:r>
      <w:r w:rsidRPr="00247163">
        <w:rPr>
          <w:rFonts w:ascii="Palatino Linotype" w:eastAsia="Palatino Linotype" w:hAnsi="Palatino Linotype" w:cs="Palatino Linotype"/>
          <w:b/>
          <w:bCs/>
        </w:rPr>
        <w:t xml:space="preserve"> </w:t>
      </w:r>
      <w:r w:rsidRPr="00247163">
        <w:rPr>
          <w:rFonts w:ascii="Palatino Linotype" w:eastAsia="Palatino Linotype" w:hAnsi="Palatino Linotype" w:cs="Palatino Linotype"/>
        </w:rPr>
        <w:t>presenta a nivel capítulo, el total del Presupuesto Autorizado de Egresos del Municipio para el ejercicio presupuestal que se proyectará tomando como antecedente los dos ejercicios anteriores.</w:t>
      </w:r>
    </w:p>
    <w:p w14:paraId="354B10D0" w14:textId="77777777" w:rsidR="002F653A" w:rsidRPr="00247163" w:rsidRDefault="00CB53E8">
      <w:pPr>
        <w:pBdr>
          <w:top w:val="nil"/>
          <w:left w:val="nil"/>
          <w:bottom w:val="nil"/>
          <w:right w:val="nil"/>
          <w:between w:val="nil"/>
        </w:pBdr>
        <w:spacing w:before="240" w:after="240" w:line="360" w:lineRule="auto"/>
        <w:ind w:left="360" w:right="27"/>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 </w:t>
      </w:r>
    </w:p>
    <w:p w14:paraId="1BD0D4BB"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lastRenderedPageBreak/>
        <w:t xml:space="preserve">El formato </w:t>
      </w:r>
      <w:r w:rsidRPr="00247163">
        <w:rPr>
          <w:rFonts w:ascii="Palatino Linotype" w:eastAsia="Palatino Linotype" w:hAnsi="Palatino Linotype" w:cs="Palatino Linotype"/>
          <w:b/>
          <w:bCs/>
        </w:rPr>
        <w:t>PbRM-05 “Tabulador de Sueldos Formato</w:t>
      </w:r>
      <w:r w:rsidRPr="00247163">
        <w:rPr>
          <w:rFonts w:ascii="Palatino Linotype" w:eastAsia="Palatino Linotype" w:hAnsi="Palatino Linotype" w:cs="Palatino Linotype"/>
        </w:rPr>
        <w:t xml:space="preserve">” registra las remuneraciones que se perciben por el empleo, cargo o comisión de cualquier naturaleza por los servidores públicos municipales. </w:t>
      </w:r>
    </w:p>
    <w:p w14:paraId="34B86CBB"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El formato</w:t>
      </w:r>
      <w:r w:rsidRPr="00247163">
        <w:rPr>
          <w:rFonts w:ascii="Palatino Linotype" w:eastAsia="Palatino Linotype" w:hAnsi="Palatino Linotype" w:cs="Palatino Linotype"/>
          <w:b/>
          <w:bCs/>
        </w:rPr>
        <w:t xml:space="preserve"> PbRM-06 “Programa Anual de Adquisiciones”, </w:t>
      </w:r>
      <w:r w:rsidRPr="00247163">
        <w:rPr>
          <w:rFonts w:ascii="Palatino Linotype" w:eastAsia="Palatino Linotype" w:hAnsi="Palatino Linotype" w:cs="Palatino Linotype"/>
        </w:rPr>
        <w:t xml:space="preserve">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 </w:t>
      </w:r>
    </w:p>
    <w:p w14:paraId="28676678"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El formato </w:t>
      </w:r>
      <w:r w:rsidRPr="00247163">
        <w:rPr>
          <w:rFonts w:ascii="Palatino Linotype" w:eastAsia="Palatino Linotype" w:hAnsi="Palatino Linotype" w:cs="Palatino Linotype"/>
          <w:b/>
          <w:bCs/>
        </w:rPr>
        <w:t>PbRM-07a</w:t>
      </w:r>
      <w:r w:rsidRPr="00247163">
        <w:rPr>
          <w:rFonts w:ascii="Palatino Linotype" w:eastAsia="Palatino Linotype" w:hAnsi="Palatino Linotype" w:cs="Palatino Linotype"/>
        </w:rPr>
        <w:t xml:space="preserve"> “</w:t>
      </w:r>
      <w:r w:rsidRPr="00247163">
        <w:rPr>
          <w:rFonts w:ascii="Palatino Linotype" w:eastAsia="Palatino Linotype" w:hAnsi="Palatino Linotype" w:cs="Palatino Linotype"/>
          <w:b/>
          <w:bCs/>
        </w:rPr>
        <w:t xml:space="preserve">Programa Anual de Obra” </w:t>
      </w:r>
      <w:r w:rsidRPr="00247163">
        <w:rPr>
          <w:rFonts w:ascii="Palatino Linotype" w:eastAsia="Palatino Linotype" w:hAnsi="Palatino Linotype" w:cs="Palatino Linotype"/>
        </w:rPr>
        <w:t xml:space="preserve">especifica de manera precisa el período de ejecución y presupuesto ejercido de la obra pública de que se trate; así como la fuente de financiamiento con la que ésta se llevará a cabo. </w:t>
      </w:r>
    </w:p>
    <w:p w14:paraId="2F63CDEA" w14:textId="35BD1AFB"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El formato</w:t>
      </w:r>
      <w:r w:rsidRPr="00247163">
        <w:rPr>
          <w:rFonts w:ascii="Palatino Linotype" w:eastAsia="Palatino Linotype" w:hAnsi="Palatino Linotype" w:cs="Palatino Linotype"/>
          <w:b/>
          <w:bCs/>
        </w:rPr>
        <w:t xml:space="preserve"> </w:t>
      </w:r>
      <w:r w:rsidR="00247163" w:rsidRPr="00247163">
        <w:rPr>
          <w:rFonts w:ascii="Palatino Linotype" w:eastAsia="Palatino Linotype" w:hAnsi="Palatino Linotype" w:cs="Palatino Linotype"/>
        </w:rPr>
        <w:t>específico</w:t>
      </w:r>
      <w:r w:rsidRPr="00247163">
        <w:rPr>
          <w:rFonts w:ascii="Palatino Linotype" w:eastAsia="Palatino Linotype" w:hAnsi="Palatino Linotype" w:cs="Palatino Linotype"/>
        </w:rPr>
        <w:t xml:space="preserve"> de manera precisa el periodo de ejecución y el presupuesto que destina el ayuntamiento por concepto de Reparaciones y Mantenimiento; así como la fuente de financiamiento con la que ésta se llevará a cabo.</w:t>
      </w:r>
    </w:p>
    <w:p w14:paraId="6EFACE05" w14:textId="77777777" w:rsidR="002F653A" w:rsidRPr="00247163" w:rsidRDefault="00CB53E8" w:rsidP="00B330F5">
      <w:pPr>
        <w:numPr>
          <w:ilvl w:val="0"/>
          <w:numId w:val="36"/>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color w:val="000000"/>
        </w:rPr>
        <w:t>demás de lo anterior, es oportuno mencionar que el “Clasificador por objeto del gasto” contenido en el Manual para la Planeación, Programación y Presupuesto de Egresos Municipal, constituye un elemento fundamental del sistema general de cuentas donde cada componente destaca aspectos concretos del presupuesto y suministra información que atiende a necesidades diferentes pero enlazadas, permitiendo el vínculo con la contabilidad, es decir, que se trata de un instrumento que permite la obtención de información para el análisis y seguimiento de la gestión financiera gubernamental, por lo cual permite conocer en qué se gasta y cuantificar la demanda de bienes o servicios.</w:t>
      </w:r>
    </w:p>
    <w:p w14:paraId="75357619" w14:textId="77777777" w:rsidR="002F653A" w:rsidRPr="00247163" w:rsidRDefault="00CB53E8" w:rsidP="00B330F5">
      <w:pPr>
        <w:numPr>
          <w:ilvl w:val="0"/>
          <w:numId w:val="36"/>
        </w:numPr>
        <w:pBdr>
          <w:top w:val="nil"/>
          <w:left w:val="nil"/>
          <w:bottom w:val="nil"/>
          <w:right w:val="nil"/>
          <w:between w:val="nil"/>
        </w:pBdr>
        <w:spacing w:before="280" w:after="280" w:line="360" w:lineRule="auto"/>
        <w:ind w:left="0" w:right="27"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La estructura del Clasificador, según lo previsto en el anexo del Manual, fue diseñada con un nivel de desagregación que permite que sus cuentas faciliten el registro único de todas las transacciones con incidencia económica – financiera, es por ello que la armonización se realiza a tercer </w:t>
      </w:r>
      <w:r w:rsidRPr="00247163">
        <w:rPr>
          <w:rFonts w:ascii="Palatino Linotype" w:eastAsia="Palatino Linotype" w:hAnsi="Palatino Linotype" w:cs="Palatino Linotype"/>
        </w:rPr>
        <w:t>dígito</w:t>
      </w:r>
      <w:r w:rsidRPr="00247163">
        <w:rPr>
          <w:rFonts w:ascii="Palatino Linotype" w:eastAsia="Palatino Linotype" w:hAnsi="Palatino Linotype" w:cs="Palatino Linotype"/>
          <w:color w:val="000000"/>
        </w:rPr>
        <w:t xml:space="preserve"> que corresponde a la partida genérica, dejando en poder de las entidades federativas la desagregación e identificación de la partida específica, dando origen a la siguiente estructura de codificación:</w:t>
      </w:r>
    </w:p>
    <w:p w14:paraId="1F00A441" w14:textId="77777777" w:rsidR="002F653A" w:rsidRPr="00247163" w:rsidRDefault="00CB53E8">
      <w:pPr>
        <w:spacing w:before="280" w:after="280" w:line="360" w:lineRule="auto"/>
        <w:ind w:right="27"/>
        <w:jc w:val="both"/>
        <w:rPr>
          <w:rFonts w:ascii="Palatino Linotype" w:eastAsia="Palatino Linotype" w:hAnsi="Palatino Linotype" w:cs="Palatino Linotype"/>
        </w:rPr>
      </w:pPr>
      <w:r w:rsidRPr="00247163">
        <w:rPr>
          <w:rFonts w:ascii="Palatino Linotype" w:eastAsia="Palatino Linotype" w:hAnsi="Palatino Linotype" w:cs="Palatino Linotype"/>
          <w:noProof/>
        </w:rPr>
        <w:drawing>
          <wp:inline distT="0" distB="0" distL="0" distR="0" wp14:anchorId="3E22ACBA" wp14:editId="53494152">
            <wp:extent cx="5612130" cy="1223010"/>
            <wp:effectExtent l="0" t="0" r="0"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612130" cy="1223010"/>
                    </a:xfrm>
                    <a:prstGeom prst="rect">
                      <a:avLst/>
                    </a:prstGeom>
                    <a:ln/>
                  </pic:spPr>
                </pic:pic>
              </a:graphicData>
            </a:graphic>
          </wp:inline>
        </w:drawing>
      </w:r>
    </w:p>
    <w:p w14:paraId="76AA1F29" w14:textId="77777777" w:rsidR="002F653A" w:rsidRPr="00247163" w:rsidRDefault="00CB53E8" w:rsidP="00B330F5">
      <w:pPr>
        <w:numPr>
          <w:ilvl w:val="0"/>
          <w:numId w:val="36"/>
        </w:numPr>
        <w:spacing w:before="280" w:line="360" w:lineRule="auto"/>
        <w:ind w:right="27"/>
        <w:jc w:val="both"/>
        <w:rPr>
          <w:rFonts w:ascii="Palatino Linotype" w:eastAsia="Palatino Linotype" w:hAnsi="Palatino Linotype" w:cs="Palatino Linotype"/>
        </w:rPr>
      </w:pPr>
      <w:r w:rsidRPr="00247163">
        <w:rPr>
          <w:rFonts w:ascii="Palatino Linotype" w:eastAsia="Palatino Linotype" w:hAnsi="Palatino Linotype" w:cs="Palatino Linotype"/>
        </w:rPr>
        <w:t>Debiendo definir cada una de las partes que lo integran como sigue:</w:t>
      </w:r>
    </w:p>
    <w:p w14:paraId="777A6805" w14:textId="77777777" w:rsidR="002F653A" w:rsidRPr="00247163" w:rsidRDefault="00CB53E8">
      <w:pPr>
        <w:numPr>
          <w:ilvl w:val="0"/>
          <w:numId w:val="13"/>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b/>
          <w:bCs/>
        </w:rPr>
        <w:t>Capítulo:</w:t>
      </w:r>
      <w:r w:rsidRPr="00247163">
        <w:rPr>
          <w:rFonts w:ascii="Palatino Linotype" w:eastAsia="Palatino Linotype" w:hAnsi="Palatino Linotype" w:cs="Palatino Linotype"/>
        </w:rPr>
        <w:t xml:space="preserve"> Es el mayor nivel de agregación que identifica el conjunto homogéneo y ordenado de los bienes y servicios requeridos por los entes públicos. </w:t>
      </w:r>
    </w:p>
    <w:p w14:paraId="2DF57909" w14:textId="77777777" w:rsidR="002F653A" w:rsidRPr="00247163" w:rsidRDefault="00CB53E8">
      <w:pPr>
        <w:numPr>
          <w:ilvl w:val="0"/>
          <w:numId w:val="13"/>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b/>
          <w:bCs/>
        </w:rPr>
        <w:t>Concepto:</w:t>
      </w:r>
      <w:r w:rsidRPr="00247163">
        <w:rPr>
          <w:rFonts w:ascii="Palatino Linotype" w:eastAsia="Palatino Linotype" w:hAnsi="Palatino Linotype" w:cs="Palatino Linotype"/>
        </w:rPr>
        <w:t xml:space="preserve"> Son subconjuntos homogéneos y ordenados en forma específica, producto de la desagregación de los bienes y servicios, incluidos en cada capítulo. </w:t>
      </w:r>
    </w:p>
    <w:p w14:paraId="3D31136E" w14:textId="77777777" w:rsidR="002F653A" w:rsidRPr="00247163" w:rsidRDefault="00CB53E8">
      <w:pPr>
        <w:numPr>
          <w:ilvl w:val="0"/>
          <w:numId w:val="13"/>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b/>
          <w:bCs/>
        </w:rPr>
        <w:t>Partida:</w:t>
      </w:r>
      <w:r w:rsidRPr="00247163">
        <w:rPr>
          <w:rFonts w:ascii="Palatino Linotype" w:eastAsia="Palatino Linotype" w:hAnsi="Palatino Linotype" w:cs="Palatino Linotype"/>
        </w:rPr>
        <w:t xml:space="preserve"> Es el nivel de agregación más específico en el cual se describen las expresiones concretas y detalladas de los bienes y servicios que se adquieren y se compone de: </w:t>
      </w:r>
    </w:p>
    <w:p w14:paraId="1EC32F8A" w14:textId="77777777" w:rsidR="002F653A" w:rsidRPr="00247163" w:rsidRDefault="00CB53E8">
      <w:pPr>
        <w:numPr>
          <w:ilvl w:val="0"/>
          <w:numId w:val="14"/>
        </w:numPr>
        <w:pBdr>
          <w:top w:val="nil"/>
          <w:left w:val="nil"/>
          <w:bottom w:val="nil"/>
          <w:right w:val="nil"/>
          <w:between w:val="nil"/>
        </w:pBdr>
        <w:tabs>
          <w:tab w:val="left" w:pos="851"/>
        </w:tabs>
        <w:spacing w:before="120" w:line="360" w:lineRule="auto"/>
        <w:ind w:left="567"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b/>
          <w:bCs/>
        </w:rPr>
        <w:t>La Partida Genérica</w:t>
      </w:r>
      <w:r w:rsidRPr="00247163">
        <w:rPr>
          <w:rFonts w:ascii="Palatino Linotype" w:eastAsia="Palatino Linotype" w:hAnsi="Palatino Linotype" w:cs="Palatino Linotype"/>
        </w:rPr>
        <w:t xml:space="preserve"> se refiere al tercer dígito, el cual logrará la armonización de todos los niveles de gobierno.</w:t>
      </w:r>
    </w:p>
    <w:p w14:paraId="41038D09" w14:textId="77777777" w:rsidR="002F653A" w:rsidRPr="00247163" w:rsidRDefault="00CB53E8">
      <w:pPr>
        <w:numPr>
          <w:ilvl w:val="0"/>
          <w:numId w:val="14"/>
        </w:numPr>
        <w:pBdr>
          <w:top w:val="nil"/>
          <w:left w:val="nil"/>
          <w:bottom w:val="nil"/>
          <w:right w:val="nil"/>
          <w:between w:val="nil"/>
        </w:pBdr>
        <w:tabs>
          <w:tab w:val="left" w:pos="851"/>
        </w:tabs>
        <w:spacing w:after="120" w:line="360" w:lineRule="auto"/>
        <w:ind w:left="567" w:right="27" w:firstLine="0"/>
        <w:jc w:val="both"/>
        <w:rPr>
          <w:rFonts w:ascii="Palatino Linotype" w:eastAsia="Palatino Linotype" w:hAnsi="Palatino Linotype" w:cs="Palatino Linotype"/>
        </w:rPr>
      </w:pPr>
      <w:r w:rsidRPr="00247163">
        <w:rPr>
          <w:rFonts w:ascii="Palatino Linotype" w:eastAsia="Palatino Linotype" w:hAnsi="Palatino Linotype" w:cs="Palatino Linotype"/>
          <w:b/>
          <w:bCs/>
        </w:rPr>
        <w:lastRenderedPageBreak/>
        <w:t>La Partida Específica</w:t>
      </w:r>
      <w:r w:rsidRPr="00247163">
        <w:rPr>
          <w:rFonts w:ascii="Palatino Linotype" w:eastAsia="Palatino Linotype" w:hAnsi="Palatino Linotype" w:cs="Palatino Linotype"/>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p>
    <w:p w14:paraId="68B11FB6" w14:textId="77777777" w:rsidR="002F653A" w:rsidRPr="00247163" w:rsidRDefault="00CB53E8">
      <w:pPr>
        <w:spacing w:line="360" w:lineRule="auto"/>
        <w:ind w:right="27"/>
        <w:jc w:val="both"/>
        <w:rPr>
          <w:rFonts w:ascii="Palatino Linotype" w:eastAsia="Palatino Linotype" w:hAnsi="Palatino Linotype" w:cs="Palatino Linotype"/>
          <w:b/>
          <w:bCs/>
        </w:rPr>
      </w:pPr>
      <w:r w:rsidRPr="00247163">
        <w:rPr>
          <w:rFonts w:ascii="Palatino Linotype" w:eastAsia="Palatino Linotype" w:hAnsi="Palatino Linotype" w:cs="Palatino Linotype"/>
          <w:b/>
          <w:bCs/>
        </w:rPr>
        <w:t>INDICADORES Y METAS PARA EVALUAR DESEMPEÑO</w:t>
      </w:r>
    </w:p>
    <w:p w14:paraId="6E1A84BF" w14:textId="77777777" w:rsidR="002F653A" w:rsidRPr="00247163" w:rsidRDefault="00CB53E8" w:rsidP="00B330F5">
      <w:pPr>
        <w:widowControl w:val="0"/>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Por su parte el punto 3.2.2 Lineamientos para la definición de indicadores y metas para evaluar el desempeño, señala la tipología de los indicadores en los que existen dos tipos que se han definido para la evaluación del desempeño de la administración pública municipal como se muestra a continuación: </w:t>
      </w:r>
    </w:p>
    <w:p w14:paraId="0A63885A" w14:textId="77777777" w:rsidR="002F653A" w:rsidRPr="00247163" w:rsidRDefault="00CB53E8">
      <w:pPr>
        <w:widowControl w:val="0"/>
        <w:pBdr>
          <w:top w:val="nil"/>
          <w:left w:val="nil"/>
          <w:bottom w:val="nil"/>
          <w:right w:val="nil"/>
          <w:between w:val="nil"/>
        </w:pBdr>
        <w:ind w:left="1134" w:right="822"/>
        <w:rPr>
          <w:rFonts w:ascii="Palatino Linotype" w:eastAsia="Palatino Linotype" w:hAnsi="Palatino Linotype" w:cs="Palatino Linotype"/>
          <w:i/>
          <w:iCs/>
          <w:color w:val="000000"/>
        </w:rPr>
      </w:pPr>
      <w:r w:rsidRPr="00247163">
        <w:rPr>
          <w:rFonts w:ascii="Palatino Linotype" w:eastAsia="Palatino Linotype" w:hAnsi="Palatino Linotype" w:cs="Palatino Linotype"/>
          <w:b/>
          <w:bCs/>
          <w:i/>
          <w:iCs/>
          <w:color w:val="000000"/>
        </w:rPr>
        <w:t>Estratégicos:</w:t>
      </w:r>
      <w:r w:rsidRPr="00247163">
        <w:rPr>
          <w:rFonts w:ascii="Palatino Linotype" w:eastAsia="Palatino Linotype" w:hAnsi="Palatino Linotype" w:cs="Palatino Linotype"/>
          <w:i/>
          <w:iCs/>
          <w:color w:val="000000"/>
        </w:rPr>
        <w:t xml:space="preserve"> Miden el grado de cumplimiento de los objetivos de las Políticas Públicas y Programas presupuestarios, así como también contribuyen a fortalecer o corregir las estrategias y la orientación de los recursos. Regularmente se identifican en la MIR a nivel de Fin y Propósito.</w:t>
      </w:r>
    </w:p>
    <w:p w14:paraId="2772AD01" w14:textId="77777777" w:rsidR="002F653A" w:rsidRPr="00247163" w:rsidRDefault="002F653A">
      <w:pPr>
        <w:widowControl w:val="0"/>
        <w:pBdr>
          <w:top w:val="nil"/>
          <w:left w:val="nil"/>
          <w:bottom w:val="nil"/>
          <w:right w:val="nil"/>
          <w:between w:val="nil"/>
        </w:pBdr>
        <w:ind w:left="1134" w:right="822"/>
        <w:rPr>
          <w:rFonts w:ascii="Palatino Linotype" w:eastAsia="Palatino Linotype" w:hAnsi="Palatino Linotype" w:cs="Palatino Linotype"/>
          <w:i/>
          <w:iCs/>
          <w:color w:val="000000"/>
        </w:rPr>
      </w:pPr>
    </w:p>
    <w:p w14:paraId="7563BDB3" w14:textId="77777777" w:rsidR="002F653A" w:rsidRPr="00247163" w:rsidRDefault="00CB53E8">
      <w:pPr>
        <w:widowControl w:val="0"/>
        <w:pBdr>
          <w:top w:val="nil"/>
          <w:left w:val="nil"/>
          <w:bottom w:val="nil"/>
          <w:right w:val="nil"/>
          <w:between w:val="nil"/>
        </w:pBdr>
        <w:ind w:left="1134" w:right="822"/>
        <w:rPr>
          <w:rFonts w:ascii="Palatino Linotype" w:eastAsia="Palatino Linotype" w:hAnsi="Palatino Linotype" w:cs="Palatino Linotype"/>
          <w:i/>
          <w:iCs/>
          <w:color w:val="000000"/>
        </w:rPr>
      </w:pPr>
      <w:r w:rsidRPr="00247163">
        <w:rPr>
          <w:rFonts w:ascii="Palatino Linotype" w:eastAsia="Palatino Linotype" w:hAnsi="Palatino Linotype" w:cs="Palatino Linotype"/>
          <w:b/>
          <w:bCs/>
          <w:i/>
          <w:iCs/>
          <w:color w:val="000000"/>
        </w:rPr>
        <w:t>De Gestión:</w:t>
      </w:r>
      <w:r w:rsidRPr="00247163">
        <w:rPr>
          <w:rFonts w:ascii="Palatino Linotype" w:eastAsia="Palatino Linotype" w:hAnsi="Palatino Linotype" w:cs="Palatino Linotype"/>
          <w:i/>
          <w:iCs/>
          <w:color w:val="000000"/>
        </w:rPr>
        <w:t xml:space="preserve"> Miden el avance y logro en procesos y actividades, es decir la forma en que los bienes y servicios públicos son generados y entregados. Estos se identifican a nivel de Componente y Actividad y se vinculan con los distintos proyectos de la Estructura Programática y determinan el logro, alcance o beneficio obtenido con la ejecución de acciones y la entrega de servicios y/o productos. </w:t>
      </w:r>
    </w:p>
    <w:p w14:paraId="0E718107" w14:textId="77777777" w:rsidR="002F653A" w:rsidRPr="00247163" w:rsidRDefault="002F653A">
      <w:pPr>
        <w:widowControl w:val="0"/>
        <w:spacing w:line="360" w:lineRule="auto"/>
        <w:ind w:right="27"/>
        <w:rPr>
          <w:rFonts w:ascii="Palatino Linotype" w:eastAsia="Palatino Linotype" w:hAnsi="Palatino Linotype" w:cs="Palatino Linotype"/>
        </w:rPr>
      </w:pPr>
    </w:p>
    <w:p w14:paraId="336FACE8" w14:textId="77777777" w:rsidR="002F653A" w:rsidRPr="00247163" w:rsidRDefault="00CB53E8" w:rsidP="00B330F5">
      <w:pPr>
        <w:widowControl w:val="0"/>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Así, los indicadores que presenten las Dependencias, Organismos Auxiliares o equivalentes, en su Anteproyecto de Presupuesto de Egresos deben medir las dimensiones de eficiencia, eficacia, calidad y economía en el logro de los objetivos y acciones gubernamentales.</w:t>
      </w:r>
    </w:p>
    <w:p w14:paraId="5E48FF12" w14:textId="77777777" w:rsidR="002F653A" w:rsidRPr="00247163" w:rsidRDefault="002F653A">
      <w:pPr>
        <w:widowControl w:val="0"/>
        <w:spacing w:line="360" w:lineRule="auto"/>
        <w:ind w:right="27"/>
        <w:rPr>
          <w:rFonts w:ascii="Palatino Linotype" w:eastAsia="Palatino Linotype" w:hAnsi="Palatino Linotype" w:cs="Palatino Linotype"/>
        </w:rPr>
      </w:pPr>
    </w:p>
    <w:p w14:paraId="316E379F" w14:textId="77777777" w:rsidR="002F653A" w:rsidRPr="00247163" w:rsidRDefault="00CB53E8" w:rsidP="00B330F5">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Además el artículo 70, fracción III, de la Ley General de Transparencia y Acceso a la Información Pública, con relación al 92, fracción III, de la Ley de Transparencia y Acceso a la Información Pública del Estado de México y Municipios, precisa que es una obligación común de transparencia que deben publicar todos los Sujetos Obligados.</w:t>
      </w:r>
    </w:p>
    <w:p w14:paraId="6C589FAF" w14:textId="77777777" w:rsidR="002F653A" w:rsidRPr="00247163" w:rsidRDefault="002F653A">
      <w:pPr>
        <w:pBdr>
          <w:top w:val="nil"/>
          <w:left w:val="nil"/>
          <w:bottom w:val="nil"/>
          <w:right w:val="nil"/>
          <w:between w:val="nil"/>
        </w:pBdr>
        <w:ind w:left="720"/>
        <w:rPr>
          <w:rFonts w:ascii="Palatino Linotype" w:eastAsia="Palatino Linotype" w:hAnsi="Palatino Linotype" w:cs="Palatino Linotype"/>
          <w:color w:val="000000"/>
        </w:rPr>
      </w:pPr>
    </w:p>
    <w:p w14:paraId="1EF2DD02" w14:textId="25886F42" w:rsidR="002F653A" w:rsidRPr="00247163" w:rsidRDefault="00CB53E8" w:rsidP="00247163">
      <w:pPr>
        <w:pStyle w:val="Prrafodelista"/>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Por cuanto hace al punto </w:t>
      </w:r>
      <w:r w:rsidRPr="00247163">
        <w:rPr>
          <w:rFonts w:ascii="Palatino Linotype" w:eastAsia="Palatino Linotype" w:hAnsi="Palatino Linotype" w:cs="Palatino Linotype"/>
          <w:i/>
          <w:iCs/>
          <w:color w:val="000000"/>
        </w:rPr>
        <w:t>c</w:t>
      </w:r>
      <w:r w:rsidRPr="00247163">
        <w:rPr>
          <w:rFonts w:ascii="Palatino Linotype" w:eastAsia="Palatino Linotype" w:hAnsi="Palatino Linotype" w:cs="Palatino Linotype"/>
          <w:color w:val="000000"/>
        </w:rPr>
        <w:t xml:space="preserve"> relativo a contratos y comprobantes de pago a proveedores, se  puede advertir que el Sujeto Obligado </w:t>
      </w:r>
      <w:r w:rsidRPr="00247163">
        <w:rPr>
          <w:rFonts w:ascii="Palatino Linotype" w:eastAsia="Palatino Linotype" w:hAnsi="Palatino Linotype" w:cs="Palatino Linotype"/>
        </w:rPr>
        <w:t>presentó</w:t>
      </w:r>
      <w:r w:rsidRPr="00247163">
        <w:rPr>
          <w:rFonts w:ascii="Palatino Linotype" w:eastAsia="Palatino Linotype" w:hAnsi="Palatino Linotype" w:cs="Palatino Linotype"/>
          <w:color w:val="000000"/>
        </w:rPr>
        <w:t xml:space="preserve"> una versión pública deficiente de contratos, testando información que no es susceptible de serlo, enunciativamente, a saber: nombre de proveedores y firma, nombre de representante y firma, número de acta constitutiva, </w:t>
      </w:r>
      <w:r w:rsidRPr="00247163">
        <w:rPr>
          <w:rFonts w:ascii="Palatino Linotype" w:eastAsia="Palatino Linotype" w:hAnsi="Palatino Linotype" w:cs="Palatino Linotype"/>
        </w:rPr>
        <w:t>número</w:t>
      </w:r>
      <w:r w:rsidRPr="00247163">
        <w:rPr>
          <w:rFonts w:ascii="Palatino Linotype" w:eastAsia="Palatino Linotype" w:hAnsi="Palatino Linotype" w:cs="Palatino Linotype"/>
          <w:color w:val="000000"/>
        </w:rPr>
        <w:t xml:space="preserve"> de notaría, RFC de empresa y domicilio fiscal, mismos que serán abordados en el considerando respectivo.</w:t>
      </w:r>
    </w:p>
    <w:p w14:paraId="661566DF" w14:textId="77777777" w:rsidR="002F653A" w:rsidRPr="00247163" w:rsidRDefault="002F653A">
      <w:pPr>
        <w:pBdr>
          <w:top w:val="nil"/>
          <w:left w:val="nil"/>
          <w:bottom w:val="nil"/>
          <w:right w:val="nil"/>
          <w:between w:val="nil"/>
        </w:pBdr>
        <w:spacing w:line="360" w:lineRule="auto"/>
        <w:ind w:right="-591"/>
        <w:jc w:val="both"/>
        <w:rPr>
          <w:color w:val="000000"/>
        </w:rPr>
      </w:pPr>
    </w:p>
    <w:p w14:paraId="5E186E59" w14:textId="4D486AB5" w:rsidR="002F653A" w:rsidRPr="00247163" w:rsidRDefault="00CB53E8" w:rsidP="00247163">
      <w:pPr>
        <w:pStyle w:val="Prrafodelista"/>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Dicho esto, </w:t>
      </w:r>
      <w:r w:rsidRPr="00247163">
        <w:rPr>
          <w:rFonts w:ascii="Palatino Linotype" w:eastAsia="Palatino Linotype" w:hAnsi="Palatino Linotype" w:cs="Palatino Linotype"/>
          <w:b/>
          <w:bCs/>
          <w:color w:val="000000"/>
        </w:rPr>
        <w:t>respecto a los documentos que acrediten pagos</w:t>
      </w:r>
      <w:r w:rsidRPr="00247163">
        <w:rPr>
          <w:rFonts w:ascii="Palatino Linotype" w:eastAsia="Palatino Linotype" w:hAnsi="Palatino Linotype" w:cs="Palatino Linotype"/>
          <w:color w:val="000000"/>
        </w:rPr>
        <w:t xml:space="preserve">, resulta necesario traer a contexto, la Resolución Miscelánea Fiscal, establece que la </w:t>
      </w:r>
      <w:r w:rsidRPr="00247163">
        <w:rPr>
          <w:rFonts w:ascii="Palatino Linotype" w:eastAsia="Palatino Linotype" w:hAnsi="Palatino Linotype" w:cs="Palatino Linotype"/>
          <w:b/>
          <w:bCs/>
          <w:color w:val="000000"/>
        </w:rPr>
        <w:t>factura</w:t>
      </w:r>
      <w:r w:rsidRPr="00247163">
        <w:rPr>
          <w:rFonts w:ascii="Palatino Linotype" w:eastAsia="Palatino Linotype" w:hAnsi="Palatino Linotype" w:cs="Palatino Linotype"/>
          <w:color w:val="000000"/>
        </w:rPr>
        <w:t xml:space="preserve"> es lo mismo, que un Comprobante Fiscal Digital por Internet, por lo que, se puede considerar como el documento que comprueba la realización de una transacción</w:t>
      </w:r>
      <w:r w:rsidRPr="00247163">
        <w:rPr>
          <w:rFonts w:ascii="Palatino Linotype" w:eastAsia="Palatino Linotype" w:hAnsi="Palatino Linotype" w:cs="Palatino Linotype"/>
          <w:b/>
          <w:bCs/>
          <w:color w:val="000000"/>
        </w:rPr>
        <w:t xml:space="preserve"> </w:t>
      </w:r>
      <w:r w:rsidRPr="00247163">
        <w:rPr>
          <w:rFonts w:ascii="Palatino Linotype" w:eastAsia="Palatino Linotype" w:hAnsi="Palatino Linotype" w:cs="Palatino Linotype"/>
          <w:color w:val="000000"/>
        </w:rPr>
        <w:t>comercial, entre un comprador y un vendedor, mediante el cual, el primero queda obligado a realizar un pago, mientras que el segundo, a entregar o brindar un producto o servicio.</w:t>
      </w:r>
    </w:p>
    <w:p w14:paraId="6A4E3767" w14:textId="77777777" w:rsidR="002F653A" w:rsidRPr="00247163" w:rsidRDefault="002F653A">
      <w:pPr>
        <w:spacing w:line="360" w:lineRule="auto"/>
        <w:ind w:right="27"/>
        <w:jc w:val="both"/>
        <w:rPr>
          <w:rFonts w:ascii="Palatino Linotype" w:eastAsia="Palatino Linotype" w:hAnsi="Palatino Linotype" w:cs="Palatino Linotype"/>
        </w:rPr>
      </w:pPr>
    </w:p>
    <w:p w14:paraId="55B059E9" w14:textId="5CB68A32" w:rsidR="002F653A" w:rsidRPr="00247163" w:rsidRDefault="00CB53E8" w:rsidP="00247163">
      <w:pPr>
        <w:pStyle w:val="Prrafodelista"/>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Ahora bien, resulta importante señalar que este término se encuentra definido en el Glosario de Términos Hacendarios que emite el Instituto Hacendario del Estado de México, el cual expresa lo siguiente:</w:t>
      </w:r>
    </w:p>
    <w:p w14:paraId="69762445" w14:textId="77777777" w:rsidR="002F653A" w:rsidRPr="00247163" w:rsidRDefault="00CB53E8">
      <w:pPr>
        <w:ind w:left="1134" w:right="1389"/>
        <w:jc w:val="both"/>
        <w:rPr>
          <w:rFonts w:ascii="Palatino Linotype" w:eastAsia="Palatino Linotype" w:hAnsi="Palatino Linotype" w:cs="Palatino Linotype"/>
          <w:b/>
          <w:bCs/>
          <w:i/>
          <w:iCs/>
        </w:rPr>
      </w:pPr>
      <w:r w:rsidRPr="00247163">
        <w:rPr>
          <w:rFonts w:ascii="Palatino Linotype" w:eastAsia="Palatino Linotype" w:hAnsi="Palatino Linotype" w:cs="Palatino Linotype"/>
          <w:i/>
          <w:iCs/>
        </w:rPr>
        <w:t>“</w:t>
      </w:r>
      <w:r w:rsidRPr="00247163">
        <w:rPr>
          <w:rFonts w:ascii="Palatino Linotype" w:eastAsia="Palatino Linotype" w:hAnsi="Palatino Linotype" w:cs="Palatino Linotype"/>
          <w:b/>
          <w:bCs/>
          <w:i/>
          <w:iCs/>
        </w:rPr>
        <w:t>FACTURA</w:t>
      </w:r>
    </w:p>
    <w:p w14:paraId="745A6918"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Es el documento fiscal que emite la persona física o moral para </w:t>
      </w:r>
      <w:r w:rsidRPr="00247163">
        <w:rPr>
          <w:rFonts w:ascii="Palatino Linotype" w:eastAsia="Palatino Linotype" w:hAnsi="Palatino Linotype" w:cs="Palatino Linotype"/>
          <w:b/>
          <w:bCs/>
          <w:i/>
          <w:iCs/>
          <w:u w:val="single"/>
        </w:rPr>
        <w:t>comprobar la venta o adquisición de un bien y/o servicio</w:t>
      </w:r>
      <w:r w:rsidRPr="00247163">
        <w:rPr>
          <w:rFonts w:ascii="Palatino Linotype" w:eastAsia="Palatino Linotype" w:hAnsi="Palatino Linotype" w:cs="Palatino Linotype"/>
          <w:i/>
          <w:iCs/>
        </w:rPr>
        <w:t>.” (Sic)</w:t>
      </w:r>
    </w:p>
    <w:p w14:paraId="4B7EAB7D" w14:textId="77777777" w:rsidR="002F653A" w:rsidRPr="00247163" w:rsidRDefault="002F653A">
      <w:pPr>
        <w:spacing w:line="360" w:lineRule="auto"/>
        <w:ind w:left="851" w:right="27"/>
        <w:jc w:val="both"/>
        <w:rPr>
          <w:rFonts w:ascii="Palatino Linotype" w:eastAsia="Palatino Linotype" w:hAnsi="Palatino Linotype" w:cs="Palatino Linotype"/>
          <w:i/>
          <w:iCs/>
        </w:rPr>
      </w:pPr>
    </w:p>
    <w:p w14:paraId="5585B84B" w14:textId="133E293C" w:rsidR="002F653A" w:rsidRPr="00247163" w:rsidRDefault="00CB53E8" w:rsidP="00247163">
      <w:pPr>
        <w:pStyle w:val="Prrafodelista"/>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lastRenderedPageBreak/>
        <w:t>Es de señalarse que las facturas o comprobantes que amparan las erogaciones que se realizan con erario público tienen naturaleza pública pues, constituyen los medios idóneos de evidencia del gasto realizado con recursos públicos, de ahí que convenga precisar que la Constitución Política del Estado Libre y Soberano de México en su artículo 129 señala que l</w:t>
      </w:r>
      <w:r w:rsidRPr="00247163">
        <w:rPr>
          <w:rFonts w:ascii="Palatino Linotype" w:eastAsia="Palatino Linotype" w:hAnsi="Palatino Linotype" w:cs="Palatino Linotype"/>
          <w:color w:val="000000"/>
        </w:rPr>
        <w:t xml:space="preserve">os recursos económicos del Estado, de los Municipios, así como de los Organismos Autónomos, se administrarán con eficiencia, eficacia y honradez, para cumplir con los objetivos y programas a los que estén destinados. </w:t>
      </w:r>
    </w:p>
    <w:p w14:paraId="05FC05F1" w14:textId="77777777" w:rsidR="002F653A" w:rsidRPr="00247163" w:rsidRDefault="002F653A">
      <w:pPr>
        <w:spacing w:line="360" w:lineRule="auto"/>
        <w:ind w:right="27"/>
        <w:jc w:val="both"/>
        <w:rPr>
          <w:rFonts w:ascii="Palatino Linotype" w:eastAsia="Palatino Linotype" w:hAnsi="Palatino Linotype" w:cs="Palatino Linotype"/>
        </w:rPr>
      </w:pPr>
    </w:p>
    <w:p w14:paraId="307CA939"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En ese contexto, es de referir que de conformidad con  los artículos 342, 343, 344 y 345 del Código </w:t>
      </w:r>
      <w:r w:rsidRPr="00247163">
        <w:rPr>
          <w:rFonts w:ascii="Palatino Linotype" w:eastAsia="Palatino Linotype" w:hAnsi="Palatino Linotype" w:cs="Palatino Linotype"/>
          <w:color w:val="000000"/>
        </w:rPr>
        <w:t>Financiero</w:t>
      </w:r>
      <w:r w:rsidRPr="00247163">
        <w:rPr>
          <w:rFonts w:ascii="Palatino Linotype" w:eastAsia="Palatino Linotype" w:hAnsi="Palatino Linotype" w:cs="Palatino Linotype"/>
        </w:rPr>
        <w:t xml:space="preserve"> del Estado de México y Municipios, disponen el sistema y las políticas que deben seguirse para llevar el registro contable y presupuestal de las operaciones financieras, en los siguientes términos:</w:t>
      </w:r>
    </w:p>
    <w:p w14:paraId="4BEFA4E0"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342.-</w:t>
      </w:r>
      <w:r w:rsidRPr="00247163">
        <w:rPr>
          <w:rFonts w:ascii="Palatino Linotype" w:eastAsia="Palatino Linotype" w:hAnsi="Palatino Linotype" w:cs="Palatino Linotype"/>
          <w:i/>
          <w:iCs/>
        </w:rPr>
        <w:t xml:space="preserve"> -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4394F134" w14:textId="77777777" w:rsidR="002F653A" w:rsidRPr="00247163" w:rsidRDefault="002F653A">
      <w:pPr>
        <w:spacing w:line="276" w:lineRule="auto"/>
        <w:ind w:left="1134" w:right="822"/>
        <w:jc w:val="both"/>
        <w:rPr>
          <w:rFonts w:ascii="Palatino Linotype" w:eastAsia="Palatino Linotype" w:hAnsi="Palatino Linotype" w:cs="Palatino Linotype"/>
          <w:i/>
          <w:iCs/>
        </w:rPr>
      </w:pPr>
    </w:p>
    <w:p w14:paraId="43F62AD6"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En el caso de los municipios</w:t>
      </w:r>
      <w:r w:rsidRPr="00247163">
        <w:rPr>
          <w:rFonts w:ascii="Palatino Linotype" w:eastAsia="Palatino Linotype" w:hAnsi="Palatino Linotype" w:cs="Palatino Linotype"/>
          <w:i/>
          <w:iCs/>
        </w:rPr>
        <w:t>, el registro a que se refiere el párrafo anterior, se realizará conforme al sistema y a las disposiciones en materia de planeación, programación, presupuestación, evaluación y contabilidad gubernamental, que se aprueben en el marco del Sistema de Coordinación Hacendaria del Estado de México.</w:t>
      </w:r>
    </w:p>
    <w:p w14:paraId="55D63081" w14:textId="77777777" w:rsidR="002F653A" w:rsidRPr="00247163" w:rsidRDefault="002F653A">
      <w:pPr>
        <w:spacing w:line="276" w:lineRule="auto"/>
        <w:ind w:left="1134" w:right="822"/>
        <w:jc w:val="both"/>
        <w:rPr>
          <w:rFonts w:ascii="Palatino Linotype" w:eastAsia="Palatino Linotype" w:hAnsi="Palatino Linotype" w:cs="Palatino Linotype"/>
          <w:i/>
          <w:iCs/>
        </w:rPr>
      </w:pPr>
    </w:p>
    <w:p w14:paraId="150F99C3"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343.-</w:t>
      </w:r>
      <w:r w:rsidRPr="00247163">
        <w:rPr>
          <w:rFonts w:ascii="Palatino Linotype" w:eastAsia="Palatino Linotype" w:hAnsi="Palatino Linotype" w:cs="Palatino Linotype"/>
          <w:i/>
          <w:iCs/>
        </w:rPr>
        <w:t xml:space="preserve"> -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128A799A"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lastRenderedPageBreak/>
        <w:t>El sistema de contabilidad sobre base acumulativa total, se sustentará en las normas emitidas por el Consejo Nacional de Armonización Contable.</w:t>
      </w:r>
    </w:p>
    <w:p w14:paraId="6567BF6B" w14:textId="77777777" w:rsidR="002F653A" w:rsidRPr="00247163" w:rsidRDefault="002F653A">
      <w:pPr>
        <w:spacing w:line="276" w:lineRule="auto"/>
        <w:ind w:left="1134" w:right="822"/>
        <w:jc w:val="both"/>
        <w:rPr>
          <w:rFonts w:ascii="Palatino Linotype" w:eastAsia="Palatino Linotype" w:hAnsi="Palatino Linotype" w:cs="Palatino Linotype"/>
          <w:b/>
          <w:bCs/>
          <w:i/>
          <w:iCs/>
        </w:rPr>
      </w:pPr>
    </w:p>
    <w:p w14:paraId="582747BB" w14:textId="77777777" w:rsidR="002F653A" w:rsidRPr="00247163" w:rsidRDefault="00CB53E8">
      <w:pPr>
        <w:spacing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Artículo 344.- Los Entes Públicos, a través de cualquiera de sus unidades administrativas, de acuerdo con su naturaleza jurídica y según corresponda, registrarán contablemente el efecto patrimonial y presupuestal de las operaciones financieras que realicen</w:t>
      </w:r>
      <w:r w:rsidRPr="00247163">
        <w:rPr>
          <w:rFonts w:ascii="Palatino Linotype" w:eastAsia="Palatino Linotype" w:hAnsi="Palatino Linotype" w:cs="Palatino Linotype"/>
          <w:i/>
          <w:iCs/>
        </w:rPr>
        <w:t>, en el momento en que ocurran, con base en el sistema y políticas de registro establecidas, en el caso de los Municipios, se hará por la Tesorería.</w:t>
      </w:r>
    </w:p>
    <w:p w14:paraId="75F7C54B" w14:textId="77777777" w:rsidR="002F653A" w:rsidRPr="00247163" w:rsidRDefault="002F653A">
      <w:pPr>
        <w:spacing w:line="276" w:lineRule="auto"/>
        <w:ind w:left="1134" w:right="822"/>
        <w:jc w:val="both"/>
        <w:rPr>
          <w:rFonts w:ascii="Palatino Linotype" w:eastAsia="Palatino Linotype" w:hAnsi="Palatino Linotype" w:cs="Palatino Linotype"/>
          <w:b/>
          <w:bCs/>
          <w:i/>
          <w:iCs/>
        </w:rPr>
      </w:pPr>
    </w:p>
    <w:p w14:paraId="3D58D1D2" w14:textId="77777777" w:rsidR="002F653A" w:rsidRPr="00247163" w:rsidRDefault="00CB53E8">
      <w:pPr>
        <w:spacing w:line="276" w:lineRule="auto"/>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 xml:space="preserve">Todo registro contable y presupuestal deberá estar soportado con los documentos de registro, justificativos y comprobatorios originales, </w:t>
      </w:r>
      <w:r w:rsidRPr="00247163">
        <w:rPr>
          <w:rFonts w:ascii="Palatino Linotype" w:eastAsia="Palatino Linotype" w:hAnsi="Palatino Linotype" w:cs="Palatino Linotype"/>
          <w:i/>
          <w:iCs/>
        </w:rPr>
        <w:t xml:space="preserve">en copias certificadas o en medios electrónicos, según corresponda, los que deberán permanecer en custodia y conservación de los Entes Públicos ejecutores del gasto, a través de las unidades administrativas correspondientes de conformidad con las disposiciones aplicables y a disposición de los Órganos de Fiscalización locales y federales, de acuerdo a su naturaleza, así como de los órganos internos de control; por un término de 6 años, contados a partir del ejercicio presupuestal siguiente al que corresponda. En el caso de los Municipios, dicha obligación corresponderá a la Tesorería. </w:t>
      </w:r>
    </w:p>
    <w:p w14:paraId="13763DA2"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3A27293F" w14:textId="77777777" w:rsidR="002F653A" w:rsidRPr="00247163" w:rsidRDefault="002F653A">
      <w:pPr>
        <w:spacing w:line="276" w:lineRule="auto"/>
        <w:ind w:left="1134" w:right="822"/>
        <w:jc w:val="both"/>
        <w:rPr>
          <w:rFonts w:ascii="Palatino Linotype" w:eastAsia="Palatino Linotype" w:hAnsi="Palatino Linotype" w:cs="Palatino Linotype"/>
          <w:b/>
          <w:bCs/>
          <w:i/>
          <w:iCs/>
        </w:rPr>
      </w:pPr>
    </w:p>
    <w:p w14:paraId="0B6634F9"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345.-</w:t>
      </w:r>
      <w:r w:rsidRPr="00247163">
        <w:rPr>
          <w:rFonts w:ascii="Palatino Linotype" w:eastAsia="Palatino Linotype" w:hAnsi="Palatino Linotype" w:cs="Palatino Linotype"/>
          <w:i/>
          <w:iC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Tratándose de los comprobantes fiscales digitales, estos deberán estar agregados en forma electrónica a cada póliza de registro contable.</w:t>
      </w:r>
    </w:p>
    <w:p w14:paraId="6B0AFB30" w14:textId="77777777" w:rsidR="002F653A" w:rsidRPr="00247163" w:rsidRDefault="002F653A">
      <w:pPr>
        <w:spacing w:line="276" w:lineRule="auto"/>
        <w:ind w:left="1134" w:right="822"/>
        <w:jc w:val="both"/>
        <w:rPr>
          <w:rFonts w:ascii="Palatino Linotype" w:eastAsia="Palatino Linotype" w:hAnsi="Palatino Linotype" w:cs="Palatino Linotype"/>
          <w:i/>
          <w:iCs/>
        </w:rPr>
      </w:pPr>
    </w:p>
    <w:p w14:paraId="1F534C43"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lastRenderedPageBreak/>
        <w:t>Los poderes Legislativo y Judicial, los Organismos Autónomos y las Entidades Públicas, de acuerdo con su naturaleza jurídica y según corresponda, deberán conservar la documentación contable del año en curso y la de ejercicios anteriores</w:t>
      </w:r>
      <w:r w:rsidRPr="00247163">
        <w:rPr>
          <w:rFonts w:ascii="Palatino Linotype" w:eastAsia="Palatino Linotype" w:hAnsi="Palatino Linotype" w:cs="Palatino Linotype"/>
          <w:i/>
          <w:iCs/>
        </w:rPr>
        <w:t>, cuyas cuentas públicas hayan sido revisadas y fiscalizadas, en sus propios Archivos Contables. Tratándose de los comprobantes fiscales digitales, estos deberán estar agregados en forma electrónica a cada póliza de registro contable.</w:t>
      </w:r>
    </w:p>
    <w:p w14:paraId="59A16880" w14:textId="77777777" w:rsidR="002F653A" w:rsidRPr="00247163" w:rsidRDefault="002F653A">
      <w:pPr>
        <w:spacing w:line="276" w:lineRule="auto"/>
        <w:ind w:left="1134" w:right="822"/>
        <w:jc w:val="both"/>
        <w:rPr>
          <w:rFonts w:ascii="Palatino Linotype" w:eastAsia="Palatino Linotype" w:hAnsi="Palatino Linotype" w:cs="Palatino Linotype"/>
          <w:i/>
          <w:iCs/>
        </w:rPr>
      </w:pPr>
    </w:p>
    <w:p w14:paraId="2032DF41"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El plazo señalado en este artículo empezará a contar a partir de la publicación en el Periódico Oficial, del decreto correspondiente</w:t>
      </w:r>
      <w:r w:rsidRPr="00247163">
        <w:rPr>
          <w:rFonts w:ascii="Palatino Linotype" w:eastAsia="Palatino Linotype" w:hAnsi="Palatino Linotype" w:cs="Palatino Linotype"/>
          <w:b/>
          <w:bCs/>
          <w:i/>
          <w:iCs/>
        </w:rPr>
        <w:t xml:space="preserve"> </w:t>
      </w:r>
    </w:p>
    <w:p w14:paraId="5AAB718A" w14:textId="77777777" w:rsidR="002F653A" w:rsidRPr="00247163" w:rsidRDefault="002F653A">
      <w:pPr>
        <w:spacing w:line="360" w:lineRule="auto"/>
        <w:ind w:right="27"/>
        <w:jc w:val="both"/>
        <w:rPr>
          <w:rFonts w:ascii="Palatino Linotype" w:eastAsia="Palatino Linotype" w:hAnsi="Palatino Linotype" w:cs="Palatino Linotype"/>
          <w:i/>
          <w:iCs/>
        </w:rPr>
      </w:pPr>
    </w:p>
    <w:p w14:paraId="7E2FAC6C"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De una </w:t>
      </w:r>
      <w:r w:rsidRPr="00247163">
        <w:rPr>
          <w:rFonts w:ascii="Palatino Linotype" w:eastAsia="Palatino Linotype" w:hAnsi="Palatino Linotype" w:cs="Palatino Linotype"/>
          <w:color w:val="000000"/>
        </w:rPr>
        <w:t>interpretación</w:t>
      </w:r>
      <w:r w:rsidRPr="00247163">
        <w:rPr>
          <w:rFonts w:ascii="Palatino Linotype" w:eastAsia="Palatino Linotype" w:hAnsi="Palatino Linotype" w:cs="Palatino Linotype"/>
        </w:rPr>
        <w:t xml:space="preserve">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05F69DA7" w14:textId="77777777" w:rsidR="002F653A" w:rsidRPr="00247163" w:rsidRDefault="002F653A">
      <w:pPr>
        <w:spacing w:line="360" w:lineRule="auto"/>
        <w:ind w:right="27"/>
        <w:jc w:val="both"/>
        <w:rPr>
          <w:rFonts w:ascii="Palatino Linotype" w:eastAsia="Palatino Linotype" w:hAnsi="Palatino Linotype" w:cs="Palatino Linotype"/>
        </w:rPr>
      </w:pPr>
    </w:p>
    <w:p w14:paraId="610AD13B"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Al respecto, si bien es cierto que el Código Financiero del Estado de México y Municipios establece la </w:t>
      </w:r>
      <w:r w:rsidRPr="00247163">
        <w:rPr>
          <w:rFonts w:ascii="Palatino Linotype" w:eastAsia="Palatino Linotype" w:hAnsi="Palatino Linotype" w:cs="Palatino Linotype"/>
          <w:color w:val="000000"/>
        </w:rPr>
        <w:t>obligación</w:t>
      </w:r>
      <w:r w:rsidRPr="00247163">
        <w:rPr>
          <w:rFonts w:ascii="Palatino Linotype" w:eastAsia="Palatino Linotype" w:hAnsi="Palatino Linotype" w:cs="Palatino Linotype"/>
        </w:rPr>
        <w:t xml:space="preserve"> a los Municipios para llevar los registros contables y presupuestales; también lo es que, dicho ordenamiento jurídico no establece qué debemos entender por registro contable y presupuestal; sin embargo, el “</w:t>
      </w:r>
      <w:r w:rsidRPr="00247163">
        <w:rPr>
          <w:rFonts w:ascii="Palatino Linotype" w:eastAsia="Palatino Linotype" w:hAnsi="Palatino Linotype" w:cs="Palatino Linotype"/>
          <w:i/>
          <w:iCs/>
        </w:rPr>
        <w:t>Glosario de Términos para el Proceso de Planeación, Programación, Presupuestación y Evaluación en la Administración Pública”</w:t>
      </w:r>
      <w:r w:rsidRPr="00247163">
        <w:rPr>
          <w:rFonts w:ascii="Palatino Linotype" w:eastAsia="Palatino Linotype" w:hAnsi="Palatino Linotype" w:cs="Palatino Linotype"/>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77099BCC" w14:textId="77777777" w:rsidR="002F653A" w:rsidRPr="00247163" w:rsidRDefault="002F653A">
      <w:pPr>
        <w:ind w:left="1134" w:right="27"/>
        <w:jc w:val="both"/>
        <w:rPr>
          <w:rFonts w:ascii="Palatino Linotype" w:eastAsia="Palatino Linotype" w:hAnsi="Palatino Linotype" w:cs="Palatino Linotype"/>
        </w:rPr>
      </w:pPr>
    </w:p>
    <w:p w14:paraId="46AAD95F" w14:textId="77777777" w:rsidR="002F653A" w:rsidRPr="00247163" w:rsidRDefault="00CB53E8">
      <w:pPr>
        <w:ind w:left="1134" w:right="1389"/>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lastRenderedPageBreak/>
        <w:t xml:space="preserve">REGISTRO CONTABLE. </w:t>
      </w:r>
      <w:r w:rsidRPr="00247163">
        <w:rPr>
          <w:rFonts w:ascii="Palatino Linotype" w:eastAsia="Palatino Linotype" w:hAnsi="Palatino Linotype" w:cs="Palatino Linotype"/>
          <w:i/>
          <w:iCs/>
        </w:rPr>
        <w:t>Asiento que se realiza en los libros de contabilidad de las actividades relacionadas con el ingreso y egresos de un ente económico.</w:t>
      </w:r>
    </w:p>
    <w:p w14:paraId="2361D985" w14:textId="77777777" w:rsidR="002F653A" w:rsidRPr="00247163" w:rsidRDefault="002F653A">
      <w:pPr>
        <w:ind w:left="1134" w:right="1389"/>
        <w:jc w:val="both"/>
        <w:rPr>
          <w:rFonts w:ascii="Palatino Linotype" w:eastAsia="Palatino Linotype" w:hAnsi="Palatino Linotype" w:cs="Palatino Linotype"/>
          <w:i/>
          <w:iCs/>
        </w:rPr>
      </w:pPr>
    </w:p>
    <w:p w14:paraId="7BE28C25"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 xml:space="preserve">REGISTRO PRESUPUESTARIO. </w:t>
      </w:r>
      <w:r w:rsidRPr="00247163">
        <w:rPr>
          <w:rFonts w:ascii="Palatino Linotype" w:eastAsia="Palatino Linotype" w:hAnsi="Palatino Linotype" w:cs="Palatino Linotype"/>
          <w:i/>
          <w:iCs/>
        </w:rPr>
        <w:t>Asiento contable de las erogaciones realizadas por las dependencias y entidades con relación a la asignación, modificación y ejercicio de los recursos presupuestarios que se les hayan autorizado.</w:t>
      </w:r>
    </w:p>
    <w:p w14:paraId="3D275690" w14:textId="77777777" w:rsidR="002F653A" w:rsidRPr="00247163" w:rsidRDefault="002F653A">
      <w:pPr>
        <w:spacing w:line="360" w:lineRule="auto"/>
        <w:ind w:right="27"/>
        <w:jc w:val="both"/>
        <w:rPr>
          <w:rFonts w:ascii="Palatino Linotype" w:eastAsia="Palatino Linotype" w:hAnsi="Palatino Linotype" w:cs="Palatino Linotype"/>
          <w:highlight w:val="yellow"/>
        </w:rPr>
      </w:pPr>
    </w:p>
    <w:p w14:paraId="2930942D"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En este sentido, </w:t>
      </w:r>
      <w:r w:rsidRPr="00247163">
        <w:rPr>
          <w:rFonts w:ascii="Palatino Linotype" w:eastAsia="Palatino Linotype" w:hAnsi="Palatino Linotype" w:cs="Palatino Linotype"/>
          <w:color w:val="000000"/>
        </w:rPr>
        <w:t>cabe</w:t>
      </w:r>
      <w:r w:rsidRPr="00247163">
        <w:rPr>
          <w:rFonts w:ascii="Palatino Linotype" w:eastAsia="Palatino Linotype" w:hAnsi="Palatino Linotype" w:cs="Palatino Linotype"/>
        </w:rPr>
        <w:t xml:space="preserve"> referir que la Ley de Fiscalización Superior del Estado de México prevé en su artículo 4 que los Poderes Públicos del Estado son considerados entes fiscalizables, tal como se observa a continuación:</w:t>
      </w:r>
    </w:p>
    <w:p w14:paraId="7839257B"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4.</w:t>
      </w:r>
      <w:r w:rsidRPr="00247163">
        <w:rPr>
          <w:rFonts w:ascii="Palatino Linotype" w:eastAsia="Palatino Linotype" w:hAnsi="Palatino Linotype" w:cs="Palatino Linotype"/>
          <w:i/>
          <w:iCs/>
        </w:rPr>
        <w:t xml:space="preserve"> Son sujetos de fiscalización:</w:t>
      </w:r>
    </w:p>
    <w:p w14:paraId="435FCF7A"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I. Los Poderes Públicos del Estado;</w:t>
      </w:r>
    </w:p>
    <w:p w14:paraId="4DA75575" w14:textId="77777777" w:rsidR="002F653A" w:rsidRPr="00247163" w:rsidRDefault="00CB53E8">
      <w:pPr>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II. Los municipios del Estado de México;</w:t>
      </w:r>
    </w:p>
    <w:p w14:paraId="2786570D" w14:textId="77777777" w:rsidR="002F653A" w:rsidRPr="00247163" w:rsidRDefault="00CB53E8">
      <w:pPr>
        <w:ind w:left="1134" w:right="822"/>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Asimismo, el ordenamiento legal referido señala en su artículo 8, fracción XI lo siguiente: </w:t>
      </w:r>
    </w:p>
    <w:p w14:paraId="67C656A0" w14:textId="77777777" w:rsidR="002F653A" w:rsidRPr="00247163" w:rsidRDefault="002F653A">
      <w:pPr>
        <w:ind w:left="1134" w:right="822"/>
        <w:jc w:val="both"/>
        <w:rPr>
          <w:rFonts w:ascii="Palatino Linotype" w:eastAsia="Palatino Linotype" w:hAnsi="Palatino Linotype" w:cs="Palatino Linotype"/>
        </w:rPr>
      </w:pPr>
    </w:p>
    <w:p w14:paraId="3EF62E36"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Artículo 8. El Órgano Superior tendrá las siguientes atribuciones:</w:t>
      </w:r>
    </w:p>
    <w:p w14:paraId="0557B1A6"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1046F397"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XI. </w:t>
      </w:r>
      <w:r w:rsidRPr="00247163">
        <w:rPr>
          <w:rFonts w:ascii="Palatino Linotype" w:eastAsia="Palatino Linotype" w:hAnsi="Palatino Linotype" w:cs="Palatino Linotype"/>
          <w:b/>
          <w:bCs/>
          <w:i/>
          <w:iCs/>
        </w:rPr>
        <w:t>Establecer los lineamientos, criterios, procedimientos, métodos y sistemas para las acciones de control y evaluación, necesarios para la fiscalización de las cuentas públicas y los informes trimestrales</w:t>
      </w:r>
      <w:r w:rsidRPr="00247163">
        <w:rPr>
          <w:rFonts w:ascii="Palatino Linotype" w:eastAsia="Palatino Linotype" w:hAnsi="Palatino Linotype" w:cs="Palatino Linotype"/>
          <w:i/>
          <w:iCs/>
        </w:rPr>
        <w:t xml:space="preserve">…” </w:t>
      </w:r>
    </w:p>
    <w:p w14:paraId="0CFBA9DF" w14:textId="77777777" w:rsidR="002F653A" w:rsidRPr="00247163" w:rsidRDefault="002F653A">
      <w:pPr>
        <w:tabs>
          <w:tab w:val="left" w:pos="284"/>
        </w:tabs>
        <w:spacing w:line="360" w:lineRule="auto"/>
        <w:ind w:right="27"/>
        <w:jc w:val="both"/>
        <w:rPr>
          <w:rFonts w:ascii="Palatino Linotype" w:eastAsia="Palatino Linotype" w:hAnsi="Palatino Linotype" w:cs="Palatino Linotype"/>
          <w:highlight w:val="yellow"/>
        </w:rPr>
      </w:pPr>
    </w:p>
    <w:p w14:paraId="2DB08477"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De la normatividad previamente plasmada,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67D68266" w14:textId="77777777" w:rsidR="002F653A" w:rsidRPr="00247163" w:rsidRDefault="002F653A">
      <w:pPr>
        <w:ind w:right="27"/>
        <w:jc w:val="both"/>
        <w:rPr>
          <w:rFonts w:ascii="Palatino Linotype" w:eastAsia="Palatino Linotype" w:hAnsi="Palatino Linotype" w:cs="Palatino Linotype"/>
          <w:i/>
          <w:iCs/>
        </w:rPr>
      </w:pPr>
    </w:p>
    <w:p w14:paraId="2B557399"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En ese orden de ideas, es oportuno referir que en relación a los Informes Trimestral </w:t>
      </w:r>
      <w:r w:rsidRPr="00247163">
        <w:rPr>
          <w:rFonts w:ascii="Palatino Linotype" w:eastAsia="Palatino Linotype" w:hAnsi="Palatino Linotype" w:cs="Palatino Linotype"/>
          <w:b/>
          <w:bCs/>
        </w:rPr>
        <w:t>Municipales</w:t>
      </w:r>
      <w:r w:rsidRPr="00247163">
        <w:rPr>
          <w:rFonts w:ascii="Palatino Linotype" w:eastAsia="Palatino Linotype" w:hAnsi="Palatino Linotype" w:cs="Palatino Linotype"/>
        </w:rPr>
        <w:t xml:space="preserve"> Ejercicio Fiscal 2025, del Órgano Superior de Fiscalización del Estado </w:t>
      </w:r>
      <w:r w:rsidRPr="00247163">
        <w:rPr>
          <w:rFonts w:ascii="Palatino Linotype" w:eastAsia="Palatino Linotype" w:hAnsi="Palatino Linotype" w:cs="Palatino Linotype"/>
        </w:rPr>
        <w:lastRenderedPageBreak/>
        <w:t xml:space="preserve">de México (OSFEM), consultable en el link </w:t>
      </w:r>
      <w:hyperlink r:id="rId17">
        <w:r w:rsidRPr="00247163">
          <w:rPr>
            <w:rFonts w:ascii="Palatino Linotype" w:eastAsia="Palatino Linotype" w:hAnsi="Palatino Linotype" w:cs="Palatino Linotype"/>
            <w:color w:val="0000FF"/>
            <w:u w:val="single"/>
          </w:rPr>
          <w:t>https://www.osfem.gob.mx/entidades/documentos_apoyo.html</w:t>
        </w:r>
      </w:hyperlink>
      <w:r w:rsidRPr="00247163">
        <w:rPr>
          <w:rFonts w:ascii="Palatino Linotype" w:eastAsia="Palatino Linotype" w:hAnsi="Palatino Linotype" w:cs="Palatino Linotype"/>
        </w:rPr>
        <w:t xml:space="preserve">  en el “Instructivo del Módulo 1 de Información Contable y Financiera”, en su apartado denominado </w:t>
      </w:r>
      <w:r w:rsidRPr="00247163">
        <w:rPr>
          <w:rFonts w:ascii="Palatino Linotype" w:eastAsia="Palatino Linotype" w:hAnsi="Palatino Linotype" w:cs="Palatino Linotype"/>
          <w:b/>
          <w:bCs/>
        </w:rPr>
        <w:t xml:space="preserve">“31. Pólizas de Egresos con los documentos comprobatorios”, </w:t>
      </w:r>
      <w:r w:rsidRPr="00247163">
        <w:rPr>
          <w:rFonts w:ascii="Palatino Linotype" w:eastAsia="Palatino Linotype" w:hAnsi="Palatino Linotype" w:cs="Palatino Linotype"/>
        </w:rPr>
        <w:t xml:space="preserve"> Este tipo de póliza refleja cualquier operación contable en la que se produzca una salida de efectivo o erogaciones, a través de transferencias bancarias electrónicas. No obstante, si dicha erogación se realiza a través de un cheque bancario, la póliza contable será una póliza de cheque. </w:t>
      </w:r>
      <w:r w:rsidRPr="00247163">
        <w:rPr>
          <w:rFonts w:ascii="Palatino Linotype" w:eastAsia="Palatino Linotype" w:hAnsi="Palatino Linotype" w:cs="Palatino Linotype"/>
          <w:b/>
          <w:bCs/>
          <w:u w:val="single"/>
        </w:rPr>
        <w:t>Las pólizas de egresos</w:t>
      </w:r>
      <w:r w:rsidRPr="00247163">
        <w:rPr>
          <w:rFonts w:ascii="Palatino Linotype" w:eastAsia="Palatino Linotype" w:hAnsi="Palatino Linotype" w:cs="Palatino Linotype"/>
        </w:rPr>
        <w:t xml:space="preserve"> deberán ser las que emita su sistema y </w:t>
      </w:r>
      <w:r w:rsidRPr="00247163">
        <w:rPr>
          <w:rFonts w:ascii="Palatino Linotype" w:eastAsia="Palatino Linotype" w:hAnsi="Palatino Linotype" w:cs="Palatino Linotype"/>
          <w:b/>
          <w:bCs/>
          <w:u w:val="single"/>
        </w:rPr>
        <w:t>deberán estar soportadas por toda la documentación comprobatoria que justifique el egreso</w:t>
      </w:r>
      <w:r w:rsidRPr="00247163">
        <w:rPr>
          <w:rFonts w:ascii="Palatino Linotype" w:eastAsia="Palatino Linotype" w:hAnsi="Palatino Linotype" w:cs="Palatino Linotype"/>
        </w:rPr>
        <w:t>, las cuales deberán coincidir con las presentadas en el Diario General de Pólizas de cada uno de los meses que corresponda. A modo de ilustración se adjunta imagen del formato de la póliza de egresos.</w:t>
      </w:r>
    </w:p>
    <w:p w14:paraId="084087AE" w14:textId="77777777" w:rsidR="002F653A" w:rsidRPr="00247163" w:rsidRDefault="002F653A">
      <w:pPr>
        <w:pBdr>
          <w:top w:val="nil"/>
          <w:left w:val="nil"/>
          <w:bottom w:val="nil"/>
          <w:right w:val="nil"/>
          <w:between w:val="nil"/>
        </w:pBdr>
        <w:spacing w:line="360" w:lineRule="auto"/>
        <w:ind w:right="27"/>
        <w:jc w:val="both"/>
        <w:rPr>
          <w:rFonts w:ascii="Palatino Linotype" w:eastAsia="Palatino Linotype" w:hAnsi="Palatino Linotype" w:cs="Palatino Linotype"/>
        </w:rPr>
      </w:pPr>
    </w:p>
    <w:p w14:paraId="2EA1E28C" w14:textId="77777777" w:rsidR="002F653A" w:rsidRPr="00247163" w:rsidRDefault="00CB53E8">
      <w:pPr>
        <w:pBdr>
          <w:top w:val="nil"/>
          <w:left w:val="nil"/>
          <w:bottom w:val="nil"/>
          <w:right w:val="nil"/>
          <w:between w:val="nil"/>
        </w:pBdr>
        <w:spacing w:line="360" w:lineRule="auto"/>
        <w:ind w:right="27"/>
        <w:jc w:val="center"/>
        <w:rPr>
          <w:rFonts w:ascii="Palatino Linotype" w:eastAsia="Palatino Linotype" w:hAnsi="Palatino Linotype" w:cs="Palatino Linotype"/>
        </w:rPr>
      </w:pPr>
      <w:r w:rsidRPr="00247163">
        <w:rPr>
          <w:rFonts w:ascii="Palatino Linotype" w:eastAsia="Palatino Linotype" w:hAnsi="Palatino Linotype" w:cs="Palatino Linotype"/>
          <w:noProof/>
        </w:rPr>
        <w:drawing>
          <wp:inline distT="0" distB="0" distL="0" distR="0" wp14:anchorId="3C5BDA41" wp14:editId="2AD0C5EF">
            <wp:extent cx="3783033" cy="3252615"/>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3783033" cy="3252615"/>
                    </a:xfrm>
                    <a:prstGeom prst="rect">
                      <a:avLst/>
                    </a:prstGeom>
                    <a:ln/>
                  </pic:spPr>
                </pic:pic>
              </a:graphicData>
            </a:graphic>
          </wp:inline>
        </w:drawing>
      </w:r>
    </w:p>
    <w:p w14:paraId="137CE184" w14:textId="77777777" w:rsidR="002F653A" w:rsidRPr="00247163" w:rsidRDefault="002F653A">
      <w:pPr>
        <w:pBdr>
          <w:top w:val="nil"/>
          <w:left w:val="nil"/>
          <w:bottom w:val="nil"/>
          <w:right w:val="nil"/>
          <w:between w:val="nil"/>
        </w:pBdr>
        <w:spacing w:line="360" w:lineRule="auto"/>
        <w:ind w:right="27"/>
        <w:jc w:val="both"/>
        <w:rPr>
          <w:rFonts w:ascii="Palatino Linotype" w:eastAsia="Palatino Linotype" w:hAnsi="Palatino Linotype" w:cs="Palatino Linotype"/>
        </w:rPr>
      </w:pPr>
    </w:p>
    <w:p w14:paraId="38E43176"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b/>
          <w:bCs/>
        </w:rPr>
        <w:lastRenderedPageBreak/>
        <w:t>“33. Pólizas de Cheques con los documentos comprobatorios”</w:t>
      </w:r>
      <w:r w:rsidRPr="00247163">
        <w:rPr>
          <w:rFonts w:ascii="Palatino Linotype" w:eastAsia="Palatino Linotype" w:hAnsi="Palatino Linotype" w:cs="Palatino Linotype"/>
        </w:rPr>
        <w:t xml:space="preserve"> Este tipo de póliza se utiliza en caso de erogaciones realizadas a través de un cheque. </w:t>
      </w:r>
      <w:r w:rsidRPr="00247163">
        <w:rPr>
          <w:rFonts w:ascii="Palatino Linotype" w:eastAsia="Palatino Linotype" w:hAnsi="Palatino Linotype" w:cs="Palatino Linotype"/>
          <w:b/>
          <w:bCs/>
          <w:u w:val="single"/>
        </w:rPr>
        <w:t>Las pólizas de cheque deberán</w:t>
      </w:r>
      <w:r w:rsidRPr="00247163">
        <w:rPr>
          <w:rFonts w:ascii="Palatino Linotype" w:eastAsia="Palatino Linotype" w:hAnsi="Palatino Linotype" w:cs="Palatino Linotype"/>
        </w:rPr>
        <w:t xml:space="preserve"> ser las que emita su sistema y </w:t>
      </w:r>
      <w:r w:rsidRPr="00247163">
        <w:rPr>
          <w:rFonts w:ascii="Palatino Linotype" w:eastAsia="Palatino Linotype" w:hAnsi="Palatino Linotype" w:cs="Palatino Linotype"/>
          <w:b/>
          <w:bCs/>
          <w:u w:val="single"/>
        </w:rPr>
        <w:t>deberán estar soportadas por toda la documentación comprobatoria que justifique la erogación</w:t>
      </w:r>
      <w:r w:rsidRPr="00247163">
        <w:rPr>
          <w:rFonts w:ascii="Palatino Linotype" w:eastAsia="Palatino Linotype" w:hAnsi="Palatino Linotype" w:cs="Palatino Linotype"/>
        </w:rPr>
        <w:t>, las cuales deberán coincidir con las presentadas en el Diario General de Pólizas de cada uno de los meses que corresponda. A modo de ilustración se adjunta imagen del formato de la póliza de cheques.</w:t>
      </w:r>
    </w:p>
    <w:p w14:paraId="254A51A9" w14:textId="77777777" w:rsidR="002F653A" w:rsidRPr="00247163" w:rsidRDefault="002F653A">
      <w:pPr>
        <w:pBdr>
          <w:top w:val="nil"/>
          <w:left w:val="nil"/>
          <w:bottom w:val="nil"/>
          <w:right w:val="nil"/>
          <w:between w:val="nil"/>
        </w:pBdr>
        <w:spacing w:line="360" w:lineRule="auto"/>
        <w:ind w:right="27"/>
        <w:jc w:val="both"/>
        <w:rPr>
          <w:rFonts w:ascii="Palatino Linotype" w:eastAsia="Palatino Linotype" w:hAnsi="Palatino Linotype" w:cs="Palatino Linotype"/>
          <w:b/>
          <w:bCs/>
        </w:rPr>
      </w:pPr>
    </w:p>
    <w:p w14:paraId="2F2B9969" w14:textId="77777777" w:rsidR="002F653A" w:rsidRDefault="00CB53E8">
      <w:pPr>
        <w:pBdr>
          <w:top w:val="nil"/>
          <w:left w:val="nil"/>
          <w:bottom w:val="nil"/>
          <w:right w:val="nil"/>
          <w:between w:val="nil"/>
        </w:pBdr>
        <w:spacing w:line="360" w:lineRule="auto"/>
        <w:ind w:right="27"/>
        <w:jc w:val="center"/>
        <w:rPr>
          <w:rFonts w:ascii="Palatino Linotype" w:eastAsia="Palatino Linotype" w:hAnsi="Palatino Linotype" w:cs="Palatino Linotype"/>
          <w:b/>
          <w:bCs/>
        </w:rPr>
      </w:pPr>
      <w:r w:rsidRPr="00247163">
        <w:rPr>
          <w:rFonts w:ascii="Palatino Linotype" w:eastAsia="Palatino Linotype" w:hAnsi="Palatino Linotype" w:cs="Palatino Linotype"/>
          <w:b/>
          <w:bCs/>
          <w:noProof/>
        </w:rPr>
        <w:drawing>
          <wp:inline distT="0" distB="0" distL="0" distR="0" wp14:anchorId="26461EE5" wp14:editId="6B1BEC17">
            <wp:extent cx="3706231" cy="3079463"/>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3706231" cy="3079463"/>
                    </a:xfrm>
                    <a:prstGeom prst="rect">
                      <a:avLst/>
                    </a:prstGeom>
                    <a:ln/>
                  </pic:spPr>
                </pic:pic>
              </a:graphicData>
            </a:graphic>
          </wp:inline>
        </w:drawing>
      </w:r>
    </w:p>
    <w:p w14:paraId="28522256" w14:textId="77777777" w:rsidR="00247163" w:rsidRPr="00247163" w:rsidRDefault="00247163">
      <w:pPr>
        <w:pBdr>
          <w:top w:val="nil"/>
          <w:left w:val="nil"/>
          <w:bottom w:val="nil"/>
          <w:right w:val="nil"/>
          <w:between w:val="nil"/>
        </w:pBdr>
        <w:spacing w:line="360" w:lineRule="auto"/>
        <w:ind w:right="27"/>
        <w:jc w:val="center"/>
        <w:rPr>
          <w:rFonts w:ascii="Palatino Linotype" w:eastAsia="Palatino Linotype" w:hAnsi="Palatino Linotype" w:cs="Palatino Linotype"/>
          <w:b/>
          <w:bCs/>
        </w:rPr>
      </w:pPr>
    </w:p>
    <w:p w14:paraId="36A922E4"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 xml:space="preserve">Como se puedo observar, </w:t>
      </w:r>
      <w:r w:rsidRPr="00247163">
        <w:rPr>
          <w:rFonts w:ascii="Palatino Linotype" w:eastAsia="Palatino Linotype" w:hAnsi="Palatino Linotype" w:cs="Palatino Linotype"/>
          <w:b/>
          <w:bCs/>
        </w:rPr>
        <w:t>las pólizas de egresos y las pólizas de cheques, de manera enunciativa mas no limitativa pueden colmar la pretensión del Recurrente</w:t>
      </w:r>
      <w:r w:rsidRPr="00247163">
        <w:rPr>
          <w:rFonts w:ascii="Palatino Linotype" w:eastAsia="Palatino Linotype" w:hAnsi="Palatino Linotype" w:cs="Palatino Linotype"/>
        </w:rPr>
        <w:t xml:space="preserve">, pues contiene la información solicitada; asimismo es de referir que estos formatos se generan de manera mensual, como lo disponen los Lineamientos, fechas de capacitación y calendarización para la integración y presentación de los informes trimestrales estatales y municipales del ejercicio fiscal 2025, de las entidades fiscalizables del Estado de México, consultables en el siguiente link </w:t>
      </w:r>
      <w:hyperlink r:id="rId20">
        <w:r w:rsidRPr="00247163">
          <w:rPr>
            <w:rFonts w:ascii="Palatino Linotype" w:eastAsia="Palatino Linotype" w:hAnsi="Palatino Linotype" w:cs="Palatino Linotype"/>
            <w:color w:val="0000FF"/>
            <w:u w:val="single"/>
          </w:rPr>
          <w:t>https://legislacion.edomex.gob.mx/sites/legislacion.edomex.gob.mx/files/files/pdf/gct/2025/abril/abr011/abr011a.pdf</w:t>
        </w:r>
      </w:hyperlink>
      <w:r w:rsidRPr="00247163">
        <w:rPr>
          <w:rFonts w:ascii="Palatino Linotype" w:eastAsia="Palatino Linotype" w:hAnsi="Palatino Linotype" w:cs="Palatino Linotype"/>
        </w:rPr>
        <w:t xml:space="preserve"> , tal como se muestra a continuación:</w:t>
      </w:r>
    </w:p>
    <w:p w14:paraId="11AC6530" w14:textId="77777777" w:rsidR="002F653A" w:rsidRPr="00247163" w:rsidRDefault="002F653A">
      <w:pPr>
        <w:pBdr>
          <w:top w:val="nil"/>
          <w:left w:val="nil"/>
          <w:bottom w:val="nil"/>
          <w:right w:val="nil"/>
          <w:between w:val="nil"/>
        </w:pBdr>
        <w:ind w:right="27"/>
        <w:rPr>
          <w:rFonts w:ascii="Palatino Linotype" w:eastAsia="Palatino Linotype" w:hAnsi="Palatino Linotype" w:cs="Palatino Linotype"/>
          <w:highlight w:val="green"/>
        </w:rPr>
      </w:pPr>
    </w:p>
    <w:p w14:paraId="1DB2AC8B" w14:textId="77777777" w:rsidR="002F653A" w:rsidRPr="00247163" w:rsidRDefault="00CB53E8">
      <w:pPr>
        <w:pBdr>
          <w:top w:val="nil"/>
          <w:left w:val="nil"/>
          <w:bottom w:val="nil"/>
          <w:right w:val="nil"/>
          <w:between w:val="nil"/>
        </w:pBdr>
        <w:ind w:right="27"/>
        <w:jc w:val="center"/>
        <w:rPr>
          <w:rFonts w:ascii="Palatino Linotype" w:eastAsia="Palatino Linotype" w:hAnsi="Palatino Linotype" w:cs="Palatino Linotype"/>
          <w:highlight w:val="green"/>
        </w:rPr>
      </w:pPr>
      <w:r w:rsidRPr="00247163">
        <w:rPr>
          <w:rFonts w:ascii="Palatino Linotype" w:eastAsia="Palatino Linotype" w:hAnsi="Palatino Linotype" w:cs="Palatino Linotype"/>
          <w:noProof/>
        </w:rPr>
        <w:drawing>
          <wp:inline distT="0" distB="0" distL="0" distR="0" wp14:anchorId="293D1156" wp14:editId="26CEE823">
            <wp:extent cx="5277299" cy="2300705"/>
            <wp:effectExtent l="0" t="0" r="0" b="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5277299" cy="2300705"/>
                    </a:xfrm>
                    <a:prstGeom prst="rect">
                      <a:avLst/>
                    </a:prstGeom>
                    <a:ln/>
                  </pic:spPr>
                </pic:pic>
              </a:graphicData>
            </a:graphic>
          </wp:inline>
        </w:drawing>
      </w:r>
    </w:p>
    <w:p w14:paraId="6A921C9F" w14:textId="77777777" w:rsidR="002F653A" w:rsidRPr="00247163" w:rsidRDefault="002F653A">
      <w:pPr>
        <w:pBdr>
          <w:top w:val="nil"/>
          <w:left w:val="nil"/>
          <w:bottom w:val="nil"/>
          <w:right w:val="nil"/>
          <w:between w:val="nil"/>
        </w:pBdr>
        <w:spacing w:line="360" w:lineRule="auto"/>
        <w:ind w:right="27"/>
        <w:jc w:val="both"/>
        <w:rPr>
          <w:rFonts w:ascii="Palatino Linotype" w:eastAsia="Palatino Linotype" w:hAnsi="Palatino Linotype" w:cs="Palatino Linotype"/>
        </w:rPr>
      </w:pPr>
    </w:p>
    <w:p w14:paraId="0260EE96"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En razón de lo expuesto, los sujetos obligados deberán hacer pública toda aquella información relativa a los montos y las personas a quienes entreguen, por cualquier motivo, recursos públicos y en consecuencia, los servidores públicos deberán transparentar sus acciones así como garantizar y respetar el derecho de acceso a la información pública.</w:t>
      </w:r>
    </w:p>
    <w:p w14:paraId="5BAD9668" w14:textId="77777777" w:rsidR="002F653A" w:rsidRPr="00247163" w:rsidRDefault="002F653A">
      <w:pPr>
        <w:spacing w:line="360" w:lineRule="auto"/>
        <w:ind w:right="27"/>
        <w:jc w:val="both"/>
        <w:rPr>
          <w:rFonts w:ascii="Palatino Linotype" w:eastAsia="Palatino Linotype" w:hAnsi="Palatino Linotype" w:cs="Palatino Linotype"/>
          <w:u w:val="single"/>
        </w:rPr>
      </w:pPr>
    </w:p>
    <w:p w14:paraId="2D6FEA2D" w14:textId="77F970FE" w:rsidR="002F653A" w:rsidRPr="00247163" w:rsidRDefault="00CB53E8" w:rsidP="00247163">
      <w:pPr>
        <w:pStyle w:val="Prrafodelista"/>
        <w:numPr>
          <w:ilvl w:val="0"/>
          <w:numId w:val="36"/>
        </w:numPr>
        <w:pBdr>
          <w:top w:val="nil"/>
          <w:left w:val="nil"/>
          <w:bottom w:val="nil"/>
          <w:right w:val="nil"/>
          <w:between w:val="nil"/>
        </w:pBdr>
        <w:spacing w:line="360" w:lineRule="auto"/>
        <w:ind w:left="0" w:right="-591" w:firstLine="0"/>
        <w:jc w:val="both"/>
        <w:rPr>
          <w:i/>
          <w:iCs/>
          <w:color w:val="000000"/>
        </w:rPr>
      </w:pPr>
      <w:r w:rsidRPr="00247163">
        <w:rPr>
          <w:rFonts w:ascii="Palatino Linotype" w:eastAsia="Palatino Linotype" w:hAnsi="Palatino Linotype" w:cs="Palatino Linotype"/>
        </w:rPr>
        <w:t>En este mismo sentido se tiene como obligación de transparencia común la de poner a disposición la información relativa a las concesiones, contratos, convenios, permisos, ampliaciones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39779B63"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rPr>
      </w:pPr>
    </w:p>
    <w:p w14:paraId="3C90F30A" w14:textId="3D25E5EF" w:rsidR="002F653A" w:rsidRPr="00247163" w:rsidRDefault="00CB53E8" w:rsidP="00247163">
      <w:pPr>
        <w:pStyle w:val="Prrafodelista"/>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lastRenderedPageBreak/>
        <w:t xml:space="preserve">Ahora bien, relativo a los puntos </w:t>
      </w:r>
      <w:r w:rsidRPr="00247163">
        <w:rPr>
          <w:rFonts w:ascii="Palatino Linotype" w:eastAsia="Palatino Linotype" w:hAnsi="Palatino Linotype" w:cs="Palatino Linotype"/>
          <w:i/>
          <w:iCs/>
          <w:color w:val="000000"/>
        </w:rPr>
        <w:t xml:space="preserve">j  y trece </w:t>
      </w:r>
      <w:r w:rsidRPr="00247163">
        <w:rPr>
          <w:rFonts w:ascii="Palatino Linotype" w:eastAsia="Palatino Linotype" w:hAnsi="Palatino Linotype" w:cs="Palatino Linotype"/>
          <w:color w:val="000000"/>
        </w:rPr>
        <w:t xml:space="preserve">relativos  a </w:t>
      </w:r>
      <w:r w:rsidRPr="00247163">
        <w:rPr>
          <w:rFonts w:ascii="Palatino Linotype" w:eastAsia="Palatino Linotype" w:hAnsi="Palatino Linotype" w:cs="Palatino Linotype"/>
          <w:i/>
          <w:iCs/>
          <w:color w:val="000000"/>
        </w:rPr>
        <w:t>Padrón de beneficiarios de cualquier tipo de apoyo</w:t>
      </w:r>
      <w:r w:rsidRPr="00247163">
        <w:rPr>
          <w:rFonts w:ascii="Palatino Linotype" w:eastAsia="Palatino Linotype" w:hAnsi="Palatino Linotype" w:cs="Palatino Linotype"/>
          <w:color w:val="000000"/>
        </w:rPr>
        <w:t>; de lo anterior, l</w:t>
      </w:r>
      <w:r w:rsidRPr="00247163">
        <w:rPr>
          <w:rFonts w:ascii="Palatino Linotype" w:eastAsia="Palatino Linotype" w:hAnsi="Palatino Linotype" w:cs="Palatino Linotype"/>
        </w:rPr>
        <w:t xml:space="preserve">a Ley de </w:t>
      </w:r>
      <w:r w:rsidRPr="00247163">
        <w:rPr>
          <w:rFonts w:ascii="Palatino Linotype" w:eastAsia="Palatino Linotype" w:hAnsi="Palatino Linotype" w:cs="Palatino Linotype"/>
          <w:color w:val="000000"/>
        </w:rPr>
        <w:t>Transparencia</w:t>
      </w:r>
      <w:r w:rsidRPr="00247163">
        <w:rPr>
          <w:rFonts w:ascii="Palatino Linotype" w:eastAsia="Palatino Linotype" w:hAnsi="Palatino Linotype" w:cs="Palatino Linotype"/>
        </w:rPr>
        <w:t xml:space="preserve"> y Acceso a la Información Pública del Estado de México y Municipios en el artículo 92 fracción XIV inciso f) y p) establece lo siguiente:</w:t>
      </w:r>
    </w:p>
    <w:p w14:paraId="1FC8AAD0"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04DC1C7"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720FF5C9"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XIV. La información de los programas de subsidios, estímulos y apoyos, en el que se deberá informar respecto de los programas de transferencia, de servicios, de infraestructura social y de subsidio, en los que se deberá contener lo siguiente:</w:t>
      </w:r>
    </w:p>
    <w:p w14:paraId="69552205"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0206F95B"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f) Población beneficiada estimada;</w:t>
      </w:r>
    </w:p>
    <w:p w14:paraId="6098BBDF"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5E6C5379"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p) Padrón de beneficiarios</w:t>
      </w:r>
      <w:r w:rsidRPr="00247163">
        <w:rPr>
          <w:rFonts w:ascii="Palatino Linotype" w:eastAsia="Palatino Linotype" w:hAnsi="Palatino Linotype" w:cs="Palatino Linotype"/>
          <w:i/>
          <w:iCs/>
        </w:rPr>
        <w:t xml:space="preserve"> mismo que deberá contener los siguientes datos: nombre de la persona física o denominación social de las personas jurídicas colectivas beneficiadas, el monto, recurso, beneficio o apoyo otorgado para cada una de ellas, unidad territorial, en su caso, edad y sexo.</w:t>
      </w:r>
    </w:p>
    <w:p w14:paraId="7CCB244B" w14:textId="77777777" w:rsidR="002F653A" w:rsidRPr="00247163" w:rsidRDefault="002F653A">
      <w:pPr>
        <w:spacing w:line="360" w:lineRule="auto"/>
        <w:ind w:left="1134" w:right="-591"/>
        <w:jc w:val="both"/>
        <w:rPr>
          <w:rFonts w:ascii="Palatino Linotype" w:eastAsia="Palatino Linotype" w:hAnsi="Palatino Linotype" w:cs="Palatino Linotype"/>
          <w:i/>
          <w:iCs/>
        </w:rPr>
      </w:pPr>
    </w:p>
    <w:p w14:paraId="183C3B33"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En materia de transparencia se determina que es pública aquella información relativa a los beneficiarios de programas de apoyo, subsidios, estímulos o apoyos, dicho padrón debe contener información como nombre, monto, recurso, edad y sexo.</w:t>
      </w:r>
    </w:p>
    <w:p w14:paraId="59B7C102"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79744D61"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 xml:space="preserve">Los </w:t>
      </w:r>
      <w:r w:rsidRPr="00247163">
        <w:rPr>
          <w:rFonts w:ascii="Palatino Linotype" w:eastAsia="Palatino Linotype" w:hAnsi="Palatino Linotype" w:cs="Palatino Linotype"/>
          <w:i/>
          <w:iCs/>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w:t>
      </w:r>
      <w:r w:rsidRPr="00247163">
        <w:rPr>
          <w:rFonts w:ascii="Palatino Linotype" w:eastAsia="Palatino Linotype" w:hAnsi="Palatino Linotype" w:cs="Palatino Linotype"/>
          <w:i/>
          <w:iCs/>
        </w:rPr>
        <w:lastRenderedPageBreak/>
        <w:t xml:space="preserve">obligados en los portales de Internet y en la Plataforma Nacional de Transparencia </w:t>
      </w:r>
      <w:r w:rsidRPr="00247163">
        <w:rPr>
          <w:rFonts w:ascii="Palatino Linotype" w:eastAsia="Palatino Linotype" w:hAnsi="Palatino Linotype" w:cs="Palatino Linotype"/>
        </w:rPr>
        <w:t>al respecto establecen lo siguiente:</w:t>
      </w:r>
    </w:p>
    <w:p w14:paraId="7DC97267"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XV. La información de los programas de subsidios, estímulos y apoyos, en el que se deberá informar respecto de los programas de transferencia, de servicios, de infraestructura social y de subsidio, en los que se deberá contener lo siguiente:</w:t>
      </w:r>
    </w:p>
    <w:p w14:paraId="3436D679"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36CEBFF1" w14:textId="77777777" w:rsidR="002F653A" w:rsidRPr="00247163" w:rsidRDefault="00CB53E8">
      <w:pPr>
        <w:ind w:left="1134" w:right="1389"/>
        <w:jc w:val="both"/>
        <w:rPr>
          <w:rFonts w:ascii="Palatino Linotype" w:eastAsia="Palatino Linotype" w:hAnsi="Palatino Linotype" w:cs="Palatino Linotype"/>
          <w:b/>
          <w:bCs/>
          <w:i/>
          <w:iCs/>
        </w:rPr>
      </w:pPr>
      <w:r w:rsidRPr="00247163">
        <w:rPr>
          <w:rFonts w:ascii="Palatino Linotype" w:eastAsia="Palatino Linotype" w:hAnsi="Palatino Linotype" w:cs="Palatino Linotype"/>
          <w:i/>
          <w:iCs/>
        </w:rPr>
        <w:t xml:space="preserve">q) </w:t>
      </w:r>
      <w:r w:rsidRPr="00247163">
        <w:rPr>
          <w:rFonts w:ascii="Palatino Linotype" w:eastAsia="Palatino Linotype" w:hAnsi="Palatino Linotype" w:cs="Palatino Linotype"/>
          <w:b/>
          <w:bCs/>
          <w:i/>
          <w:iCs/>
        </w:rPr>
        <w:t>Padrón de beneficiarios</w:t>
      </w:r>
      <w:r w:rsidRPr="00247163">
        <w:rPr>
          <w:rFonts w:ascii="Palatino Linotype" w:eastAsia="Palatino Linotype" w:hAnsi="Palatino Linotype" w:cs="Palatino Linotype"/>
          <w:i/>
          <w:iCs/>
        </w:rPr>
        <w:t xml:space="preserve"> mismo que deberá contener los siguientes datos: </w:t>
      </w:r>
      <w:r w:rsidRPr="00247163">
        <w:rPr>
          <w:rFonts w:ascii="Palatino Linotype" w:eastAsia="Palatino Linotype" w:hAnsi="Palatino Linotype" w:cs="Palatino Linotype"/>
          <w:b/>
          <w:bCs/>
          <w:i/>
          <w:iCs/>
        </w:rPr>
        <w:t>nombre de la persona física o denominación social de las personas morales beneficiarias, el monto, recurso, beneficio o apoyo otorgado para cada una de ellas, unidad territorial, en su caso edad y sexo;</w:t>
      </w:r>
    </w:p>
    <w:p w14:paraId="34A64E2D"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6B11F514" w14:textId="77777777" w:rsidR="002F653A" w:rsidRPr="00247163" w:rsidRDefault="002F653A">
      <w:pPr>
        <w:ind w:left="1134" w:right="1389"/>
        <w:jc w:val="both"/>
        <w:rPr>
          <w:rFonts w:ascii="Palatino Linotype" w:eastAsia="Palatino Linotype" w:hAnsi="Palatino Linotype" w:cs="Palatino Linotype"/>
          <w:i/>
          <w:iCs/>
        </w:rPr>
      </w:pPr>
    </w:p>
    <w:p w14:paraId="2AF3ED37"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Respecto al tipo o naturaleza del programa social se deberá especificar si corresponde a alguno de los siguientes: </w:t>
      </w:r>
    </w:p>
    <w:p w14:paraId="6AE00EA6"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309EF4EF"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b. </w:t>
      </w:r>
      <w:r w:rsidRPr="00247163">
        <w:rPr>
          <w:rFonts w:ascii="Palatino Linotype" w:eastAsia="Palatino Linotype" w:hAnsi="Palatino Linotype" w:cs="Palatino Linotype"/>
          <w:b/>
          <w:bCs/>
          <w:i/>
          <w:iCs/>
        </w:rPr>
        <w:t>Programas de servicios</w:t>
      </w:r>
      <w:r w:rsidRPr="00247163">
        <w:rPr>
          <w:rFonts w:ascii="Palatino Linotype" w:eastAsia="Palatino Linotype" w:hAnsi="Palatino Linotype" w:cs="Palatino Linotype"/>
          <w:i/>
          <w:iCs/>
        </w:rPr>
        <w:t xml:space="preserve">: </w:t>
      </w:r>
      <w:r w:rsidRPr="00247163">
        <w:rPr>
          <w:rFonts w:ascii="Palatino Linotype" w:eastAsia="Palatino Linotype" w:hAnsi="Palatino Linotype" w:cs="Palatino Linotype"/>
          <w:b/>
          <w:bCs/>
          <w:i/>
          <w:iCs/>
        </w:rPr>
        <w:t>ofrecen un conjunto de actividades con el fin de atender necesidades específicas de determinada comunidad</w:t>
      </w:r>
      <w:r w:rsidRPr="00247163">
        <w:rPr>
          <w:rFonts w:ascii="Palatino Linotype" w:eastAsia="Palatino Linotype" w:hAnsi="Palatino Linotype" w:cs="Palatino Linotype"/>
          <w:i/>
          <w:iCs/>
        </w:rPr>
        <w:t>: servicios de educación, de salud, de vivienda, etcétera.</w:t>
      </w:r>
    </w:p>
    <w:p w14:paraId="5D274DC3"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47DF22FB" w14:textId="77777777" w:rsidR="002F653A" w:rsidRPr="00247163" w:rsidRDefault="002F653A">
      <w:pPr>
        <w:ind w:left="1134" w:right="1389"/>
        <w:jc w:val="both"/>
        <w:rPr>
          <w:rFonts w:ascii="Palatino Linotype" w:eastAsia="Palatino Linotype" w:hAnsi="Palatino Linotype" w:cs="Palatino Linotype"/>
          <w:i/>
          <w:iCs/>
        </w:rPr>
      </w:pPr>
    </w:p>
    <w:p w14:paraId="564DDBA9"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Criterios sustantivos de contenido</w:t>
      </w:r>
    </w:p>
    <w:p w14:paraId="03F0D27E"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Criterio 61</w:t>
      </w:r>
      <w:r w:rsidRPr="00247163">
        <w:rPr>
          <w:rFonts w:ascii="Palatino Linotype" w:eastAsia="Palatino Linotype" w:hAnsi="Palatino Linotype" w:cs="Palatino Linotype"/>
          <w:i/>
          <w:iCs/>
        </w:rPr>
        <w:t xml:space="preserve"> Hipervínculo al padrón de beneficiarios o participantes. Este documento deberá ser el publicado en el DOF, Gaceta o cualquier medio oficial según corresponda.</w:t>
      </w:r>
    </w:p>
    <w:p w14:paraId="48C7D50F"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35457D83"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Además del nombre de la persona, se incluirán los siguientes datos, únicamente cuando formen parte de los criterios y requisitos de elegibilidad previstos en los programas de desarrollo social. </w:t>
      </w:r>
      <w:r w:rsidRPr="00247163">
        <w:rPr>
          <w:rFonts w:ascii="Palatino Linotype" w:eastAsia="Palatino Linotype" w:hAnsi="Palatino Linotype" w:cs="Palatino Linotype"/>
          <w:b/>
          <w:bCs/>
          <w:i/>
          <w:iCs/>
        </w:rPr>
        <w:t>En caso de que las personas beneficiarias directas sean personas menores de edad o víctimas del delito, se deberá proteger el nombre solicitado</w:t>
      </w:r>
      <w:r w:rsidRPr="00247163">
        <w:rPr>
          <w:rFonts w:ascii="Palatino Linotype" w:eastAsia="Palatino Linotype" w:hAnsi="Palatino Linotype" w:cs="Palatino Linotype"/>
          <w:i/>
          <w:iCs/>
        </w:rPr>
        <w:t xml:space="preserve"> en el criterio 69:</w:t>
      </w:r>
    </w:p>
    <w:p w14:paraId="45ECD4FE" w14:textId="77777777" w:rsidR="002F653A" w:rsidRPr="00247163" w:rsidRDefault="002F653A">
      <w:pPr>
        <w:ind w:left="1134" w:right="1389"/>
        <w:jc w:val="both"/>
        <w:rPr>
          <w:rFonts w:ascii="Palatino Linotype" w:eastAsia="Palatino Linotype" w:hAnsi="Palatino Linotype" w:cs="Palatino Linotype"/>
          <w:i/>
          <w:iCs/>
        </w:rPr>
      </w:pPr>
    </w:p>
    <w:p w14:paraId="29B3FC47"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lastRenderedPageBreak/>
        <w:t>Respecto del Padrón de personas beneficiarias se publicará la información siguiente:</w:t>
      </w:r>
    </w:p>
    <w:p w14:paraId="78E1E7C3"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0D8517FB"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 69 Nombre de la persona física (nombre[s], primer apellido, segundo apellido), denominación social de las personas morales beneficiarias o denominación (en su caso) de un grupo constituido por varias personas físicas o morales, de acuerdo con la identificación que el sujeto obligado le otorgue.</w:t>
      </w:r>
    </w:p>
    <w:p w14:paraId="45F5C0A4" w14:textId="77777777" w:rsidR="002F653A" w:rsidRPr="00247163" w:rsidRDefault="002F653A">
      <w:pPr>
        <w:ind w:left="1134" w:right="1389"/>
        <w:jc w:val="both"/>
        <w:rPr>
          <w:rFonts w:ascii="Palatino Linotype" w:eastAsia="Palatino Linotype" w:hAnsi="Palatino Linotype" w:cs="Palatino Linotype"/>
          <w:i/>
          <w:iCs/>
        </w:rPr>
      </w:pPr>
    </w:p>
    <w:p w14:paraId="7FEC1FDA"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 70 Sexo (catálogo): Mujer/Hombre/Mujeres y Hombres.</w:t>
      </w:r>
    </w:p>
    <w:p w14:paraId="208EEAF4" w14:textId="77777777" w:rsidR="002F653A" w:rsidRPr="00247163" w:rsidRDefault="002F653A">
      <w:pPr>
        <w:ind w:left="1134" w:right="1389"/>
        <w:jc w:val="both"/>
        <w:rPr>
          <w:rFonts w:ascii="Palatino Linotype" w:eastAsia="Palatino Linotype" w:hAnsi="Palatino Linotype" w:cs="Palatino Linotype"/>
          <w:i/>
          <w:iCs/>
        </w:rPr>
      </w:pPr>
    </w:p>
    <w:p w14:paraId="25D856C1"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 71 Género con el que se identifica la persona (catálogo): Hombre cisgénero/ Hombre trans/ Mujer cisgénero / Mujer trans/ Bigénero/ Género fluido/ No binario/ Agénero/ Otro género/No responde.</w:t>
      </w:r>
    </w:p>
    <w:p w14:paraId="7784E1DB" w14:textId="77777777" w:rsidR="002F653A" w:rsidRPr="00247163" w:rsidRDefault="002F653A">
      <w:pPr>
        <w:ind w:left="1134" w:right="1389"/>
        <w:jc w:val="both"/>
        <w:rPr>
          <w:rFonts w:ascii="Palatino Linotype" w:eastAsia="Palatino Linotype" w:hAnsi="Palatino Linotype" w:cs="Palatino Linotype"/>
          <w:i/>
          <w:iCs/>
        </w:rPr>
      </w:pPr>
    </w:p>
    <w:p w14:paraId="3FD99428"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 72 Fecha en que la persona se volvió beneficiaria del programa (con el formato día/mes/año).</w:t>
      </w:r>
    </w:p>
    <w:p w14:paraId="19159747" w14:textId="77777777" w:rsidR="002F653A" w:rsidRPr="00247163" w:rsidRDefault="002F653A">
      <w:pPr>
        <w:ind w:left="1134" w:right="1389"/>
        <w:jc w:val="both"/>
        <w:rPr>
          <w:rFonts w:ascii="Palatino Linotype" w:eastAsia="Palatino Linotype" w:hAnsi="Palatino Linotype" w:cs="Palatino Linotype"/>
          <w:i/>
          <w:iCs/>
        </w:rPr>
      </w:pPr>
    </w:p>
    <w:p w14:paraId="6C5942FA"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 73 Monto, recurso, beneficio o apoyo (en dinero o en especie) otorgado a cada una de las personas físicas, morales o grupos que el sujeto obligado determine. Criterio 74 Monto en pesos del beneficio o apoyo en especie entregado a cada una de las personas físicas, morales o grupos que el sujeto obligado determine si el beneficio no tiene representación monetaria.</w:t>
      </w:r>
    </w:p>
    <w:p w14:paraId="376B55E6" w14:textId="77777777" w:rsidR="002F653A" w:rsidRPr="00247163" w:rsidRDefault="002F653A">
      <w:pPr>
        <w:ind w:left="1134" w:right="1389"/>
        <w:jc w:val="both"/>
        <w:rPr>
          <w:rFonts w:ascii="Palatino Linotype" w:eastAsia="Palatino Linotype" w:hAnsi="Palatino Linotype" w:cs="Palatino Linotype"/>
          <w:i/>
          <w:iCs/>
        </w:rPr>
      </w:pPr>
    </w:p>
    <w:p w14:paraId="2BCB33BE"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Se incluirán los siguientes datos</w:t>
      </w:r>
      <w:r w:rsidRPr="00247163">
        <w:rPr>
          <w:rFonts w:ascii="Palatino Linotype" w:eastAsia="Palatino Linotype" w:hAnsi="Palatino Linotype" w:cs="Palatino Linotype"/>
          <w:i/>
          <w:iCs/>
        </w:rPr>
        <w:t xml:space="preserve">, únicamente cuando formen parte de los criterios y requisitos de elegibilidad previstos en los programas de desarrollo social, </w:t>
      </w:r>
      <w:r w:rsidRPr="00247163">
        <w:rPr>
          <w:rFonts w:ascii="Palatino Linotype" w:eastAsia="Palatino Linotype" w:hAnsi="Palatino Linotype" w:cs="Palatino Linotype"/>
          <w:b/>
          <w:bCs/>
          <w:i/>
          <w:iCs/>
        </w:rPr>
        <w:t>excepto aquellos casos en el que el beneficiario directo sea una persona menor de edad</w:t>
      </w:r>
      <w:r w:rsidRPr="00247163">
        <w:rPr>
          <w:rFonts w:ascii="Palatino Linotype" w:eastAsia="Palatino Linotype" w:hAnsi="Palatino Linotype" w:cs="Palatino Linotype"/>
          <w:i/>
          <w:iCs/>
        </w:rPr>
        <w:t xml:space="preserve"> o víctima del delito:</w:t>
      </w:r>
    </w:p>
    <w:p w14:paraId="2D8CDC09" w14:textId="77777777" w:rsidR="002F653A" w:rsidRPr="00247163" w:rsidRDefault="002F653A">
      <w:pPr>
        <w:ind w:left="1134" w:right="1389"/>
        <w:jc w:val="center"/>
        <w:rPr>
          <w:rFonts w:ascii="Palatino Linotype" w:eastAsia="Palatino Linotype" w:hAnsi="Palatino Linotype" w:cs="Palatino Linotype"/>
          <w:i/>
          <w:iCs/>
        </w:rPr>
      </w:pPr>
    </w:p>
    <w:p w14:paraId="0FE22136"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Criterio 75 Unidad territorial54 (colonia, municipio, demarcación territorial, estado y/o país).</w:t>
      </w:r>
    </w:p>
    <w:p w14:paraId="7120C338" w14:textId="77777777" w:rsidR="002F653A" w:rsidRPr="00247163" w:rsidRDefault="002F653A">
      <w:pPr>
        <w:ind w:left="1134" w:right="1389"/>
        <w:jc w:val="both"/>
        <w:rPr>
          <w:rFonts w:ascii="Palatino Linotype" w:eastAsia="Palatino Linotype" w:hAnsi="Palatino Linotype" w:cs="Palatino Linotype"/>
          <w:i/>
          <w:iCs/>
        </w:rPr>
      </w:pPr>
    </w:p>
    <w:p w14:paraId="10EE3ACD"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Criterio 76 Edad (en su caso). </w:t>
      </w:r>
    </w:p>
    <w:p w14:paraId="1E527CE7" w14:textId="77777777" w:rsidR="002F653A" w:rsidRPr="00247163" w:rsidRDefault="002F653A">
      <w:pPr>
        <w:ind w:left="1134" w:right="1389"/>
        <w:jc w:val="both"/>
        <w:rPr>
          <w:rFonts w:ascii="Palatino Linotype" w:eastAsia="Palatino Linotype" w:hAnsi="Palatino Linotype" w:cs="Palatino Linotype"/>
          <w:i/>
          <w:iCs/>
        </w:rPr>
      </w:pPr>
    </w:p>
    <w:p w14:paraId="5D8E66C2"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lastRenderedPageBreak/>
        <w:t>Criterio 77 Sexo, en su caso (catálogo): Mujer/Hombre/Mujeres y Hombres</w:t>
      </w:r>
    </w:p>
    <w:p w14:paraId="3B090D33" w14:textId="77777777" w:rsidR="002F653A" w:rsidRPr="00247163" w:rsidRDefault="002F653A">
      <w:pPr>
        <w:ind w:left="1134" w:right="1389"/>
        <w:jc w:val="both"/>
        <w:rPr>
          <w:rFonts w:ascii="Palatino Linotype" w:eastAsia="Palatino Linotype" w:hAnsi="Palatino Linotype" w:cs="Palatino Linotype"/>
          <w:i/>
          <w:iCs/>
        </w:rPr>
      </w:pPr>
    </w:p>
    <w:p w14:paraId="654C2681"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Respecto a la información estadística de programas que sean abiertos a la población en general y de los cuales no se genere un padrón de beneficiarios, se publicará</w:t>
      </w:r>
      <w:r w:rsidRPr="00247163">
        <w:rPr>
          <w:rFonts w:ascii="Palatino Linotype" w:eastAsia="Palatino Linotype" w:hAnsi="Palatino Linotype" w:cs="Palatino Linotype"/>
          <w:i/>
          <w:iCs/>
        </w:rPr>
        <w:t>:</w:t>
      </w:r>
    </w:p>
    <w:p w14:paraId="356E1FEB" w14:textId="77777777" w:rsidR="002F653A" w:rsidRPr="00247163" w:rsidRDefault="002F653A">
      <w:pPr>
        <w:ind w:left="1134" w:right="1389"/>
        <w:jc w:val="both"/>
        <w:rPr>
          <w:rFonts w:ascii="Palatino Linotype" w:eastAsia="Palatino Linotype" w:hAnsi="Palatino Linotype" w:cs="Palatino Linotype"/>
          <w:i/>
          <w:iCs/>
        </w:rPr>
      </w:pPr>
    </w:p>
    <w:p w14:paraId="5CCB5A47"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 Criterio 78 Hipervínculo a información estadística general de las personas beneficiadas por el programa. La información debe publicarse con perspectiva de género, es decir, desagregando la información por sexo.</w:t>
      </w:r>
    </w:p>
    <w:p w14:paraId="005342D1" w14:textId="77777777" w:rsidR="002F653A" w:rsidRPr="00247163" w:rsidRDefault="00CB53E8">
      <w:pPr>
        <w:ind w:left="1134" w:right="-591"/>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15370A6B"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7B977114"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Asimismo, proporciona el Formato 15b LGT_Art_70_Fr_XV, el cual contiene lo siguiente:</w:t>
      </w:r>
    </w:p>
    <w:p w14:paraId="7BD9FC09" w14:textId="77777777" w:rsidR="002F653A" w:rsidRPr="00247163" w:rsidRDefault="00CB53E8">
      <w:pPr>
        <w:pBdr>
          <w:top w:val="nil"/>
          <w:left w:val="nil"/>
          <w:bottom w:val="nil"/>
          <w:right w:val="nil"/>
          <w:between w:val="nil"/>
        </w:pBdr>
        <w:spacing w:line="360" w:lineRule="auto"/>
        <w:ind w:right="-591"/>
        <w:jc w:val="center"/>
        <w:rPr>
          <w:rFonts w:ascii="Palatino Linotype" w:eastAsia="Palatino Linotype" w:hAnsi="Palatino Linotype" w:cs="Palatino Linotype"/>
          <w:color w:val="000000"/>
        </w:rPr>
      </w:pPr>
      <w:r w:rsidRPr="00247163">
        <w:rPr>
          <w:rFonts w:ascii="Palatino Linotype" w:eastAsia="Palatino Linotype" w:hAnsi="Palatino Linotype" w:cs="Palatino Linotype"/>
          <w:noProof/>
          <w:color w:val="000000"/>
        </w:rPr>
        <w:drawing>
          <wp:inline distT="0" distB="0" distL="0" distR="0" wp14:anchorId="6AAC3CA9" wp14:editId="6CA01734">
            <wp:extent cx="5256453" cy="2994988"/>
            <wp:effectExtent l="19050" t="19050" r="19050" b="1905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2"/>
                    <a:srcRect/>
                    <a:stretch>
                      <a:fillRect/>
                    </a:stretch>
                  </pic:blipFill>
                  <pic:spPr>
                    <a:xfrm>
                      <a:off x="0" y="0"/>
                      <a:ext cx="5256453" cy="2994988"/>
                    </a:xfrm>
                    <a:prstGeom prst="rect">
                      <a:avLst/>
                    </a:prstGeom>
                    <a:ln w="19050">
                      <a:solidFill>
                        <a:srgbClr val="000000"/>
                      </a:solidFill>
                      <a:prstDash val="solid"/>
                    </a:ln>
                  </pic:spPr>
                </pic:pic>
              </a:graphicData>
            </a:graphic>
          </wp:inline>
        </w:drawing>
      </w:r>
    </w:p>
    <w:p w14:paraId="74A6EDB6" w14:textId="77777777" w:rsidR="002F653A" w:rsidRPr="00247163" w:rsidRDefault="002F653A">
      <w:pPr>
        <w:pBdr>
          <w:top w:val="nil"/>
          <w:left w:val="nil"/>
          <w:bottom w:val="nil"/>
          <w:right w:val="nil"/>
          <w:between w:val="nil"/>
        </w:pBdr>
        <w:spacing w:line="360" w:lineRule="auto"/>
        <w:ind w:right="-591"/>
        <w:jc w:val="center"/>
        <w:rPr>
          <w:rFonts w:ascii="Palatino Linotype" w:eastAsia="Palatino Linotype" w:hAnsi="Palatino Linotype" w:cs="Palatino Linotype"/>
          <w:color w:val="000000"/>
        </w:rPr>
      </w:pPr>
    </w:p>
    <w:p w14:paraId="42FA567A"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lastRenderedPageBreak/>
        <w:t>Es así que, conforme a lo establecido por la normatividad antes referida, la información relativa al padrón de beneficiarios de programas sociales, debe ser pública y debe contener los datos previamente referenciados.</w:t>
      </w:r>
    </w:p>
    <w:p w14:paraId="18D46DCD" w14:textId="77777777" w:rsidR="002F653A" w:rsidRPr="00247163" w:rsidRDefault="002F653A">
      <w:pPr>
        <w:spacing w:line="360" w:lineRule="auto"/>
        <w:ind w:right="-591"/>
        <w:jc w:val="both"/>
        <w:rPr>
          <w:rFonts w:ascii="Palatino Linotype" w:eastAsia="Palatino Linotype" w:hAnsi="Palatino Linotype" w:cs="Palatino Linotype"/>
        </w:rPr>
      </w:pPr>
    </w:p>
    <w:p w14:paraId="2884FF08"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 xml:space="preserve">No obstante, la información pública se encuentra sujeta a un régimen estricto de restricción, y una de sus causas, es el Derecho a la Protección de Datos Personales, lo cual es contemplado por la los lineamientos antes citados, que indican que </w:t>
      </w:r>
      <w:r w:rsidRPr="00247163">
        <w:rPr>
          <w:rFonts w:ascii="Palatino Linotype" w:eastAsia="Palatino Linotype" w:hAnsi="Palatino Linotype" w:cs="Palatino Linotype"/>
          <w:b/>
          <w:bCs/>
        </w:rPr>
        <w:t xml:space="preserve">de los beneficiarios que sean personas </w:t>
      </w:r>
      <w:r w:rsidRPr="00247163">
        <w:rPr>
          <w:rFonts w:ascii="Palatino Linotype" w:eastAsia="Palatino Linotype" w:hAnsi="Palatino Linotype" w:cs="Palatino Linotype"/>
          <w:b/>
          <w:bCs/>
          <w:i/>
          <w:iCs/>
        </w:rPr>
        <w:t>menores de edad o víctimas del delito</w:t>
      </w:r>
      <w:r w:rsidRPr="00247163">
        <w:rPr>
          <w:rFonts w:ascii="Palatino Linotype" w:eastAsia="Palatino Linotype" w:hAnsi="Palatino Linotype" w:cs="Palatino Linotype"/>
          <w:b/>
          <w:bCs/>
        </w:rPr>
        <w:t xml:space="preserve">, </w:t>
      </w:r>
      <w:r w:rsidRPr="00247163">
        <w:rPr>
          <w:rFonts w:ascii="Palatino Linotype" w:eastAsia="Palatino Linotype" w:hAnsi="Palatino Linotype" w:cs="Palatino Linotype"/>
          <w:b/>
          <w:bCs/>
          <w:u w:val="single"/>
        </w:rPr>
        <w:t>se deberá proteger el nombre</w:t>
      </w:r>
      <w:r w:rsidRPr="00247163">
        <w:rPr>
          <w:rFonts w:ascii="Palatino Linotype" w:eastAsia="Palatino Linotype" w:hAnsi="Palatino Linotype" w:cs="Palatino Linotype"/>
          <w:b/>
          <w:bCs/>
          <w:i/>
          <w:iCs/>
        </w:rPr>
        <w:t xml:space="preserve">. </w:t>
      </w:r>
      <w:r w:rsidRPr="00247163">
        <w:rPr>
          <w:rFonts w:ascii="Palatino Linotype" w:eastAsia="Palatino Linotype" w:hAnsi="Palatino Linotype" w:cs="Palatino Linotype"/>
          <w:b/>
          <w:bCs/>
        </w:rPr>
        <w:t xml:space="preserve">En esos casos, debe prevalecer la confidencialidad de la información que identifique o haga identificable a la persona, conforme a lo que establecen </w:t>
      </w:r>
      <w:r w:rsidRPr="00247163">
        <w:rPr>
          <w:rFonts w:ascii="Palatino Linotype" w:eastAsia="Palatino Linotype" w:hAnsi="Palatino Linotype" w:cs="Palatino Linotype"/>
        </w:rPr>
        <w:t>los artículos 3 fracción IX, 143 fracción I, de la Ley de Transparencia y Acceso a la Información Pública del Estado de México y Municipios, así como el artículo 4, fracción XI y XII de la Ley de Protección de Datos Personales en Posesión de los Sujetos Obligados del Estado de México y Municipios, los cuales disponen lo siguiente:</w:t>
      </w:r>
    </w:p>
    <w:p w14:paraId="11389A2B" w14:textId="77777777" w:rsidR="002F653A" w:rsidRPr="00247163" w:rsidRDefault="00CB53E8">
      <w:pPr>
        <w:ind w:left="1134" w:right="822"/>
        <w:jc w:val="center"/>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Ley de Transparencia y Acceso a la Información Pública del Estado de México y Municipios</w:t>
      </w:r>
    </w:p>
    <w:p w14:paraId="437F294E" w14:textId="77777777" w:rsidR="002F653A" w:rsidRPr="00247163" w:rsidRDefault="002F653A">
      <w:pPr>
        <w:ind w:left="1134" w:right="822"/>
        <w:jc w:val="both"/>
        <w:rPr>
          <w:rFonts w:ascii="Palatino Linotype" w:eastAsia="Palatino Linotype" w:hAnsi="Palatino Linotype" w:cs="Palatino Linotype"/>
          <w:i/>
          <w:iCs/>
        </w:rPr>
      </w:pPr>
    </w:p>
    <w:p w14:paraId="00606C55"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3</w:t>
      </w:r>
      <w:r w:rsidRPr="00247163">
        <w:rPr>
          <w:rFonts w:ascii="Palatino Linotype" w:eastAsia="Palatino Linotype" w:hAnsi="Palatino Linotype" w:cs="Palatino Linotype"/>
          <w:i/>
          <w:iCs/>
        </w:rPr>
        <w:t>. Para los efectos de la presente Ley se entenderá por:</w:t>
      </w:r>
    </w:p>
    <w:p w14:paraId="0E28A7F0"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48BF585D"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IX. Datos personales</w:t>
      </w:r>
      <w:r w:rsidRPr="00247163">
        <w:rPr>
          <w:rFonts w:ascii="Palatino Linotype" w:eastAsia="Palatino Linotype" w:hAnsi="Palatino Linotype" w:cs="Palatino Linotype"/>
          <w:i/>
          <w:iCs/>
        </w:rPr>
        <w:t>: La información concerniente a una persona, identificada o identificable según lo dispuesto por la Ley de Protección de Datos Personales del Estado de México;</w:t>
      </w:r>
    </w:p>
    <w:p w14:paraId="6FADB624"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763164A2" w14:textId="77777777" w:rsidR="002F653A" w:rsidRPr="00247163" w:rsidRDefault="002F653A">
      <w:pPr>
        <w:ind w:left="1134" w:right="822"/>
        <w:jc w:val="both"/>
        <w:rPr>
          <w:rFonts w:ascii="Palatino Linotype" w:eastAsia="Palatino Linotype" w:hAnsi="Palatino Linotype" w:cs="Palatino Linotype"/>
          <w:i/>
          <w:iCs/>
        </w:rPr>
      </w:pPr>
    </w:p>
    <w:p w14:paraId="5FEE87DF"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143</w:t>
      </w:r>
      <w:r w:rsidRPr="00247163">
        <w:rPr>
          <w:rFonts w:ascii="Palatino Linotype" w:eastAsia="Palatino Linotype" w:hAnsi="Palatino Linotype" w:cs="Palatino Linotype"/>
          <w:i/>
          <w:iCs/>
        </w:rPr>
        <w:t>. Para los efectos de esta Ley se considera información confidencial, la clasificada como tal, de manera permanente, por su naturaleza, cuando:</w:t>
      </w:r>
    </w:p>
    <w:p w14:paraId="5CDF5AF0" w14:textId="77777777" w:rsidR="002F653A" w:rsidRPr="00247163" w:rsidRDefault="002F653A">
      <w:pPr>
        <w:ind w:left="1134" w:right="822"/>
        <w:jc w:val="both"/>
        <w:rPr>
          <w:rFonts w:ascii="Palatino Linotype" w:eastAsia="Palatino Linotype" w:hAnsi="Palatino Linotype" w:cs="Palatino Linotype"/>
          <w:i/>
          <w:iCs/>
        </w:rPr>
      </w:pPr>
    </w:p>
    <w:p w14:paraId="7FB09CB9"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lastRenderedPageBreak/>
        <w:t>I. Se refiera a la información privada y los datos personales concernientes a una persona física o jurídico colectiva identificada o identificable;</w:t>
      </w:r>
    </w:p>
    <w:p w14:paraId="357968DB"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0DB878F2" w14:textId="77777777" w:rsidR="002F653A" w:rsidRPr="00247163" w:rsidRDefault="002F653A">
      <w:pPr>
        <w:ind w:left="1134" w:right="822"/>
        <w:jc w:val="both"/>
        <w:rPr>
          <w:rFonts w:ascii="Palatino Linotype" w:eastAsia="Palatino Linotype" w:hAnsi="Palatino Linotype" w:cs="Palatino Linotype"/>
          <w:i/>
          <w:iCs/>
        </w:rPr>
      </w:pPr>
    </w:p>
    <w:p w14:paraId="79049827" w14:textId="77777777" w:rsidR="002F653A" w:rsidRPr="00247163" w:rsidRDefault="00CB53E8">
      <w:pPr>
        <w:ind w:left="1134" w:right="822"/>
        <w:jc w:val="center"/>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Ley de Protección de Datos Personales en Posesión de los Sujetos Obligados del Estado de México y Municipios</w:t>
      </w:r>
    </w:p>
    <w:p w14:paraId="404E11DF" w14:textId="77777777" w:rsidR="002F653A" w:rsidRPr="00247163" w:rsidRDefault="002F653A">
      <w:pPr>
        <w:ind w:left="1134" w:right="822"/>
        <w:jc w:val="both"/>
        <w:rPr>
          <w:rFonts w:ascii="Palatino Linotype" w:eastAsia="Palatino Linotype" w:hAnsi="Palatino Linotype" w:cs="Palatino Linotype"/>
          <w:i/>
          <w:iCs/>
        </w:rPr>
      </w:pPr>
    </w:p>
    <w:p w14:paraId="0E105BAD"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Artículo 4.</w:t>
      </w:r>
      <w:r w:rsidRPr="00247163">
        <w:rPr>
          <w:rFonts w:ascii="Palatino Linotype" w:eastAsia="Palatino Linotype" w:hAnsi="Palatino Linotype" w:cs="Palatino Linotype"/>
          <w:i/>
          <w:iCs/>
        </w:rPr>
        <w:t xml:space="preserve"> Para los efectos de esta Ley se entenderá por:</w:t>
      </w:r>
    </w:p>
    <w:p w14:paraId="2499B026"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37077367" w14:textId="77777777" w:rsidR="002F653A" w:rsidRPr="00247163" w:rsidRDefault="00CB53E8">
      <w:pPr>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XI. Datos personales</w:t>
      </w:r>
      <w:r w:rsidRPr="00247163">
        <w:rPr>
          <w:rFonts w:ascii="Palatino Linotype" w:eastAsia="Palatino Linotype" w:hAnsi="Palatino Linotype" w:cs="Palatino Linotype"/>
          <w:i/>
          <w:iCs/>
        </w:rPr>
        <w:t xml:space="preserve">: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14:paraId="33E308D7" w14:textId="77777777" w:rsidR="002F653A" w:rsidRPr="00247163" w:rsidRDefault="002F653A">
      <w:pPr>
        <w:ind w:left="1134" w:right="822"/>
        <w:jc w:val="both"/>
        <w:rPr>
          <w:rFonts w:ascii="Palatino Linotype" w:eastAsia="Palatino Linotype" w:hAnsi="Palatino Linotype" w:cs="Palatino Linotype"/>
          <w:i/>
          <w:iCs/>
        </w:rPr>
      </w:pPr>
    </w:p>
    <w:p w14:paraId="27D6F274" w14:textId="77777777" w:rsidR="002F653A" w:rsidRPr="00247163" w:rsidRDefault="00CB53E8">
      <w:pPr>
        <w:ind w:left="1134" w:right="822"/>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XII. Datos personales sensibles</w:t>
      </w:r>
      <w:r w:rsidRPr="00247163">
        <w:rPr>
          <w:rFonts w:ascii="Palatino Linotype" w:eastAsia="Palatino Linotype" w:hAnsi="Palatino Linotype" w:cs="Palatino Linotype"/>
          <w:i/>
          <w:iCs/>
        </w:rPr>
        <w:t xml:space="preserve">: a las referentes de la esfera de su titular cuya utilización indebida pueda dar origen a discriminación o conlleve un riesgo grave para éste. De manera enunciativa más no limitativa, se consideran sensibles los datos personales que puedan revelar aspectos como </w:t>
      </w:r>
      <w:r w:rsidRPr="00247163">
        <w:rPr>
          <w:rFonts w:ascii="Palatino Linotype" w:eastAsia="Palatino Linotype" w:hAnsi="Palatino Linotype" w:cs="Palatino Linotype"/>
          <w:b/>
          <w:bCs/>
          <w:i/>
          <w:iCs/>
        </w:rPr>
        <w:t>origen racial o étnico, estado de salud física o mental, presente o futura, información genética, creencias religiosas, filosóficas y morales, opiniones políticas y preferencia sexual.</w:t>
      </w:r>
    </w:p>
    <w:p w14:paraId="7C201784" w14:textId="77777777" w:rsidR="002F653A" w:rsidRPr="00247163" w:rsidRDefault="00CB53E8">
      <w:pPr>
        <w:ind w:left="567" w:right="-591"/>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w:t>
      </w:r>
    </w:p>
    <w:p w14:paraId="763318D0" w14:textId="77777777" w:rsidR="002F653A" w:rsidRPr="00247163" w:rsidRDefault="002F653A">
      <w:pPr>
        <w:ind w:right="-591"/>
        <w:rPr>
          <w:rFonts w:ascii="Palatino Linotype" w:eastAsia="Palatino Linotype" w:hAnsi="Palatino Linotype" w:cs="Palatino Linotype"/>
        </w:rPr>
      </w:pPr>
    </w:p>
    <w:p w14:paraId="214BD921"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 xml:space="preserve">Es así que, si bien hay una normatividad que establece la publicidad de la información relativa a los beneficiarios de diversos programas, también lo es que, </w:t>
      </w:r>
      <w:r w:rsidRPr="00247163">
        <w:rPr>
          <w:rFonts w:ascii="Palatino Linotype" w:eastAsia="Palatino Linotype" w:hAnsi="Palatino Linotype" w:cs="Palatino Linotype"/>
          <w:b/>
          <w:bCs/>
        </w:rPr>
        <w:t>en los casos en que los beneficiarios correspondan a menores de edad o víctimas del delito, debe prevalecer la protección de datos personales</w:t>
      </w:r>
      <w:r w:rsidRPr="00247163">
        <w:rPr>
          <w:rFonts w:ascii="Palatino Linotype" w:eastAsia="Palatino Linotype" w:hAnsi="Palatino Linotype" w:cs="Palatino Linotype"/>
        </w:rPr>
        <w:t xml:space="preserve">,  </w:t>
      </w:r>
      <w:r w:rsidRPr="00247163">
        <w:rPr>
          <w:rFonts w:ascii="Palatino Linotype" w:eastAsia="Palatino Linotype" w:hAnsi="Palatino Linotype" w:cs="Palatino Linotype"/>
          <w:b/>
          <w:bCs/>
        </w:rPr>
        <w:t>personas discapacitadas y/o de grupos vulnerables</w:t>
      </w:r>
      <w:r w:rsidRPr="00247163">
        <w:rPr>
          <w:rFonts w:ascii="Palatino Linotype" w:eastAsia="Palatino Linotype" w:hAnsi="Palatino Linotype" w:cs="Palatino Linotype"/>
        </w:rPr>
        <w:t xml:space="preserve">, puesto que en estos casos, se refiere a </w:t>
      </w:r>
      <w:r w:rsidRPr="00247163">
        <w:rPr>
          <w:rFonts w:ascii="Palatino Linotype" w:eastAsia="Palatino Linotype" w:hAnsi="Palatino Linotype" w:cs="Palatino Linotype"/>
          <w:b/>
          <w:bCs/>
        </w:rPr>
        <w:t>datos personales sensibles</w:t>
      </w:r>
      <w:r w:rsidRPr="00247163">
        <w:rPr>
          <w:rFonts w:ascii="Palatino Linotype" w:eastAsia="Palatino Linotype" w:hAnsi="Palatino Linotype" w:cs="Palatino Linotype"/>
        </w:rPr>
        <w:t>, dado a que su utilización indebida puede dar origen a discriminación.</w:t>
      </w:r>
    </w:p>
    <w:p w14:paraId="75D57A50"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19C2392A"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lastRenderedPageBreak/>
        <w:t>Sirve de sustento el criterio orientador 04/19 del Instituto de Transparencia, Acceso a la Información Pública y Protección de Datos Personales del Estado de México y Municipios:</w:t>
      </w:r>
    </w:p>
    <w:p w14:paraId="4B17BB87" w14:textId="77777777" w:rsidR="002F653A" w:rsidRPr="00247163" w:rsidRDefault="00CB53E8">
      <w:pPr>
        <w:ind w:left="1134" w:right="1389"/>
        <w:jc w:val="both"/>
        <w:rPr>
          <w:rFonts w:ascii="Palatino Linotype" w:eastAsia="Palatino Linotype" w:hAnsi="Palatino Linotype" w:cs="Palatino Linotype"/>
          <w:i/>
          <w:iCs/>
        </w:rPr>
      </w:pPr>
      <w:r w:rsidRPr="00247163">
        <w:rPr>
          <w:rFonts w:ascii="Palatino Linotype" w:eastAsia="Palatino Linotype" w:hAnsi="Palatino Linotype" w:cs="Palatino Linotype"/>
          <w:b/>
          <w:bCs/>
          <w:i/>
          <w:iCs/>
        </w:rPr>
        <w:t xml:space="preserve">PADRÓN DE BENEFICIARIOS EN POSESIÓN DE SUJETOS OBLIGADOS. EXCEPCIONES PARA LA PUBLICACIÓN DE DATOS PERSONALES CONTENIDOS EN AQUÉL. </w:t>
      </w:r>
      <w:r w:rsidRPr="00247163">
        <w:rPr>
          <w:rFonts w:ascii="Palatino Linotype" w:eastAsia="Palatino Linotype" w:hAnsi="Palatino Linotype" w:cs="Palatino Linotype"/>
          <w:i/>
          <w:iCs/>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directrices, el dispositivo legal en cita de la Ley de Transparencia, debe interpretarse a la luz de los principios y derechos de referencia, </w:t>
      </w:r>
      <w:r w:rsidRPr="00247163">
        <w:rPr>
          <w:rFonts w:ascii="Palatino Linotype" w:eastAsia="Palatino Linotype" w:hAnsi="Palatino Linotype" w:cs="Palatino Linotype"/>
          <w:b/>
          <w:bCs/>
          <w:i/>
          <w:iCs/>
        </w:rPr>
        <w:t xml:space="preserve">a fin de excluir los nombres de las personas menores de edad y las de capacidades diferentes, contenidos en los </w:t>
      </w:r>
      <w:r w:rsidRPr="00247163">
        <w:rPr>
          <w:rFonts w:ascii="Palatino Linotype" w:eastAsia="Palatino Linotype" w:hAnsi="Palatino Linotype" w:cs="Palatino Linotype"/>
          <w:b/>
          <w:bCs/>
          <w:i/>
          <w:iCs/>
        </w:rPr>
        <w:lastRenderedPageBreak/>
        <w:t>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w:t>
      </w:r>
      <w:r w:rsidRPr="00247163">
        <w:rPr>
          <w:rFonts w:ascii="Palatino Linotype" w:eastAsia="Palatino Linotype" w:hAnsi="Palatino Linotype" w:cs="Palatino Linotype"/>
          <w:i/>
          <w:iCs/>
        </w:rPr>
        <w:t>,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6881F784" w14:textId="77777777" w:rsidR="002F653A" w:rsidRPr="00247163" w:rsidRDefault="002F653A">
      <w:pPr>
        <w:ind w:left="1134" w:right="1389"/>
        <w:jc w:val="both"/>
        <w:rPr>
          <w:rFonts w:ascii="Palatino Linotype" w:eastAsia="Palatino Linotype" w:hAnsi="Palatino Linotype" w:cs="Palatino Linotype"/>
          <w:b/>
          <w:bCs/>
          <w:i/>
          <w:iCs/>
        </w:rPr>
      </w:pPr>
    </w:p>
    <w:p w14:paraId="5D017C1C" w14:textId="77777777" w:rsidR="002F653A" w:rsidRPr="00247163" w:rsidRDefault="002F653A">
      <w:pPr>
        <w:ind w:left="1134" w:right="1389"/>
        <w:jc w:val="both"/>
        <w:rPr>
          <w:rFonts w:ascii="Palatino Linotype" w:eastAsia="Palatino Linotype" w:hAnsi="Palatino Linotype" w:cs="Palatino Linotype"/>
          <w:b/>
          <w:bCs/>
          <w:i/>
          <w:iCs/>
        </w:rPr>
      </w:pPr>
    </w:p>
    <w:p w14:paraId="1D03335D" w14:textId="77777777" w:rsidR="002F653A" w:rsidRPr="00247163" w:rsidRDefault="00CB53E8">
      <w:pPr>
        <w:ind w:left="1134" w:right="1389"/>
        <w:jc w:val="both"/>
        <w:rPr>
          <w:rFonts w:ascii="Palatino Linotype" w:eastAsia="Palatino Linotype" w:hAnsi="Palatino Linotype" w:cs="Palatino Linotype"/>
          <w:b/>
          <w:bCs/>
          <w:i/>
          <w:iCs/>
        </w:rPr>
      </w:pPr>
      <w:r w:rsidRPr="00247163">
        <w:rPr>
          <w:rFonts w:ascii="Palatino Linotype" w:eastAsia="Palatino Linotype" w:hAnsi="Palatino Linotype" w:cs="Palatino Linotype"/>
          <w:b/>
          <w:bCs/>
          <w:i/>
          <w:iCs/>
        </w:rPr>
        <w:t xml:space="preserve">Precedentes: </w:t>
      </w:r>
    </w:p>
    <w:p w14:paraId="1ED62D8F" w14:textId="77777777" w:rsidR="002F653A" w:rsidRPr="00247163" w:rsidRDefault="00CB53E8">
      <w:pPr>
        <w:numPr>
          <w:ilvl w:val="0"/>
          <w:numId w:val="28"/>
        </w:numPr>
        <w:pBdr>
          <w:top w:val="nil"/>
          <w:left w:val="nil"/>
          <w:bottom w:val="nil"/>
          <w:right w:val="nil"/>
          <w:between w:val="nil"/>
        </w:pBdr>
        <w:ind w:left="1134" w:right="1389"/>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En materia de acceso a la información pública. 03182/INFOEM/IP/RR/2019. Aprobado por unanimidad de votos. Ayuntamiento de Toluca. Comisionada Ponente Eva Abaid Yapur. </w:t>
      </w:r>
    </w:p>
    <w:p w14:paraId="199E9853" w14:textId="77777777" w:rsidR="002F653A" w:rsidRPr="00247163" w:rsidRDefault="00CB53E8">
      <w:pPr>
        <w:numPr>
          <w:ilvl w:val="0"/>
          <w:numId w:val="28"/>
        </w:numPr>
        <w:pBdr>
          <w:top w:val="nil"/>
          <w:left w:val="nil"/>
          <w:bottom w:val="nil"/>
          <w:right w:val="nil"/>
          <w:between w:val="nil"/>
        </w:pBdr>
        <w:ind w:left="1134" w:right="1389"/>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En materia de acceso a la información pública.</w:t>
      </w:r>
      <w:r w:rsidRPr="00247163">
        <w:rPr>
          <w:rFonts w:ascii="Century Gothic" w:eastAsia="Century Gothic" w:hAnsi="Century Gothic" w:cs="Century Gothic"/>
          <w:i/>
          <w:iCs/>
          <w:color w:val="000000"/>
        </w:rPr>
        <w:t xml:space="preserve"> </w:t>
      </w:r>
      <w:r w:rsidRPr="00247163">
        <w:rPr>
          <w:rFonts w:ascii="Palatino Linotype" w:eastAsia="Palatino Linotype" w:hAnsi="Palatino Linotype" w:cs="Palatino Linotype"/>
          <w:i/>
          <w:iCs/>
          <w:color w:val="000000"/>
        </w:rPr>
        <w:t xml:space="preserve">02878/INFOEM/IP/RR/2019. Aprobado por unanimidad de votos. Ayuntamiento de Valle de Chalco Solidaridad. Comisionado Ponente José Guadalupe Luna Hernández. </w:t>
      </w:r>
    </w:p>
    <w:p w14:paraId="744665AA" w14:textId="77777777" w:rsidR="002F653A" w:rsidRPr="00247163" w:rsidRDefault="00CB53E8">
      <w:pPr>
        <w:pBdr>
          <w:top w:val="nil"/>
          <w:left w:val="nil"/>
          <w:bottom w:val="nil"/>
          <w:right w:val="nil"/>
          <w:between w:val="nil"/>
        </w:pBdr>
        <w:ind w:left="1134" w:right="1389"/>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En materia de acceso a la información pública. 01869/INFOEM/IP/RR/2019. Aprobado por unanimidad de votos, emitiendo voto particular José Guadalupe Luna Hernández. Ayuntamiento de Tecámac. Comisionado Ponente Javier Martínez Cruz.</w:t>
      </w:r>
    </w:p>
    <w:p w14:paraId="4DB2C8A2" w14:textId="77777777" w:rsidR="002F653A" w:rsidRPr="00247163" w:rsidRDefault="00CB53E8" w:rsidP="00247163">
      <w:pPr>
        <w:numPr>
          <w:ilvl w:val="0"/>
          <w:numId w:val="36"/>
        </w:numPr>
        <w:spacing w:line="360" w:lineRule="auto"/>
        <w:ind w:left="0" w:right="-591" w:firstLine="0"/>
        <w:jc w:val="both"/>
        <w:rPr>
          <w:color w:val="000000"/>
        </w:rPr>
      </w:pPr>
      <w:r w:rsidRPr="00247163">
        <w:rPr>
          <w:rFonts w:ascii="Palatino Linotype" w:eastAsia="Palatino Linotype" w:hAnsi="Palatino Linotype" w:cs="Palatino Linotype"/>
        </w:rPr>
        <w:lastRenderedPageBreak/>
        <w:t xml:space="preserve">En este </w:t>
      </w:r>
      <w:r w:rsidRPr="00247163">
        <w:rPr>
          <w:rFonts w:ascii="Palatino Linotype" w:eastAsia="Palatino Linotype" w:hAnsi="Palatino Linotype" w:cs="Palatino Linotype"/>
          <w:color w:val="000000"/>
        </w:rPr>
        <w:t>orden</w:t>
      </w:r>
      <w:r w:rsidRPr="00247163">
        <w:rPr>
          <w:rFonts w:ascii="Palatino Linotype" w:eastAsia="Palatino Linotype" w:hAnsi="Palatino Linotype" w:cs="Palatino Linotype"/>
        </w:rPr>
        <w:t xml:space="preserve"> de ideas, podemos advertir que la para el caso de los padrones requeridos, se presume la existencia de datos susceptibles de clasificar  enunciativamente la CURP, teléfono, nombre, padecimiento, tratamientos, por lo que es dable respecto de este punto de la solicitud, </w:t>
      </w:r>
      <w:r w:rsidRPr="00247163">
        <w:rPr>
          <w:rFonts w:ascii="Palatino Linotype" w:eastAsia="Palatino Linotype" w:hAnsi="Palatino Linotype" w:cs="Palatino Linotype"/>
          <w:b/>
          <w:bCs/>
        </w:rPr>
        <w:t>ORDENAR</w:t>
      </w:r>
      <w:r w:rsidRPr="00247163">
        <w:rPr>
          <w:rFonts w:ascii="Palatino Linotype" w:eastAsia="Palatino Linotype" w:hAnsi="Palatino Linotype" w:cs="Palatino Linotype"/>
        </w:rPr>
        <w:t xml:space="preserve"> la entrega de tales </w:t>
      </w:r>
      <w:r w:rsidRPr="00247163">
        <w:rPr>
          <w:rFonts w:ascii="Palatino Linotype" w:eastAsia="Palatino Linotype" w:hAnsi="Palatino Linotype" w:cs="Palatino Linotype"/>
          <w:b/>
          <w:bCs/>
        </w:rPr>
        <w:t>padrones de beneficiarios</w:t>
      </w:r>
      <w:r w:rsidRPr="00247163">
        <w:rPr>
          <w:rFonts w:ascii="Palatino Linotype" w:eastAsia="Palatino Linotype" w:hAnsi="Palatino Linotype" w:cs="Palatino Linotype"/>
        </w:rPr>
        <w:t xml:space="preserve"> en versión pública, clasificando la información confidencial. </w:t>
      </w:r>
    </w:p>
    <w:p w14:paraId="5EC7C8EA" w14:textId="77777777" w:rsidR="002F653A" w:rsidRPr="00247163" w:rsidRDefault="002F653A">
      <w:pPr>
        <w:pBdr>
          <w:top w:val="nil"/>
          <w:left w:val="nil"/>
          <w:bottom w:val="nil"/>
          <w:right w:val="nil"/>
          <w:between w:val="nil"/>
        </w:pBdr>
        <w:spacing w:line="360" w:lineRule="auto"/>
        <w:ind w:left="1135" w:right="-591"/>
        <w:jc w:val="both"/>
        <w:rPr>
          <w:color w:val="000000"/>
        </w:rPr>
      </w:pPr>
    </w:p>
    <w:p w14:paraId="31739F96" w14:textId="7DFE58C8" w:rsidR="002F653A" w:rsidRPr="00247163" w:rsidRDefault="00CB53E8" w:rsidP="00247163">
      <w:pPr>
        <w:pStyle w:val="Prrafodelista"/>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Bajo los mismos criterios expuestos  con anterioridad, es de referir que la entrega de expedientes médicos o bitácoras de atención médica contienen enunciativamente datos susceptibles de clasificación, como el nombre, tratamiento, CURP, diagnóstico, siendo entonces correcta la  versión pública entregada por el Sujeto Obligado. </w:t>
      </w:r>
    </w:p>
    <w:p w14:paraId="3BBE0A85"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04A65FAB"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Por cuanto hace a los puntos de la solicitud referentes a conocer los comprobantes de pago o condonaciones se advierte del Manual de Organización y Procedimientos UBRIS la obligación del Sujeto Obligado a documentar toda cuota de recuperación para la prestación de servicios, sin embargo se advierte que tales pagos deben ser cubiertos directamente en la caja dependiente de la Tesorería </w:t>
      </w:r>
    </w:p>
    <w:p w14:paraId="7DB0E44E" w14:textId="77777777" w:rsidR="002F653A" w:rsidRPr="00247163" w:rsidRDefault="00CB53E8">
      <w:pPr>
        <w:pBdr>
          <w:top w:val="nil"/>
          <w:left w:val="nil"/>
          <w:bottom w:val="nil"/>
          <w:right w:val="nil"/>
          <w:between w:val="nil"/>
        </w:pBdr>
        <w:ind w:left="720"/>
        <w:jc w:val="center"/>
        <w:rPr>
          <w:rFonts w:ascii="Palatino Linotype" w:eastAsia="Palatino Linotype" w:hAnsi="Palatino Linotype" w:cs="Palatino Linotype"/>
          <w:color w:val="000000"/>
        </w:rPr>
      </w:pPr>
      <w:r w:rsidRPr="00247163">
        <w:rPr>
          <w:rFonts w:ascii="Palatino Linotype" w:eastAsia="Palatino Linotype" w:hAnsi="Palatino Linotype" w:cs="Palatino Linotype"/>
          <w:noProof/>
          <w:color w:val="000000"/>
        </w:rPr>
        <w:lastRenderedPageBreak/>
        <w:drawing>
          <wp:inline distT="0" distB="0" distL="0" distR="0" wp14:anchorId="54A710BD" wp14:editId="2839FD66">
            <wp:extent cx="4328771" cy="4294427"/>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3"/>
                    <a:srcRect/>
                    <a:stretch>
                      <a:fillRect/>
                    </a:stretch>
                  </pic:blipFill>
                  <pic:spPr>
                    <a:xfrm>
                      <a:off x="0" y="0"/>
                      <a:ext cx="4328771" cy="4294427"/>
                    </a:xfrm>
                    <a:prstGeom prst="rect">
                      <a:avLst/>
                    </a:prstGeom>
                    <a:ln/>
                  </pic:spPr>
                </pic:pic>
              </a:graphicData>
            </a:graphic>
          </wp:inline>
        </w:drawing>
      </w:r>
      <w:r w:rsidRPr="00247163">
        <w:rPr>
          <w:noProof/>
        </w:rPr>
        <mc:AlternateContent>
          <mc:Choice Requires="wps">
            <w:drawing>
              <wp:anchor distT="0" distB="0" distL="114300" distR="114300" simplePos="0" relativeHeight="251662336" behindDoc="0" locked="0" layoutInCell="1" hidden="0" allowOverlap="1" wp14:anchorId="53BB0A9E" wp14:editId="49934410">
                <wp:simplePos x="0" y="0"/>
                <wp:positionH relativeFrom="column">
                  <wp:posOffset>1221175</wp:posOffset>
                </wp:positionH>
                <wp:positionV relativeFrom="paragraph">
                  <wp:posOffset>1731880</wp:posOffset>
                </wp:positionV>
                <wp:extent cx="1210171" cy="1106805"/>
                <wp:effectExtent l="0" t="0" r="0" b="0"/>
                <wp:wrapNone/>
                <wp:docPr id="3" name="Rectángulo redondeado 3"/>
                <wp:cNvGraphicFramePr/>
                <a:graphic xmlns:a="http://schemas.openxmlformats.org/drawingml/2006/main">
                  <a:graphicData uri="http://schemas.microsoft.com/office/word/2010/wordprocessingShape">
                    <wps:wsp>
                      <wps:cNvSpPr/>
                      <wps:spPr>
                        <a:xfrm>
                          <a:off x="4745677" y="3231360"/>
                          <a:ext cx="1200646" cy="1097280"/>
                        </a:xfrm>
                        <a:prstGeom prst="roundRect">
                          <a:avLst>
                            <a:gd name="adj" fmla="val 16667"/>
                          </a:avLst>
                        </a:prstGeom>
                        <a:noFill/>
                        <a:ln w="9525" cap="flat" cmpd="sng">
                          <a:solidFill>
                            <a:srgbClr val="C00000"/>
                          </a:solidFill>
                          <a:prstDash val="solid"/>
                          <a:round/>
                          <a:headEnd type="none" w="sm" len="sm"/>
                          <a:tailEnd type="none" w="sm" len="sm"/>
                        </a:ln>
                      </wps:spPr>
                      <wps:txbx>
                        <w:txbxContent>
                          <w:p w14:paraId="35D3209D" w14:textId="77777777" w:rsidR="000101BB" w:rsidRDefault="000101BB">
                            <w:pPr>
                              <w:textDirection w:val="btLr"/>
                            </w:pPr>
                          </w:p>
                        </w:txbxContent>
                      </wps:txbx>
                      <wps:bodyPr spcFirstLastPara="1" wrap="square" lIns="91425" tIns="91425" rIns="91425" bIns="91425" anchor="ctr" anchorCtr="0">
                        <a:noAutofit/>
                      </wps:bodyPr>
                    </wps:wsp>
                  </a:graphicData>
                </a:graphic>
              </wp:anchor>
            </w:drawing>
          </mc:Choice>
          <mc:Fallback>
            <w:pict>
              <v:roundrect w14:anchorId="53BB0A9E" id="Rectángulo redondeado 3" o:spid="_x0000_s1030" style="position:absolute;left:0;text-align:left;margin-left:96.15pt;margin-top:136.35pt;width:95.3pt;height:87.1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" filled="f" strokecolor="#c00000">
                <v:stroke startarrowwidth="narrow" startarrowlength="short" endarrowwidth="narrow" endarrowlength="short"/>
                <v:textbox inset="2.53958mm,2.53958mm,2.53958mm,2.53958mm">
                  <w:txbxContent>
                    <w:p w14:paraId="35D3209D" w14:textId="77777777" w:rsidR="000101BB" w:rsidRDefault="000101BB">
                      <w:pPr>
                        <w:textDirection w:val="btLr"/>
                      </w:pPr>
                    </w:p>
                  </w:txbxContent>
                </v:textbox>
              </v:roundrect>
            </w:pict>
          </mc:Fallback>
        </mc:AlternateContent>
      </w:r>
    </w:p>
    <w:p w14:paraId="06338597"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En contraparte,  la Ley de Asistencia Social del Estado de México refiere que para que el usuario de los servicios pueda acceder al beneficio de omisión de pago y que la caja emita un recibo en ceros, el área de Trabajo Social se encuentra constreñida a emitir con antelación el dictamen socio - económico que sustente la emisión de tal recibo.</w:t>
      </w:r>
      <w:r w:rsidRPr="00247163">
        <w:rPr>
          <w:rFonts w:ascii="Palatino Linotype" w:eastAsia="Palatino Linotype" w:hAnsi="Palatino Linotype" w:cs="Palatino Linotype"/>
          <w:color w:val="000000"/>
          <w:vertAlign w:val="superscript"/>
        </w:rPr>
        <w:footnoteReference w:id="7"/>
      </w:r>
    </w:p>
    <w:p w14:paraId="0198B213"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59F42990"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Por lo que existe entonces fuente obligacional que constriñe al sujeto Obligado a la emisión de documentales en las que conste el pago de los usuarios por los servicios recibidos o la omisión del pago de los mismos, siendo dable ordenar su entrega de ser procedente en versión pública.</w:t>
      </w:r>
    </w:p>
    <w:p w14:paraId="110F2C33" w14:textId="77777777" w:rsidR="002F653A" w:rsidRPr="00247163" w:rsidRDefault="00CB53E8" w:rsidP="00247163">
      <w:pPr>
        <w:numPr>
          <w:ilvl w:val="0"/>
          <w:numId w:val="36"/>
        </w:numPr>
        <w:spacing w:line="360" w:lineRule="auto"/>
        <w:ind w:left="0" w:right="-591" w:firstLine="0"/>
        <w:jc w:val="both"/>
        <w:rPr>
          <w:color w:val="000000"/>
        </w:rPr>
      </w:pPr>
      <w:r w:rsidRPr="00247163">
        <w:rPr>
          <w:rFonts w:ascii="Palatino Linotype" w:eastAsia="Palatino Linotype" w:hAnsi="Palatino Linotype" w:cs="Palatino Linotype"/>
          <w:color w:val="000000"/>
        </w:rPr>
        <w:lastRenderedPageBreak/>
        <w:t>Ahora bien por cuanto hace al punto de la solicitud 14, si bien se advierte que el Sujeto Obligado entregó las documentales que pudieran colmar con lo requerido por el particular, también lo es que parte de la misma es ilegible como se observa de la captura siguiente:</w:t>
      </w:r>
    </w:p>
    <w:p w14:paraId="0E1F4D0A" w14:textId="77777777" w:rsidR="002F653A" w:rsidRPr="00247163" w:rsidRDefault="00CB53E8">
      <w:pPr>
        <w:pBdr>
          <w:top w:val="nil"/>
          <w:left w:val="nil"/>
          <w:bottom w:val="nil"/>
          <w:right w:val="nil"/>
          <w:between w:val="nil"/>
        </w:pBdr>
        <w:ind w:right="-596"/>
        <w:jc w:val="center"/>
        <w:rPr>
          <w:rFonts w:ascii="Palatino Linotype" w:eastAsia="Palatino Linotype" w:hAnsi="Palatino Linotype" w:cs="Palatino Linotype"/>
          <w:color w:val="000000"/>
        </w:rPr>
      </w:pPr>
      <w:r w:rsidRPr="00247163">
        <w:rPr>
          <w:noProof/>
          <w:color w:val="000000"/>
        </w:rPr>
        <w:drawing>
          <wp:inline distT="0" distB="0" distL="0" distR="0" wp14:anchorId="31A6EC89" wp14:editId="6BCD0BA0">
            <wp:extent cx="4119221" cy="2923121"/>
            <wp:effectExtent l="0" t="0" r="0" b="0"/>
            <wp:docPr id="1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4"/>
                    <a:srcRect/>
                    <a:stretch>
                      <a:fillRect/>
                    </a:stretch>
                  </pic:blipFill>
                  <pic:spPr>
                    <a:xfrm>
                      <a:off x="0" y="0"/>
                      <a:ext cx="4119221" cy="2923121"/>
                    </a:xfrm>
                    <a:prstGeom prst="rect">
                      <a:avLst/>
                    </a:prstGeom>
                    <a:ln/>
                  </pic:spPr>
                </pic:pic>
              </a:graphicData>
            </a:graphic>
          </wp:inline>
        </w:drawing>
      </w:r>
    </w:p>
    <w:p w14:paraId="61DB2810" w14:textId="77777777" w:rsidR="002F653A" w:rsidRPr="00247163" w:rsidRDefault="00CB53E8">
      <w:pPr>
        <w:pBdr>
          <w:top w:val="nil"/>
          <w:left w:val="nil"/>
          <w:bottom w:val="nil"/>
          <w:right w:val="nil"/>
          <w:between w:val="nil"/>
        </w:pBdr>
        <w:spacing w:before="360" w:after="240" w:line="360" w:lineRule="auto"/>
        <w:ind w:right="-596"/>
        <w:jc w:val="both"/>
        <w:rPr>
          <w:color w:val="000000"/>
        </w:rPr>
      </w:pPr>
      <w:r w:rsidRPr="00247163">
        <w:rPr>
          <w:rFonts w:ascii="Palatino Linotype" w:eastAsia="Palatino Linotype" w:hAnsi="Palatino Linotype" w:cs="Palatino Linotype"/>
          <w:color w:val="000000"/>
        </w:rPr>
        <w:t>Bajo ese tenor no se pasa por alto que el hacer entrega de un documento cuya información se encuentre ilegible, deja en incertidumbre al particular, violentando el Derecho de Acceso a la Información. </w:t>
      </w:r>
    </w:p>
    <w:p w14:paraId="2F9CC6D4" w14:textId="77777777" w:rsidR="002F653A" w:rsidRPr="00247163" w:rsidRDefault="00CB53E8" w:rsidP="00247163">
      <w:pPr>
        <w:numPr>
          <w:ilvl w:val="0"/>
          <w:numId w:val="36"/>
        </w:numPr>
        <w:pBdr>
          <w:top w:val="nil"/>
          <w:left w:val="nil"/>
          <w:bottom w:val="nil"/>
          <w:right w:val="nil"/>
          <w:between w:val="nil"/>
        </w:pBdr>
        <w:spacing w:before="360" w:after="240" w:line="360" w:lineRule="auto"/>
        <w:ind w:left="0" w:right="-596" w:firstLine="0"/>
        <w:jc w:val="both"/>
        <w:rPr>
          <w:color w:val="000000"/>
        </w:rPr>
      </w:pPr>
      <w:r w:rsidRPr="00247163">
        <w:rPr>
          <w:rFonts w:ascii="Palatino Linotype" w:eastAsia="Palatino Linotype" w:hAnsi="Palatino Linotype" w:cs="Palatino Linotype"/>
          <w:color w:val="000000"/>
        </w:rPr>
        <w:t xml:space="preserve">Es decir, la información documental que entregue el </w:t>
      </w:r>
      <w:r w:rsidRPr="00247163">
        <w:rPr>
          <w:rFonts w:ascii="Palatino Linotype" w:eastAsia="Palatino Linotype" w:hAnsi="Palatino Linotype" w:cs="Palatino Linotype"/>
          <w:b/>
          <w:bCs/>
          <w:color w:val="000000"/>
        </w:rPr>
        <w:t>SUJETO OBLIGADO</w:t>
      </w:r>
      <w:r w:rsidRPr="00247163">
        <w:rPr>
          <w:rFonts w:ascii="Palatino Linotype" w:eastAsia="Palatino Linotype" w:hAnsi="Palatino Linotype" w:cs="Palatino Linotype"/>
          <w:color w:val="000000"/>
        </w:rPr>
        <w:t xml:space="preserve"> debe ser clara, entendible y legible, esto con la finalidad de que pueda ser verificada la información contenida en los documentos proporcionados, ya que de lo contrario se incumple el principio de accesibilidad, lo que constituye una restricción indirecta al Derecho de Acceso a la Información Pública.</w:t>
      </w:r>
    </w:p>
    <w:p w14:paraId="2C8484C4" w14:textId="77777777" w:rsidR="002F653A" w:rsidRPr="00247163" w:rsidRDefault="00CB53E8" w:rsidP="00247163">
      <w:pPr>
        <w:numPr>
          <w:ilvl w:val="0"/>
          <w:numId w:val="36"/>
        </w:numPr>
        <w:pBdr>
          <w:top w:val="nil"/>
          <w:left w:val="nil"/>
          <w:bottom w:val="nil"/>
          <w:right w:val="nil"/>
          <w:between w:val="nil"/>
        </w:pBdr>
        <w:spacing w:before="360" w:after="240" w:line="360" w:lineRule="auto"/>
        <w:ind w:left="0" w:right="-596" w:firstLine="0"/>
        <w:jc w:val="both"/>
        <w:rPr>
          <w:color w:val="000000"/>
        </w:rPr>
      </w:pPr>
      <w:r w:rsidRPr="00247163">
        <w:rPr>
          <w:rFonts w:ascii="Palatino Linotype" w:eastAsia="Palatino Linotype" w:hAnsi="Palatino Linotype" w:cs="Palatino Linotype"/>
          <w:color w:val="000000"/>
        </w:rPr>
        <w:lastRenderedPageBreak/>
        <w:t xml:space="preserve">Sirve de apoyo a lo anterior como criterio </w:t>
      </w:r>
      <w:r w:rsidRPr="00247163">
        <w:rPr>
          <w:rFonts w:ascii="Palatino Linotype" w:eastAsia="Palatino Linotype" w:hAnsi="Palatino Linotype" w:cs="Palatino Linotype"/>
        </w:rPr>
        <w:t>orientador de la tesis</w:t>
      </w:r>
      <w:r w:rsidRPr="00247163">
        <w:rPr>
          <w:rFonts w:ascii="Palatino Linotype" w:eastAsia="Palatino Linotype" w:hAnsi="Palatino Linotype" w:cs="Palatino Linotype"/>
          <w:color w:val="000000"/>
        </w:rPr>
        <w:t xml:space="preserve"> número II. 1°. C.T. 55 C, publicada en el Semanario Judicial de la Federación y su Gaceta bajo el número de3 registro 201,412, que a la letra dice:</w:t>
      </w:r>
    </w:p>
    <w:p w14:paraId="72E60D32" w14:textId="77777777" w:rsidR="002F653A" w:rsidRPr="00247163" w:rsidRDefault="00CB53E8">
      <w:pPr>
        <w:pBdr>
          <w:top w:val="nil"/>
          <w:left w:val="nil"/>
          <w:bottom w:val="nil"/>
          <w:right w:val="nil"/>
          <w:between w:val="nil"/>
        </w:pBdr>
        <w:ind w:left="1134" w:right="822"/>
        <w:jc w:val="both"/>
        <w:rPr>
          <w:color w:val="000000"/>
        </w:rPr>
      </w:pPr>
      <w:r w:rsidRPr="00247163">
        <w:rPr>
          <w:rFonts w:ascii="Palatino Linotype" w:eastAsia="Palatino Linotype" w:hAnsi="Palatino Linotype" w:cs="Palatino Linotype"/>
          <w:i/>
          <w:iCs/>
          <w:color w:val="000000"/>
        </w:rPr>
        <w:t>“</w:t>
      </w:r>
      <w:r w:rsidRPr="00247163">
        <w:rPr>
          <w:rFonts w:ascii="Palatino Linotype" w:eastAsia="Palatino Linotype" w:hAnsi="Palatino Linotype" w:cs="Palatino Linotype"/>
          <w:b/>
          <w:bCs/>
          <w:i/>
          <w:iCs/>
          <w:color w:val="000000"/>
        </w:rPr>
        <w:t>COTEJO DE COPIAS FOTOSTÁTICAS ILEGIBLES. AL NO SER POSIBLE CONSTATAR SU AUTENTICIDAD ES INÚTIL E INTRASCENDENTE SU PERFECCIONAMIENTO, POR LO QUE LA JUNTA ESTÁ IMPEDIDA PARA ORDENAR SU DESAHOGO.</w:t>
      </w:r>
      <w:r w:rsidRPr="00247163">
        <w:rPr>
          <w:rFonts w:ascii="Palatino Linotype" w:eastAsia="Palatino Linotype" w:hAnsi="Palatino Linotype" w:cs="Palatino Linotype"/>
          <w:i/>
          <w:iCs/>
          <w:color w:val="000000"/>
        </w:rPr>
        <w:t xml:space="preserve"> Cuando alguna de las partes en el juicio laboral ofrece como prueba algún documento en copia fotostática y su perfeccionamiento por medio del cotejo con su original, la Junta estará impedida para ordenar su desahogo, si el texto de esas reproducciones fotostáticas es ilegible en alguna de sus partes, toda vez que el actuario no podrá constatar, a través de sus sentidos, si concuerdan o no las copias aportadas al sumario con sus originales, pues no es posible que en caso de que la parte legible de esas reproducciones resulte igual que sus originales y, que por ese hecho, considerara lo mismo respecto de la otra parte a la que no puede dar lectura, dado que es ilegible; por tanto, al ser imposible constatar su autenticidad por medio del citado perfeccionamiento, dicha probanza se torna inútil e intrascendente, conforme al artículo 779 de la Ley Federal del Trabajo.”(Sic)</w:t>
      </w:r>
    </w:p>
    <w:p w14:paraId="7E9527A1" w14:textId="77777777" w:rsidR="002F653A" w:rsidRPr="00247163" w:rsidRDefault="00CB53E8" w:rsidP="00247163">
      <w:pPr>
        <w:numPr>
          <w:ilvl w:val="0"/>
          <w:numId w:val="36"/>
        </w:numPr>
        <w:pBdr>
          <w:top w:val="nil"/>
          <w:left w:val="nil"/>
          <w:bottom w:val="nil"/>
          <w:right w:val="nil"/>
          <w:between w:val="nil"/>
        </w:pBdr>
        <w:spacing w:before="360" w:after="240" w:line="360" w:lineRule="auto"/>
        <w:ind w:left="0" w:right="-596" w:firstLine="0"/>
        <w:jc w:val="both"/>
        <w:rPr>
          <w:color w:val="000000"/>
        </w:rPr>
      </w:pPr>
      <w:r w:rsidRPr="00247163">
        <w:rPr>
          <w:rFonts w:ascii="Palatino Linotype" w:eastAsia="Palatino Linotype" w:hAnsi="Palatino Linotype" w:cs="Palatino Linotype"/>
          <w:color w:val="000000"/>
        </w:rPr>
        <w:t xml:space="preserve">En conclusión, el </w:t>
      </w:r>
      <w:r w:rsidRPr="00247163">
        <w:rPr>
          <w:rFonts w:ascii="Palatino Linotype" w:eastAsia="Palatino Linotype" w:hAnsi="Palatino Linotype" w:cs="Palatino Linotype"/>
          <w:b/>
          <w:bCs/>
          <w:color w:val="000000"/>
        </w:rPr>
        <w:t>SUJETO OBLIGADO</w:t>
      </w:r>
      <w:r w:rsidRPr="00247163">
        <w:rPr>
          <w:rFonts w:ascii="Palatino Linotype" w:eastAsia="Palatino Linotype" w:hAnsi="Palatino Linotype" w:cs="Palatino Linotype"/>
          <w:color w:val="000000"/>
        </w:rPr>
        <w:t xml:space="preserve"> al momento en que dé entregar información a cualquier solicitud de acceso a la información deberá revisar y verificar que la documentación que remitió sea legible o debidamente escaneada para entregarse de manera adecuada, para que este Instituto tenga por satisfecho el derecho de acceso a la información ejercido por la parte </w:t>
      </w:r>
      <w:r w:rsidRPr="00247163">
        <w:rPr>
          <w:rFonts w:ascii="Palatino Linotype" w:eastAsia="Palatino Linotype" w:hAnsi="Palatino Linotype" w:cs="Palatino Linotype"/>
          <w:b/>
          <w:bCs/>
          <w:color w:val="000000"/>
        </w:rPr>
        <w:t>RECURRENTE</w:t>
      </w:r>
      <w:r w:rsidRPr="00247163">
        <w:rPr>
          <w:rFonts w:ascii="Palatino Linotype" w:eastAsia="Palatino Linotype" w:hAnsi="Palatino Linotype" w:cs="Palatino Linotype"/>
          <w:color w:val="000000"/>
        </w:rPr>
        <w:t>, por lo anteriormente expuesto, el Sujeto Obligado deberá entregar de nueva cuenta las documentales donde consten los indicadores de desempeño requeridas en el punto  referido y de manera legible.</w:t>
      </w:r>
    </w:p>
    <w:p w14:paraId="3B1E3E0E" w14:textId="77777777" w:rsidR="002F653A" w:rsidRPr="00247163" w:rsidRDefault="002F653A">
      <w:pPr>
        <w:pBdr>
          <w:top w:val="nil"/>
          <w:left w:val="nil"/>
          <w:bottom w:val="nil"/>
          <w:right w:val="nil"/>
          <w:between w:val="nil"/>
        </w:pBdr>
        <w:spacing w:before="360" w:after="240" w:line="360" w:lineRule="auto"/>
        <w:ind w:right="-596"/>
        <w:jc w:val="both"/>
        <w:rPr>
          <w:rFonts w:ascii="Palatino Linotype" w:eastAsia="Palatino Linotype" w:hAnsi="Palatino Linotype" w:cs="Palatino Linotype"/>
          <w:color w:val="000000"/>
        </w:rPr>
      </w:pPr>
    </w:p>
    <w:p w14:paraId="123F6E97" w14:textId="072B30E7" w:rsidR="002F653A" w:rsidRPr="00247163" w:rsidRDefault="00CB53E8" w:rsidP="00247163">
      <w:pPr>
        <w:pStyle w:val="Prrafodelista"/>
        <w:numPr>
          <w:ilvl w:val="0"/>
          <w:numId w:val="36"/>
        </w:numP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Así mismo por </w:t>
      </w:r>
      <w:r w:rsidRPr="00247163">
        <w:rPr>
          <w:rFonts w:ascii="Palatino Linotype" w:eastAsia="Palatino Linotype" w:hAnsi="Palatino Linotype" w:cs="Palatino Linotype"/>
        </w:rPr>
        <w:t>cuanto</w:t>
      </w:r>
      <w:r w:rsidRPr="00247163">
        <w:rPr>
          <w:rFonts w:ascii="Palatino Linotype" w:eastAsia="Palatino Linotype" w:hAnsi="Palatino Linotype" w:cs="Palatino Linotype"/>
          <w:color w:val="000000"/>
        </w:rPr>
        <w:t xml:space="preserve"> hace al punto </w:t>
      </w:r>
      <w:r w:rsidRPr="00247163">
        <w:rPr>
          <w:rFonts w:ascii="Palatino Linotype" w:eastAsia="Palatino Linotype" w:hAnsi="Palatino Linotype" w:cs="Palatino Linotype"/>
          <w:i/>
          <w:iCs/>
          <w:color w:val="000000"/>
        </w:rPr>
        <w:t>dieciséis</w:t>
      </w:r>
      <w:r w:rsidRPr="00247163">
        <w:rPr>
          <w:rFonts w:ascii="Palatino Linotype" w:eastAsia="Palatino Linotype" w:hAnsi="Palatino Linotype" w:cs="Palatino Linotype"/>
          <w:color w:val="000000"/>
        </w:rPr>
        <w:t xml:space="preserve"> referente a las documentales derivadas de auditorías, visitas de supervisión o revisiones externas o internas, es preciso referir que los Lineamientos señalan que las auditorías </w:t>
      </w:r>
      <w:r w:rsidRPr="00247163">
        <w:rPr>
          <w:rFonts w:ascii="Palatino Linotype" w:eastAsia="Palatino Linotype" w:hAnsi="Palatino Linotype" w:cs="Palatino Linotype"/>
          <w:b/>
          <w:bCs/>
          <w:color w:val="000000"/>
        </w:rPr>
        <w:t>son verificaciones cuyo fin es comprobar el cumplimiento de objetivos fiscales;</w:t>
      </w:r>
      <w:r w:rsidRPr="00247163">
        <w:rPr>
          <w:rFonts w:ascii="Palatino Linotype" w:eastAsia="Palatino Linotype" w:hAnsi="Palatino Linotype" w:cs="Palatino Linotype"/>
          <w:color w:val="000000"/>
        </w:rPr>
        <w:t xml:space="preserve"> sirven para responsabilizar a los Sujetos Obligados y/o servidores públicos, integrantes y/o miembros, así como toda persona que desempeñe un empleo, cargo o comisión y/o ejerza actos de autoridad en los Sujetos Obligados, sobre el manejo de los recursos presupuestarios que utilizan para la realización de sus funciones y la prestación de servicios hacia la ciudadanía, de acuerdo con los documentos normativos que correspondan.</w:t>
      </w:r>
    </w:p>
    <w:p w14:paraId="26823F9E" w14:textId="77777777" w:rsidR="002F653A" w:rsidRPr="00247163" w:rsidRDefault="002F653A">
      <w:pPr>
        <w:spacing w:line="360" w:lineRule="auto"/>
        <w:jc w:val="both"/>
        <w:rPr>
          <w:rFonts w:ascii="Palatino Linotype" w:eastAsia="Palatino Linotype" w:hAnsi="Palatino Linotype" w:cs="Palatino Linotype"/>
          <w:color w:val="000000"/>
        </w:rPr>
      </w:pPr>
    </w:p>
    <w:p w14:paraId="6DCF630B"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Los resultados de estas verificaciones, mismos que emiten los órganos fiscalizadores, deben ser publicados por el Sujeto Obligado, así como las aclaraciones correspondientes aun cuando su seguimiento no esté concluido. El sujeto obligado deberá ordenar la información en dos rubros: Auditorías Internas y Auditorías Externas.</w:t>
      </w:r>
    </w:p>
    <w:p w14:paraId="4817843F" w14:textId="77777777" w:rsidR="002F653A" w:rsidRPr="00247163" w:rsidRDefault="002F653A">
      <w:pPr>
        <w:spacing w:line="360" w:lineRule="auto"/>
        <w:ind w:right="-596"/>
        <w:jc w:val="both"/>
        <w:rPr>
          <w:rFonts w:ascii="Palatino Linotype" w:eastAsia="Palatino Linotype" w:hAnsi="Palatino Linotype" w:cs="Palatino Linotype"/>
          <w:color w:val="000000"/>
        </w:rPr>
      </w:pPr>
    </w:p>
    <w:p w14:paraId="49394A6A"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Las </w:t>
      </w:r>
      <w:r w:rsidRPr="00247163">
        <w:rPr>
          <w:rFonts w:ascii="Palatino Linotype" w:eastAsia="Palatino Linotype" w:hAnsi="Palatino Linotype" w:cs="Palatino Linotype"/>
          <w:i/>
          <w:iCs/>
          <w:color w:val="000000"/>
        </w:rPr>
        <w:t>auditorías internas</w:t>
      </w:r>
      <w:r w:rsidRPr="00247163">
        <w:rPr>
          <w:rFonts w:ascii="Palatino Linotype" w:eastAsia="Palatino Linotype" w:hAnsi="Palatino Linotype" w:cs="Palatino Linotype"/>
          <w:color w:val="000000"/>
        </w:rPr>
        <w:t xml:space="preserve"> se refieren a las revisiones </w:t>
      </w:r>
      <w:r w:rsidRPr="00247163">
        <w:rPr>
          <w:rFonts w:ascii="Palatino Linotype" w:eastAsia="Palatino Linotype" w:hAnsi="Palatino Linotype" w:cs="Palatino Linotype"/>
          <w:b/>
          <w:bCs/>
          <w:color w:val="000000"/>
        </w:rPr>
        <w:t>realizadas por los órganos internos de control, contralorías, comisiones u órganos de vigilancia</w:t>
      </w:r>
      <w:r w:rsidRPr="00247163">
        <w:rPr>
          <w:rFonts w:ascii="Palatino Linotype" w:eastAsia="Palatino Linotype" w:hAnsi="Palatino Linotype" w:cs="Palatino Linotype"/>
          <w:color w:val="000000"/>
        </w:rPr>
        <w:t xml:space="preserve">, según corresponda, de cada Sujeto Obligado, los cuales actúan a lo largo de todo el año o durante la gestión del sujeto. Las </w:t>
      </w:r>
      <w:r w:rsidRPr="00247163">
        <w:rPr>
          <w:rFonts w:ascii="Palatino Linotype" w:eastAsia="Palatino Linotype" w:hAnsi="Palatino Linotype" w:cs="Palatino Linotype"/>
          <w:i/>
          <w:iCs/>
          <w:color w:val="000000"/>
        </w:rPr>
        <w:t>auditorías externas</w:t>
      </w:r>
      <w:r w:rsidRPr="00247163">
        <w:rPr>
          <w:rFonts w:ascii="Palatino Linotype" w:eastAsia="Palatino Linotype" w:hAnsi="Palatino Linotype" w:cs="Palatino Linotype"/>
          <w:color w:val="000000"/>
        </w:rPr>
        <w:t xml:space="preserve"> se refieren a las revisiones realizadas por el organismo fiscalizador encargado de la entidad que corresponda, así como por las organizaciones, instituciones, consultoras u homólogas externas que el sujeto obligado haya contratado para tal finalidad. Además, en el rubro correspondiente a esta fracción se publicarán los datos obtenidos de las revisiones hechas por la Auditoría Superior de la Federación (ASF), independientemente del ámbito del Sujeto Obligado.</w:t>
      </w:r>
    </w:p>
    <w:p w14:paraId="38C4A5DB"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Además de ordenar la información por rubro (internas y externas), ésta deberá organizarse por tipo de auditoría; por ejemplo: de cumplimiento financiero, de inversión física, forense, de desempeño, de gasto federalizado, financiera de legalidad, programático presupuestal o la que corresponda; en su caso, por los informes entregados por la instancia que </w:t>
      </w:r>
      <w:r w:rsidRPr="00247163">
        <w:rPr>
          <w:rFonts w:ascii="Palatino Linotype" w:eastAsia="Palatino Linotype" w:hAnsi="Palatino Linotype" w:cs="Palatino Linotype"/>
        </w:rPr>
        <w:t>audita</w:t>
      </w:r>
      <w:r w:rsidRPr="00247163">
        <w:rPr>
          <w:rFonts w:ascii="Palatino Linotype" w:eastAsia="Palatino Linotype" w:hAnsi="Palatino Linotype" w:cs="Palatino Linotype"/>
          <w:color w:val="000000"/>
        </w:rPr>
        <w:t xml:space="preserve"> al sujeto obligado, incluidos los informes individuales de auditoría, el Informe General Ejecutivo a la Cámara de Diputados que en su caso haya realizado la ASF y lo derivado de las investigaciones realizadas y las responsabilidades procedentes. </w:t>
      </w:r>
    </w:p>
    <w:p w14:paraId="6B1BA4DD" w14:textId="77777777" w:rsidR="002F653A" w:rsidRPr="00247163" w:rsidRDefault="002F653A">
      <w:pPr>
        <w:spacing w:line="360" w:lineRule="auto"/>
        <w:ind w:right="-596"/>
        <w:jc w:val="both"/>
        <w:rPr>
          <w:rFonts w:ascii="Palatino Linotype" w:eastAsia="Palatino Linotype" w:hAnsi="Palatino Linotype" w:cs="Palatino Linotype"/>
          <w:color w:val="000000"/>
        </w:rPr>
      </w:pPr>
    </w:p>
    <w:p w14:paraId="1E90981D" w14:textId="77777777" w:rsidR="002F653A" w:rsidRPr="00247163" w:rsidRDefault="00CB53E8" w:rsidP="00247163">
      <w:pPr>
        <w:numPr>
          <w:ilvl w:val="0"/>
          <w:numId w:val="36"/>
        </w:numP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Ya que los órganos fiscalizadores promueven acciones con el fin de que los Sujetos Obligados corrijan los errores, evalúen la posibilidad de generar cambios a su interior o realicen cualquier labor de mejora que derive de los resultados obtenidos de las revisiones, todos los Sujetos Obligados deberán publicar dichas acciones impuestas por estos órganos con base en lo establecido en la ley que corresponda.</w:t>
      </w:r>
    </w:p>
    <w:p w14:paraId="2C2864AE" w14:textId="19880502" w:rsidR="002F653A" w:rsidRPr="00247163" w:rsidRDefault="00CB53E8" w:rsidP="00247163">
      <w:pPr>
        <w:pStyle w:val="Prrafodelista"/>
        <w:numPr>
          <w:ilvl w:val="0"/>
          <w:numId w:val="36"/>
        </w:numPr>
        <w:pBdr>
          <w:top w:val="nil"/>
          <w:left w:val="nil"/>
          <w:bottom w:val="nil"/>
          <w:right w:val="nil"/>
          <w:between w:val="nil"/>
        </w:pBdr>
        <w:spacing w:before="360" w:after="240" w:line="360" w:lineRule="auto"/>
        <w:ind w:left="0" w:right="-591" w:firstLine="0"/>
        <w:jc w:val="both"/>
        <w:rPr>
          <w:color w:val="000000"/>
        </w:rPr>
      </w:pPr>
      <w:r w:rsidRPr="00247163">
        <w:rPr>
          <w:rFonts w:ascii="Palatino Linotype" w:eastAsia="Palatino Linotype" w:hAnsi="Palatino Linotype" w:cs="Palatino Linotype"/>
          <w:color w:val="000000"/>
        </w:rPr>
        <w:t xml:space="preserve">Así mismo es de señalar que el Órgano Interno de Control posee como parte de sus atribuciones la realización de auditorías y evaluaciones por lo que en cuanto hace a los reportes de incidencias generados de visitas de verificación, se precisa que al haber entregado </w:t>
      </w:r>
      <w:r w:rsidRPr="00247163">
        <w:rPr>
          <w:rFonts w:ascii="Palatino Linotype" w:eastAsia="Palatino Linotype" w:hAnsi="Palatino Linotype" w:cs="Palatino Linotype"/>
          <w:b/>
          <w:bCs/>
          <w:color w:val="000000"/>
        </w:rPr>
        <w:t>uno</w:t>
      </w:r>
      <w:r w:rsidRPr="00247163">
        <w:rPr>
          <w:rFonts w:ascii="Palatino Linotype" w:eastAsia="Palatino Linotype" w:hAnsi="Palatino Linotype" w:cs="Palatino Linotype"/>
          <w:color w:val="000000"/>
        </w:rPr>
        <w:t xml:space="preserve"> del año dos mil veintitrés resulta dable ordenar la entrega de los mismos para la temporalidad requerida por el particular.</w:t>
      </w:r>
    </w:p>
    <w:p w14:paraId="6D63E629" w14:textId="77777777" w:rsidR="00247163" w:rsidRPr="00247163" w:rsidRDefault="00247163" w:rsidP="00247163">
      <w:pPr>
        <w:pStyle w:val="Prrafodelista"/>
        <w:pBdr>
          <w:top w:val="nil"/>
          <w:left w:val="nil"/>
          <w:bottom w:val="nil"/>
          <w:right w:val="nil"/>
          <w:between w:val="nil"/>
        </w:pBdr>
        <w:spacing w:before="360" w:after="240" w:line="360" w:lineRule="auto"/>
        <w:ind w:left="0" w:right="-591"/>
        <w:jc w:val="both"/>
        <w:rPr>
          <w:color w:val="000000"/>
        </w:rPr>
      </w:pPr>
    </w:p>
    <w:p w14:paraId="58D1828F" w14:textId="220F9121" w:rsidR="002F653A" w:rsidRPr="00247163" w:rsidRDefault="00CB53E8" w:rsidP="00247163">
      <w:pPr>
        <w:pStyle w:val="Prrafodelista"/>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Así mismo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w:t>
      </w:r>
      <w:r w:rsidRPr="00247163">
        <w:rPr>
          <w:rFonts w:ascii="Palatino Linotype" w:eastAsia="Palatino Linotype" w:hAnsi="Palatino Linotype" w:cs="Palatino Linotype"/>
          <w:color w:val="000000"/>
        </w:rPr>
        <w:lastRenderedPageBreak/>
        <w:t>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788A8010"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“Artículo 4. El derecho humano de acceso a la información pública es la prerrogativa de las personas para buscar, difundir, investigar, recabar, recibir y solicitar información pública, sin necesidad de acreditar personalidad ni interés jurídico. </w:t>
      </w:r>
    </w:p>
    <w:p w14:paraId="745FD707"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1BC91311"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solicitantes.”(Sic)</w:t>
      </w:r>
    </w:p>
    <w:p w14:paraId="0BED3FD5" w14:textId="77777777" w:rsidR="002F653A" w:rsidRPr="00247163" w:rsidRDefault="002F653A">
      <w:pPr>
        <w:pBdr>
          <w:top w:val="nil"/>
          <w:left w:val="nil"/>
          <w:bottom w:val="nil"/>
          <w:right w:val="nil"/>
          <w:between w:val="nil"/>
        </w:pBdr>
        <w:ind w:left="1134" w:right="-591"/>
        <w:jc w:val="both"/>
        <w:rPr>
          <w:rFonts w:ascii="Palatino Linotype" w:eastAsia="Palatino Linotype" w:hAnsi="Palatino Linotype" w:cs="Palatino Linotype"/>
          <w:i/>
          <w:iCs/>
          <w:color w:val="000000"/>
        </w:rPr>
      </w:pPr>
    </w:p>
    <w:p w14:paraId="27B67AE3"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De lo precedente, se desprende que los Sujetos Obligados tienen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1E952C43" w14:textId="77777777" w:rsidR="002F653A" w:rsidRPr="00247163" w:rsidRDefault="00CB53E8">
      <w:pPr>
        <w:pBdr>
          <w:top w:val="nil"/>
          <w:left w:val="nil"/>
          <w:bottom w:val="nil"/>
          <w:right w:val="nil"/>
          <w:between w:val="nil"/>
        </w:pBdr>
        <w:spacing w:line="276"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w:t>
      </w:r>
    </w:p>
    <w:p w14:paraId="5BCFB8FD" w14:textId="77777777" w:rsidR="002F653A" w:rsidRPr="00247163" w:rsidRDefault="00CB53E8">
      <w:pPr>
        <w:pBdr>
          <w:top w:val="nil"/>
          <w:left w:val="nil"/>
          <w:bottom w:val="nil"/>
          <w:right w:val="nil"/>
          <w:between w:val="nil"/>
        </w:pBdr>
        <w:spacing w:line="276"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4AF8BA05" w14:textId="77777777" w:rsidR="002F653A" w:rsidRPr="00247163" w:rsidRDefault="002F653A">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p>
    <w:p w14:paraId="4305322D" w14:textId="77777777" w:rsidR="002F653A" w:rsidRPr="00247163" w:rsidRDefault="002F653A">
      <w:pPr>
        <w:pBdr>
          <w:top w:val="nil"/>
          <w:left w:val="nil"/>
          <w:bottom w:val="nil"/>
          <w:right w:val="nil"/>
          <w:between w:val="nil"/>
        </w:pBdr>
        <w:ind w:right="-591"/>
        <w:jc w:val="both"/>
        <w:rPr>
          <w:rFonts w:ascii="Palatino Linotype" w:eastAsia="Palatino Linotype" w:hAnsi="Palatino Linotype" w:cs="Palatino Linotype"/>
          <w:color w:val="000000"/>
        </w:rPr>
      </w:pPr>
    </w:p>
    <w:p w14:paraId="3962B274"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14:paraId="1A64D845" w14:textId="77777777" w:rsidR="002F653A" w:rsidRPr="00247163" w:rsidRDefault="00CB53E8">
      <w:pPr>
        <w:pBdr>
          <w:top w:val="nil"/>
          <w:left w:val="nil"/>
          <w:bottom w:val="nil"/>
          <w:right w:val="nil"/>
          <w:between w:val="nil"/>
        </w:pBdr>
        <w:spacing w:line="276"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03/17</w:t>
      </w:r>
    </w:p>
    <w:p w14:paraId="29C99786" w14:textId="77777777" w:rsidR="002F653A" w:rsidRPr="00247163" w:rsidRDefault="00CB53E8">
      <w:pPr>
        <w:pBdr>
          <w:top w:val="nil"/>
          <w:left w:val="nil"/>
          <w:bottom w:val="nil"/>
          <w:right w:val="nil"/>
          <w:between w:val="nil"/>
        </w:pBdr>
        <w:spacing w:line="276"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“NO EXISTE OBLIGACIÓN DE ELABORAR DOCUMENTOS AD HOC PARA ATENDER LAS SOLICITUDES DE ACCESO A LA INFORMACIÓN.</w:t>
      </w:r>
    </w:p>
    <w:p w14:paraId="35C6BBF5" w14:textId="77777777" w:rsidR="002F653A" w:rsidRPr="00247163" w:rsidRDefault="00CB53E8">
      <w:pPr>
        <w:pBdr>
          <w:top w:val="nil"/>
          <w:left w:val="nil"/>
          <w:bottom w:val="nil"/>
          <w:right w:val="nil"/>
          <w:between w:val="nil"/>
        </w:pBdr>
        <w:spacing w:line="276" w:lineRule="auto"/>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w:t>
      </w:r>
      <w:r w:rsidRPr="00247163">
        <w:rPr>
          <w:rFonts w:ascii="Palatino Linotype" w:eastAsia="Palatino Linotype" w:hAnsi="Palatino Linotype" w:cs="Palatino Linotype"/>
          <w:i/>
          <w:iCs/>
          <w:color w:val="000000"/>
        </w:rPr>
        <w:lastRenderedPageBreak/>
        <w:t>en que la misma obre en sus archivos; sin necesidad de elaborar documentos ad hoc para atender las solicitudes de información."(Sic)</w:t>
      </w:r>
    </w:p>
    <w:p w14:paraId="24257C66" w14:textId="77777777" w:rsidR="002F653A" w:rsidRPr="00247163" w:rsidRDefault="002F653A">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p>
    <w:p w14:paraId="4D221917"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424B28D7" w14:textId="77777777" w:rsidR="00247163" w:rsidRPr="00247163" w:rsidRDefault="00247163" w:rsidP="00247163">
      <w:pPr>
        <w:pBdr>
          <w:top w:val="nil"/>
          <w:left w:val="nil"/>
          <w:bottom w:val="nil"/>
          <w:right w:val="nil"/>
          <w:between w:val="nil"/>
        </w:pBdr>
        <w:spacing w:line="360" w:lineRule="auto"/>
        <w:ind w:right="-591"/>
        <w:jc w:val="both"/>
        <w:rPr>
          <w:color w:val="000000"/>
        </w:rPr>
      </w:pPr>
    </w:p>
    <w:p w14:paraId="30295E80"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3E1B117E" w14:textId="77777777" w:rsidR="002F653A" w:rsidRPr="00247163" w:rsidRDefault="002F653A">
      <w:pPr>
        <w:pBdr>
          <w:top w:val="nil"/>
          <w:left w:val="nil"/>
          <w:bottom w:val="nil"/>
          <w:right w:val="nil"/>
          <w:between w:val="nil"/>
        </w:pBdr>
        <w:ind w:right="-591"/>
        <w:jc w:val="both"/>
        <w:rPr>
          <w:rFonts w:ascii="Palatino Linotype" w:eastAsia="Palatino Linotype" w:hAnsi="Palatino Linotype" w:cs="Palatino Linotype"/>
          <w:color w:val="000000"/>
        </w:rPr>
      </w:pPr>
    </w:p>
    <w:p w14:paraId="2F7AE312"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1865EA48"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“Artículo 3. Para los efectos de la presente Ley se entenderá por:</w:t>
      </w:r>
    </w:p>
    <w:p w14:paraId="18D97D3D"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p>
    <w:p w14:paraId="6AA63FA9"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06E52092" w14:textId="77777777" w:rsidR="002F653A" w:rsidRPr="00247163" w:rsidRDefault="002F653A">
      <w:pPr>
        <w:pBdr>
          <w:top w:val="nil"/>
          <w:left w:val="nil"/>
          <w:bottom w:val="nil"/>
          <w:right w:val="nil"/>
          <w:between w:val="nil"/>
        </w:pBdr>
        <w:ind w:left="1134" w:right="-591"/>
        <w:jc w:val="both"/>
        <w:rPr>
          <w:rFonts w:ascii="Palatino Linotype" w:eastAsia="Palatino Linotype" w:hAnsi="Palatino Linotype" w:cs="Palatino Linotype"/>
          <w:i/>
          <w:iCs/>
          <w:color w:val="000000"/>
        </w:rPr>
      </w:pPr>
    </w:p>
    <w:p w14:paraId="1F1F4347"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D64C427"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“CRITERIO 0002-11</w:t>
      </w:r>
    </w:p>
    <w:p w14:paraId="6DC5B8F9"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5561A1F"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En consecuencia el acceso a la información se refiere a que se cumplan cualquiera de los siguientes tres supuestos:</w:t>
      </w:r>
    </w:p>
    <w:p w14:paraId="6335063B"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1)</w:t>
      </w:r>
      <w:r w:rsidRPr="00247163">
        <w:rPr>
          <w:rFonts w:ascii="Palatino Linotype" w:eastAsia="Palatino Linotype" w:hAnsi="Palatino Linotype" w:cs="Palatino Linotype"/>
          <w:i/>
          <w:iCs/>
          <w:color w:val="000000"/>
        </w:rPr>
        <w:tab/>
        <w:t>Que se trate de información registrada en cualquier soporte documental, que en ejercicio de las atribuciones conferidas, sea generada por los Sujetos Obligados;</w:t>
      </w:r>
    </w:p>
    <w:p w14:paraId="043CDFA7"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2)</w:t>
      </w:r>
      <w:r w:rsidRPr="00247163">
        <w:rPr>
          <w:rFonts w:ascii="Palatino Linotype" w:eastAsia="Palatino Linotype" w:hAnsi="Palatino Linotype" w:cs="Palatino Linotype"/>
          <w:i/>
          <w:iCs/>
          <w:color w:val="000000"/>
        </w:rPr>
        <w:tab/>
        <w:t>Que se trate de información registrada en cualquier soporte documental, que en ejercicio de las atribuciones conferidas, sea administrada por los Sujetos Obligados, y</w:t>
      </w:r>
    </w:p>
    <w:p w14:paraId="2E5CB175" w14:textId="77777777" w:rsidR="002F653A" w:rsidRPr="00247163" w:rsidRDefault="00CB53E8">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3) Que se trate de información registrada en cualquier soporte documental, que en ejercicio de las atribuciones conferidas, se encuentre en posesión de los Sujetos Obligados.” (Sic)</w:t>
      </w:r>
    </w:p>
    <w:p w14:paraId="35109A4A" w14:textId="77777777" w:rsidR="002F653A" w:rsidRPr="00247163" w:rsidRDefault="002F653A">
      <w:pPr>
        <w:pBdr>
          <w:top w:val="nil"/>
          <w:left w:val="nil"/>
          <w:bottom w:val="nil"/>
          <w:right w:val="nil"/>
          <w:between w:val="nil"/>
        </w:pBdr>
        <w:ind w:left="1134" w:right="-591"/>
        <w:jc w:val="both"/>
        <w:rPr>
          <w:rFonts w:ascii="Palatino Linotype" w:eastAsia="Palatino Linotype" w:hAnsi="Palatino Linotype" w:cs="Palatino Linotype"/>
          <w:i/>
          <w:iCs/>
        </w:rPr>
      </w:pPr>
    </w:p>
    <w:p w14:paraId="58FBD8FB" w14:textId="77777777" w:rsidR="002F653A" w:rsidRPr="00247163" w:rsidRDefault="002F653A">
      <w:pPr>
        <w:pBdr>
          <w:top w:val="nil"/>
          <w:left w:val="nil"/>
          <w:bottom w:val="nil"/>
          <w:right w:val="nil"/>
          <w:between w:val="nil"/>
        </w:pBdr>
        <w:ind w:left="1134" w:right="-591"/>
        <w:jc w:val="both"/>
        <w:rPr>
          <w:rFonts w:ascii="Palatino Linotype" w:eastAsia="Palatino Linotype" w:hAnsi="Palatino Linotype" w:cs="Palatino Linotype"/>
          <w:i/>
          <w:iCs/>
        </w:rPr>
      </w:pPr>
    </w:p>
    <w:p w14:paraId="50BFF5B1"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 así como de interés público, es decir, aquella que resulta relevante o beneficiosa para la sociedad y no simplemente de interés individual, y cuya divulgación resulta útil para que el público comprenda las actividades que llevan a cabo los Sujetos Obligados .</w:t>
      </w:r>
    </w:p>
    <w:p w14:paraId="6F415F57" w14:textId="77777777" w:rsidR="002F653A" w:rsidRPr="00247163" w:rsidRDefault="002F653A">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14:paraId="39F376DB"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Una vez precisado lo anterior, resulta necesario señalar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4C2378EA" w14:textId="77777777" w:rsidR="002F653A" w:rsidRPr="00247163" w:rsidRDefault="00CB53E8">
      <w:pPr>
        <w:spacing w:line="276" w:lineRule="auto"/>
        <w:ind w:left="1134" w:right="822"/>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Artículo 18. Los sujetos obligados deberán documentar todo acto que derive del ejercicio de sus facultades, competencias o funciones, considerando desde su origen la eventual publicidad y reutilización de la información que generen</w:t>
      </w:r>
    </w:p>
    <w:p w14:paraId="07E27C2F" w14:textId="77777777" w:rsidR="002F653A" w:rsidRPr="00247163" w:rsidRDefault="002F653A">
      <w:pPr>
        <w:spacing w:line="360" w:lineRule="auto"/>
        <w:ind w:right="-591"/>
        <w:rPr>
          <w:rFonts w:ascii="Palatino Linotype" w:eastAsia="Palatino Linotype" w:hAnsi="Palatino Linotype" w:cs="Palatino Linotype"/>
        </w:rPr>
      </w:pPr>
    </w:p>
    <w:p w14:paraId="16C2BC04"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Lo anterior toma relevancia, pues según Jarquín, Soledad (2019), en el “Diccionario de Transparencia y Acceso a la Información Pública” (p. 126 y 127), todos los </w:t>
      </w:r>
      <w:r w:rsidRPr="00247163">
        <w:rPr>
          <w:rFonts w:ascii="Palatino Linotype" w:eastAsia="Palatino Linotype" w:hAnsi="Palatino Linotype" w:cs="Palatino Linotype"/>
          <w:b/>
          <w:bCs/>
          <w:color w:val="000000"/>
        </w:rPr>
        <w:t>SUJETOS OBLIGADOS</w:t>
      </w:r>
      <w:r w:rsidRPr="00247163">
        <w:rPr>
          <w:rFonts w:ascii="Palatino Linotype" w:eastAsia="Palatino Linotype" w:hAnsi="Palatino Linotype" w:cs="Palatino Linotype"/>
          <w:color w:val="000000"/>
        </w:rPr>
        <w:t xml:space="preserve"> tienen la obligación jurídica, en materia de transparencia y acceso a la información pública, de dejar constancia o registro material de las actividades efectuadas con </w:t>
      </w:r>
      <w:r w:rsidRPr="00247163">
        <w:rPr>
          <w:rFonts w:ascii="Palatino Linotype" w:eastAsia="Palatino Linotype" w:hAnsi="Palatino Linotype" w:cs="Palatino Linotype"/>
          <w:color w:val="000000"/>
        </w:rPr>
        <w:lastRenderedPageBreak/>
        <w:t>motivo del ejercicio de sus atribuciones de cualquier acto que derive del ejercicio de sus facultades, competencias o funciones.</w:t>
      </w:r>
    </w:p>
    <w:p w14:paraId="73333959" w14:textId="77777777" w:rsidR="00247163" w:rsidRPr="00247163" w:rsidRDefault="00247163" w:rsidP="00247163">
      <w:pPr>
        <w:pBdr>
          <w:top w:val="nil"/>
          <w:left w:val="nil"/>
          <w:bottom w:val="nil"/>
          <w:right w:val="nil"/>
          <w:between w:val="nil"/>
        </w:pBdr>
        <w:spacing w:line="360" w:lineRule="auto"/>
        <w:ind w:right="-591"/>
        <w:jc w:val="both"/>
        <w:rPr>
          <w:color w:val="000000"/>
        </w:rPr>
      </w:pPr>
    </w:p>
    <w:p w14:paraId="47B3ADFC" w14:textId="77777777" w:rsidR="002F653A" w:rsidRPr="00247163" w:rsidRDefault="00CB53E8" w:rsidP="00247163">
      <w:pPr>
        <w:widowControl w:val="0"/>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53266FCB" w14:textId="77777777" w:rsidR="002F653A" w:rsidRPr="00247163" w:rsidRDefault="002F653A">
      <w:pPr>
        <w:pBdr>
          <w:top w:val="nil"/>
          <w:left w:val="nil"/>
          <w:bottom w:val="nil"/>
          <w:right w:val="nil"/>
          <w:between w:val="nil"/>
        </w:pBdr>
        <w:ind w:left="720" w:right="-591"/>
        <w:rPr>
          <w:rFonts w:ascii="Palatino Linotype" w:eastAsia="Palatino Linotype" w:hAnsi="Palatino Linotype" w:cs="Palatino Linotype"/>
          <w:color w:val="000000"/>
        </w:rPr>
      </w:pPr>
    </w:p>
    <w:p w14:paraId="5F173139" w14:textId="77777777" w:rsidR="002F653A" w:rsidRPr="00247163" w:rsidRDefault="00CB53E8" w:rsidP="00247163">
      <w:pPr>
        <w:numPr>
          <w:ilvl w:val="0"/>
          <w:numId w:val="36"/>
        </w:numPr>
        <w:pBdr>
          <w:top w:val="nil"/>
          <w:left w:val="nil"/>
          <w:bottom w:val="nil"/>
          <w:right w:val="nil"/>
          <w:between w:val="nil"/>
        </w:pBdr>
        <w:spacing w:line="360" w:lineRule="auto"/>
        <w:ind w:left="0" w:right="-591" w:firstLine="0"/>
        <w:jc w:val="both"/>
        <w:rPr>
          <w:color w:val="000000"/>
        </w:rPr>
      </w:pPr>
      <w:r w:rsidRPr="00247163">
        <w:rPr>
          <w:rFonts w:ascii="Palatino Linotype" w:eastAsia="Palatino Linotype" w:hAnsi="Palatino Linotype" w:cs="Palatino Linotype"/>
          <w:color w:val="000000"/>
        </w:rPr>
        <w:t>En virtud de lo expuesto, analizadas las constancias que forman el expediente electrónico, resultan</w:t>
      </w:r>
      <w:r w:rsidRPr="00247163">
        <w:rPr>
          <w:rFonts w:ascii="Palatino Linotype" w:eastAsia="Palatino Linotype" w:hAnsi="Palatino Linotype" w:cs="Palatino Linotype"/>
          <w:b/>
          <w:bCs/>
          <w:color w:val="000000"/>
        </w:rPr>
        <w:t xml:space="preserve"> PARCIALMENTE FUNDADAS</w:t>
      </w:r>
      <w:r w:rsidRPr="00247163">
        <w:rPr>
          <w:rFonts w:ascii="Palatino Linotype" w:eastAsia="Palatino Linotype" w:hAnsi="Palatino Linotype" w:cs="Palatino Linotype"/>
          <w:color w:val="000000"/>
        </w:rPr>
        <w:t xml:space="preserve"> las razones o motivos de inconformidad hechos valer por la parte </w:t>
      </w:r>
      <w:r w:rsidRPr="00247163">
        <w:rPr>
          <w:rFonts w:ascii="Palatino Linotype" w:eastAsia="Palatino Linotype" w:hAnsi="Palatino Linotype" w:cs="Palatino Linotype"/>
          <w:b/>
          <w:bCs/>
          <w:color w:val="000000"/>
        </w:rPr>
        <w:t>RECURRENTE</w:t>
      </w:r>
      <w:r w:rsidRPr="00247163">
        <w:rPr>
          <w:rFonts w:ascii="Palatino Linotype" w:eastAsia="Palatino Linotype" w:hAnsi="Palatino Linotype" w:cs="Palatino Linotype"/>
          <w:color w:val="000000"/>
        </w:rPr>
        <w:t xml:space="preserve"> dentro del recurso de revisión </w:t>
      </w:r>
      <w:r w:rsidRPr="00247163">
        <w:rPr>
          <w:rFonts w:ascii="Palatino Linotype" w:eastAsia="Palatino Linotype" w:hAnsi="Palatino Linotype" w:cs="Palatino Linotype"/>
          <w:b/>
          <w:bCs/>
          <w:color w:val="000000"/>
        </w:rPr>
        <w:t>13283/INFOEM/IP/RR/2025,</w:t>
      </w:r>
      <w:r w:rsidRPr="00247163">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0038240F" w:rsidRPr="00247163">
        <w:rPr>
          <w:rFonts w:ascii="Palatino Linotype" w:eastAsia="Palatino Linotype" w:hAnsi="Palatino Linotype" w:cs="Palatino Linotype"/>
          <w:b/>
          <w:bCs/>
          <w:color w:val="000000"/>
        </w:rPr>
        <w:t>MODIFICA</w:t>
      </w:r>
      <w:r w:rsidRPr="00247163">
        <w:rPr>
          <w:rFonts w:ascii="Palatino Linotype" w:eastAsia="Palatino Linotype" w:hAnsi="Palatino Linotype" w:cs="Palatino Linotype"/>
          <w:color w:val="000000"/>
        </w:rPr>
        <w:t xml:space="preserve"> la respuesta otorgada por el </w:t>
      </w:r>
      <w:r w:rsidRPr="00247163">
        <w:rPr>
          <w:rFonts w:ascii="Palatino Linotype" w:eastAsia="Palatino Linotype" w:hAnsi="Palatino Linotype" w:cs="Palatino Linotype"/>
          <w:b/>
          <w:bCs/>
          <w:color w:val="000000"/>
        </w:rPr>
        <w:t>SUJETO OBLIGADO</w:t>
      </w:r>
      <w:r w:rsidRPr="00247163">
        <w:rPr>
          <w:rFonts w:ascii="Palatino Linotype" w:eastAsia="Palatino Linotype" w:hAnsi="Palatino Linotype" w:cs="Palatino Linotype"/>
          <w:color w:val="000000"/>
        </w:rPr>
        <w:t xml:space="preserve"> y se </w:t>
      </w:r>
      <w:r w:rsidRPr="00247163">
        <w:rPr>
          <w:rFonts w:ascii="Palatino Linotype" w:eastAsia="Palatino Linotype" w:hAnsi="Palatino Linotype" w:cs="Palatino Linotype"/>
          <w:b/>
          <w:bCs/>
          <w:color w:val="000000"/>
        </w:rPr>
        <w:t>ORDENA</w:t>
      </w:r>
      <w:r w:rsidRPr="00247163">
        <w:rPr>
          <w:rFonts w:ascii="Palatino Linotype" w:eastAsia="Palatino Linotype" w:hAnsi="Palatino Linotype" w:cs="Palatino Linotype"/>
          <w:color w:val="000000"/>
        </w:rPr>
        <w:t>, en correcta versión pública, los padrones referidos en respuesta</w:t>
      </w:r>
      <w:r w:rsidRPr="00247163">
        <w:rPr>
          <w:rFonts w:ascii="Palatino Linotype" w:eastAsia="Palatino Linotype" w:hAnsi="Palatino Linotype" w:cs="Palatino Linotype"/>
          <w:b/>
          <w:bCs/>
          <w:color w:val="000000"/>
        </w:rPr>
        <w:t>,</w:t>
      </w:r>
      <w:r w:rsidRPr="00247163">
        <w:rPr>
          <w:rFonts w:ascii="Palatino Linotype" w:eastAsia="Palatino Linotype" w:hAnsi="Palatino Linotype" w:cs="Palatino Linotype"/>
          <w:color w:val="000000"/>
        </w:rPr>
        <w:t xml:space="preserve"> con el respectivo Acuerdo de Clasificación, de conformidad con lo establecido en el </w:t>
      </w:r>
      <w:r w:rsidRPr="00247163">
        <w:rPr>
          <w:rFonts w:ascii="Palatino Linotype" w:eastAsia="Palatino Linotype" w:hAnsi="Palatino Linotype" w:cs="Palatino Linotype"/>
          <w:b/>
          <w:bCs/>
          <w:color w:val="000000"/>
        </w:rPr>
        <w:t>Considerando QUINTO</w:t>
      </w:r>
      <w:r w:rsidRPr="00247163">
        <w:rPr>
          <w:rFonts w:ascii="Palatino Linotype" w:eastAsia="Palatino Linotype" w:hAnsi="Palatino Linotype" w:cs="Palatino Linotype"/>
          <w:color w:val="000000"/>
        </w:rPr>
        <w:t xml:space="preserve"> de la presente Resolución. </w:t>
      </w:r>
    </w:p>
    <w:p w14:paraId="0F2C05C5" w14:textId="77777777" w:rsidR="00247163" w:rsidRDefault="00247163">
      <w:pPr>
        <w:keepNext/>
        <w:keepLines/>
        <w:spacing w:after="160"/>
        <w:ind w:right="-591"/>
        <w:rPr>
          <w:rFonts w:ascii="Palatino Linotype" w:eastAsia="Palatino Linotype" w:hAnsi="Palatino Linotype" w:cs="Palatino Linotype"/>
          <w:b/>
          <w:bCs/>
          <w:color w:val="000000"/>
        </w:rPr>
      </w:pPr>
    </w:p>
    <w:p w14:paraId="7AF2C20C" w14:textId="77777777" w:rsidR="002F653A" w:rsidRPr="00247163" w:rsidRDefault="00CB53E8">
      <w:pPr>
        <w:keepNext/>
        <w:keepLines/>
        <w:spacing w:after="160"/>
        <w:ind w:right="-591"/>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QUINTO. De la versión pública.</w:t>
      </w:r>
    </w:p>
    <w:p w14:paraId="4E0B42E4" w14:textId="77777777" w:rsidR="002F653A" w:rsidRPr="00247163" w:rsidRDefault="00CB53E8">
      <w:pPr>
        <w:keepNext/>
        <w:keepLines/>
        <w:numPr>
          <w:ilvl w:val="0"/>
          <w:numId w:val="4"/>
        </w:numPr>
        <w:tabs>
          <w:tab w:val="left" w:pos="284"/>
        </w:tabs>
        <w:spacing w:after="160"/>
        <w:ind w:right="-591"/>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 xml:space="preserve">Nociones generales. </w:t>
      </w:r>
    </w:p>
    <w:p w14:paraId="2111FA79"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 xml:space="preserve">Debido a la información solicitada por el </w:t>
      </w:r>
      <w:r w:rsidRPr="00247163">
        <w:rPr>
          <w:rFonts w:ascii="Palatino Linotype" w:eastAsia="Palatino Linotype" w:hAnsi="Palatino Linotype" w:cs="Palatino Linotype"/>
          <w:b/>
          <w:bCs/>
        </w:rPr>
        <w:t>RECURRENTE</w:t>
      </w:r>
      <w:r w:rsidRPr="00247163">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sidRPr="00247163">
        <w:rPr>
          <w:rFonts w:ascii="Palatino Linotype" w:eastAsia="Palatino Linotype" w:hAnsi="Palatino Linotype" w:cs="Palatino Linotype"/>
          <w:b/>
          <w:bCs/>
        </w:rPr>
        <w:t xml:space="preserve">SUJETO OBLIGADO </w:t>
      </w:r>
      <w:r w:rsidRPr="00247163">
        <w:rPr>
          <w:rFonts w:ascii="Palatino Linotype" w:eastAsia="Palatino Linotype" w:hAnsi="Palatino Linotype" w:cs="Palatino Linotype"/>
        </w:rPr>
        <w:t xml:space="preserve">deberá de hacer la adecuada versión pública, protegiendo los datos que no son susceptibles de ser proporcionados. </w:t>
      </w:r>
    </w:p>
    <w:p w14:paraId="4F279642" w14:textId="77777777" w:rsidR="002F653A" w:rsidRPr="00247163" w:rsidRDefault="00CB53E8" w:rsidP="00247163">
      <w:pPr>
        <w:numPr>
          <w:ilvl w:val="0"/>
          <w:numId w:val="36"/>
        </w:numPr>
        <w:spacing w:line="360" w:lineRule="auto"/>
        <w:ind w:left="0" w:right="-591" w:firstLine="0"/>
        <w:jc w:val="both"/>
        <w:rPr>
          <w:color w:val="000000"/>
        </w:rPr>
      </w:pPr>
      <w:r w:rsidRPr="00247163">
        <w:rPr>
          <w:rFonts w:ascii="Palatino Linotype" w:eastAsia="Palatino Linotype" w:hAnsi="Palatino Linotype" w:cs="Palatino Linotype"/>
          <w:color w:val="000000"/>
        </w:rPr>
        <w:lastRenderedPageBreak/>
        <w:t>No pasa desapercibido para este Órgano Garante que los sujetos obligados</w:t>
      </w:r>
      <w:r w:rsidRPr="00247163">
        <w:rPr>
          <w:rFonts w:ascii="Palatino Linotype" w:eastAsia="Palatino Linotype" w:hAnsi="Palatino Linotype" w:cs="Palatino Linotype"/>
          <w:b/>
          <w:bCs/>
          <w:color w:val="000000"/>
        </w:rPr>
        <w:t xml:space="preserve"> </w:t>
      </w:r>
      <w:r w:rsidRPr="0024716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CBC4196" w14:textId="77777777" w:rsidR="002F653A" w:rsidRPr="00247163" w:rsidRDefault="002F653A">
      <w:pPr>
        <w:tabs>
          <w:tab w:val="left" w:pos="284"/>
        </w:tabs>
        <w:spacing w:after="160" w:line="360" w:lineRule="auto"/>
        <w:ind w:right="-591"/>
        <w:jc w:val="both"/>
        <w:rPr>
          <w:rFonts w:ascii="Palatino Linotype" w:eastAsia="Palatino Linotype" w:hAnsi="Palatino Linotype" w:cs="Palatino Linotype"/>
          <w:color w:val="000000"/>
        </w:rPr>
      </w:pPr>
    </w:p>
    <w:tbl>
      <w:tblPr>
        <w:tblStyle w:val="a0"/>
        <w:tblW w:w="1012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20"/>
        <w:gridCol w:w="7305"/>
      </w:tblGrid>
      <w:tr w:rsidR="002F653A" w:rsidRPr="00247163" w14:paraId="2FA17BA0" w14:textId="77777777">
        <w:tc>
          <w:tcPr>
            <w:tcW w:w="2820" w:type="dxa"/>
            <w:vAlign w:val="center"/>
          </w:tcPr>
          <w:p w14:paraId="1D2CE8A4" w14:textId="77777777" w:rsidR="002F653A" w:rsidRPr="00247163" w:rsidRDefault="00CB53E8">
            <w:pPr>
              <w:tabs>
                <w:tab w:val="left" w:pos="284"/>
              </w:tabs>
              <w:spacing w:line="360" w:lineRule="auto"/>
              <w:ind w:right="-31"/>
              <w:rPr>
                <w:rFonts w:ascii="Palatino Linotype" w:eastAsia="Palatino Linotype" w:hAnsi="Palatino Linotype" w:cs="Palatino Linotype"/>
                <w:b/>
                <w:bCs/>
              </w:rPr>
            </w:pPr>
            <w:r w:rsidRPr="00247163">
              <w:rPr>
                <w:rFonts w:ascii="Palatino Linotype" w:eastAsia="Palatino Linotype" w:hAnsi="Palatino Linotype" w:cs="Palatino Linotype"/>
                <w:color w:val="000000"/>
              </w:rPr>
              <w:tab/>
            </w:r>
            <w:r w:rsidRPr="00247163">
              <w:rPr>
                <w:rFonts w:ascii="Palatino Linotype" w:eastAsia="Palatino Linotype" w:hAnsi="Palatino Linotype" w:cs="Palatino Linotype"/>
                <w:b/>
                <w:bCs/>
              </w:rPr>
              <w:t>a) Requisitos previos.</w:t>
            </w:r>
          </w:p>
        </w:tc>
        <w:tc>
          <w:tcPr>
            <w:tcW w:w="7305" w:type="dxa"/>
          </w:tcPr>
          <w:p w14:paraId="5EE5AA8D"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14:paraId="2BCCCE4C"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14:paraId="6B1302BD"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Además, se debe señalar el procedimiento, de los tres que establecen el artículo 132 de la Ley Estatal.</w:t>
            </w:r>
          </w:p>
          <w:p w14:paraId="535CF14A"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rPr>
            </w:pPr>
            <w:r w:rsidRPr="00247163">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247163">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247163">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2F653A" w:rsidRPr="00247163" w14:paraId="0FBFE3E6" w14:textId="77777777">
        <w:tc>
          <w:tcPr>
            <w:tcW w:w="2820" w:type="dxa"/>
            <w:shd w:val="clear" w:color="auto" w:fill="D9D9D9"/>
            <w:vAlign w:val="center"/>
          </w:tcPr>
          <w:p w14:paraId="61107780" w14:textId="77777777" w:rsidR="002F653A" w:rsidRPr="00247163" w:rsidRDefault="00CB53E8">
            <w:pPr>
              <w:tabs>
                <w:tab w:val="left" w:pos="284"/>
              </w:tabs>
              <w:spacing w:line="360" w:lineRule="auto"/>
              <w:ind w:right="-31"/>
              <w:rPr>
                <w:rFonts w:ascii="Palatino Linotype" w:eastAsia="Palatino Linotype" w:hAnsi="Palatino Linotype" w:cs="Palatino Linotype"/>
                <w:b/>
                <w:bCs/>
              </w:rPr>
            </w:pPr>
            <w:r w:rsidRPr="00247163">
              <w:rPr>
                <w:rFonts w:ascii="Palatino Linotype" w:eastAsia="Palatino Linotype" w:hAnsi="Palatino Linotype" w:cs="Palatino Linotype"/>
                <w:b/>
                <w:bCs/>
              </w:rPr>
              <w:t>b) Supuestos de clasificación.</w:t>
            </w:r>
          </w:p>
        </w:tc>
        <w:tc>
          <w:tcPr>
            <w:tcW w:w="7305" w:type="dxa"/>
            <w:shd w:val="clear" w:color="auto" w:fill="D9D9D9"/>
          </w:tcPr>
          <w:p w14:paraId="4FC54330"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14:paraId="5DAF7289"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EC9D367"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rPr>
            </w:pPr>
            <w:r w:rsidRPr="00247163">
              <w:rPr>
                <w:rFonts w:ascii="Palatino Linotype" w:eastAsia="Palatino Linotype" w:hAnsi="Palatino Linotype" w:cs="Palatino Linotype"/>
                <w:i/>
                <w:iCs/>
                <w:color w:val="000000"/>
              </w:rPr>
              <w:lastRenderedPageBreak/>
              <w:t xml:space="preserve">El </w:t>
            </w:r>
            <w:r w:rsidRPr="00247163">
              <w:rPr>
                <w:rFonts w:ascii="Palatino Linotype" w:eastAsia="Palatino Linotype" w:hAnsi="Palatino Linotype" w:cs="Palatino Linotype"/>
                <w:b/>
                <w:bCs/>
                <w:i/>
                <w:iCs/>
                <w:color w:val="000000"/>
              </w:rPr>
              <w:t>Sujeto Obligado</w:t>
            </w:r>
            <w:r w:rsidRPr="00247163">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F653A" w:rsidRPr="00247163" w14:paraId="4B70BA8B" w14:textId="77777777">
        <w:tc>
          <w:tcPr>
            <w:tcW w:w="2820" w:type="dxa"/>
            <w:vAlign w:val="center"/>
          </w:tcPr>
          <w:p w14:paraId="4F969AFD" w14:textId="77777777" w:rsidR="002F653A" w:rsidRPr="00247163" w:rsidRDefault="00CB53E8">
            <w:pPr>
              <w:tabs>
                <w:tab w:val="left" w:pos="284"/>
              </w:tabs>
              <w:spacing w:line="360" w:lineRule="auto"/>
              <w:ind w:right="-31"/>
              <w:rPr>
                <w:rFonts w:ascii="Palatino Linotype" w:eastAsia="Palatino Linotype" w:hAnsi="Palatino Linotype" w:cs="Palatino Linotype"/>
                <w:b/>
                <w:bCs/>
              </w:rPr>
            </w:pPr>
            <w:r w:rsidRPr="00247163">
              <w:rPr>
                <w:rFonts w:ascii="Palatino Linotype" w:eastAsia="Palatino Linotype" w:hAnsi="Palatino Linotype" w:cs="Palatino Linotype"/>
                <w:b/>
                <w:bCs/>
              </w:rPr>
              <w:lastRenderedPageBreak/>
              <w:t>c) Formalidades para emitir el acuerdo de clasificación.</w:t>
            </w:r>
          </w:p>
        </w:tc>
        <w:tc>
          <w:tcPr>
            <w:tcW w:w="7305" w:type="dxa"/>
          </w:tcPr>
          <w:p w14:paraId="5FC4AABC"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14:paraId="16D6CB70"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Es necesario que </w:t>
            </w:r>
            <w:r w:rsidRPr="00247163">
              <w:rPr>
                <w:rFonts w:ascii="Palatino Linotype" w:eastAsia="Palatino Linotype" w:hAnsi="Palatino Linotype" w:cs="Palatino Linotype"/>
                <w:b/>
                <w:bCs/>
                <w:i/>
                <w:iCs/>
                <w:color w:val="000000"/>
                <w:u w:val="single"/>
              </w:rPr>
              <w:t>el acto reúna con los requisitos elementales</w:t>
            </w:r>
            <w:r w:rsidRPr="00247163">
              <w:rPr>
                <w:rFonts w:ascii="Palatino Linotype" w:eastAsia="Palatino Linotype" w:hAnsi="Palatino Linotype" w:cs="Palatino Linotype"/>
                <w:i/>
                <w:iCs/>
                <w:color w:val="000000"/>
              </w:rPr>
              <w:t>, entre ellos, que la autoridad que va a emitir el acto de autoridad sea la legalmente facultada para ello.</w:t>
            </w:r>
          </w:p>
          <w:p w14:paraId="494732B2"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rPr>
            </w:pPr>
            <w:r w:rsidRPr="00247163">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247163">
              <w:rPr>
                <w:rFonts w:ascii="Palatino Linotype" w:eastAsia="Palatino Linotype" w:hAnsi="Palatino Linotype" w:cs="Palatino Linotype"/>
                <w:i/>
                <w:iCs/>
              </w:rPr>
              <w:t>El área</w:t>
            </w:r>
            <w:r w:rsidRPr="00247163">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F653A" w:rsidRPr="00247163" w14:paraId="314FE677" w14:textId="77777777">
        <w:tc>
          <w:tcPr>
            <w:tcW w:w="2820" w:type="dxa"/>
            <w:shd w:val="clear" w:color="auto" w:fill="D9D9D9"/>
            <w:vAlign w:val="center"/>
          </w:tcPr>
          <w:p w14:paraId="3EB14535" w14:textId="77777777" w:rsidR="002F653A" w:rsidRPr="00247163" w:rsidRDefault="002F653A">
            <w:pPr>
              <w:tabs>
                <w:tab w:val="left" w:pos="284"/>
              </w:tabs>
              <w:spacing w:line="360" w:lineRule="auto"/>
              <w:ind w:right="-31"/>
              <w:rPr>
                <w:rFonts w:ascii="Palatino Linotype" w:eastAsia="Palatino Linotype" w:hAnsi="Palatino Linotype" w:cs="Palatino Linotype"/>
                <w:b/>
                <w:bCs/>
              </w:rPr>
            </w:pPr>
          </w:p>
          <w:p w14:paraId="31B8CC82" w14:textId="77777777" w:rsidR="002F653A" w:rsidRPr="00247163" w:rsidRDefault="00CB53E8">
            <w:pPr>
              <w:tabs>
                <w:tab w:val="left" w:pos="284"/>
              </w:tabs>
              <w:spacing w:line="360" w:lineRule="auto"/>
              <w:ind w:right="-31"/>
              <w:jc w:val="both"/>
              <w:rPr>
                <w:rFonts w:ascii="Palatino Linotype" w:eastAsia="Palatino Linotype" w:hAnsi="Palatino Linotype" w:cs="Palatino Linotype"/>
                <w:b/>
                <w:bCs/>
              </w:rPr>
            </w:pPr>
            <w:r w:rsidRPr="00247163">
              <w:rPr>
                <w:rFonts w:ascii="Palatino Linotype" w:eastAsia="Palatino Linotype" w:hAnsi="Palatino Linotype" w:cs="Palatino Linotype"/>
                <w:b/>
                <w:bCs/>
                <w:color w:val="000000"/>
              </w:rPr>
              <w:t xml:space="preserve">d) Requisitos de fondo del acuerdo de clasificación. </w:t>
            </w:r>
          </w:p>
        </w:tc>
        <w:tc>
          <w:tcPr>
            <w:tcW w:w="7305" w:type="dxa"/>
            <w:shd w:val="clear" w:color="auto" w:fill="D9D9D9"/>
          </w:tcPr>
          <w:p w14:paraId="198A714B"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47163">
              <w:rPr>
                <w:rFonts w:ascii="Palatino Linotype" w:eastAsia="Palatino Linotype" w:hAnsi="Palatino Linotype" w:cs="Palatino Linotype"/>
                <w:b/>
                <w:bCs/>
                <w:i/>
                <w:iCs/>
                <w:color w:val="000000"/>
              </w:rPr>
              <w:t>Sujetos Obligados</w:t>
            </w:r>
            <w:r w:rsidRPr="00247163">
              <w:rPr>
                <w:rFonts w:ascii="Palatino Linotype" w:eastAsia="Palatino Linotype" w:hAnsi="Palatino Linotype" w:cs="Palatino Linotype"/>
                <w:i/>
                <w:iCs/>
                <w:color w:val="000000"/>
              </w:rPr>
              <w:t xml:space="preserve">, por lo que deberán fundar y motivar debidamente la clasificación. </w:t>
            </w:r>
          </w:p>
          <w:p w14:paraId="6F290A75"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De lo anterior, se desprende que para una correcta </w:t>
            </w:r>
            <w:r w:rsidRPr="00247163">
              <w:rPr>
                <w:rFonts w:ascii="Palatino Linotype" w:eastAsia="Palatino Linotype" w:hAnsi="Palatino Linotype" w:cs="Palatino Linotype"/>
                <w:b/>
                <w:bCs/>
                <w:i/>
                <w:iCs/>
                <w:color w:val="000000"/>
              </w:rPr>
              <w:t>clasificación total o parcial</w:t>
            </w:r>
            <w:r w:rsidRPr="00247163">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14831DE5"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51EA98B"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14:paraId="045AFAB0"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Ahora bien, </w:t>
            </w:r>
            <w:r w:rsidRPr="00247163">
              <w:rPr>
                <w:rFonts w:ascii="Palatino Linotype" w:eastAsia="Palatino Linotype" w:hAnsi="Palatino Linotype" w:cs="Palatino Linotype"/>
                <w:b/>
                <w:bCs/>
                <w:i/>
                <w:iCs/>
                <w:color w:val="000000"/>
                <w:u w:val="single"/>
              </w:rPr>
              <w:t>para cada caso además de fundar y motivar</w:t>
            </w:r>
            <w:r w:rsidRPr="00247163">
              <w:rPr>
                <w:rFonts w:ascii="Palatino Linotype" w:eastAsia="Palatino Linotype" w:hAnsi="Palatino Linotype" w:cs="Palatino Linotype"/>
                <w:i/>
                <w:iCs/>
                <w:color w:val="000000"/>
              </w:rPr>
              <w:t xml:space="preserve">, se debe identificar con claridad </w:t>
            </w:r>
            <w:r w:rsidRPr="00247163">
              <w:rPr>
                <w:rFonts w:ascii="Palatino Linotype" w:eastAsia="Palatino Linotype" w:hAnsi="Palatino Linotype" w:cs="Palatino Linotype"/>
                <w:i/>
                <w:iCs/>
              </w:rPr>
              <w:t>qué</w:t>
            </w:r>
            <w:r w:rsidRPr="00247163">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F653A" w:rsidRPr="00247163" w14:paraId="7E70D8E6" w14:textId="77777777">
        <w:tc>
          <w:tcPr>
            <w:tcW w:w="2820" w:type="dxa"/>
            <w:vAlign w:val="center"/>
          </w:tcPr>
          <w:p w14:paraId="6149235E" w14:textId="77777777" w:rsidR="002F653A" w:rsidRPr="00247163" w:rsidRDefault="00CB53E8">
            <w:pPr>
              <w:tabs>
                <w:tab w:val="left" w:pos="284"/>
              </w:tabs>
              <w:spacing w:line="360" w:lineRule="auto"/>
              <w:ind w:right="-31"/>
              <w:jc w:val="both"/>
              <w:rPr>
                <w:rFonts w:ascii="Palatino Linotype" w:eastAsia="Palatino Linotype" w:hAnsi="Palatino Linotype" w:cs="Palatino Linotype"/>
                <w:b/>
                <w:bCs/>
              </w:rPr>
            </w:pPr>
            <w:r w:rsidRPr="00247163">
              <w:rPr>
                <w:rFonts w:ascii="Palatino Linotype" w:eastAsia="Palatino Linotype" w:hAnsi="Palatino Linotype" w:cs="Palatino Linotype"/>
                <w:b/>
                <w:bCs/>
              </w:rPr>
              <w:lastRenderedPageBreak/>
              <w:t xml:space="preserve">e) Condiciones especiales de la clasificación de la información como confidencial. </w:t>
            </w:r>
          </w:p>
        </w:tc>
        <w:tc>
          <w:tcPr>
            <w:tcW w:w="7305" w:type="dxa"/>
          </w:tcPr>
          <w:p w14:paraId="4DDEB992"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14:paraId="7481E982" w14:textId="77777777" w:rsidR="002F653A" w:rsidRPr="00247163" w:rsidRDefault="00CB53E8">
            <w:pPr>
              <w:tabs>
                <w:tab w:val="left" w:pos="284"/>
              </w:tabs>
              <w:spacing w:line="276" w:lineRule="auto"/>
              <w:ind w:right="-3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6E80767" w14:textId="77777777" w:rsidR="002F653A" w:rsidRPr="00247163" w:rsidRDefault="00CB53E8">
            <w:pPr>
              <w:tabs>
                <w:tab w:val="left" w:pos="284"/>
              </w:tabs>
              <w:spacing w:line="276" w:lineRule="auto"/>
              <w:ind w:right="-31"/>
              <w:rPr>
                <w:rFonts w:ascii="Palatino Linotype" w:eastAsia="Palatino Linotype" w:hAnsi="Palatino Linotype" w:cs="Palatino Linotype"/>
                <w:i/>
                <w:iCs/>
              </w:rPr>
            </w:pPr>
            <w:r w:rsidRPr="00247163">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A3DF1A1" w14:textId="77777777" w:rsidR="002F653A" w:rsidRPr="00247163" w:rsidRDefault="002F653A">
      <w:pPr>
        <w:tabs>
          <w:tab w:val="left" w:pos="284"/>
        </w:tabs>
        <w:spacing w:line="360" w:lineRule="auto"/>
        <w:ind w:right="-591"/>
        <w:rPr>
          <w:rFonts w:ascii="Palatino Linotype" w:eastAsia="Palatino Linotype" w:hAnsi="Palatino Linotype" w:cs="Palatino Linotype"/>
          <w:color w:val="000000"/>
        </w:rPr>
      </w:pPr>
    </w:p>
    <w:p w14:paraId="456B93EA" w14:textId="11846338"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Dada la complejidad de la información cuando involucra datos personales, pudiera pensarse que se trata de dos derechos en colisión; por un lado, la garantía individual de conocer sobre el ejercicio de atribuciones de servidores públicos así como de recursos públicos y, por el otro, el derecho de las personas a la autodeterminación informativa y el derecho a la vida privada; tratándose de los datos personales que obran en los archivos de las instituciones públicas, la regla es clara, ya que los datos personales que permiten verificar el desempeño de los servidores públicos y el cumplimiento de obligaciones legales, transparentan la gestión pública y favorecen la rendición de cuentas, constituyen información de naturaleza pública, en razón de que el beneficio de su publicidad es mayor que el beneficio de su clasificación, </w:t>
      </w:r>
      <w:r w:rsidR="00247163" w:rsidRPr="00247163">
        <w:rPr>
          <w:rFonts w:ascii="Palatino Linotype" w:eastAsia="Palatino Linotype" w:hAnsi="Palatino Linotype" w:cs="Palatino Linotype"/>
        </w:rPr>
        <w:t>aun</w:t>
      </w:r>
      <w:r w:rsidRPr="00247163">
        <w:rPr>
          <w:rFonts w:ascii="Palatino Linotype" w:eastAsia="Palatino Linotype" w:hAnsi="Palatino Linotype" w:cs="Palatino Linotype"/>
          <w:color w:val="000000"/>
        </w:rPr>
        <w:t xml:space="preserve"> tratándose de información personal.</w:t>
      </w:r>
    </w:p>
    <w:p w14:paraId="4B165D76" w14:textId="77777777" w:rsidR="002F653A" w:rsidRPr="00247163" w:rsidRDefault="002F653A">
      <w:pPr>
        <w:pBdr>
          <w:top w:val="nil"/>
          <w:left w:val="nil"/>
          <w:bottom w:val="nil"/>
          <w:right w:val="nil"/>
          <w:between w:val="nil"/>
        </w:pBdr>
        <w:spacing w:line="360" w:lineRule="auto"/>
        <w:ind w:left="285"/>
        <w:jc w:val="both"/>
        <w:rPr>
          <w:rFonts w:ascii="Palatino Linotype" w:eastAsia="Palatino Linotype" w:hAnsi="Palatino Linotype" w:cs="Palatino Linotype"/>
          <w:color w:val="000000"/>
        </w:rPr>
      </w:pPr>
    </w:p>
    <w:p w14:paraId="340C4F76"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Ahora bien, cuando las personas tienen una relación comercial, laboral, de servicios, trámites o del tipo que sea, necesariamente por un tema de interés público, debe cederse un poco de privacidad, de tal forma que la gente en general pueda verificar el debido desempeño de los servidores públicos, la aplicación de la ley y el ejercicio de recursos públicos; sin embargo, esto obliga a un ejercicio de ponderación en donde únicamente se privilegie la publicidad de los datos esenciales para la transparencia y rendición de cuentas, sin afectar la vida privada de las personas.</w:t>
      </w:r>
    </w:p>
    <w:p w14:paraId="5751224E"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E9DEC44"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Bajo este esquema, se aprecia que la información ordenada, puede contener información susceptible a clasificar como confidencial y otra que resulta publica; a fin de aportar mayores elementos para la correcta elaboración de las versiones públicas; de forma enunciativa más no limitativa; se analizan el Registro Federal de Contribuyentes (RFC) y la Clave Única de </w:t>
      </w:r>
      <w:r w:rsidRPr="00247163">
        <w:rPr>
          <w:rFonts w:ascii="Palatino Linotype" w:eastAsia="Palatino Linotype" w:hAnsi="Palatino Linotype" w:cs="Palatino Linotype"/>
          <w:color w:val="000000"/>
        </w:rPr>
        <w:lastRenderedPageBreak/>
        <w:t>Registro de Población (CURP), el nombre de representante legal de una persona jurídico colectiva; entre otros, ya que son datos que obran en los documentos solicitados.</w:t>
      </w:r>
    </w:p>
    <w:p w14:paraId="6B7DD60D"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5899966" w14:textId="77777777" w:rsidR="002F653A" w:rsidRPr="00247163" w:rsidRDefault="00CB53E8">
      <w:pPr>
        <w:pBdr>
          <w:top w:val="nil"/>
          <w:left w:val="nil"/>
          <w:bottom w:val="nil"/>
          <w:right w:val="nil"/>
          <w:between w:val="nil"/>
        </w:pBdr>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Registro Federal de Contribuyentes (RFC)</w:t>
      </w:r>
    </w:p>
    <w:p w14:paraId="1ACEAE75" w14:textId="77777777" w:rsidR="002F653A" w:rsidRPr="00247163" w:rsidRDefault="00CB53E8">
      <w:pPr>
        <w:pBdr>
          <w:top w:val="nil"/>
          <w:left w:val="nil"/>
          <w:bottom w:val="nil"/>
          <w:right w:val="nil"/>
          <w:between w:val="nil"/>
        </w:pBdr>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Persona física.</w:t>
      </w:r>
    </w:p>
    <w:p w14:paraId="06076E2A"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6619E273"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0A114187"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14:paraId="530B9329"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7E1971CB"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312F7A26"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056DD1F5"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Conforme a lo expuesto, el Registro Federal de Contribuyentes, es un dato personal, ya que hace a las personas físicas </w:t>
      </w:r>
      <w:r w:rsidRPr="00247163">
        <w:rPr>
          <w:rFonts w:ascii="Palatino Linotype" w:eastAsia="Palatino Linotype" w:hAnsi="Palatino Linotype" w:cs="Palatino Linotype"/>
        </w:rPr>
        <w:t>identificadas</w:t>
      </w:r>
      <w:r w:rsidRPr="00247163">
        <w:rPr>
          <w:rFonts w:ascii="Palatino Linotype" w:eastAsia="Palatino Linotype" w:hAnsi="Palatino Linotype" w:cs="Palatino Linotype"/>
          <w:color w:val="000000"/>
        </w:rPr>
        <w:t xml:space="preserve"> e identificables, además de que las relaciona como </w:t>
      </w:r>
      <w:r w:rsidRPr="00247163">
        <w:rPr>
          <w:rFonts w:ascii="Palatino Linotype" w:eastAsia="Palatino Linotype" w:hAnsi="Palatino Linotype" w:cs="Palatino Linotype"/>
          <w:color w:val="000000"/>
        </w:rPr>
        <w:lastRenderedPageBreak/>
        <w:t xml:space="preserve">contribuyentes de las autoridades fiscales. Es de destacar que dicho dato únicamente sirve para efectos fiscales y pago de contribuciones, por lo que se trata de un dato relevante únicamente para las personas </w:t>
      </w:r>
      <w:r w:rsidRPr="00247163">
        <w:rPr>
          <w:rFonts w:ascii="Palatino Linotype" w:eastAsia="Palatino Linotype" w:hAnsi="Palatino Linotype" w:cs="Palatino Linotype"/>
        </w:rPr>
        <w:t>involucradas</w:t>
      </w:r>
      <w:r w:rsidRPr="00247163">
        <w:rPr>
          <w:rFonts w:ascii="Palatino Linotype" w:eastAsia="Palatino Linotype" w:hAnsi="Palatino Linotype" w:cs="Palatino Linotype"/>
          <w:color w:val="000000"/>
        </w:rPr>
        <w:t xml:space="preserve">, en el pago de estos, en el presente caso, del pago del Impuesto Sobre el Producto del Trabajo. </w:t>
      </w:r>
    </w:p>
    <w:p w14:paraId="611C68C9"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19ECDD7C"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Lo anterior, resulta congruente con el Criterio orientador 19/17 emitido por el Instituto Nacional de Transparencia, Acceso a la Información y Protección de Datos Personales, en el cual se señala lo siguiente:</w:t>
      </w:r>
    </w:p>
    <w:p w14:paraId="2EF99831"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385067D8" w14:textId="60FCA699"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Registro Federal de Contribuyentes (RFC) de personas físicas. El RFC es una clave de carácter fiscal, </w:t>
      </w:r>
      <w:r w:rsidR="00247163" w:rsidRPr="00247163">
        <w:rPr>
          <w:rFonts w:ascii="Palatino Linotype" w:eastAsia="Palatino Linotype" w:hAnsi="Palatino Linotype" w:cs="Palatino Linotype"/>
          <w:color w:val="000000"/>
        </w:rPr>
        <w:t>único</w:t>
      </w:r>
      <w:r w:rsidRPr="00247163">
        <w:rPr>
          <w:rFonts w:ascii="Palatino Linotype" w:eastAsia="Palatino Linotype" w:hAnsi="Palatino Linotype" w:cs="Palatino Linotype"/>
          <w:color w:val="000000"/>
        </w:rPr>
        <w:t xml:space="preserve"> e irrepetible, que permite identificar al titular, su edad y fecha de nacimiento, por lo que es un dato personal de carácter confidencial.</w:t>
      </w:r>
    </w:p>
    <w:p w14:paraId="7FAC8D5A"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19B7A544"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De tal suerte, el Registro Federal de Contribuyentes de persona físicas no guarda relación con la transparencia de los recursos públicos, por lo que constituye un dato personal confidencial al actualizar el supuesto normativo del artículo 143, fracción I, de la Ley de Transparencia y Acceso a la Información Pública del Estado de México y Municipios.</w:t>
      </w:r>
    </w:p>
    <w:p w14:paraId="354BE703"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3BEA389B"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Persona Jurídico-colectiva.</w:t>
      </w:r>
    </w:p>
    <w:p w14:paraId="238A55F9"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Al respecto, el Registro Federal de Contribuyentes, inicia con un preinscripción por Internet y se concluye en cualquier Administración Desconcentrada de Servicios al Contribuyente, en donde aquellas personas que realicen el trámite tendrán que entregar ciertos documentos, que para las personas jurídico colectivas, serán, entre otros, la copia certificada del documento constitutivo debidamente protocolizado, comprobante de domicilio, </w:t>
      </w:r>
      <w:r w:rsidRPr="00247163">
        <w:rPr>
          <w:rFonts w:ascii="Palatino Linotype" w:eastAsia="Palatino Linotype" w:hAnsi="Palatino Linotype" w:cs="Palatino Linotype"/>
          <w:color w:val="000000"/>
        </w:rPr>
        <w:lastRenderedPageBreak/>
        <w:t>identificación personal, número de folio asignado que se le proporcionó al realizar el envío de su preinscripción y copia certificada del poder notarial con el que se acredite la personalidad del representante legal, o carta poder firmada ante dos testigos y ratificadas las firmas ante las autoridades fiscales o ante notario o fedatario público.  Derivado del trámite se obtiene, entre otros, la cédula de identificación fiscal o constancia de registro.</w:t>
      </w:r>
    </w:p>
    <w:p w14:paraId="0D10E5C3"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C4B1512"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Por ende, la información correspondiente al Registro Federal de Contribuyentes de una persona moral da cuenta del cumplimiento o no en sus obligaciones fiscales; por tanto, no se actualiza su clasificación como confidencial.</w:t>
      </w:r>
    </w:p>
    <w:p w14:paraId="47744C53"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3A0DE7F"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Además, resulta aplicable el Criterio orientador 08/19 emitido por el Instituto Nacional de Transparencia, Acceso a la Información y Protección de Datos Personales, que señala lo siguiente:</w:t>
      </w:r>
    </w:p>
    <w:p w14:paraId="5D849FE0"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Razón social y RFC de personas morales.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43F64A3D" w14:textId="77777777" w:rsidR="002F653A" w:rsidRPr="00247163" w:rsidRDefault="002F653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A8AD548"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Dicho criterio, precisa que el Registro Federal de Contribuyentes de personas morales, es público, al no referir a hechos o actos de carácter económico, contable, jurídico o administrativo que sean útiles o representen una ventaja a sus competidores.</w:t>
      </w:r>
    </w:p>
    <w:p w14:paraId="1B25242B"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7AE94681"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De tales circunstancias, el Registro Federal de Contribuyentes de personas morales, no actualizan la causal de clasificación, prevista en el artículo 143, fracción I de la Ley de </w:t>
      </w:r>
      <w:r w:rsidRPr="00247163">
        <w:rPr>
          <w:rFonts w:ascii="Palatino Linotype" w:eastAsia="Palatino Linotype" w:hAnsi="Palatino Linotype" w:cs="Palatino Linotype"/>
          <w:color w:val="000000"/>
        </w:rPr>
        <w:lastRenderedPageBreak/>
        <w:t>Transparencia y Acceso a la Información Pública del Estado de México y Municipios, al ser de naturaleza pública.</w:t>
      </w:r>
    </w:p>
    <w:p w14:paraId="6242CE9A"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37FCE102"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Además, las personas físicas que realicen las actividades contratadas por las instituciones, renuncian implícitamente a una parte de su derecho a la intimidad al obtener beneficios y lucros de los recursos públicos por dicha contratación, por lo que no puede considerarse como información clasificada lo relativo a su nombre, registro federal de contribuyentes y domicilio fiscal, atento a que dicha información es la que puede generar certeza en los gobernados en que se está ejerciendo debidamente el presupuesto.</w:t>
      </w:r>
    </w:p>
    <w:p w14:paraId="7B50D540"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6711FC0C"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Robustece lo anterior el criterio orientador 04/21 emitido por el Instituto Nacional de Transparencia, Acceso a la Información y Protección de Datos Personales, INAI, el cual refiere:</w:t>
      </w:r>
    </w:p>
    <w:p w14:paraId="37FF45AE" w14:textId="77777777" w:rsidR="002F653A" w:rsidRPr="00247163" w:rsidRDefault="00CB53E8">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“Registro Federal de Contribuyentes (RFC) de personas físicas proveedoras o contratistas. 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5720FE93" w14:textId="77777777" w:rsidR="002F653A" w:rsidRPr="00247163" w:rsidRDefault="002F653A">
      <w:pPr>
        <w:pBdr>
          <w:top w:val="nil"/>
          <w:left w:val="nil"/>
          <w:bottom w:val="nil"/>
          <w:right w:val="nil"/>
          <w:between w:val="nil"/>
        </w:pBdr>
        <w:ind w:left="1134" w:right="851"/>
        <w:jc w:val="both"/>
        <w:rPr>
          <w:rFonts w:ascii="Palatino Linotype" w:eastAsia="Palatino Linotype" w:hAnsi="Palatino Linotype" w:cs="Palatino Linotype"/>
          <w:i/>
          <w:iCs/>
          <w:color w:val="000000"/>
        </w:rPr>
      </w:pPr>
    </w:p>
    <w:p w14:paraId="27D3297E" w14:textId="77777777" w:rsidR="002F653A" w:rsidRPr="00247163" w:rsidRDefault="002F653A">
      <w:pPr>
        <w:pBdr>
          <w:top w:val="nil"/>
          <w:left w:val="nil"/>
          <w:bottom w:val="nil"/>
          <w:right w:val="nil"/>
          <w:between w:val="nil"/>
        </w:pBdr>
        <w:ind w:left="1134" w:right="851"/>
        <w:jc w:val="both"/>
        <w:rPr>
          <w:rFonts w:ascii="Palatino Linotype" w:eastAsia="Palatino Linotype" w:hAnsi="Palatino Linotype" w:cs="Palatino Linotype"/>
          <w:i/>
          <w:iCs/>
          <w:color w:val="000000"/>
        </w:rPr>
      </w:pPr>
    </w:p>
    <w:p w14:paraId="6AEB8350" w14:textId="77777777" w:rsidR="002F653A" w:rsidRPr="00247163" w:rsidRDefault="00CB53E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Clave Única de Registro de Población (CURP).</w:t>
      </w:r>
    </w:p>
    <w:p w14:paraId="68198B45"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De igual manera la Clave Única de Registro de Población (CURP),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w:t>
      </w:r>
      <w:r w:rsidRPr="00247163">
        <w:rPr>
          <w:rFonts w:ascii="Palatino Linotype" w:eastAsia="Palatino Linotype" w:hAnsi="Palatino Linotype" w:cs="Palatino Linotype"/>
          <w:color w:val="000000"/>
        </w:rPr>
        <w:lastRenderedPageBreak/>
        <w:t>información que permite distinguirlo del resto de los habitantes, por tal motivo, se considera que es de carácter confidencial.</w:t>
      </w:r>
    </w:p>
    <w:p w14:paraId="3700D5F8"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361D6742"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Argumento que es compartido por el Instituto Nacional de Transparencia, Acceso a la Información y Protección de Datos Personales, INAI, conforme al criterio orientador 18/17, el cual refiere: </w:t>
      </w:r>
    </w:p>
    <w:p w14:paraId="210F127D" w14:textId="77777777" w:rsidR="002F653A" w:rsidRPr="00247163" w:rsidRDefault="00CB53E8">
      <w:pPr>
        <w:pBdr>
          <w:top w:val="nil"/>
          <w:left w:val="nil"/>
          <w:bottom w:val="nil"/>
          <w:right w:val="nil"/>
          <w:between w:val="nil"/>
        </w:pBdr>
        <w:ind w:left="1134" w:right="992"/>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“Clave Única de Registro de Población (CURP).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A451223" w14:textId="77777777" w:rsidR="002F653A" w:rsidRPr="00247163" w:rsidRDefault="002F653A">
      <w:pPr>
        <w:pBdr>
          <w:top w:val="nil"/>
          <w:left w:val="nil"/>
          <w:bottom w:val="nil"/>
          <w:right w:val="nil"/>
          <w:between w:val="nil"/>
        </w:pBdr>
        <w:spacing w:line="480" w:lineRule="auto"/>
        <w:ind w:left="1134" w:right="992"/>
        <w:jc w:val="both"/>
        <w:rPr>
          <w:rFonts w:ascii="Palatino Linotype" w:eastAsia="Palatino Linotype" w:hAnsi="Palatino Linotype" w:cs="Palatino Linotype"/>
          <w:i/>
          <w:iCs/>
          <w:color w:val="000000"/>
        </w:rPr>
      </w:pPr>
    </w:p>
    <w:p w14:paraId="26D5A28E" w14:textId="77777777" w:rsidR="002F653A" w:rsidRPr="00247163" w:rsidRDefault="00CB53E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CUENTAS BANCARIAS O CLABES INTERBANCARIAS</w:t>
      </w:r>
    </w:p>
    <w:p w14:paraId="6CC9F341"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Resulta importante señalar que tratándose de las cuentas bancarias o clabes interbancarias de los Sujetos Obligados ya que su publicidad cede a la rendición de cuentas al transparentar la forma en que son administrados los recursos públicos.</w:t>
      </w:r>
    </w:p>
    <w:p w14:paraId="1A86045E" w14:textId="77777777" w:rsidR="002F653A" w:rsidRPr="00247163" w:rsidRDefault="002F653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625873"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Lo argumentado encuentra sustento en los criterios orientadores 10/17 y 11/17 emitidos por el Instituto Nacional de Transparencia, Acceso a la Información y Protección de Datos Personales, INAI, que llevan por rubro y texto los siguientes:</w:t>
      </w:r>
    </w:p>
    <w:p w14:paraId="31E80680"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“Cuentas bancarias y/o CLABE interbancaria de personas físicas y morales privadas.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w:t>
      </w:r>
      <w:r w:rsidRPr="00247163">
        <w:rPr>
          <w:rFonts w:ascii="Palatino Linotype" w:eastAsia="Palatino Linotype" w:hAnsi="Palatino Linotype" w:cs="Palatino Linotype"/>
          <w:i/>
          <w:iCs/>
          <w:color w:val="000000"/>
        </w:rPr>
        <w:lastRenderedPageBreak/>
        <w:t>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2D4E245C"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29D59851"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02412C6D"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195212A3"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Si bien las cuentas bancarias y/o CLABE de personas que reciben y/o transfieren recursos públicos corresponden a datos personales, no actualizan la causal de clasificación establecida en el artículo 143, fracción I, de la Ley de Transparencia y Acceso a la Información Pública del Estado de México y Municipios.</w:t>
      </w:r>
    </w:p>
    <w:p w14:paraId="7CA1C42A" w14:textId="77777777" w:rsidR="002F653A" w:rsidRPr="00247163" w:rsidRDefault="002F653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4EF8501" w14:textId="77777777" w:rsidR="002F653A" w:rsidRPr="00247163" w:rsidRDefault="00CB53E8">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Nombre, firma y rúbrica de representante legal.</w:t>
      </w:r>
    </w:p>
    <w:p w14:paraId="53CE5A0B"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Al respecto, resulta necesario señalar que las personas jurídico colectivas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solicitar y recibir diversas Licencias de Funcionamiento.</w:t>
      </w:r>
    </w:p>
    <w:p w14:paraId="2E613A4E" w14:textId="77777777" w:rsidR="002F653A" w:rsidRPr="00247163" w:rsidRDefault="002F653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30681CC"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En ese sentido, el artículo 10 de la Ley General de Sociedades Mercantiles, establece que la representación de toda sociedad mercantil corresponderá a su administrador o </w:t>
      </w:r>
      <w:r w:rsidRPr="00247163">
        <w:rPr>
          <w:rFonts w:ascii="Palatino Linotype" w:eastAsia="Palatino Linotype" w:hAnsi="Palatino Linotype" w:cs="Palatino Linotype"/>
          <w:color w:val="000000"/>
        </w:rPr>
        <w:lastRenderedPageBreak/>
        <w:t>administradores, quiénes podrán realizar todas las operaciones inherentes al objeto de la sociedad; por lo que, para que surtan efectos los poderes que otorgue dicha empresa bastará su protocolización ante notario público.</w:t>
      </w:r>
    </w:p>
    <w:p w14:paraId="0BAE698C" w14:textId="77777777" w:rsidR="002F653A" w:rsidRPr="00247163" w:rsidRDefault="002F653A">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D13CBB1"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En esa tesitura, la representación de las personas morales se realizará por medio de representantes o apoderados, y en el caso específico de las sociedades mercantiles, dicha representación se otorgará mediante instrumento público.</w:t>
      </w:r>
    </w:p>
    <w:p w14:paraId="3B7A291B"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887C88C"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Ello, toda vez que la representación legal debe ser conocida para surtir efectos ante terceros; es decir, la publicidad de la misma tiene por objeto dar certeza a quienes se relacionan con la persona jurídico-colectiva representada, que las actuaciones de su representante están previamente autorizadas y que surtirán efectos legales a que constriñe cada acto.</w:t>
      </w:r>
    </w:p>
    <w:p w14:paraId="6C259798"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7935A245"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En ese orden de ideas, se estima que si bien, el nombre es uno de los atributos de la personalidad y la manifestación principal del derecho subjetivo a la identidad, en virtud de que hace una persona física identificada o identificable; lo cierto es que el nombre, la firma y la rúbrica del apoderado legal de una empresa, es público, 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 </w:t>
      </w:r>
    </w:p>
    <w:p w14:paraId="199F1B3E"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07E4DBD7"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Lo anterior, se robustece con el criterio orientador 01/19, emitido por el Instituto Nacional de Transparencia, Acceso a la Información Pública y Protección de Datos Personales, que establece lo siguiente:</w:t>
      </w:r>
    </w:p>
    <w:p w14:paraId="71D27110" w14:textId="77777777" w:rsidR="002F653A" w:rsidRPr="00247163" w:rsidRDefault="00CB53E8">
      <w:pPr>
        <w:pBdr>
          <w:top w:val="nil"/>
          <w:left w:val="nil"/>
          <w:bottom w:val="nil"/>
          <w:right w:val="nil"/>
          <w:between w:val="nil"/>
        </w:pBdr>
        <w:spacing w:line="360"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Datos de identificación del representante o apoderado legal. Naturaleza jurídica.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3148683A" w14:textId="77777777" w:rsidR="002F653A" w:rsidRPr="00247163" w:rsidRDefault="002F653A">
      <w:pPr>
        <w:pBdr>
          <w:top w:val="nil"/>
          <w:left w:val="nil"/>
          <w:bottom w:val="nil"/>
          <w:right w:val="nil"/>
          <w:between w:val="nil"/>
        </w:pBdr>
        <w:spacing w:line="360" w:lineRule="auto"/>
        <w:ind w:left="1134" w:right="851"/>
        <w:jc w:val="both"/>
        <w:rPr>
          <w:rFonts w:ascii="Palatino Linotype" w:eastAsia="Palatino Linotype" w:hAnsi="Palatino Linotype" w:cs="Palatino Linotype"/>
          <w:i/>
          <w:iCs/>
          <w:color w:val="000000"/>
        </w:rPr>
      </w:pPr>
    </w:p>
    <w:p w14:paraId="41D344D3"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Ante tales situaciones, el nombre, firma y rúbrica del representante legal, de una persona jurídica colectiva que solicitó una Licencia de Funcionamiento, no es susceptible de ser clasificado como confidencial, en términos del artículo 143, fracción I de la Ley Federal de Transparencia y Acceso a la Información Pública; inclusive ayuda a rendir cuentas, de que dicha autorización fue entregada a la persona adecuada.</w:t>
      </w:r>
    </w:p>
    <w:p w14:paraId="61041EA1"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7617E75E"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Domicilio Fiscal o legal (proveedor persona física o moral)</w:t>
      </w:r>
    </w:p>
    <w:p w14:paraId="0E13FC09"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De acuerdo a lo señalado en los artículos 2.17 y 2.21 del Código Civil del Estado de México, el domicilio de una persona física, es el lugar donde reside, en donde tiene el principal </w:t>
      </w:r>
      <w:r w:rsidRPr="00247163">
        <w:rPr>
          <w:rFonts w:ascii="Palatino Linotype" w:eastAsia="Palatino Linotype" w:hAnsi="Palatino Linotype" w:cs="Palatino Linotype"/>
        </w:rPr>
        <w:t>asiento</w:t>
      </w:r>
      <w:r w:rsidRPr="00247163">
        <w:rPr>
          <w:rFonts w:ascii="Palatino Linotype" w:eastAsia="Palatino Linotype" w:hAnsi="Palatino Linotype" w:cs="Palatino Linotype"/>
          <w:color w:val="000000"/>
        </w:rPr>
        <w:t xml:space="preserve"> de negocios, o en su caso, el dónde se halle; mientras, que el de personas jurídicas colectivas, es aquel donde se halle establecida su administración o ejerza sus actividades.</w:t>
      </w:r>
    </w:p>
    <w:p w14:paraId="2FB8948D"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727B04D"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Además, respecto al domicilio fiscal, resulta necesario traer el artículo 22 del Código Financiero del Estado de México y Municipios, que establece:</w:t>
      </w:r>
    </w:p>
    <w:p w14:paraId="28A353F7"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Artículo 22.- Se considera domicilio fiscal de las personas físicas y jurídicas colectivas: </w:t>
      </w:r>
    </w:p>
    <w:p w14:paraId="1CD8E3FA"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47AEBEF8"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I. El lugar o establecimiento donde se realicen actividades que generen obligaciones fiscales. </w:t>
      </w:r>
    </w:p>
    <w:p w14:paraId="15E0FF12"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73A61A3F"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II. El lugar o establecimiento en que se realice el hecho generador de la obligación fiscal, cuando las actividades no se realicen en forma habitual. </w:t>
      </w:r>
    </w:p>
    <w:p w14:paraId="4649D261"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1918B7DF"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III. El inmueble en el que residan en el territorio del Estado de México, cuando realicen sus actividades en la vía pública, en puestos fijos y semifijos; </w:t>
      </w:r>
    </w:p>
    <w:p w14:paraId="64529750"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IV. La residencia que identifique la autoridad fiscal, cuando exista certeza de que es el único lugar posible de localización del contribuyente. </w:t>
      </w:r>
    </w:p>
    <w:p w14:paraId="4F83C5D5"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0D495A31"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V. Aquel que señalen a las entidades financieras o sociedades cooperativas de ahorro y préstamo, cuando sean usuarios de los servicios que presten estas, siempre que los contribuyentes no hayan manifestado alguno de los domicilios citados en las fracciones anteriores o no hayan sido localizados en los mismos.</w:t>
      </w:r>
    </w:p>
    <w:p w14:paraId="5215CD29"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p>
    <w:p w14:paraId="296C830D"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42EC4571" w14:textId="77777777" w:rsidR="002F653A" w:rsidRPr="00247163" w:rsidRDefault="00CB53E8">
      <w:pPr>
        <w:pBdr>
          <w:top w:val="nil"/>
          <w:left w:val="nil"/>
          <w:bottom w:val="nil"/>
          <w:right w:val="nil"/>
          <w:between w:val="nil"/>
        </w:pBdr>
        <w:spacing w:line="360" w:lineRule="auto"/>
        <w:ind w:left="142"/>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Número telefónico</w:t>
      </w:r>
    </w:p>
    <w:p w14:paraId="7D30D0F8"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Un número de teléfono es una secuencia de dígitos utilizada para identificar una línea telefónica dentro de una Red Telefónica Conmutada, el número contiene la información necesaria para identificar el punto final de la llamada. Los números de teléfono están a menudo asignados a líneas que tienen conectados dispositivos distintos de un teléfono, tales como faxes </w:t>
      </w:r>
      <w:r w:rsidRPr="00247163">
        <w:rPr>
          <w:rFonts w:ascii="Palatino Linotype" w:eastAsia="Palatino Linotype" w:hAnsi="Palatino Linotype" w:cs="Palatino Linotype"/>
          <w:color w:val="000000"/>
        </w:rPr>
        <w:lastRenderedPageBreak/>
        <w:t>y módems. Cada uno de esos puntos de terminación de red deben de tener un número único en la red para poder realizar una llamada telefónica.</w:t>
      </w:r>
    </w:p>
    <w:p w14:paraId="54CDC0E4"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746DBBF9"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Correo electrónico</w:t>
      </w:r>
    </w:p>
    <w:p w14:paraId="30D134CC"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El correo electrónico es un sistema de transmisión de mensajes a través de internet.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64E33AF7"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Al respecto debe mencionarse que conforme a lo establecido en los criterios números 16, 18 y 19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artículo 70, el domicilio fiscal, y datos de contacto como teléfono y correo electrónico de los proveedores y contratistas, es un dato que debe ser público, motivo por el cual no es procedente que se realice su clasificación como confidencial.</w:t>
      </w:r>
    </w:p>
    <w:p w14:paraId="7C5A1328"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269DE848"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Asimismo, existe diversa información en los documentos fiscales que constituyen un elemento adicional que permite a cualquier persona verificar la legitimidad del documento, por sí solos no contienen datos personales susceptibles de clasificación, ya que no hacen identificable al titular, pues dichos datos sólo son de utilidad de manera directa a la Secretaría </w:t>
      </w:r>
      <w:r w:rsidRPr="00247163">
        <w:rPr>
          <w:rFonts w:ascii="Palatino Linotype" w:eastAsia="Palatino Linotype" w:hAnsi="Palatino Linotype" w:cs="Palatino Linotype"/>
          <w:color w:val="000000"/>
        </w:rPr>
        <w:lastRenderedPageBreak/>
        <w:t xml:space="preserve">de Hacienda y Crédito Público y si bien, en un momento derivan información personal de los contribuyentes, </w:t>
      </w:r>
      <w:r w:rsidRPr="00247163">
        <w:rPr>
          <w:rFonts w:ascii="Palatino Linotype" w:eastAsia="Palatino Linotype" w:hAnsi="Palatino Linotype" w:cs="Palatino Linotype"/>
        </w:rPr>
        <w:t>está</w:t>
      </w:r>
      <w:r w:rsidRPr="00247163">
        <w:rPr>
          <w:rFonts w:ascii="Palatino Linotype" w:eastAsia="Palatino Linotype" w:hAnsi="Palatino Linotype" w:cs="Palatino Linotype"/>
          <w:color w:val="000000"/>
        </w:rPr>
        <w:t xml:space="preserve"> se encuentra encriptada como se verá a continuación.</w:t>
      </w:r>
    </w:p>
    <w:p w14:paraId="12E4EAA6"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730AA9A2"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 xml:space="preserve">Código Bidimensional o QR. </w:t>
      </w:r>
    </w:p>
    <w:p w14:paraId="7B1AA90E"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En principio, resulta necesario señalar que los comprobantes fiscales digitales por Internet, deben de incluir el código de barras bidimensional generado conforme a las especificaciones técnicas que se establecen en el rubro I.D. del Anexo 20; en tal sentido, el Anexo 20 de la Resolución Miscelánea Fiscal para 2022, publicado el 23 de enero de 2022, en el Diario Oficial de la Federación, consultable en la  siguiente liga electrónica: </w:t>
      </w:r>
    </w:p>
    <w:p w14:paraId="48D46C01" w14:textId="77777777" w:rsidR="002F653A" w:rsidRPr="00247163" w:rsidRDefault="00D849D5">
      <w:pPr>
        <w:pBdr>
          <w:top w:val="nil"/>
          <w:left w:val="nil"/>
          <w:bottom w:val="nil"/>
          <w:right w:val="nil"/>
          <w:between w:val="nil"/>
        </w:pBdr>
        <w:spacing w:line="360" w:lineRule="auto"/>
        <w:ind w:right="-596"/>
        <w:jc w:val="center"/>
        <w:rPr>
          <w:rFonts w:ascii="Palatino Linotype" w:eastAsia="Palatino Linotype" w:hAnsi="Palatino Linotype" w:cs="Palatino Linotype"/>
          <w:i/>
          <w:iCs/>
          <w:color w:val="000000"/>
        </w:rPr>
      </w:pPr>
      <w:hyperlink r:id="rId25">
        <w:r w:rsidR="00CB53E8" w:rsidRPr="00247163">
          <w:rPr>
            <w:i/>
            <w:iCs/>
            <w:color w:val="0000FF"/>
            <w:u w:val="single"/>
          </w:rPr>
          <w:t>https://www.dof.gob.mx/nota_detalle_popup.php?codigo=5640565</w:t>
        </w:r>
      </w:hyperlink>
      <w:r w:rsidR="00CB53E8" w:rsidRPr="00247163">
        <w:rPr>
          <w:rFonts w:ascii="Palatino Linotype" w:eastAsia="Palatino Linotype" w:hAnsi="Palatino Linotype" w:cs="Palatino Linotype"/>
          <w:i/>
          <w:iCs/>
          <w:color w:val="000000"/>
        </w:rPr>
        <w:t xml:space="preserve">  </w:t>
      </w:r>
    </w:p>
    <w:p w14:paraId="18404E30"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rPr>
        <w:t>Refiriendo</w:t>
      </w:r>
      <w:r w:rsidRPr="00247163">
        <w:rPr>
          <w:rFonts w:ascii="Palatino Linotype" w:eastAsia="Palatino Linotype" w:hAnsi="Palatino Linotype" w:cs="Palatino Linotype"/>
          <w:color w:val="000000"/>
        </w:rPr>
        <w:t xml:space="preserve"> lo siguiente:</w:t>
      </w:r>
    </w:p>
    <w:p w14:paraId="76044985"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D. Especificación técnica del código de barras bidimensional a incorporar en la representación impresa. </w:t>
      </w:r>
    </w:p>
    <w:p w14:paraId="1D857B77"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24DE395B"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Las representaciones impresas de los dos tipos de comprobantes fiscales digitales por Internet deben incluir un QR conforme a lo, descrito en el estándar ISO/IEC18004, con base en los siguientes lineamientos. </w:t>
      </w:r>
    </w:p>
    <w:p w14:paraId="7C4B2994"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6A870494"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a) Debe contener los siguientes datos en la siguiente secuencia: </w:t>
      </w:r>
    </w:p>
    <w:p w14:paraId="58C79EAB"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1. La URL del acceso al servicio que pueda mostrar los datos de la versión pública del comprobante. </w:t>
      </w:r>
    </w:p>
    <w:p w14:paraId="7D1EFE74"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2. Número de folio fiscal del comprobante (UUID). </w:t>
      </w:r>
    </w:p>
    <w:p w14:paraId="29149D68"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3. RFC del emisor. </w:t>
      </w:r>
    </w:p>
    <w:p w14:paraId="16E75C9A"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4. RFC del receptor. </w:t>
      </w:r>
    </w:p>
    <w:p w14:paraId="44D82DCD"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 xml:space="preserve">5. Total del comprobante. </w:t>
      </w:r>
    </w:p>
    <w:p w14:paraId="3461F19B"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6. Ocho últimos caracteres del sello digital del emisor del comprobante.</w:t>
      </w:r>
    </w:p>
    <w:p w14:paraId="2C7EA2DF"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113B1D81"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lastRenderedPageBreak/>
        <w:t xml:space="preserve">Incluso con la captura de dicho código, a través de la aplicación móvil del Servicio de Administración Tributaria, permite el acceso al Registro Federal de Contribuyentes, como del Sujeto Obligado, como del proveedor, persona física o moral. </w:t>
      </w:r>
    </w:p>
    <w:p w14:paraId="23E7A532"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08B94602"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En ese orden de ideas, toda vez que el código bidimensional sólo permite el acceso al Registro Federal de Contribuyentes del proveedor y del Sujeto Obligado, los cuales guardan la naturaleza pública, se considera que no se actualiza la causal de clasificación prevista en el artículo 143, fracción I de la Ley de la materia, toda vez que únicamente da cuenta de datos que como se analizó en párrafos anteriores, no son susceptibles a testar.</w:t>
      </w:r>
    </w:p>
    <w:p w14:paraId="46BF8235"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3BF31008"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Notario, Notaría, acta constitutiva</w:t>
      </w:r>
    </w:p>
    <w:p w14:paraId="76BAE882"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color w:val="000000"/>
        </w:rPr>
        <w:t>Notario</w:t>
      </w:r>
      <w:r w:rsidRPr="00247163">
        <w:rPr>
          <w:rFonts w:ascii="Palatino Linotype" w:eastAsia="Palatino Linotype" w:hAnsi="Palatino Linotype" w:cs="Palatino Linotype"/>
          <w:color w:val="000000"/>
          <w:vertAlign w:val="superscript"/>
        </w:rPr>
        <w:footnoteReference w:id="8"/>
      </w:r>
      <w:r w:rsidRPr="00247163">
        <w:rPr>
          <w:rFonts w:ascii="Palatino Linotype" w:eastAsia="Palatino Linotype" w:hAnsi="Palatino Linotype" w:cs="Palatino Linotype"/>
          <w:color w:val="000000"/>
        </w:rPr>
        <w:t xml:space="preserve"> es el profesional del derecho con funciones de orden público para dar formalidad a actos jurídicos, dar fe de hechos que le consten, tramitar procedimientos no contenciosos y tramitar procedimientos de arbitraje o mediación a personas que lo soliciten; por lo que para el ejercicio de tales atribuciones se le asignará de acuerdo a las necesidades de la población y por determinación del Gobernador del Estado (número y residencia)</w:t>
      </w:r>
      <w:r w:rsidRPr="00247163">
        <w:rPr>
          <w:rFonts w:ascii="Palatino Linotype" w:eastAsia="Palatino Linotype" w:hAnsi="Palatino Linotype" w:cs="Palatino Linotype"/>
          <w:color w:val="000000"/>
          <w:vertAlign w:val="superscript"/>
        </w:rPr>
        <w:footnoteReference w:id="9"/>
      </w:r>
      <w:r w:rsidRPr="00247163">
        <w:rPr>
          <w:rFonts w:ascii="Palatino Linotype" w:eastAsia="Palatino Linotype" w:hAnsi="Palatino Linotype" w:cs="Palatino Linotype"/>
          <w:color w:val="000000"/>
        </w:rPr>
        <w:t>; para efectos de dar formalidad a actos jurídicos, el Notario se apoyará entre otros documentos de la escritura</w:t>
      </w:r>
      <w:r w:rsidRPr="00247163">
        <w:rPr>
          <w:rFonts w:ascii="Palatino Linotype" w:eastAsia="Palatino Linotype" w:hAnsi="Palatino Linotype" w:cs="Palatino Linotype"/>
          <w:color w:val="000000"/>
          <w:vertAlign w:val="superscript"/>
        </w:rPr>
        <w:footnoteReference w:id="10"/>
      </w:r>
      <w:r w:rsidRPr="00247163">
        <w:rPr>
          <w:rFonts w:ascii="Palatino Linotype" w:eastAsia="Palatino Linotype" w:hAnsi="Palatino Linotype" w:cs="Palatino Linotype"/>
          <w:color w:val="000000"/>
        </w:rPr>
        <w:t xml:space="preserve">, considerada esta como el instrumento original que el notario asienta en el protocolo para hacer constar uno o más actos jurídicos, autorizando con su firma y sello, se entenderá también como escritura al acta que contenga un extracto con los elementos personales y materiales del documento en que se consigne un contrato o actos jurídicos siempre que esté firmada en cada una de sus hojas por quienes en </w:t>
      </w:r>
      <w:r w:rsidRPr="00247163">
        <w:rPr>
          <w:rFonts w:ascii="Palatino Linotype" w:eastAsia="Palatino Linotype" w:hAnsi="Palatino Linotype" w:cs="Palatino Linotype"/>
        </w:rPr>
        <w:t>él intervengan</w:t>
      </w:r>
      <w:r w:rsidRPr="00247163">
        <w:rPr>
          <w:rFonts w:ascii="Palatino Linotype" w:eastAsia="Palatino Linotype" w:hAnsi="Palatino Linotype" w:cs="Palatino Linotype"/>
          <w:color w:val="000000"/>
        </w:rPr>
        <w:t xml:space="preserve"> y por el notario, quien además </w:t>
      </w:r>
      <w:r w:rsidRPr="00247163">
        <w:rPr>
          <w:rFonts w:ascii="Palatino Linotype" w:eastAsia="Palatino Linotype" w:hAnsi="Palatino Linotype" w:cs="Palatino Linotype"/>
          <w:color w:val="000000"/>
        </w:rPr>
        <w:lastRenderedPageBreak/>
        <w:t>pondrá el sello, señalará el número de hojas de que se compone, así como la relación completa de sus anexos asignando a tal instrumento jurídico un número de control interno que de ser procedente será inscrito a efecto de dar publicidad de derechos ante terceros en el Instituto de la Función Registral del Estado de México; por lo que al ser estos tres elementos información de carácter público  no es susceptible de clasificación prevista en el artículo 143, fracción I de la Ley de la materia.</w:t>
      </w:r>
    </w:p>
    <w:p w14:paraId="7B76A8C0"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p>
    <w:p w14:paraId="1234D2C0" w14:textId="77777777" w:rsidR="002F653A" w:rsidRPr="00247163" w:rsidRDefault="00CB53E8">
      <w:pPr>
        <w:pBdr>
          <w:top w:val="nil"/>
          <w:left w:val="nil"/>
          <w:bottom w:val="nil"/>
          <w:right w:val="nil"/>
          <w:between w:val="nil"/>
        </w:pBdr>
        <w:spacing w:line="360" w:lineRule="auto"/>
        <w:ind w:right="-596"/>
        <w:jc w:val="both"/>
        <w:rPr>
          <w:rFonts w:ascii="Palatino Linotype" w:eastAsia="Palatino Linotype" w:hAnsi="Palatino Linotype" w:cs="Palatino Linotype"/>
          <w:b/>
          <w:bCs/>
          <w:color w:val="000000"/>
        </w:rPr>
      </w:pPr>
      <w:r w:rsidRPr="00247163">
        <w:rPr>
          <w:rFonts w:ascii="Palatino Linotype" w:eastAsia="Palatino Linotype" w:hAnsi="Palatino Linotype" w:cs="Palatino Linotype"/>
          <w:b/>
          <w:bCs/>
          <w:color w:val="000000"/>
        </w:rPr>
        <w:t>Cadenas originales y sellos.</w:t>
      </w:r>
    </w:p>
    <w:p w14:paraId="0F85D31D"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1C00BE54"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“Elementos utilizados en la generación de Sellos Digitales:</w:t>
      </w:r>
    </w:p>
    <w:p w14:paraId="6392583B"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004FC6B9"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r w:rsidRPr="00247163">
        <w:rPr>
          <w:rFonts w:ascii="Palatino Linotype" w:eastAsia="Palatino Linotype" w:hAnsi="Palatino Linotype" w:cs="Palatino Linotype"/>
          <w:i/>
          <w:iCs/>
          <w:color w:val="000000"/>
        </w:rPr>
        <w:tab/>
        <w:t>Cadena Original, el elemento a sellar, en este caso de un comprobante fiscal digital a través de Internet.</w:t>
      </w:r>
    </w:p>
    <w:p w14:paraId="0F876148"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r w:rsidRPr="00247163">
        <w:rPr>
          <w:rFonts w:ascii="Palatino Linotype" w:eastAsia="Palatino Linotype" w:hAnsi="Palatino Linotype" w:cs="Palatino Linotype"/>
          <w:i/>
          <w:iCs/>
          <w:color w:val="000000"/>
        </w:rPr>
        <w:tab/>
        <w:t>Certificado de Sello Digital y su correspondiente clave privada.</w:t>
      </w:r>
    </w:p>
    <w:p w14:paraId="57ABB1DE"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r w:rsidRPr="00247163">
        <w:rPr>
          <w:rFonts w:ascii="Palatino Linotype" w:eastAsia="Palatino Linotype" w:hAnsi="Palatino Linotype" w:cs="Palatino Linotype"/>
          <w:i/>
          <w:iCs/>
          <w:color w:val="000000"/>
        </w:rPr>
        <w:tab/>
        <w:t>Algoritmos de criptografía de clave pública para firma electrónica avanzada.</w:t>
      </w:r>
    </w:p>
    <w:p w14:paraId="70D36805"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w:t>
      </w:r>
      <w:r w:rsidRPr="00247163">
        <w:rPr>
          <w:rFonts w:ascii="Palatino Linotype" w:eastAsia="Palatino Linotype" w:hAnsi="Palatino Linotype" w:cs="Palatino Linotype"/>
          <w:i/>
          <w:iCs/>
          <w:color w:val="000000"/>
        </w:rPr>
        <w:tab/>
        <w:t>Especificaciones de conversión de la firma electrónica avanzada a Base 64.</w:t>
      </w:r>
    </w:p>
    <w:p w14:paraId="794A7A14"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Para la generación de sellos digitales se utiliza criptografía de clave pública aplicada a una cadena original.</w:t>
      </w:r>
    </w:p>
    <w:p w14:paraId="393A519E" w14:textId="77777777" w:rsidR="002F653A" w:rsidRPr="00247163" w:rsidRDefault="002F653A">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p>
    <w:p w14:paraId="0D59FA16"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t>Criptografía de la Clave Pública</w:t>
      </w:r>
    </w:p>
    <w:p w14:paraId="4FDBCFBE" w14:textId="77777777" w:rsidR="002F653A" w:rsidRPr="00247163" w:rsidRDefault="00CB53E8">
      <w:pPr>
        <w:pBdr>
          <w:top w:val="nil"/>
          <w:left w:val="nil"/>
          <w:bottom w:val="nil"/>
          <w:right w:val="nil"/>
          <w:between w:val="nil"/>
        </w:pBdr>
        <w:spacing w:line="276" w:lineRule="auto"/>
        <w:ind w:left="1134" w:right="851"/>
        <w:jc w:val="both"/>
        <w:rPr>
          <w:rFonts w:ascii="Palatino Linotype" w:eastAsia="Palatino Linotype" w:hAnsi="Palatino Linotype" w:cs="Palatino Linotype"/>
          <w:i/>
          <w:iCs/>
          <w:color w:val="000000"/>
        </w:rPr>
      </w:pPr>
      <w:r w:rsidRPr="00247163">
        <w:rPr>
          <w:rFonts w:ascii="Palatino Linotype" w:eastAsia="Palatino Linotype" w:hAnsi="Palatino Linotype" w:cs="Palatino Linotype"/>
          <w:i/>
          <w:iCs/>
          <w:color w:val="000000"/>
        </w:rPr>
        <w:lastRenderedPageBreak/>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3EBD9D3E" w14:textId="77777777" w:rsidR="002F653A" w:rsidRPr="00247163" w:rsidRDefault="002F653A">
      <w:pPr>
        <w:pBdr>
          <w:top w:val="nil"/>
          <w:left w:val="nil"/>
          <w:bottom w:val="nil"/>
          <w:right w:val="nil"/>
          <w:between w:val="nil"/>
        </w:pBdr>
        <w:spacing w:line="360" w:lineRule="auto"/>
        <w:ind w:left="142"/>
        <w:jc w:val="both"/>
        <w:rPr>
          <w:rFonts w:ascii="Palatino Linotype" w:eastAsia="Palatino Linotype" w:hAnsi="Palatino Linotype" w:cs="Palatino Linotype"/>
          <w:color w:val="000000"/>
        </w:rPr>
      </w:pPr>
    </w:p>
    <w:p w14:paraId="0B46189C" w14:textId="77777777" w:rsidR="002F653A" w:rsidRPr="00247163" w:rsidRDefault="00CB53E8" w:rsidP="00247163">
      <w:pPr>
        <w:numPr>
          <w:ilvl w:val="0"/>
          <w:numId w:val="36"/>
        </w:numPr>
        <w:pBdr>
          <w:top w:val="nil"/>
          <w:left w:val="nil"/>
          <w:bottom w:val="nil"/>
          <w:right w:val="nil"/>
          <w:between w:val="nil"/>
        </w:pBdr>
        <w:spacing w:line="360" w:lineRule="auto"/>
        <w:ind w:left="0" w:right="-596" w:firstLine="0"/>
        <w:jc w:val="both"/>
        <w:rPr>
          <w:rFonts w:ascii="Palatino Linotype" w:eastAsia="Palatino Linotype" w:hAnsi="Palatino Linotype" w:cs="Palatino Linotype"/>
          <w:color w:val="000000"/>
        </w:rPr>
      </w:pPr>
      <w:r w:rsidRPr="00247163">
        <w:rPr>
          <w:rFonts w:ascii="Palatino Linotype" w:eastAsia="Palatino Linotype" w:hAnsi="Palatino Linotype" w:cs="Palatino Linotype"/>
          <w:color w:val="000000"/>
        </w:rPr>
        <w:t xml:space="preserve">Es decir, por sí solos las cadenas originales y los sellos originales no contienen datos personales confidenciales, por lo que se considera que no actualizan </w:t>
      </w:r>
      <w:r w:rsidRPr="00247163">
        <w:rPr>
          <w:rFonts w:ascii="Palatino Linotype" w:eastAsia="Palatino Linotype" w:hAnsi="Palatino Linotype" w:cs="Palatino Linotype"/>
        </w:rPr>
        <w:t>el supuesto</w:t>
      </w:r>
      <w:r w:rsidRPr="00247163">
        <w:rPr>
          <w:rFonts w:ascii="Palatino Linotype" w:eastAsia="Palatino Linotype" w:hAnsi="Palatino Linotype" w:cs="Palatino Linotype"/>
          <w:color w:val="000000"/>
        </w:rPr>
        <w:t xml:space="preserve">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1B2ADE48" w14:textId="77777777" w:rsidR="002F653A" w:rsidRPr="00247163" w:rsidRDefault="002F653A">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569E402E" w14:textId="77777777" w:rsidR="00701EC3" w:rsidRPr="00247163" w:rsidRDefault="00701EC3">
      <w:pPr>
        <w:pBdr>
          <w:top w:val="nil"/>
          <w:left w:val="nil"/>
          <w:bottom w:val="nil"/>
          <w:right w:val="nil"/>
          <w:between w:val="nil"/>
        </w:pBdr>
        <w:spacing w:line="360" w:lineRule="auto"/>
        <w:ind w:right="-596"/>
        <w:jc w:val="both"/>
        <w:rPr>
          <w:rFonts w:ascii="Palatino Linotype" w:eastAsia="Palatino Linotype" w:hAnsi="Palatino Linotype" w:cs="Palatino Linotype"/>
          <w:color w:val="000000"/>
        </w:rPr>
      </w:pPr>
    </w:p>
    <w:p w14:paraId="1010FE41" w14:textId="77777777" w:rsidR="00701EC3" w:rsidRPr="00247163" w:rsidRDefault="00701EC3" w:rsidP="00701EC3">
      <w:pPr>
        <w:pBdr>
          <w:top w:val="nil"/>
          <w:left w:val="nil"/>
          <w:bottom w:val="nil"/>
          <w:right w:val="nil"/>
          <w:between w:val="nil"/>
        </w:pBdr>
        <w:ind w:right="-596"/>
        <w:jc w:val="both"/>
        <w:rPr>
          <w:rFonts w:ascii="Palatino Linotype" w:eastAsia="Palatino Linotype" w:hAnsi="Palatino Linotype" w:cs="Palatino Linotype"/>
          <w:b/>
          <w:color w:val="000000"/>
        </w:rPr>
      </w:pPr>
      <w:r w:rsidRPr="00247163">
        <w:rPr>
          <w:rFonts w:ascii="Palatino Linotype" w:eastAsia="Palatino Linotype" w:hAnsi="Palatino Linotype" w:cs="Palatino Linotype"/>
          <w:b/>
          <w:color w:val="000000"/>
        </w:rPr>
        <w:t>FOTOGRAFÍAS DE SERVIDORES PÚBLICOS</w:t>
      </w:r>
    </w:p>
    <w:p w14:paraId="76F6B969"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7233DB04" w14:textId="77777777" w:rsidR="00701EC3" w:rsidRPr="00247163" w:rsidRDefault="00701EC3" w:rsidP="00C155DA">
      <w:pPr>
        <w:spacing w:before="80" w:after="240"/>
        <w:ind w:right="-801"/>
        <w:jc w:val="both"/>
        <w:rPr>
          <w:rFonts w:ascii="Palatino Linotype" w:eastAsia="Palatino Linotype" w:hAnsi="Palatino Linotype" w:cs="Palatino Linotype"/>
        </w:rPr>
      </w:pPr>
    </w:p>
    <w:p w14:paraId="4A661B9E" w14:textId="77777777" w:rsidR="00701EC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7903171" w14:textId="77777777" w:rsidR="00247163" w:rsidRPr="00247163" w:rsidRDefault="00247163" w:rsidP="00247163">
      <w:pPr>
        <w:pStyle w:val="Prrafodelista"/>
        <w:spacing w:before="80" w:after="240" w:line="360" w:lineRule="auto"/>
        <w:ind w:left="0" w:right="-801"/>
        <w:jc w:val="both"/>
        <w:rPr>
          <w:rFonts w:ascii="Palatino Linotype" w:eastAsia="Palatino Linotype" w:hAnsi="Palatino Linotype" w:cs="Palatino Linotype"/>
        </w:rPr>
      </w:pPr>
    </w:p>
    <w:p w14:paraId="558D67AD"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2CCF2D7E" w14:textId="77777777" w:rsidR="00701EC3" w:rsidRPr="00247163" w:rsidRDefault="00701EC3" w:rsidP="00C155DA">
      <w:pPr>
        <w:spacing w:before="80" w:after="240"/>
        <w:ind w:right="-801"/>
        <w:jc w:val="both"/>
        <w:rPr>
          <w:rFonts w:ascii="Palatino Linotype" w:eastAsia="Palatino Linotype" w:hAnsi="Palatino Linotype" w:cs="Palatino Linotype"/>
        </w:rPr>
      </w:pPr>
    </w:p>
    <w:p w14:paraId="231105DB"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 criterios que se refieren de manera orientadora ya que la a fecha de la solicitud se encontraban vigentes</w:t>
      </w:r>
    </w:p>
    <w:p w14:paraId="106928B0"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lastRenderedPageBreak/>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2D4A92B9" w14:textId="77777777" w:rsidR="00701EC3" w:rsidRPr="00247163" w:rsidRDefault="00701EC3" w:rsidP="00701EC3">
      <w:pPr>
        <w:spacing w:before="80" w:after="240" w:line="360" w:lineRule="auto"/>
        <w:ind w:right="-801"/>
        <w:jc w:val="both"/>
        <w:rPr>
          <w:rFonts w:ascii="Palatino Linotype" w:eastAsia="Palatino Linotype" w:hAnsi="Palatino Linotype" w:cs="Palatino Linotype"/>
        </w:rPr>
      </w:pPr>
    </w:p>
    <w:p w14:paraId="20EB922F"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0853D9CA" w14:textId="77777777" w:rsidR="00701EC3" w:rsidRPr="00247163" w:rsidRDefault="00701EC3" w:rsidP="00C155DA">
      <w:pPr>
        <w:spacing w:before="80" w:after="240"/>
        <w:ind w:right="-801"/>
        <w:jc w:val="both"/>
        <w:rPr>
          <w:rFonts w:ascii="Palatino Linotype" w:eastAsia="Palatino Linotype" w:hAnsi="Palatino Linotype" w:cs="Palatino Linotype"/>
        </w:rPr>
      </w:pPr>
    </w:p>
    <w:p w14:paraId="13D6BD27"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30233F6F" w14:textId="77777777" w:rsidR="00701EC3" w:rsidRPr="00247163" w:rsidRDefault="00701EC3" w:rsidP="00C155DA">
      <w:pPr>
        <w:spacing w:before="80" w:after="240"/>
        <w:ind w:right="-801"/>
        <w:jc w:val="both"/>
        <w:rPr>
          <w:rFonts w:ascii="Palatino Linotype" w:eastAsia="Palatino Linotype" w:hAnsi="Palatino Linotype" w:cs="Palatino Linotype"/>
          <w:highlight w:val="yellow"/>
        </w:rPr>
      </w:pPr>
    </w:p>
    <w:p w14:paraId="53455CFD" w14:textId="77777777" w:rsidR="00701EC3" w:rsidRPr="00247163" w:rsidRDefault="00701EC3" w:rsidP="00247163">
      <w:pPr>
        <w:pStyle w:val="Prrafodelista"/>
        <w:numPr>
          <w:ilvl w:val="0"/>
          <w:numId w:val="36"/>
        </w:numPr>
        <w:spacing w:before="80" w:after="240" w:line="360" w:lineRule="auto"/>
        <w:ind w:left="0" w:right="-801" w:firstLine="0"/>
        <w:jc w:val="both"/>
        <w:rPr>
          <w:rFonts w:ascii="Palatino Linotype" w:eastAsia="Palatino Linotype" w:hAnsi="Palatino Linotype" w:cs="Palatino Linotype"/>
        </w:rPr>
      </w:pPr>
      <w:r w:rsidRPr="00247163">
        <w:rPr>
          <w:rFonts w:ascii="Palatino Linotype" w:eastAsia="Palatino Linotype" w:hAnsi="Palatino Linotype" w:cs="Palatino Linotype"/>
        </w:rPr>
        <w:lastRenderedPageBreak/>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14:paraId="42EA4805" w14:textId="77777777" w:rsidR="00CB53E8" w:rsidRPr="00247163" w:rsidRDefault="00CB53E8" w:rsidP="00CB53E8">
      <w:pPr>
        <w:pStyle w:val="Prrafodelista"/>
        <w:rPr>
          <w:rFonts w:ascii="Palatino Linotype" w:eastAsia="Palatino Linotype" w:hAnsi="Palatino Linotype" w:cs="Palatino Linotype"/>
        </w:rPr>
      </w:pPr>
    </w:p>
    <w:p w14:paraId="30D9D18B" w14:textId="77777777" w:rsidR="002F653A" w:rsidRPr="00247163" w:rsidRDefault="00CB53E8" w:rsidP="00247163">
      <w:pPr>
        <w:numPr>
          <w:ilvl w:val="0"/>
          <w:numId w:val="36"/>
        </w:numPr>
        <w:spacing w:line="360" w:lineRule="auto"/>
        <w:ind w:left="0" w:right="-591" w:firstLine="0"/>
        <w:jc w:val="both"/>
      </w:pPr>
      <w:r w:rsidRPr="00247163">
        <w:rPr>
          <w:rFonts w:ascii="Palatino Linotype" w:eastAsia="Palatino Linotype" w:hAnsi="Palatino Linotype" w:cs="Palatino Linotype"/>
        </w:rPr>
        <w:t xml:space="preserve">En ese sentido, 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deberá de emitir el Acuerdo del Comité de Transparencia, </w:t>
      </w:r>
      <w:r w:rsidRPr="00247163">
        <w:rPr>
          <w:rFonts w:ascii="Palatino Linotype" w:eastAsia="Palatino Linotype" w:hAnsi="Palatino Linotype" w:cs="Palatino Linotype"/>
          <w:color w:val="000000"/>
        </w:rPr>
        <w:t>mediante</w:t>
      </w:r>
      <w:r w:rsidRPr="00247163">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14:paraId="2F48804A" w14:textId="77777777" w:rsidR="002F653A" w:rsidRPr="00247163" w:rsidRDefault="002F653A">
      <w:pPr>
        <w:pBdr>
          <w:top w:val="nil"/>
          <w:left w:val="nil"/>
          <w:bottom w:val="nil"/>
          <w:right w:val="nil"/>
          <w:between w:val="nil"/>
        </w:pBdr>
        <w:ind w:left="720"/>
        <w:rPr>
          <w:color w:val="000000"/>
        </w:rPr>
      </w:pPr>
    </w:p>
    <w:p w14:paraId="0B6E529B" w14:textId="77777777" w:rsidR="002F653A" w:rsidRPr="00247163" w:rsidRDefault="00CB53E8" w:rsidP="00247163">
      <w:pPr>
        <w:numPr>
          <w:ilvl w:val="0"/>
          <w:numId w:val="36"/>
        </w:numPr>
        <w:spacing w:line="360" w:lineRule="auto"/>
        <w:ind w:left="0" w:right="-591" w:firstLine="0"/>
        <w:jc w:val="both"/>
        <w:rPr>
          <w:color w:val="000000"/>
        </w:rPr>
      </w:pPr>
      <w:r w:rsidRPr="00247163">
        <w:rPr>
          <w:rFonts w:ascii="Palatino Linotype" w:eastAsia="Palatino Linotype" w:hAnsi="Palatino Linotype" w:cs="Palatino Linotype"/>
        </w:rPr>
        <w:t xml:space="preserve">Derivado de lo establecido en párrafos anteriores, si 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14:paraId="2263AEDF" w14:textId="77777777" w:rsidR="002F653A" w:rsidRPr="00247163" w:rsidRDefault="002F653A">
      <w:pPr>
        <w:spacing w:line="360" w:lineRule="auto"/>
        <w:ind w:right="-591"/>
        <w:jc w:val="both"/>
        <w:rPr>
          <w:color w:val="000000"/>
        </w:rPr>
      </w:pPr>
    </w:p>
    <w:p w14:paraId="65385B14" w14:textId="1842F3DD" w:rsidR="002F653A" w:rsidRPr="00247163" w:rsidRDefault="00CB53E8" w:rsidP="00247163">
      <w:pPr>
        <w:pStyle w:val="Prrafodelista"/>
        <w:numPr>
          <w:ilvl w:val="0"/>
          <w:numId w:val="36"/>
        </w:numPr>
        <w:spacing w:line="360" w:lineRule="auto"/>
        <w:ind w:left="0" w:right="-596" w:firstLine="0"/>
        <w:jc w:val="both"/>
        <w:rPr>
          <w:color w:val="000000"/>
        </w:rPr>
      </w:pPr>
      <w:r w:rsidRPr="00247163">
        <w:rPr>
          <w:rFonts w:ascii="Palatino Linotype" w:eastAsia="Palatino Linotype" w:hAnsi="Palatino Linotype" w:cs="Palatino Linotype"/>
        </w:rPr>
        <w:t>Por lo anteriormente expuesto, este Órgano Garante considera parcialmente fundadas las razones o motivos de inconformidad que plantea el</w:t>
      </w:r>
      <w:r w:rsidRPr="00247163">
        <w:rPr>
          <w:rFonts w:ascii="Palatino Linotype" w:eastAsia="Palatino Linotype" w:hAnsi="Palatino Linotype" w:cs="Palatino Linotype"/>
          <w:b/>
          <w:bCs/>
        </w:rPr>
        <w:t xml:space="preserve"> RECURRENTE</w:t>
      </w:r>
      <w:r w:rsidRPr="00247163">
        <w:rPr>
          <w:rFonts w:ascii="Palatino Linotype" w:eastAsia="Palatino Linotype" w:hAnsi="Palatino Linotype" w:cs="Palatino Linotype"/>
        </w:rPr>
        <w:t xml:space="preserve">, determinando </w:t>
      </w:r>
      <w:r w:rsidR="00495816" w:rsidRPr="00247163">
        <w:rPr>
          <w:rFonts w:ascii="Palatino Linotype" w:eastAsia="Palatino Linotype" w:hAnsi="Palatino Linotype" w:cs="Palatino Linotype"/>
          <w:b/>
          <w:bCs/>
          <w:smallCaps/>
        </w:rPr>
        <w:t>MODIFI</w:t>
      </w:r>
      <w:r w:rsidRPr="00247163">
        <w:rPr>
          <w:rFonts w:ascii="Palatino Linotype" w:eastAsia="Palatino Linotype" w:hAnsi="Palatino Linotype" w:cs="Palatino Linotype"/>
          <w:b/>
          <w:bCs/>
          <w:smallCaps/>
        </w:rPr>
        <w:t xml:space="preserve">CAR  </w:t>
      </w:r>
      <w:r w:rsidRPr="00247163">
        <w:rPr>
          <w:rFonts w:ascii="Palatino Linotype" w:eastAsia="Palatino Linotype" w:hAnsi="Palatino Linotype" w:cs="Palatino Linotype"/>
        </w:rPr>
        <w:t xml:space="preserve">la respuesta del </w:t>
      </w:r>
      <w:r w:rsidRPr="00247163">
        <w:rPr>
          <w:rFonts w:ascii="Palatino Linotype" w:eastAsia="Palatino Linotype" w:hAnsi="Palatino Linotype" w:cs="Palatino Linotype"/>
          <w:b/>
          <w:bCs/>
        </w:rPr>
        <w:t>SUJETO OBLIGADO</w:t>
      </w:r>
      <w:r w:rsidRPr="00247163">
        <w:rPr>
          <w:rFonts w:ascii="Palatino Linotype" w:eastAsia="Palatino Linotype" w:hAnsi="Palatino Linotype" w:cs="Palatino Linotype"/>
        </w:rPr>
        <w:t xml:space="preserve">, por lo que con fundamento en lo prescrito en los artículos 5 párrafos vigésimo noveno, trigésimo y trigésimo primero fracciones </w:t>
      </w:r>
      <w:r w:rsidRPr="00247163">
        <w:rPr>
          <w:rFonts w:ascii="Palatino Linotype" w:eastAsia="Palatino Linotype" w:hAnsi="Palatino Linotype" w:cs="Palatino Linotype"/>
        </w:rPr>
        <w:lastRenderedPageBreak/>
        <w:t xml:space="preserve">IV y V de la Constitución Política del Estado Libre y Soberano de México; 2, fracción II; 29, 36 fracciones I y II; 176, 178, 181, 185 de la Ley de Transparencia y Acceso a la Información Pública del Estado de México y Municipios, </w:t>
      </w:r>
      <w:r w:rsidRPr="00247163">
        <w:rPr>
          <w:rFonts w:ascii="Palatino Linotype" w:eastAsia="Palatino Linotype" w:hAnsi="Palatino Linotype" w:cs="Palatino Linotype"/>
          <w:color w:val="000000"/>
        </w:rPr>
        <w:t xml:space="preserve">este </w:t>
      </w:r>
      <w:r w:rsidRPr="00247163">
        <w:rPr>
          <w:rFonts w:ascii="Palatino Linotype" w:eastAsia="Palatino Linotype" w:hAnsi="Palatino Linotype" w:cs="Palatino Linotype"/>
          <w:b/>
          <w:bCs/>
          <w:color w:val="000000"/>
        </w:rPr>
        <w:t>ÓRGANO GARANTE</w:t>
      </w:r>
      <w:r w:rsidR="00247163">
        <w:rPr>
          <w:rFonts w:ascii="Palatino Linotype" w:eastAsia="Palatino Linotype" w:hAnsi="Palatino Linotype" w:cs="Palatino Linotype"/>
          <w:color w:val="000000"/>
        </w:rPr>
        <w:t xml:space="preserve"> emite los siguientes:</w:t>
      </w:r>
    </w:p>
    <w:p w14:paraId="0C6A4A8B" w14:textId="77777777" w:rsidR="00247163" w:rsidRPr="00247163" w:rsidRDefault="00247163" w:rsidP="00247163">
      <w:pPr>
        <w:pStyle w:val="Prrafodelista"/>
        <w:rPr>
          <w:color w:val="000000"/>
        </w:rPr>
      </w:pPr>
    </w:p>
    <w:p w14:paraId="3A849C3B" w14:textId="77777777" w:rsidR="00247163" w:rsidRPr="00247163" w:rsidRDefault="00247163" w:rsidP="00247163">
      <w:pPr>
        <w:pStyle w:val="Prrafodelista"/>
        <w:spacing w:line="360" w:lineRule="auto"/>
        <w:ind w:left="0" w:right="-596"/>
        <w:jc w:val="both"/>
        <w:rPr>
          <w:color w:val="000000"/>
        </w:rPr>
      </w:pPr>
    </w:p>
    <w:p w14:paraId="3E0B05B4" w14:textId="77777777" w:rsidR="002F653A" w:rsidRPr="00247163" w:rsidRDefault="00CB53E8">
      <w:pPr>
        <w:pStyle w:val="Ttulo1"/>
        <w:spacing w:before="0" w:line="360" w:lineRule="auto"/>
        <w:jc w:val="center"/>
        <w:rPr>
          <w:rFonts w:ascii="Palatino Linotype" w:eastAsia="Palatino Linotype" w:hAnsi="Palatino Linotype" w:cs="Palatino Linotype"/>
          <w:b/>
          <w:bCs/>
          <w:color w:val="000000"/>
          <w:sz w:val="24"/>
          <w:szCs w:val="24"/>
        </w:rPr>
      </w:pPr>
      <w:r w:rsidRPr="00247163">
        <w:rPr>
          <w:rFonts w:ascii="Palatino Linotype" w:eastAsia="Palatino Linotype" w:hAnsi="Palatino Linotype" w:cs="Palatino Linotype"/>
          <w:b/>
          <w:bCs/>
          <w:color w:val="000000"/>
          <w:sz w:val="24"/>
          <w:szCs w:val="24"/>
        </w:rPr>
        <w:t>R E S O L U T I V O S</w:t>
      </w:r>
    </w:p>
    <w:p w14:paraId="47E69266" w14:textId="77777777" w:rsidR="002F653A" w:rsidRPr="00247163" w:rsidRDefault="002F653A"/>
    <w:p w14:paraId="738B1BE2" w14:textId="77777777" w:rsidR="002F653A" w:rsidRPr="00247163" w:rsidRDefault="00CB53E8">
      <w:pPr>
        <w:spacing w:line="360" w:lineRule="auto"/>
        <w:ind w:right="-596"/>
        <w:jc w:val="both"/>
        <w:rPr>
          <w:rFonts w:ascii="Palatino Linotype" w:eastAsia="Palatino Linotype" w:hAnsi="Palatino Linotype" w:cs="Palatino Linotype"/>
          <w:b/>
          <w:bCs/>
        </w:rPr>
      </w:pPr>
      <w:r w:rsidRPr="00247163">
        <w:rPr>
          <w:rFonts w:ascii="Palatino Linotype" w:eastAsia="Palatino Linotype" w:hAnsi="Palatino Linotype" w:cs="Palatino Linotype"/>
          <w:b/>
          <w:bCs/>
        </w:rPr>
        <w:t>PRIMERO</w:t>
      </w:r>
      <w:r w:rsidRPr="00247163">
        <w:rPr>
          <w:rFonts w:ascii="Palatino Linotype" w:eastAsia="Palatino Linotype" w:hAnsi="Palatino Linotype" w:cs="Palatino Linotype"/>
        </w:rPr>
        <w:t xml:space="preserve">. Resultan fundadas las razones o motivos de inconformidad hechos valer en el Recurso de Revisión </w:t>
      </w:r>
      <w:r w:rsidRPr="00247163">
        <w:rPr>
          <w:rFonts w:ascii="Palatino Linotype" w:eastAsia="Palatino Linotype" w:hAnsi="Palatino Linotype" w:cs="Palatino Linotype"/>
          <w:b/>
          <w:bCs/>
        </w:rPr>
        <w:t xml:space="preserve">13283/INFOEM/IP/RR/2025, </w:t>
      </w:r>
      <w:r w:rsidRPr="00247163">
        <w:rPr>
          <w:rFonts w:ascii="Palatino Linotype" w:eastAsia="Palatino Linotype" w:hAnsi="Palatino Linotype" w:cs="Palatino Linotype"/>
        </w:rPr>
        <w:t xml:space="preserve">en términos del Considerando </w:t>
      </w:r>
      <w:r w:rsidRPr="00247163">
        <w:rPr>
          <w:rFonts w:ascii="Palatino Linotype" w:eastAsia="Palatino Linotype" w:hAnsi="Palatino Linotype" w:cs="Palatino Linotype"/>
          <w:b/>
          <w:bCs/>
        </w:rPr>
        <w:t xml:space="preserve">Cuarto y Quinto </w:t>
      </w:r>
      <w:r w:rsidRPr="00247163">
        <w:rPr>
          <w:rFonts w:ascii="Palatino Linotype" w:eastAsia="Palatino Linotype" w:hAnsi="Palatino Linotype" w:cs="Palatino Linotype"/>
        </w:rPr>
        <w:t xml:space="preserve">de la presente resolución. </w:t>
      </w:r>
    </w:p>
    <w:p w14:paraId="3AB99C39" w14:textId="77777777" w:rsidR="002F653A" w:rsidRPr="00247163" w:rsidRDefault="002F653A" w:rsidP="00247163">
      <w:pPr>
        <w:spacing w:line="360" w:lineRule="auto"/>
        <w:ind w:firstLine="720"/>
        <w:jc w:val="both"/>
        <w:rPr>
          <w:rFonts w:ascii="Palatino Linotype" w:eastAsia="Palatino Linotype" w:hAnsi="Palatino Linotype" w:cs="Palatino Linotype"/>
        </w:rPr>
      </w:pPr>
    </w:p>
    <w:p w14:paraId="7DAAF891" w14:textId="77777777" w:rsidR="00495816" w:rsidRPr="00247163" w:rsidRDefault="00495816" w:rsidP="00495816">
      <w:pPr>
        <w:pBdr>
          <w:top w:val="nil"/>
          <w:left w:val="nil"/>
          <w:bottom w:val="nil"/>
          <w:right w:val="nil"/>
          <w:between w:val="nil"/>
        </w:pBdr>
        <w:spacing w:line="360" w:lineRule="auto"/>
        <w:ind w:right="-596"/>
        <w:jc w:val="both"/>
        <w:rPr>
          <w:rFonts w:ascii="Palatino Linotype" w:eastAsia="Palatino Linotype" w:hAnsi="Palatino Linotype" w:cs="Palatino Linotype"/>
        </w:rPr>
      </w:pPr>
      <w:bookmarkStart w:id="5" w:name="_heading=h.1ksv4uv" w:colFirst="0" w:colLast="0"/>
      <w:bookmarkEnd w:id="5"/>
      <w:r w:rsidRPr="00247163">
        <w:rPr>
          <w:rFonts w:ascii="Palatino Linotype" w:eastAsia="Palatino Linotype" w:hAnsi="Palatino Linotype" w:cs="Palatino Linotype"/>
          <w:b/>
        </w:rPr>
        <w:t xml:space="preserve">SEGUNDO. </w:t>
      </w:r>
      <w:r w:rsidRPr="00247163">
        <w:rPr>
          <w:rFonts w:ascii="Palatino Linotype" w:eastAsia="Palatino Linotype" w:hAnsi="Palatino Linotype" w:cs="Palatino Linotype"/>
          <w:color w:val="000000"/>
        </w:rPr>
        <w:t xml:space="preserve">Se </w:t>
      </w:r>
      <w:r w:rsidRPr="00247163">
        <w:rPr>
          <w:rFonts w:ascii="Palatino Linotype" w:eastAsia="Palatino Linotype" w:hAnsi="Palatino Linotype" w:cs="Palatino Linotype"/>
          <w:b/>
          <w:color w:val="000000"/>
        </w:rPr>
        <w:t xml:space="preserve">MODIFICA </w:t>
      </w:r>
      <w:r w:rsidRPr="00247163">
        <w:rPr>
          <w:rFonts w:ascii="Palatino Linotype" w:eastAsia="Palatino Linotype" w:hAnsi="Palatino Linotype" w:cs="Palatino Linotype"/>
          <w:color w:val="000000"/>
        </w:rPr>
        <w:t xml:space="preserve">la respuesta emitida por el </w:t>
      </w:r>
      <w:r w:rsidRPr="00247163">
        <w:rPr>
          <w:rFonts w:ascii="Palatino Linotype" w:eastAsia="Palatino Linotype" w:hAnsi="Palatino Linotype" w:cs="Palatino Linotype"/>
          <w:b/>
          <w:color w:val="000000"/>
        </w:rPr>
        <w:t xml:space="preserve">Sistema Municipal Para el Desarrollo Integral de la Familia de San Felipe del Progreso </w:t>
      </w:r>
      <w:r w:rsidRPr="00247163">
        <w:rPr>
          <w:rFonts w:ascii="Palatino Linotype" w:eastAsia="Palatino Linotype" w:hAnsi="Palatino Linotype" w:cs="Palatino Linotype"/>
          <w:color w:val="000000"/>
        </w:rPr>
        <w:t>a efecto de que,</w:t>
      </w:r>
      <w:r w:rsidRPr="00247163">
        <w:rPr>
          <w:rFonts w:ascii="Palatino Linotype" w:eastAsia="Palatino Linotype" w:hAnsi="Palatino Linotype" w:cs="Palatino Linotype"/>
        </w:rPr>
        <w:t xml:space="preserve"> ponga a disposición, en todas las modalidades que permita la documentación, tales como, en un vínculo electrónico, disco compacto, dispositivo de almacenamiento, consulta directa, copias simples o certificadas, con posibilidad de entrega en la Unidad de Transparencia o a domicilio por correo certificado previo pago de los derechos correspondientes, de ser procedente en versión pública, relativo a la Unidad de Rehabilitación e Integración Social </w:t>
      </w:r>
      <w:r w:rsidRPr="00247163">
        <w:rPr>
          <w:rFonts w:ascii="Palatino Linotype" w:hAnsi="Palatino Linotype"/>
          <w:color w:val="000000"/>
        </w:rPr>
        <w:t>el documento o documentos donde obre y conste</w:t>
      </w:r>
      <w:r w:rsidRPr="00247163">
        <w:rPr>
          <w:rFonts w:ascii="Palatino Linotype" w:hAnsi="Palatino Linotype"/>
          <w:b/>
          <w:i/>
          <w:color w:val="000000"/>
        </w:rPr>
        <w:t xml:space="preserve"> </w:t>
      </w:r>
      <w:r w:rsidRPr="00247163">
        <w:rPr>
          <w:rFonts w:ascii="Palatino Linotype" w:eastAsia="Palatino Linotype" w:hAnsi="Palatino Linotype" w:cs="Palatino Linotype"/>
        </w:rPr>
        <w:t xml:space="preserve">lo siguiente: </w:t>
      </w:r>
    </w:p>
    <w:p w14:paraId="230EC5EB" w14:textId="77777777" w:rsidR="002F653A" w:rsidRPr="00247163" w:rsidRDefault="002F653A">
      <w:pPr>
        <w:spacing w:line="360" w:lineRule="auto"/>
        <w:jc w:val="both"/>
        <w:rPr>
          <w:rFonts w:ascii="Palatino Linotype" w:eastAsia="Palatino Linotype" w:hAnsi="Palatino Linotype" w:cs="Palatino Linotype"/>
        </w:rPr>
      </w:pPr>
    </w:p>
    <w:p w14:paraId="08CB89F0"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bookmarkStart w:id="6" w:name="_heading=h.lnxbz9" w:colFirst="0" w:colLast="0"/>
      <w:bookmarkEnd w:id="6"/>
      <w:r w:rsidRPr="00247163">
        <w:rPr>
          <w:rFonts w:ascii="Palatino Linotype" w:eastAsia="Palatino Linotype" w:hAnsi="Palatino Linotype" w:cs="Palatino Linotype"/>
          <w:b/>
          <w:bCs/>
          <w:i/>
          <w:iCs/>
          <w:color w:val="000000"/>
        </w:rPr>
        <w:t>1. Relación de personal adscrito, indicando puesto, tipo de contratación, funciones generales y percepciones brutas y netas correspondientes al periodo comprendido del uno de enero de dos mil veinticuatro al trece de noviembre de dos mil veinticinco.</w:t>
      </w:r>
    </w:p>
    <w:p w14:paraId="03776D32"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lastRenderedPageBreak/>
        <w:t xml:space="preserve"> 2. Curriculum vitae del personal adscrito correspondientes al periodo comprendido del uno de enero de dos mil veinticuatro al trece de noviembre de dos mil veinticinco.</w:t>
      </w:r>
    </w:p>
    <w:p w14:paraId="17A4C2B3"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3. Cursos, capacitaciones o certificaciones recibidas por el personal adscrito a la unidad desde el 1 de enero de 2024 al trece de noviembre de dos mil veinticinco faltantes.</w:t>
      </w:r>
    </w:p>
    <w:p w14:paraId="26CE14F6"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4. Presupuesto anual autorizado y ejercido, desglosado por capítulo de gasto del ejercicio fiscal 2025.</w:t>
      </w:r>
    </w:p>
    <w:p w14:paraId="4B06E33B"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5. Informes de avance en el ejercicio presupuestal de los ejercicios 2024 y 2025 faltantes.</w:t>
      </w:r>
    </w:p>
    <w:p w14:paraId="62481B4F"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6. Contratos remitidos en respuesta correspondientes al ejercicio fiscal dos mil veinticuatro en correcta versión pública.</w:t>
      </w:r>
    </w:p>
    <w:p w14:paraId="034C8D7B"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7. Comprobantes de pago a proveedores y prestadores de servicios correspondientes al ejercicio fiscal dos mil veinticuatro.</w:t>
      </w:r>
    </w:p>
    <w:p w14:paraId="2ADC4AC0"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8. Contratos y comprobantes de pago a proveedores y prestadores de servicios correspondientes al periodo comprendido del uno de enero al trece de noviembre de dos mil veinticinco.</w:t>
      </w:r>
    </w:p>
    <w:p w14:paraId="602C81E4"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9. Gastos operativos y administrativos correspondientes al periodo comprendido del uno de enero al trece de noviembre de dos mil veinticinco.</w:t>
      </w:r>
    </w:p>
    <w:p w14:paraId="267FE604"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10. Gastos por concepto de combustible correspondientes al periodo comprendido del uno de enero al trece de noviembre de dos mil veinticinco.</w:t>
      </w:r>
    </w:p>
    <w:p w14:paraId="13A7E74C"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lastRenderedPageBreak/>
        <w:t>11. Inversión en infraestructura o adquisición de equipo especializado correspondiente al ejercicio fiscal dos mil veinticuatro</w:t>
      </w:r>
    </w:p>
    <w:p w14:paraId="2B60F8CC"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12. Apoyos o subsidios al mayor grado de disgregación entregados a beneficiarios correspondientes al ejercicio fiscal dos mil veinticuatro</w:t>
      </w:r>
    </w:p>
    <w:p w14:paraId="423567B3"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13. Comprobantes de pago emitidos o recibidos derivados de la operación de la unidad correspondientes al periodo comprendido del uno de enero de dos mil veinticuatro al trece de noviembre de dos mil veinticinco.</w:t>
      </w:r>
    </w:p>
    <w:p w14:paraId="15D823B5"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14. Recibos de nómina de los servidores adscritos a la unidad correspondientes al periodo comprendido del uno de enero de dos mil veinticuatro al trece de noviembre de dos mil veinticinco.</w:t>
      </w:r>
    </w:p>
    <w:p w14:paraId="1FDE9CE4"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15. Comprobantes de transferencias bancarias de dispersión de nómina de los servidores adscritos a la unidad correspondientes al periodo comprendido del uno de enero de dos mil veinticuatro al trece de noviembre de dos mil veinticinco.</w:t>
      </w:r>
    </w:p>
    <w:p w14:paraId="3A358AE7"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16. En caso de pagos en efectivo, cheques u otra modalidad no electrónica, los documentos que respalden dicha entrega correspondientes al periodo comprendido del uno de enero de dos mil veinticuatro al trece de noviembre de dos mil veinticinco.</w:t>
      </w:r>
    </w:p>
    <w:p w14:paraId="331EA2F9"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 xml:space="preserve">17. Recibos y/o comprobantes de pago o condonaciones realizadas por servicios prestados a particulares en la unidad </w:t>
      </w:r>
      <w:r w:rsidRPr="00247163">
        <w:rPr>
          <w:rFonts w:ascii="Palatino Linotype" w:eastAsia="Palatino Linotype" w:hAnsi="Palatino Linotype" w:cs="Palatino Linotype"/>
          <w:b/>
          <w:bCs/>
          <w:i/>
          <w:iCs/>
          <w:color w:val="000000"/>
        </w:rPr>
        <w:lastRenderedPageBreak/>
        <w:t>correspondientes al periodo comprendido del uno de enero de dos mil veinticuatro al trece de noviembre de dos mil veinticinco.</w:t>
      </w:r>
    </w:p>
    <w:p w14:paraId="395F093E" w14:textId="77777777" w:rsidR="00DF77EE" w:rsidRPr="00247163" w:rsidRDefault="00CB53E8" w:rsidP="00DF77EE">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 xml:space="preserve">18.  </w:t>
      </w:r>
      <w:r w:rsidR="00DF77EE" w:rsidRPr="00247163">
        <w:rPr>
          <w:rFonts w:ascii="Palatino Linotype" w:eastAsia="Palatino Linotype" w:hAnsi="Palatino Linotype" w:cs="Palatino Linotype"/>
          <w:b/>
          <w:bCs/>
          <w:i/>
          <w:iCs/>
          <w:color w:val="000000"/>
        </w:rPr>
        <w:t>Documento o documentos donde conste el número de pacientes atendidos y tipo de servicio recibido  correspondientes al periodo comprendido del uno de enero  al treinta de diciembre de dos mil veinticuatro.</w:t>
      </w:r>
    </w:p>
    <w:p w14:paraId="0DF260C0" w14:textId="77777777" w:rsidR="002F653A" w:rsidRPr="00247163" w:rsidRDefault="00DF77EE">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 xml:space="preserve">19. </w:t>
      </w:r>
      <w:r w:rsidR="00CB53E8" w:rsidRPr="00247163">
        <w:rPr>
          <w:rFonts w:ascii="Palatino Linotype" w:eastAsia="Palatino Linotype" w:hAnsi="Palatino Linotype" w:cs="Palatino Linotype"/>
          <w:b/>
          <w:bCs/>
          <w:i/>
          <w:iCs/>
          <w:color w:val="000000"/>
        </w:rPr>
        <w:t>Indicadores de desempeño entregados en informe justificado faltantes o ilegibles.</w:t>
      </w:r>
    </w:p>
    <w:p w14:paraId="26765555" w14:textId="77777777" w:rsidR="002F653A" w:rsidRPr="00247163" w:rsidRDefault="00DF77EE">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20</w:t>
      </w:r>
      <w:r w:rsidR="00CB53E8" w:rsidRPr="00247163">
        <w:rPr>
          <w:rFonts w:ascii="Palatino Linotype" w:eastAsia="Palatino Linotype" w:hAnsi="Palatino Linotype" w:cs="Palatino Linotype"/>
          <w:b/>
          <w:bCs/>
          <w:i/>
          <w:iCs/>
          <w:color w:val="000000"/>
        </w:rPr>
        <w:t>. Actas de entrega – recepciones generadas durante los ejercicios fiscales dos mil diecinueve a dos mil veinticuatro.</w:t>
      </w:r>
    </w:p>
    <w:p w14:paraId="24B45E78" w14:textId="77777777" w:rsidR="002F653A" w:rsidRPr="00247163" w:rsidRDefault="00CB53E8">
      <w:pPr>
        <w:pBdr>
          <w:top w:val="nil"/>
          <w:left w:val="nil"/>
          <w:bottom w:val="nil"/>
          <w:right w:val="nil"/>
          <w:between w:val="nil"/>
        </w:pBdr>
        <w:spacing w:line="360" w:lineRule="auto"/>
        <w:ind w:left="1134" w:right="1134"/>
        <w:jc w:val="both"/>
        <w:rPr>
          <w:rFonts w:ascii="Palatino Linotype" w:eastAsia="Palatino Linotype" w:hAnsi="Palatino Linotype" w:cs="Palatino Linotype"/>
          <w:b/>
          <w:bCs/>
          <w:i/>
          <w:iCs/>
          <w:color w:val="000000"/>
        </w:rPr>
      </w:pPr>
      <w:r w:rsidRPr="00247163">
        <w:rPr>
          <w:rFonts w:ascii="Palatino Linotype" w:eastAsia="Palatino Linotype" w:hAnsi="Palatino Linotype" w:cs="Palatino Linotype"/>
          <w:b/>
          <w:bCs/>
          <w:i/>
          <w:iCs/>
          <w:color w:val="000000"/>
        </w:rPr>
        <w:t>2</w:t>
      </w:r>
      <w:r w:rsidR="00DF77EE" w:rsidRPr="00247163">
        <w:rPr>
          <w:rFonts w:ascii="Palatino Linotype" w:eastAsia="Palatino Linotype" w:hAnsi="Palatino Linotype" w:cs="Palatino Linotype"/>
          <w:b/>
          <w:bCs/>
          <w:i/>
          <w:iCs/>
          <w:color w:val="000000"/>
        </w:rPr>
        <w:t>1</w:t>
      </w:r>
      <w:r w:rsidRPr="00247163">
        <w:rPr>
          <w:rFonts w:ascii="Palatino Linotype" w:eastAsia="Palatino Linotype" w:hAnsi="Palatino Linotype" w:cs="Palatino Linotype"/>
          <w:b/>
          <w:bCs/>
          <w:i/>
          <w:iCs/>
          <w:color w:val="000000"/>
        </w:rPr>
        <w:t>. Documentos derivados de auditorías, visitas de supervisión, inspecciones o revisiones internas o externas realizadas a la unidad del periodo correspondiente al uno de enero de dos mil veintidós al trece de noviembre de dos mil veinticinco.</w:t>
      </w:r>
    </w:p>
    <w:p w14:paraId="3698EB19" w14:textId="77777777" w:rsidR="002F653A" w:rsidRPr="00247163" w:rsidRDefault="002F653A">
      <w:pPr>
        <w:pBdr>
          <w:top w:val="nil"/>
          <w:left w:val="nil"/>
          <w:bottom w:val="nil"/>
          <w:right w:val="nil"/>
          <w:between w:val="nil"/>
        </w:pBdr>
        <w:spacing w:line="360" w:lineRule="auto"/>
        <w:ind w:right="1134"/>
        <w:jc w:val="both"/>
        <w:rPr>
          <w:rFonts w:ascii="Palatino Linotype" w:eastAsia="Palatino Linotype" w:hAnsi="Palatino Linotype" w:cs="Palatino Linotype"/>
          <w:b/>
          <w:bCs/>
          <w:i/>
          <w:iCs/>
          <w:color w:val="000000"/>
        </w:rPr>
      </w:pPr>
    </w:p>
    <w:p w14:paraId="00E2D664" w14:textId="77777777" w:rsidR="00E52060" w:rsidRPr="00247163" w:rsidRDefault="00CB53E8">
      <w:pPr>
        <w:tabs>
          <w:tab w:val="left" w:pos="8080"/>
        </w:tabs>
        <w:spacing w:line="276" w:lineRule="auto"/>
        <w:ind w:left="1134" w:right="1134"/>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w:t>
      </w:r>
    </w:p>
    <w:p w14:paraId="65A5485C" w14:textId="77777777" w:rsidR="00E52060" w:rsidRPr="00247163" w:rsidRDefault="00E52060">
      <w:pPr>
        <w:tabs>
          <w:tab w:val="left" w:pos="8080"/>
        </w:tabs>
        <w:spacing w:line="276" w:lineRule="auto"/>
        <w:ind w:left="1134" w:right="1134"/>
        <w:jc w:val="both"/>
        <w:rPr>
          <w:rFonts w:ascii="Palatino Linotype" w:eastAsia="Palatino Linotype" w:hAnsi="Palatino Linotype" w:cs="Palatino Linotype"/>
          <w:i/>
          <w:iCs/>
        </w:rPr>
      </w:pPr>
    </w:p>
    <w:p w14:paraId="237FFF31" w14:textId="194776CD" w:rsidR="002F653A" w:rsidRPr="00247163" w:rsidRDefault="00CB53E8">
      <w:pPr>
        <w:tabs>
          <w:tab w:val="left" w:pos="8080"/>
        </w:tabs>
        <w:spacing w:line="276" w:lineRule="auto"/>
        <w:ind w:left="1134" w:right="1134"/>
        <w:jc w:val="both"/>
        <w:rPr>
          <w:rFonts w:ascii="Palatino Linotype" w:eastAsia="Palatino Linotype" w:hAnsi="Palatino Linotype" w:cs="Palatino Linotype"/>
          <w:bCs/>
          <w:i/>
          <w:iCs/>
        </w:rPr>
      </w:pPr>
      <w:r w:rsidRPr="00247163">
        <w:rPr>
          <w:rFonts w:ascii="Palatino Linotype" w:eastAsia="Palatino Linotype" w:hAnsi="Palatino Linotype" w:cs="Palatino Linotype"/>
          <w:i/>
          <w:iCs/>
        </w:rPr>
        <w:t xml:space="preserve">disposición del </w:t>
      </w:r>
      <w:r w:rsidR="002232EF" w:rsidRPr="00247163">
        <w:rPr>
          <w:rFonts w:ascii="Palatino Linotype" w:eastAsia="Palatino Linotype" w:hAnsi="Palatino Linotype" w:cs="Palatino Linotype"/>
          <w:b/>
          <w:bCs/>
          <w:i/>
          <w:iCs/>
        </w:rPr>
        <w:t>RECURRENTE</w:t>
      </w:r>
      <w:r w:rsidR="002232EF" w:rsidRPr="00247163">
        <w:rPr>
          <w:rFonts w:ascii="Palatino Linotype" w:eastAsia="Palatino Linotype" w:hAnsi="Palatino Linotype" w:cs="Palatino Linotype"/>
          <w:bCs/>
          <w:i/>
          <w:iCs/>
        </w:rPr>
        <w:t>,</w:t>
      </w:r>
      <w:r w:rsidR="002232EF" w:rsidRPr="00247163">
        <w:rPr>
          <w:rFonts w:ascii="Palatino Linotype" w:eastAsia="Palatino Linotype" w:hAnsi="Palatino Linotype" w:cs="Palatino Linotype"/>
          <w:b/>
          <w:bCs/>
          <w:i/>
          <w:iCs/>
        </w:rPr>
        <w:t xml:space="preserve"> </w:t>
      </w:r>
      <w:r w:rsidR="002232EF" w:rsidRPr="00247163">
        <w:rPr>
          <w:rFonts w:ascii="Palatino Linotype" w:eastAsia="Palatino Linotype" w:hAnsi="Palatino Linotype" w:cs="Palatino Linotype"/>
          <w:bCs/>
          <w:i/>
          <w:iCs/>
        </w:rPr>
        <w:t>así como los documentos que se clasifiquen en su totalidad.</w:t>
      </w:r>
    </w:p>
    <w:p w14:paraId="006DBDDE" w14:textId="77777777" w:rsidR="002F653A" w:rsidRPr="00247163" w:rsidRDefault="002F653A">
      <w:pPr>
        <w:tabs>
          <w:tab w:val="left" w:pos="8080"/>
        </w:tabs>
        <w:spacing w:line="276" w:lineRule="auto"/>
        <w:ind w:left="1134" w:right="1134"/>
        <w:jc w:val="both"/>
        <w:rPr>
          <w:rFonts w:ascii="Palatino Linotype" w:eastAsia="Palatino Linotype" w:hAnsi="Palatino Linotype" w:cs="Palatino Linotype"/>
          <w:i/>
          <w:iCs/>
        </w:rPr>
      </w:pPr>
    </w:p>
    <w:p w14:paraId="0D199092" w14:textId="77777777" w:rsidR="002F653A" w:rsidRPr="00247163" w:rsidRDefault="00CB53E8" w:rsidP="00495816">
      <w:pPr>
        <w:tabs>
          <w:tab w:val="left" w:pos="8080"/>
        </w:tabs>
        <w:spacing w:line="276" w:lineRule="auto"/>
        <w:ind w:left="1134" w:right="1134"/>
        <w:jc w:val="both"/>
        <w:rPr>
          <w:rFonts w:ascii="Palatino Linotype" w:eastAsia="Palatino Linotype" w:hAnsi="Palatino Linotype" w:cs="Palatino Linotype"/>
          <w:i/>
          <w:iCs/>
        </w:rPr>
      </w:pPr>
      <w:r w:rsidRPr="00247163">
        <w:rPr>
          <w:rFonts w:ascii="Palatino Linotype" w:eastAsia="Palatino Linotype" w:hAnsi="Palatino Linotype" w:cs="Palatino Linotype"/>
          <w:i/>
          <w:iCs/>
        </w:rPr>
        <w:t xml:space="preserve">Sin embargo para el punto dieciséis, para el caso en que no se cuente con la información por no haber sido generada, bastará con que así se haga del </w:t>
      </w:r>
      <w:r w:rsidRPr="00247163">
        <w:rPr>
          <w:rFonts w:ascii="Palatino Linotype" w:eastAsia="Palatino Linotype" w:hAnsi="Palatino Linotype" w:cs="Palatino Linotype"/>
          <w:i/>
          <w:iCs/>
        </w:rPr>
        <w:lastRenderedPageBreak/>
        <w:t xml:space="preserve">conocimiento a LA PARTE RECURRENTE en términos de lo que establece el artículo 19 segundo párrafo de la Ley de Transparencia Local. </w:t>
      </w:r>
    </w:p>
    <w:p w14:paraId="28CBD6E1" w14:textId="77777777" w:rsidR="00495816" w:rsidRPr="00247163" w:rsidRDefault="00495816" w:rsidP="00495816">
      <w:pPr>
        <w:tabs>
          <w:tab w:val="left" w:pos="8080"/>
        </w:tabs>
        <w:spacing w:line="276" w:lineRule="auto"/>
        <w:ind w:left="1134" w:right="1134"/>
        <w:jc w:val="both"/>
        <w:rPr>
          <w:rFonts w:ascii="Palatino Linotype" w:eastAsia="Palatino Linotype" w:hAnsi="Palatino Linotype" w:cs="Palatino Linotype"/>
          <w:i/>
          <w:iCs/>
        </w:rPr>
      </w:pPr>
    </w:p>
    <w:p w14:paraId="2EFF50AA" w14:textId="77777777" w:rsidR="00495816" w:rsidRPr="00247163" w:rsidRDefault="00495816" w:rsidP="00495816">
      <w:pPr>
        <w:tabs>
          <w:tab w:val="left" w:pos="8080"/>
        </w:tabs>
        <w:spacing w:line="276" w:lineRule="auto"/>
        <w:ind w:left="1134" w:right="1134"/>
        <w:jc w:val="both"/>
        <w:rPr>
          <w:rFonts w:ascii="Palatino Linotype" w:eastAsia="Palatino Linotype" w:hAnsi="Palatino Linotype" w:cs="Palatino Linotype"/>
          <w:i/>
        </w:rPr>
      </w:pPr>
      <w:r w:rsidRPr="00247163">
        <w:rPr>
          <w:rFonts w:ascii="Palatino Linotype" w:eastAsia="Palatino Linotype" w:hAnsi="Palatino Linotype" w:cs="Palatino Linotype"/>
          <w:i/>
        </w:rPr>
        <w:t>De ser el caso de que el SUJETO OBLIGADO opte por poner la información a disposición vía Consulta Directa, deberá informar al RECURRENTE, a través del Sistema de Acceso a la Información Mexiquense (SAIMEX), del procedimiento que tendrá que seguir para acceder a la documentación; es decir, los pasos para realizar el pago de derechos en caso de ser procedentes, y la manera de obtener la información, como el domicilio de la Unidad de Transparencia, días y horarios de atención y el nombre del servidor público quien le atenderá. Además, deberá informar que podrá acceder de manera gratuita a la información si proporciona el medio electrónico y recoge la información en la Unidad de Transparencia.</w:t>
      </w:r>
    </w:p>
    <w:p w14:paraId="13C66091" w14:textId="77777777" w:rsidR="00495816" w:rsidRPr="00247163" w:rsidRDefault="00495816" w:rsidP="00495816">
      <w:pPr>
        <w:tabs>
          <w:tab w:val="left" w:pos="8080"/>
        </w:tabs>
        <w:spacing w:line="276" w:lineRule="auto"/>
        <w:ind w:left="1134" w:right="1134"/>
        <w:jc w:val="both"/>
        <w:rPr>
          <w:rFonts w:ascii="Palatino Linotype" w:eastAsia="Palatino Linotype" w:hAnsi="Palatino Linotype" w:cs="Palatino Linotype"/>
        </w:rPr>
      </w:pPr>
    </w:p>
    <w:p w14:paraId="3C734B7E" w14:textId="77777777" w:rsidR="002F653A" w:rsidRPr="00247163" w:rsidRDefault="00CB53E8">
      <w:pPr>
        <w:tabs>
          <w:tab w:val="left" w:pos="8080"/>
        </w:tabs>
        <w:spacing w:line="360" w:lineRule="auto"/>
        <w:ind w:right="-596"/>
        <w:jc w:val="both"/>
        <w:rPr>
          <w:rFonts w:ascii="Palatino Linotype" w:eastAsia="Palatino Linotype" w:hAnsi="Palatino Linotype" w:cs="Palatino Linotype"/>
          <w:color w:val="222222"/>
        </w:rPr>
      </w:pPr>
      <w:r w:rsidRPr="00247163">
        <w:rPr>
          <w:rFonts w:ascii="Palatino Linotype" w:eastAsia="Palatino Linotype" w:hAnsi="Palatino Linotype" w:cs="Palatino Linotype"/>
          <w:b/>
          <w:bCs/>
        </w:rPr>
        <w:t xml:space="preserve">TERCERO. </w:t>
      </w:r>
      <w:r w:rsidRPr="00247163">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47163">
        <w:rPr>
          <w:rFonts w:ascii="Palatino Linotype" w:eastAsia="Palatino Linotype" w:hAnsi="Palatino Linotype" w:cs="Palatino Linotype"/>
          <w:b/>
          <w:bCs/>
          <w:color w:val="222222"/>
        </w:rPr>
        <w:t xml:space="preserve">dé cumplimiento a lo ordenado dentro del plazo de diez días hábiles, </w:t>
      </w:r>
      <w:r w:rsidRPr="00247163">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2E23F46F" w14:textId="77777777" w:rsidR="002F653A" w:rsidRPr="00247163" w:rsidRDefault="002F653A">
      <w:pPr>
        <w:tabs>
          <w:tab w:val="left" w:pos="8080"/>
        </w:tabs>
        <w:spacing w:line="360" w:lineRule="auto"/>
        <w:jc w:val="both"/>
        <w:rPr>
          <w:rFonts w:ascii="Palatino Linotype" w:eastAsia="Palatino Linotype" w:hAnsi="Palatino Linotype" w:cs="Palatino Linotype"/>
          <w:color w:val="222222"/>
        </w:rPr>
      </w:pPr>
    </w:p>
    <w:p w14:paraId="3465056A" w14:textId="77777777" w:rsidR="002F653A" w:rsidRPr="00247163" w:rsidRDefault="00CB53E8">
      <w:pPr>
        <w:spacing w:line="360" w:lineRule="auto"/>
        <w:ind w:right="-596"/>
        <w:jc w:val="both"/>
        <w:rPr>
          <w:rFonts w:ascii="Palatino Linotype" w:eastAsia="Palatino Linotype" w:hAnsi="Palatino Linotype" w:cs="Palatino Linotype"/>
        </w:rPr>
      </w:pPr>
      <w:r w:rsidRPr="00247163">
        <w:rPr>
          <w:rFonts w:ascii="Palatino Linotype" w:eastAsia="Palatino Linotype" w:hAnsi="Palatino Linotype" w:cs="Palatino Linotype"/>
          <w:b/>
          <w:bCs/>
        </w:rPr>
        <w:t xml:space="preserve">CUARTO. </w:t>
      </w:r>
      <w:r w:rsidRPr="0024716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247163">
        <w:rPr>
          <w:rFonts w:ascii="Palatino Linotype" w:eastAsia="Palatino Linotype" w:hAnsi="Palatino Linotype" w:cs="Palatino Linotype"/>
          <w:b/>
          <w:bCs/>
        </w:rPr>
        <w:lastRenderedPageBreak/>
        <w:t>SUJETO OBLIGADO</w:t>
      </w:r>
      <w:r w:rsidRPr="00247163">
        <w:rPr>
          <w:rFonts w:ascii="Palatino Linotype" w:eastAsia="Palatino Linotype" w:hAnsi="Palatino Linotype" w:cs="Palatino Linotype"/>
        </w:rPr>
        <w:t xml:space="preserve"> de manera fundada y motivada, podrá solicitar una ampliación de plazo para el cumplimiento de la presente resolución.</w:t>
      </w:r>
    </w:p>
    <w:p w14:paraId="228D8B1A" w14:textId="77777777" w:rsidR="002F653A" w:rsidRPr="00247163" w:rsidRDefault="002F653A">
      <w:pPr>
        <w:spacing w:line="360" w:lineRule="auto"/>
        <w:ind w:right="-596"/>
        <w:jc w:val="both"/>
        <w:rPr>
          <w:rFonts w:ascii="Palatino Linotype" w:eastAsia="Palatino Linotype" w:hAnsi="Palatino Linotype" w:cs="Palatino Linotype"/>
        </w:rPr>
      </w:pPr>
    </w:p>
    <w:p w14:paraId="2B1E24E3" w14:textId="77777777" w:rsidR="002F653A" w:rsidRPr="00247163" w:rsidRDefault="00CB53E8">
      <w:pPr>
        <w:spacing w:line="360" w:lineRule="auto"/>
        <w:ind w:right="-596"/>
        <w:jc w:val="both"/>
        <w:rPr>
          <w:rFonts w:ascii="Palatino Linotype" w:eastAsia="Palatino Linotype" w:hAnsi="Palatino Linotype" w:cs="Palatino Linotype"/>
        </w:rPr>
      </w:pPr>
      <w:bookmarkStart w:id="7" w:name="_heading=h.2jxsxqh" w:colFirst="0" w:colLast="0"/>
      <w:bookmarkEnd w:id="7"/>
      <w:r w:rsidRPr="00247163">
        <w:rPr>
          <w:rFonts w:ascii="Palatino Linotype" w:eastAsia="Palatino Linotype" w:hAnsi="Palatino Linotype" w:cs="Palatino Linotype"/>
          <w:b/>
          <w:bCs/>
        </w:rPr>
        <w:t xml:space="preserve">QUINTO. </w:t>
      </w:r>
      <w:r w:rsidRPr="00247163">
        <w:rPr>
          <w:rFonts w:ascii="Palatino Linotype" w:eastAsia="Palatino Linotype" w:hAnsi="Palatino Linotype" w:cs="Palatino Linotype"/>
        </w:rPr>
        <w:t xml:space="preserve">Notifíquese a </w:t>
      </w:r>
      <w:r w:rsidRPr="00247163">
        <w:rPr>
          <w:rFonts w:ascii="Palatino Linotype" w:eastAsia="Palatino Linotype" w:hAnsi="Palatino Linotype" w:cs="Palatino Linotype"/>
          <w:b/>
          <w:bCs/>
        </w:rPr>
        <w:t>EL RECURRENTE</w:t>
      </w:r>
      <w:r w:rsidRPr="00247163">
        <w:rPr>
          <w:rFonts w:ascii="Palatino Linotype" w:eastAsia="Palatino Linotype" w:hAnsi="Palatino Linotype" w:cs="Palatino Linotype"/>
        </w:rPr>
        <w:t xml:space="preserve"> la presente resolución, vía SAIMEX.</w:t>
      </w:r>
    </w:p>
    <w:p w14:paraId="3E79D409" w14:textId="77777777" w:rsidR="002F653A" w:rsidRPr="00247163" w:rsidRDefault="002F653A">
      <w:pPr>
        <w:shd w:val="clear" w:color="auto" w:fill="FFFFFF"/>
        <w:spacing w:line="360" w:lineRule="auto"/>
        <w:ind w:right="-596"/>
        <w:jc w:val="both"/>
        <w:rPr>
          <w:rFonts w:ascii="Palatino Linotype" w:eastAsia="Palatino Linotype" w:hAnsi="Palatino Linotype" w:cs="Palatino Linotype"/>
          <w:b/>
          <w:bCs/>
        </w:rPr>
      </w:pPr>
    </w:p>
    <w:p w14:paraId="62C82041" w14:textId="77777777" w:rsidR="002F653A" w:rsidRPr="00247163" w:rsidRDefault="00CB53E8">
      <w:pPr>
        <w:spacing w:line="360" w:lineRule="auto"/>
        <w:ind w:right="-596"/>
        <w:jc w:val="both"/>
        <w:rPr>
          <w:rFonts w:ascii="Palatino Linotype" w:eastAsia="Palatino Linotype" w:hAnsi="Palatino Linotype" w:cs="Palatino Linotype"/>
        </w:rPr>
      </w:pPr>
      <w:r w:rsidRPr="00247163">
        <w:rPr>
          <w:rFonts w:ascii="Palatino Linotype" w:eastAsia="Palatino Linotype" w:hAnsi="Palatino Linotype" w:cs="Palatino Linotype"/>
          <w:b/>
          <w:bCs/>
        </w:rPr>
        <w:t xml:space="preserve">SEXTO. </w:t>
      </w:r>
      <w:r w:rsidRPr="00247163">
        <w:rPr>
          <w:rFonts w:ascii="Palatino Linotype" w:eastAsia="Palatino Linotype" w:hAnsi="Palatino Linotype" w:cs="Palatino Linotype"/>
        </w:rPr>
        <w:t xml:space="preserve">Se hace del conocimiento del </w:t>
      </w:r>
      <w:r w:rsidRPr="00247163">
        <w:rPr>
          <w:rFonts w:ascii="Palatino Linotype" w:eastAsia="Palatino Linotype" w:hAnsi="Palatino Linotype" w:cs="Palatino Linotype"/>
          <w:b/>
          <w:bCs/>
        </w:rPr>
        <w:t>RECURRENTE</w:t>
      </w:r>
      <w:r w:rsidRPr="00247163">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328A464A" w14:textId="77777777" w:rsidR="002F653A" w:rsidRPr="00247163" w:rsidRDefault="002F653A">
      <w:pPr>
        <w:shd w:val="clear" w:color="auto" w:fill="FFFFFF"/>
        <w:spacing w:line="360" w:lineRule="auto"/>
        <w:ind w:right="-596"/>
        <w:jc w:val="both"/>
        <w:rPr>
          <w:rFonts w:ascii="Palatino Linotype" w:eastAsia="Palatino Linotype" w:hAnsi="Palatino Linotype" w:cs="Palatino Linotype"/>
        </w:rPr>
      </w:pPr>
    </w:p>
    <w:p w14:paraId="4A7A22F6" w14:textId="58D99C67" w:rsidR="00284529" w:rsidRPr="00247163" w:rsidRDefault="00284529" w:rsidP="00284529">
      <w:pPr>
        <w:spacing w:before="240" w:after="240" w:line="360" w:lineRule="auto"/>
        <w:ind w:right="-596" w:firstLine="1"/>
        <w:jc w:val="both"/>
        <w:rPr>
          <w:rFonts w:ascii="Palatino Linotype" w:hAnsi="Palatino Linotype"/>
        </w:rPr>
      </w:pPr>
      <w:bookmarkStart w:id="8" w:name="_Hlk99014733"/>
      <w:r w:rsidRPr="00247163">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w:t>
      </w:r>
      <w:r w:rsidR="00B1125B" w:rsidRPr="00247163">
        <w:rPr>
          <w:rFonts w:ascii="Palatino Linotype" w:hAnsi="Palatino Linotype" w:cs="Palatino Linotype"/>
        </w:rPr>
        <w:t xml:space="preserve"> EMITIENDO VOTO PARTICULAR</w:t>
      </w:r>
      <w:r w:rsidRPr="00247163">
        <w:rPr>
          <w:rFonts w:ascii="Palatino Linotype" w:hAnsi="Palatino Linotype" w:cs="Palatino Linotype"/>
        </w:rPr>
        <w:t>, LUIS GUSTAVO PARRA NORIEGA Y GUADALUPE RAMÍREZ PEÑA</w:t>
      </w:r>
      <w:r w:rsidR="00B1125B" w:rsidRPr="00247163">
        <w:rPr>
          <w:rFonts w:ascii="Palatino Linotype" w:hAnsi="Palatino Linotype" w:cs="Palatino Linotype"/>
        </w:rPr>
        <w:t xml:space="preserve"> EMITIENDO OPINIÓN PARTICULAR</w:t>
      </w:r>
      <w:r w:rsidRPr="00247163">
        <w:rPr>
          <w:rFonts w:ascii="Palatino Linotype" w:hAnsi="Palatino Linotype" w:cs="Palatino Linotype"/>
        </w:rPr>
        <w:t xml:space="preserve">; EN LA VIGÉSIMA SESIÓN ORDINARIA, CELEBRADA EL TRES (03) DE JUNIO DE DOS MIL VEINTISÉIS, ANTE EL SECRETARIO TÉCNICO DEL PLENO </w:t>
      </w:r>
      <w:r w:rsidRPr="00247163">
        <w:rPr>
          <w:rFonts w:ascii="Palatino Linotype" w:hAnsi="Palatino Linotype" w:cs="Palatino Linotype"/>
          <w:color w:val="000000" w:themeColor="text1"/>
        </w:rPr>
        <w:t>ALEXIS TAPIA RAMÍREZ.</w:t>
      </w:r>
    </w:p>
    <w:bookmarkEnd w:id="8"/>
    <w:p w14:paraId="3FA048E1" w14:textId="77777777" w:rsidR="002F653A" w:rsidRPr="00247163" w:rsidRDefault="002F653A" w:rsidP="00284529">
      <w:pPr>
        <w:spacing w:line="360" w:lineRule="auto"/>
        <w:ind w:right="-596"/>
        <w:jc w:val="both"/>
        <w:rPr>
          <w:rFonts w:ascii="Palatino Linotype" w:eastAsia="Palatino Linotype" w:hAnsi="Palatino Linotype" w:cs="Palatino Linotype"/>
        </w:rPr>
      </w:pPr>
    </w:p>
    <w:p w14:paraId="0318AC9E" w14:textId="77777777" w:rsidR="002F653A" w:rsidRPr="00247163" w:rsidRDefault="002F653A" w:rsidP="00284529">
      <w:pPr>
        <w:spacing w:line="360" w:lineRule="auto"/>
        <w:ind w:right="-596"/>
        <w:rPr>
          <w:rFonts w:ascii="Palatino Linotype" w:eastAsia="Palatino Linotype" w:hAnsi="Palatino Linotype" w:cs="Palatino Linotype"/>
        </w:rPr>
      </w:pPr>
    </w:p>
    <w:p w14:paraId="64A2EACF" w14:textId="77777777" w:rsidR="002F653A" w:rsidRPr="00247163" w:rsidRDefault="002F653A" w:rsidP="00284529">
      <w:pPr>
        <w:spacing w:line="360" w:lineRule="auto"/>
        <w:ind w:right="-596"/>
        <w:rPr>
          <w:rFonts w:ascii="Palatino Linotype" w:eastAsia="Palatino Linotype" w:hAnsi="Palatino Linotype" w:cs="Palatino Linotype"/>
        </w:rPr>
      </w:pPr>
    </w:p>
    <w:p w14:paraId="5916F6FE" w14:textId="77777777" w:rsidR="002F653A" w:rsidRPr="00247163" w:rsidRDefault="002F653A" w:rsidP="00284529">
      <w:pPr>
        <w:spacing w:line="360" w:lineRule="auto"/>
        <w:ind w:right="-596"/>
        <w:rPr>
          <w:rFonts w:ascii="Palatino Linotype" w:eastAsia="Palatino Linotype" w:hAnsi="Palatino Linotype" w:cs="Palatino Linotype"/>
        </w:rPr>
      </w:pPr>
    </w:p>
    <w:p w14:paraId="610E5F6A" w14:textId="77777777" w:rsidR="002F653A" w:rsidRPr="00247163" w:rsidRDefault="002F653A">
      <w:pPr>
        <w:spacing w:line="360" w:lineRule="auto"/>
        <w:ind w:right="-591"/>
        <w:rPr>
          <w:rFonts w:ascii="Palatino Linotype" w:eastAsia="Palatino Linotype" w:hAnsi="Palatino Linotype" w:cs="Palatino Linotype"/>
        </w:rPr>
      </w:pPr>
    </w:p>
    <w:p w14:paraId="7F6F49FC" w14:textId="77777777" w:rsidR="002F653A" w:rsidRPr="00247163" w:rsidRDefault="002F653A">
      <w:pPr>
        <w:spacing w:line="360" w:lineRule="auto"/>
        <w:ind w:right="-591"/>
        <w:rPr>
          <w:rFonts w:ascii="Palatino Linotype" w:eastAsia="Palatino Linotype" w:hAnsi="Palatino Linotype" w:cs="Palatino Linotype"/>
        </w:rPr>
      </w:pPr>
    </w:p>
    <w:p w14:paraId="6B7638A3" w14:textId="77777777" w:rsidR="002F653A" w:rsidRPr="00247163" w:rsidRDefault="002F653A">
      <w:pPr>
        <w:spacing w:line="360" w:lineRule="auto"/>
        <w:ind w:right="-591"/>
        <w:rPr>
          <w:rFonts w:ascii="Palatino Linotype" w:eastAsia="Palatino Linotype" w:hAnsi="Palatino Linotype" w:cs="Palatino Linotype"/>
        </w:rPr>
      </w:pPr>
    </w:p>
    <w:p w14:paraId="3167BB3A" w14:textId="77777777" w:rsidR="002F653A" w:rsidRPr="00247163" w:rsidRDefault="002F653A">
      <w:pPr>
        <w:spacing w:line="360" w:lineRule="auto"/>
        <w:ind w:right="-591"/>
        <w:rPr>
          <w:rFonts w:ascii="Palatino Linotype" w:eastAsia="Palatino Linotype" w:hAnsi="Palatino Linotype" w:cs="Palatino Linotype"/>
        </w:rPr>
      </w:pPr>
    </w:p>
    <w:p w14:paraId="73867D34" w14:textId="77777777" w:rsidR="002F653A" w:rsidRPr="00247163" w:rsidRDefault="002F653A">
      <w:pPr>
        <w:spacing w:line="360" w:lineRule="auto"/>
        <w:ind w:right="-591"/>
        <w:rPr>
          <w:rFonts w:ascii="Palatino Linotype" w:eastAsia="Palatino Linotype" w:hAnsi="Palatino Linotype" w:cs="Palatino Linotype"/>
        </w:rPr>
      </w:pPr>
      <w:bookmarkStart w:id="9" w:name="_heading=h.25xrw9ikukro" w:colFirst="0" w:colLast="0"/>
      <w:bookmarkEnd w:id="9"/>
    </w:p>
    <w:p w14:paraId="10D5E530" w14:textId="77777777" w:rsidR="00E52060" w:rsidRPr="00247163" w:rsidRDefault="00E52060">
      <w:pPr>
        <w:spacing w:line="360" w:lineRule="auto"/>
        <w:ind w:right="-591"/>
        <w:rPr>
          <w:rFonts w:ascii="Palatino Linotype" w:eastAsia="Palatino Linotype" w:hAnsi="Palatino Linotype" w:cs="Palatino Linotype"/>
        </w:rPr>
      </w:pPr>
    </w:p>
    <w:p w14:paraId="78C62E43" w14:textId="77777777" w:rsidR="00E52060" w:rsidRPr="00247163" w:rsidRDefault="00E52060">
      <w:pPr>
        <w:spacing w:line="360" w:lineRule="auto"/>
        <w:ind w:right="-591"/>
        <w:rPr>
          <w:rFonts w:ascii="Palatino Linotype" w:eastAsia="Palatino Linotype" w:hAnsi="Palatino Linotype" w:cs="Palatino Linotype"/>
        </w:rPr>
      </w:pPr>
    </w:p>
    <w:p w14:paraId="65E9B9A6" w14:textId="77777777" w:rsidR="00E52060" w:rsidRPr="00247163" w:rsidRDefault="00E52060">
      <w:pPr>
        <w:spacing w:line="360" w:lineRule="auto"/>
        <w:ind w:right="-591"/>
        <w:rPr>
          <w:rFonts w:ascii="Palatino Linotype" w:eastAsia="Palatino Linotype" w:hAnsi="Palatino Linotype" w:cs="Palatino Linotype"/>
        </w:rPr>
      </w:pPr>
    </w:p>
    <w:p w14:paraId="5283F224" w14:textId="77777777" w:rsidR="00E52060" w:rsidRPr="00247163" w:rsidRDefault="00E52060">
      <w:pPr>
        <w:spacing w:line="360" w:lineRule="auto"/>
        <w:ind w:right="-591"/>
        <w:rPr>
          <w:rFonts w:ascii="Palatino Linotype" w:eastAsia="Palatino Linotype" w:hAnsi="Palatino Linotype" w:cs="Palatino Linotype"/>
        </w:rPr>
      </w:pPr>
    </w:p>
    <w:p w14:paraId="2AED2AF1" w14:textId="77777777" w:rsidR="00E52060" w:rsidRPr="00247163" w:rsidRDefault="00E52060">
      <w:pPr>
        <w:spacing w:line="360" w:lineRule="auto"/>
        <w:ind w:right="-591"/>
        <w:rPr>
          <w:rFonts w:ascii="Palatino Linotype" w:eastAsia="Palatino Linotype" w:hAnsi="Palatino Linotype" w:cs="Palatino Linotype"/>
        </w:rPr>
      </w:pPr>
    </w:p>
    <w:p w14:paraId="67952D8D" w14:textId="77777777" w:rsidR="00E52060" w:rsidRPr="00247163" w:rsidRDefault="00E52060">
      <w:pPr>
        <w:spacing w:line="360" w:lineRule="auto"/>
        <w:ind w:right="-591"/>
        <w:rPr>
          <w:rFonts w:ascii="Palatino Linotype" w:eastAsia="Palatino Linotype" w:hAnsi="Palatino Linotype" w:cs="Palatino Linotype"/>
        </w:rPr>
      </w:pPr>
    </w:p>
    <w:p w14:paraId="6101576F" w14:textId="77777777" w:rsidR="00E52060" w:rsidRPr="00247163" w:rsidRDefault="00E52060">
      <w:pPr>
        <w:spacing w:line="360" w:lineRule="auto"/>
        <w:ind w:right="-591"/>
        <w:rPr>
          <w:rFonts w:ascii="Palatino Linotype" w:eastAsia="Palatino Linotype" w:hAnsi="Palatino Linotype" w:cs="Palatino Linotype"/>
        </w:rPr>
      </w:pPr>
    </w:p>
    <w:p w14:paraId="0B8415AB" w14:textId="77777777" w:rsidR="00E52060" w:rsidRPr="00247163" w:rsidRDefault="00E52060">
      <w:pPr>
        <w:spacing w:line="360" w:lineRule="auto"/>
        <w:ind w:right="-591"/>
        <w:rPr>
          <w:rFonts w:ascii="Palatino Linotype" w:eastAsia="Palatino Linotype" w:hAnsi="Palatino Linotype" w:cs="Palatino Linotype"/>
        </w:rPr>
      </w:pPr>
    </w:p>
    <w:p w14:paraId="653FFA84" w14:textId="77777777" w:rsidR="00E52060" w:rsidRPr="00247163" w:rsidRDefault="00E52060">
      <w:pPr>
        <w:spacing w:line="360" w:lineRule="auto"/>
        <w:ind w:right="-591"/>
        <w:rPr>
          <w:rFonts w:ascii="Palatino Linotype" w:eastAsia="Palatino Linotype" w:hAnsi="Palatino Linotype" w:cs="Palatino Linotype"/>
        </w:rPr>
      </w:pPr>
    </w:p>
    <w:p w14:paraId="627A7909" w14:textId="77777777" w:rsidR="00E52060" w:rsidRPr="00247163" w:rsidRDefault="00E52060">
      <w:pPr>
        <w:spacing w:line="360" w:lineRule="auto"/>
        <w:ind w:right="-591"/>
        <w:rPr>
          <w:rFonts w:ascii="Palatino Linotype" w:eastAsia="Palatino Linotype" w:hAnsi="Palatino Linotype" w:cs="Palatino Linotype"/>
        </w:rPr>
      </w:pPr>
    </w:p>
    <w:p w14:paraId="0F823B5E" w14:textId="77777777" w:rsidR="00E52060" w:rsidRPr="00247163" w:rsidRDefault="00E52060">
      <w:pPr>
        <w:spacing w:line="360" w:lineRule="auto"/>
        <w:ind w:right="-591"/>
        <w:rPr>
          <w:rFonts w:ascii="Palatino Linotype" w:eastAsia="Palatino Linotype" w:hAnsi="Palatino Linotype" w:cs="Palatino Linotype"/>
        </w:rPr>
      </w:pPr>
    </w:p>
    <w:p w14:paraId="122C4A9C" w14:textId="77777777" w:rsidR="00E52060" w:rsidRPr="00247163" w:rsidRDefault="00E52060">
      <w:pPr>
        <w:spacing w:line="360" w:lineRule="auto"/>
        <w:ind w:right="-591"/>
        <w:rPr>
          <w:rFonts w:ascii="Palatino Linotype" w:eastAsia="Palatino Linotype" w:hAnsi="Palatino Linotype" w:cs="Palatino Linotype"/>
        </w:rPr>
      </w:pPr>
    </w:p>
    <w:p w14:paraId="43AE1474" w14:textId="77777777" w:rsidR="00247163" w:rsidRPr="00247163" w:rsidRDefault="00247163">
      <w:pPr>
        <w:spacing w:line="360" w:lineRule="auto"/>
        <w:ind w:right="-591"/>
        <w:rPr>
          <w:rFonts w:ascii="Palatino Linotype" w:eastAsia="Palatino Linotype" w:hAnsi="Palatino Linotype" w:cs="Palatino Linotype"/>
        </w:rPr>
      </w:pPr>
    </w:p>
    <w:sectPr w:rsidR="00247163" w:rsidRPr="00247163" w:rsidSect="000101BB">
      <w:headerReference w:type="even" r:id="rId26"/>
      <w:headerReference w:type="default" r:id="rId27"/>
      <w:footerReference w:type="default" r:id="rId28"/>
      <w:headerReference w:type="first" r:id="rId29"/>
      <w:footerReference w:type="first" r:id="rId30"/>
      <w:pgSz w:w="12240" w:h="15840"/>
      <w:pgMar w:top="386"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8F4272" w14:textId="77777777" w:rsidR="00D849D5" w:rsidRDefault="00D849D5">
      <w:r>
        <w:separator/>
      </w:r>
    </w:p>
  </w:endnote>
  <w:endnote w:type="continuationSeparator" w:id="0">
    <w:p w14:paraId="18341446" w14:textId="77777777" w:rsidR="00D849D5" w:rsidRDefault="00D8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CF9EE09-A84D-4F54-954D-6C2C81793D4D}"/>
    <w:embedBold r:id="rId2" w:fontKey="{A0D3BF46-975C-49C8-AFEE-739F531A3E25}"/>
    <w:embedItalic r:id="rId3" w:fontKey="{A2B0B165-6FAB-4799-AC16-81CC9CC40CD5}"/>
    <w:embedBoldItalic r:id="rId4" w:fontKey="{46B4D610-E163-47A8-B8BD-651B2312D69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CB7ED90B-2649-40E2-93FF-4F1FF5EF3394}"/>
  </w:font>
  <w:font w:name="Calibri">
    <w:panose1 w:val="020F0502020204030204"/>
    <w:charset w:val="00"/>
    <w:family w:val="swiss"/>
    <w:pitch w:val="variable"/>
    <w:sig w:usb0="E4002EFF" w:usb1="C200247B" w:usb2="00000009" w:usb3="00000000" w:csb0="000001FF" w:csb1="00000000"/>
    <w:embedRegular r:id="rId6" w:fontKey="{E6584D3E-5F18-418E-9DAA-9CFF3A27BA1B}"/>
  </w:font>
  <w:font w:name="Georgia">
    <w:panose1 w:val="02040502050405020303"/>
    <w:charset w:val="00"/>
    <w:family w:val="roman"/>
    <w:pitch w:val="variable"/>
    <w:sig w:usb0="00000287" w:usb1="00000000" w:usb2="00000000" w:usb3="00000000" w:csb0="0000009F" w:csb1="00000000"/>
    <w:embedItalic r:id="rId7" w:fontKey="{C6C00D32-6312-425F-9BF5-80FC8B929188}"/>
  </w:font>
  <w:font w:name="Cambria">
    <w:panose1 w:val="02040503050406030204"/>
    <w:charset w:val="00"/>
    <w:family w:val="roman"/>
    <w:pitch w:val="variable"/>
    <w:sig w:usb0="E00006FF" w:usb1="420024FF" w:usb2="02000000" w:usb3="00000000" w:csb0="0000019F" w:csb1="00000000"/>
    <w:embedRegular r:id="rId8" w:fontKey="{F2608964-DA24-4AAF-BC98-0026CC2EF920}"/>
    <w:embedBold r:id="rId9" w:fontKey="{FE91E10B-8801-4075-9E85-0FCEB0DB9944}"/>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embedItalic r:id="rId10" w:fontKey="{96F278DD-52AC-4D71-B951-8A25C8F6C7C6}"/>
  </w:font>
  <w:font w:name="Garamond">
    <w:panose1 w:val="02020404030301010803"/>
    <w:charset w:val="00"/>
    <w:family w:val="roman"/>
    <w:pitch w:val="variable"/>
    <w:sig w:usb0="00000287" w:usb1="00000000" w:usb2="00000000" w:usb3="00000000" w:csb0="0000009F" w:csb1="00000000"/>
    <w:embedRegular r:id="rId11" w:fontKey="{A4F9D420-739F-4544-AB98-C32F73BB1D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8974F" w14:textId="77777777" w:rsidR="000101BB" w:rsidRDefault="000101B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54902">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E54902">
      <w:rPr>
        <w:rFonts w:ascii="Palatino Linotype" w:eastAsia="Palatino Linotype" w:hAnsi="Palatino Linotype" w:cs="Palatino Linotype"/>
        <w:b/>
        <w:bCs/>
        <w:noProof/>
        <w:color w:val="000000"/>
        <w:sz w:val="22"/>
        <w:szCs w:val="22"/>
      </w:rPr>
      <w:t>116</w:t>
    </w:r>
    <w:r>
      <w:rPr>
        <w:rFonts w:ascii="Palatino Linotype" w:eastAsia="Palatino Linotype" w:hAnsi="Palatino Linotype" w:cs="Palatino Linotype"/>
        <w:b/>
        <w:bCs/>
        <w:color w:val="000000"/>
        <w:sz w:val="22"/>
        <w:szCs w:val="22"/>
      </w:rPr>
      <w:fldChar w:fldCharType="end"/>
    </w:r>
  </w:p>
  <w:p w14:paraId="63B1A337" w14:textId="77777777" w:rsidR="000101BB" w:rsidRDefault="000101B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52288" w14:textId="77777777" w:rsidR="000101BB" w:rsidRDefault="000101BB">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E54902">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E54902">
      <w:rPr>
        <w:rFonts w:ascii="Palatino Linotype" w:eastAsia="Palatino Linotype" w:hAnsi="Palatino Linotype" w:cs="Palatino Linotype"/>
        <w:b/>
        <w:bCs/>
        <w:noProof/>
        <w:color w:val="000000"/>
        <w:sz w:val="22"/>
        <w:szCs w:val="22"/>
      </w:rPr>
      <w:t>116</w:t>
    </w:r>
    <w:r>
      <w:rPr>
        <w:rFonts w:ascii="Palatino Linotype" w:eastAsia="Palatino Linotype" w:hAnsi="Palatino Linotype" w:cs="Palatino Linotype"/>
        <w:b/>
        <w:bCs/>
        <w:color w:val="000000"/>
        <w:sz w:val="22"/>
        <w:szCs w:val="22"/>
      </w:rPr>
      <w:fldChar w:fldCharType="end"/>
    </w:r>
  </w:p>
  <w:p w14:paraId="41AA6DD5" w14:textId="77777777" w:rsidR="000101BB" w:rsidRDefault="000101B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D7E64" w14:textId="77777777" w:rsidR="00D849D5" w:rsidRDefault="00D849D5">
      <w:r>
        <w:separator/>
      </w:r>
    </w:p>
  </w:footnote>
  <w:footnote w:type="continuationSeparator" w:id="0">
    <w:p w14:paraId="473B9837" w14:textId="77777777" w:rsidR="00D849D5" w:rsidRDefault="00D849D5">
      <w:r>
        <w:continuationSeparator/>
      </w:r>
    </w:p>
  </w:footnote>
  <w:footnote w:id="1">
    <w:p w14:paraId="07D6FA28" w14:textId="77777777" w:rsidR="000101BB" w:rsidRDefault="000101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color w:val="000000"/>
          <w:sz w:val="20"/>
          <w:szCs w:val="20"/>
        </w:rPr>
        <w:t xml:space="preserve"> </w:t>
      </w:r>
      <w:r>
        <w:rPr>
          <w:rFonts w:ascii="Palatino Linotype" w:eastAsia="Palatino Linotype" w:hAnsi="Palatino Linotype" w:cs="Palatino Linotype"/>
          <w:color w:val="000000"/>
          <w:sz w:val="18"/>
          <w:szCs w:val="18"/>
        </w:rPr>
        <w:t>Convención Americana sobre Derechos Humanos. Artículo 13.</w:t>
      </w:r>
    </w:p>
  </w:footnote>
  <w:footnote w:id="2">
    <w:p w14:paraId="5D478F05" w14:textId="77777777" w:rsidR="000101BB" w:rsidRDefault="000101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Constitución Política de los Estados Unidos Mexicanos. Artículo sexto, sección A, fracción I.</w:t>
      </w:r>
    </w:p>
  </w:footnote>
  <w:footnote w:id="3">
    <w:p w14:paraId="1D469F64" w14:textId="77777777" w:rsidR="000101BB" w:rsidRDefault="000101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14:paraId="395D7A5F" w14:textId="77777777" w:rsidR="000101BB" w:rsidRDefault="000101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Parr. 87.</w:t>
      </w:r>
    </w:p>
  </w:footnote>
  <w:footnote w:id="5">
    <w:p w14:paraId="522C6D72" w14:textId="77777777" w:rsidR="000101BB" w:rsidRDefault="000101BB">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8"/>
          <w:szCs w:val="18"/>
        </w:rPr>
        <w:t>Respuesta del 19/05/2026</w:t>
      </w:r>
    </w:p>
  </w:footnote>
  <w:footnote w:id="6">
    <w:p w14:paraId="0D6F8D94" w14:textId="77777777" w:rsidR="000101BB" w:rsidRDefault="000101BB" w:rsidP="00FA3F8F">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Ley de Protección de Datos Personales en Posesión de Sujetos Obligados del Estado de México. Artículo 4 fr.XII.</w:t>
      </w:r>
    </w:p>
  </w:footnote>
  <w:footnote w:id="7">
    <w:p w14:paraId="0B970E1B" w14:textId="77777777" w:rsidR="000101BB" w:rsidRDefault="000101BB">
      <w:pPr>
        <w:pBdr>
          <w:top w:val="nil"/>
          <w:left w:val="nil"/>
          <w:bottom w:val="nil"/>
          <w:right w:val="nil"/>
          <w:between w:val="nil"/>
        </w:pBdr>
        <w:rPr>
          <w:rFonts w:ascii="Palatino Linotype" w:eastAsia="Palatino Linotype" w:hAnsi="Palatino Linotype" w:cs="Palatino Linotype"/>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20"/>
          <w:szCs w:val="20"/>
        </w:rPr>
        <w:t xml:space="preserve">Ley de Asistencia Social del </w:t>
      </w:r>
      <w:r>
        <w:rPr>
          <w:rFonts w:ascii="Palatino Linotype" w:eastAsia="Palatino Linotype" w:hAnsi="Palatino Linotype" w:cs="Palatino Linotype"/>
          <w:sz w:val="20"/>
          <w:szCs w:val="20"/>
        </w:rPr>
        <w:t>Estado</w:t>
      </w:r>
      <w:r>
        <w:rPr>
          <w:rFonts w:ascii="Palatino Linotype" w:eastAsia="Palatino Linotype" w:hAnsi="Palatino Linotype" w:cs="Palatino Linotype"/>
          <w:color w:val="000000"/>
          <w:sz w:val="20"/>
          <w:szCs w:val="20"/>
        </w:rPr>
        <w:t xml:space="preserve"> de México y Municipios. Artículo 41 fr. X</w:t>
      </w:r>
    </w:p>
  </w:footnote>
  <w:footnote w:id="8">
    <w:p w14:paraId="3D04E326" w14:textId="77777777" w:rsidR="000101BB" w:rsidRDefault="000101BB">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Ley del Notariado del Estado de México. Artículos 4, 5.</w:t>
      </w:r>
    </w:p>
  </w:footnote>
  <w:footnote w:id="9">
    <w:p w14:paraId="7F8AEB43" w14:textId="77777777" w:rsidR="000101BB" w:rsidRDefault="000101BB">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Ley del Notariado del Estado de México. Artículos 8,9 y 10.</w:t>
      </w:r>
    </w:p>
  </w:footnote>
  <w:footnote w:id="10">
    <w:p w14:paraId="0F706DF7" w14:textId="77777777" w:rsidR="000101BB" w:rsidRDefault="000101BB">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Ley del Notariado del Estado de México. Artículo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18BDD0" w14:textId="77777777" w:rsidR="000101BB" w:rsidRDefault="00D849D5">
    <w:pPr>
      <w:pBdr>
        <w:top w:val="nil"/>
        <w:left w:val="nil"/>
        <w:bottom w:val="nil"/>
        <w:right w:val="nil"/>
        <w:between w:val="nil"/>
      </w:pBdr>
      <w:tabs>
        <w:tab w:val="center" w:pos="4419"/>
        <w:tab w:val="right" w:pos="8838"/>
      </w:tabs>
      <w:rPr>
        <w:color w:val="000000"/>
      </w:rPr>
    </w:pPr>
    <w:r>
      <w:rPr>
        <w:color w:val="000000"/>
      </w:rPr>
      <w:pict w14:anchorId="133B9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221" w:type="dxa"/>
      <w:tblInd w:w="0" w:type="dxa"/>
      <w:tblLayout w:type="fixed"/>
      <w:tblLook w:val="0400" w:firstRow="0" w:lastRow="0" w:firstColumn="0" w:lastColumn="0" w:noHBand="0" w:noVBand="1"/>
    </w:tblPr>
    <w:tblGrid>
      <w:gridCol w:w="2294"/>
      <w:gridCol w:w="7927"/>
    </w:tblGrid>
    <w:tr w:rsidR="000101BB" w14:paraId="778AD0BB" w14:textId="77777777" w:rsidTr="000101BB">
      <w:trPr>
        <w:trHeight w:val="1434"/>
      </w:trPr>
      <w:tc>
        <w:tcPr>
          <w:tcW w:w="2294" w:type="dxa"/>
          <w:shd w:val="clear" w:color="auto" w:fill="auto"/>
        </w:tcPr>
        <w:p w14:paraId="3BC63C40" w14:textId="4EBEBA30" w:rsidR="000101BB" w:rsidRDefault="000101BB">
          <w:pPr>
            <w:tabs>
              <w:tab w:val="right" w:pos="4273"/>
            </w:tabs>
            <w:rPr>
              <w:rFonts w:ascii="Garamond" w:eastAsia="Garamond" w:hAnsi="Garamond" w:cs="Garamond"/>
              <w:sz w:val="16"/>
              <w:szCs w:val="16"/>
            </w:rPr>
          </w:pPr>
        </w:p>
      </w:tc>
      <w:tc>
        <w:tcPr>
          <w:tcW w:w="7927" w:type="dxa"/>
          <w:shd w:val="clear" w:color="auto" w:fill="auto"/>
        </w:tcPr>
        <w:tbl>
          <w:tblPr>
            <w:tblStyle w:val="a2"/>
            <w:tblW w:w="7870" w:type="dxa"/>
            <w:tblInd w:w="0" w:type="dxa"/>
            <w:tblLayout w:type="fixed"/>
            <w:tblLook w:val="0400" w:firstRow="0" w:lastRow="0" w:firstColumn="0" w:lastColumn="0" w:noHBand="0" w:noVBand="1"/>
          </w:tblPr>
          <w:tblGrid>
            <w:gridCol w:w="2801"/>
            <w:gridCol w:w="5069"/>
          </w:tblGrid>
          <w:tr w:rsidR="000101BB" w14:paraId="5628CF22" w14:textId="77777777" w:rsidTr="000101BB">
            <w:trPr>
              <w:trHeight w:val="47"/>
            </w:trPr>
            <w:tc>
              <w:tcPr>
                <w:tcW w:w="2801" w:type="dxa"/>
                <w:shd w:val="clear" w:color="auto" w:fill="auto"/>
              </w:tcPr>
              <w:p w14:paraId="51D4E536" w14:textId="77777777" w:rsidR="000101BB" w:rsidRDefault="000101BB" w:rsidP="000101BB">
                <w:pPr>
                  <w:tabs>
                    <w:tab w:val="right" w:pos="8838"/>
                  </w:tabs>
                  <w:ind w:left="154" w:right="-181"/>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069" w:type="dxa"/>
                <w:shd w:val="clear" w:color="auto" w:fill="auto"/>
              </w:tcPr>
              <w:p w14:paraId="6F6A2560" w14:textId="77777777" w:rsidR="000101BB" w:rsidRDefault="000101BB" w:rsidP="000101BB">
                <w:pPr>
                  <w:ind w:left="154" w:right="-471"/>
                  <w:rPr>
                    <w:rFonts w:ascii="Palatino Linotype" w:eastAsia="Palatino Linotype" w:hAnsi="Palatino Linotype" w:cs="Palatino Linotype"/>
                  </w:rPr>
                </w:pPr>
                <w:r>
                  <w:rPr>
                    <w:rFonts w:ascii="Palatino Linotype" w:eastAsia="Palatino Linotype" w:hAnsi="Palatino Linotype" w:cs="Palatino Linotype"/>
                  </w:rPr>
                  <w:t>13283/INFOEM/IP/RR/2025</w:t>
                </w:r>
              </w:p>
            </w:tc>
          </w:tr>
          <w:tr w:rsidR="000101BB" w14:paraId="3BBEBC80" w14:textId="77777777" w:rsidTr="000101BB">
            <w:trPr>
              <w:trHeight w:val="93"/>
            </w:trPr>
            <w:tc>
              <w:tcPr>
                <w:tcW w:w="2801" w:type="dxa"/>
                <w:shd w:val="clear" w:color="auto" w:fill="auto"/>
              </w:tcPr>
              <w:p w14:paraId="769F1D8B" w14:textId="77777777" w:rsidR="000101BB" w:rsidRDefault="000101BB" w:rsidP="000101BB">
                <w:pPr>
                  <w:tabs>
                    <w:tab w:val="right" w:pos="8838"/>
                  </w:tabs>
                  <w:ind w:left="154" w:right="-181"/>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069" w:type="dxa"/>
                <w:shd w:val="clear" w:color="auto" w:fill="auto"/>
              </w:tcPr>
              <w:p w14:paraId="513D67AA" w14:textId="77777777" w:rsidR="000101BB" w:rsidRDefault="000101BB" w:rsidP="000101BB">
                <w:pPr>
                  <w:ind w:left="154" w:right="-471"/>
                  <w:rPr>
                    <w:rFonts w:ascii="Palatino Linotype" w:eastAsia="Palatino Linotype" w:hAnsi="Palatino Linotype" w:cs="Palatino Linotype"/>
                  </w:rPr>
                </w:pPr>
                <w:r>
                  <w:rPr>
                    <w:rFonts w:ascii="Palatino Linotype" w:eastAsia="Palatino Linotype" w:hAnsi="Palatino Linotype" w:cs="Palatino Linotype"/>
                  </w:rPr>
                  <w:t>Sistema Municipal Para el Desarrollo Integral de la Familia de San Felipe del Progreso</w:t>
                </w:r>
              </w:p>
            </w:tc>
          </w:tr>
          <w:tr w:rsidR="000101BB" w14:paraId="63C5EA46" w14:textId="77777777" w:rsidTr="000101BB">
            <w:trPr>
              <w:trHeight w:val="93"/>
            </w:trPr>
            <w:tc>
              <w:tcPr>
                <w:tcW w:w="2801" w:type="dxa"/>
                <w:shd w:val="clear" w:color="auto" w:fill="auto"/>
              </w:tcPr>
              <w:p w14:paraId="1F5248E1" w14:textId="77777777" w:rsidR="000101BB" w:rsidRDefault="000101BB" w:rsidP="000101BB">
                <w:pPr>
                  <w:tabs>
                    <w:tab w:val="right" w:pos="8838"/>
                  </w:tabs>
                  <w:ind w:left="154" w:right="-181"/>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069" w:type="dxa"/>
                <w:shd w:val="clear" w:color="auto" w:fill="auto"/>
              </w:tcPr>
              <w:p w14:paraId="32C29311" w14:textId="77777777" w:rsidR="000101BB" w:rsidRDefault="000101BB" w:rsidP="000101BB">
                <w:pPr>
                  <w:ind w:left="154" w:right="-471"/>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6D90B6E9" w14:textId="77777777" w:rsidR="000101BB" w:rsidRDefault="000101BB" w:rsidP="000101BB">
                <w:pPr>
                  <w:ind w:left="154" w:right="-471"/>
                  <w:rPr>
                    <w:rFonts w:ascii="Palatino Linotype" w:eastAsia="Palatino Linotype" w:hAnsi="Palatino Linotype" w:cs="Palatino Linotype"/>
                  </w:rPr>
                </w:pPr>
              </w:p>
            </w:tc>
          </w:tr>
        </w:tbl>
        <w:p w14:paraId="3AB97358" w14:textId="77777777" w:rsidR="000101BB" w:rsidRDefault="000101BB">
          <w:pPr>
            <w:tabs>
              <w:tab w:val="right" w:pos="8838"/>
            </w:tabs>
            <w:ind w:left="-28"/>
            <w:jc w:val="both"/>
            <w:rPr>
              <w:rFonts w:ascii="Arial" w:eastAsia="Arial" w:hAnsi="Arial" w:cs="Arial"/>
              <w:b/>
              <w:bCs/>
              <w:sz w:val="22"/>
              <w:szCs w:val="22"/>
            </w:rPr>
          </w:pPr>
        </w:p>
      </w:tc>
    </w:tr>
  </w:tbl>
  <w:p w14:paraId="23768701" w14:textId="05F9AC91" w:rsidR="000101BB" w:rsidRDefault="00D849D5">
    <w:pPr>
      <w:pBdr>
        <w:top w:val="nil"/>
        <w:left w:val="nil"/>
        <w:bottom w:val="nil"/>
        <w:right w:val="nil"/>
        <w:between w:val="nil"/>
      </w:pBdr>
      <w:tabs>
        <w:tab w:val="center" w:pos="4419"/>
        <w:tab w:val="right" w:pos="8838"/>
      </w:tabs>
      <w:rPr>
        <w:color w:val="000000"/>
        <w:sz w:val="14"/>
        <w:szCs w:val="14"/>
      </w:rPr>
    </w:pPr>
    <w:r>
      <w:rPr>
        <w:sz w:val="14"/>
        <w:szCs w:val="14"/>
      </w:rPr>
      <w:pict w14:anchorId="6F89FC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3.25pt;margin-top:-132.85pt;width:589.8pt;height:768pt;z-index:-251659776;mso-position-horizontal-relative:margin;mso-position-vertical-relative:margin">
          <v:imagedata r:id="rId1" o:title="image1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10350" w:type="dxa"/>
      <w:tblInd w:w="0" w:type="dxa"/>
      <w:tblLayout w:type="fixed"/>
      <w:tblLook w:val="0400" w:firstRow="0" w:lastRow="0" w:firstColumn="0" w:lastColumn="0" w:noHBand="0" w:noVBand="1"/>
    </w:tblPr>
    <w:tblGrid>
      <w:gridCol w:w="3092"/>
      <w:gridCol w:w="7258"/>
    </w:tblGrid>
    <w:tr w:rsidR="000101BB" w14:paraId="0458B9AB" w14:textId="77777777" w:rsidTr="000101BB">
      <w:trPr>
        <w:trHeight w:val="74"/>
      </w:trPr>
      <w:tc>
        <w:tcPr>
          <w:tcW w:w="3092" w:type="dxa"/>
          <w:shd w:val="clear" w:color="auto" w:fill="auto"/>
        </w:tcPr>
        <w:p w14:paraId="0A99C560" w14:textId="64F611A0" w:rsidR="000101BB" w:rsidRDefault="000101BB" w:rsidP="000101BB">
          <w:pPr>
            <w:rPr>
              <w:rFonts w:ascii="Garamond" w:eastAsia="Garamond" w:hAnsi="Garamond" w:cs="Garamond"/>
              <w:sz w:val="22"/>
              <w:szCs w:val="22"/>
            </w:rPr>
          </w:pPr>
        </w:p>
      </w:tc>
      <w:tc>
        <w:tcPr>
          <w:tcW w:w="7258" w:type="dxa"/>
          <w:shd w:val="clear" w:color="auto" w:fill="auto"/>
        </w:tcPr>
        <w:p w14:paraId="61513B31" w14:textId="77777777" w:rsidR="000101BB" w:rsidRDefault="000101BB" w:rsidP="000101BB">
          <w:pPr>
            <w:tabs>
              <w:tab w:val="right" w:pos="8838"/>
            </w:tabs>
            <w:jc w:val="both"/>
            <w:rPr>
              <w:rFonts w:ascii="Arial" w:eastAsia="Arial" w:hAnsi="Arial" w:cs="Arial"/>
              <w:b/>
              <w:bCs/>
              <w:sz w:val="22"/>
              <w:szCs w:val="22"/>
            </w:rPr>
          </w:pPr>
        </w:p>
      </w:tc>
    </w:tr>
  </w:tbl>
  <w:tbl>
    <w:tblPr>
      <w:tblStyle w:val="a4"/>
      <w:tblW w:w="7797" w:type="dxa"/>
      <w:tblInd w:w="2835" w:type="dxa"/>
      <w:tblLayout w:type="fixed"/>
      <w:tblLook w:val="0400" w:firstRow="0" w:lastRow="0" w:firstColumn="0" w:lastColumn="0" w:noHBand="0" w:noVBand="1"/>
    </w:tblPr>
    <w:tblGrid>
      <w:gridCol w:w="2760"/>
      <w:gridCol w:w="5037"/>
    </w:tblGrid>
    <w:tr w:rsidR="000101BB" w14:paraId="5865C1BA" w14:textId="77777777" w:rsidTr="000101BB">
      <w:trPr>
        <w:trHeight w:val="144"/>
      </w:trPr>
      <w:tc>
        <w:tcPr>
          <w:tcW w:w="2760" w:type="dxa"/>
          <w:shd w:val="clear" w:color="auto" w:fill="auto"/>
        </w:tcPr>
        <w:p w14:paraId="30E046E3" w14:textId="5C02CD28" w:rsidR="000101BB" w:rsidRDefault="00E54902" w:rsidP="00E54902">
          <w:pPr>
            <w:tabs>
              <w:tab w:val="right" w:pos="8838"/>
            </w:tabs>
            <w:ind w:left="-115" w:right="-105"/>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 </w:t>
          </w:r>
          <w:r w:rsidR="000101BB">
            <w:rPr>
              <w:rFonts w:ascii="Palatino Linotype" w:eastAsia="Palatino Linotype" w:hAnsi="Palatino Linotype" w:cs="Palatino Linotype"/>
              <w:b/>
              <w:bCs/>
            </w:rPr>
            <w:t>Recurso de Revisión:</w:t>
          </w:r>
        </w:p>
      </w:tc>
      <w:tc>
        <w:tcPr>
          <w:tcW w:w="5037" w:type="dxa"/>
        </w:tcPr>
        <w:p w14:paraId="270C3288" w14:textId="77777777" w:rsidR="000101BB" w:rsidRDefault="000101BB" w:rsidP="000101BB">
          <w:pPr>
            <w:ind w:left="-66" w:right="-203"/>
            <w:rPr>
              <w:rFonts w:ascii="Palatino Linotype" w:eastAsia="Palatino Linotype" w:hAnsi="Palatino Linotype" w:cs="Palatino Linotype"/>
              <w:b/>
              <w:bCs/>
            </w:rPr>
          </w:pPr>
          <w:r>
            <w:rPr>
              <w:rFonts w:ascii="Palatino Linotype" w:eastAsia="Palatino Linotype" w:hAnsi="Palatino Linotype" w:cs="Palatino Linotype"/>
            </w:rPr>
            <w:t>13283/INFOEM/IP/RR/2025</w:t>
          </w:r>
        </w:p>
      </w:tc>
    </w:tr>
    <w:tr w:rsidR="000101BB" w14:paraId="62A9A6BA" w14:textId="77777777" w:rsidTr="000101BB">
      <w:trPr>
        <w:trHeight w:val="144"/>
      </w:trPr>
      <w:tc>
        <w:tcPr>
          <w:tcW w:w="2760" w:type="dxa"/>
          <w:shd w:val="clear" w:color="auto" w:fill="auto"/>
        </w:tcPr>
        <w:p w14:paraId="52C5E35F" w14:textId="77777777" w:rsidR="000101BB" w:rsidRDefault="000101BB" w:rsidP="000101BB">
          <w:pPr>
            <w:tabs>
              <w:tab w:val="right" w:pos="8838"/>
            </w:tabs>
            <w:ind w:left="-66"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037" w:type="dxa"/>
        </w:tcPr>
        <w:p w14:paraId="0CB09572" w14:textId="782964EE" w:rsidR="000101BB" w:rsidRDefault="00E54902" w:rsidP="000101BB">
          <w:pPr>
            <w:ind w:left="-66" w:right="-203"/>
            <w:rPr>
              <w:rFonts w:ascii="Palatino Linotype" w:eastAsia="Palatino Linotype" w:hAnsi="Palatino Linotype" w:cs="Palatino Linotype"/>
            </w:rPr>
          </w:pPr>
          <w:r>
            <w:rPr>
              <w:rFonts w:ascii="Palatino Linotype" w:eastAsia="Palatino Linotype" w:hAnsi="Palatino Linotype" w:cs="Palatino Linotype"/>
            </w:rPr>
            <w:t>XXXX</w:t>
          </w:r>
        </w:p>
      </w:tc>
    </w:tr>
    <w:tr w:rsidR="000101BB" w14:paraId="7A38CF2B" w14:textId="77777777" w:rsidTr="000101BB">
      <w:trPr>
        <w:trHeight w:val="283"/>
      </w:trPr>
      <w:tc>
        <w:tcPr>
          <w:tcW w:w="2760" w:type="dxa"/>
          <w:shd w:val="clear" w:color="auto" w:fill="auto"/>
        </w:tcPr>
        <w:p w14:paraId="216E2455" w14:textId="77777777" w:rsidR="000101BB" w:rsidRDefault="000101BB" w:rsidP="000101BB">
          <w:pPr>
            <w:tabs>
              <w:tab w:val="right" w:pos="8838"/>
            </w:tabs>
            <w:ind w:left="-66" w:right="-105"/>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037" w:type="dxa"/>
        </w:tcPr>
        <w:p w14:paraId="1974A6E6" w14:textId="77777777" w:rsidR="000101BB" w:rsidRDefault="000101BB" w:rsidP="000101BB">
          <w:pPr>
            <w:ind w:left="-66" w:right="-203"/>
            <w:rPr>
              <w:rFonts w:ascii="Palatino Linotype" w:eastAsia="Palatino Linotype" w:hAnsi="Palatino Linotype" w:cs="Palatino Linotype"/>
            </w:rPr>
          </w:pPr>
          <w:r>
            <w:rPr>
              <w:rFonts w:ascii="Palatino Linotype" w:eastAsia="Palatino Linotype" w:hAnsi="Palatino Linotype" w:cs="Palatino Linotype"/>
            </w:rPr>
            <w:t>Sistema Municipal Para el Desarrollo Integral de la Familia de San Felipe del Progreso</w:t>
          </w:r>
        </w:p>
      </w:tc>
    </w:tr>
    <w:tr w:rsidR="000101BB" w14:paraId="1FF04D5A" w14:textId="77777777" w:rsidTr="000101BB">
      <w:trPr>
        <w:trHeight w:val="283"/>
      </w:trPr>
      <w:tc>
        <w:tcPr>
          <w:tcW w:w="2760" w:type="dxa"/>
          <w:shd w:val="clear" w:color="auto" w:fill="auto"/>
        </w:tcPr>
        <w:p w14:paraId="7070ACFD" w14:textId="77777777" w:rsidR="000101BB" w:rsidRDefault="000101BB" w:rsidP="000101BB">
          <w:pPr>
            <w:tabs>
              <w:tab w:val="right" w:pos="8838"/>
            </w:tabs>
            <w:ind w:left="-66" w:right="-105"/>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037" w:type="dxa"/>
        </w:tcPr>
        <w:p w14:paraId="2DA9563B" w14:textId="77777777" w:rsidR="000101BB" w:rsidRDefault="000101BB" w:rsidP="000101BB">
          <w:pPr>
            <w:ind w:left="-66" w:right="-20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14:paraId="545DD3B3" w14:textId="77777777" w:rsidR="000101BB" w:rsidRDefault="000101BB" w:rsidP="000101BB">
          <w:pPr>
            <w:ind w:left="-66" w:right="-203"/>
            <w:rPr>
              <w:rFonts w:ascii="Palatino Linotype" w:eastAsia="Palatino Linotype" w:hAnsi="Palatino Linotype" w:cs="Palatino Linotype"/>
            </w:rPr>
          </w:pPr>
        </w:p>
      </w:tc>
    </w:tr>
  </w:tbl>
  <w:p w14:paraId="5AD79A0E" w14:textId="4F0F1F4F" w:rsidR="000101BB" w:rsidRDefault="00D849D5" w:rsidP="000101BB">
    <w:pPr>
      <w:pBdr>
        <w:top w:val="nil"/>
        <w:left w:val="nil"/>
        <w:bottom w:val="nil"/>
        <w:right w:val="nil"/>
        <w:between w:val="nil"/>
      </w:pBdr>
      <w:tabs>
        <w:tab w:val="center" w:pos="4419"/>
        <w:tab w:val="right" w:pos="8838"/>
      </w:tabs>
      <w:rPr>
        <w:color w:val="000000"/>
        <w:sz w:val="2"/>
        <w:szCs w:val="2"/>
      </w:rPr>
    </w:pPr>
    <w:r>
      <w:rPr>
        <w:color w:val="000000"/>
        <w:sz w:val="2"/>
        <w:szCs w:val="2"/>
      </w:rPr>
      <w:pict w14:anchorId="1B96EB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56.9pt;margin-top:-153.2pt;width:589.8pt;height:768pt;z-index:-251658752;mso-position-horizontal-relative:margin;mso-position-vertical-relative:margin">
          <v:imagedata r:id="rId1" o:title="image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F04A9"/>
    <w:multiLevelType w:val="multilevel"/>
    <w:tmpl w:val="2DD6D7D8"/>
    <w:lvl w:ilvl="0">
      <w:start w:val="48"/>
      <w:numFmt w:val="decimal"/>
      <w:lvlText w:val="%1."/>
      <w:lvlJc w:val="left"/>
      <w:pPr>
        <w:ind w:left="1495" w:hanging="360"/>
      </w:pPr>
      <w:rPr>
        <w:rFonts w:ascii="Palatino Linotype" w:eastAsia="Palatino Linotype" w:hAnsi="Palatino Linotype" w:cs="Palatino Linotype" w:hint="default"/>
        <w:b/>
        <w:bCs/>
        <w:i w:val="0"/>
        <w:iCs w:val="0"/>
        <w:color w:val="000000"/>
        <w:sz w:val="24"/>
        <w:szCs w:val="24"/>
      </w:rPr>
    </w:lvl>
    <w:lvl w:ilvl="1">
      <w:start w:val="1"/>
      <w:numFmt w:val="decimal"/>
      <w:lvlText w:val="%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76311B9"/>
    <w:multiLevelType w:val="multilevel"/>
    <w:tmpl w:val="2E34D59A"/>
    <w:lvl w:ilvl="0">
      <w:start w:val="1"/>
      <w:numFmt w:val="lowerLetter"/>
      <w:lvlText w:val="%1)"/>
      <w:lvlJc w:val="left"/>
      <w:pPr>
        <w:ind w:left="1068" w:hanging="360"/>
      </w:pPr>
      <w:rPr>
        <w:rFonts w:ascii="Palatino Linotype" w:eastAsia="Palatino Linotype" w:hAnsi="Palatino Linotype" w:cs="Palatino Linotype"/>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08A8440C"/>
    <w:multiLevelType w:val="multilevel"/>
    <w:tmpl w:val="8304B0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B8C2C37"/>
    <w:multiLevelType w:val="multilevel"/>
    <w:tmpl w:val="FA90EA30"/>
    <w:lvl w:ilvl="0">
      <w:start w:val="38"/>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0E17FB"/>
    <w:multiLevelType w:val="multilevel"/>
    <w:tmpl w:val="80966CF8"/>
    <w:lvl w:ilvl="0">
      <w:start w:val="9"/>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2030F5"/>
    <w:multiLevelType w:val="multilevel"/>
    <w:tmpl w:val="C7661A64"/>
    <w:lvl w:ilvl="0">
      <w:start w:val="65"/>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405D96"/>
    <w:multiLevelType w:val="multilevel"/>
    <w:tmpl w:val="20B2D556"/>
    <w:lvl w:ilvl="0">
      <w:start w:val="1"/>
      <w:numFmt w:val="bullet"/>
      <w:lvlText w:val="●"/>
      <w:lvlJc w:val="left"/>
      <w:pPr>
        <w:ind w:left="1855" w:hanging="360"/>
      </w:pPr>
      <w:rPr>
        <w:rFonts w:ascii="Noto Sans Symbols" w:eastAsia="Noto Sans Symbols" w:hAnsi="Noto Sans Symbols" w:cs="Noto Sans Symbols"/>
      </w:rPr>
    </w:lvl>
    <w:lvl w:ilvl="1">
      <w:start w:val="1"/>
      <w:numFmt w:val="bullet"/>
      <w:lvlText w:val="o"/>
      <w:lvlJc w:val="left"/>
      <w:pPr>
        <w:ind w:left="2575" w:hanging="360"/>
      </w:pPr>
      <w:rPr>
        <w:rFonts w:ascii="Courier New" w:eastAsia="Courier New" w:hAnsi="Courier New" w:cs="Courier New"/>
      </w:rPr>
    </w:lvl>
    <w:lvl w:ilvl="2">
      <w:start w:val="1"/>
      <w:numFmt w:val="bullet"/>
      <w:lvlText w:val="▪"/>
      <w:lvlJc w:val="left"/>
      <w:pPr>
        <w:ind w:left="3295" w:hanging="360"/>
      </w:pPr>
      <w:rPr>
        <w:rFonts w:ascii="Noto Sans Symbols" w:eastAsia="Noto Sans Symbols" w:hAnsi="Noto Sans Symbols" w:cs="Noto Sans Symbols"/>
      </w:rPr>
    </w:lvl>
    <w:lvl w:ilvl="3">
      <w:start w:val="1"/>
      <w:numFmt w:val="bullet"/>
      <w:lvlText w:val="●"/>
      <w:lvlJc w:val="left"/>
      <w:pPr>
        <w:ind w:left="4015" w:hanging="360"/>
      </w:pPr>
      <w:rPr>
        <w:rFonts w:ascii="Noto Sans Symbols" w:eastAsia="Noto Sans Symbols" w:hAnsi="Noto Sans Symbols" w:cs="Noto Sans Symbols"/>
      </w:rPr>
    </w:lvl>
    <w:lvl w:ilvl="4">
      <w:start w:val="1"/>
      <w:numFmt w:val="bullet"/>
      <w:lvlText w:val="o"/>
      <w:lvlJc w:val="left"/>
      <w:pPr>
        <w:ind w:left="4735" w:hanging="360"/>
      </w:pPr>
      <w:rPr>
        <w:rFonts w:ascii="Courier New" w:eastAsia="Courier New" w:hAnsi="Courier New" w:cs="Courier New"/>
      </w:rPr>
    </w:lvl>
    <w:lvl w:ilvl="5">
      <w:start w:val="1"/>
      <w:numFmt w:val="bullet"/>
      <w:lvlText w:val="▪"/>
      <w:lvlJc w:val="left"/>
      <w:pPr>
        <w:ind w:left="5455" w:hanging="360"/>
      </w:pPr>
      <w:rPr>
        <w:rFonts w:ascii="Noto Sans Symbols" w:eastAsia="Noto Sans Symbols" w:hAnsi="Noto Sans Symbols" w:cs="Noto Sans Symbols"/>
      </w:rPr>
    </w:lvl>
    <w:lvl w:ilvl="6">
      <w:start w:val="1"/>
      <w:numFmt w:val="bullet"/>
      <w:lvlText w:val="●"/>
      <w:lvlJc w:val="left"/>
      <w:pPr>
        <w:ind w:left="6175" w:hanging="360"/>
      </w:pPr>
      <w:rPr>
        <w:rFonts w:ascii="Noto Sans Symbols" w:eastAsia="Noto Sans Symbols" w:hAnsi="Noto Sans Symbols" w:cs="Noto Sans Symbols"/>
      </w:rPr>
    </w:lvl>
    <w:lvl w:ilvl="7">
      <w:start w:val="1"/>
      <w:numFmt w:val="bullet"/>
      <w:lvlText w:val="o"/>
      <w:lvlJc w:val="left"/>
      <w:pPr>
        <w:ind w:left="6895" w:hanging="360"/>
      </w:pPr>
      <w:rPr>
        <w:rFonts w:ascii="Courier New" w:eastAsia="Courier New" w:hAnsi="Courier New" w:cs="Courier New"/>
      </w:rPr>
    </w:lvl>
    <w:lvl w:ilvl="8">
      <w:start w:val="1"/>
      <w:numFmt w:val="bullet"/>
      <w:lvlText w:val="▪"/>
      <w:lvlJc w:val="left"/>
      <w:pPr>
        <w:ind w:left="7615" w:hanging="360"/>
      </w:pPr>
      <w:rPr>
        <w:rFonts w:ascii="Noto Sans Symbols" w:eastAsia="Noto Sans Symbols" w:hAnsi="Noto Sans Symbols" w:cs="Noto Sans Symbols"/>
      </w:rPr>
    </w:lvl>
  </w:abstractNum>
  <w:abstractNum w:abstractNumId="7" w15:restartNumberingAfterBreak="0">
    <w:nsid w:val="15F50D29"/>
    <w:multiLevelType w:val="multilevel"/>
    <w:tmpl w:val="41EAFFCC"/>
    <w:lvl w:ilvl="0">
      <w:start w:val="15"/>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0F5012"/>
    <w:multiLevelType w:val="multilevel"/>
    <w:tmpl w:val="EE6AE390"/>
    <w:lvl w:ilvl="0">
      <w:start w:val="76"/>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3840A8"/>
    <w:multiLevelType w:val="multilevel"/>
    <w:tmpl w:val="0C42B5E8"/>
    <w:lvl w:ilvl="0">
      <w:start w:val="165"/>
      <w:numFmt w:val="decimal"/>
      <w:lvlText w:val="%1."/>
      <w:lvlJc w:val="left"/>
      <w:pPr>
        <w:ind w:left="786"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866" w:hanging="360"/>
      </w:pPr>
      <w:rPr>
        <w:rFonts w:hint="default"/>
      </w:rPr>
    </w:lvl>
    <w:lvl w:ilvl="2">
      <w:start w:val="1"/>
      <w:numFmt w:val="lowerRoman"/>
      <w:lvlText w:val="%3."/>
      <w:lvlJc w:val="right"/>
      <w:pPr>
        <w:ind w:left="2586" w:hanging="180"/>
      </w:pPr>
      <w:rPr>
        <w:rFonts w:hint="default"/>
      </w:rPr>
    </w:lvl>
    <w:lvl w:ilvl="3">
      <w:start w:val="1"/>
      <w:numFmt w:val="decimal"/>
      <w:lvlText w:val="%4."/>
      <w:lvlJc w:val="left"/>
      <w:pPr>
        <w:ind w:left="3306" w:hanging="360"/>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0" w15:restartNumberingAfterBreak="0">
    <w:nsid w:val="24731905"/>
    <w:multiLevelType w:val="multilevel"/>
    <w:tmpl w:val="163AEE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016307"/>
    <w:multiLevelType w:val="multilevel"/>
    <w:tmpl w:val="9ADA45EA"/>
    <w:lvl w:ilvl="0">
      <w:start w:val="6"/>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6541C12"/>
    <w:multiLevelType w:val="multilevel"/>
    <w:tmpl w:val="425A0C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7569BC"/>
    <w:multiLevelType w:val="multilevel"/>
    <w:tmpl w:val="38C2F734"/>
    <w:lvl w:ilvl="0">
      <w:start w:val="100"/>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7AF7097"/>
    <w:multiLevelType w:val="multilevel"/>
    <w:tmpl w:val="F2261AEA"/>
    <w:lvl w:ilvl="0">
      <w:start w:val="44"/>
      <w:numFmt w:val="decimal"/>
      <w:lvlText w:val="%1."/>
      <w:lvlJc w:val="left"/>
      <w:pPr>
        <w:ind w:left="3479" w:hanging="36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8722952"/>
    <w:multiLevelType w:val="multilevel"/>
    <w:tmpl w:val="E6FC0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5D25A5"/>
    <w:multiLevelType w:val="multilevel"/>
    <w:tmpl w:val="C088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E20EC1"/>
    <w:multiLevelType w:val="multilevel"/>
    <w:tmpl w:val="A9301F24"/>
    <w:lvl w:ilvl="0">
      <w:start w:val="67"/>
      <w:numFmt w:val="decimal"/>
      <w:lvlText w:val="%1."/>
      <w:lvlJc w:val="left"/>
      <w:pPr>
        <w:ind w:left="1495" w:hanging="360"/>
      </w:pPr>
      <w:rPr>
        <w:rFonts w:hint="default"/>
        <w:b/>
        <w:bCs/>
        <w:i w:val="0"/>
        <w:iCs w:val="0"/>
        <w:color w:val="000000"/>
        <w:sz w:val="24"/>
        <w:szCs w:val="24"/>
      </w:rPr>
    </w:lvl>
    <w:lvl w:ilvl="1">
      <w:start w:val="1"/>
      <w:numFmt w:val="decimal"/>
      <w:lvlText w:val="%2)"/>
      <w:lvlJc w:val="left"/>
      <w:pPr>
        <w:ind w:left="1440" w:hanging="360"/>
      </w:pPr>
      <w:rPr>
        <w:rFonts w:hint="default"/>
        <w:b/>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6F73602"/>
    <w:multiLevelType w:val="multilevel"/>
    <w:tmpl w:val="4530AB4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230E2C"/>
    <w:multiLevelType w:val="multilevel"/>
    <w:tmpl w:val="E1B0A3D2"/>
    <w:lvl w:ilvl="0">
      <w:start w:val="86"/>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E750F5"/>
    <w:multiLevelType w:val="multilevel"/>
    <w:tmpl w:val="E2F09B1C"/>
    <w:lvl w:ilvl="0">
      <w:start w:val="68"/>
      <w:numFmt w:val="decimal"/>
      <w:lvlText w:val="%1."/>
      <w:lvlJc w:val="left"/>
      <w:pPr>
        <w:ind w:left="360" w:hanging="360"/>
      </w:pPr>
      <w:rPr>
        <w:rFonts w:ascii="Palatino Linotype" w:hAnsi="Palatino Linotype" w:hint="default"/>
        <w:b/>
        <w:bCs/>
        <w:i w:val="0"/>
        <w:i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E0321BB"/>
    <w:multiLevelType w:val="multilevel"/>
    <w:tmpl w:val="60D66C2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2" w15:restartNumberingAfterBreak="0">
    <w:nsid w:val="528047D7"/>
    <w:multiLevelType w:val="multilevel"/>
    <w:tmpl w:val="99D2BD0E"/>
    <w:lvl w:ilvl="0">
      <w:start w:val="23"/>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58E7668"/>
    <w:multiLevelType w:val="multilevel"/>
    <w:tmpl w:val="74403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5991286"/>
    <w:multiLevelType w:val="multilevel"/>
    <w:tmpl w:val="87380174"/>
    <w:lvl w:ilvl="0">
      <w:start w:val="99"/>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525957"/>
    <w:multiLevelType w:val="multilevel"/>
    <w:tmpl w:val="2BB428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AE545FC"/>
    <w:multiLevelType w:val="multilevel"/>
    <w:tmpl w:val="3F24C560"/>
    <w:lvl w:ilvl="0">
      <w:start w:val="64"/>
      <w:numFmt w:val="decimal"/>
      <w:lvlText w:val="%1."/>
      <w:lvlJc w:val="left"/>
      <w:pPr>
        <w:ind w:left="1495" w:hanging="360"/>
      </w:pPr>
      <w:rPr>
        <w:rFonts w:ascii="Palatino Linotype" w:eastAsia="Palatino Linotype" w:hAnsi="Palatino Linotype" w:cs="Palatino Linotype"/>
        <w:b/>
        <w:bCs/>
        <w:i w:val="0"/>
        <w:iCs w:val="0"/>
        <w:strike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BED567B"/>
    <w:multiLevelType w:val="multilevel"/>
    <w:tmpl w:val="FB86DC00"/>
    <w:lvl w:ilvl="0">
      <w:start w:val="94"/>
      <w:numFmt w:val="decimal"/>
      <w:lvlText w:val="%1."/>
      <w:lvlJc w:val="left"/>
      <w:pPr>
        <w:ind w:left="928"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903108"/>
    <w:multiLevelType w:val="multilevel"/>
    <w:tmpl w:val="623E6842"/>
    <w:lvl w:ilvl="0">
      <w:start w:val="34"/>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1524F74"/>
    <w:multiLevelType w:val="multilevel"/>
    <w:tmpl w:val="3906F9E8"/>
    <w:lvl w:ilvl="0">
      <w:start w:val="101"/>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67E16EE5"/>
    <w:multiLevelType w:val="multilevel"/>
    <w:tmpl w:val="22EE4DD4"/>
    <w:lvl w:ilvl="0">
      <w:start w:val="63"/>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89A3B47"/>
    <w:multiLevelType w:val="multilevel"/>
    <w:tmpl w:val="8982AACA"/>
    <w:lvl w:ilvl="0">
      <w:start w:val="77"/>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AD12914"/>
    <w:multiLevelType w:val="multilevel"/>
    <w:tmpl w:val="ED4C1890"/>
    <w:lvl w:ilvl="0">
      <w:start w:val="62"/>
      <w:numFmt w:val="decimal"/>
      <w:lvlText w:val="%1."/>
      <w:lvlJc w:val="left"/>
      <w:pPr>
        <w:ind w:left="360" w:hanging="360"/>
      </w:pPr>
      <w:rPr>
        <w:rFonts w:hint="default"/>
        <w:b/>
        <w:bCs/>
        <w:i w:val="0"/>
        <w:i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BEF110D"/>
    <w:multiLevelType w:val="multilevel"/>
    <w:tmpl w:val="A46433FE"/>
    <w:lvl w:ilvl="0">
      <w:start w:val="1"/>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12859B1"/>
    <w:multiLevelType w:val="multilevel"/>
    <w:tmpl w:val="63B6C0F2"/>
    <w:lvl w:ilvl="0">
      <w:start w:val="13"/>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CF17977"/>
    <w:multiLevelType w:val="multilevel"/>
    <w:tmpl w:val="3CCCE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3"/>
  </w:num>
  <w:num w:numId="2">
    <w:abstractNumId w:val="35"/>
  </w:num>
  <w:num w:numId="3">
    <w:abstractNumId w:val="11"/>
  </w:num>
  <w:num w:numId="4">
    <w:abstractNumId w:val="18"/>
  </w:num>
  <w:num w:numId="5">
    <w:abstractNumId w:val="12"/>
  </w:num>
  <w:num w:numId="6">
    <w:abstractNumId w:val="16"/>
  </w:num>
  <w:num w:numId="7">
    <w:abstractNumId w:val="34"/>
  </w:num>
  <w:num w:numId="8">
    <w:abstractNumId w:val="21"/>
  </w:num>
  <w:num w:numId="9">
    <w:abstractNumId w:val="7"/>
  </w:num>
  <w:num w:numId="10">
    <w:abstractNumId w:val="28"/>
  </w:num>
  <w:num w:numId="11">
    <w:abstractNumId w:val="6"/>
  </w:num>
  <w:num w:numId="12">
    <w:abstractNumId w:val="32"/>
  </w:num>
  <w:num w:numId="13">
    <w:abstractNumId w:val="2"/>
  </w:num>
  <w:num w:numId="14">
    <w:abstractNumId w:val="1"/>
  </w:num>
  <w:num w:numId="15">
    <w:abstractNumId w:val="3"/>
  </w:num>
  <w:num w:numId="16">
    <w:abstractNumId w:val="30"/>
  </w:num>
  <w:num w:numId="17">
    <w:abstractNumId w:val="5"/>
  </w:num>
  <w:num w:numId="18">
    <w:abstractNumId w:val="25"/>
  </w:num>
  <w:num w:numId="19">
    <w:abstractNumId w:val="26"/>
  </w:num>
  <w:num w:numId="20">
    <w:abstractNumId w:val="19"/>
  </w:num>
  <w:num w:numId="21">
    <w:abstractNumId w:val="8"/>
  </w:num>
  <w:num w:numId="22">
    <w:abstractNumId w:val="31"/>
  </w:num>
  <w:num w:numId="23">
    <w:abstractNumId w:val="27"/>
  </w:num>
  <w:num w:numId="24">
    <w:abstractNumId w:val="24"/>
  </w:num>
  <w:num w:numId="25">
    <w:abstractNumId w:val="9"/>
  </w:num>
  <w:num w:numId="26">
    <w:abstractNumId w:val="15"/>
  </w:num>
  <w:num w:numId="27">
    <w:abstractNumId w:val="10"/>
  </w:num>
  <w:num w:numId="28">
    <w:abstractNumId w:val="23"/>
  </w:num>
  <w:num w:numId="29">
    <w:abstractNumId w:val="22"/>
  </w:num>
  <w:num w:numId="30">
    <w:abstractNumId w:val="13"/>
  </w:num>
  <w:num w:numId="31">
    <w:abstractNumId w:val="4"/>
  </w:num>
  <w:num w:numId="32">
    <w:abstractNumId w:val="29"/>
  </w:num>
  <w:num w:numId="33">
    <w:abstractNumId w:val="14"/>
  </w:num>
  <w:num w:numId="34">
    <w:abstractNumId w:val="0"/>
  </w:num>
  <w:num w:numId="35">
    <w:abstractNumId w:val="17"/>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53A"/>
    <w:rsid w:val="000101BB"/>
    <w:rsid w:val="002232EF"/>
    <w:rsid w:val="00247163"/>
    <w:rsid w:val="00247227"/>
    <w:rsid w:val="00284529"/>
    <w:rsid w:val="002F653A"/>
    <w:rsid w:val="0038240F"/>
    <w:rsid w:val="00495816"/>
    <w:rsid w:val="004E6E6F"/>
    <w:rsid w:val="00516ADD"/>
    <w:rsid w:val="00597553"/>
    <w:rsid w:val="005F3CF1"/>
    <w:rsid w:val="00701EC3"/>
    <w:rsid w:val="00725469"/>
    <w:rsid w:val="00757202"/>
    <w:rsid w:val="0080322C"/>
    <w:rsid w:val="009F1901"/>
    <w:rsid w:val="00B1125B"/>
    <w:rsid w:val="00B330F5"/>
    <w:rsid w:val="00C155DA"/>
    <w:rsid w:val="00C870A4"/>
    <w:rsid w:val="00CB53E8"/>
    <w:rsid w:val="00CB674A"/>
    <w:rsid w:val="00D262E6"/>
    <w:rsid w:val="00D42D1A"/>
    <w:rsid w:val="00D62B36"/>
    <w:rsid w:val="00D7022E"/>
    <w:rsid w:val="00D849D5"/>
    <w:rsid w:val="00D86E75"/>
    <w:rsid w:val="00DF71BB"/>
    <w:rsid w:val="00DF77EE"/>
    <w:rsid w:val="00E347FF"/>
    <w:rsid w:val="00E52060"/>
    <w:rsid w:val="00E54902"/>
    <w:rsid w:val="00E759A9"/>
    <w:rsid w:val="00EC2631"/>
    <w:rsid w:val="00FA3F8F"/>
    <w:rsid w:val="00FB2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2F653F"/>
  <w15:docId w15:val="{BEA4FC93-A691-4E40-8FB1-83B66EEBE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93CDDC"/>
        </w:tcBorders>
      </w:tcPr>
    </w:tblStylePr>
    <w:tblStylePr w:type="lastRow">
      <w:rPr>
        <w:b/>
        <w:bCs/>
      </w:rPr>
      <w:tblPr/>
      <w:tcPr>
        <w:tcBorders>
          <w:top w:val="single" w:sz="4" w:space="0" w:color="93CDDC"/>
        </w:tcBorders>
      </w:tcPr>
    </w:tblStylePr>
    <w:tblStylePr w:type="firstCol">
      <w:rPr>
        <w:b/>
        <w:bCs/>
      </w:rPr>
    </w:tblStylePr>
    <w:tblStylePr w:type="lastCol">
      <w:rPr>
        <w:b/>
        <w:bCs/>
      </w:r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2">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3">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4">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B53E8"/>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01EC3"/>
  </w:style>
  <w:style w:type="paragraph" w:styleId="Piedepgina">
    <w:name w:val="footer"/>
    <w:basedOn w:val="Normal"/>
    <w:link w:val="PiedepginaCar"/>
    <w:uiPriority w:val="99"/>
    <w:unhideWhenUsed/>
    <w:rsid w:val="000101BB"/>
    <w:pPr>
      <w:tabs>
        <w:tab w:val="center" w:pos="4419"/>
        <w:tab w:val="right" w:pos="8838"/>
      </w:tabs>
    </w:pPr>
  </w:style>
  <w:style w:type="character" w:customStyle="1" w:styleId="PiedepginaCar">
    <w:name w:val="Pie de página Car"/>
    <w:basedOn w:val="Fuentedeprrafopredeter"/>
    <w:link w:val="Piedepgina"/>
    <w:uiPriority w:val="99"/>
    <w:rsid w:val="00010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osfem.gob.mx/entidades/documentos_apoyo.html" TargetMode="External"/><Relationship Id="rId25" Type="http://schemas.openxmlformats.org/officeDocument/2006/relationships/hyperlink" Target="https://www.dof.gob.mx/nota_detalle_popup.php?codigo=5640565"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legislacion.edomex.gob.mx/sites/legislacion.edomex.gob.mx/files/files/pdf/gct/2025/abril/abr011/abr011a.pdf"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rive.google.com/drive/folders/1BoKLqqzKj053tKpGdDXLGFf9GwLi-IeG?usp=sharing"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eader" Target="header2.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Pvh0Vcd9S+Q14c4x5YEsa7iw4g==">CgMxLjAyCGgudHlqY3d0MgloLjF0M2g1c2YyCWguMTdkcDh2dTIJaC4yczhleW8xMgloLjFrc3Y0dXYyCGgubG54Yno5MgloLjJqeHN4cWgyDmguMjV4cnc5aWt1a3JvOAByITFmY0ZJeldUenhwNTBSaXZDNG1pdzJyRjVDdHB6eUo5Zg==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116</Pages>
  <Words>28993</Words>
  <Characters>159464</Characters>
  <Application>Microsoft Office Word</Application>
  <DocSecurity>0</DocSecurity>
  <Lines>1328</Lines>
  <Paragraphs>376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188081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Infoem600</dc:creator>
  <cp:lastModifiedBy>Cuenta Microsoft</cp:lastModifiedBy>
  <cp:revision>10</cp:revision>
  <cp:lastPrinted>2026-06-05T16:54:00Z</cp:lastPrinted>
  <dcterms:created xsi:type="dcterms:W3CDTF">2026-05-26T18:54:00Z</dcterms:created>
  <dcterms:modified xsi:type="dcterms:W3CDTF">2026-06-10T19:00:00Z</dcterms:modified>
</cp:coreProperties>
</file>