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3EC663BE" w:rsidR="00532AE4" w:rsidRPr="00E77F7D" w:rsidRDefault="00A76F12">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E77F7D">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8E5D58" w:rsidRPr="00E77F7D">
        <w:rPr>
          <w:rFonts w:ascii="Palatino Linotype" w:eastAsia="Palatino Linotype" w:hAnsi="Palatino Linotype" w:cs="Palatino Linotype"/>
          <w:sz w:val="22"/>
          <w:szCs w:val="22"/>
        </w:rPr>
        <w:t>diecisiete</w:t>
      </w:r>
      <w:r w:rsidR="00032509" w:rsidRPr="00E77F7D">
        <w:rPr>
          <w:rFonts w:ascii="Palatino Linotype" w:eastAsia="Palatino Linotype" w:hAnsi="Palatino Linotype" w:cs="Palatino Linotype"/>
          <w:sz w:val="22"/>
          <w:szCs w:val="22"/>
        </w:rPr>
        <w:t xml:space="preserve"> de septiembre</w:t>
      </w:r>
      <w:r w:rsidR="00E55CFA" w:rsidRPr="00E77F7D">
        <w:rPr>
          <w:rFonts w:ascii="Palatino Linotype" w:eastAsia="Palatino Linotype" w:hAnsi="Palatino Linotype" w:cs="Palatino Linotype"/>
          <w:sz w:val="22"/>
          <w:szCs w:val="22"/>
        </w:rPr>
        <w:t xml:space="preserve"> de dos mil veintiséis</w:t>
      </w:r>
      <w:r w:rsidRPr="00E77F7D">
        <w:rPr>
          <w:rFonts w:ascii="Palatino Linotype" w:eastAsia="Palatino Linotype" w:hAnsi="Palatino Linotype" w:cs="Palatino Linotype"/>
          <w:sz w:val="22"/>
          <w:szCs w:val="22"/>
        </w:rPr>
        <w:t xml:space="preserve">. </w:t>
      </w:r>
    </w:p>
    <w:p w14:paraId="13FC4B2B" w14:textId="77777777" w:rsidR="00532AE4" w:rsidRPr="00E77F7D" w:rsidRDefault="00532AE4">
      <w:pPr>
        <w:spacing w:line="360" w:lineRule="auto"/>
        <w:jc w:val="both"/>
        <w:rPr>
          <w:rFonts w:ascii="Palatino Linotype" w:eastAsia="Palatino Linotype" w:hAnsi="Palatino Linotype" w:cs="Palatino Linotype"/>
          <w:b/>
          <w:sz w:val="22"/>
          <w:szCs w:val="22"/>
        </w:rPr>
      </w:pPr>
    </w:p>
    <w:p w14:paraId="50DC799A" w14:textId="594EAD94"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 xml:space="preserve">Visto </w:t>
      </w:r>
      <w:r w:rsidRPr="00E77F7D">
        <w:rPr>
          <w:rFonts w:ascii="Palatino Linotype" w:eastAsia="Palatino Linotype" w:hAnsi="Palatino Linotype" w:cs="Palatino Linotype"/>
          <w:sz w:val="22"/>
          <w:szCs w:val="22"/>
        </w:rPr>
        <w:t xml:space="preserve">el expediente relativo al recurso de revisión </w:t>
      </w:r>
      <w:r w:rsidR="008C1E2D" w:rsidRPr="00E77F7D">
        <w:rPr>
          <w:rFonts w:ascii="Palatino Linotype" w:eastAsia="Palatino Linotype" w:hAnsi="Palatino Linotype" w:cs="Palatino Linotype"/>
          <w:b/>
          <w:sz w:val="22"/>
          <w:szCs w:val="22"/>
        </w:rPr>
        <w:t>0</w:t>
      </w:r>
      <w:r w:rsidR="00621C86" w:rsidRPr="00E77F7D">
        <w:rPr>
          <w:rFonts w:ascii="Palatino Linotype" w:eastAsia="Palatino Linotype" w:hAnsi="Palatino Linotype" w:cs="Palatino Linotype"/>
          <w:b/>
          <w:sz w:val="22"/>
          <w:szCs w:val="22"/>
        </w:rPr>
        <w:t>8099</w:t>
      </w:r>
      <w:r w:rsidR="000C05BE" w:rsidRPr="00E77F7D">
        <w:rPr>
          <w:rFonts w:ascii="Palatino Linotype" w:eastAsia="Palatino Linotype" w:hAnsi="Palatino Linotype" w:cs="Palatino Linotype"/>
          <w:b/>
          <w:sz w:val="22"/>
          <w:szCs w:val="22"/>
        </w:rPr>
        <w:t>/INFOEM/IP/RR/2026</w:t>
      </w:r>
      <w:r w:rsidRPr="00E77F7D">
        <w:rPr>
          <w:rFonts w:ascii="Palatino Linotype" w:eastAsia="Palatino Linotype" w:hAnsi="Palatino Linotype" w:cs="Palatino Linotype"/>
          <w:sz w:val="22"/>
          <w:szCs w:val="22"/>
        </w:rPr>
        <w:t xml:space="preserve">, </w:t>
      </w:r>
      <w:r w:rsidRPr="00E77F7D">
        <w:rPr>
          <w:rFonts w:ascii="Palatino Linotype" w:eastAsia="Palatino Linotype" w:hAnsi="Palatino Linotype" w:cs="Palatino Linotype"/>
        </w:rPr>
        <w:t xml:space="preserve">interpuesto </w:t>
      </w:r>
      <w:r w:rsidR="0061438F" w:rsidRPr="00E77F7D">
        <w:rPr>
          <w:rFonts w:ascii="Palatino Linotype" w:eastAsia="Palatino Linotype" w:hAnsi="Palatino Linotype" w:cs="Palatino Linotype"/>
        </w:rPr>
        <w:t xml:space="preserve">por </w:t>
      </w:r>
      <w:r w:rsidR="006E0F04">
        <w:rPr>
          <w:rFonts w:ascii="Palatino Linotype" w:eastAsia="Palatino Linotype" w:hAnsi="Palatino Linotype" w:cs="Palatino Linotype"/>
          <w:b/>
          <w:sz w:val="21"/>
          <w:szCs w:val="21"/>
        </w:rPr>
        <w:t>XXXXXX XXXXX XXXXX</w:t>
      </w:r>
      <w:r w:rsidR="006E0F04">
        <w:rPr>
          <w:rFonts w:ascii="Palatino Linotype" w:eastAsia="Palatino Linotype" w:hAnsi="Palatino Linotype" w:cs="Palatino Linotype"/>
          <w:b/>
        </w:rPr>
        <w:t xml:space="preserve"> </w:t>
      </w:r>
      <w:r w:rsidRPr="00E77F7D">
        <w:rPr>
          <w:rFonts w:ascii="Palatino Linotype" w:eastAsia="Palatino Linotype" w:hAnsi="Palatino Linotype" w:cs="Palatino Linotype"/>
        </w:rPr>
        <w:t xml:space="preserve">en lo sucesivo la parte </w:t>
      </w:r>
      <w:r w:rsidRPr="00E77F7D">
        <w:rPr>
          <w:rFonts w:ascii="Palatino Linotype" w:eastAsia="Palatino Linotype" w:hAnsi="Palatino Linotype" w:cs="Palatino Linotype"/>
          <w:b/>
        </w:rPr>
        <w:t>RECURRENTE</w:t>
      </w:r>
      <w:r w:rsidRPr="00E77F7D">
        <w:rPr>
          <w:rFonts w:ascii="Palatino Linotype" w:eastAsia="Palatino Linotype" w:hAnsi="Palatino Linotype" w:cs="Palatino Linotype"/>
          <w:b/>
          <w:sz w:val="22"/>
          <w:szCs w:val="22"/>
        </w:rPr>
        <w:t xml:space="preserve">, </w:t>
      </w:r>
      <w:r w:rsidRPr="00E77F7D">
        <w:rPr>
          <w:rFonts w:ascii="Palatino Linotype" w:eastAsia="Palatino Linotype" w:hAnsi="Palatino Linotype" w:cs="Palatino Linotype"/>
          <w:sz w:val="22"/>
          <w:szCs w:val="22"/>
        </w:rPr>
        <w:t>en contra de la falta de respuesta a la solicitud de acceso a la información con número de folio</w:t>
      </w:r>
      <w:r w:rsidRPr="00E77F7D">
        <w:rPr>
          <w:rFonts w:ascii="Verdana" w:eastAsia="Verdana" w:hAnsi="Verdana" w:cs="Verdana"/>
          <w:b/>
          <w:sz w:val="22"/>
          <w:szCs w:val="22"/>
        </w:rPr>
        <w:t> </w:t>
      </w:r>
      <w:r w:rsidR="00621C86" w:rsidRPr="00E77F7D">
        <w:rPr>
          <w:rFonts w:ascii="Palatino Linotype" w:eastAsia="Palatino Linotype" w:hAnsi="Palatino Linotype" w:cs="Palatino Linotype"/>
          <w:b/>
        </w:rPr>
        <w:t>00015/TMASCALA/IP/2026</w:t>
      </w:r>
      <w:r w:rsidR="00EF743D" w:rsidRPr="00E77F7D">
        <w:rPr>
          <w:rFonts w:ascii="Palatino Linotype" w:eastAsia="Palatino Linotype" w:hAnsi="Palatino Linotype" w:cs="Palatino Linotype"/>
          <w:b/>
        </w:rPr>
        <w:t xml:space="preserve">, </w:t>
      </w:r>
      <w:r w:rsidRPr="00E77F7D">
        <w:rPr>
          <w:rFonts w:ascii="Palatino Linotype" w:eastAsia="Palatino Linotype" w:hAnsi="Palatino Linotype" w:cs="Palatino Linotype"/>
          <w:sz w:val="22"/>
          <w:szCs w:val="22"/>
        </w:rPr>
        <w:t xml:space="preserve">por parte del </w:t>
      </w:r>
      <w:r w:rsidR="00632571" w:rsidRPr="00E77F7D">
        <w:rPr>
          <w:rFonts w:ascii="Palatino Linotype" w:eastAsia="Palatino Linotype" w:hAnsi="Palatino Linotype" w:cs="Palatino Linotype"/>
          <w:b/>
          <w:sz w:val="22"/>
          <w:szCs w:val="22"/>
        </w:rPr>
        <w:t xml:space="preserve">Ayuntamiento de </w:t>
      </w:r>
      <w:r w:rsidR="00621C86" w:rsidRPr="00E77F7D">
        <w:rPr>
          <w:rFonts w:ascii="Palatino Linotype" w:eastAsia="Palatino Linotype" w:hAnsi="Palatino Linotype" w:cs="Palatino Linotype"/>
          <w:b/>
          <w:sz w:val="22"/>
          <w:szCs w:val="22"/>
        </w:rPr>
        <w:t>Temascalapa</w:t>
      </w:r>
      <w:r w:rsidR="00390FDA" w:rsidRPr="00E77F7D">
        <w:rPr>
          <w:rFonts w:ascii="Palatino Linotype" w:eastAsia="Palatino Linotype" w:hAnsi="Palatino Linotype" w:cs="Palatino Linotype"/>
          <w:b/>
          <w:sz w:val="22"/>
          <w:szCs w:val="22"/>
        </w:rPr>
        <w:t>,</w:t>
      </w:r>
      <w:r w:rsidRPr="00E77F7D">
        <w:rPr>
          <w:rFonts w:ascii="Palatino Linotype" w:eastAsia="Palatino Linotype" w:hAnsi="Palatino Linotype" w:cs="Palatino Linotype"/>
          <w:sz w:val="22"/>
          <w:szCs w:val="22"/>
        </w:rPr>
        <w:t xml:space="preserve"> en lo sucesivo el </w:t>
      </w:r>
      <w:r w:rsidRPr="00E77F7D">
        <w:rPr>
          <w:rFonts w:ascii="Palatino Linotype" w:eastAsia="Palatino Linotype" w:hAnsi="Palatino Linotype" w:cs="Palatino Linotype"/>
          <w:b/>
          <w:sz w:val="22"/>
          <w:szCs w:val="22"/>
        </w:rPr>
        <w:t xml:space="preserve">SUJETO OBLIGADO; </w:t>
      </w:r>
      <w:r w:rsidRPr="00E77F7D">
        <w:rPr>
          <w:rFonts w:ascii="Palatino Linotype" w:eastAsia="Palatino Linotype" w:hAnsi="Palatino Linotype" w:cs="Palatino Linotype"/>
          <w:sz w:val="22"/>
          <w:szCs w:val="22"/>
        </w:rPr>
        <w:t xml:space="preserve">se procede a dictar la presente resolución, con base en lo siguiente. </w:t>
      </w:r>
    </w:p>
    <w:p w14:paraId="555D501F" w14:textId="77777777" w:rsidR="00532AE4" w:rsidRPr="00E77F7D" w:rsidRDefault="00A76F12">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E77F7D">
        <w:rPr>
          <w:rFonts w:ascii="Palatino Linotype" w:eastAsia="Palatino Linotype" w:hAnsi="Palatino Linotype" w:cs="Palatino Linotype"/>
          <w:b/>
          <w:sz w:val="22"/>
          <w:szCs w:val="22"/>
        </w:rPr>
        <w:t>A N T E C E D E N T E S:</w:t>
      </w:r>
    </w:p>
    <w:p w14:paraId="77D7A248" w14:textId="77777777" w:rsidR="00532AE4" w:rsidRPr="00E77F7D" w:rsidRDefault="00532AE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26798903" w14:textId="3B1668D9"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 xml:space="preserve">1. Solicitud de acceso a la información. </w:t>
      </w:r>
      <w:r w:rsidR="00EE5E30" w:rsidRPr="00E77F7D">
        <w:rPr>
          <w:rFonts w:ascii="Palatino Linotype" w:eastAsia="Palatino Linotype" w:hAnsi="Palatino Linotype" w:cs="Palatino Linotype"/>
          <w:sz w:val="22"/>
          <w:szCs w:val="22"/>
        </w:rPr>
        <w:t>Con fecha</w:t>
      </w:r>
      <w:r w:rsidR="007469C4" w:rsidRPr="00E77F7D">
        <w:rPr>
          <w:rFonts w:ascii="Palatino Linotype" w:eastAsia="Palatino Linotype" w:hAnsi="Palatino Linotype" w:cs="Palatino Linotype"/>
          <w:sz w:val="22"/>
          <w:szCs w:val="22"/>
        </w:rPr>
        <w:t xml:space="preserve"> veintiocho de julio de dos mil veintiséis</w:t>
      </w:r>
      <w:r w:rsidRPr="00E77F7D">
        <w:rPr>
          <w:rFonts w:ascii="Palatino Linotype" w:eastAsia="Palatino Linotype" w:hAnsi="Palatino Linotype" w:cs="Palatino Linotype"/>
          <w:sz w:val="22"/>
          <w:szCs w:val="22"/>
        </w:rPr>
        <w:t xml:space="preserve">, la parte </w:t>
      </w:r>
      <w:r w:rsidRPr="00E77F7D">
        <w:rPr>
          <w:rFonts w:ascii="Palatino Linotype" w:eastAsia="Palatino Linotype" w:hAnsi="Palatino Linotype" w:cs="Palatino Linotype"/>
          <w:b/>
          <w:sz w:val="22"/>
          <w:szCs w:val="22"/>
        </w:rPr>
        <w:t xml:space="preserve">RECURRENTE </w:t>
      </w:r>
      <w:r w:rsidRPr="00E77F7D">
        <w:rPr>
          <w:rFonts w:ascii="Palatino Linotype" w:eastAsia="Palatino Linotype" w:hAnsi="Palatino Linotype" w:cs="Palatino Linotype"/>
          <w:sz w:val="22"/>
          <w:szCs w:val="22"/>
        </w:rPr>
        <w:t xml:space="preserve">formuló a través del Sistema de Acceso a la Información Mexiquense, en adelante </w:t>
      </w:r>
      <w:r w:rsidRPr="00E77F7D">
        <w:rPr>
          <w:rFonts w:ascii="Palatino Linotype" w:eastAsia="Palatino Linotype" w:hAnsi="Palatino Linotype" w:cs="Palatino Linotype"/>
          <w:b/>
          <w:sz w:val="22"/>
          <w:szCs w:val="22"/>
        </w:rPr>
        <w:t>SAIMEX,</w:t>
      </w:r>
      <w:r w:rsidRPr="00E77F7D">
        <w:rPr>
          <w:rFonts w:ascii="Palatino Linotype" w:eastAsia="Palatino Linotype" w:hAnsi="Palatino Linotype" w:cs="Palatino Linotype"/>
          <w:sz w:val="22"/>
          <w:szCs w:val="22"/>
        </w:rPr>
        <w:t xml:space="preserve"> solicitud de información al </w:t>
      </w:r>
      <w:r w:rsidRPr="00E77F7D">
        <w:rPr>
          <w:rFonts w:ascii="Palatino Linotype" w:eastAsia="Palatino Linotype" w:hAnsi="Palatino Linotype" w:cs="Palatino Linotype"/>
          <w:b/>
          <w:sz w:val="22"/>
          <w:szCs w:val="22"/>
        </w:rPr>
        <w:t>SUJETO OBLIGADO</w:t>
      </w:r>
      <w:r w:rsidR="007469C4" w:rsidRPr="00E77F7D">
        <w:rPr>
          <w:rFonts w:ascii="Palatino Linotype" w:eastAsia="Palatino Linotype" w:hAnsi="Palatino Linotype" w:cs="Palatino Linotype"/>
          <w:b/>
          <w:sz w:val="22"/>
          <w:szCs w:val="22"/>
        </w:rPr>
        <w:t xml:space="preserve">; </w:t>
      </w:r>
      <w:r w:rsidR="007469C4" w:rsidRPr="00E77F7D">
        <w:rPr>
          <w:rFonts w:ascii="Palatino Linotype" w:eastAsia="Palatino Linotype" w:hAnsi="Palatino Linotype" w:cs="Palatino Linotype"/>
          <w:bCs/>
          <w:sz w:val="22"/>
          <w:szCs w:val="22"/>
        </w:rPr>
        <w:t xml:space="preserve">no obstante, por corresponder a un día inhábil, se tuvo por presentada el </w:t>
      </w:r>
      <w:r w:rsidR="007469C4" w:rsidRPr="00E77F7D">
        <w:rPr>
          <w:rFonts w:ascii="Palatino Linotype" w:eastAsia="Palatino Linotype" w:hAnsi="Palatino Linotype" w:cs="Palatino Linotype"/>
          <w:b/>
          <w:sz w:val="22"/>
          <w:szCs w:val="22"/>
        </w:rPr>
        <w:t>tres de agosto de dos mil veintiséis</w:t>
      </w:r>
      <w:r w:rsidRPr="00E77F7D">
        <w:rPr>
          <w:rFonts w:ascii="Palatino Linotype" w:eastAsia="Palatino Linotype" w:hAnsi="Palatino Linotype" w:cs="Palatino Linotype"/>
          <w:sz w:val="22"/>
          <w:szCs w:val="22"/>
        </w:rPr>
        <w:t xml:space="preserve"> requiriéndole lo siguiente:</w:t>
      </w:r>
    </w:p>
    <w:p w14:paraId="59CC0872" w14:textId="68200746" w:rsidR="009B6117" w:rsidRPr="00E77F7D" w:rsidRDefault="009B6117" w:rsidP="00724155">
      <w:pPr>
        <w:ind w:right="616"/>
        <w:jc w:val="both"/>
        <w:rPr>
          <w:rFonts w:ascii="Palatino Linotype" w:eastAsia="Palatino Linotype" w:hAnsi="Palatino Linotype" w:cs="Palatino Linotype"/>
          <w:i/>
          <w:sz w:val="22"/>
          <w:szCs w:val="22"/>
        </w:rPr>
      </w:pPr>
    </w:p>
    <w:p w14:paraId="0F87CB2C" w14:textId="5A2FBF2A" w:rsidR="00532AE4" w:rsidRPr="00E77F7D" w:rsidRDefault="0004402A" w:rsidP="007469C4">
      <w:pPr>
        <w:ind w:left="851" w:right="758"/>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i/>
          <w:sz w:val="22"/>
          <w:szCs w:val="22"/>
        </w:rPr>
        <w:t>“</w:t>
      </w:r>
      <w:r w:rsidR="00621C86" w:rsidRPr="00E77F7D">
        <w:rPr>
          <w:rFonts w:ascii="Palatino Linotype" w:eastAsia="Palatino Linotype" w:hAnsi="Palatino Linotype" w:cs="Palatino Linotype"/>
          <w:i/>
          <w:sz w:val="22"/>
          <w:szCs w:val="22"/>
        </w:rPr>
        <w:t>INVENTARIO DE UNIDADES VEHICULARES, MARCA, MODELO, AÑO, PLACAS Y AREA DE ADSCRIPCION</w:t>
      </w:r>
      <w:r w:rsidR="00137E5A" w:rsidRPr="00E77F7D">
        <w:rPr>
          <w:rFonts w:ascii="Palatino Linotype" w:eastAsia="Palatino Linotype" w:hAnsi="Palatino Linotype" w:cs="Palatino Linotype"/>
          <w:i/>
          <w:sz w:val="22"/>
          <w:szCs w:val="22"/>
        </w:rPr>
        <w:t xml:space="preserve">” </w:t>
      </w:r>
      <w:r w:rsidR="00A76F12" w:rsidRPr="00E77F7D">
        <w:rPr>
          <w:rFonts w:ascii="Palatino Linotype" w:eastAsia="Palatino Linotype" w:hAnsi="Palatino Linotype" w:cs="Palatino Linotype"/>
          <w:i/>
          <w:sz w:val="22"/>
          <w:szCs w:val="22"/>
        </w:rPr>
        <w:t>(Sic)</w:t>
      </w:r>
      <w:r w:rsidR="00CE1553" w:rsidRPr="00E77F7D">
        <w:rPr>
          <w:rFonts w:ascii="Palatino Linotype" w:eastAsia="Palatino Linotype" w:hAnsi="Palatino Linotype" w:cs="Palatino Linotype"/>
          <w:b/>
          <w:sz w:val="22"/>
          <w:szCs w:val="22"/>
        </w:rPr>
        <w:tab/>
      </w:r>
    </w:p>
    <w:p w14:paraId="6697AE7A" w14:textId="77777777" w:rsidR="00147A44" w:rsidRPr="00E77F7D" w:rsidRDefault="00147A44">
      <w:pPr>
        <w:spacing w:line="360" w:lineRule="auto"/>
        <w:jc w:val="both"/>
        <w:rPr>
          <w:rFonts w:ascii="Palatino Linotype" w:eastAsia="Palatino Linotype" w:hAnsi="Palatino Linotype" w:cs="Palatino Linotype"/>
          <w:b/>
          <w:sz w:val="22"/>
          <w:szCs w:val="22"/>
        </w:rPr>
      </w:pPr>
    </w:p>
    <w:p w14:paraId="421C9301" w14:textId="72D3BB72" w:rsidR="00D60C04" w:rsidRPr="00E77F7D" w:rsidRDefault="00A76F12" w:rsidP="00FD5905">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 xml:space="preserve">Modalidad elegida para la entrega de la información: </w:t>
      </w:r>
      <w:r w:rsidRPr="00E77F7D">
        <w:rPr>
          <w:rFonts w:ascii="Palatino Linotype" w:eastAsia="Palatino Linotype" w:hAnsi="Palatino Linotype" w:cs="Palatino Linotype"/>
          <w:sz w:val="22"/>
          <w:szCs w:val="22"/>
        </w:rPr>
        <w:t>a través del SAIMEX.</w:t>
      </w:r>
    </w:p>
    <w:p w14:paraId="1227E94F" w14:textId="77777777" w:rsidR="00D60C04" w:rsidRPr="00E77F7D" w:rsidRDefault="00D60C04" w:rsidP="00D60C0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E77F7D" w:rsidRDefault="00FD5905">
      <w:pPr>
        <w:spacing w:line="360" w:lineRule="auto"/>
        <w:jc w:val="both"/>
        <w:rPr>
          <w:rFonts w:ascii="Palatino Linotype" w:eastAsia="Palatino Linotype" w:hAnsi="Palatino Linotype" w:cs="Palatino Linotype"/>
          <w:b/>
          <w:sz w:val="22"/>
          <w:szCs w:val="22"/>
        </w:rPr>
      </w:pPr>
      <w:r w:rsidRPr="00E77F7D">
        <w:rPr>
          <w:rFonts w:ascii="Palatino Linotype" w:eastAsia="Palatino Linotype" w:hAnsi="Palatino Linotype" w:cs="Palatino Linotype"/>
          <w:b/>
          <w:sz w:val="22"/>
          <w:szCs w:val="22"/>
        </w:rPr>
        <w:t>2</w:t>
      </w:r>
      <w:r w:rsidR="00D763D8" w:rsidRPr="00E77F7D">
        <w:rPr>
          <w:rFonts w:ascii="Palatino Linotype" w:eastAsia="Palatino Linotype" w:hAnsi="Palatino Linotype" w:cs="Palatino Linotype"/>
          <w:b/>
          <w:sz w:val="22"/>
          <w:szCs w:val="22"/>
        </w:rPr>
        <w:t xml:space="preserve">. </w:t>
      </w:r>
      <w:r w:rsidR="00A76F12" w:rsidRPr="00E77F7D">
        <w:rPr>
          <w:rFonts w:ascii="Palatino Linotype" w:eastAsia="Palatino Linotype" w:hAnsi="Palatino Linotype" w:cs="Palatino Linotype"/>
          <w:b/>
          <w:sz w:val="22"/>
          <w:szCs w:val="22"/>
        </w:rPr>
        <w:t xml:space="preserve">Respuesta. </w:t>
      </w:r>
      <w:r w:rsidR="00A76F12" w:rsidRPr="00E77F7D">
        <w:rPr>
          <w:rFonts w:ascii="Palatino Linotype" w:eastAsia="Palatino Linotype" w:hAnsi="Palatino Linotype" w:cs="Palatino Linotype"/>
          <w:sz w:val="22"/>
          <w:szCs w:val="22"/>
        </w:rPr>
        <w:t xml:space="preserve">El </w:t>
      </w:r>
      <w:r w:rsidR="00A76F12" w:rsidRPr="00E77F7D">
        <w:rPr>
          <w:rFonts w:ascii="Palatino Linotype" w:eastAsia="Palatino Linotype" w:hAnsi="Palatino Linotype" w:cs="Palatino Linotype"/>
          <w:b/>
          <w:sz w:val="22"/>
          <w:szCs w:val="22"/>
        </w:rPr>
        <w:t xml:space="preserve">SUJETO OBLIGADO </w:t>
      </w:r>
      <w:r w:rsidR="00A76F12" w:rsidRPr="00E77F7D">
        <w:rPr>
          <w:rFonts w:ascii="Palatino Linotype" w:eastAsia="Palatino Linotype" w:hAnsi="Palatino Linotype" w:cs="Palatino Linotype"/>
          <w:sz w:val="22"/>
          <w:szCs w:val="22"/>
        </w:rPr>
        <w:t xml:space="preserve">fue omiso en proporcionar respuesta. </w:t>
      </w:r>
    </w:p>
    <w:p w14:paraId="66730054"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64E077EC" w14:textId="21D96E0D" w:rsidR="00532AE4" w:rsidRPr="00E77F7D" w:rsidRDefault="00FD5905">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lastRenderedPageBreak/>
        <w:t>3</w:t>
      </w:r>
      <w:r w:rsidR="00A01FAB" w:rsidRPr="00E77F7D">
        <w:rPr>
          <w:rFonts w:ascii="Palatino Linotype" w:eastAsia="Palatino Linotype" w:hAnsi="Palatino Linotype" w:cs="Palatino Linotype"/>
          <w:b/>
          <w:sz w:val="22"/>
          <w:szCs w:val="22"/>
        </w:rPr>
        <w:t>.</w:t>
      </w:r>
      <w:r w:rsidR="00A76F12" w:rsidRPr="00E77F7D">
        <w:rPr>
          <w:rFonts w:ascii="Palatino Linotype" w:eastAsia="Palatino Linotype" w:hAnsi="Palatino Linotype" w:cs="Palatino Linotype"/>
          <w:b/>
          <w:sz w:val="22"/>
          <w:szCs w:val="22"/>
        </w:rPr>
        <w:t xml:space="preserve">Interposición del recurso de revisión. </w:t>
      </w:r>
      <w:r w:rsidR="00A76F12" w:rsidRPr="00E77F7D">
        <w:rPr>
          <w:rFonts w:ascii="Palatino Linotype" w:eastAsia="Palatino Linotype" w:hAnsi="Palatino Linotype" w:cs="Palatino Linotype"/>
          <w:sz w:val="22"/>
          <w:szCs w:val="22"/>
        </w:rPr>
        <w:t xml:space="preserve">Inconforme la parte solicitante con la falta de respuesta del </w:t>
      </w:r>
      <w:r w:rsidR="00A76F12" w:rsidRPr="00E77F7D">
        <w:rPr>
          <w:rFonts w:ascii="Palatino Linotype" w:eastAsia="Palatino Linotype" w:hAnsi="Palatino Linotype" w:cs="Palatino Linotype"/>
          <w:b/>
          <w:sz w:val="22"/>
          <w:szCs w:val="22"/>
        </w:rPr>
        <w:t>SUJETO OBLIGADO</w:t>
      </w:r>
      <w:r w:rsidR="00A76F12" w:rsidRPr="00E77F7D">
        <w:rPr>
          <w:rFonts w:ascii="Palatino Linotype" w:eastAsia="Palatino Linotype" w:hAnsi="Palatino Linotype" w:cs="Palatino Linotype"/>
          <w:sz w:val="22"/>
          <w:szCs w:val="22"/>
        </w:rPr>
        <w:t xml:space="preserve">, interpuso recurso de revisión a través del SAIMEX en fecha </w:t>
      </w:r>
      <w:r w:rsidR="00621C86" w:rsidRPr="00E77F7D">
        <w:rPr>
          <w:rFonts w:ascii="Palatino Linotype" w:eastAsia="Palatino Linotype" w:hAnsi="Palatino Linotype" w:cs="Palatino Linotype"/>
          <w:b/>
          <w:sz w:val="22"/>
          <w:szCs w:val="22"/>
        </w:rPr>
        <w:t>veinticinco</w:t>
      </w:r>
      <w:r w:rsidR="00326E2A" w:rsidRPr="00E77F7D">
        <w:rPr>
          <w:rFonts w:ascii="Palatino Linotype" w:eastAsia="Palatino Linotype" w:hAnsi="Palatino Linotype" w:cs="Palatino Linotype"/>
          <w:b/>
          <w:sz w:val="22"/>
          <w:szCs w:val="22"/>
        </w:rPr>
        <w:t xml:space="preserve"> de agosto</w:t>
      </w:r>
      <w:r w:rsidR="00401731" w:rsidRPr="00E77F7D">
        <w:rPr>
          <w:rFonts w:ascii="Palatino Linotype" w:eastAsia="Palatino Linotype" w:hAnsi="Palatino Linotype" w:cs="Palatino Linotype"/>
          <w:b/>
          <w:sz w:val="22"/>
          <w:szCs w:val="22"/>
        </w:rPr>
        <w:t xml:space="preserve"> de dos mil veintiséis</w:t>
      </w:r>
      <w:r w:rsidR="00A76F12" w:rsidRPr="00E77F7D">
        <w:rPr>
          <w:rFonts w:ascii="Palatino Linotype" w:eastAsia="Palatino Linotype" w:hAnsi="Palatino Linotype" w:cs="Palatino Linotype"/>
          <w:sz w:val="22"/>
          <w:szCs w:val="22"/>
        </w:rPr>
        <w:t>, expresando lo siguiente:</w:t>
      </w:r>
    </w:p>
    <w:p w14:paraId="126577AC"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59ACBA47" w14:textId="1099C200" w:rsidR="00532AE4" w:rsidRPr="00E77F7D" w:rsidRDefault="00A76F12">
      <w:pPr>
        <w:spacing w:line="360"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sz w:val="22"/>
          <w:szCs w:val="22"/>
        </w:rPr>
        <w:t>a) Acto impugnado</w:t>
      </w:r>
      <w:r w:rsidRPr="00E77F7D">
        <w:rPr>
          <w:rFonts w:ascii="Palatino Linotype" w:eastAsia="Palatino Linotype" w:hAnsi="Palatino Linotype" w:cs="Palatino Linotype"/>
          <w:b/>
          <w:i/>
          <w:sz w:val="22"/>
          <w:szCs w:val="22"/>
        </w:rPr>
        <w:t xml:space="preserve">. </w:t>
      </w:r>
      <w:r w:rsidR="00EB74FD" w:rsidRPr="00E77F7D">
        <w:rPr>
          <w:rFonts w:ascii="Palatino Linotype" w:eastAsia="Palatino Linotype" w:hAnsi="Palatino Linotype" w:cs="Palatino Linotype"/>
          <w:i/>
          <w:sz w:val="22"/>
          <w:szCs w:val="22"/>
        </w:rPr>
        <w:t>“</w:t>
      </w:r>
      <w:r w:rsidR="00DF7400" w:rsidRPr="00E77F7D">
        <w:rPr>
          <w:rFonts w:ascii="Palatino Linotype" w:eastAsia="Palatino Linotype" w:hAnsi="Palatino Linotype" w:cs="Palatino Linotype"/>
          <w:i/>
          <w:sz w:val="22"/>
          <w:szCs w:val="22"/>
        </w:rPr>
        <w:t>NO SE DA CONTESTACION</w:t>
      </w:r>
      <w:r w:rsidR="009B6117" w:rsidRPr="00E77F7D">
        <w:rPr>
          <w:rFonts w:ascii="Palatino Linotype" w:eastAsia="Palatino Linotype" w:hAnsi="Palatino Linotype" w:cs="Palatino Linotype"/>
          <w:i/>
          <w:sz w:val="22"/>
          <w:szCs w:val="22"/>
        </w:rPr>
        <w:t xml:space="preserve">” </w:t>
      </w:r>
      <w:r w:rsidRPr="00E77F7D">
        <w:rPr>
          <w:rFonts w:ascii="Palatino Linotype" w:eastAsia="Palatino Linotype" w:hAnsi="Palatino Linotype" w:cs="Palatino Linotype"/>
          <w:i/>
          <w:sz w:val="22"/>
          <w:szCs w:val="22"/>
        </w:rPr>
        <w:t>(Sic)</w:t>
      </w:r>
    </w:p>
    <w:p w14:paraId="527329DB" w14:textId="77777777" w:rsidR="00532AE4" w:rsidRPr="00E77F7D" w:rsidRDefault="00532AE4">
      <w:pPr>
        <w:spacing w:line="360" w:lineRule="auto"/>
        <w:ind w:left="567" w:right="616"/>
        <w:rPr>
          <w:rFonts w:ascii="Palatino Linotype" w:eastAsia="Palatino Linotype" w:hAnsi="Palatino Linotype" w:cs="Palatino Linotype"/>
          <w:b/>
          <w:sz w:val="22"/>
          <w:szCs w:val="22"/>
        </w:rPr>
      </w:pPr>
    </w:p>
    <w:p w14:paraId="27199E43" w14:textId="57173399" w:rsidR="00532AE4" w:rsidRPr="00E77F7D" w:rsidRDefault="00A76F12">
      <w:pPr>
        <w:spacing w:line="360"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sz w:val="22"/>
          <w:szCs w:val="22"/>
        </w:rPr>
        <w:t xml:space="preserve">b) Motivos de inconformidad. </w:t>
      </w:r>
      <w:r w:rsidRPr="00E77F7D">
        <w:rPr>
          <w:rFonts w:ascii="Palatino Linotype" w:eastAsia="Palatino Linotype" w:hAnsi="Palatino Linotype" w:cs="Palatino Linotype"/>
          <w:i/>
          <w:sz w:val="22"/>
          <w:szCs w:val="22"/>
        </w:rPr>
        <w:t>“</w:t>
      </w:r>
      <w:r w:rsidR="00DF7400" w:rsidRPr="00E77F7D">
        <w:rPr>
          <w:rFonts w:ascii="Palatino Linotype" w:eastAsia="Palatino Linotype" w:hAnsi="Palatino Linotype" w:cs="Palatino Linotype"/>
          <w:i/>
          <w:sz w:val="22"/>
          <w:szCs w:val="22"/>
        </w:rPr>
        <w:t xml:space="preserve">NO SE DA CONTESTACION A LA SOLICITUD DE INFORMACION </w:t>
      </w:r>
      <w:proofErr w:type="gramStart"/>
      <w:r w:rsidR="00DF7400" w:rsidRPr="00E77F7D">
        <w:rPr>
          <w:rFonts w:ascii="Palatino Linotype" w:eastAsia="Palatino Linotype" w:hAnsi="Palatino Linotype" w:cs="Palatino Linotype"/>
          <w:i/>
          <w:sz w:val="22"/>
          <w:szCs w:val="22"/>
        </w:rPr>
        <w:t>DE ACUERDO A</w:t>
      </w:r>
      <w:proofErr w:type="gramEnd"/>
      <w:r w:rsidR="00DF7400" w:rsidRPr="00E77F7D">
        <w:rPr>
          <w:rFonts w:ascii="Palatino Linotype" w:eastAsia="Palatino Linotype" w:hAnsi="Palatino Linotype" w:cs="Palatino Linotype"/>
          <w:i/>
          <w:sz w:val="22"/>
          <w:szCs w:val="22"/>
        </w:rPr>
        <w:t xml:space="preserve"> LOS TIEMPOS </w:t>
      </w:r>
      <w:proofErr w:type="gramStart"/>
      <w:r w:rsidR="00DF7400" w:rsidRPr="00E77F7D">
        <w:rPr>
          <w:rFonts w:ascii="Palatino Linotype" w:eastAsia="Palatino Linotype" w:hAnsi="Palatino Linotype" w:cs="Palatino Linotype"/>
          <w:i/>
          <w:sz w:val="22"/>
          <w:szCs w:val="22"/>
        </w:rPr>
        <w:t>PREVISTOS</w:t>
      </w:r>
      <w:r w:rsidR="002D134E" w:rsidRPr="00E77F7D">
        <w:rPr>
          <w:rFonts w:ascii="Palatino Linotype" w:eastAsia="Palatino Linotype" w:hAnsi="Palatino Linotype" w:cs="Palatino Linotype"/>
          <w:i/>
          <w:sz w:val="22"/>
          <w:szCs w:val="22"/>
        </w:rPr>
        <w:t>”</w:t>
      </w:r>
      <w:r w:rsidRPr="00E77F7D">
        <w:rPr>
          <w:rFonts w:ascii="Palatino Linotype" w:eastAsia="Palatino Linotype" w:hAnsi="Palatino Linotype" w:cs="Palatino Linotype"/>
          <w:i/>
          <w:sz w:val="22"/>
          <w:szCs w:val="22"/>
        </w:rPr>
        <w:t>(</w:t>
      </w:r>
      <w:proofErr w:type="gramEnd"/>
      <w:r w:rsidRPr="00E77F7D">
        <w:rPr>
          <w:rFonts w:ascii="Palatino Linotype" w:eastAsia="Palatino Linotype" w:hAnsi="Palatino Linotype" w:cs="Palatino Linotype"/>
          <w:i/>
          <w:sz w:val="22"/>
          <w:szCs w:val="22"/>
        </w:rPr>
        <w:t>Sic)</w:t>
      </w:r>
    </w:p>
    <w:p w14:paraId="1CD932CE" w14:textId="0DD1EB9D" w:rsidR="00532AE4" w:rsidRPr="00E77F7D" w:rsidRDefault="00532AE4">
      <w:pPr>
        <w:spacing w:line="360" w:lineRule="auto"/>
        <w:jc w:val="both"/>
        <w:rPr>
          <w:rFonts w:ascii="Palatino Linotype" w:eastAsia="Palatino Linotype" w:hAnsi="Palatino Linotype" w:cs="Palatino Linotype"/>
          <w:i/>
          <w:sz w:val="22"/>
          <w:szCs w:val="22"/>
        </w:rPr>
      </w:pPr>
    </w:p>
    <w:p w14:paraId="537EC0BB" w14:textId="6FABF595" w:rsidR="00532AE4" w:rsidRPr="00E77F7D" w:rsidRDefault="00A01FAB">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4</w:t>
      </w:r>
      <w:r w:rsidR="00A76F12" w:rsidRPr="00E77F7D">
        <w:rPr>
          <w:rFonts w:ascii="Palatino Linotype" w:eastAsia="Palatino Linotype" w:hAnsi="Palatino Linotype" w:cs="Palatino Linotype"/>
          <w:b/>
          <w:sz w:val="22"/>
          <w:szCs w:val="22"/>
        </w:rPr>
        <w:t xml:space="preserve">. Turno. </w:t>
      </w:r>
      <w:r w:rsidR="00A76F12" w:rsidRPr="00E77F7D">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E77F7D">
        <w:rPr>
          <w:rFonts w:ascii="Palatino Linotype" w:eastAsia="Palatino Linotype" w:hAnsi="Palatino Linotype" w:cs="Palatino Linotype"/>
          <w:b/>
          <w:sz w:val="22"/>
          <w:szCs w:val="22"/>
        </w:rPr>
        <w:t>Guadalupe Ramírez Peña</w:t>
      </w:r>
      <w:r w:rsidR="00A76F12" w:rsidRPr="00E77F7D">
        <w:rPr>
          <w:rFonts w:ascii="Palatino Linotype" w:eastAsia="Palatino Linotype" w:hAnsi="Palatino Linotype" w:cs="Palatino Linotype"/>
          <w:sz w:val="22"/>
          <w:szCs w:val="22"/>
        </w:rPr>
        <w:t>, a efecto de presentar al Pleno el proyecto de resolución correspondiente.</w:t>
      </w:r>
    </w:p>
    <w:p w14:paraId="1DA3D700" w14:textId="77777777" w:rsidR="00285CBA" w:rsidRPr="00E77F7D" w:rsidRDefault="00285CBA">
      <w:pPr>
        <w:spacing w:line="360" w:lineRule="auto"/>
        <w:jc w:val="both"/>
        <w:rPr>
          <w:rFonts w:ascii="Palatino Linotype" w:eastAsia="Palatino Linotype" w:hAnsi="Palatino Linotype" w:cs="Palatino Linotype"/>
          <w:sz w:val="22"/>
          <w:szCs w:val="22"/>
        </w:rPr>
      </w:pPr>
    </w:p>
    <w:p w14:paraId="6F47DF3C" w14:textId="659BDD59" w:rsidR="00532AE4" w:rsidRPr="00E77F7D" w:rsidRDefault="00417D9F">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5</w:t>
      </w:r>
      <w:r w:rsidR="00A76F12" w:rsidRPr="00E77F7D">
        <w:rPr>
          <w:rFonts w:ascii="Palatino Linotype" w:eastAsia="Palatino Linotype" w:hAnsi="Palatino Linotype" w:cs="Palatino Linotype"/>
          <w:b/>
          <w:sz w:val="22"/>
          <w:szCs w:val="22"/>
        </w:rPr>
        <w:t xml:space="preserve">. Admisión. </w:t>
      </w:r>
      <w:r w:rsidR="003E2501" w:rsidRPr="00E77F7D">
        <w:rPr>
          <w:rFonts w:ascii="Palatino Linotype" w:eastAsia="Palatino Linotype" w:hAnsi="Palatino Linotype" w:cs="Palatino Linotype"/>
          <w:sz w:val="22"/>
          <w:szCs w:val="22"/>
        </w:rPr>
        <w:t>En</w:t>
      </w:r>
      <w:r w:rsidR="000F363F" w:rsidRPr="00E77F7D">
        <w:rPr>
          <w:rFonts w:ascii="Palatino Linotype" w:eastAsia="Palatino Linotype" w:hAnsi="Palatino Linotype" w:cs="Palatino Linotype"/>
          <w:sz w:val="22"/>
          <w:szCs w:val="22"/>
        </w:rPr>
        <w:t xml:space="preserve"> </w:t>
      </w:r>
      <w:r w:rsidR="00A8506B" w:rsidRPr="00E77F7D">
        <w:rPr>
          <w:rFonts w:ascii="Palatino Linotype" w:eastAsia="Palatino Linotype" w:hAnsi="Palatino Linotype" w:cs="Palatino Linotype"/>
          <w:sz w:val="22"/>
          <w:szCs w:val="22"/>
        </w:rPr>
        <w:t xml:space="preserve">fecha </w:t>
      </w:r>
      <w:r w:rsidR="00DF7400" w:rsidRPr="00E77F7D">
        <w:rPr>
          <w:rFonts w:ascii="Palatino Linotype" w:eastAsia="Palatino Linotype" w:hAnsi="Palatino Linotype" w:cs="Palatino Linotype"/>
          <w:b/>
          <w:sz w:val="22"/>
          <w:szCs w:val="22"/>
        </w:rPr>
        <w:t>veintiséis</w:t>
      </w:r>
      <w:r w:rsidR="009C6FBB" w:rsidRPr="00E77F7D">
        <w:rPr>
          <w:rFonts w:ascii="Palatino Linotype" w:eastAsia="Palatino Linotype" w:hAnsi="Palatino Linotype" w:cs="Palatino Linotype"/>
          <w:b/>
          <w:sz w:val="22"/>
          <w:szCs w:val="22"/>
        </w:rPr>
        <w:t xml:space="preserve"> de agosto</w:t>
      </w:r>
      <w:r w:rsidR="003E2501" w:rsidRPr="00E77F7D">
        <w:rPr>
          <w:rFonts w:ascii="Palatino Linotype" w:eastAsia="Palatino Linotype" w:hAnsi="Palatino Linotype" w:cs="Palatino Linotype"/>
          <w:b/>
          <w:sz w:val="22"/>
          <w:szCs w:val="22"/>
        </w:rPr>
        <w:t xml:space="preserve"> de dos mil veintiséis</w:t>
      </w:r>
      <w:r w:rsidR="00044D36" w:rsidRPr="00E77F7D">
        <w:rPr>
          <w:rFonts w:ascii="Palatino Linotype" w:eastAsia="Palatino Linotype" w:hAnsi="Palatino Linotype" w:cs="Palatino Linotype"/>
          <w:sz w:val="22"/>
          <w:szCs w:val="22"/>
        </w:rPr>
        <w:t xml:space="preserve">, </w:t>
      </w:r>
      <w:r w:rsidR="00A76F12" w:rsidRPr="00E77F7D">
        <w:rPr>
          <w:rFonts w:ascii="Palatino Linotype" w:eastAsia="Palatino Linotype" w:hAnsi="Palatino Linotype" w:cs="Palatino Linotype"/>
          <w:sz w:val="22"/>
          <w:szCs w:val="22"/>
        </w:rPr>
        <w:t>en términos de lo dispuesto en el artículo 185 fracciones I, II y IV de la Ley de Transparencia y Acceso a la Información Pública del Estado de México y Municipios, se admitió a trámite el recurso de revisión al rubro indicado.</w:t>
      </w:r>
    </w:p>
    <w:p w14:paraId="334BE521"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5CBE0CA4" w14:textId="77777777" w:rsidR="006614E2" w:rsidRPr="00E77F7D" w:rsidRDefault="00417D9F">
      <w:pPr>
        <w:widowControl w:val="0"/>
        <w:spacing w:line="360" w:lineRule="auto"/>
        <w:ind w:right="49"/>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6</w:t>
      </w:r>
      <w:r w:rsidR="00A76F12" w:rsidRPr="00E77F7D">
        <w:rPr>
          <w:rFonts w:ascii="Palatino Linotype" w:eastAsia="Palatino Linotype" w:hAnsi="Palatino Linotype" w:cs="Palatino Linotype"/>
          <w:b/>
          <w:sz w:val="22"/>
          <w:szCs w:val="22"/>
        </w:rPr>
        <w:t>. Manifestaciones</w:t>
      </w:r>
      <w:r w:rsidR="008B25A4" w:rsidRPr="00E77F7D">
        <w:rPr>
          <w:rFonts w:ascii="Palatino Linotype" w:eastAsia="Palatino Linotype" w:hAnsi="Palatino Linotype" w:cs="Palatino Linotype"/>
          <w:sz w:val="22"/>
          <w:szCs w:val="22"/>
        </w:rPr>
        <w:t xml:space="preserve">. </w:t>
      </w:r>
      <w:r w:rsidR="006614E2" w:rsidRPr="00E77F7D">
        <w:rPr>
          <w:rFonts w:ascii="Palatino Linotype" w:eastAsia="Palatino Linotype" w:hAnsi="Palatino Linotype" w:cs="Palatino Linotype"/>
          <w:sz w:val="22"/>
          <w:szCs w:val="22"/>
        </w:rPr>
        <w:t>Las partes fueron omisas en rendir manifestaciones, como se observa a continuación en la siguiente imagen:</w:t>
      </w:r>
    </w:p>
    <w:p w14:paraId="59A51FCE" w14:textId="183203CF" w:rsidR="006614E2" w:rsidRPr="00E77F7D" w:rsidRDefault="00DF7400">
      <w:pPr>
        <w:spacing w:line="360" w:lineRule="auto"/>
        <w:jc w:val="both"/>
        <w:rPr>
          <w:rFonts w:ascii="Palatino Linotype" w:eastAsia="Palatino Linotype" w:hAnsi="Palatino Linotype" w:cs="Palatino Linotype"/>
          <w:b/>
          <w:sz w:val="22"/>
          <w:szCs w:val="22"/>
        </w:rPr>
      </w:pPr>
      <w:r w:rsidRPr="00E77F7D">
        <w:rPr>
          <w:rFonts w:ascii="Palatino Linotype" w:eastAsia="Palatino Linotype" w:hAnsi="Palatino Linotype" w:cs="Palatino Linotype"/>
          <w:b/>
          <w:noProof/>
          <w:sz w:val="22"/>
          <w:szCs w:val="22"/>
          <w:lang w:val="es-MX"/>
        </w:rPr>
        <w:lastRenderedPageBreak/>
        <w:drawing>
          <wp:inline distT="0" distB="0" distL="0" distR="0" wp14:anchorId="51C8E122" wp14:editId="3D587AFD">
            <wp:extent cx="5612130" cy="1607185"/>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1607185"/>
                    </a:xfrm>
                    <a:prstGeom prst="rect">
                      <a:avLst/>
                    </a:prstGeom>
                  </pic:spPr>
                </pic:pic>
              </a:graphicData>
            </a:graphic>
          </wp:inline>
        </w:drawing>
      </w:r>
    </w:p>
    <w:p w14:paraId="59D90F90" w14:textId="77777777" w:rsidR="006614E2" w:rsidRPr="00E77F7D" w:rsidRDefault="006614E2">
      <w:pPr>
        <w:spacing w:line="360" w:lineRule="auto"/>
        <w:jc w:val="both"/>
        <w:rPr>
          <w:rFonts w:ascii="Palatino Linotype" w:eastAsia="Palatino Linotype" w:hAnsi="Palatino Linotype" w:cs="Palatino Linotype"/>
          <w:b/>
          <w:sz w:val="22"/>
          <w:szCs w:val="22"/>
        </w:rPr>
      </w:pPr>
    </w:p>
    <w:p w14:paraId="2DD31F10" w14:textId="200D60F9" w:rsidR="00532AE4" w:rsidRPr="00E77F7D" w:rsidRDefault="00417D9F">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7</w:t>
      </w:r>
      <w:r w:rsidR="00A76F12" w:rsidRPr="00E77F7D">
        <w:rPr>
          <w:rFonts w:ascii="Palatino Linotype" w:eastAsia="Palatino Linotype" w:hAnsi="Palatino Linotype" w:cs="Palatino Linotype"/>
          <w:b/>
          <w:sz w:val="22"/>
          <w:szCs w:val="22"/>
        </w:rPr>
        <w:t xml:space="preserve">. Cierre de instrucción. </w:t>
      </w:r>
      <w:r w:rsidR="00A76F12" w:rsidRPr="00E77F7D">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009C6FBB" w:rsidRPr="00E77F7D">
        <w:rPr>
          <w:rFonts w:ascii="Palatino Linotype" w:eastAsia="Palatino Linotype" w:hAnsi="Palatino Linotype" w:cs="Palatino Linotype"/>
          <w:b/>
          <w:sz w:val="22"/>
          <w:szCs w:val="22"/>
        </w:rPr>
        <w:t>nueve</w:t>
      </w:r>
      <w:r w:rsidR="00726B4A" w:rsidRPr="00E77F7D">
        <w:rPr>
          <w:rFonts w:ascii="Palatino Linotype" w:eastAsia="Palatino Linotype" w:hAnsi="Palatino Linotype" w:cs="Palatino Linotype"/>
          <w:b/>
          <w:sz w:val="22"/>
          <w:szCs w:val="22"/>
        </w:rPr>
        <w:t xml:space="preserve"> </w:t>
      </w:r>
      <w:r w:rsidR="008E5D58" w:rsidRPr="00E77F7D">
        <w:rPr>
          <w:rFonts w:ascii="Palatino Linotype" w:eastAsia="Palatino Linotype" w:hAnsi="Palatino Linotype" w:cs="Palatino Linotype"/>
          <w:b/>
          <w:sz w:val="22"/>
          <w:szCs w:val="22"/>
        </w:rPr>
        <w:t>de septiembre</w:t>
      </w:r>
      <w:r w:rsidR="007E7839" w:rsidRPr="00E77F7D">
        <w:rPr>
          <w:rFonts w:ascii="Palatino Linotype" w:eastAsia="Palatino Linotype" w:hAnsi="Palatino Linotype" w:cs="Palatino Linotype"/>
          <w:b/>
          <w:sz w:val="22"/>
          <w:szCs w:val="22"/>
        </w:rPr>
        <w:t xml:space="preserve"> de dos mil veintiséis</w:t>
      </w:r>
      <w:r w:rsidR="00A76F12" w:rsidRPr="00E77F7D">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175B861A"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2D344C64"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4A6373F7"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6464AA30" w14:textId="77777777" w:rsidR="00532AE4" w:rsidRPr="00E77F7D" w:rsidRDefault="00A76F12">
      <w:pPr>
        <w:widowControl w:val="0"/>
        <w:spacing w:line="360" w:lineRule="auto"/>
        <w:jc w:val="center"/>
        <w:rPr>
          <w:rFonts w:ascii="Palatino Linotype" w:eastAsia="Palatino Linotype" w:hAnsi="Palatino Linotype" w:cs="Palatino Linotype"/>
          <w:b/>
          <w:sz w:val="22"/>
          <w:szCs w:val="22"/>
        </w:rPr>
      </w:pPr>
      <w:r w:rsidRPr="00E77F7D">
        <w:rPr>
          <w:rFonts w:ascii="Palatino Linotype" w:eastAsia="Palatino Linotype" w:hAnsi="Palatino Linotype" w:cs="Palatino Linotype"/>
          <w:b/>
          <w:sz w:val="22"/>
          <w:szCs w:val="22"/>
        </w:rPr>
        <w:t>II. C O N S I D E R A N D O S</w:t>
      </w:r>
    </w:p>
    <w:p w14:paraId="04E1DD04" w14:textId="77777777" w:rsidR="00532AE4" w:rsidRPr="00E77F7D" w:rsidRDefault="00532AE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E77F7D" w:rsidRDefault="00A76F12" w:rsidP="005231DC">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Primero. Competencia.</w:t>
      </w:r>
      <w:r w:rsidRPr="00E77F7D">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9100C5" w:rsidRPr="00E77F7D">
        <w:rPr>
          <w:rFonts w:ascii="Palatino Linotype" w:eastAsia="Palatino Linotype" w:hAnsi="Palatino Linotype" w:cs="Palatino Linotype"/>
          <w:sz w:val="22"/>
          <w:szCs w:val="22"/>
        </w:rPr>
        <w:t xml:space="preserve">5 párrafos cuadragésimo cuarto, cuadragésimo quinto y cuadragésimo sexto, fracciones IV y V de la Constitución Política del Estado Libre y Soberano de México; transitorio Cuarto del Decreto número 198 de la “LXII” Legislatura del </w:t>
      </w:r>
      <w:r w:rsidR="009100C5" w:rsidRPr="00E77F7D">
        <w:rPr>
          <w:rFonts w:ascii="Palatino Linotype" w:eastAsia="Palatino Linotype" w:hAnsi="Palatino Linotype" w:cs="Palatino Linotype"/>
          <w:sz w:val="22"/>
          <w:szCs w:val="22"/>
        </w:rPr>
        <w:lastRenderedPageBreak/>
        <w:t>Estado de México</w:t>
      </w:r>
      <w:r w:rsidRPr="00E77F7D">
        <w:rPr>
          <w:rFonts w:ascii="Palatino Linotype" w:eastAsia="Palatino Linotype" w:hAnsi="Palatino Linotype" w:cs="Palatino Linotype"/>
          <w:sz w:val="22"/>
          <w:szCs w:val="22"/>
        </w:rPr>
        <w:t>;</w:t>
      </w:r>
      <w:r w:rsidR="005231DC" w:rsidRPr="00E77F7D">
        <w:rPr>
          <w:rFonts w:ascii="Palatino Linotype" w:eastAsia="Palatino Linotype" w:hAnsi="Palatino Linotype" w:cs="Palatino Linotype"/>
          <w:sz w:val="22"/>
          <w:szCs w:val="22"/>
        </w:rPr>
        <w:t xml:space="preserve"> </w:t>
      </w:r>
      <w:r w:rsidRPr="00E77F7D">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5A952227"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 xml:space="preserve">Segundo. Oportunidad y Procedibilidad del Recurso de Revisión. </w:t>
      </w:r>
      <w:r w:rsidRPr="00E77F7D">
        <w:rPr>
          <w:rFonts w:ascii="Palatino Linotype" w:eastAsia="Palatino Linotype" w:hAnsi="Palatino Linotype" w:cs="Palatino Linotype"/>
          <w:sz w:val="22"/>
          <w:szCs w:val="22"/>
        </w:rPr>
        <w:t>Por cuanto hace a la oportunidad del recurso de revisión</w:t>
      </w:r>
      <w:r w:rsidRPr="00E77F7D">
        <w:rPr>
          <w:rFonts w:ascii="Palatino Linotype" w:eastAsia="Palatino Linotype" w:hAnsi="Palatino Linotype" w:cs="Palatino Linotype"/>
          <w:b/>
          <w:sz w:val="22"/>
          <w:szCs w:val="22"/>
        </w:rPr>
        <w:t xml:space="preserve"> </w:t>
      </w:r>
      <w:r w:rsidRPr="00E77F7D">
        <w:rPr>
          <w:rFonts w:ascii="Palatino Linotype" w:eastAsia="Palatino Linotype" w:hAnsi="Palatino Linotype" w:cs="Palatino Linotype"/>
          <w:sz w:val="22"/>
          <w:szCs w:val="22"/>
        </w:rPr>
        <w:t>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14:paraId="264C0617"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4D92649D"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Derivado de lo anterior, se constituye la figura jurídica de la </w:t>
      </w:r>
      <w:r w:rsidRPr="00E77F7D">
        <w:rPr>
          <w:rFonts w:ascii="Palatino Linotype" w:eastAsia="Palatino Linotype" w:hAnsi="Palatino Linotype" w:cs="Palatino Linotype"/>
          <w:b/>
          <w:sz w:val="22"/>
          <w:szCs w:val="22"/>
        </w:rPr>
        <w:t>NEGATIVA FICTA</w:t>
      </w:r>
      <w:r w:rsidRPr="00E77F7D">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7824479E"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De tal manera, en el presente recurso de revisión se actualizó la negativa ficta por parte del </w:t>
      </w:r>
      <w:r w:rsidRPr="00E77F7D">
        <w:rPr>
          <w:rFonts w:ascii="Palatino Linotype" w:eastAsia="Palatino Linotype" w:hAnsi="Palatino Linotype" w:cs="Palatino Linotype"/>
          <w:b/>
          <w:sz w:val="22"/>
          <w:szCs w:val="22"/>
        </w:rPr>
        <w:t>SUJETO OBLIGADO</w:t>
      </w:r>
      <w:r w:rsidRPr="00E77F7D">
        <w:rPr>
          <w:rFonts w:ascii="Palatino Linotype" w:eastAsia="Palatino Linotype" w:hAnsi="Palatino Linotype" w:cs="Palatino Linotype"/>
          <w:sz w:val="22"/>
          <w:szCs w:val="22"/>
        </w:rPr>
        <w:t xml:space="preserve"> al no haber respondido a la parte </w:t>
      </w:r>
      <w:r w:rsidRPr="00E77F7D">
        <w:rPr>
          <w:rFonts w:ascii="Palatino Linotype" w:eastAsia="Palatino Linotype" w:hAnsi="Palatino Linotype" w:cs="Palatino Linotype"/>
          <w:b/>
          <w:sz w:val="22"/>
          <w:szCs w:val="22"/>
        </w:rPr>
        <w:t>RECURRENTE</w:t>
      </w:r>
      <w:r w:rsidRPr="00E77F7D">
        <w:rPr>
          <w:rFonts w:ascii="Palatino Linotype" w:eastAsia="Palatino Linotype" w:hAnsi="Palatino Linotype" w:cs="Palatino Linotype"/>
          <w:sz w:val="22"/>
          <w:szCs w:val="22"/>
        </w:rPr>
        <w:t xml:space="preserve"> en tiempo y forma en el plazo legal previsto para ello, en este sentido la falta de respuesta implica necesariamente que de modo fáctico se ha negado la información por razones desconocidas, </w:t>
      </w:r>
      <w:r w:rsidRPr="00E77F7D">
        <w:rPr>
          <w:rFonts w:ascii="Palatino Linotype" w:eastAsia="Palatino Linotype" w:hAnsi="Palatino Linotype" w:cs="Palatino Linotype"/>
          <w:sz w:val="22"/>
          <w:szCs w:val="22"/>
        </w:rPr>
        <w:lastRenderedPageBreak/>
        <w:t>pero que el hecho simple de no responder apareja una forma por omisión de negar el acceso a la información.</w:t>
      </w:r>
    </w:p>
    <w:p w14:paraId="22DC742F"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7E61E53E"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Si a ello se le suma lo previsto en el párrafo segundo del artículo 178, párrafo segundo</w:t>
      </w:r>
      <w:r w:rsidRPr="00E77F7D">
        <w:rPr>
          <w:rFonts w:ascii="Palatino Linotype" w:eastAsia="Palatino Linotype" w:hAnsi="Palatino Linotype" w:cs="Palatino Linotype"/>
          <w:sz w:val="22"/>
          <w:szCs w:val="22"/>
          <w:vertAlign w:val="superscript"/>
        </w:rPr>
        <w:footnoteReference w:id="1"/>
      </w:r>
      <w:r w:rsidRPr="00E77F7D">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1F0B6ACC"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140CD766" w14:textId="77777777" w:rsidR="00532AE4" w:rsidRPr="00E77F7D" w:rsidRDefault="00532AE4">
      <w:pPr>
        <w:spacing w:line="360" w:lineRule="auto"/>
        <w:jc w:val="both"/>
        <w:rPr>
          <w:i/>
          <w:sz w:val="22"/>
          <w:szCs w:val="22"/>
        </w:rPr>
      </w:pPr>
    </w:p>
    <w:p w14:paraId="4BB01BE0" w14:textId="77777777" w:rsidR="00532AE4" w:rsidRPr="00E77F7D" w:rsidRDefault="00A76F12">
      <w:pPr>
        <w:ind w:left="567" w:right="616"/>
        <w:jc w:val="both"/>
        <w:rPr>
          <w:rFonts w:ascii="Palatino Linotype" w:eastAsia="Palatino Linotype" w:hAnsi="Palatino Linotype" w:cs="Palatino Linotype"/>
          <w:b/>
          <w:i/>
          <w:sz w:val="22"/>
          <w:szCs w:val="22"/>
        </w:rPr>
      </w:pPr>
      <w:r w:rsidRPr="00E77F7D">
        <w:rPr>
          <w:rFonts w:ascii="Palatino Linotype" w:eastAsia="Palatino Linotype" w:hAnsi="Palatino Linotype" w:cs="Palatino Linotype"/>
          <w:i/>
          <w:sz w:val="22"/>
          <w:szCs w:val="22"/>
        </w:rPr>
        <w:t>“</w:t>
      </w:r>
      <w:r w:rsidRPr="00E77F7D">
        <w:rPr>
          <w:rFonts w:ascii="Palatino Linotype" w:eastAsia="Palatino Linotype" w:hAnsi="Palatino Linotype" w:cs="Palatino Linotype"/>
          <w:b/>
          <w:i/>
          <w:sz w:val="22"/>
          <w:szCs w:val="22"/>
        </w:rPr>
        <w:t>CRITERIO 0001-15 NEGATIVA FICTA. PLAZO PARA INTERPONER EL RECURSO DE REVISIÓN TRATÁNDOSE DE</w:t>
      </w:r>
      <w:r w:rsidRPr="00E77F7D">
        <w:rPr>
          <w:rFonts w:ascii="Palatino Linotype" w:eastAsia="Palatino Linotype" w:hAnsi="Palatino Linotype" w:cs="Palatino Linotype"/>
          <w:i/>
          <w:sz w:val="22"/>
          <w:szCs w:val="22"/>
        </w:rPr>
        <w:t>.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E77F7D" w:rsidRDefault="00532AE4">
      <w:pPr>
        <w:ind w:left="567" w:right="851"/>
        <w:jc w:val="both"/>
        <w:rPr>
          <w:rFonts w:ascii="Palatino Linotype" w:eastAsia="Palatino Linotype" w:hAnsi="Palatino Linotype" w:cs="Palatino Linotype"/>
          <w:i/>
          <w:sz w:val="22"/>
          <w:szCs w:val="22"/>
        </w:rPr>
      </w:pPr>
    </w:p>
    <w:p w14:paraId="76E26C4F" w14:textId="169CE5C8" w:rsidR="00532AE4" w:rsidRPr="00E77F7D" w:rsidRDefault="00A76F12">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E77F7D">
        <w:rPr>
          <w:rFonts w:ascii="Palatino Linotype" w:eastAsia="Palatino Linotype" w:hAnsi="Palatino Linotype" w:cs="Palatino Linotype"/>
          <w:b/>
          <w:sz w:val="22"/>
          <w:szCs w:val="22"/>
        </w:rPr>
        <w:t>EL</w:t>
      </w:r>
      <w:r w:rsidRPr="00E77F7D">
        <w:rPr>
          <w:rFonts w:ascii="Palatino Linotype" w:eastAsia="Palatino Linotype" w:hAnsi="Palatino Linotype" w:cs="Palatino Linotype"/>
          <w:sz w:val="22"/>
          <w:szCs w:val="22"/>
        </w:rPr>
        <w:t xml:space="preserve"> </w:t>
      </w:r>
      <w:r w:rsidRPr="00E77F7D">
        <w:rPr>
          <w:rFonts w:ascii="Palatino Linotype" w:eastAsia="Palatino Linotype" w:hAnsi="Palatino Linotype" w:cs="Palatino Linotype"/>
          <w:b/>
          <w:sz w:val="22"/>
          <w:szCs w:val="22"/>
        </w:rPr>
        <w:t>SAIMEX</w:t>
      </w:r>
      <w:r w:rsidRPr="00E77F7D">
        <w:rPr>
          <w:rFonts w:ascii="Palatino Linotype" w:eastAsia="Palatino Linotype" w:hAnsi="Palatino Linotype" w:cs="Palatino Linotype"/>
          <w:sz w:val="22"/>
          <w:szCs w:val="22"/>
        </w:rPr>
        <w:t>.</w:t>
      </w:r>
    </w:p>
    <w:p w14:paraId="1C27DB56" w14:textId="40163621" w:rsidR="00B503D1" w:rsidRPr="00E77F7D" w:rsidRDefault="00B503D1">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Ahora bien, resulta procedente la interposición del recurso de revisión, según lo aducido por la parte </w:t>
      </w:r>
      <w:r w:rsidRPr="00E77F7D">
        <w:rPr>
          <w:rFonts w:ascii="Palatino Linotype" w:eastAsia="Palatino Linotype" w:hAnsi="Palatino Linotype" w:cs="Palatino Linotype"/>
          <w:b/>
          <w:sz w:val="22"/>
          <w:szCs w:val="22"/>
        </w:rPr>
        <w:t>RECURRENTE</w:t>
      </w:r>
      <w:r w:rsidRPr="00E77F7D">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7C0C3143" w14:textId="77777777" w:rsidR="00532AE4" w:rsidRPr="00E77F7D" w:rsidRDefault="00A76F12">
      <w:pPr>
        <w:ind w:left="567" w:right="616"/>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i/>
          <w:sz w:val="22"/>
          <w:szCs w:val="22"/>
        </w:rPr>
        <w:t>“</w:t>
      </w:r>
      <w:r w:rsidRPr="00E77F7D">
        <w:rPr>
          <w:rFonts w:ascii="Palatino Linotype" w:eastAsia="Palatino Linotype" w:hAnsi="Palatino Linotype" w:cs="Palatino Linotype"/>
          <w:b/>
          <w:sz w:val="22"/>
          <w:szCs w:val="22"/>
        </w:rPr>
        <w:t>Artículo 179.</w:t>
      </w:r>
      <w:r w:rsidRPr="00E77F7D">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E77F7D">
        <w:rPr>
          <w:rFonts w:ascii="Palatino Linotype" w:eastAsia="Palatino Linotype" w:hAnsi="Palatino Linotype" w:cs="Palatino Linotype"/>
          <w:sz w:val="22"/>
          <w:szCs w:val="22"/>
        </w:rPr>
        <w:t> </w:t>
      </w:r>
    </w:p>
    <w:p w14:paraId="7ACAE181" w14:textId="77777777" w:rsidR="00532AE4" w:rsidRPr="00E77F7D" w:rsidRDefault="00A76F12">
      <w:pPr>
        <w:ind w:left="567" w:right="616"/>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w:t>
      </w:r>
    </w:p>
    <w:p w14:paraId="543A0FF7" w14:textId="77777777" w:rsidR="00532AE4" w:rsidRPr="00E77F7D" w:rsidRDefault="00A76F12">
      <w:pPr>
        <w:numPr>
          <w:ilvl w:val="0"/>
          <w:numId w:val="4"/>
        </w:numPr>
        <w:ind w:left="567" w:right="616" w:firstLine="0"/>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E77F7D" w:rsidRDefault="00532AE4">
      <w:pPr>
        <w:spacing w:line="360" w:lineRule="auto"/>
        <w:ind w:right="1041"/>
        <w:jc w:val="both"/>
        <w:rPr>
          <w:rFonts w:ascii="Palatino Linotype" w:eastAsia="Palatino Linotype" w:hAnsi="Palatino Linotype" w:cs="Palatino Linotype"/>
          <w:i/>
          <w:sz w:val="22"/>
          <w:szCs w:val="22"/>
        </w:rPr>
      </w:pPr>
    </w:p>
    <w:p w14:paraId="16C19428" w14:textId="77777777" w:rsidR="00532AE4" w:rsidRPr="00E77F7D" w:rsidRDefault="00A76F12">
      <w:pPr>
        <w:tabs>
          <w:tab w:val="left" w:pos="8647"/>
        </w:tabs>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 xml:space="preserve">Tercero. Materia de la revisión. </w:t>
      </w:r>
      <w:r w:rsidRPr="00E77F7D">
        <w:rPr>
          <w:rFonts w:ascii="Palatino Linotype" w:eastAsia="Palatino Linotype" w:hAnsi="Palatino Linotype" w:cs="Palatino Linotype"/>
          <w:sz w:val="22"/>
          <w:szCs w:val="22"/>
        </w:rPr>
        <w:t xml:space="preserve">Este Organismo Garante procede del análisis de los agravios hechos valer por la parte </w:t>
      </w:r>
      <w:r w:rsidRPr="00E77F7D">
        <w:rPr>
          <w:rFonts w:ascii="Palatino Linotype" w:eastAsia="Palatino Linotype" w:hAnsi="Palatino Linotype" w:cs="Palatino Linotype"/>
          <w:b/>
          <w:sz w:val="22"/>
          <w:szCs w:val="22"/>
        </w:rPr>
        <w:t>Recurrente</w:t>
      </w:r>
      <w:r w:rsidRPr="00E77F7D">
        <w:rPr>
          <w:rFonts w:ascii="Palatino Linotype" w:eastAsia="Palatino Linotype" w:hAnsi="Palatino Linotype" w:cs="Palatino Linotype"/>
          <w:sz w:val="22"/>
          <w:szCs w:val="22"/>
        </w:rPr>
        <w:t xml:space="preserve">, a fin de determinar si se violenta en perjuicio de este, el derecho de acceso a la información previsto en la Constitución Política de los Estados Unidos Mexicanos y en la Constitución Política del Estado Libre y Soberano de México. </w:t>
      </w:r>
    </w:p>
    <w:p w14:paraId="1B5D8226" w14:textId="77777777" w:rsidR="00532AE4" w:rsidRPr="00E77F7D" w:rsidRDefault="00532AE4">
      <w:pPr>
        <w:tabs>
          <w:tab w:val="left" w:pos="8647"/>
        </w:tabs>
        <w:spacing w:line="360" w:lineRule="auto"/>
        <w:jc w:val="both"/>
        <w:rPr>
          <w:rFonts w:ascii="Palatino Linotype" w:eastAsia="Palatino Linotype" w:hAnsi="Palatino Linotype" w:cs="Palatino Linotype"/>
          <w:sz w:val="22"/>
          <w:szCs w:val="22"/>
        </w:rPr>
      </w:pPr>
    </w:p>
    <w:p w14:paraId="6D56A772"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 xml:space="preserve">Cuarto. Estudio del asunto. </w:t>
      </w:r>
      <w:r w:rsidRPr="00E77F7D">
        <w:rPr>
          <w:rFonts w:ascii="Palatino Linotype" w:eastAsia="Palatino Linotype" w:hAnsi="Palatino Linotype" w:cs="Palatino Linotype"/>
          <w:sz w:val="22"/>
          <w:szCs w:val="22"/>
        </w:rPr>
        <w:t xml:space="preserve">Una vez determinada la vía sobre la que versará el presente recurso, y previa revisión del expediente del recurso de revisión materia de la presente resolución, se advierte que el </w:t>
      </w:r>
      <w:r w:rsidRPr="00E77F7D">
        <w:rPr>
          <w:rFonts w:ascii="Palatino Linotype" w:eastAsia="Palatino Linotype" w:hAnsi="Palatino Linotype" w:cs="Palatino Linotype"/>
          <w:b/>
          <w:sz w:val="22"/>
          <w:szCs w:val="22"/>
        </w:rPr>
        <w:t xml:space="preserve">Sujeto Obligado </w:t>
      </w:r>
      <w:r w:rsidRPr="00E77F7D">
        <w:rPr>
          <w:rFonts w:ascii="Palatino Linotype" w:eastAsia="Palatino Linotype" w:hAnsi="Palatino Linotype" w:cs="Palatino Linotype"/>
          <w:sz w:val="22"/>
          <w:szCs w:val="22"/>
        </w:rPr>
        <w:t xml:space="preserve">no dio respuesta a la solicitud de información planteada por la parte </w:t>
      </w:r>
      <w:r w:rsidRPr="00E77F7D">
        <w:rPr>
          <w:rFonts w:ascii="Palatino Linotype" w:eastAsia="Palatino Linotype" w:hAnsi="Palatino Linotype" w:cs="Palatino Linotype"/>
          <w:b/>
          <w:sz w:val="22"/>
          <w:szCs w:val="22"/>
        </w:rPr>
        <w:t>Recurrente</w:t>
      </w:r>
      <w:r w:rsidRPr="00E77F7D">
        <w:rPr>
          <w:rFonts w:ascii="Palatino Linotype" w:eastAsia="Palatino Linotype" w:hAnsi="Palatino Linotype" w:cs="Palatino Linotype"/>
          <w:sz w:val="22"/>
          <w:szCs w:val="22"/>
        </w:rPr>
        <w:t xml:space="preserve">, lo que se traduce como la configuración de la </w:t>
      </w:r>
      <w:r w:rsidRPr="00E77F7D">
        <w:rPr>
          <w:rFonts w:ascii="Palatino Linotype" w:eastAsia="Palatino Linotype" w:hAnsi="Palatino Linotype" w:cs="Palatino Linotype"/>
          <w:b/>
          <w:sz w:val="22"/>
          <w:szCs w:val="22"/>
        </w:rPr>
        <w:t>negativa ficta</w:t>
      </w:r>
      <w:r w:rsidRPr="00E77F7D">
        <w:rPr>
          <w:rFonts w:ascii="Palatino Linotype" w:eastAsia="Palatino Linotype" w:hAnsi="Palatino Linotype" w:cs="Palatino Linotype"/>
          <w:sz w:val="22"/>
          <w:szCs w:val="22"/>
        </w:rPr>
        <w:t xml:space="preserve">, situación que demuestra la existencia del acto impugnado y procedencia del motivo </w:t>
      </w:r>
      <w:r w:rsidRPr="00E77F7D">
        <w:rPr>
          <w:rFonts w:ascii="Palatino Linotype" w:eastAsia="Palatino Linotype" w:hAnsi="Palatino Linotype" w:cs="Palatino Linotype"/>
          <w:sz w:val="22"/>
          <w:szCs w:val="22"/>
        </w:rPr>
        <w:lastRenderedPageBreak/>
        <w:t xml:space="preserve">de inconformidad, que en términos generales consistente en que el </w:t>
      </w:r>
      <w:r w:rsidRPr="00E77F7D">
        <w:rPr>
          <w:rFonts w:ascii="Palatino Linotype" w:eastAsia="Palatino Linotype" w:hAnsi="Palatino Linotype" w:cs="Palatino Linotype"/>
          <w:b/>
          <w:sz w:val="22"/>
          <w:szCs w:val="22"/>
        </w:rPr>
        <w:t>Sujeto Obligado</w:t>
      </w:r>
      <w:r w:rsidRPr="00E77F7D">
        <w:rPr>
          <w:rFonts w:ascii="Palatino Linotype" w:eastAsia="Palatino Linotype" w:hAnsi="Palatino Linotype" w:cs="Palatino Linotype"/>
          <w:sz w:val="22"/>
          <w:szCs w:val="22"/>
        </w:rPr>
        <w:t xml:space="preserve"> no emitió respuesta a la solicitud de información, dentro del plazo legal previsto para ello.</w:t>
      </w:r>
    </w:p>
    <w:p w14:paraId="3062B0BC"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5522DA90"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E77F7D">
        <w:rPr>
          <w:rFonts w:ascii="Palatino Linotype" w:eastAsia="Palatino Linotype" w:hAnsi="Palatino Linotype" w:cs="Palatino Linotype"/>
          <w:b/>
          <w:sz w:val="22"/>
          <w:szCs w:val="22"/>
        </w:rPr>
        <w:t>Recurrente</w:t>
      </w:r>
      <w:r w:rsidRPr="00E77F7D">
        <w:rPr>
          <w:rFonts w:ascii="Palatino Linotype" w:eastAsia="Palatino Linotype" w:hAnsi="Palatino Linotype" w:cs="Palatino Linotype"/>
          <w:sz w:val="22"/>
          <w:szCs w:val="22"/>
        </w:rPr>
        <w:t xml:space="preserve">, se advierte que requirió al </w:t>
      </w:r>
      <w:r w:rsidRPr="00E77F7D">
        <w:rPr>
          <w:rFonts w:ascii="Palatino Linotype" w:eastAsia="Palatino Linotype" w:hAnsi="Palatino Linotype" w:cs="Palatino Linotype"/>
          <w:b/>
          <w:sz w:val="22"/>
          <w:szCs w:val="22"/>
        </w:rPr>
        <w:t>Sujeto Obligado</w:t>
      </w:r>
      <w:r w:rsidRPr="00E77F7D">
        <w:rPr>
          <w:rFonts w:ascii="Palatino Linotype" w:eastAsia="Palatino Linotype" w:hAnsi="Palatino Linotype" w:cs="Palatino Linotype"/>
          <w:sz w:val="22"/>
          <w:szCs w:val="22"/>
        </w:rPr>
        <w:t xml:space="preserve"> le proporcionara, información consistente en lo siguiente:</w:t>
      </w:r>
    </w:p>
    <w:p w14:paraId="35279DFB" w14:textId="014E520A" w:rsidR="00532AE4" w:rsidRPr="00E77F7D" w:rsidRDefault="00B82C51" w:rsidP="007276F5">
      <w:pPr>
        <w:jc w:val="both"/>
        <w:rPr>
          <w:rFonts w:ascii="Palatino Linotype" w:eastAsia="Palatino Linotype" w:hAnsi="Palatino Linotype"/>
          <w:i/>
          <w:sz w:val="22"/>
          <w:szCs w:val="22"/>
        </w:rPr>
      </w:pPr>
      <w:r w:rsidRPr="00E77F7D">
        <w:rPr>
          <w:rFonts w:ascii="Palatino Linotype" w:eastAsia="Palatino Linotype" w:hAnsi="Palatino Linotype"/>
          <w:i/>
          <w:sz w:val="22"/>
          <w:szCs w:val="22"/>
        </w:rPr>
        <w:t>“</w:t>
      </w:r>
      <w:r w:rsidR="00DF7400" w:rsidRPr="00E77F7D">
        <w:rPr>
          <w:rFonts w:ascii="Palatino Linotype" w:eastAsia="Palatino Linotype" w:hAnsi="Palatino Linotype"/>
          <w:i/>
          <w:sz w:val="22"/>
          <w:szCs w:val="22"/>
        </w:rPr>
        <w:t>INVENTARIO DE UNIDADES VEHICULARES, MARCA, MODELO, AÑO, PLACAS Y AREA DE ADSCRIPCION</w:t>
      </w:r>
      <w:r w:rsidR="009C3B23" w:rsidRPr="00E77F7D">
        <w:rPr>
          <w:rFonts w:ascii="Palatino Linotype" w:eastAsia="Palatino Linotype" w:hAnsi="Palatino Linotype"/>
          <w:i/>
          <w:sz w:val="22"/>
          <w:szCs w:val="22"/>
        </w:rPr>
        <w:t>”</w:t>
      </w:r>
      <w:r w:rsidR="00223CD6" w:rsidRPr="00E77F7D">
        <w:rPr>
          <w:rFonts w:ascii="Palatino Linotype" w:eastAsia="Palatino Linotype" w:hAnsi="Palatino Linotype"/>
          <w:i/>
          <w:sz w:val="22"/>
          <w:szCs w:val="22"/>
        </w:rPr>
        <w:t xml:space="preserve"> (</w:t>
      </w:r>
      <w:r w:rsidR="00A76F12" w:rsidRPr="00E77F7D">
        <w:rPr>
          <w:rFonts w:ascii="Palatino Linotype" w:eastAsia="Palatino Linotype" w:hAnsi="Palatino Linotype"/>
          <w:i/>
          <w:sz w:val="22"/>
          <w:szCs w:val="22"/>
        </w:rPr>
        <w:t>Sic)</w:t>
      </w:r>
    </w:p>
    <w:p w14:paraId="4BE46D97" w14:textId="77777777" w:rsidR="00532AE4" w:rsidRPr="00E77F7D"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i/>
          <w:sz w:val="22"/>
          <w:szCs w:val="22"/>
        </w:rPr>
      </w:pPr>
    </w:p>
    <w:p w14:paraId="154D17AB"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Precisado lo anterior, se procede al análisis del presente recurso, así como al contenido íntegro de las actuaciones que obran en el expediente electrónico, para así estar en posibilidad este Organismo Garante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4991BE7B"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774559D5" w14:textId="77777777" w:rsidR="00532AE4" w:rsidRPr="00E77F7D" w:rsidRDefault="00A76F12">
      <w:pPr>
        <w:tabs>
          <w:tab w:val="left" w:pos="709"/>
        </w:tabs>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14:paraId="3A9448D3" w14:textId="77777777" w:rsidR="00532AE4" w:rsidRPr="00E77F7D" w:rsidRDefault="00532AE4">
      <w:pPr>
        <w:tabs>
          <w:tab w:val="left" w:pos="709"/>
        </w:tabs>
        <w:spacing w:line="360" w:lineRule="auto"/>
        <w:jc w:val="both"/>
        <w:rPr>
          <w:rFonts w:ascii="Palatino Linotype" w:eastAsia="Palatino Linotype" w:hAnsi="Palatino Linotype" w:cs="Palatino Linotype"/>
          <w:sz w:val="22"/>
          <w:szCs w:val="22"/>
        </w:rPr>
      </w:pPr>
    </w:p>
    <w:p w14:paraId="65BA97A6" w14:textId="77777777" w:rsidR="00532AE4" w:rsidRPr="00E77F7D"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u w:val="single"/>
        </w:rPr>
        <w:lastRenderedPageBreak/>
        <w:t>“Artículo 1o. En los Estados Unidos Mexicanos todas las personas gozarán de los derechos humanos reconocidos en esta Constitución y en los tratados internacionales de los que el Estado Mexicano sea parte</w:t>
      </w:r>
      <w:r w:rsidRPr="00E77F7D">
        <w:rPr>
          <w:rFonts w:ascii="Palatino Linotype" w:eastAsia="Palatino Linotype" w:hAnsi="Palatino Linotype" w:cs="Palatino Linotype"/>
          <w:i/>
          <w:sz w:val="22"/>
          <w:szCs w:val="22"/>
        </w:rPr>
        <w:t>, así como de las garantías para su protección, cuyo ejercicio no podrá restringirse ni suspenderse, salvo en los casos y bajo las condiciones que esta Constitución establece.</w:t>
      </w:r>
    </w:p>
    <w:p w14:paraId="4258A2B5" w14:textId="77777777" w:rsidR="00532AE4" w:rsidRPr="00E77F7D" w:rsidRDefault="00A76F12">
      <w:pPr>
        <w:tabs>
          <w:tab w:val="left" w:pos="709"/>
        </w:tabs>
        <w:spacing w:line="276" w:lineRule="auto"/>
        <w:ind w:left="567" w:right="851"/>
        <w:jc w:val="both"/>
        <w:rPr>
          <w:rFonts w:ascii="Palatino Linotype" w:eastAsia="Palatino Linotype" w:hAnsi="Palatino Linotype" w:cs="Palatino Linotype"/>
          <w:b/>
          <w:i/>
          <w:sz w:val="22"/>
          <w:szCs w:val="22"/>
        </w:rPr>
      </w:pPr>
      <w:r w:rsidRPr="00E77F7D">
        <w:rPr>
          <w:rFonts w:ascii="Palatino Linotype" w:eastAsia="Palatino Linotype" w:hAnsi="Palatino Linotype" w:cs="Palatino Linotype"/>
          <w:b/>
          <w:i/>
          <w:sz w:val="22"/>
          <w:szCs w:val="22"/>
        </w:rPr>
        <w:t>Las normas relativas a los derechos humanos se interpretarán de conformidad con esta Constitución y con los tratados internacionales de la materia favoreciendo en todo tiempo a las personas la protección más amplia.</w:t>
      </w:r>
    </w:p>
    <w:p w14:paraId="5D66C6B4" w14:textId="77777777" w:rsidR="00532AE4" w:rsidRPr="00E77F7D"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u w:val="single"/>
        </w:rPr>
        <w:t>Todas las autoridades, en el ámbito de sus competencias, tienen la obligación de promover, respetar, proteger y garantizar los derechos humanos de conformidad con los principios de universalidad, interdependencia, indivisibilidad y progresividad.</w:t>
      </w:r>
      <w:r w:rsidRPr="00E77F7D">
        <w:rPr>
          <w:rFonts w:ascii="Palatino Linotype" w:eastAsia="Palatino Linotype" w:hAnsi="Palatino Linotype" w:cs="Palatino Linotype"/>
          <w:i/>
          <w:sz w:val="22"/>
          <w:szCs w:val="22"/>
        </w:rPr>
        <w:t xml:space="preserve"> En consecuencia, el Estado deberá prevenir, investigar, sancionar y reparar las violaciones a los derechos humanos, en los términos que establezca la ley</w:t>
      </w:r>
    </w:p>
    <w:p w14:paraId="4AE1D622" w14:textId="77777777" w:rsidR="00532AE4" w:rsidRPr="00E77F7D"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i/>
          <w:sz w:val="22"/>
          <w:szCs w:val="22"/>
        </w:rPr>
        <w:t>[…]</w:t>
      </w:r>
    </w:p>
    <w:p w14:paraId="54E0C206" w14:textId="77777777" w:rsidR="00532AE4" w:rsidRPr="00E77F7D" w:rsidRDefault="00A76F12">
      <w:pPr>
        <w:spacing w:line="276" w:lineRule="auto"/>
        <w:ind w:left="567" w:right="851"/>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“Artículo 6o.</w:t>
      </w:r>
    </w:p>
    <w:p w14:paraId="4D803AB1" w14:textId="77777777" w:rsidR="00532AE4" w:rsidRPr="00E77F7D" w:rsidRDefault="00A76F12">
      <w:pPr>
        <w:spacing w:line="276" w:lineRule="auto"/>
        <w:ind w:left="567" w:right="851"/>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i/>
          <w:sz w:val="22"/>
          <w:szCs w:val="22"/>
        </w:rPr>
        <w:t>[...]</w:t>
      </w:r>
    </w:p>
    <w:p w14:paraId="4B588253" w14:textId="77777777" w:rsidR="00532AE4" w:rsidRPr="00E77F7D" w:rsidRDefault="00A76F12">
      <w:pPr>
        <w:spacing w:line="276" w:lineRule="auto"/>
        <w:ind w:left="567" w:right="851"/>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A. Para el ejercicio del derecho de acceso a la información, la Federación y </w:t>
      </w:r>
      <w:r w:rsidRPr="00E77F7D">
        <w:rPr>
          <w:rFonts w:ascii="Palatino Linotype" w:eastAsia="Palatino Linotype" w:hAnsi="Palatino Linotype" w:cs="Palatino Linotype"/>
          <w:b/>
          <w:i/>
          <w:sz w:val="22"/>
          <w:szCs w:val="22"/>
          <w:u w:val="single"/>
        </w:rPr>
        <w:t>las entidades federativas</w:t>
      </w:r>
      <w:r w:rsidRPr="00E77F7D">
        <w:rPr>
          <w:rFonts w:ascii="Palatino Linotype" w:eastAsia="Palatino Linotype" w:hAnsi="Palatino Linotype" w:cs="Palatino Linotype"/>
          <w:b/>
          <w:i/>
          <w:sz w:val="22"/>
          <w:szCs w:val="22"/>
        </w:rPr>
        <w:t>,</w:t>
      </w:r>
      <w:r w:rsidRPr="00E77F7D">
        <w:rPr>
          <w:rFonts w:ascii="Palatino Linotype" w:eastAsia="Palatino Linotype" w:hAnsi="Palatino Linotype" w:cs="Palatino Linotype"/>
          <w:i/>
          <w:sz w:val="22"/>
          <w:szCs w:val="22"/>
        </w:rPr>
        <w:t xml:space="preserve"> en el ámbito de sus respectivas competencias, se regirán por los siguientes principios y bases:</w:t>
      </w:r>
    </w:p>
    <w:p w14:paraId="1D8C84D1" w14:textId="77777777" w:rsidR="00532AE4" w:rsidRPr="00E77F7D" w:rsidRDefault="00A76F12">
      <w:pPr>
        <w:spacing w:line="276" w:lineRule="auto"/>
        <w:ind w:left="567" w:right="851"/>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I. </w:t>
      </w:r>
      <w:r w:rsidRPr="00E77F7D">
        <w:rPr>
          <w:rFonts w:ascii="Palatino Linotype" w:eastAsia="Palatino Linotype" w:hAnsi="Palatino Linotype" w:cs="Palatino Linotype"/>
          <w:b/>
          <w:i/>
          <w:sz w:val="22"/>
          <w:szCs w:val="22"/>
          <w:u w:val="single"/>
        </w:rPr>
        <w:t>Toda la información en posesión de cualquier autoridad, entidad, órgano y organismo de los Poderes</w:t>
      </w:r>
      <w:r w:rsidRPr="00E77F7D">
        <w:rPr>
          <w:rFonts w:ascii="Palatino Linotype" w:eastAsia="Palatino Linotype" w:hAnsi="Palatino Linotype" w:cs="Palatino Linotype"/>
          <w:i/>
          <w:sz w:val="22"/>
          <w:szCs w:val="22"/>
        </w:rPr>
        <w:t xml:space="preserve"> Ejecutivo, Legislativo </w:t>
      </w:r>
      <w:r w:rsidRPr="00E77F7D">
        <w:rPr>
          <w:rFonts w:ascii="Palatino Linotype" w:eastAsia="Palatino Linotype" w:hAnsi="Palatino Linotype" w:cs="Palatino Linotype"/>
          <w:b/>
          <w:i/>
          <w:sz w:val="22"/>
          <w:szCs w:val="22"/>
          <w:u w:val="single"/>
        </w:rPr>
        <w:t>y Judicial</w:t>
      </w:r>
      <w:r w:rsidRPr="00E77F7D">
        <w:rPr>
          <w:rFonts w:ascii="Palatino Linotype" w:eastAsia="Palatino Linotype" w:hAnsi="Palatino Linotype" w:cs="Palatino Linotype"/>
          <w:i/>
          <w:sz w:val="22"/>
          <w:szCs w:val="22"/>
        </w:rPr>
        <w:t xml:space="preserve">, órganos autónomos, partidos políticos, fideicomisos y fondos públicos, así como de cualquier persona física, moral o sindicato que reciba y ejerza recursos públicos o realice actos de autoridad en el ámbito federal, estatal y municipal, </w:t>
      </w:r>
      <w:r w:rsidRPr="00E77F7D">
        <w:rPr>
          <w:rFonts w:ascii="Palatino Linotype" w:eastAsia="Palatino Linotype" w:hAnsi="Palatino Linotype" w:cs="Palatino Linotype"/>
          <w:b/>
          <w:i/>
          <w:sz w:val="22"/>
          <w:szCs w:val="22"/>
        </w:rPr>
        <w:t>es pública y sólo podrá ser reservada temporalmente por razones de interés público y seguridad nacional,</w:t>
      </w:r>
      <w:r w:rsidRPr="00E77F7D">
        <w:rPr>
          <w:rFonts w:ascii="Palatino Linotype" w:eastAsia="Palatino Linotype" w:hAnsi="Palatino Linotype" w:cs="Palatino Linotype"/>
          <w:i/>
          <w:sz w:val="22"/>
          <w:szCs w:val="22"/>
        </w:rPr>
        <w:t xml:space="preserve">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32D01786" w14:textId="77777777" w:rsidR="00532AE4" w:rsidRPr="00E77F7D" w:rsidRDefault="00A76F12">
      <w:pPr>
        <w:spacing w:line="276" w:lineRule="auto"/>
        <w:ind w:left="567" w:right="851"/>
        <w:jc w:val="both"/>
        <w:rPr>
          <w:rFonts w:ascii="Palatino Linotype" w:eastAsia="Palatino Linotype" w:hAnsi="Palatino Linotype" w:cs="Palatino Linotype"/>
          <w:b/>
          <w:i/>
          <w:sz w:val="22"/>
          <w:szCs w:val="22"/>
        </w:rPr>
      </w:pPr>
      <w:r w:rsidRPr="00E77F7D">
        <w:rPr>
          <w:rFonts w:ascii="Palatino Linotype" w:eastAsia="Palatino Linotype" w:hAnsi="Palatino Linotype" w:cs="Palatino Linotype"/>
          <w:b/>
          <w:i/>
          <w:sz w:val="22"/>
          <w:szCs w:val="22"/>
        </w:rPr>
        <w:t>II. La información que se refiere a la vida privada y los datos personales será protegida en los términos y con las excepciones que fijen las leyes.</w:t>
      </w:r>
    </w:p>
    <w:p w14:paraId="74234219" w14:textId="77777777" w:rsidR="00532AE4" w:rsidRPr="00E77F7D" w:rsidRDefault="00A76F12">
      <w:pPr>
        <w:spacing w:line="276" w:lineRule="auto"/>
        <w:ind w:left="567" w:right="851"/>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lastRenderedPageBreak/>
        <w:t xml:space="preserve">III. </w:t>
      </w:r>
      <w:r w:rsidRPr="00E77F7D">
        <w:rPr>
          <w:rFonts w:ascii="Palatino Linotype" w:eastAsia="Palatino Linotype" w:hAnsi="Palatino Linotype" w:cs="Palatino Linotype"/>
          <w:b/>
          <w:i/>
          <w:sz w:val="22"/>
          <w:szCs w:val="22"/>
          <w:u w:val="single"/>
        </w:rPr>
        <w:t>Toda persona, sin necesidad de acreditar interés alguno o justificar su utilización, tendrá acceso gratuito a la información pública,</w:t>
      </w:r>
      <w:r w:rsidRPr="00E77F7D">
        <w:rPr>
          <w:rFonts w:ascii="Palatino Linotype" w:eastAsia="Palatino Linotype" w:hAnsi="Palatino Linotype" w:cs="Palatino Linotype"/>
          <w:i/>
          <w:sz w:val="22"/>
          <w:szCs w:val="22"/>
        </w:rPr>
        <w:t xml:space="preserve"> a sus datos personales o a la rectificación de éstos.</w:t>
      </w:r>
    </w:p>
    <w:p w14:paraId="07ABB1CC" w14:textId="77777777" w:rsidR="00532AE4" w:rsidRPr="00E77F7D" w:rsidRDefault="00A76F12">
      <w:pPr>
        <w:spacing w:line="276" w:lineRule="auto"/>
        <w:ind w:left="567" w:right="851"/>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IV.</w:t>
      </w:r>
      <w:r w:rsidRPr="00E77F7D">
        <w:rPr>
          <w:rFonts w:ascii="Palatino Linotype" w:eastAsia="Palatino Linotype" w:hAnsi="Palatino Linotype" w:cs="Palatino Linotype"/>
          <w:i/>
          <w:sz w:val="22"/>
          <w:szCs w:val="22"/>
        </w:rPr>
        <w:t xml:space="preserve"> Se establecerán mecanismos de acceso a la información pública y procedimientos de revisión expeditos que se sustanciarán ante las instancias competentes en los términos que fija esta Constitución y las leyes.</w:t>
      </w:r>
    </w:p>
    <w:p w14:paraId="60D08432" w14:textId="77777777" w:rsidR="00532AE4" w:rsidRPr="00E77F7D" w:rsidRDefault="00A76F12">
      <w:pPr>
        <w:spacing w:line="276" w:lineRule="auto"/>
        <w:ind w:left="567" w:right="851"/>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V. </w:t>
      </w:r>
      <w:r w:rsidRPr="00E77F7D">
        <w:rPr>
          <w:rFonts w:ascii="Palatino Linotype" w:eastAsia="Palatino Linotype" w:hAnsi="Palatino Linotype" w:cs="Palatino Linotype"/>
          <w:i/>
          <w:sz w:val="22"/>
          <w:szCs w:val="22"/>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14:paraId="3A6C6EFF" w14:textId="77777777" w:rsidR="00532AE4" w:rsidRPr="00E77F7D" w:rsidRDefault="00532AE4">
      <w:pPr>
        <w:spacing w:line="276" w:lineRule="auto"/>
        <w:ind w:left="567" w:right="851"/>
        <w:jc w:val="both"/>
        <w:rPr>
          <w:rFonts w:ascii="Palatino Linotype" w:eastAsia="Palatino Linotype" w:hAnsi="Palatino Linotype" w:cs="Palatino Linotype"/>
          <w:b/>
          <w:i/>
          <w:sz w:val="22"/>
          <w:szCs w:val="22"/>
        </w:rPr>
      </w:pPr>
    </w:p>
    <w:p w14:paraId="6CEAF7A3" w14:textId="77777777" w:rsidR="00532AE4" w:rsidRPr="00E77F7D" w:rsidRDefault="00532AE4">
      <w:pPr>
        <w:spacing w:line="360" w:lineRule="auto"/>
        <w:ind w:left="567" w:right="851"/>
        <w:jc w:val="both"/>
        <w:rPr>
          <w:rFonts w:ascii="Palatino Linotype" w:eastAsia="Palatino Linotype" w:hAnsi="Palatino Linotype" w:cs="Palatino Linotype"/>
          <w:i/>
          <w:sz w:val="22"/>
          <w:szCs w:val="22"/>
        </w:rPr>
      </w:pPr>
    </w:p>
    <w:p w14:paraId="0D2B219A" w14:textId="77777777" w:rsidR="00532AE4" w:rsidRPr="00E77F7D" w:rsidRDefault="00A76F12">
      <w:pPr>
        <w:tabs>
          <w:tab w:val="left" w:pos="709"/>
        </w:tabs>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Así, de la interpretación sistémica de los numerales inmersos en el instrumento legal nacional, el derecho de acceso a la información es un derecho del cual goza toda persona sin discriminación alguna, el cual se ejerce ante los Poderes del Estado, entidades, dependencias o cualquiera persona física o moral que reciba y ejerza recursos públicos, siendo pública toda la información que posean con las excepciones enmarcadas, para lo cual queda demostrado que los Sujetos Obligados deben cumplir con dichos dispositivos legales.</w:t>
      </w:r>
    </w:p>
    <w:p w14:paraId="4AB4CE50" w14:textId="77777777" w:rsidR="00532AE4" w:rsidRPr="00E77F7D" w:rsidRDefault="00532AE4">
      <w:pPr>
        <w:tabs>
          <w:tab w:val="left" w:pos="709"/>
        </w:tabs>
        <w:spacing w:line="360" w:lineRule="auto"/>
        <w:jc w:val="both"/>
        <w:rPr>
          <w:rFonts w:ascii="Palatino Linotype" w:eastAsia="Palatino Linotype" w:hAnsi="Palatino Linotype" w:cs="Palatino Linotype"/>
          <w:sz w:val="22"/>
          <w:szCs w:val="22"/>
        </w:rPr>
      </w:pPr>
    </w:p>
    <w:p w14:paraId="155BA3D7"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En ese orden de ideas, la Ley de Transparencia y Acceso a la Información Pública del Estado de México y Municipios, prevé en su artículo 23, lo siguiente:</w:t>
      </w:r>
    </w:p>
    <w:p w14:paraId="77A91B3C"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2D86CC7A" w14:textId="77777777" w:rsidR="00532AE4" w:rsidRPr="00E77F7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i/>
          <w:sz w:val="22"/>
          <w:szCs w:val="22"/>
        </w:rPr>
        <w:t>“</w:t>
      </w:r>
      <w:r w:rsidRPr="00E77F7D">
        <w:rPr>
          <w:rFonts w:ascii="Palatino Linotype" w:eastAsia="Palatino Linotype" w:hAnsi="Palatino Linotype" w:cs="Palatino Linotype"/>
          <w:b/>
          <w:i/>
          <w:sz w:val="22"/>
          <w:szCs w:val="22"/>
        </w:rPr>
        <w:t>Artículo 23. Son sujetos obligados a transparentar y permitir el acceso a su información y proteger los datos personales que obren en su poder</w:t>
      </w:r>
      <w:r w:rsidRPr="00E77F7D">
        <w:rPr>
          <w:rFonts w:ascii="Palatino Linotype" w:eastAsia="Palatino Linotype" w:hAnsi="Palatino Linotype" w:cs="Palatino Linotype"/>
          <w:i/>
          <w:sz w:val="22"/>
          <w:szCs w:val="22"/>
        </w:rPr>
        <w:t>:</w:t>
      </w:r>
    </w:p>
    <w:p w14:paraId="275F2B94" w14:textId="77777777" w:rsidR="00532AE4" w:rsidRPr="00E77F7D"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E77F7D">
        <w:rPr>
          <w:rFonts w:ascii="Palatino Linotype" w:eastAsia="Palatino Linotype" w:hAnsi="Palatino Linotype" w:cs="Palatino Linotype"/>
          <w:b/>
          <w:i/>
          <w:sz w:val="22"/>
          <w:szCs w:val="22"/>
        </w:rPr>
        <w:t>I.</w:t>
      </w:r>
      <w:r w:rsidRPr="00E77F7D">
        <w:rPr>
          <w:rFonts w:ascii="Palatino Linotype" w:eastAsia="Palatino Linotype" w:hAnsi="Palatino Linotype" w:cs="Palatino Linotype"/>
          <w:i/>
          <w:sz w:val="22"/>
          <w:szCs w:val="22"/>
        </w:rPr>
        <w:t xml:space="preserve"> El Poder Ejecutivo del Estado de México, las dependencias, organismos auxiliares,</w:t>
      </w:r>
      <w:r w:rsidRPr="00E77F7D">
        <w:rPr>
          <w:rFonts w:ascii="Palatino Linotype" w:eastAsia="Palatino Linotype" w:hAnsi="Palatino Linotype" w:cs="Palatino Linotype"/>
          <w:b/>
          <w:i/>
          <w:sz w:val="22"/>
          <w:szCs w:val="22"/>
        </w:rPr>
        <w:t xml:space="preserve"> </w:t>
      </w:r>
      <w:r w:rsidRPr="00E77F7D">
        <w:rPr>
          <w:rFonts w:ascii="Palatino Linotype" w:eastAsia="Palatino Linotype" w:hAnsi="Palatino Linotype" w:cs="Palatino Linotype"/>
          <w:i/>
          <w:sz w:val="22"/>
          <w:szCs w:val="22"/>
        </w:rPr>
        <w:t>órganos, entidades, fideicomisos y fondos públicos, así como la Procuraduría General de Justicia;</w:t>
      </w:r>
    </w:p>
    <w:p w14:paraId="09179CA5" w14:textId="77777777" w:rsidR="00532AE4" w:rsidRPr="00E77F7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II.</w:t>
      </w:r>
      <w:r w:rsidRPr="00E77F7D">
        <w:rPr>
          <w:rFonts w:ascii="Palatino Linotype" w:eastAsia="Palatino Linotype" w:hAnsi="Palatino Linotype" w:cs="Palatino Linotype"/>
          <w:i/>
          <w:sz w:val="22"/>
          <w:szCs w:val="22"/>
        </w:rPr>
        <w:t xml:space="preserve"> El Poder Legislativo del Estado, los organismos, órganos y entidades de la Legislatura y sus dependencias;</w:t>
      </w:r>
    </w:p>
    <w:p w14:paraId="69E10B2E" w14:textId="77777777" w:rsidR="00532AE4" w:rsidRPr="00E77F7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lastRenderedPageBreak/>
        <w:t>III.</w:t>
      </w:r>
      <w:r w:rsidRPr="00E77F7D">
        <w:rPr>
          <w:rFonts w:ascii="Palatino Linotype" w:eastAsia="Palatino Linotype" w:hAnsi="Palatino Linotype" w:cs="Palatino Linotype"/>
          <w:i/>
          <w:sz w:val="22"/>
          <w:szCs w:val="22"/>
        </w:rPr>
        <w:t xml:space="preserve"> El Poder Judicial, sus organismos, órganos y entidades, así como el Consejo de la Judicatura del Estado;</w:t>
      </w:r>
    </w:p>
    <w:p w14:paraId="7976C81D" w14:textId="77777777" w:rsidR="00532AE4" w:rsidRPr="00E77F7D"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E77F7D">
        <w:rPr>
          <w:rFonts w:ascii="Palatino Linotype" w:eastAsia="Palatino Linotype" w:hAnsi="Palatino Linotype" w:cs="Palatino Linotype"/>
          <w:b/>
          <w:i/>
          <w:sz w:val="22"/>
          <w:szCs w:val="22"/>
        </w:rPr>
        <w:t>IV. Los ayuntamientos y las dependencias, organismos, órganos y entidades de la administración municipal;</w:t>
      </w:r>
    </w:p>
    <w:p w14:paraId="5CE7E9A8" w14:textId="77777777" w:rsidR="00532AE4" w:rsidRPr="00E77F7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V.</w:t>
      </w:r>
      <w:r w:rsidRPr="00E77F7D">
        <w:rPr>
          <w:rFonts w:ascii="Palatino Linotype" w:eastAsia="Palatino Linotype" w:hAnsi="Palatino Linotype" w:cs="Palatino Linotype"/>
          <w:i/>
          <w:sz w:val="22"/>
          <w:szCs w:val="22"/>
        </w:rPr>
        <w:t xml:space="preserve"> Los órganos autónomos;</w:t>
      </w:r>
    </w:p>
    <w:p w14:paraId="47FBCC3D" w14:textId="77777777" w:rsidR="00532AE4" w:rsidRPr="00E77F7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VI.</w:t>
      </w:r>
      <w:r w:rsidRPr="00E77F7D">
        <w:rPr>
          <w:rFonts w:ascii="Palatino Linotype" w:eastAsia="Palatino Linotype" w:hAnsi="Palatino Linotype" w:cs="Palatino Linotype"/>
          <w:i/>
          <w:sz w:val="22"/>
          <w:szCs w:val="22"/>
        </w:rPr>
        <w:t xml:space="preserve"> Los tribunales administrativos y autoridades jurisdiccionales en materia laboral;</w:t>
      </w:r>
    </w:p>
    <w:p w14:paraId="21D723D1" w14:textId="77777777" w:rsidR="00532AE4" w:rsidRPr="00E77F7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VII.</w:t>
      </w:r>
      <w:r w:rsidRPr="00E77F7D">
        <w:rPr>
          <w:rFonts w:ascii="Palatino Linotype" w:eastAsia="Palatino Linotype" w:hAnsi="Palatino Linotype" w:cs="Palatino Linotype"/>
          <w:i/>
          <w:sz w:val="22"/>
          <w:szCs w:val="22"/>
        </w:rPr>
        <w:t xml:space="preserve"> Los partidos políticos y agrupaciones políticas, en los términos de las disposiciones aplicables;</w:t>
      </w:r>
    </w:p>
    <w:p w14:paraId="5585D2BB" w14:textId="77777777" w:rsidR="00532AE4" w:rsidRPr="00E77F7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VIII.</w:t>
      </w:r>
      <w:r w:rsidRPr="00E77F7D">
        <w:rPr>
          <w:rFonts w:ascii="Palatino Linotype" w:eastAsia="Palatino Linotype" w:hAnsi="Palatino Linotype" w:cs="Palatino Linotype"/>
          <w:i/>
          <w:sz w:val="22"/>
          <w:szCs w:val="22"/>
        </w:rPr>
        <w:t xml:space="preserve"> Los fideicomisos y fondos públicos que cuenten con financiamiento público, parcial o total, o con participación de entidades de gobierno;</w:t>
      </w:r>
    </w:p>
    <w:p w14:paraId="09F2268E" w14:textId="77777777" w:rsidR="00532AE4" w:rsidRPr="00E77F7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IX.</w:t>
      </w:r>
      <w:r w:rsidRPr="00E77F7D">
        <w:rPr>
          <w:rFonts w:ascii="Palatino Linotype" w:eastAsia="Palatino Linotype" w:hAnsi="Palatino Linotype" w:cs="Palatino Linotype"/>
          <w:i/>
          <w:sz w:val="22"/>
          <w:szCs w:val="22"/>
        </w:rPr>
        <w:t xml:space="preserve"> Los sindicatos que reciban y/o ejerzan recursos públicos en el ámbito estatal y municipal;</w:t>
      </w:r>
    </w:p>
    <w:p w14:paraId="29BDC82A" w14:textId="77777777" w:rsidR="00532AE4" w:rsidRPr="00E77F7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X.</w:t>
      </w:r>
      <w:r w:rsidRPr="00E77F7D">
        <w:rPr>
          <w:rFonts w:ascii="Palatino Linotype" w:eastAsia="Palatino Linotype" w:hAnsi="Palatino Linotype" w:cs="Palatino Linotype"/>
          <w:i/>
          <w:sz w:val="22"/>
          <w:szCs w:val="22"/>
        </w:rPr>
        <w:t xml:space="preserve"> Cualquier persona física o jurídico colectiva que reciba y ejerza recursos públicos en el ámbito estatal o municipal; y</w:t>
      </w:r>
    </w:p>
    <w:p w14:paraId="70B4BE09" w14:textId="77777777" w:rsidR="00532AE4" w:rsidRPr="00E77F7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XI.</w:t>
      </w:r>
      <w:r w:rsidRPr="00E77F7D">
        <w:rPr>
          <w:rFonts w:ascii="Palatino Linotype" w:eastAsia="Palatino Linotype" w:hAnsi="Palatino Linotype" w:cs="Palatino Linotype"/>
          <w:i/>
          <w:sz w:val="22"/>
          <w:szCs w:val="22"/>
        </w:rPr>
        <w:t xml:space="preserve"> Cualquier otra autoridad, entidad, órgano u organismo de los poderes estatal o municipal, que reciba recursos públicos.</w:t>
      </w:r>
    </w:p>
    <w:p w14:paraId="60EB43BF" w14:textId="77777777" w:rsidR="00532AE4" w:rsidRPr="00E77F7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3C92E68E" w14:textId="77777777" w:rsidR="00532AE4" w:rsidRPr="00E77F7D"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Los servidores públicos deberán transparentar sus acciones, así como garantizar y respetar el derecho de acceso a la información pública</w:t>
      </w:r>
      <w:r w:rsidRPr="00E77F7D">
        <w:rPr>
          <w:rFonts w:ascii="Palatino Linotype" w:eastAsia="Palatino Linotype" w:hAnsi="Palatino Linotype" w:cs="Palatino Linotype"/>
          <w:i/>
          <w:sz w:val="22"/>
          <w:szCs w:val="22"/>
        </w:rPr>
        <w:t>.”</w:t>
      </w:r>
    </w:p>
    <w:p w14:paraId="6AA3AC33"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24121FD5"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Es así que,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 </w:t>
      </w:r>
    </w:p>
    <w:p w14:paraId="665BF928"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71725802"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En esa tesitura, este Instituto no omite señalar que los Sujetos Obligados deben contar con un área responsable para la atención de las solicitudes de información, a la que se le </w:t>
      </w:r>
      <w:r w:rsidRPr="00E77F7D">
        <w:rPr>
          <w:rFonts w:ascii="Palatino Linotype" w:eastAsia="Palatino Linotype" w:hAnsi="Palatino Linotype" w:cs="Palatino Linotype"/>
          <w:sz w:val="22"/>
          <w:szCs w:val="22"/>
        </w:rPr>
        <w:lastRenderedPageBreak/>
        <w:t xml:space="preserve">denominará Unidad de Transparencia; asimismo, deben designar a un responsable para atender dicha Unidad, quien fungirá como enlace entre éstos y los solicitantes. </w:t>
      </w:r>
    </w:p>
    <w:p w14:paraId="4AA734D2"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0BA22BF1" w14:textId="77777777" w:rsidR="00532AE4" w:rsidRPr="00E77F7D"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Dicho lo anterior, se precisa que la ya mencionada Unidad de Transparencia es la encargada de tramitar internamente las solicitudes de información y tiene la responsabilidad de verificar, en cada caso, que la información no tenga el carácter de confidencial o reservada, en términos de los artículos 50 y 51 de la Ley de Transparencia y Acceso a la Información Pública del Estado de México y Municipios.</w:t>
      </w:r>
    </w:p>
    <w:p w14:paraId="677C733F" w14:textId="77777777" w:rsidR="00532AE4" w:rsidRPr="00E77F7D"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2C5E28A8" w14:textId="77777777" w:rsidR="00532AE4" w:rsidRPr="00E77F7D"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334A76AB"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4AB75C75"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Asimismo, el diverso artículo 54 de la Ley de Transparencia y Acceso a la Información Pública del Estado de México y Municipios establece que cuando alguna área de los Sujetos Obligados se negara a colaborar con la Unidad de Transparencia, ésta dará aviso al superior jerárquico para que le ordene realizar sin demora las acciones conducentes y en caso de que persista la negativa de colaboración, hará del conocimiento de la autoridad competente para que se inicie, en su caso, el procedimiento de responsabilidad respectivo.</w:t>
      </w:r>
    </w:p>
    <w:p w14:paraId="7762C247"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22C40C77" w14:textId="77777777" w:rsidR="00532AE4" w:rsidRPr="00E77F7D"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14:paraId="561EEFA5" w14:textId="77777777" w:rsidR="00532AE4" w:rsidRPr="00E77F7D"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7BDC728A"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prórroga de hasta siete días hábiles adicionales, siempre y cuando existan razones fundadas y motivadas, las cuales deberán ser aprobadas por el Comité de Transparencia. Situación que en la especie no aconteció. </w:t>
      </w:r>
    </w:p>
    <w:p w14:paraId="53232406"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0629D8D1"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Sirve de sustento a lo anterior, el precepto legal en cita:</w:t>
      </w:r>
    </w:p>
    <w:p w14:paraId="0E6F8D37"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68892ECD" w14:textId="77777777" w:rsidR="00532AE4" w:rsidRPr="00E77F7D" w:rsidRDefault="00A76F12">
      <w:pPr>
        <w:spacing w:line="276" w:lineRule="auto"/>
        <w:ind w:left="567" w:right="902"/>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i/>
          <w:sz w:val="22"/>
          <w:szCs w:val="22"/>
        </w:rPr>
        <w:t>“</w:t>
      </w:r>
      <w:r w:rsidRPr="00E77F7D">
        <w:rPr>
          <w:rFonts w:ascii="Palatino Linotype" w:eastAsia="Palatino Linotype" w:hAnsi="Palatino Linotype" w:cs="Palatino Linotype"/>
          <w:b/>
          <w:i/>
          <w:sz w:val="22"/>
          <w:szCs w:val="22"/>
        </w:rPr>
        <w:t>Artículo 163. La Unidad de Transparencia deberá notificar la respuesta a la solicitud al interesado en el menor tiempo posible, que no podrá exceder de quince días hábiles</w:t>
      </w:r>
      <w:r w:rsidRPr="00E77F7D">
        <w:rPr>
          <w:rFonts w:ascii="Palatino Linotype" w:eastAsia="Palatino Linotype" w:hAnsi="Palatino Linotype" w:cs="Palatino Linotype"/>
          <w:i/>
          <w:sz w:val="22"/>
          <w:szCs w:val="22"/>
        </w:rPr>
        <w:t xml:space="preserve">, contados a partir del día siguiente a la presentación de aquélla. </w:t>
      </w:r>
    </w:p>
    <w:p w14:paraId="71D554AC" w14:textId="77777777" w:rsidR="00532AE4" w:rsidRPr="00E77F7D" w:rsidRDefault="00A76F12">
      <w:pPr>
        <w:spacing w:line="276" w:lineRule="auto"/>
        <w:ind w:left="567" w:right="902"/>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i/>
          <w:sz w:val="22"/>
          <w:szCs w:val="22"/>
        </w:rPr>
        <w:t>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14:paraId="201E4166" w14:textId="77777777" w:rsidR="00532AE4" w:rsidRPr="00E77F7D" w:rsidRDefault="00532AE4">
      <w:pPr>
        <w:spacing w:line="360" w:lineRule="auto"/>
        <w:ind w:left="851" w:right="902"/>
        <w:jc w:val="both"/>
        <w:rPr>
          <w:rFonts w:ascii="Palatino Linotype" w:eastAsia="Palatino Linotype" w:hAnsi="Palatino Linotype" w:cs="Palatino Linotype"/>
          <w:i/>
          <w:sz w:val="22"/>
          <w:szCs w:val="22"/>
        </w:rPr>
      </w:pPr>
    </w:p>
    <w:p w14:paraId="43BFA3B9"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En mérito de lo expuesto, es claro que en este caso el </w:t>
      </w:r>
      <w:r w:rsidRPr="00E77F7D">
        <w:rPr>
          <w:rFonts w:ascii="Palatino Linotype" w:eastAsia="Palatino Linotype" w:hAnsi="Palatino Linotype" w:cs="Palatino Linotype"/>
          <w:b/>
          <w:sz w:val="22"/>
          <w:szCs w:val="22"/>
        </w:rPr>
        <w:t>Sujeto Obligado</w:t>
      </w:r>
      <w:r w:rsidRPr="00E77F7D">
        <w:rPr>
          <w:rFonts w:ascii="Palatino Linotype" w:eastAsia="Palatino Linotype" w:hAnsi="Palatino Linotype" w:cs="Palatino Linotype"/>
          <w:sz w:val="22"/>
          <w:szCs w:val="22"/>
        </w:rPr>
        <w:t xml:space="preserve"> incumplió la normativa en la materia, puesto que no dio trámite ni respuesta a la solicitud de acceso a la información, limitando el derecho de acceso a la información, accionado por la persona solicitante.</w:t>
      </w:r>
    </w:p>
    <w:p w14:paraId="29F8B67E"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457DC1C9"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Consecuentemente, este Instituto estima necesario reiterar que, de conformidad con el artículo 150 de la Ley de Transparencia y Acceso a la Información Pública del Estado de </w:t>
      </w:r>
      <w:r w:rsidRPr="00E77F7D">
        <w:rPr>
          <w:rFonts w:ascii="Palatino Linotype" w:eastAsia="Palatino Linotype" w:hAnsi="Palatino Linotype" w:cs="Palatino Linotype"/>
          <w:sz w:val="22"/>
          <w:szCs w:val="22"/>
        </w:rPr>
        <w:lastRenderedPageBreak/>
        <w:t xml:space="preserve">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 </w:t>
      </w:r>
    </w:p>
    <w:p w14:paraId="048016D6"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40F8C8EA"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RPr="00E77F7D">
        <w:rPr>
          <w:rFonts w:ascii="Palatino Linotype" w:eastAsia="Palatino Linotype" w:hAnsi="Palatino Linotype" w:cs="Palatino Linotype"/>
          <w:b/>
          <w:sz w:val="22"/>
          <w:szCs w:val="22"/>
        </w:rPr>
        <w:t>el Sujeto Obligado</w:t>
      </w:r>
      <w:r w:rsidRPr="00E77F7D">
        <w:rPr>
          <w:rFonts w:ascii="Palatino Linotype" w:eastAsia="Palatino Linotype" w:hAnsi="Palatino Linotype" w:cs="Palatino Linotype"/>
          <w:sz w:val="22"/>
          <w:szCs w:val="22"/>
        </w:rPr>
        <w:t>; por lo que, en caso de no atender de manera positiva</w:t>
      </w:r>
      <w:r w:rsidRPr="00E77F7D">
        <w:rPr>
          <w:rFonts w:ascii="Palatino Linotype" w:eastAsia="Palatino Linotype" w:hAnsi="Palatino Linotype" w:cs="Palatino Linotype"/>
          <w:sz w:val="22"/>
          <w:szCs w:val="22"/>
          <w:vertAlign w:val="superscript"/>
        </w:rPr>
        <w:footnoteReference w:id="2"/>
      </w:r>
      <w:r w:rsidRPr="00E77F7D">
        <w:rPr>
          <w:rFonts w:ascii="Palatino Linotype" w:eastAsia="Palatino Linotype" w:hAnsi="Palatino Linotype" w:cs="Palatino Linotype"/>
          <w:sz w:val="22"/>
          <w:szCs w:val="22"/>
        </w:rPr>
        <w:t>, el requerimiento de información deberá manifestarse al respecto.</w:t>
      </w:r>
    </w:p>
    <w:p w14:paraId="23408330"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7CF59B88"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755C9B1A" w14:textId="77777777" w:rsidR="00532AE4" w:rsidRPr="00E77F7D"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r w:rsidRPr="00E77F7D">
        <w:rPr>
          <w:rFonts w:ascii="Palatino Linotype" w:eastAsia="Palatino Linotype" w:hAnsi="Palatino Linotype" w:cs="Palatino Linotype"/>
          <w:b/>
          <w:sz w:val="22"/>
          <w:szCs w:val="22"/>
        </w:rPr>
        <w:t>De la clasificación de la información.</w:t>
      </w:r>
    </w:p>
    <w:p w14:paraId="7CB72775" w14:textId="77777777" w:rsidR="00532AE4" w:rsidRPr="00E77F7D"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b/>
          <w:sz w:val="22"/>
          <w:szCs w:val="22"/>
        </w:rPr>
      </w:pPr>
    </w:p>
    <w:p w14:paraId="1971ACD1" w14:textId="77777777" w:rsidR="00532AE4" w:rsidRPr="00E77F7D" w:rsidRDefault="00A76F12">
      <w:pPr>
        <w:spacing w:line="360" w:lineRule="auto"/>
        <w:ind w:right="51"/>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Ahora bien, en atención al sentido en que se resuelve el presente medio de impugnación, este Organismo Garante no omite señalar que, el derecho de acceso a la información puede 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38FF8466" w14:textId="77777777" w:rsidR="00532AE4" w:rsidRPr="00E77F7D" w:rsidRDefault="00532AE4">
      <w:pPr>
        <w:spacing w:line="360" w:lineRule="auto"/>
        <w:ind w:right="51"/>
        <w:jc w:val="both"/>
        <w:rPr>
          <w:rFonts w:ascii="Palatino Linotype" w:eastAsia="Palatino Linotype" w:hAnsi="Palatino Linotype" w:cs="Palatino Linotype"/>
          <w:sz w:val="22"/>
          <w:szCs w:val="22"/>
        </w:rPr>
      </w:pPr>
    </w:p>
    <w:p w14:paraId="3D8718EB" w14:textId="77777777" w:rsidR="00532AE4" w:rsidRPr="00E77F7D" w:rsidRDefault="00A76F12">
      <w:pPr>
        <w:spacing w:line="276" w:lineRule="auto"/>
        <w:ind w:left="851" w:right="900"/>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“Artículo 91. </w:t>
      </w:r>
      <w:r w:rsidRPr="00E77F7D">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02D3BD60" w14:textId="77777777" w:rsidR="00532AE4" w:rsidRPr="00E77F7D" w:rsidRDefault="00532AE4">
      <w:pPr>
        <w:spacing w:line="360" w:lineRule="auto"/>
        <w:ind w:left="851" w:right="900"/>
        <w:jc w:val="both"/>
        <w:rPr>
          <w:rFonts w:ascii="Palatino Linotype" w:eastAsia="Palatino Linotype" w:hAnsi="Palatino Linotype" w:cs="Palatino Linotype"/>
          <w:i/>
          <w:sz w:val="22"/>
          <w:szCs w:val="22"/>
        </w:rPr>
      </w:pPr>
    </w:p>
    <w:p w14:paraId="1014C2BA"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lastRenderedPageBreak/>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privada contenida en documentos públicos o privados que refiera a la vida privada y/o los datos personales, que no son de acceso público. </w:t>
      </w:r>
    </w:p>
    <w:p w14:paraId="077F0B8E"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De manera que, la Ley de Transparencia y Acceso a la Información Pública del Estado de México y Municipios, en sus artículos 140 y 143 prevé los siguientes supuestos para clasificar la información como reservada o confidencial:</w:t>
      </w:r>
    </w:p>
    <w:p w14:paraId="2FEAF09F" w14:textId="77777777" w:rsidR="00532AE4" w:rsidRPr="00E77F7D" w:rsidRDefault="00532AE4">
      <w:pPr>
        <w:tabs>
          <w:tab w:val="left" w:pos="567"/>
        </w:tabs>
        <w:spacing w:line="276" w:lineRule="auto"/>
        <w:ind w:left="567" w:right="616"/>
        <w:jc w:val="both"/>
        <w:rPr>
          <w:rFonts w:ascii="Palatino Linotype" w:eastAsia="Palatino Linotype" w:hAnsi="Palatino Linotype" w:cs="Palatino Linotype"/>
          <w:sz w:val="22"/>
          <w:szCs w:val="22"/>
        </w:rPr>
      </w:pPr>
    </w:p>
    <w:p w14:paraId="631DD9C7"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“Artículo 140. </w:t>
      </w:r>
      <w:r w:rsidRPr="00E77F7D">
        <w:rPr>
          <w:rFonts w:ascii="Palatino Linotype" w:eastAsia="Palatino Linotype" w:hAnsi="Palatino Linotype" w:cs="Palatino Linotype"/>
          <w:i/>
          <w:sz w:val="22"/>
          <w:szCs w:val="22"/>
        </w:rPr>
        <w:t>El acceso a la información pública será restringido excepcionalmente, cuando por razones de interés público, ésta sea clasificada como reservada, conforme a los criterios siguientes:</w:t>
      </w:r>
    </w:p>
    <w:p w14:paraId="0B389537"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I. </w:t>
      </w:r>
      <w:r w:rsidRPr="00E77F7D">
        <w:rPr>
          <w:rFonts w:ascii="Palatino Linotype" w:eastAsia="Palatino Linotype" w:hAnsi="Palatino Linotype" w:cs="Palatino Linotype"/>
          <w:i/>
          <w:sz w:val="22"/>
          <w:szCs w:val="22"/>
        </w:rPr>
        <w:t>Comprometa la seguridad pública y cuente con un propósito genuino y un efecto demostrable;</w:t>
      </w:r>
    </w:p>
    <w:p w14:paraId="14C1245E"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II. </w:t>
      </w:r>
      <w:r w:rsidRPr="00E77F7D">
        <w:rPr>
          <w:rFonts w:ascii="Palatino Linotype" w:eastAsia="Palatino Linotype" w:hAnsi="Palatino Linotype" w:cs="Palatino Linotype"/>
          <w:i/>
          <w:sz w:val="22"/>
          <w:szCs w:val="22"/>
        </w:rPr>
        <w:t>Pueda menoscabar la conducción de las negociaciones y relaciones internacionales;</w:t>
      </w:r>
    </w:p>
    <w:p w14:paraId="509CE544"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III. </w:t>
      </w:r>
      <w:r w:rsidRPr="00E77F7D">
        <w:rPr>
          <w:rFonts w:ascii="Palatino Linotype" w:eastAsia="Palatino Linotype" w:hAnsi="Palatino Linotype" w:cs="Palatino Linotype"/>
          <w:i/>
          <w:sz w:val="22"/>
          <w:szCs w:val="22"/>
        </w:rPr>
        <w:t>Se entregue a la Entidad expresamente con ese carácter o el de confidencialidad por otro u otros sujetos de derecho internacional, excepto cuando se trate de violaciones graves de derechos humanos o delitos de lesa humanidad de conformidad con el derecho internacional;</w:t>
      </w:r>
    </w:p>
    <w:p w14:paraId="2E14479B"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IV. </w:t>
      </w:r>
      <w:r w:rsidRPr="00E77F7D">
        <w:rPr>
          <w:rFonts w:ascii="Palatino Linotype" w:eastAsia="Palatino Linotype" w:hAnsi="Palatino Linotype" w:cs="Palatino Linotype"/>
          <w:i/>
          <w:sz w:val="22"/>
          <w:szCs w:val="22"/>
        </w:rPr>
        <w:t>Ponga en riesgo la vida, la seguridad o la salud de una persona física;</w:t>
      </w:r>
    </w:p>
    <w:p w14:paraId="5B0BE058"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V. </w:t>
      </w:r>
      <w:r w:rsidRPr="00E77F7D">
        <w:rPr>
          <w:rFonts w:ascii="Palatino Linotype" w:eastAsia="Palatino Linotype" w:hAnsi="Palatino Linotype" w:cs="Palatino Linotype"/>
          <w:i/>
          <w:sz w:val="22"/>
          <w:szCs w:val="22"/>
        </w:rPr>
        <w:t>Aquella cuya divulgación obstruya o pueda causar un serio perjuicio a:</w:t>
      </w:r>
    </w:p>
    <w:p w14:paraId="71AA8468"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1. </w:t>
      </w:r>
      <w:r w:rsidRPr="00E77F7D">
        <w:rPr>
          <w:rFonts w:ascii="Palatino Linotype" w:eastAsia="Palatino Linotype" w:hAnsi="Palatino Linotype" w:cs="Palatino Linotype"/>
          <w:i/>
          <w:sz w:val="22"/>
          <w:szCs w:val="22"/>
        </w:rPr>
        <w:t xml:space="preserve">Las actividades de fiscalización, verificación, inspección, comprobación y auditoría sobre el cumplimiento de las Leyes; o </w:t>
      </w:r>
    </w:p>
    <w:p w14:paraId="35A66DF6"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2. </w:t>
      </w:r>
      <w:r w:rsidRPr="00E77F7D">
        <w:rPr>
          <w:rFonts w:ascii="Palatino Linotype" w:eastAsia="Palatino Linotype" w:hAnsi="Palatino Linotype" w:cs="Palatino Linotype"/>
          <w:i/>
          <w:sz w:val="22"/>
          <w:szCs w:val="22"/>
        </w:rPr>
        <w:t>La recaudación de las contribuciones.</w:t>
      </w:r>
    </w:p>
    <w:p w14:paraId="4CD54AA9"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VI. </w:t>
      </w:r>
      <w:r w:rsidRPr="00E77F7D">
        <w:rPr>
          <w:rFonts w:ascii="Palatino Linotype" w:eastAsia="Palatino Linotype" w:hAnsi="Palatino Linotype" w:cs="Palatino Linotype"/>
          <w:i/>
          <w:sz w:val="22"/>
          <w:szCs w:val="22"/>
        </w:rPr>
        <w:t xml:space="preserve">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w:t>
      </w:r>
      <w:r w:rsidRPr="00E77F7D">
        <w:rPr>
          <w:rFonts w:ascii="Palatino Linotype" w:eastAsia="Palatino Linotype" w:hAnsi="Palatino Linotype" w:cs="Palatino Linotype"/>
          <w:i/>
          <w:sz w:val="22"/>
          <w:szCs w:val="22"/>
        </w:rPr>
        <w:lastRenderedPageBreak/>
        <w:t>la seguridad de un denunciante, querellante o testigo, así como sus familias, en los términos de las disposiciones jurídicas aplicables;</w:t>
      </w:r>
    </w:p>
    <w:p w14:paraId="2D9E1C7F"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VII. </w:t>
      </w:r>
      <w:r w:rsidRPr="00E77F7D">
        <w:rPr>
          <w:rFonts w:ascii="Palatino Linotype" w:eastAsia="Palatino Linotype" w:hAnsi="Palatino Linotype" w:cs="Palatino Linotype"/>
          <w:i/>
          <w:sz w:val="22"/>
          <w:szCs w:val="22"/>
        </w:rPr>
        <w:t>La que contengan las opiniones, recomendaciones o puntos de vista que formen parte del proceso deliberativo de los servidores públicos, hasta en tanto sea adoptada la decisión definitiva, la cual deberá estar documentada;</w:t>
      </w:r>
    </w:p>
    <w:p w14:paraId="25B80B94"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VIII</w:t>
      </w:r>
      <w:r w:rsidRPr="00E77F7D">
        <w:rPr>
          <w:rFonts w:ascii="Palatino Linotype" w:eastAsia="Palatino Linotype" w:hAnsi="Palatino Linotype" w:cs="Palatino Linotype"/>
          <w:i/>
          <w:sz w:val="22"/>
          <w:szCs w:val="22"/>
        </w:rPr>
        <w:t>. Vulnere la conducción de los expedientes judiciales o de los procedimientos administrativos seguidos en forma de juicio, en tanto no hayan quedado firmes</w:t>
      </w:r>
      <w:r w:rsidRPr="00E77F7D">
        <w:rPr>
          <w:rFonts w:ascii="Palatino Linotype" w:eastAsia="Palatino Linotype" w:hAnsi="Palatino Linotype" w:cs="Palatino Linotype"/>
          <w:b/>
          <w:i/>
          <w:sz w:val="22"/>
          <w:szCs w:val="22"/>
        </w:rPr>
        <w:t>;</w:t>
      </w:r>
    </w:p>
    <w:p w14:paraId="20A105A2"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IX. </w:t>
      </w:r>
      <w:r w:rsidRPr="00E77F7D">
        <w:rPr>
          <w:rFonts w:ascii="Palatino Linotype" w:eastAsia="Palatino Linotype" w:hAnsi="Palatino Linotype" w:cs="Palatino Linotype"/>
          <w:i/>
          <w:sz w:val="22"/>
          <w:szCs w:val="22"/>
        </w:rPr>
        <w:t>Se encuentre contenida dentro de las investigaciones de hechos que la Ley señale como delitos y se tramiten ante el Ministerio Público;</w:t>
      </w:r>
    </w:p>
    <w:p w14:paraId="5C61DBA9"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X. </w:t>
      </w:r>
      <w:r w:rsidRPr="00E77F7D">
        <w:rPr>
          <w:rFonts w:ascii="Palatino Linotype" w:eastAsia="Palatino Linotype" w:hAnsi="Palatino Linotype" w:cs="Palatino Linotype"/>
          <w:i/>
          <w:sz w:val="22"/>
          <w:szCs w:val="22"/>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3134CAFF"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i/>
          <w:sz w:val="22"/>
          <w:szCs w:val="22"/>
        </w:rPr>
        <w:t>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14:paraId="515C61FE"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XI. </w:t>
      </w:r>
      <w:r w:rsidRPr="00E77F7D">
        <w:rPr>
          <w:rFonts w:ascii="Palatino Linotype" w:eastAsia="Palatino Linotype" w:hAnsi="Palatino Linotype" w:cs="Palatino Linotype"/>
          <w:i/>
          <w:sz w:val="22"/>
          <w:szCs w:val="22"/>
        </w:rPr>
        <w:t>Las que por disposición expresa de una ley tengan tal carácter, siempre que sean acordes con las bases, principios y disposiciones establecidos en esta Ley y no la contravengan; así como las previstas en tratados internacionales.</w:t>
      </w:r>
    </w:p>
    <w:p w14:paraId="60282071"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i/>
          <w:sz w:val="22"/>
          <w:szCs w:val="22"/>
        </w:rPr>
        <w:t>(…)</w:t>
      </w:r>
    </w:p>
    <w:p w14:paraId="7E7180B7"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Artículo 143. </w:t>
      </w:r>
      <w:r w:rsidRPr="00E77F7D">
        <w:rPr>
          <w:rFonts w:ascii="Palatino Linotype" w:eastAsia="Palatino Linotype" w:hAnsi="Palatino Linotype" w:cs="Palatino Linotype"/>
          <w:i/>
          <w:sz w:val="22"/>
          <w:szCs w:val="22"/>
        </w:rPr>
        <w:t>Para los efectos de esta Ley se considera información confidencial, la clasificada como tal, de manera permanente, por su naturaleza, cuando:</w:t>
      </w:r>
    </w:p>
    <w:p w14:paraId="6363DB5F"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I. </w:t>
      </w:r>
      <w:r w:rsidRPr="00E77F7D">
        <w:rPr>
          <w:rFonts w:ascii="Palatino Linotype" w:eastAsia="Palatino Linotype" w:hAnsi="Palatino Linotype" w:cs="Palatino Linotype"/>
          <w:i/>
          <w:sz w:val="22"/>
          <w:szCs w:val="22"/>
        </w:rPr>
        <w:t>Se refiera a la información privada y los datos personales concernientes a una persona física o jurídico colectiva identificada o identificable;</w:t>
      </w:r>
    </w:p>
    <w:p w14:paraId="08E3C520"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II. </w:t>
      </w:r>
      <w:r w:rsidRPr="00E77F7D">
        <w:rPr>
          <w:rFonts w:ascii="Palatino Linotype" w:eastAsia="Palatino Linotype" w:hAnsi="Palatino Linotype" w:cs="Palatino Linotype"/>
          <w:i/>
          <w:sz w:val="22"/>
          <w:szCs w:val="22"/>
        </w:rPr>
        <w:t>Los secretos bancario, fiduciario, industrial, comercial, fiscal, bursátil y postal, cuya titularidad corresponda a particulares, sujetos de derecho internacional o a sujetos obligados cuando no involucren el ejercicio de recursos públicos; y</w:t>
      </w:r>
    </w:p>
    <w:p w14:paraId="250E0889"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III. </w:t>
      </w:r>
      <w:r w:rsidRPr="00E77F7D">
        <w:rPr>
          <w:rFonts w:ascii="Palatino Linotype" w:eastAsia="Palatino Linotype" w:hAnsi="Palatino Linotype" w:cs="Palatino Linotype"/>
          <w:i/>
          <w:sz w:val="22"/>
          <w:szCs w:val="22"/>
        </w:rPr>
        <w:t>La que presenten los particulares a los sujetos obligados, de conformidad con lo dispuesto por las leyes o los tratados internacionales.</w:t>
      </w:r>
    </w:p>
    <w:p w14:paraId="266A342E"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53609C54" w14:textId="77777777" w:rsidR="00532AE4" w:rsidRPr="00E77F7D"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i/>
          <w:sz w:val="22"/>
          <w:szCs w:val="22"/>
        </w:rPr>
        <w:lastRenderedPageBreak/>
        <w:t>No se considerará confidencial la información que se encuentre en los registros públicos o en fuentes de acceso público, ni tampoco la que sea considerada por la presente ley como información pública.”</w:t>
      </w:r>
    </w:p>
    <w:p w14:paraId="3C5A37A1" w14:textId="77777777" w:rsidR="00532AE4" w:rsidRPr="00E77F7D" w:rsidRDefault="00532AE4">
      <w:pPr>
        <w:tabs>
          <w:tab w:val="left" w:pos="567"/>
        </w:tabs>
        <w:spacing w:line="276" w:lineRule="auto"/>
        <w:ind w:left="567" w:right="616"/>
        <w:jc w:val="both"/>
        <w:rPr>
          <w:rFonts w:ascii="Palatino Linotype" w:eastAsia="Palatino Linotype" w:hAnsi="Palatino Linotype" w:cs="Palatino Linotype"/>
          <w:i/>
          <w:sz w:val="22"/>
          <w:szCs w:val="22"/>
        </w:rPr>
      </w:pPr>
    </w:p>
    <w:p w14:paraId="6C14F1A7"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De este modo, conforme al artículo 132 de la Ley en la Materia Local, para clasificar la información se debe de atender a lo dispuesto por la normativa y aplicar, de manera estricta, las excepciones del derecho de acceso a la información y sólo podrán invocarlas cuando acrediten su procedencia, debiendo clasificar la información en el momento en que:</w:t>
      </w:r>
    </w:p>
    <w:p w14:paraId="7A878F85"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3D99EB43" w14:textId="77777777" w:rsidR="00532AE4" w:rsidRPr="00E77F7D"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Se reciba una solicitud de acceso a la información;</w:t>
      </w:r>
    </w:p>
    <w:p w14:paraId="54E32C40" w14:textId="77777777" w:rsidR="00532AE4" w:rsidRPr="00E77F7D"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Se determine mediante resolución de autoridad competente; y/o</w:t>
      </w:r>
    </w:p>
    <w:p w14:paraId="2A2574F5" w14:textId="77777777" w:rsidR="00532AE4" w:rsidRPr="00E77F7D"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Se generen versiones públicas para dar cumplimiento a las obligaciones de transparencia previstas en la Ley.</w:t>
      </w:r>
    </w:p>
    <w:p w14:paraId="7A04AF72" w14:textId="77777777" w:rsidR="00532AE4" w:rsidRPr="00E77F7D" w:rsidRDefault="00532AE4">
      <w:pPr>
        <w:tabs>
          <w:tab w:val="left" w:pos="851"/>
        </w:tabs>
        <w:spacing w:line="360" w:lineRule="auto"/>
        <w:ind w:left="567"/>
        <w:jc w:val="both"/>
        <w:rPr>
          <w:rFonts w:ascii="Palatino Linotype" w:eastAsia="Palatino Linotype" w:hAnsi="Palatino Linotype" w:cs="Palatino Linotype"/>
          <w:sz w:val="22"/>
          <w:szCs w:val="22"/>
        </w:rPr>
      </w:pPr>
    </w:p>
    <w:p w14:paraId="20CB9D74" w14:textId="77777777" w:rsidR="00532AE4" w:rsidRPr="00E77F7D" w:rsidRDefault="00A76F12">
      <w:pPr>
        <w:spacing w:line="360" w:lineRule="auto"/>
        <w:ind w:right="51"/>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En ese sentido, es de precisar que la clasificación de la información no se da por el simple mandato de la Ley, sino que es necesario que el </w:t>
      </w:r>
      <w:r w:rsidRPr="00E77F7D">
        <w:rPr>
          <w:rFonts w:ascii="Palatino Linotype" w:eastAsia="Palatino Linotype" w:hAnsi="Palatino Linotype" w:cs="Palatino Linotype"/>
          <w:b/>
          <w:sz w:val="22"/>
          <w:szCs w:val="22"/>
        </w:rPr>
        <w:t>Sujeto Obligado,</w:t>
      </w:r>
      <w:r w:rsidRPr="00E77F7D">
        <w:rPr>
          <w:rFonts w:ascii="Palatino Linotype" w:eastAsia="Palatino Linotype" w:hAnsi="Palatino Linotype" w:cs="Palatino Linotype"/>
          <w:sz w:val="22"/>
          <w:szCs w:val="22"/>
        </w:rPr>
        <w:t xml:space="preserve"> cuando clasifique algún documento o información, ya sea todo o en parte, atienda lo dispuesto por la Ley de la materia, siendo que dicha clasificación es un trabajo en conjunto tanto de los Servidores Públicos Habilitados, de las Unidades de Transparencia y del Comité de Transparencia del </w:t>
      </w:r>
      <w:r w:rsidRPr="00E77F7D">
        <w:rPr>
          <w:rFonts w:ascii="Palatino Linotype" w:eastAsia="Palatino Linotype" w:hAnsi="Palatino Linotype" w:cs="Palatino Linotype"/>
          <w:b/>
          <w:sz w:val="22"/>
          <w:szCs w:val="22"/>
        </w:rPr>
        <w:t>Sujeto Obligado</w:t>
      </w:r>
      <w:r w:rsidRPr="00E77F7D">
        <w:rPr>
          <w:rFonts w:ascii="Palatino Linotype" w:eastAsia="Palatino Linotype" w:hAnsi="Palatino Linotype" w:cs="Palatino Linotype"/>
          <w:sz w:val="22"/>
          <w:szCs w:val="22"/>
        </w:rPr>
        <w:t>, teniendo el deber los primeros de ellos de presentar ante la Unidad de Transparencia la propuesta de la clasificación de la información, para que luego esta se presente ante al Comité de Transparencia de así resultar procedente el proyecto de clasificación de la información y que finalmente sea este último quien apruebe, modifique o revoque la misma, como se desprende de los artículos 59 fracción V</w:t>
      </w:r>
      <w:r w:rsidRPr="00E77F7D">
        <w:rPr>
          <w:rFonts w:ascii="Palatino Linotype" w:eastAsia="Palatino Linotype" w:hAnsi="Palatino Linotype" w:cs="Palatino Linotype"/>
          <w:sz w:val="22"/>
          <w:szCs w:val="22"/>
          <w:vertAlign w:val="superscript"/>
        </w:rPr>
        <w:footnoteReference w:id="3"/>
      </w:r>
      <w:r w:rsidRPr="00E77F7D">
        <w:rPr>
          <w:rFonts w:ascii="Palatino Linotype" w:eastAsia="Palatino Linotype" w:hAnsi="Palatino Linotype" w:cs="Palatino Linotype"/>
          <w:sz w:val="22"/>
          <w:szCs w:val="22"/>
        </w:rPr>
        <w:t>, 53 fracción X</w:t>
      </w:r>
      <w:r w:rsidRPr="00E77F7D">
        <w:rPr>
          <w:rFonts w:ascii="Palatino Linotype" w:eastAsia="Palatino Linotype" w:hAnsi="Palatino Linotype" w:cs="Palatino Linotype"/>
          <w:sz w:val="22"/>
          <w:szCs w:val="22"/>
          <w:vertAlign w:val="superscript"/>
        </w:rPr>
        <w:footnoteReference w:id="4"/>
      </w:r>
      <w:r w:rsidRPr="00E77F7D">
        <w:rPr>
          <w:rFonts w:ascii="Palatino Linotype" w:eastAsia="Palatino Linotype" w:hAnsi="Palatino Linotype" w:cs="Palatino Linotype"/>
          <w:sz w:val="22"/>
          <w:szCs w:val="22"/>
        </w:rPr>
        <w:t xml:space="preserve">, y 49 </w:t>
      </w:r>
      <w:r w:rsidRPr="00E77F7D">
        <w:rPr>
          <w:rFonts w:ascii="Palatino Linotype" w:eastAsia="Palatino Linotype" w:hAnsi="Palatino Linotype" w:cs="Palatino Linotype"/>
          <w:sz w:val="22"/>
          <w:szCs w:val="22"/>
        </w:rPr>
        <w:lastRenderedPageBreak/>
        <w:t>fracciones II y VIII</w:t>
      </w:r>
      <w:r w:rsidRPr="00E77F7D">
        <w:rPr>
          <w:rFonts w:ascii="Palatino Linotype" w:eastAsia="Palatino Linotype" w:hAnsi="Palatino Linotype" w:cs="Palatino Linotype"/>
          <w:sz w:val="22"/>
          <w:szCs w:val="22"/>
          <w:vertAlign w:val="superscript"/>
        </w:rPr>
        <w:footnoteReference w:id="5"/>
      </w:r>
      <w:r w:rsidRPr="00E77F7D">
        <w:rPr>
          <w:rFonts w:ascii="Palatino Linotype" w:eastAsia="Palatino Linotype" w:hAnsi="Palatino Linotype" w:cs="Palatino Linotype"/>
          <w:sz w:val="22"/>
          <w:szCs w:val="22"/>
        </w:rPr>
        <w:t xml:space="preserve"> de la Ley de Transparencia y Acceso a la Información Pública del Estado de México y Municipios.</w:t>
      </w:r>
    </w:p>
    <w:p w14:paraId="3E643A7D" w14:textId="77777777" w:rsidR="00532AE4" w:rsidRPr="00E77F7D" w:rsidRDefault="00532AE4">
      <w:pPr>
        <w:spacing w:line="360" w:lineRule="auto"/>
        <w:ind w:right="51"/>
        <w:jc w:val="both"/>
        <w:rPr>
          <w:rFonts w:ascii="Palatino Linotype" w:eastAsia="Palatino Linotype" w:hAnsi="Palatino Linotype" w:cs="Palatino Linotype"/>
          <w:sz w:val="22"/>
          <w:szCs w:val="22"/>
        </w:rPr>
      </w:pPr>
    </w:p>
    <w:p w14:paraId="2624B4F7"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Bajo tales consideraciones, este Organismo Garante no omite señalar que, si el </w:t>
      </w:r>
      <w:r w:rsidRPr="00E77F7D">
        <w:rPr>
          <w:rFonts w:ascii="Palatino Linotype" w:eastAsia="Palatino Linotype" w:hAnsi="Palatino Linotype" w:cs="Palatino Linotype"/>
          <w:b/>
          <w:sz w:val="22"/>
          <w:szCs w:val="22"/>
        </w:rPr>
        <w:t>Sujeto Obligado</w:t>
      </w:r>
      <w:r w:rsidRPr="00E77F7D">
        <w:rPr>
          <w:rFonts w:ascii="Palatino Linotype" w:eastAsia="Palatino Linotype" w:hAnsi="Palatino Linotype" w:cs="Palatino Linotype"/>
          <w:sz w:val="22"/>
          <w:szCs w:val="22"/>
        </w:rPr>
        <w:t xml:space="preserve"> advierte que la información solicitada contiene </w:t>
      </w:r>
      <w:r w:rsidRPr="00E77F7D">
        <w:rPr>
          <w:rFonts w:ascii="Palatino Linotype" w:eastAsia="Palatino Linotype" w:hAnsi="Palatino Linotype" w:cs="Palatino Linotype"/>
          <w:b/>
          <w:sz w:val="22"/>
          <w:szCs w:val="22"/>
        </w:rPr>
        <w:t>datos personales</w:t>
      </w:r>
      <w:r w:rsidRPr="00E77F7D">
        <w:rPr>
          <w:rFonts w:ascii="Palatino Linotype" w:eastAsia="Palatino Linotype" w:hAnsi="Palatino Linotype" w:cs="Palatino Linotype"/>
          <w:sz w:val="22"/>
          <w:szCs w:val="22"/>
        </w:rPr>
        <w:t xml:space="preserve"> que sean susceptibles de ser </w:t>
      </w:r>
      <w:r w:rsidRPr="00E77F7D">
        <w:rPr>
          <w:rFonts w:ascii="Palatino Linotype" w:eastAsia="Palatino Linotype" w:hAnsi="Palatino Linotype" w:cs="Palatino Linotype"/>
          <w:b/>
          <w:sz w:val="22"/>
          <w:szCs w:val="22"/>
        </w:rPr>
        <w:t xml:space="preserve">clasificados como confidenciales, </w:t>
      </w:r>
      <w:r w:rsidRPr="00E77F7D">
        <w:rPr>
          <w:rFonts w:ascii="Palatino Linotype" w:eastAsia="Palatino Linotype" w:hAnsi="Palatino Linotype" w:cs="Palatino Linotype"/>
          <w:sz w:val="22"/>
          <w:szCs w:val="22"/>
        </w:rPr>
        <w:t>o, si por otro lado</w:t>
      </w:r>
      <w:r w:rsidRPr="00E77F7D">
        <w:rPr>
          <w:rFonts w:ascii="Palatino Linotype" w:eastAsia="Palatino Linotype" w:hAnsi="Palatino Linotype" w:cs="Palatino Linotype"/>
          <w:b/>
          <w:sz w:val="22"/>
          <w:szCs w:val="22"/>
        </w:rPr>
        <w:t>, por su propia y especial naturaleza,</w:t>
      </w:r>
      <w:r w:rsidRPr="00E77F7D">
        <w:rPr>
          <w:rFonts w:ascii="Palatino Linotype" w:eastAsia="Palatino Linotype" w:hAnsi="Palatino Linotype" w:cs="Palatino Linotype"/>
          <w:sz w:val="22"/>
          <w:szCs w:val="22"/>
        </w:rPr>
        <w:t xml:space="preserve"> encuadra en alguno de los </w:t>
      </w:r>
      <w:r w:rsidRPr="00E77F7D">
        <w:rPr>
          <w:rFonts w:ascii="Palatino Linotype" w:eastAsia="Palatino Linotype" w:hAnsi="Palatino Linotype" w:cs="Palatino Linotype"/>
          <w:b/>
          <w:sz w:val="22"/>
          <w:szCs w:val="22"/>
        </w:rPr>
        <w:t>supuestos de reserva o de confidencialidad en su totalidad</w:t>
      </w:r>
      <w:r w:rsidRPr="00E77F7D">
        <w:rPr>
          <w:rFonts w:ascii="Palatino Linotype" w:eastAsia="Palatino Linotype" w:hAnsi="Palatino Linotype" w:cs="Palatino Linotype"/>
          <w:sz w:val="22"/>
          <w:szCs w:val="22"/>
        </w:rPr>
        <w:t>, deberá emitir, un</w:t>
      </w:r>
      <w:r w:rsidRPr="00E77F7D">
        <w:rPr>
          <w:rFonts w:ascii="Palatino Linotype" w:eastAsia="Palatino Linotype" w:hAnsi="Palatino Linotype" w:cs="Palatino Linotype"/>
          <w:b/>
          <w:sz w:val="22"/>
          <w:szCs w:val="22"/>
        </w:rPr>
        <w:t xml:space="preserve"> Acuerdo de Clasificación </w:t>
      </w:r>
      <w:r w:rsidRPr="00E77F7D">
        <w:rPr>
          <w:rFonts w:ascii="Palatino Linotype" w:eastAsia="Palatino Linotype" w:hAnsi="Palatino Linotype" w:cs="Palatino Linotype"/>
          <w:sz w:val="22"/>
          <w:szCs w:val="22"/>
        </w:rPr>
        <w:t>debidamente fundado y motivado que</w:t>
      </w:r>
      <w:r w:rsidRPr="00E77F7D">
        <w:rPr>
          <w:rFonts w:ascii="Palatino Linotype" w:eastAsia="Palatino Linotype" w:hAnsi="Palatino Linotype" w:cs="Palatino Linotype"/>
          <w:b/>
          <w:sz w:val="22"/>
          <w:szCs w:val="22"/>
        </w:rPr>
        <w:t xml:space="preserve"> sustente la clasificación parcial, a través de la versión pública que emita,</w:t>
      </w:r>
      <w:r w:rsidRPr="00E77F7D">
        <w:rPr>
          <w:rFonts w:ascii="Palatino Linotype" w:eastAsia="Palatino Linotype" w:hAnsi="Palatino Linotype" w:cs="Palatino Linotype"/>
          <w:sz w:val="22"/>
          <w:szCs w:val="22"/>
        </w:rPr>
        <w:t xml:space="preserve"> o bien, la restricción total del derecho de acceso a la información.  </w:t>
      </w:r>
    </w:p>
    <w:p w14:paraId="693F1C41"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352BD01E" w14:textId="77777777" w:rsidR="00532AE4" w:rsidRPr="00E77F7D"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De la clasificación parcial de la información.</w:t>
      </w:r>
    </w:p>
    <w:p w14:paraId="6CDBD4F4" w14:textId="77777777" w:rsidR="00532AE4" w:rsidRPr="00E77F7D"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sz w:val="22"/>
          <w:szCs w:val="22"/>
        </w:rPr>
      </w:pPr>
    </w:p>
    <w:p w14:paraId="48858E79"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Respecto de la elaboración de versiones públicas, debe mencionarse que dentro de los datos personales que pudieran contenerse se destacan los datos personales sensibles, los cuales son aquellos referentes de la esfera de su titular cuya utilización indebida 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14:paraId="46B79F48"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0D667982" w14:textId="77777777" w:rsidR="00532AE4" w:rsidRPr="00E77F7D"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E77F7D">
        <w:rPr>
          <w:rFonts w:ascii="Palatino Linotype" w:eastAsia="Palatino Linotype" w:hAnsi="Palatino Linotype" w:cs="Palatino Linotype"/>
          <w:b/>
          <w:sz w:val="22"/>
          <w:szCs w:val="22"/>
        </w:rPr>
        <w:lastRenderedPageBreak/>
        <w:t>De la clasificación de información como reservada.</w:t>
      </w:r>
    </w:p>
    <w:p w14:paraId="2F50165E" w14:textId="77777777" w:rsidR="00532AE4" w:rsidRPr="00E77F7D" w:rsidRDefault="00532AE4">
      <w:pPr>
        <w:pBdr>
          <w:top w:val="nil"/>
          <w:left w:val="nil"/>
          <w:bottom w:val="nil"/>
          <w:right w:val="nil"/>
          <w:between w:val="nil"/>
        </w:pBdr>
        <w:spacing w:line="360" w:lineRule="auto"/>
        <w:ind w:left="720" w:right="51"/>
        <w:jc w:val="both"/>
        <w:rPr>
          <w:rFonts w:ascii="Palatino Linotype" w:eastAsia="Palatino Linotype" w:hAnsi="Palatino Linotype" w:cs="Palatino Linotype"/>
          <w:b/>
          <w:sz w:val="22"/>
          <w:szCs w:val="22"/>
        </w:rPr>
      </w:pPr>
    </w:p>
    <w:p w14:paraId="2E76D915" w14:textId="77777777" w:rsidR="00532AE4" w:rsidRPr="00E77F7D" w:rsidRDefault="00A76F12">
      <w:pPr>
        <w:spacing w:line="360" w:lineRule="auto"/>
        <w:ind w:right="51"/>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Por cuanto hace a la reserva y ampliación del plazo de reserva de la información, para motivar la clasificación se deberán de señalar las razones, motivos o circunstancias especiales que llevaron al </w:t>
      </w:r>
      <w:r w:rsidRPr="00E77F7D">
        <w:rPr>
          <w:rFonts w:ascii="Palatino Linotype" w:eastAsia="Palatino Linotype" w:hAnsi="Palatino Linotype" w:cs="Palatino Linotype"/>
          <w:b/>
          <w:sz w:val="22"/>
          <w:szCs w:val="22"/>
        </w:rPr>
        <w:t>Sujeto Obligado</w:t>
      </w:r>
      <w:r w:rsidRPr="00E77F7D">
        <w:rPr>
          <w:rFonts w:ascii="Palatino Linotype" w:eastAsia="Palatino Linotype" w:hAnsi="Palatino Linotype" w:cs="Palatino Linotype"/>
          <w:sz w:val="22"/>
          <w:szCs w:val="22"/>
        </w:rPr>
        <w:t xml:space="preserve"> a concluir que, el caso particular se ajusta al 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2072D8AB" w14:textId="77777777" w:rsidR="00532AE4" w:rsidRPr="00E77F7D" w:rsidRDefault="00532AE4">
      <w:pPr>
        <w:spacing w:line="360" w:lineRule="auto"/>
        <w:ind w:right="51"/>
        <w:jc w:val="both"/>
        <w:rPr>
          <w:rFonts w:ascii="Palatino Linotype" w:eastAsia="Palatino Linotype" w:hAnsi="Palatino Linotype" w:cs="Palatino Linotype"/>
          <w:sz w:val="22"/>
          <w:szCs w:val="22"/>
        </w:rPr>
      </w:pPr>
    </w:p>
    <w:p w14:paraId="70EECA05"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de la Ley de Transparencia y Acceso a la Información pública del Estado de México y Municipios, para lo cual, los Sujetos Obligados deberán considerar que: </w:t>
      </w:r>
    </w:p>
    <w:p w14:paraId="13C920F9"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2602AD60" w14:textId="77777777" w:rsidR="00532AE4" w:rsidRPr="00E77F7D"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La divulgación de la información representa un </w:t>
      </w:r>
      <w:r w:rsidRPr="00E77F7D">
        <w:rPr>
          <w:rFonts w:ascii="Palatino Linotype" w:eastAsia="Palatino Linotype" w:hAnsi="Palatino Linotype" w:cs="Palatino Linotype"/>
          <w:b/>
          <w:sz w:val="22"/>
          <w:szCs w:val="22"/>
        </w:rPr>
        <w:t>riesgo real, demostrable e identificable del perjuicio significativo al interés público o a la seguridad pública</w:t>
      </w:r>
      <w:r w:rsidRPr="00E77F7D">
        <w:rPr>
          <w:rFonts w:ascii="Palatino Linotype" w:eastAsia="Palatino Linotype" w:hAnsi="Palatino Linotype" w:cs="Palatino Linotype"/>
          <w:sz w:val="22"/>
          <w:szCs w:val="22"/>
        </w:rPr>
        <w:t>;</w:t>
      </w:r>
    </w:p>
    <w:p w14:paraId="4FC20933" w14:textId="77777777" w:rsidR="00532AE4" w:rsidRPr="00E77F7D"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El riesgo de perjuicio que supondría la divulgación supera el interés público general de que se difunda; y,</w:t>
      </w:r>
    </w:p>
    <w:p w14:paraId="61E7D4BF" w14:textId="77777777" w:rsidR="00532AE4" w:rsidRPr="00E77F7D"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La limitación se adecua al principio de proporcionalidad y representa el medio menos restrictivo disponible para evitar el perjuicio. </w:t>
      </w:r>
    </w:p>
    <w:p w14:paraId="15D9A0D2" w14:textId="77777777" w:rsidR="00532AE4" w:rsidRPr="00E77F7D" w:rsidRDefault="00532AE4">
      <w:pPr>
        <w:tabs>
          <w:tab w:val="left" w:pos="851"/>
        </w:tabs>
        <w:spacing w:line="360" w:lineRule="auto"/>
        <w:ind w:left="568"/>
        <w:jc w:val="both"/>
        <w:rPr>
          <w:rFonts w:ascii="Palatino Linotype" w:eastAsia="Palatino Linotype" w:hAnsi="Palatino Linotype" w:cs="Palatino Linotype"/>
          <w:sz w:val="22"/>
          <w:szCs w:val="22"/>
        </w:rPr>
      </w:pPr>
    </w:p>
    <w:p w14:paraId="58FB4E50"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lastRenderedPageBreak/>
        <w:t xml:space="preserve">Siendo pertinente aclarar que, la información que se clasifica bajo la premisa de reservada, </w:t>
      </w:r>
      <w:r w:rsidRPr="00E77F7D">
        <w:rPr>
          <w:rFonts w:ascii="Palatino Linotype" w:eastAsia="Palatino Linotype" w:hAnsi="Palatino Linotype" w:cs="Palatino Linotype"/>
          <w:b/>
          <w:sz w:val="22"/>
          <w:szCs w:val="22"/>
        </w:rPr>
        <w:t>no pierde el carácter de pública</w:t>
      </w:r>
      <w:r w:rsidRPr="00E77F7D">
        <w:rPr>
          <w:rFonts w:ascii="Palatino Linotype" w:eastAsia="Palatino Linotype" w:hAnsi="Palatino Linotype" w:cs="Palatino Linotype"/>
          <w:sz w:val="22"/>
          <w:szCs w:val="22"/>
        </w:rPr>
        <w:t xml:space="preserve">, sino que </w:t>
      </w:r>
      <w:r w:rsidRPr="00E77F7D">
        <w:rPr>
          <w:rFonts w:ascii="Palatino Linotype" w:eastAsia="Palatino Linotype" w:hAnsi="Palatino Linotype" w:cs="Palatino Linotype"/>
          <w:b/>
          <w:sz w:val="22"/>
          <w:szCs w:val="22"/>
        </w:rPr>
        <w:t>se reserva temporalmente</w:t>
      </w:r>
      <w:r w:rsidRPr="00E77F7D">
        <w:rPr>
          <w:rFonts w:ascii="Palatino Linotype" w:eastAsia="Palatino Linotype" w:hAnsi="Palatino Linotype" w:cs="Palatino Linotype"/>
          <w:sz w:val="22"/>
          <w:szCs w:val="22"/>
        </w:rPr>
        <w:t xml:space="preserve"> </w:t>
      </w:r>
      <w:r w:rsidRPr="00E77F7D">
        <w:rPr>
          <w:rFonts w:ascii="Palatino Linotype" w:eastAsia="Palatino Linotype" w:hAnsi="Palatino Linotype" w:cs="Palatino Linotype"/>
          <w:b/>
          <w:sz w:val="22"/>
          <w:szCs w:val="22"/>
        </w:rPr>
        <w:t>del conocimiento público</w:t>
      </w:r>
      <w:r w:rsidRPr="00E77F7D">
        <w:rPr>
          <w:rFonts w:ascii="Palatino Linotype" w:eastAsia="Palatino Linotype" w:hAnsi="Palatino Linotype" w:cs="Palatino Linotype"/>
          <w:sz w:val="22"/>
          <w:szCs w:val="22"/>
        </w:rPr>
        <w:t xml:space="preserve">, es decir, que, </w:t>
      </w:r>
      <w:r w:rsidRPr="00E77F7D">
        <w:rPr>
          <w:rFonts w:ascii="Palatino Linotype" w:eastAsia="Palatino Linotype" w:hAnsi="Palatino Linotype" w:cs="Palatino Linotype"/>
          <w:b/>
          <w:sz w:val="22"/>
          <w:szCs w:val="22"/>
        </w:rPr>
        <w:t>por un tiempo determinado</w:t>
      </w:r>
      <w:r w:rsidRPr="00E77F7D">
        <w:rPr>
          <w:rFonts w:ascii="Palatino Linotype" w:eastAsia="Palatino Linotype" w:hAnsi="Palatino Linotype" w:cs="Palatino Linotype"/>
          <w:sz w:val="22"/>
          <w:szCs w:val="22"/>
        </w:rPr>
        <w:t>, se conservará y custodiará la información de manera especial, y una vez transcurrido el plazo de reserva, el documento podrá divulgarse.</w:t>
      </w:r>
    </w:p>
    <w:p w14:paraId="3BF82B7A"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3AA8CE0C"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14:paraId="78F57D52"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7CD5A042" w14:textId="77777777" w:rsidR="00532AE4" w:rsidRPr="00E77F7D" w:rsidRDefault="00A76F12">
      <w:pPr>
        <w:numPr>
          <w:ilvl w:val="0"/>
          <w:numId w:val="3"/>
        </w:numPr>
        <w:pBdr>
          <w:top w:val="nil"/>
          <w:left w:val="nil"/>
          <w:bottom w:val="nil"/>
          <w:right w:val="nil"/>
          <w:between w:val="nil"/>
        </w:pBdr>
        <w:tabs>
          <w:tab w:val="left" w:pos="709"/>
        </w:tabs>
        <w:spacing w:line="360" w:lineRule="auto"/>
        <w:jc w:val="both"/>
        <w:rPr>
          <w:rFonts w:ascii="Palatino Linotype" w:eastAsia="Palatino Linotype" w:hAnsi="Palatino Linotype" w:cs="Palatino Linotype"/>
          <w:b/>
          <w:sz w:val="22"/>
          <w:szCs w:val="22"/>
        </w:rPr>
      </w:pPr>
      <w:r w:rsidRPr="00E77F7D">
        <w:rPr>
          <w:rFonts w:ascii="Palatino Linotype" w:eastAsia="Palatino Linotype" w:hAnsi="Palatino Linotype" w:cs="Palatino Linotype"/>
          <w:b/>
          <w:sz w:val="22"/>
          <w:szCs w:val="22"/>
        </w:rPr>
        <w:t>De la clasificación de la información como totalmente confidencial.</w:t>
      </w:r>
    </w:p>
    <w:p w14:paraId="2A71EC5A" w14:textId="77777777" w:rsidR="00532AE4" w:rsidRPr="00E77F7D" w:rsidRDefault="00532AE4">
      <w:pPr>
        <w:pBdr>
          <w:top w:val="nil"/>
          <w:left w:val="nil"/>
          <w:bottom w:val="nil"/>
          <w:right w:val="nil"/>
          <w:between w:val="nil"/>
        </w:pBdr>
        <w:tabs>
          <w:tab w:val="left" w:pos="709"/>
        </w:tabs>
        <w:spacing w:line="360" w:lineRule="auto"/>
        <w:ind w:left="720"/>
        <w:jc w:val="both"/>
        <w:rPr>
          <w:rFonts w:ascii="Palatino Linotype" w:eastAsia="Palatino Linotype" w:hAnsi="Palatino Linotype" w:cs="Palatino Linotype"/>
          <w:b/>
          <w:sz w:val="22"/>
          <w:szCs w:val="22"/>
        </w:rPr>
      </w:pPr>
    </w:p>
    <w:p w14:paraId="6F851395" w14:textId="77777777" w:rsidR="00532AE4" w:rsidRPr="00E77F7D" w:rsidRDefault="00A76F12">
      <w:pPr>
        <w:tabs>
          <w:tab w:val="left" w:pos="709"/>
        </w:tabs>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Por cuanto hace a los documentos que por su propia y especial naturaleza sean de carácter privado, encuadran en el supuesto de información confidencial en su totalidad, bajo la premisa de que el derecho de acceso a la información pública tiene como limitante el respeto a la intimidad y a la vida privada de las personas, es por ello que este Instituto debe cuidar que los datos personales que obren en poder de los Sujetos Obligados estén protegidos, quienes 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14:paraId="5F4D21A1" w14:textId="77777777" w:rsidR="00532AE4" w:rsidRPr="00E77F7D" w:rsidRDefault="00532AE4">
      <w:pPr>
        <w:tabs>
          <w:tab w:val="left" w:pos="709"/>
        </w:tabs>
        <w:spacing w:line="360" w:lineRule="auto"/>
        <w:jc w:val="both"/>
        <w:rPr>
          <w:rFonts w:ascii="Palatino Linotype" w:eastAsia="Palatino Linotype" w:hAnsi="Palatino Linotype" w:cs="Palatino Linotype"/>
          <w:sz w:val="22"/>
          <w:szCs w:val="22"/>
        </w:rPr>
      </w:pPr>
    </w:p>
    <w:p w14:paraId="2D1009E9" w14:textId="77777777" w:rsidR="00532AE4" w:rsidRPr="00E77F7D" w:rsidRDefault="00A76F12">
      <w:pPr>
        <w:spacing w:line="360" w:lineRule="auto"/>
        <w:ind w:right="51"/>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lastRenderedPageBreak/>
        <w:t>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Versiones Públicas</w:t>
      </w:r>
      <w:r w:rsidRPr="00E77F7D">
        <w:rPr>
          <w:rFonts w:ascii="Palatino Linotype" w:eastAsia="Palatino Linotype" w:hAnsi="Palatino Linotype" w:cs="Palatino Linotype"/>
          <w:sz w:val="22"/>
          <w:szCs w:val="22"/>
          <w:vertAlign w:val="superscript"/>
        </w:rPr>
        <w:footnoteReference w:id="6"/>
      </w:r>
      <w:r w:rsidRPr="00E77F7D">
        <w:rPr>
          <w:rFonts w:ascii="Palatino Linotype" w:eastAsia="Palatino Linotype" w:hAnsi="Palatino Linotype" w:cs="Palatino Linotype"/>
          <w:sz w:val="22"/>
          <w:szCs w:val="22"/>
        </w:rPr>
        <w:t>,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14:paraId="5B59031D" w14:textId="77777777" w:rsidR="00532AE4" w:rsidRPr="00E77F7D" w:rsidRDefault="00532AE4">
      <w:pPr>
        <w:spacing w:line="360" w:lineRule="auto"/>
        <w:ind w:right="51"/>
        <w:jc w:val="both"/>
        <w:rPr>
          <w:rFonts w:ascii="Palatino Linotype" w:eastAsia="Palatino Linotype" w:hAnsi="Palatino Linotype" w:cs="Palatino Linotype"/>
          <w:sz w:val="22"/>
          <w:szCs w:val="22"/>
        </w:rPr>
      </w:pPr>
    </w:p>
    <w:p w14:paraId="00D956B7" w14:textId="77777777" w:rsidR="00532AE4" w:rsidRPr="00E77F7D"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De la declaratoria de inexistencia de la información</w:t>
      </w:r>
      <w:r w:rsidRPr="00E77F7D">
        <w:rPr>
          <w:rFonts w:ascii="Palatino Linotype" w:eastAsia="Palatino Linotype" w:hAnsi="Palatino Linotype" w:cs="Palatino Linotype"/>
          <w:sz w:val="22"/>
          <w:szCs w:val="22"/>
        </w:rPr>
        <w:t>.</w:t>
      </w:r>
    </w:p>
    <w:p w14:paraId="2CE06287" w14:textId="77777777" w:rsidR="00532AE4" w:rsidRPr="00E77F7D" w:rsidRDefault="00532AE4">
      <w:pPr>
        <w:spacing w:line="360" w:lineRule="auto"/>
        <w:ind w:right="51"/>
        <w:jc w:val="both"/>
        <w:rPr>
          <w:rFonts w:ascii="Palatino Linotype" w:eastAsia="Palatino Linotype" w:hAnsi="Palatino Linotype" w:cs="Palatino Linotype"/>
          <w:sz w:val="22"/>
          <w:szCs w:val="22"/>
        </w:rPr>
      </w:pPr>
    </w:p>
    <w:p w14:paraId="3730A9CA"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Por otro lado, estima prudente señalar al </w:t>
      </w:r>
      <w:r w:rsidRPr="00E77F7D">
        <w:rPr>
          <w:rFonts w:ascii="Palatino Linotype" w:eastAsia="Palatino Linotype" w:hAnsi="Palatino Linotype" w:cs="Palatino Linotype"/>
          <w:b/>
          <w:sz w:val="22"/>
          <w:szCs w:val="22"/>
        </w:rPr>
        <w:t>Sujeto Obligado</w:t>
      </w:r>
      <w:r w:rsidRPr="00E77F7D">
        <w:rPr>
          <w:rFonts w:ascii="Palatino Linotype" w:eastAsia="Palatino Linotype" w:hAnsi="Palatino Linotype" w:cs="Palatino Linotype"/>
          <w:sz w:val="22"/>
          <w:szCs w:val="22"/>
        </w:rPr>
        <w:t xml:space="preserve"> que, en caso de que la información solicitada, debiera obrar en sus archivos y no cuente con ella, deberá entregar el Acuerdo del Comité de Transparencia, en donde conste la declaratoria de inexistencia de la misma.</w:t>
      </w:r>
    </w:p>
    <w:p w14:paraId="60EE7A11"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37CDD1DE"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14:paraId="6DF8F681"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0315B04C"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14:paraId="721909C8"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45992403"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Resulta aplicable el criterio de interpretación en el orden administrativo número 0008-19 emitido por Acuerdo del Pleno del Instituto de Transparencia y Acceso a la Información Pública del Estado de México y Municipios, que a la letra dice:</w:t>
      </w:r>
    </w:p>
    <w:p w14:paraId="1F07564B"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77862E7E" w14:textId="77777777" w:rsidR="00532AE4" w:rsidRPr="00E77F7D" w:rsidRDefault="00A76F12">
      <w:pPr>
        <w:spacing w:line="276" w:lineRule="auto"/>
        <w:ind w:left="567" w:right="902"/>
        <w:jc w:val="both"/>
        <w:rPr>
          <w:rFonts w:ascii="Palatino Linotype" w:eastAsia="Palatino Linotype" w:hAnsi="Palatino Linotype" w:cs="Palatino Linotype"/>
          <w:i/>
          <w:sz w:val="22"/>
          <w:szCs w:val="22"/>
        </w:rPr>
      </w:pPr>
      <w:r w:rsidRPr="00E77F7D">
        <w:rPr>
          <w:rFonts w:ascii="Palatino Linotype" w:eastAsia="Palatino Linotype" w:hAnsi="Palatino Linotype" w:cs="Palatino Linotype"/>
          <w:b/>
          <w:i/>
          <w:sz w:val="22"/>
          <w:szCs w:val="22"/>
        </w:rPr>
        <w:t xml:space="preserve">“INEXISTENCIA DE LA INFORMACIÓN. SUPUESTOS PARA EMITIR LA RESOLUCIÓN DE LA. </w:t>
      </w:r>
      <w:r w:rsidRPr="00E77F7D">
        <w:rPr>
          <w:rFonts w:ascii="Palatino Linotype" w:eastAsia="Palatino Linotype" w:hAnsi="Palatino Linotype" w:cs="Palatino Linotype"/>
          <w:i/>
          <w:sz w:val="22"/>
          <w:szCs w:val="22"/>
        </w:rPr>
        <w:t>De conformidad con los artículos 19, párrafo tercero y 170 de la Ley de Transparencia y Acceso a la Información Pública del Estado de México y Municipios, el Comité de Transparencia deberá emitir un acuerdo de inexistencia de información debidamente fundado y motivado, para justificar por qué no obra en los archivos del Sujeto Obligado la información que deriva de las facultades, competencias y atribuciones que los ordenamientos jurídicos aplicables le otorgan, la cual debió generar, poseer y administrar. Por tanto, en términos de los numerales 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14:paraId="71B2A144" w14:textId="77777777" w:rsidR="00532AE4" w:rsidRPr="00E77F7D" w:rsidRDefault="00532AE4">
      <w:pPr>
        <w:spacing w:line="360" w:lineRule="auto"/>
        <w:ind w:left="851" w:right="902"/>
        <w:jc w:val="both"/>
        <w:rPr>
          <w:rFonts w:ascii="Palatino Linotype" w:eastAsia="Palatino Linotype" w:hAnsi="Palatino Linotype" w:cs="Palatino Linotype"/>
          <w:i/>
          <w:sz w:val="22"/>
          <w:szCs w:val="22"/>
        </w:rPr>
      </w:pPr>
    </w:p>
    <w:p w14:paraId="6CE19387"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 xml:space="preserve">En mérito de todo lo expuesto, ante lo </w:t>
      </w:r>
      <w:r w:rsidRPr="00E77F7D">
        <w:rPr>
          <w:rFonts w:ascii="Palatino Linotype" w:eastAsia="Palatino Linotype" w:hAnsi="Palatino Linotype" w:cs="Palatino Linotype"/>
          <w:b/>
          <w:sz w:val="22"/>
          <w:szCs w:val="22"/>
        </w:rPr>
        <w:t>FUNDADO</w:t>
      </w:r>
      <w:r w:rsidRPr="00E77F7D">
        <w:rPr>
          <w:rFonts w:ascii="Palatino Linotype" w:eastAsia="Palatino Linotype" w:hAnsi="Palatino Linotype" w:cs="Palatino Linotype"/>
          <w:sz w:val="22"/>
          <w:szCs w:val="22"/>
        </w:rPr>
        <w:t xml:space="preserve"> de las razones o motivos de inconformidad hechos valer por la parte Recurrente, este Instituto estima que lo dable es </w:t>
      </w:r>
      <w:r w:rsidRPr="00E77F7D">
        <w:rPr>
          <w:rFonts w:ascii="Palatino Linotype" w:eastAsia="Palatino Linotype" w:hAnsi="Palatino Linotype" w:cs="Palatino Linotype"/>
          <w:b/>
          <w:sz w:val="22"/>
          <w:szCs w:val="22"/>
        </w:rPr>
        <w:t>ORDENAR</w:t>
      </w:r>
      <w:r w:rsidRPr="00E77F7D">
        <w:rPr>
          <w:rFonts w:ascii="Palatino Linotype" w:eastAsia="Palatino Linotype" w:hAnsi="Palatino Linotype" w:cs="Palatino Linotype"/>
          <w:sz w:val="22"/>
          <w:szCs w:val="22"/>
        </w:rPr>
        <w:t xml:space="preserve"> al </w:t>
      </w:r>
      <w:r w:rsidRPr="00E77F7D">
        <w:rPr>
          <w:rFonts w:ascii="Palatino Linotype" w:eastAsia="Palatino Linotype" w:hAnsi="Palatino Linotype" w:cs="Palatino Linotype"/>
          <w:b/>
          <w:sz w:val="22"/>
          <w:szCs w:val="22"/>
        </w:rPr>
        <w:t>Sujeto Obligado</w:t>
      </w:r>
      <w:r w:rsidRPr="00E77F7D">
        <w:rPr>
          <w:rFonts w:ascii="Palatino Linotype" w:eastAsia="Palatino Linotype" w:hAnsi="Palatino Linotype" w:cs="Palatino Linotype"/>
          <w:sz w:val="22"/>
          <w:szCs w:val="22"/>
        </w:rPr>
        <w:t xml:space="preserve"> dé respuesta a la solicitud de acceso a la información, atendiendo lo señalado en el presente Considerando.</w:t>
      </w:r>
    </w:p>
    <w:p w14:paraId="24E59C8D"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17B3A677" w14:textId="77777777" w:rsidR="00532AE4" w:rsidRPr="00E77F7D" w:rsidRDefault="00A76F12">
      <w:pPr>
        <w:spacing w:line="360" w:lineRule="auto"/>
        <w:ind w:right="49"/>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sz w:val="22"/>
          <w:szCs w:val="22"/>
        </w:rPr>
        <w:t>Finalmente, es de señalar que, como ya se mencionó el</w:t>
      </w:r>
      <w:r w:rsidRPr="00E77F7D">
        <w:rPr>
          <w:rFonts w:ascii="Palatino Linotype" w:eastAsia="Palatino Linotype" w:hAnsi="Palatino Linotype" w:cs="Palatino Linotype"/>
          <w:b/>
          <w:sz w:val="22"/>
          <w:szCs w:val="22"/>
        </w:rPr>
        <w:t xml:space="preserve"> Sujeto Obligado</w:t>
      </w:r>
      <w:r w:rsidRPr="00E77F7D">
        <w:rPr>
          <w:rFonts w:ascii="Palatino Linotype" w:eastAsia="Palatino Linotype" w:hAnsi="Palatino Linotype" w:cs="Palatino Linotype"/>
          <w:sz w:val="22"/>
          <w:szCs w:val="22"/>
        </w:rPr>
        <w:t>, omitió proporcionar la respuesta a la solicitud de acceso a la información pública, en el término contemplado en el ya citado artículo 163 de la Ley de la materia, razón por la que se ordena dar vista</w:t>
      </w:r>
      <w:r w:rsidRPr="00E77F7D">
        <w:rPr>
          <w:rFonts w:ascii="Palatino Linotype" w:eastAsia="Palatino Linotype" w:hAnsi="Palatino Linotype" w:cs="Palatino Linotype"/>
          <w:b/>
          <w:sz w:val="22"/>
          <w:szCs w:val="22"/>
        </w:rPr>
        <w:t xml:space="preserve"> </w:t>
      </w:r>
      <w:r w:rsidRPr="00E77F7D">
        <w:rPr>
          <w:rFonts w:ascii="Palatino Linotype" w:eastAsia="Palatino Linotype" w:hAnsi="Palatino Linotype" w:cs="Palatino Linotype"/>
          <w:sz w:val="22"/>
          <w:szCs w:val="22"/>
        </w:rPr>
        <w:t>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w:t>
      </w:r>
    </w:p>
    <w:p w14:paraId="6205E384" w14:textId="77777777" w:rsidR="00532AE4" w:rsidRPr="00E77F7D" w:rsidRDefault="00532AE4">
      <w:pPr>
        <w:spacing w:line="360" w:lineRule="auto"/>
        <w:ind w:right="49"/>
        <w:jc w:val="both"/>
        <w:rPr>
          <w:rFonts w:ascii="Palatino Linotype" w:eastAsia="Palatino Linotype" w:hAnsi="Palatino Linotype" w:cs="Palatino Linotype"/>
          <w:sz w:val="22"/>
          <w:szCs w:val="22"/>
        </w:rPr>
      </w:pPr>
    </w:p>
    <w:p w14:paraId="16F63950" w14:textId="03C7805D" w:rsidR="00532AE4" w:rsidRPr="00E77F7D" w:rsidRDefault="00A76F12">
      <w:pPr>
        <w:spacing w:line="360" w:lineRule="auto"/>
        <w:jc w:val="both"/>
        <w:rPr>
          <w:rFonts w:ascii="Palatino Linotype" w:eastAsia="Palatino Linotype" w:hAnsi="Palatino Linotype" w:cs="Palatino Linotype"/>
          <w:sz w:val="22"/>
          <w:szCs w:val="22"/>
        </w:rPr>
      </w:pPr>
      <w:bookmarkStart w:id="1" w:name="_heading=h.ufldlg1z5cqe" w:colFirst="0" w:colLast="0"/>
      <w:bookmarkEnd w:id="1"/>
      <w:r w:rsidRPr="00E77F7D">
        <w:rPr>
          <w:rFonts w:ascii="Palatino Linotype" w:eastAsia="Palatino Linotype" w:hAnsi="Palatino Linotype" w:cs="Palatino Linotype"/>
          <w:sz w:val="22"/>
          <w:szCs w:val="22"/>
        </w:rPr>
        <w:t xml:space="preserve">Así, con fundamento en lo prescrito en los artículos </w:t>
      </w:r>
      <w:r w:rsidR="009100C5" w:rsidRPr="00E77F7D">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E77F7D">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7F017D49" w14:textId="77777777" w:rsidR="00532AE4" w:rsidRPr="00E77F7D" w:rsidRDefault="00532AE4">
      <w:pPr>
        <w:pBdr>
          <w:top w:val="nil"/>
          <w:left w:val="nil"/>
          <w:bottom w:val="nil"/>
          <w:right w:val="nil"/>
          <w:between w:val="nil"/>
        </w:pBdr>
        <w:spacing w:line="360" w:lineRule="auto"/>
        <w:rPr>
          <w:rFonts w:ascii="Palatino Linotype" w:eastAsia="Palatino Linotype" w:hAnsi="Palatino Linotype" w:cs="Palatino Linotype"/>
          <w:b/>
          <w:sz w:val="22"/>
          <w:szCs w:val="22"/>
        </w:rPr>
      </w:pPr>
    </w:p>
    <w:p w14:paraId="773067CE" w14:textId="77777777" w:rsidR="00532AE4" w:rsidRPr="00E77F7D" w:rsidRDefault="00A76F12">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r w:rsidRPr="00E77F7D">
        <w:rPr>
          <w:rFonts w:ascii="Palatino Linotype" w:eastAsia="Palatino Linotype" w:hAnsi="Palatino Linotype" w:cs="Palatino Linotype"/>
          <w:b/>
          <w:sz w:val="22"/>
          <w:szCs w:val="22"/>
        </w:rPr>
        <w:t>III. R E S U E L V E</w:t>
      </w:r>
    </w:p>
    <w:p w14:paraId="170B47A5" w14:textId="77777777" w:rsidR="00532AE4" w:rsidRPr="00E77F7D" w:rsidRDefault="00532AE4">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p>
    <w:p w14:paraId="26C83785" w14:textId="77777777" w:rsidR="00532AE4" w:rsidRPr="00E77F7D" w:rsidRDefault="00A76F12">
      <w:pPr>
        <w:spacing w:line="360" w:lineRule="auto"/>
        <w:ind w:right="49"/>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 xml:space="preserve">Primero. </w:t>
      </w:r>
      <w:r w:rsidRPr="00E77F7D">
        <w:rPr>
          <w:rFonts w:ascii="Palatino Linotype" w:eastAsia="Palatino Linotype" w:hAnsi="Palatino Linotype" w:cs="Palatino Linotype"/>
          <w:sz w:val="22"/>
          <w:szCs w:val="22"/>
        </w:rPr>
        <w:t xml:space="preserve">Resultan </w:t>
      </w:r>
      <w:r w:rsidRPr="00E77F7D">
        <w:rPr>
          <w:rFonts w:ascii="Palatino Linotype" w:eastAsia="Palatino Linotype" w:hAnsi="Palatino Linotype" w:cs="Palatino Linotype"/>
          <w:b/>
          <w:sz w:val="22"/>
          <w:szCs w:val="22"/>
        </w:rPr>
        <w:t>FUNDADOS</w:t>
      </w:r>
      <w:r w:rsidRPr="00E77F7D">
        <w:rPr>
          <w:rFonts w:ascii="Palatino Linotype" w:eastAsia="Palatino Linotype" w:hAnsi="Palatino Linotype" w:cs="Palatino Linotype"/>
          <w:sz w:val="22"/>
          <w:szCs w:val="22"/>
        </w:rPr>
        <w:t xml:space="preserve"> los motivos de inconformidad de la parte </w:t>
      </w:r>
      <w:r w:rsidRPr="00E77F7D">
        <w:rPr>
          <w:rFonts w:ascii="Palatino Linotype" w:eastAsia="Palatino Linotype" w:hAnsi="Palatino Linotype" w:cs="Palatino Linotype"/>
          <w:b/>
          <w:sz w:val="22"/>
          <w:szCs w:val="22"/>
        </w:rPr>
        <w:t>Recurrente</w:t>
      </w:r>
      <w:r w:rsidRPr="00E77F7D">
        <w:rPr>
          <w:rFonts w:ascii="Palatino Linotype" w:eastAsia="Palatino Linotype" w:hAnsi="Palatino Linotype" w:cs="Palatino Linotype"/>
          <w:sz w:val="22"/>
          <w:szCs w:val="22"/>
        </w:rPr>
        <w:t xml:space="preserve">, en términos del </w:t>
      </w:r>
      <w:r w:rsidRPr="00E77F7D">
        <w:rPr>
          <w:rFonts w:ascii="Palatino Linotype" w:eastAsia="Palatino Linotype" w:hAnsi="Palatino Linotype" w:cs="Palatino Linotype"/>
          <w:b/>
          <w:sz w:val="22"/>
          <w:szCs w:val="22"/>
        </w:rPr>
        <w:t>Considerando Cuarto</w:t>
      </w:r>
      <w:r w:rsidRPr="00E77F7D">
        <w:rPr>
          <w:rFonts w:ascii="Palatino Linotype" w:eastAsia="Palatino Linotype" w:hAnsi="Palatino Linotype" w:cs="Palatino Linotype"/>
          <w:sz w:val="22"/>
          <w:szCs w:val="22"/>
        </w:rPr>
        <w:t xml:space="preserve"> de la presente resolución.</w:t>
      </w:r>
    </w:p>
    <w:p w14:paraId="6A06B418" w14:textId="77777777" w:rsidR="00532AE4" w:rsidRPr="00E77F7D" w:rsidRDefault="00532AE4">
      <w:pPr>
        <w:spacing w:line="360" w:lineRule="auto"/>
        <w:ind w:right="49"/>
        <w:jc w:val="both"/>
        <w:rPr>
          <w:rFonts w:ascii="Palatino Linotype" w:eastAsia="Palatino Linotype" w:hAnsi="Palatino Linotype" w:cs="Palatino Linotype"/>
          <w:sz w:val="22"/>
          <w:szCs w:val="22"/>
        </w:rPr>
      </w:pPr>
    </w:p>
    <w:p w14:paraId="1E37E133" w14:textId="6B7363A2" w:rsidR="00532AE4" w:rsidRPr="00E77F7D" w:rsidRDefault="00A76F12">
      <w:pPr>
        <w:spacing w:line="360" w:lineRule="auto"/>
        <w:jc w:val="both"/>
        <w:rPr>
          <w:rFonts w:ascii="Palatino Linotype" w:eastAsia="Palatino Linotype" w:hAnsi="Palatino Linotype" w:cs="Palatino Linotype"/>
          <w:sz w:val="22"/>
          <w:szCs w:val="22"/>
        </w:rPr>
      </w:pPr>
      <w:bookmarkStart w:id="2" w:name="_heading=h.3dy6vkm" w:colFirst="0" w:colLast="0"/>
      <w:bookmarkEnd w:id="2"/>
      <w:r w:rsidRPr="00E77F7D">
        <w:rPr>
          <w:rFonts w:ascii="Palatino Linotype" w:eastAsia="Palatino Linotype" w:hAnsi="Palatino Linotype" w:cs="Palatino Linotype"/>
          <w:b/>
          <w:sz w:val="22"/>
          <w:szCs w:val="22"/>
        </w:rPr>
        <w:lastRenderedPageBreak/>
        <w:t>Segundo.</w:t>
      </w:r>
      <w:r w:rsidRPr="00E77F7D">
        <w:rPr>
          <w:rFonts w:ascii="Palatino Linotype" w:eastAsia="Palatino Linotype" w:hAnsi="Palatino Linotype" w:cs="Palatino Linotype"/>
          <w:sz w:val="22"/>
          <w:szCs w:val="22"/>
        </w:rPr>
        <w:t xml:space="preserve"> Se</w:t>
      </w:r>
      <w:r w:rsidRPr="00E77F7D">
        <w:rPr>
          <w:rFonts w:ascii="Palatino Linotype" w:eastAsia="Palatino Linotype" w:hAnsi="Palatino Linotype" w:cs="Palatino Linotype"/>
          <w:b/>
          <w:sz w:val="22"/>
          <w:szCs w:val="22"/>
        </w:rPr>
        <w:t xml:space="preserve"> Ordena </w:t>
      </w:r>
      <w:r w:rsidRPr="00E77F7D">
        <w:rPr>
          <w:rFonts w:ascii="Palatino Linotype" w:eastAsia="Palatino Linotype" w:hAnsi="Palatino Linotype" w:cs="Palatino Linotype"/>
          <w:sz w:val="22"/>
          <w:szCs w:val="22"/>
        </w:rPr>
        <w:t xml:space="preserve">al </w:t>
      </w:r>
      <w:r w:rsidRPr="00E77F7D">
        <w:rPr>
          <w:rFonts w:ascii="Palatino Linotype" w:eastAsia="Palatino Linotype" w:hAnsi="Palatino Linotype" w:cs="Palatino Linotype"/>
          <w:b/>
          <w:sz w:val="22"/>
          <w:szCs w:val="22"/>
        </w:rPr>
        <w:t xml:space="preserve">Sujeto Obligado </w:t>
      </w:r>
      <w:r w:rsidRPr="00E77F7D">
        <w:rPr>
          <w:rFonts w:ascii="Palatino Linotype" w:eastAsia="Palatino Linotype" w:hAnsi="Palatino Linotype" w:cs="Palatino Linotype"/>
          <w:sz w:val="22"/>
          <w:szCs w:val="22"/>
        </w:rPr>
        <w:t xml:space="preserve">dé trámite, vía </w:t>
      </w:r>
      <w:r w:rsidRPr="00E77F7D">
        <w:rPr>
          <w:rFonts w:ascii="Palatino Linotype" w:eastAsia="Palatino Linotype" w:hAnsi="Palatino Linotype" w:cs="Palatino Linotype"/>
          <w:b/>
          <w:sz w:val="22"/>
          <w:szCs w:val="22"/>
        </w:rPr>
        <w:t xml:space="preserve">Sistema de Acceso a la Información Mexiquense </w:t>
      </w:r>
      <w:r w:rsidRPr="00E77F7D">
        <w:rPr>
          <w:rFonts w:ascii="Palatino Linotype" w:eastAsia="Palatino Linotype" w:hAnsi="Palatino Linotype" w:cs="Palatino Linotype"/>
          <w:sz w:val="22"/>
          <w:szCs w:val="22"/>
        </w:rPr>
        <w:t xml:space="preserve">a la solicitud de acceso a la información pública </w:t>
      </w:r>
      <w:r w:rsidR="00D144C8" w:rsidRPr="00E77F7D">
        <w:rPr>
          <w:rFonts w:ascii="Palatino Linotype" w:eastAsia="Palatino Linotype" w:hAnsi="Palatino Linotype" w:cs="Palatino Linotype"/>
          <w:b/>
          <w:sz w:val="22"/>
          <w:szCs w:val="22"/>
        </w:rPr>
        <w:t xml:space="preserve"> </w:t>
      </w:r>
      <w:r w:rsidR="005D3CA2" w:rsidRPr="00E77F7D">
        <w:rPr>
          <w:rFonts w:ascii="Palatino Linotype" w:eastAsia="Palatino Linotype" w:hAnsi="Palatino Linotype" w:cs="Palatino Linotype"/>
          <w:b/>
          <w:sz w:val="22"/>
          <w:szCs w:val="22"/>
        </w:rPr>
        <w:t xml:space="preserve"> </w:t>
      </w:r>
      <w:r w:rsidR="00DF7400" w:rsidRPr="00E77F7D">
        <w:rPr>
          <w:rFonts w:ascii="Palatino Linotype" w:eastAsia="Palatino Linotype" w:hAnsi="Palatino Linotype" w:cs="Palatino Linotype"/>
          <w:b/>
          <w:sz w:val="22"/>
          <w:szCs w:val="22"/>
        </w:rPr>
        <w:t xml:space="preserve">00015/TMASCALA/IP/2026 </w:t>
      </w:r>
      <w:r w:rsidRPr="00E77F7D">
        <w:rPr>
          <w:rFonts w:ascii="Palatino Linotype" w:eastAsia="Palatino Linotype" w:hAnsi="Palatino Linotype" w:cs="Palatino Linotype"/>
          <w:sz w:val="22"/>
          <w:szCs w:val="22"/>
        </w:rPr>
        <w:t xml:space="preserve">que dio origen al recurso de revisión </w:t>
      </w:r>
      <w:r w:rsidR="00AE446C" w:rsidRPr="00E77F7D">
        <w:rPr>
          <w:rFonts w:ascii="Palatino Linotype" w:eastAsia="Palatino Linotype" w:hAnsi="Palatino Linotype" w:cs="Palatino Linotype"/>
          <w:b/>
          <w:sz w:val="22"/>
          <w:szCs w:val="22"/>
        </w:rPr>
        <w:t>0</w:t>
      </w:r>
      <w:r w:rsidR="00DF7400" w:rsidRPr="00E77F7D">
        <w:rPr>
          <w:rFonts w:ascii="Palatino Linotype" w:eastAsia="Palatino Linotype" w:hAnsi="Palatino Linotype" w:cs="Palatino Linotype"/>
          <w:b/>
          <w:sz w:val="22"/>
          <w:szCs w:val="22"/>
        </w:rPr>
        <w:t>8099</w:t>
      </w:r>
      <w:r w:rsidR="000F4794" w:rsidRPr="00E77F7D">
        <w:rPr>
          <w:rFonts w:ascii="Palatino Linotype" w:eastAsia="Palatino Linotype" w:hAnsi="Palatino Linotype" w:cs="Palatino Linotype"/>
          <w:b/>
          <w:sz w:val="22"/>
          <w:szCs w:val="22"/>
        </w:rPr>
        <w:t xml:space="preserve">/INFOEM/IP/RR/2026 </w:t>
      </w:r>
      <w:r w:rsidRPr="00E77F7D">
        <w:rPr>
          <w:rFonts w:ascii="Palatino Linotype" w:eastAsia="Palatino Linotype" w:hAnsi="Palatino Linotype" w:cs="Palatino Linotype"/>
          <w:sz w:val="22"/>
          <w:szCs w:val="22"/>
        </w:rPr>
        <w:t xml:space="preserve">en términos del </w:t>
      </w:r>
      <w:r w:rsidRPr="00E77F7D">
        <w:rPr>
          <w:rFonts w:ascii="Palatino Linotype" w:eastAsia="Palatino Linotype" w:hAnsi="Palatino Linotype" w:cs="Palatino Linotype"/>
          <w:b/>
          <w:sz w:val="22"/>
          <w:szCs w:val="22"/>
        </w:rPr>
        <w:t>Considerando Cuarto</w:t>
      </w:r>
      <w:r w:rsidRPr="00E77F7D">
        <w:rPr>
          <w:rFonts w:ascii="Palatino Linotype" w:eastAsia="Palatino Linotype" w:hAnsi="Palatino Linotype" w:cs="Palatino Linotype"/>
          <w:sz w:val="22"/>
          <w:szCs w:val="22"/>
        </w:rPr>
        <w:t xml:space="preserve"> de esta resolución y emita respuesta, debiendo observar las excepciones contenidas en la Ley de Transparencia y Acceso a la Información Pública del Estado de México y Municipios.</w:t>
      </w:r>
    </w:p>
    <w:p w14:paraId="60C72B41"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53D352A0" w14:textId="77777777" w:rsidR="00532AE4" w:rsidRPr="00E77F7D" w:rsidRDefault="00A76F12">
      <w:pPr>
        <w:spacing w:line="360" w:lineRule="auto"/>
        <w:ind w:right="49"/>
        <w:jc w:val="both"/>
        <w:rPr>
          <w:rFonts w:ascii="Palatino Linotype" w:eastAsia="Palatino Linotype" w:hAnsi="Palatino Linotype" w:cs="Palatino Linotype"/>
          <w:sz w:val="22"/>
          <w:szCs w:val="22"/>
        </w:rPr>
      </w:pPr>
      <w:bookmarkStart w:id="3" w:name="_heading=h.3znysh7" w:colFirst="0" w:colLast="0"/>
      <w:bookmarkEnd w:id="3"/>
      <w:r w:rsidRPr="00E77F7D">
        <w:rPr>
          <w:rFonts w:ascii="Palatino Linotype" w:eastAsia="Palatino Linotype" w:hAnsi="Palatino Linotype" w:cs="Palatino Linotype"/>
          <w:b/>
          <w:sz w:val="22"/>
          <w:szCs w:val="22"/>
        </w:rPr>
        <w:t>Tercero.</w:t>
      </w:r>
      <w:r w:rsidRPr="00E77F7D">
        <w:rPr>
          <w:rFonts w:ascii="Palatino Linotype" w:eastAsia="Palatino Linotype" w:hAnsi="Palatino Linotype" w:cs="Palatino Linotype"/>
          <w:sz w:val="22"/>
          <w:szCs w:val="22"/>
        </w:rPr>
        <w:t xml:space="preserve"> </w:t>
      </w:r>
      <w:r w:rsidRPr="00E77F7D">
        <w:rPr>
          <w:rFonts w:ascii="Palatino Linotype" w:eastAsia="Palatino Linotype" w:hAnsi="Palatino Linotype" w:cs="Palatino Linotype"/>
          <w:b/>
          <w:sz w:val="22"/>
          <w:szCs w:val="22"/>
        </w:rPr>
        <w:t xml:space="preserve">Notifíquese vía Sistema de Acceso a la Información Mexiquense </w:t>
      </w:r>
      <w:r w:rsidRPr="00E77F7D">
        <w:rPr>
          <w:rFonts w:ascii="Palatino Linotype" w:eastAsia="Palatino Linotype" w:hAnsi="Palatino Linotype" w:cs="Palatino Linotype"/>
          <w:sz w:val="22"/>
          <w:szCs w:val="22"/>
        </w:rPr>
        <w:t>la presente resolución al T</w:t>
      </w:r>
      <w:r w:rsidRPr="00E77F7D">
        <w:rPr>
          <w:rFonts w:ascii="Palatino Linotype" w:eastAsia="Palatino Linotype" w:hAnsi="Palatino Linotype" w:cs="Palatino Linotype"/>
          <w:b/>
          <w:sz w:val="22"/>
          <w:szCs w:val="22"/>
        </w:rPr>
        <w:t xml:space="preserve">itular de la Unidad de Transparencia </w:t>
      </w:r>
      <w:r w:rsidRPr="00E77F7D">
        <w:rPr>
          <w:rFonts w:ascii="Palatino Linotype" w:eastAsia="Palatino Linotype" w:hAnsi="Palatino Linotype" w:cs="Palatino Linotype"/>
          <w:sz w:val="22"/>
          <w:szCs w:val="22"/>
        </w:rPr>
        <w:t xml:space="preserve">del </w:t>
      </w:r>
      <w:r w:rsidRPr="00E77F7D">
        <w:rPr>
          <w:rFonts w:ascii="Palatino Linotype" w:eastAsia="Palatino Linotype" w:hAnsi="Palatino Linotype" w:cs="Palatino Linotype"/>
          <w:b/>
          <w:sz w:val="22"/>
          <w:szCs w:val="22"/>
        </w:rPr>
        <w:t>SUJETO OBLIGADO</w:t>
      </w:r>
      <w:r w:rsidRPr="00E77F7D">
        <w:rPr>
          <w:rFonts w:ascii="Palatino Linotype" w:eastAsia="Palatino Linotype" w:hAnsi="Palatino Linotype" w:cs="Palatino Linotype"/>
          <w:sz w:val="22"/>
          <w:szCs w:val="22"/>
        </w:rPr>
        <w:t>,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D15A12F" w14:textId="77777777" w:rsidR="00532AE4" w:rsidRPr="00E77F7D" w:rsidRDefault="00532AE4">
      <w:pPr>
        <w:spacing w:line="360" w:lineRule="auto"/>
        <w:ind w:right="49"/>
        <w:jc w:val="both"/>
        <w:rPr>
          <w:rFonts w:ascii="Palatino Linotype" w:eastAsia="Palatino Linotype" w:hAnsi="Palatino Linotype" w:cs="Palatino Linotype"/>
          <w:sz w:val="22"/>
          <w:szCs w:val="22"/>
        </w:rPr>
      </w:pPr>
    </w:p>
    <w:p w14:paraId="71D578D7"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Cuarto. Notifíquese</w:t>
      </w:r>
      <w:r w:rsidRPr="00E77F7D">
        <w:rPr>
          <w:rFonts w:ascii="Palatino Linotype" w:eastAsia="Palatino Linotype" w:hAnsi="Palatino Linotype" w:cs="Palatino Linotype"/>
          <w:sz w:val="22"/>
          <w:szCs w:val="22"/>
        </w:rPr>
        <w:t>,</w:t>
      </w:r>
      <w:r w:rsidRPr="00E77F7D">
        <w:rPr>
          <w:rFonts w:ascii="Palatino Linotype" w:eastAsia="Palatino Linotype" w:hAnsi="Palatino Linotype" w:cs="Palatino Linotype"/>
          <w:b/>
          <w:sz w:val="22"/>
          <w:szCs w:val="22"/>
        </w:rPr>
        <w:t xml:space="preserve"> </w:t>
      </w:r>
      <w:r w:rsidRPr="00E77F7D">
        <w:rPr>
          <w:rFonts w:ascii="Palatino Linotype" w:eastAsia="Palatino Linotype" w:hAnsi="Palatino Linotype" w:cs="Palatino Linotype"/>
          <w:sz w:val="22"/>
          <w:szCs w:val="22"/>
        </w:rPr>
        <w:t xml:space="preserve">vía </w:t>
      </w:r>
      <w:r w:rsidRPr="00E77F7D">
        <w:rPr>
          <w:rFonts w:ascii="Palatino Linotype" w:eastAsia="Palatino Linotype" w:hAnsi="Palatino Linotype" w:cs="Palatino Linotype"/>
          <w:b/>
          <w:sz w:val="22"/>
          <w:szCs w:val="22"/>
        </w:rPr>
        <w:t>Sistema de Acceso a la Información Mexiquense</w:t>
      </w:r>
      <w:r w:rsidRPr="00E77F7D">
        <w:rPr>
          <w:rFonts w:ascii="Palatino Linotype" w:eastAsia="Palatino Linotype" w:hAnsi="Palatino Linotype" w:cs="Palatino Linotype"/>
          <w:sz w:val="22"/>
          <w:szCs w:val="22"/>
        </w:rPr>
        <w:t xml:space="preserve">, a la parte </w:t>
      </w:r>
      <w:r w:rsidRPr="00E77F7D">
        <w:rPr>
          <w:rFonts w:ascii="Palatino Linotype" w:eastAsia="Palatino Linotype" w:hAnsi="Palatino Linotype" w:cs="Palatino Linotype"/>
          <w:b/>
          <w:sz w:val="22"/>
          <w:szCs w:val="22"/>
        </w:rPr>
        <w:t xml:space="preserve">Recurrente </w:t>
      </w:r>
      <w:r w:rsidRPr="00E77F7D">
        <w:rPr>
          <w:rFonts w:ascii="Palatino Linotype" w:eastAsia="Palatino Linotype" w:hAnsi="Palatino Linotype" w:cs="Palatino Linotype"/>
          <w:sz w:val="22"/>
          <w:szCs w:val="22"/>
        </w:rPr>
        <w:t>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2589B82F" w14:textId="77777777" w:rsidR="00532AE4" w:rsidRPr="00E77F7D" w:rsidRDefault="00532AE4">
      <w:pPr>
        <w:spacing w:line="360" w:lineRule="auto"/>
        <w:jc w:val="both"/>
        <w:rPr>
          <w:rFonts w:ascii="Palatino Linotype" w:eastAsia="Palatino Linotype" w:hAnsi="Palatino Linotype" w:cs="Palatino Linotype"/>
          <w:sz w:val="22"/>
          <w:szCs w:val="22"/>
        </w:rPr>
      </w:pPr>
    </w:p>
    <w:p w14:paraId="2F6BA217" w14:textId="77777777" w:rsidR="00532AE4" w:rsidRPr="00E77F7D" w:rsidRDefault="00A76F12">
      <w:pPr>
        <w:spacing w:line="360" w:lineRule="auto"/>
        <w:jc w:val="both"/>
        <w:rPr>
          <w:rFonts w:ascii="Palatino Linotype" w:eastAsia="Palatino Linotype" w:hAnsi="Palatino Linotype" w:cs="Palatino Linotype"/>
          <w:sz w:val="22"/>
          <w:szCs w:val="22"/>
        </w:rPr>
      </w:pPr>
      <w:r w:rsidRPr="00E77F7D">
        <w:rPr>
          <w:rFonts w:ascii="Palatino Linotype" w:eastAsia="Palatino Linotype" w:hAnsi="Palatino Linotype" w:cs="Palatino Linotype"/>
          <w:b/>
          <w:sz w:val="22"/>
          <w:szCs w:val="22"/>
        </w:rPr>
        <w:t xml:space="preserve">Quinto. Notifíquese </w:t>
      </w:r>
      <w:r w:rsidRPr="00E77F7D">
        <w:rPr>
          <w:rFonts w:ascii="Palatino Linotype" w:eastAsia="Palatino Linotype" w:hAnsi="Palatino Linotype" w:cs="Palatino Linotype"/>
          <w:sz w:val="22"/>
          <w:szCs w:val="22"/>
        </w:rPr>
        <w:t xml:space="preserve">a la parte </w:t>
      </w:r>
      <w:r w:rsidRPr="00E77F7D">
        <w:rPr>
          <w:rFonts w:ascii="Palatino Linotype" w:eastAsia="Palatino Linotype" w:hAnsi="Palatino Linotype" w:cs="Palatino Linotype"/>
          <w:b/>
          <w:sz w:val="22"/>
          <w:szCs w:val="22"/>
        </w:rPr>
        <w:t xml:space="preserve">Recurrente </w:t>
      </w:r>
      <w:r w:rsidRPr="00E77F7D">
        <w:rPr>
          <w:rFonts w:ascii="Palatino Linotype" w:eastAsia="Palatino Linotype" w:hAnsi="Palatino Linotype" w:cs="Palatino Linotype"/>
          <w:sz w:val="22"/>
          <w:szCs w:val="22"/>
        </w:rPr>
        <w:t xml:space="preserve">que la respuesta que dé el </w:t>
      </w:r>
      <w:r w:rsidRPr="00E77F7D">
        <w:rPr>
          <w:rFonts w:ascii="Palatino Linotype" w:eastAsia="Palatino Linotype" w:hAnsi="Palatino Linotype" w:cs="Palatino Linotype"/>
          <w:b/>
          <w:sz w:val="22"/>
          <w:szCs w:val="22"/>
        </w:rPr>
        <w:t>Sujeto Obligado</w:t>
      </w:r>
      <w:r w:rsidRPr="00E77F7D">
        <w:rPr>
          <w:rFonts w:ascii="Palatino Linotype" w:eastAsia="Palatino Linotype" w:hAnsi="Palatino Linotype" w:cs="Palatino Linotype"/>
          <w:sz w:val="22"/>
          <w:szCs w:val="22"/>
        </w:rPr>
        <w:t xml:space="preserve"> derivada de la presente resolución es susceptible de ser impugnadas nuevamente, mediante </w:t>
      </w:r>
      <w:r w:rsidRPr="00E77F7D">
        <w:rPr>
          <w:rFonts w:ascii="Palatino Linotype" w:eastAsia="Palatino Linotype" w:hAnsi="Palatino Linotype" w:cs="Palatino Linotype"/>
          <w:sz w:val="22"/>
          <w:szCs w:val="22"/>
        </w:rPr>
        <w:lastRenderedPageBreak/>
        <w:t>recurso de revisión, ante el Instituto, en términos del artículo 179, último párrafo de la Ley de Transparencia y Acceso a la Información Pública del Estado de México y Municipios.</w:t>
      </w:r>
    </w:p>
    <w:p w14:paraId="4F361CFA" w14:textId="77777777" w:rsidR="00532AE4" w:rsidRPr="00E77F7D" w:rsidRDefault="00532AE4">
      <w:pPr>
        <w:spacing w:line="360" w:lineRule="auto"/>
        <w:jc w:val="both"/>
        <w:rPr>
          <w:rFonts w:ascii="Palatino Linotype" w:eastAsia="Palatino Linotype" w:hAnsi="Palatino Linotype" w:cs="Palatino Linotype"/>
          <w:b/>
          <w:sz w:val="22"/>
          <w:szCs w:val="22"/>
        </w:rPr>
      </w:pPr>
    </w:p>
    <w:p w14:paraId="6A028DBE" w14:textId="77777777" w:rsidR="00532AE4" w:rsidRPr="00E77F7D" w:rsidRDefault="00A76F12">
      <w:pPr>
        <w:spacing w:line="360" w:lineRule="auto"/>
        <w:jc w:val="both"/>
        <w:rPr>
          <w:rFonts w:ascii="Palatino Linotype" w:eastAsia="Palatino Linotype" w:hAnsi="Palatino Linotype" w:cs="Palatino Linotype"/>
          <w:b/>
          <w:sz w:val="22"/>
          <w:szCs w:val="22"/>
        </w:rPr>
      </w:pPr>
      <w:r w:rsidRPr="00E77F7D">
        <w:rPr>
          <w:rFonts w:ascii="Palatino Linotype" w:eastAsia="Palatino Linotype" w:hAnsi="Palatino Linotype" w:cs="Palatino Linotype"/>
          <w:b/>
          <w:sz w:val="22"/>
          <w:szCs w:val="22"/>
        </w:rPr>
        <w:t xml:space="preserve">Sexto. Gírese </w:t>
      </w:r>
      <w:r w:rsidRPr="00E77F7D">
        <w:rPr>
          <w:rFonts w:ascii="Palatino Linotype" w:eastAsia="Palatino Linotype" w:hAnsi="Palatino Linotype" w:cs="Palatino Linotype"/>
          <w:sz w:val="22"/>
          <w:szCs w:val="22"/>
        </w:rPr>
        <w:t xml:space="preserve">oficio a la </w:t>
      </w:r>
      <w:r w:rsidRPr="00E77F7D">
        <w:rPr>
          <w:rFonts w:ascii="Palatino Linotype" w:eastAsia="Palatino Linotype" w:hAnsi="Palatino Linotype" w:cs="Palatino Linotype"/>
          <w:b/>
          <w:sz w:val="22"/>
          <w:szCs w:val="22"/>
        </w:rPr>
        <w:t>Secretaría Técnica del Pleno</w:t>
      </w:r>
      <w:r w:rsidRPr="00E77F7D">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RPr="00E77F7D">
        <w:rPr>
          <w:rFonts w:ascii="Palatino Linotype" w:eastAsia="Palatino Linotype" w:hAnsi="Palatino Linotype" w:cs="Palatino Linotype"/>
          <w:b/>
          <w:sz w:val="22"/>
          <w:szCs w:val="22"/>
        </w:rPr>
        <w:t xml:space="preserve"> </w:t>
      </w:r>
      <w:r w:rsidRPr="00E77F7D">
        <w:rPr>
          <w:rFonts w:ascii="Palatino Linotype" w:eastAsia="Palatino Linotype" w:hAnsi="Palatino Linotype" w:cs="Palatino Linotype"/>
          <w:sz w:val="22"/>
          <w:szCs w:val="22"/>
        </w:rPr>
        <w:t>de la presente resolución.</w:t>
      </w:r>
      <w:r w:rsidRPr="00E77F7D">
        <w:rPr>
          <w:rFonts w:ascii="Palatino Linotype" w:eastAsia="Palatino Linotype" w:hAnsi="Palatino Linotype" w:cs="Palatino Linotype"/>
          <w:b/>
          <w:sz w:val="22"/>
          <w:szCs w:val="22"/>
        </w:rPr>
        <w:t xml:space="preserve"> </w:t>
      </w:r>
    </w:p>
    <w:p w14:paraId="7F049394" w14:textId="77777777" w:rsidR="00532AE4" w:rsidRPr="00E77F7D" w:rsidRDefault="00532AE4">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p>
    <w:p w14:paraId="6D9E81A2" w14:textId="3F74A55A" w:rsidR="00532AE4" w:rsidRPr="000B2D33" w:rsidRDefault="00A76F12">
      <w:pPr>
        <w:spacing w:line="360" w:lineRule="auto"/>
        <w:ind w:right="49"/>
        <w:jc w:val="both"/>
        <w:rPr>
          <w:rFonts w:ascii="Palatino Linotype" w:eastAsia="Palatino Linotype" w:hAnsi="Palatino Linotype" w:cs="Palatino Linotype"/>
          <w:sz w:val="22"/>
          <w:szCs w:val="22"/>
        </w:rPr>
        <w:sectPr w:rsidR="00532AE4" w:rsidRPr="000B2D33">
          <w:headerReference w:type="default" r:id="rId10"/>
          <w:footerReference w:type="default" r:id="rId11"/>
          <w:headerReference w:type="first" r:id="rId12"/>
          <w:footerReference w:type="first" r:id="rId13"/>
          <w:pgSz w:w="12240" w:h="15840"/>
          <w:pgMar w:top="1985" w:right="1701" w:bottom="1701" w:left="1701" w:header="709" w:footer="709" w:gutter="0"/>
          <w:pgNumType w:start="1"/>
          <w:cols w:space="720"/>
          <w:titlePg/>
        </w:sectPr>
      </w:pPr>
      <w:bookmarkStart w:id="5" w:name="_heading=h.1fob9te" w:colFirst="0" w:colLast="0"/>
      <w:bookmarkEnd w:id="5"/>
      <w:r w:rsidRPr="00E77F7D">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w:t>
      </w:r>
      <w:r w:rsidR="00FE33C3" w:rsidRPr="00E77F7D">
        <w:rPr>
          <w:rFonts w:ascii="Palatino Linotype" w:eastAsia="Palatino Linotype" w:hAnsi="Palatino Linotype" w:cs="Palatino Linotype"/>
          <w:sz w:val="22"/>
          <w:szCs w:val="22"/>
        </w:rPr>
        <w:t xml:space="preserve">MEJÍA AYALA </w:t>
      </w:r>
      <w:r w:rsidRPr="00E77F7D">
        <w:rPr>
          <w:rFonts w:ascii="Palatino Linotype" w:eastAsia="Palatino Linotype" w:hAnsi="Palatino Linotype" w:cs="Palatino Linotype"/>
          <w:sz w:val="22"/>
          <w:szCs w:val="22"/>
        </w:rPr>
        <w:t xml:space="preserve">Y GUADALUPE RAMÍREZ PEÑA; EN LA </w:t>
      </w:r>
      <w:r w:rsidR="00135C3B" w:rsidRPr="00E77F7D">
        <w:rPr>
          <w:rFonts w:ascii="Palatino Linotype" w:eastAsia="Palatino Linotype" w:hAnsi="Palatino Linotype" w:cs="Palatino Linotype"/>
          <w:sz w:val="22"/>
          <w:szCs w:val="22"/>
        </w:rPr>
        <w:t>TR</w:t>
      </w:r>
      <w:r w:rsidR="00C36278" w:rsidRPr="00E77F7D">
        <w:rPr>
          <w:rFonts w:ascii="Palatino Linotype" w:eastAsia="Palatino Linotype" w:hAnsi="Palatino Linotype" w:cs="Palatino Linotype"/>
          <w:sz w:val="22"/>
          <w:szCs w:val="22"/>
        </w:rPr>
        <w:t xml:space="preserve">IGÉSIMA </w:t>
      </w:r>
      <w:r w:rsidR="00AE3DD5" w:rsidRPr="00E77F7D">
        <w:rPr>
          <w:rFonts w:ascii="Palatino Linotype" w:eastAsia="Palatino Linotype" w:hAnsi="Palatino Linotype" w:cs="Palatino Linotype"/>
          <w:sz w:val="22"/>
          <w:szCs w:val="22"/>
        </w:rPr>
        <w:t>TERC</w:t>
      </w:r>
      <w:r w:rsidR="003D2CDB" w:rsidRPr="00E77F7D">
        <w:rPr>
          <w:rFonts w:ascii="Palatino Linotype" w:eastAsia="Palatino Linotype" w:hAnsi="Palatino Linotype" w:cs="Palatino Linotype"/>
          <w:sz w:val="22"/>
          <w:szCs w:val="22"/>
        </w:rPr>
        <w:t xml:space="preserve">ERA </w:t>
      </w:r>
      <w:r w:rsidRPr="00E77F7D">
        <w:rPr>
          <w:rFonts w:ascii="Palatino Linotype" w:eastAsia="Palatino Linotype" w:hAnsi="Palatino Linotype" w:cs="Palatino Linotype"/>
          <w:sz w:val="22"/>
          <w:szCs w:val="22"/>
        </w:rPr>
        <w:t xml:space="preserve">SESIÓN ORDINARIA CELEBRADA EL </w:t>
      </w:r>
      <w:r w:rsidR="00AE3DD5" w:rsidRPr="00E77F7D">
        <w:rPr>
          <w:rFonts w:ascii="Palatino Linotype" w:eastAsia="Palatino Linotype" w:hAnsi="Palatino Linotype" w:cs="Palatino Linotype"/>
          <w:sz w:val="22"/>
          <w:szCs w:val="22"/>
        </w:rPr>
        <w:t>DIECISIETE</w:t>
      </w:r>
      <w:r w:rsidR="003D2CDB" w:rsidRPr="00E77F7D">
        <w:rPr>
          <w:rFonts w:ascii="Palatino Linotype" w:eastAsia="Palatino Linotype" w:hAnsi="Palatino Linotype" w:cs="Palatino Linotype"/>
          <w:sz w:val="22"/>
          <w:szCs w:val="22"/>
        </w:rPr>
        <w:t xml:space="preserve"> DE SEPTIEMBRE</w:t>
      </w:r>
      <w:r w:rsidR="00DF5516" w:rsidRPr="00E77F7D">
        <w:rPr>
          <w:rFonts w:ascii="Palatino Linotype" w:eastAsia="Palatino Linotype" w:hAnsi="Palatino Linotype" w:cs="Palatino Linotype"/>
          <w:sz w:val="22"/>
          <w:szCs w:val="22"/>
        </w:rPr>
        <w:t xml:space="preserve"> DE DOS MIL VEINTISÉIS</w:t>
      </w:r>
      <w:r w:rsidRPr="00E77F7D">
        <w:rPr>
          <w:rFonts w:ascii="Palatino Linotype" w:eastAsia="Palatino Linotype" w:hAnsi="Palatino Linotype" w:cs="Palatino Linotype"/>
          <w:sz w:val="22"/>
          <w:szCs w:val="22"/>
        </w:rPr>
        <w:t>, ANTE EL SECRETARIO TÉCNICO DEL PLENO ALEXIS TAPIA RAMÍREZ.</w:t>
      </w:r>
      <w:r w:rsidRPr="000B2D33">
        <w:rPr>
          <w:rFonts w:ascii="Palatino Linotype" w:eastAsia="Palatino Linotype" w:hAnsi="Palatino Linotype" w:cs="Palatino Linotype"/>
          <w:sz w:val="22"/>
          <w:szCs w:val="22"/>
        </w:rPr>
        <w:t xml:space="preserve"> </w:t>
      </w:r>
    </w:p>
    <w:p w14:paraId="74E02134" w14:textId="77777777" w:rsidR="00532AE4" w:rsidRPr="000B2D33" w:rsidRDefault="00532AE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0B2D33" w:rsidRDefault="00532AE4">
      <w:pPr>
        <w:rPr>
          <w:sz w:val="22"/>
          <w:szCs w:val="22"/>
        </w:rPr>
      </w:pPr>
    </w:p>
    <w:sectPr w:rsidR="00532AE4" w:rsidRPr="000B2D33">
      <w:headerReference w:type="first" r:id="rId14"/>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4A004" w14:textId="77777777" w:rsidR="003545BC" w:rsidRDefault="003545BC">
      <w:r>
        <w:separator/>
      </w:r>
    </w:p>
  </w:endnote>
  <w:endnote w:type="continuationSeparator" w:id="0">
    <w:p w14:paraId="59896251" w14:textId="77777777" w:rsidR="003545BC" w:rsidRDefault="00354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4F234C82"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E77F7D">
      <w:rPr>
        <w:rFonts w:ascii="Arial" w:eastAsia="Arial" w:hAnsi="Arial" w:cs="Arial"/>
        <w:b/>
        <w:noProof/>
        <w:color w:val="000000"/>
        <w:sz w:val="20"/>
        <w:szCs w:val="20"/>
      </w:rPr>
      <w:t>22</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E77F7D">
      <w:rPr>
        <w:rFonts w:ascii="Arial" w:eastAsia="Arial" w:hAnsi="Arial" w:cs="Arial"/>
        <w:b/>
        <w:noProof/>
        <w:color w:val="000000"/>
        <w:sz w:val="20"/>
        <w:szCs w:val="20"/>
      </w:rPr>
      <w:t>25</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3A989432"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E77F7D">
      <w:rPr>
        <w:rFonts w:ascii="Arial" w:eastAsia="Arial" w:hAnsi="Arial" w:cs="Arial"/>
        <w:b/>
        <w:noProof/>
        <w:color w:val="000000"/>
        <w:sz w:val="20"/>
        <w:szCs w:val="20"/>
      </w:rPr>
      <w:t>25</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E77F7D">
      <w:rPr>
        <w:rFonts w:ascii="Arial" w:eastAsia="Arial" w:hAnsi="Arial" w:cs="Arial"/>
        <w:b/>
        <w:noProof/>
        <w:color w:val="000000"/>
        <w:sz w:val="20"/>
        <w:szCs w:val="20"/>
      </w:rPr>
      <w:t>25</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4FA1C" w14:textId="77777777" w:rsidR="003545BC" w:rsidRDefault="003545BC">
      <w:r>
        <w:separator/>
      </w:r>
    </w:p>
  </w:footnote>
  <w:footnote w:type="continuationSeparator" w:id="0">
    <w:p w14:paraId="0CB65DE4" w14:textId="77777777" w:rsidR="003545BC" w:rsidRDefault="003545BC">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2CF0F2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Al encontrarse en algún supuesto restrictivo, previsto en la normatividad aplicable.</w:t>
      </w:r>
    </w:p>
  </w:footnote>
  <w:footnote w:id="3">
    <w:p w14:paraId="328E2530"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59. Los servidores públicos habilitados tendrán las funciones siguientes:</w:t>
      </w:r>
    </w:p>
    <w:p w14:paraId="123568A6"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 Integrar y presentar al responsable de la Unidad de Transparencia la propuesta de clasificación de información, la cual tendrá los fundamentos y argumentos en que se basa dicha propuesta;</w:t>
      </w:r>
    </w:p>
  </w:footnote>
  <w:footnote w:id="4">
    <w:p w14:paraId="25FC63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53. Las Unidades de Transparencia tendrán las siguientes funciones:</w:t>
      </w:r>
    </w:p>
    <w:p w14:paraId="5E7C2C44"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X. Presentar ante el Comité, el proyecto de clasificación de información;</w:t>
      </w:r>
    </w:p>
  </w:footnote>
  <w:footnote w:id="5">
    <w:p w14:paraId="5CBB0BDC"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49. Los Comités de Transparencia tendrán las siguientes atribuciones:</w:t>
      </w:r>
    </w:p>
    <w:p w14:paraId="0EC2EAFD"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6BDAD3F"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VIII. Aprobar, modificar o revocar la clasificación de la información;</w:t>
      </w:r>
    </w:p>
  </w:footnote>
  <w:footnote w:id="6">
    <w:p w14:paraId="15AC32B7"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528" w:type="dxa"/>
      <w:tblInd w:w="3261" w:type="dxa"/>
      <w:tblLayout w:type="fixed"/>
      <w:tblLook w:val="0400" w:firstRow="0" w:lastRow="0" w:firstColumn="0" w:lastColumn="0" w:noHBand="0" w:noVBand="1"/>
    </w:tblPr>
    <w:tblGrid>
      <w:gridCol w:w="2552"/>
      <w:gridCol w:w="2976"/>
    </w:tblGrid>
    <w:tr w:rsidR="00532AE4" w14:paraId="77695D58" w14:textId="77777777">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2976" w:type="dxa"/>
          <w:vAlign w:val="center"/>
        </w:tcPr>
        <w:p w14:paraId="492A50C4" w14:textId="7BF76932" w:rsidR="00532AE4" w:rsidRDefault="00F652AE" w:rsidP="00032509">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621C86">
            <w:rPr>
              <w:rFonts w:ascii="Palatino Linotype" w:eastAsia="Palatino Linotype" w:hAnsi="Palatino Linotype" w:cs="Palatino Linotype"/>
              <w:b/>
              <w:sz w:val="21"/>
              <w:szCs w:val="21"/>
            </w:rPr>
            <w:t>8099</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trPr>
        <w:trHeight w:val="228"/>
      </w:trPr>
      <w:tc>
        <w:tcPr>
          <w:tcW w:w="2552" w:type="dxa"/>
          <w:shd w:val="clear" w:color="auto" w:fill="auto"/>
          <w:vAlign w:val="center"/>
        </w:tcPr>
        <w:p w14:paraId="202EF99F"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452B1DF5" w14:textId="77777777" w:rsidR="00532AE4" w:rsidRDefault="00532AE4">
          <w:pPr>
            <w:rPr>
              <w:rFonts w:ascii="Palatino Linotype" w:eastAsia="Palatino Linotype" w:hAnsi="Palatino Linotype" w:cs="Palatino Linotype"/>
              <w:b/>
              <w:sz w:val="21"/>
              <w:szCs w:val="21"/>
            </w:rPr>
          </w:pPr>
        </w:p>
      </w:tc>
      <w:tc>
        <w:tcPr>
          <w:tcW w:w="2976" w:type="dxa"/>
          <w:shd w:val="clear" w:color="auto" w:fill="auto"/>
          <w:vAlign w:val="center"/>
        </w:tcPr>
        <w:p w14:paraId="222907A3" w14:textId="2413EFB1" w:rsidR="00532AE4" w:rsidRDefault="00632571" w:rsidP="00621C86">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Ayuntamiento de </w:t>
          </w:r>
          <w:r w:rsidR="00621C86">
            <w:rPr>
              <w:rFonts w:ascii="Palatino Linotype" w:eastAsia="Palatino Linotype" w:hAnsi="Palatino Linotype" w:cs="Palatino Linotype"/>
              <w:b/>
              <w:sz w:val="21"/>
              <w:szCs w:val="21"/>
            </w:rPr>
            <w:t>Temascalapa</w:t>
          </w:r>
        </w:p>
      </w:tc>
    </w:tr>
    <w:tr w:rsidR="00532AE4" w14:paraId="299BE161" w14:textId="77777777">
      <w:tc>
        <w:tcPr>
          <w:tcW w:w="2552" w:type="dxa"/>
          <w:vAlign w:val="center"/>
        </w:tcPr>
        <w:p w14:paraId="537FCC0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2976"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4691D387">
          <wp:simplePos x="0" y="0"/>
          <wp:positionH relativeFrom="column">
            <wp:posOffset>-655955</wp:posOffset>
          </wp:positionH>
          <wp:positionV relativeFrom="paragraph">
            <wp:posOffset>-341630</wp:posOffset>
          </wp:positionV>
          <wp:extent cx="7635875" cy="9943465"/>
          <wp:effectExtent l="0" t="0" r="0" b="0"/>
          <wp:wrapNone/>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6E6F373D" w:rsidR="00532AE4" w:rsidRDefault="008C1E2D" w:rsidP="005A2F67">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523CBF">
            <w:rPr>
              <w:rFonts w:ascii="Palatino Linotype" w:eastAsia="Palatino Linotype" w:hAnsi="Palatino Linotype" w:cs="Palatino Linotype"/>
              <w:b/>
              <w:sz w:val="21"/>
              <w:szCs w:val="21"/>
            </w:rPr>
            <w:t>80</w:t>
          </w:r>
          <w:r w:rsidR="00621C86">
            <w:rPr>
              <w:rFonts w:ascii="Palatino Linotype" w:eastAsia="Palatino Linotype" w:hAnsi="Palatino Linotype" w:cs="Palatino Linotype"/>
              <w:b/>
              <w:sz w:val="21"/>
              <w:szCs w:val="21"/>
            </w:rPr>
            <w:t>99</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1888C49B" w:rsidR="00532AE4" w:rsidRDefault="006E0F04">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XXXXXX XXXXX </w:t>
          </w:r>
          <w:proofErr w:type="spellStart"/>
          <w:r>
            <w:rPr>
              <w:rFonts w:ascii="Palatino Linotype" w:eastAsia="Palatino Linotype" w:hAnsi="Palatino Linotype" w:cs="Palatino Linotype"/>
              <w:b/>
              <w:sz w:val="21"/>
              <w:szCs w:val="21"/>
            </w:rPr>
            <w:t>XXXXX</w:t>
          </w:r>
          <w:proofErr w:type="spellEnd"/>
        </w:p>
      </w:tc>
    </w:tr>
    <w:tr w:rsidR="00532AE4" w14:paraId="33C0EB5C" w14:textId="77777777">
      <w:trPr>
        <w:trHeight w:val="228"/>
      </w:trPr>
      <w:tc>
        <w:tcPr>
          <w:tcW w:w="2551" w:type="dxa"/>
          <w:vAlign w:val="center"/>
        </w:tcPr>
        <w:p w14:paraId="2FEF1D9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034F4C87" w14:textId="77777777" w:rsidR="00532AE4" w:rsidRDefault="00532AE4">
          <w:pPr>
            <w:rPr>
              <w:rFonts w:ascii="Palatino Linotype" w:eastAsia="Palatino Linotype" w:hAnsi="Palatino Linotype" w:cs="Palatino Linotype"/>
              <w:b/>
              <w:sz w:val="21"/>
              <w:szCs w:val="21"/>
            </w:rPr>
          </w:pPr>
        </w:p>
      </w:tc>
      <w:tc>
        <w:tcPr>
          <w:tcW w:w="3687" w:type="dxa"/>
          <w:vAlign w:val="center"/>
        </w:tcPr>
        <w:p w14:paraId="143797A2" w14:textId="432DC909" w:rsidR="00532AE4" w:rsidRDefault="00632571" w:rsidP="00621C86">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Ayuntamiento de </w:t>
          </w:r>
          <w:r w:rsidR="00621C86">
            <w:rPr>
              <w:rFonts w:ascii="Palatino Linotype" w:eastAsia="Palatino Linotype" w:hAnsi="Palatino Linotype" w:cs="Palatino Linotype"/>
              <w:b/>
              <w:sz w:val="21"/>
              <w:szCs w:val="21"/>
            </w:rPr>
            <w:t>Temascalapa</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77781608">
    <w:abstractNumId w:val="2"/>
  </w:num>
  <w:num w:numId="2" w16cid:durableId="1077632906">
    <w:abstractNumId w:val="4"/>
  </w:num>
  <w:num w:numId="3" w16cid:durableId="1195272671">
    <w:abstractNumId w:val="0"/>
  </w:num>
  <w:num w:numId="4" w16cid:durableId="322660691">
    <w:abstractNumId w:val="1"/>
  </w:num>
  <w:num w:numId="5" w16cid:durableId="8863762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1CB2"/>
    <w:rsid w:val="0000325F"/>
    <w:rsid w:val="000154EE"/>
    <w:rsid w:val="00017988"/>
    <w:rsid w:val="00022DB6"/>
    <w:rsid w:val="00024779"/>
    <w:rsid w:val="000255E8"/>
    <w:rsid w:val="00026738"/>
    <w:rsid w:val="00026CCF"/>
    <w:rsid w:val="00032509"/>
    <w:rsid w:val="0004402A"/>
    <w:rsid w:val="00044D36"/>
    <w:rsid w:val="000452F8"/>
    <w:rsid w:val="00045749"/>
    <w:rsid w:val="000458EA"/>
    <w:rsid w:val="000672C5"/>
    <w:rsid w:val="0006735D"/>
    <w:rsid w:val="00072798"/>
    <w:rsid w:val="00073044"/>
    <w:rsid w:val="00085350"/>
    <w:rsid w:val="00095E46"/>
    <w:rsid w:val="0009768A"/>
    <w:rsid w:val="00097E14"/>
    <w:rsid w:val="000A27C2"/>
    <w:rsid w:val="000A27E2"/>
    <w:rsid w:val="000A4280"/>
    <w:rsid w:val="000A7005"/>
    <w:rsid w:val="000B2D33"/>
    <w:rsid w:val="000B42A5"/>
    <w:rsid w:val="000B673F"/>
    <w:rsid w:val="000B759A"/>
    <w:rsid w:val="000C05BE"/>
    <w:rsid w:val="000E1DD7"/>
    <w:rsid w:val="000E63FD"/>
    <w:rsid w:val="000E7889"/>
    <w:rsid w:val="000F296E"/>
    <w:rsid w:val="000F363F"/>
    <w:rsid w:val="000F4794"/>
    <w:rsid w:val="000F6323"/>
    <w:rsid w:val="0010180D"/>
    <w:rsid w:val="00103433"/>
    <w:rsid w:val="00111565"/>
    <w:rsid w:val="0011567E"/>
    <w:rsid w:val="0012087F"/>
    <w:rsid w:val="00122443"/>
    <w:rsid w:val="0013324A"/>
    <w:rsid w:val="00135C3B"/>
    <w:rsid w:val="001375F3"/>
    <w:rsid w:val="00137E5A"/>
    <w:rsid w:val="00140D3F"/>
    <w:rsid w:val="00142C2A"/>
    <w:rsid w:val="00147A44"/>
    <w:rsid w:val="00150206"/>
    <w:rsid w:val="00151287"/>
    <w:rsid w:val="001577D2"/>
    <w:rsid w:val="00160B51"/>
    <w:rsid w:val="00161E09"/>
    <w:rsid w:val="00171490"/>
    <w:rsid w:val="0017202B"/>
    <w:rsid w:val="00174144"/>
    <w:rsid w:val="00181147"/>
    <w:rsid w:val="00182B72"/>
    <w:rsid w:val="00195F53"/>
    <w:rsid w:val="001A0373"/>
    <w:rsid w:val="001A1911"/>
    <w:rsid w:val="001C43DA"/>
    <w:rsid w:val="001C7B0A"/>
    <w:rsid w:val="001E0FB7"/>
    <w:rsid w:val="001E1760"/>
    <w:rsid w:val="001E17BD"/>
    <w:rsid w:val="0020780A"/>
    <w:rsid w:val="0021726A"/>
    <w:rsid w:val="002222E9"/>
    <w:rsid w:val="00223CD6"/>
    <w:rsid w:val="002275D9"/>
    <w:rsid w:val="002502E3"/>
    <w:rsid w:val="002505D0"/>
    <w:rsid w:val="00256FA6"/>
    <w:rsid w:val="00257454"/>
    <w:rsid w:val="00260424"/>
    <w:rsid w:val="00263FD5"/>
    <w:rsid w:val="0027510F"/>
    <w:rsid w:val="002839FA"/>
    <w:rsid w:val="00284DAE"/>
    <w:rsid w:val="00284E2D"/>
    <w:rsid w:val="002859C5"/>
    <w:rsid w:val="00285CBA"/>
    <w:rsid w:val="0029155A"/>
    <w:rsid w:val="002963B1"/>
    <w:rsid w:val="002A005F"/>
    <w:rsid w:val="002B2152"/>
    <w:rsid w:val="002B2F77"/>
    <w:rsid w:val="002C008A"/>
    <w:rsid w:val="002D134E"/>
    <w:rsid w:val="002E01DD"/>
    <w:rsid w:val="002F085C"/>
    <w:rsid w:val="002F4CEB"/>
    <w:rsid w:val="002F6686"/>
    <w:rsid w:val="002F7B9F"/>
    <w:rsid w:val="0030577D"/>
    <w:rsid w:val="0031405F"/>
    <w:rsid w:val="00326E2A"/>
    <w:rsid w:val="003352D2"/>
    <w:rsid w:val="003545BC"/>
    <w:rsid w:val="003666D7"/>
    <w:rsid w:val="00373DBB"/>
    <w:rsid w:val="003755B9"/>
    <w:rsid w:val="00381EC6"/>
    <w:rsid w:val="00384A61"/>
    <w:rsid w:val="00390FDA"/>
    <w:rsid w:val="003973AC"/>
    <w:rsid w:val="003A1F72"/>
    <w:rsid w:val="003A5A60"/>
    <w:rsid w:val="003A5E74"/>
    <w:rsid w:val="003B0D84"/>
    <w:rsid w:val="003B119C"/>
    <w:rsid w:val="003B606E"/>
    <w:rsid w:val="003C5888"/>
    <w:rsid w:val="003D129B"/>
    <w:rsid w:val="003D2CDB"/>
    <w:rsid w:val="003D45BC"/>
    <w:rsid w:val="003D655D"/>
    <w:rsid w:val="003E2501"/>
    <w:rsid w:val="003F4280"/>
    <w:rsid w:val="00401731"/>
    <w:rsid w:val="0041786A"/>
    <w:rsid w:val="00417D9F"/>
    <w:rsid w:val="0042141B"/>
    <w:rsid w:val="004338F4"/>
    <w:rsid w:val="004348D3"/>
    <w:rsid w:val="00440AF2"/>
    <w:rsid w:val="00443ACD"/>
    <w:rsid w:val="004472A8"/>
    <w:rsid w:val="00452503"/>
    <w:rsid w:val="00454851"/>
    <w:rsid w:val="00461EBC"/>
    <w:rsid w:val="00462720"/>
    <w:rsid w:val="004658C7"/>
    <w:rsid w:val="00473767"/>
    <w:rsid w:val="0048279B"/>
    <w:rsid w:val="00487B20"/>
    <w:rsid w:val="0049221F"/>
    <w:rsid w:val="004972E0"/>
    <w:rsid w:val="004A02B4"/>
    <w:rsid w:val="004B5CF1"/>
    <w:rsid w:val="004B77EC"/>
    <w:rsid w:val="004B7B66"/>
    <w:rsid w:val="004C7248"/>
    <w:rsid w:val="004D06BD"/>
    <w:rsid w:val="004D2E4E"/>
    <w:rsid w:val="004D6D23"/>
    <w:rsid w:val="004F703B"/>
    <w:rsid w:val="00504180"/>
    <w:rsid w:val="005043C3"/>
    <w:rsid w:val="005231DC"/>
    <w:rsid w:val="00523CBF"/>
    <w:rsid w:val="00525777"/>
    <w:rsid w:val="00532AE4"/>
    <w:rsid w:val="00541B43"/>
    <w:rsid w:val="00555E04"/>
    <w:rsid w:val="00567D0D"/>
    <w:rsid w:val="00572156"/>
    <w:rsid w:val="00593431"/>
    <w:rsid w:val="005A0442"/>
    <w:rsid w:val="005A2F67"/>
    <w:rsid w:val="005A647F"/>
    <w:rsid w:val="005A75D6"/>
    <w:rsid w:val="005A79AC"/>
    <w:rsid w:val="005D3CA2"/>
    <w:rsid w:val="005E32A9"/>
    <w:rsid w:val="005F2D09"/>
    <w:rsid w:val="005F71E2"/>
    <w:rsid w:val="00603092"/>
    <w:rsid w:val="00607257"/>
    <w:rsid w:val="0061438F"/>
    <w:rsid w:val="00620310"/>
    <w:rsid w:val="00621C86"/>
    <w:rsid w:val="0062466E"/>
    <w:rsid w:val="00632571"/>
    <w:rsid w:val="00633D0E"/>
    <w:rsid w:val="00645CD0"/>
    <w:rsid w:val="00650361"/>
    <w:rsid w:val="006510FA"/>
    <w:rsid w:val="00653E7D"/>
    <w:rsid w:val="00656E72"/>
    <w:rsid w:val="006614E2"/>
    <w:rsid w:val="00671ADA"/>
    <w:rsid w:val="00680C4E"/>
    <w:rsid w:val="006811D3"/>
    <w:rsid w:val="00686A48"/>
    <w:rsid w:val="00691A0E"/>
    <w:rsid w:val="006922B3"/>
    <w:rsid w:val="00692977"/>
    <w:rsid w:val="006954A4"/>
    <w:rsid w:val="006A1805"/>
    <w:rsid w:val="006B7134"/>
    <w:rsid w:val="006C51CD"/>
    <w:rsid w:val="006C56F4"/>
    <w:rsid w:val="006D538C"/>
    <w:rsid w:val="006E0F04"/>
    <w:rsid w:val="006E680C"/>
    <w:rsid w:val="006F407C"/>
    <w:rsid w:val="006F4F00"/>
    <w:rsid w:val="00707403"/>
    <w:rsid w:val="0071274F"/>
    <w:rsid w:val="00724155"/>
    <w:rsid w:val="00726B4A"/>
    <w:rsid w:val="007276F5"/>
    <w:rsid w:val="00744B5C"/>
    <w:rsid w:val="007469C4"/>
    <w:rsid w:val="007576B0"/>
    <w:rsid w:val="007623E7"/>
    <w:rsid w:val="007729BB"/>
    <w:rsid w:val="00773F12"/>
    <w:rsid w:val="00773F7E"/>
    <w:rsid w:val="00777216"/>
    <w:rsid w:val="00790A8C"/>
    <w:rsid w:val="007968D0"/>
    <w:rsid w:val="007A09D5"/>
    <w:rsid w:val="007B0474"/>
    <w:rsid w:val="007C29CF"/>
    <w:rsid w:val="007C4CA5"/>
    <w:rsid w:val="007C7AE7"/>
    <w:rsid w:val="007D2674"/>
    <w:rsid w:val="007D52C3"/>
    <w:rsid w:val="007E3FA4"/>
    <w:rsid w:val="007E48BB"/>
    <w:rsid w:val="007E58F3"/>
    <w:rsid w:val="007E7839"/>
    <w:rsid w:val="007E7CAE"/>
    <w:rsid w:val="007F5288"/>
    <w:rsid w:val="008012F6"/>
    <w:rsid w:val="008015E0"/>
    <w:rsid w:val="008044DE"/>
    <w:rsid w:val="00806557"/>
    <w:rsid w:val="0081329C"/>
    <w:rsid w:val="00823328"/>
    <w:rsid w:val="00826355"/>
    <w:rsid w:val="00832334"/>
    <w:rsid w:val="00834622"/>
    <w:rsid w:val="0084271D"/>
    <w:rsid w:val="00854178"/>
    <w:rsid w:val="00862021"/>
    <w:rsid w:val="008804C2"/>
    <w:rsid w:val="00885C0C"/>
    <w:rsid w:val="008869C2"/>
    <w:rsid w:val="008905A1"/>
    <w:rsid w:val="00890AC8"/>
    <w:rsid w:val="008B25A4"/>
    <w:rsid w:val="008B5DD8"/>
    <w:rsid w:val="008B5E80"/>
    <w:rsid w:val="008C1E2D"/>
    <w:rsid w:val="008C62CB"/>
    <w:rsid w:val="008C7415"/>
    <w:rsid w:val="008D793F"/>
    <w:rsid w:val="008E5D58"/>
    <w:rsid w:val="00900673"/>
    <w:rsid w:val="009040C4"/>
    <w:rsid w:val="009075E1"/>
    <w:rsid w:val="009100C5"/>
    <w:rsid w:val="009146AB"/>
    <w:rsid w:val="00914E95"/>
    <w:rsid w:val="00917D29"/>
    <w:rsid w:val="00917EAF"/>
    <w:rsid w:val="009359E9"/>
    <w:rsid w:val="0093686E"/>
    <w:rsid w:val="0094135A"/>
    <w:rsid w:val="009438FE"/>
    <w:rsid w:val="00950D94"/>
    <w:rsid w:val="00960206"/>
    <w:rsid w:val="00960D36"/>
    <w:rsid w:val="00960D42"/>
    <w:rsid w:val="009713DE"/>
    <w:rsid w:val="009749F0"/>
    <w:rsid w:val="009752BC"/>
    <w:rsid w:val="00982101"/>
    <w:rsid w:val="00992278"/>
    <w:rsid w:val="00994B65"/>
    <w:rsid w:val="009A5B1A"/>
    <w:rsid w:val="009B4D3E"/>
    <w:rsid w:val="009B6117"/>
    <w:rsid w:val="009C1099"/>
    <w:rsid w:val="009C1EF4"/>
    <w:rsid w:val="009C3B23"/>
    <w:rsid w:val="009C43AD"/>
    <w:rsid w:val="009C5489"/>
    <w:rsid w:val="009C6FBB"/>
    <w:rsid w:val="009D197C"/>
    <w:rsid w:val="009D7C8B"/>
    <w:rsid w:val="009E503C"/>
    <w:rsid w:val="00A01FAB"/>
    <w:rsid w:val="00A14A96"/>
    <w:rsid w:val="00A20775"/>
    <w:rsid w:val="00A22C89"/>
    <w:rsid w:val="00A2521A"/>
    <w:rsid w:val="00A2700E"/>
    <w:rsid w:val="00A27295"/>
    <w:rsid w:val="00A27448"/>
    <w:rsid w:val="00A34F3E"/>
    <w:rsid w:val="00A3559A"/>
    <w:rsid w:val="00A37868"/>
    <w:rsid w:val="00A41B52"/>
    <w:rsid w:val="00A475F9"/>
    <w:rsid w:val="00A7256A"/>
    <w:rsid w:val="00A76F12"/>
    <w:rsid w:val="00A832FD"/>
    <w:rsid w:val="00A8506B"/>
    <w:rsid w:val="00AB3D3A"/>
    <w:rsid w:val="00AB573B"/>
    <w:rsid w:val="00AB6A2A"/>
    <w:rsid w:val="00AB76D8"/>
    <w:rsid w:val="00AB7CBD"/>
    <w:rsid w:val="00AC2BDE"/>
    <w:rsid w:val="00AC5442"/>
    <w:rsid w:val="00AC6B80"/>
    <w:rsid w:val="00AD14F5"/>
    <w:rsid w:val="00AD43F4"/>
    <w:rsid w:val="00AD6661"/>
    <w:rsid w:val="00AE0B9D"/>
    <w:rsid w:val="00AE3DD5"/>
    <w:rsid w:val="00AE446C"/>
    <w:rsid w:val="00AF1AFF"/>
    <w:rsid w:val="00B04425"/>
    <w:rsid w:val="00B05163"/>
    <w:rsid w:val="00B10389"/>
    <w:rsid w:val="00B14403"/>
    <w:rsid w:val="00B174AA"/>
    <w:rsid w:val="00B17C48"/>
    <w:rsid w:val="00B23955"/>
    <w:rsid w:val="00B267B6"/>
    <w:rsid w:val="00B30D2B"/>
    <w:rsid w:val="00B33431"/>
    <w:rsid w:val="00B4119A"/>
    <w:rsid w:val="00B435A8"/>
    <w:rsid w:val="00B503D1"/>
    <w:rsid w:val="00B54D6E"/>
    <w:rsid w:val="00B55D04"/>
    <w:rsid w:val="00B5655A"/>
    <w:rsid w:val="00B60484"/>
    <w:rsid w:val="00B64FEA"/>
    <w:rsid w:val="00B76CCE"/>
    <w:rsid w:val="00B81E44"/>
    <w:rsid w:val="00B82C51"/>
    <w:rsid w:val="00B86A3D"/>
    <w:rsid w:val="00B935CE"/>
    <w:rsid w:val="00BB1677"/>
    <w:rsid w:val="00BB1882"/>
    <w:rsid w:val="00BC6C53"/>
    <w:rsid w:val="00BD2189"/>
    <w:rsid w:val="00BD3609"/>
    <w:rsid w:val="00BE3596"/>
    <w:rsid w:val="00BE3FD2"/>
    <w:rsid w:val="00C112BE"/>
    <w:rsid w:val="00C1235A"/>
    <w:rsid w:val="00C13FF2"/>
    <w:rsid w:val="00C24C97"/>
    <w:rsid w:val="00C304A2"/>
    <w:rsid w:val="00C36278"/>
    <w:rsid w:val="00C43FBC"/>
    <w:rsid w:val="00C51B8C"/>
    <w:rsid w:val="00C52987"/>
    <w:rsid w:val="00C5586C"/>
    <w:rsid w:val="00C6612D"/>
    <w:rsid w:val="00C70F4E"/>
    <w:rsid w:val="00C758DF"/>
    <w:rsid w:val="00C912B9"/>
    <w:rsid w:val="00C930A5"/>
    <w:rsid w:val="00CA5B0F"/>
    <w:rsid w:val="00CB4082"/>
    <w:rsid w:val="00CC055F"/>
    <w:rsid w:val="00CC17B2"/>
    <w:rsid w:val="00CC1FF9"/>
    <w:rsid w:val="00CC3836"/>
    <w:rsid w:val="00CC5F5E"/>
    <w:rsid w:val="00CD03F3"/>
    <w:rsid w:val="00CD3F09"/>
    <w:rsid w:val="00CD6157"/>
    <w:rsid w:val="00CE1553"/>
    <w:rsid w:val="00CE1FE3"/>
    <w:rsid w:val="00CE36A9"/>
    <w:rsid w:val="00CE6D92"/>
    <w:rsid w:val="00CF35D1"/>
    <w:rsid w:val="00CF4355"/>
    <w:rsid w:val="00CF450F"/>
    <w:rsid w:val="00D10665"/>
    <w:rsid w:val="00D11150"/>
    <w:rsid w:val="00D134E6"/>
    <w:rsid w:val="00D13FFD"/>
    <w:rsid w:val="00D144C8"/>
    <w:rsid w:val="00D21D23"/>
    <w:rsid w:val="00D24052"/>
    <w:rsid w:val="00D30ED9"/>
    <w:rsid w:val="00D322AE"/>
    <w:rsid w:val="00D368E9"/>
    <w:rsid w:val="00D60B66"/>
    <w:rsid w:val="00D60C04"/>
    <w:rsid w:val="00D6388C"/>
    <w:rsid w:val="00D63F31"/>
    <w:rsid w:val="00D65E9E"/>
    <w:rsid w:val="00D763D8"/>
    <w:rsid w:val="00D812CC"/>
    <w:rsid w:val="00D820F0"/>
    <w:rsid w:val="00D867B8"/>
    <w:rsid w:val="00D92AD4"/>
    <w:rsid w:val="00D95F87"/>
    <w:rsid w:val="00DA21DF"/>
    <w:rsid w:val="00DA3288"/>
    <w:rsid w:val="00DA70B4"/>
    <w:rsid w:val="00DC6D65"/>
    <w:rsid w:val="00DD2558"/>
    <w:rsid w:val="00DD32DE"/>
    <w:rsid w:val="00DD5465"/>
    <w:rsid w:val="00DD647E"/>
    <w:rsid w:val="00DE2BC0"/>
    <w:rsid w:val="00DE2CA6"/>
    <w:rsid w:val="00DE336C"/>
    <w:rsid w:val="00DF5516"/>
    <w:rsid w:val="00DF7400"/>
    <w:rsid w:val="00E0584E"/>
    <w:rsid w:val="00E07F23"/>
    <w:rsid w:val="00E113C2"/>
    <w:rsid w:val="00E13EBA"/>
    <w:rsid w:val="00E14DA7"/>
    <w:rsid w:val="00E23DB9"/>
    <w:rsid w:val="00E26C0A"/>
    <w:rsid w:val="00E27793"/>
    <w:rsid w:val="00E32375"/>
    <w:rsid w:val="00E34516"/>
    <w:rsid w:val="00E40BD5"/>
    <w:rsid w:val="00E550F0"/>
    <w:rsid w:val="00E55CFA"/>
    <w:rsid w:val="00E72C9D"/>
    <w:rsid w:val="00E733A4"/>
    <w:rsid w:val="00E77F7D"/>
    <w:rsid w:val="00E808B6"/>
    <w:rsid w:val="00E90B5E"/>
    <w:rsid w:val="00E94299"/>
    <w:rsid w:val="00EA2965"/>
    <w:rsid w:val="00EB171E"/>
    <w:rsid w:val="00EB74FD"/>
    <w:rsid w:val="00EC52BA"/>
    <w:rsid w:val="00EC6905"/>
    <w:rsid w:val="00EE3D20"/>
    <w:rsid w:val="00EE5E30"/>
    <w:rsid w:val="00EF743D"/>
    <w:rsid w:val="00F24317"/>
    <w:rsid w:val="00F245A6"/>
    <w:rsid w:val="00F30DB1"/>
    <w:rsid w:val="00F419F7"/>
    <w:rsid w:val="00F45234"/>
    <w:rsid w:val="00F652AE"/>
    <w:rsid w:val="00F96D1F"/>
    <w:rsid w:val="00F97DBF"/>
    <w:rsid w:val="00FA1A00"/>
    <w:rsid w:val="00FC71F8"/>
    <w:rsid w:val="00FC791B"/>
    <w:rsid w:val="00FD5905"/>
    <w:rsid w:val="00FD5E67"/>
    <w:rsid w:val="00FE06A9"/>
    <w:rsid w:val="00FE1811"/>
    <w:rsid w:val="00FE33C3"/>
    <w:rsid w:val="00FE50F6"/>
    <w:rsid w:val="00FF3AD0"/>
    <w:rsid w:val="00FF3B19"/>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Props1.xml><?xml version="1.0" encoding="utf-8"?>
<ds:datastoreItem xmlns:ds="http://schemas.openxmlformats.org/officeDocument/2006/customXml" ds:itemID="{83CC6E2C-9E94-4A8D-9757-E61E24EF22B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6391</Words>
  <Characters>35153</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ADRIANA INFOEM</cp:lastModifiedBy>
  <cp:revision>2</cp:revision>
  <cp:lastPrinted>2026-09-18T20:49:00Z</cp:lastPrinted>
  <dcterms:created xsi:type="dcterms:W3CDTF">2026-09-22T20:27:00Z</dcterms:created>
  <dcterms:modified xsi:type="dcterms:W3CDTF">2026-09-22T20:27:00Z</dcterms:modified>
</cp:coreProperties>
</file>