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8B60BF" w:rsidRDefault="009D3673" w:rsidP="00D13D4B">
      <w:pPr>
        <w:tabs>
          <w:tab w:val="left" w:pos="3465"/>
        </w:tabs>
        <w:spacing w:line="360" w:lineRule="auto"/>
        <w:ind w:right="49"/>
        <w:jc w:val="both"/>
        <w:rPr>
          <w:rFonts w:ascii="Palatino Linotype" w:eastAsia="Palatino Linotype" w:hAnsi="Palatino Linotype" w:cs="Palatino Linotype"/>
          <w:b/>
        </w:rPr>
      </w:pPr>
      <w:r w:rsidRPr="008B60BF">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8B60BF">
        <w:rPr>
          <w:rFonts w:ascii="Palatino Linotype" w:eastAsia="Palatino Linotype" w:hAnsi="Palatino Linotype" w:cs="Palatino Linotype"/>
        </w:rPr>
        <w:t xml:space="preserve">tado de México; </w:t>
      </w:r>
      <w:r w:rsidR="0081462E" w:rsidRPr="008B60BF">
        <w:rPr>
          <w:rFonts w:ascii="Palatino Linotype" w:eastAsia="Palatino Linotype" w:hAnsi="Palatino Linotype" w:cs="Palatino Linotype"/>
          <w:b/>
        </w:rPr>
        <w:t xml:space="preserve">de fecha </w:t>
      </w:r>
      <w:r w:rsidR="001368EA" w:rsidRPr="008B60BF">
        <w:rPr>
          <w:rFonts w:ascii="Palatino Linotype" w:eastAsia="Palatino Linotype" w:hAnsi="Palatino Linotype" w:cs="Palatino Linotype"/>
          <w:b/>
        </w:rPr>
        <w:t>diecisiete</w:t>
      </w:r>
      <w:r w:rsidR="008B60BF" w:rsidRPr="008B60BF">
        <w:rPr>
          <w:rFonts w:ascii="Palatino Linotype" w:eastAsia="Palatino Linotype" w:hAnsi="Palatino Linotype" w:cs="Palatino Linotype"/>
          <w:b/>
        </w:rPr>
        <w:t xml:space="preserve"> (17)</w:t>
      </w:r>
      <w:r w:rsidR="001368EA" w:rsidRPr="008B60BF">
        <w:rPr>
          <w:rFonts w:ascii="Palatino Linotype" w:eastAsia="Palatino Linotype" w:hAnsi="Palatino Linotype" w:cs="Palatino Linotype"/>
          <w:b/>
        </w:rPr>
        <w:t xml:space="preserve"> de junio</w:t>
      </w:r>
      <w:r w:rsidR="007D013F" w:rsidRPr="008B60BF">
        <w:rPr>
          <w:rFonts w:ascii="Palatino Linotype" w:eastAsia="Palatino Linotype" w:hAnsi="Palatino Linotype" w:cs="Palatino Linotype"/>
          <w:b/>
        </w:rPr>
        <w:t xml:space="preserve"> de dos mil veintiséis</w:t>
      </w:r>
      <w:r w:rsidRPr="008B60BF">
        <w:rPr>
          <w:rFonts w:ascii="Palatino Linotype" w:eastAsia="Palatino Linotype" w:hAnsi="Palatino Linotype" w:cs="Palatino Linotype"/>
          <w:b/>
        </w:rPr>
        <w:t>.</w:t>
      </w:r>
    </w:p>
    <w:p w:rsidR="00B84DF1" w:rsidRPr="008B60BF" w:rsidRDefault="00B84DF1" w:rsidP="00D13D4B">
      <w:pPr>
        <w:tabs>
          <w:tab w:val="left" w:pos="3465"/>
        </w:tabs>
        <w:spacing w:line="360" w:lineRule="auto"/>
        <w:ind w:right="49"/>
        <w:jc w:val="both"/>
        <w:rPr>
          <w:rFonts w:ascii="Palatino Linotype" w:eastAsia="Palatino Linotype" w:hAnsi="Palatino Linotype" w:cs="Palatino Linotype"/>
        </w:rPr>
      </w:pPr>
    </w:p>
    <w:p w:rsidR="00B84DF1" w:rsidRPr="008B60BF" w:rsidRDefault="009D3673" w:rsidP="00D13D4B">
      <w:pPr>
        <w:spacing w:line="360" w:lineRule="auto"/>
        <w:ind w:right="49"/>
        <w:jc w:val="both"/>
        <w:rPr>
          <w:rFonts w:ascii="Palatino Linotype" w:eastAsia="Palatino Linotype" w:hAnsi="Palatino Linotype" w:cs="Palatino Linotype"/>
        </w:rPr>
      </w:pPr>
      <w:r w:rsidRPr="008B60BF">
        <w:rPr>
          <w:rFonts w:ascii="Palatino Linotype" w:eastAsia="Palatino Linotype" w:hAnsi="Palatino Linotype" w:cs="Palatino Linotype"/>
          <w:b/>
        </w:rPr>
        <w:t xml:space="preserve">VISTAS </w:t>
      </w:r>
      <w:r w:rsidRPr="008B60BF">
        <w:rPr>
          <w:rFonts w:ascii="Palatino Linotype" w:eastAsia="Palatino Linotype" w:hAnsi="Palatino Linotype" w:cs="Palatino Linotype"/>
        </w:rPr>
        <w:t xml:space="preserve">las constancias para resolver el Recurso de Revisión </w:t>
      </w:r>
      <w:r w:rsidR="007C3D34" w:rsidRPr="008B60BF">
        <w:rPr>
          <w:rFonts w:ascii="Palatino Linotype" w:eastAsia="Palatino Linotype" w:hAnsi="Palatino Linotype" w:cs="Palatino Linotype"/>
          <w:b/>
        </w:rPr>
        <w:t>01813</w:t>
      </w:r>
      <w:r w:rsidR="00552147" w:rsidRPr="008B60BF">
        <w:rPr>
          <w:rFonts w:ascii="Palatino Linotype" w:eastAsia="Palatino Linotype" w:hAnsi="Palatino Linotype" w:cs="Palatino Linotype"/>
          <w:b/>
        </w:rPr>
        <w:t>/INFOEM/IP/RR/2026</w:t>
      </w:r>
      <w:r w:rsidRPr="008B60BF">
        <w:rPr>
          <w:rFonts w:ascii="Palatino Linotype" w:eastAsia="Palatino Linotype" w:hAnsi="Palatino Linotype" w:cs="Palatino Linotype"/>
          <w:b/>
        </w:rPr>
        <w:t>,</w:t>
      </w:r>
      <w:r w:rsidRPr="008B60BF">
        <w:rPr>
          <w:rFonts w:ascii="Palatino Linotype" w:eastAsia="Palatino Linotype" w:hAnsi="Palatino Linotype" w:cs="Palatino Linotype"/>
        </w:rPr>
        <w:t xml:space="preserve"> presentado por </w:t>
      </w:r>
      <w:r w:rsidR="00B322B3">
        <w:rPr>
          <w:rFonts w:ascii="Palatino Linotype" w:eastAsia="Palatino Linotype" w:hAnsi="Palatino Linotype" w:cs="Palatino Linotype"/>
          <w:b/>
        </w:rPr>
        <w:t>XXXX</w:t>
      </w:r>
      <w:r w:rsidRPr="008B60BF">
        <w:rPr>
          <w:rFonts w:ascii="Palatino Linotype" w:eastAsia="Palatino Linotype" w:hAnsi="Palatino Linotype" w:cs="Palatino Linotype"/>
        </w:rPr>
        <w:t>, a quie</w:t>
      </w:r>
      <w:r w:rsidR="0064652D" w:rsidRPr="008B60BF">
        <w:rPr>
          <w:rFonts w:ascii="Palatino Linotype" w:eastAsia="Palatino Linotype" w:hAnsi="Palatino Linotype" w:cs="Palatino Linotype"/>
        </w:rPr>
        <w:t xml:space="preserve">n en lo sucesivo se denominará </w:t>
      </w:r>
      <w:r w:rsidR="008811C5" w:rsidRPr="008B60BF">
        <w:rPr>
          <w:rFonts w:ascii="Palatino Linotype" w:eastAsia="Palatino Linotype" w:hAnsi="Palatino Linotype" w:cs="Palatino Linotype"/>
          <w:b/>
        </w:rPr>
        <w:t>LA RECURRENTE</w:t>
      </w:r>
      <w:r w:rsidRPr="008B60BF">
        <w:rPr>
          <w:rFonts w:ascii="Palatino Linotype" w:eastAsia="Palatino Linotype" w:hAnsi="Palatino Linotype" w:cs="Palatino Linotype"/>
        </w:rPr>
        <w:t xml:space="preserve">, en contra de la respuesta otorgada a la </w:t>
      </w:r>
      <w:r w:rsidR="0044042A" w:rsidRPr="008B60BF">
        <w:rPr>
          <w:rFonts w:ascii="Palatino Linotype" w:eastAsia="Palatino Linotype" w:hAnsi="Palatino Linotype" w:cs="Palatino Linotype"/>
        </w:rPr>
        <w:t>S</w:t>
      </w:r>
      <w:r w:rsidRPr="008B60BF">
        <w:rPr>
          <w:rFonts w:ascii="Palatino Linotype" w:eastAsia="Palatino Linotype" w:hAnsi="Palatino Linotype" w:cs="Palatino Linotype"/>
        </w:rPr>
        <w:t xml:space="preserve">olicitud de </w:t>
      </w:r>
      <w:r w:rsidR="0044042A" w:rsidRPr="008B60BF">
        <w:rPr>
          <w:rFonts w:ascii="Palatino Linotype" w:eastAsia="Palatino Linotype" w:hAnsi="Palatino Linotype" w:cs="Palatino Linotype"/>
        </w:rPr>
        <w:t>I</w:t>
      </w:r>
      <w:r w:rsidRPr="008B60BF">
        <w:rPr>
          <w:rFonts w:ascii="Palatino Linotype" w:eastAsia="Palatino Linotype" w:hAnsi="Palatino Linotype" w:cs="Palatino Linotype"/>
        </w:rPr>
        <w:t xml:space="preserve">nformación con número de folio </w:t>
      </w:r>
      <w:r w:rsidR="007C3D34" w:rsidRPr="008B60BF">
        <w:rPr>
          <w:rFonts w:ascii="Palatino Linotype" w:eastAsia="Palatino Linotype" w:hAnsi="Palatino Linotype" w:cs="Palatino Linotype"/>
          <w:b/>
        </w:rPr>
        <w:t>00012/AYAPANGO/IP/2026</w:t>
      </w:r>
      <w:r w:rsidRPr="008B60BF">
        <w:rPr>
          <w:rFonts w:ascii="Palatino Linotype" w:eastAsia="Palatino Linotype" w:hAnsi="Palatino Linotype" w:cs="Palatino Linotype"/>
        </w:rPr>
        <w:t xml:space="preserve">, por parte del </w:t>
      </w:r>
      <w:r w:rsidR="007C3D34" w:rsidRPr="008B60BF">
        <w:rPr>
          <w:rFonts w:ascii="Palatino Linotype" w:eastAsia="Palatino Linotype" w:hAnsi="Palatino Linotype" w:cs="Palatino Linotype"/>
          <w:b/>
        </w:rPr>
        <w:t>Ayuntamiento de Ayapango</w:t>
      </w:r>
      <w:r w:rsidRPr="008B60BF">
        <w:rPr>
          <w:rFonts w:ascii="Palatino Linotype" w:eastAsia="Palatino Linotype" w:hAnsi="Palatino Linotype" w:cs="Palatino Linotype"/>
          <w:b/>
        </w:rPr>
        <w:t xml:space="preserve">, </w:t>
      </w:r>
      <w:r w:rsidRPr="008B60BF">
        <w:rPr>
          <w:rFonts w:ascii="Palatino Linotype" w:eastAsia="Palatino Linotype" w:hAnsi="Palatino Linotype" w:cs="Palatino Linotype"/>
        </w:rPr>
        <w:t xml:space="preserve">en adelante </w:t>
      </w:r>
      <w:r w:rsidRPr="008B60BF">
        <w:rPr>
          <w:rFonts w:ascii="Palatino Linotype" w:eastAsia="Palatino Linotype" w:hAnsi="Palatino Linotype" w:cs="Palatino Linotype"/>
          <w:b/>
        </w:rPr>
        <w:t>EL SUJETO OBLIGADO,</w:t>
      </w:r>
      <w:r w:rsidRPr="008B60BF">
        <w:rPr>
          <w:rFonts w:ascii="Palatino Linotype" w:eastAsia="Palatino Linotype" w:hAnsi="Palatino Linotype" w:cs="Palatino Linotype"/>
        </w:rPr>
        <w:t xml:space="preserve"> se emite la presente </w:t>
      </w:r>
      <w:r w:rsidR="0081462E" w:rsidRPr="008B60BF">
        <w:rPr>
          <w:rFonts w:ascii="Palatino Linotype" w:eastAsia="Palatino Linotype" w:hAnsi="Palatino Linotype" w:cs="Palatino Linotype"/>
        </w:rPr>
        <w:t>R</w:t>
      </w:r>
      <w:r w:rsidRPr="008B60BF">
        <w:rPr>
          <w:rFonts w:ascii="Palatino Linotype" w:eastAsia="Palatino Linotype" w:hAnsi="Palatino Linotype" w:cs="Palatino Linotype"/>
        </w:rPr>
        <w:t>esolución con base en los siguientes:</w:t>
      </w:r>
    </w:p>
    <w:p w:rsidR="008B60BF" w:rsidRDefault="008B60BF" w:rsidP="00D13D4B">
      <w:pPr>
        <w:pStyle w:val="Ttulo1"/>
        <w:spacing w:before="0" w:line="360" w:lineRule="auto"/>
        <w:ind w:right="49"/>
        <w:jc w:val="center"/>
        <w:rPr>
          <w:rFonts w:ascii="Palatino Linotype" w:eastAsia="Palatino Linotype" w:hAnsi="Palatino Linotype" w:cs="Palatino Linotype"/>
          <w:b/>
          <w:color w:val="000000"/>
          <w:sz w:val="24"/>
          <w:szCs w:val="24"/>
        </w:rPr>
      </w:pPr>
      <w:bookmarkStart w:id="0" w:name="_heading=h.gjdgxs" w:colFirst="0" w:colLast="0"/>
      <w:bookmarkEnd w:id="0"/>
    </w:p>
    <w:p w:rsidR="00B84DF1" w:rsidRPr="008B60BF" w:rsidRDefault="009D3673" w:rsidP="00D13D4B">
      <w:pPr>
        <w:pStyle w:val="Ttulo1"/>
        <w:spacing w:before="0" w:line="360" w:lineRule="auto"/>
        <w:ind w:right="49"/>
        <w:jc w:val="center"/>
        <w:rPr>
          <w:rFonts w:ascii="Palatino Linotype" w:eastAsia="Palatino Linotype" w:hAnsi="Palatino Linotype" w:cs="Palatino Linotype"/>
          <w:b/>
          <w:color w:val="000000"/>
          <w:sz w:val="24"/>
          <w:szCs w:val="24"/>
        </w:rPr>
      </w:pPr>
      <w:r w:rsidRPr="008B60BF">
        <w:rPr>
          <w:rFonts w:ascii="Palatino Linotype" w:eastAsia="Palatino Linotype" w:hAnsi="Palatino Linotype" w:cs="Palatino Linotype"/>
          <w:b/>
          <w:color w:val="000000"/>
          <w:sz w:val="24"/>
          <w:szCs w:val="24"/>
        </w:rPr>
        <w:t>A N T E C E D E N T E S</w:t>
      </w:r>
    </w:p>
    <w:p w:rsidR="00B84DF1" w:rsidRPr="008B60BF" w:rsidRDefault="00B84DF1"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8B60BF" w:rsidRDefault="009D3673" w:rsidP="00D13D4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8B60BF">
        <w:rPr>
          <w:rFonts w:ascii="Palatino Linotype" w:eastAsia="Palatino Linotype" w:hAnsi="Palatino Linotype" w:cs="Palatino Linotype"/>
          <w:color w:val="000000"/>
        </w:rPr>
        <w:t>El día</w:t>
      </w:r>
      <w:r w:rsidRPr="008B60BF">
        <w:rPr>
          <w:rFonts w:ascii="Palatino Linotype" w:eastAsia="Palatino Linotype" w:hAnsi="Palatino Linotype" w:cs="Palatino Linotype"/>
          <w:b/>
          <w:color w:val="000000"/>
        </w:rPr>
        <w:t xml:space="preserve"> </w:t>
      </w:r>
      <w:r w:rsidR="007C3D34" w:rsidRPr="008B60BF">
        <w:rPr>
          <w:rFonts w:ascii="Palatino Linotype" w:eastAsia="Palatino Linotype" w:hAnsi="Palatino Linotype" w:cs="Palatino Linotype"/>
          <w:b/>
          <w:color w:val="000000"/>
        </w:rPr>
        <w:t>seis de febrero</w:t>
      </w:r>
      <w:r w:rsidRPr="008B60BF">
        <w:rPr>
          <w:rFonts w:ascii="Palatino Linotype" w:eastAsia="Palatino Linotype" w:hAnsi="Palatino Linotype" w:cs="Palatino Linotype"/>
          <w:b/>
          <w:color w:val="000000"/>
        </w:rPr>
        <w:t xml:space="preserve"> dos mil </w:t>
      </w:r>
      <w:r w:rsidR="007C3D34" w:rsidRPr="008B60BF">
        <w:rPr>
          <w:rFonts w:ascii="Palatino Linotype" w:eastAsia="Palatino Linotype" w:hAnsi="Palatino Linotype" w:cs="Palatino Linotype"/>
          <w:b/>
          <w:color w:val="000000"/>
        </w:rPr>
        <w:t>veintiséis</w:t>
      </w:r>
      <w:r w:rsidRPr="008B60BF">
        <w:rPr>
          <w:rFonts w:ascii="Palatino Linotype" w:eastAsia="Palatino Linotype" w:hAnsi="Palatino Linotype" w:cs="Palatino Linotype"/>
          <w:color w:val="000000"/>
        </w:rPr>
        <w:t>,</w:t>
      </w:r>
      <w:r w:rsidRPr="008B60BF">
        <w:rPr>
          <w:rFonts w:ascii="Palatino Linotype" w:eastAsia="Palatino Linotype" w:hAnsi="Palatino Linotype" w:cs="Palatino Linotype"/>
          <w:b/>
          <w:color w:val="000000"/>
        </w:rPr>
        <w:t xml:space="preserve"> </w:t>
      </w:r>
      <w:r w:rsidRPr="008B60BF">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bookmarkStart w:id="1" w:name="_GoBack"/>
      <w:bookmarkEnd w:id="1"/>
    </w:p>
    <w:p w:rsidR="00B84DF1" w:rsidRPr="008B60BF" w:rsidRDefault="00B84DF1" w:rsidP="00D13D4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8B60BF" w:rsidRDefault="009D3673" w:rsidP="00D13D4B">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8B60BF">
        <w:rPr>
          <w:rFonts w:ascii="Palatino Linotype" w:eastAsia="Palatino Linotype" w:hAnsi="Palatino Linotype" w:cs="Palatino Linotype"/>
          <w:i/>
          <w:color w:val="000000"/>
        </w:rPr>
        <w:t>“</w:t>
      </w:r>
      <w:r w:rsidR="007C3D34" w:rsidRPr="008B60BF">
        <w:rPr>
          <w:rFonts w:ascii="Palatino Linotype" w:eastAsia="Palatino Linotype" w:hAnsi="Palatino Linotype" w:cs="Palatino Linotype"/>
          <w:i/>
        </w:rPr>
        <w:t>Solicito copia en versión electrónica de los manuales, lineamientos, acuerdos, disposiciones administrativas, criterios internos o cualquier otro documento normativo vigente que determinen, regulen o delimiten la competencia, atribuciones y funciones de la Coordinación de Predial y Catastro del Ayuntamiento de Ayapango, específicamente en lo relativo a la atención de solicitudes de carácter informativo realizadas por particulares. La información solicitada deberá corresponder a los documentos vigentes durante la administración municipal actualmente en funciones, y ser proporcionada en formato electrónico a través del sistema INFOEM.</w:t>
      </w:r>
      <w:r w:rsidRPr="008B60BF">
        <w:rPr>
          <w:rFonts w:ascii="Palatino Linotype" w:eastAsia="Palatino Linotype" w:hAnsi="Palatino Linotype" w:cs="Palatino Linotype"/>
          <w:i/>
          <w:color w:val="000000"/>
        </w:rPr>
        <w:t>”</w:t>
      </w:r>
    </w:p>
    <w:p w:rsidR="00B84DF1" w:rsidRPr="008B60BF" w:rsidRDefault="009D3673" w:rsidP="00D13D4B">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8B60BF">
        <w:rPr>
          <w:rFonts w:ascii="Palatino Linotype" w:eastAsia="Palatino Linotype" w:hAnsi="Palatino Linotype" w:cs="Palatino Linotype"/>
          <w:color w:val="000000"/>
        </w:rPr>
        <w:lastRenderedPageBreak/>
        <w:t xml:space="preserve">Se eligió como modalidad de entrega de la información: </w:t>
      </w:r>
      <w:r w:rsidR="00CB1566" w:rsidRPr="008B60BF">
        <w:rPr>
          <w:rFonts w:ascii="Palatino Linotype" w:eastAsia="Palatino Linotype" w:hAnsi="Palatino Linotype" w:cs="Palatino Linotype"/>
          <w:b/>
          <w:color w:val="000000"/>
        </w:rPr>
        <w:t>a través de SAIMEX</w:t>
      </w:r>
    </w:p>
    <w:p w:rsidR="00DB7C4B" w:rsidRPr="008B60BF" w:rsidRDefault="00DB7C4B" w:rsidP="00D13D4B">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1D7945" w:rsidRPr="008B60BF" w:rsidRDefault="009D3673" w:rsidP="00252B9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8B60BF">
        <w:rPr>
          <w:rFonts w:ascii="Palatino Linotype" w:eastAsia="Palatino Linotype" w:hAnsi="Palatino Linotype" w:cs="Palatino Linotype"/>
          <w:color w:val="000000"/>
        </w:rPr>
        <w:t xml:space="preserve">El </w:t>
      </w:r>
      <w:r w:rsidR="007C3D34" w:rsidRPr="008B60BF">
        <w:rPr>
          <w:rFonts w:ascii="Palatino Linotype" w:eastAsia="Palatino Linotype" w:hAnsi="Palatino Linotype" w:cs="Palatino Linotype"/>
          <w:b/>
          <w:color w:val="000000"/>
        </w:rPr>
        <w:t>diez de febrero</w:t>
      </w:r>
      <w:r w:rsidR="009F6E27" w:rsidRPr="008B60BF">
        <w:rPr>
          <w:rFonts w:ascii="Palatino Linotype" w:eastAsia="Palatino Linotype" w:hAnsi="Palatino Linotype" w:cs="Palatino Linotype"/>
          <w:b/>
          <w:color w:val="000000"/>
        </w:rPr>
        <w:t xml:space="preserve"> de</w:t>
      </w:r>
      <w:r w:rsidR="00BE415E" w:rsidRPr="008B60BF">
        <w:rPr>
          <w:rFonts w:ascii="Palatino Linotype" w:eastAsia="Palatino Linotype" w:hAnsi="Palatino Linotype" w:cs="Palatino Linotype"/>
          <w:b/>
          <w:color w:val="000000"/>
        </w:rPr>
        <w:t xml:space="preserve"> </w:t>
      </w:r>
      <w:r w:rsidR="00654047" w:rsidRPr="008B60BF">
        <w:rPr>
          <w:rFonts w:ascii="Palatino Linotype" w:eastAsia="Palatino Linotype" w:hAnsi="Palatino Linotype" w:cs="Palatino Linotype"/>
          <w:b/>
        </w:rPr>
        <w:t>dos</w:t>
      </w:r>
      <w:r w:rsidR="00654047" w:rsidRPr="008B60BF">
        <w:rPr>
          <w:rFonts w:ascii="Palatino Linotype" w:eastAsia="Palatino Linotype" w:hAnsi="Palatino Linotype" w:cs="Palatino Linotype"/>
          <w:b/>
          <w:color w:val="000000"/>
        </w:rPr>
        <w:t xml:space="preserve"> mil </w:t>
      </w:r>
      <w:r w:rsidR="007C3D34" w:rsidRPr="008B60BF">
        <w:rPr>
          <w:rFonts w:ascii="Palatino Linotype" w:eastAsia="Palatino Linotype" w:hAnsi="Palatino Linotype" w:cs="Palatino Linotype"/>
          <w:b/>
          <w:color w:val="000000"/>
        </w:rPr>
        <w:t>veintiséis</w:t>
      </w:r>
      <w:r w:rsidRPr="008B60BF">
        <w:rPr>
          <w:rFonts w:ascii="Palatino Linotype" w:eastAsia="Palatino Linotype" w:hAnsi="Palatino Linotype" w:cs="Palatino Linotype"/>
          <w:color w:val="000000"/>
        </w:rPr>
        <w:t xml:space="preserve">, </w:t>
      </w:r>
      <w:r w:rsidR="00CB1566" w:rsidRPr="008B60BF">
        <w:rPr>
          <w:rFonts w:ascii="Palatino Linotype" w:eastAsia="Palatino Linotype" w:hAnsi="Palatino Linotype" w:cs="Palatino Linotype"/>
        </w:rPr>
        <w:t xml:space="preserve">el </w:t>
      </w:r>
      <w:r w:rsidR="0064652D" w:rsidRPr="008B60BF">
        <w:rPr>
          <w:rFonts w:ascii="Palatino Linotype" w:eastAsia="Palatino Linotype" w:hAnsi="Palatino Linotype" w:cs="Palatino Linotype"/>
          <w:b/>
        </w:rPr>
        <w:t>SUJETO OBLIGADO</w:t>
      </w:r>
      <w:r w:rsidR="00CB1566" w:rsidRPr="008B60BF">
        <w:rPr>
          <w:rFonts w:ascii="Palatino Linotype" w:eastAsia="Palatino Linotype" w:hAnsi="Palatino Linotype" w:cs="Palatino Linotype"/>
          <w:b/>
        </w:rPr>
        <w:t xml:space="preserve"> </w:t>
      </w:r>
      <w:r w:rsidR="001D7945" w:rsidRPr="008B60BF">
        <w:rPr>
          <w:rFonts w:ascii="Palatino Linotype" w:eastAsia="Palatino Linotype" w:hAnsi="Palatino Linotype" w:cs="Palatino Linotype"/>
        </w:rPr>
        <w:t>dio</w:t>
      </w:r>
      <w:r w:rsidR="00CB1566" w:rsidRPr="008B60BF">
        <w:rPr>
          <w:rFonts w:ascii="Palatino Linotype" w:eastAsia="Palatino Linotype" w:hAnsi="Palatino Linotype" w:cs="Palatino Linotype"/>
        </w:rPr>
        <w:t xml:space="preserve"> </w:t>
      </w:r>
      <w:r w:rsidR="00CB1566" w:rsidRPr="008B60BF">
        <w:rPr>
          <w:rFonts w:ascii="Palatino Linotype" w:eastAsia="Palatino Linotype" w:hAnsi="Palatino Linotype" w:cs="Palatino Linotype"/>
          <w:color w:val="000000"/>
        </w:rPr>
        <w:t>respuesta</w:t>
      </w:r>
      <w:r w:rsidR="00CB1566" w:rsidRPr="008B60BF">
        <w:rPr>
          <w:rFonts w:ascii="Palatino Linotype" w:eastAsia="Palatino Linotype" w:hAnsi="Palatino Linotype" w:cs="Palatino Linotype"/>
        </w:rPr>
        <w:t xml:space="preserve"> a </w:t>
      </w:r>
      <w:r w:rsidR="00CB1566" w:rsidRPr="008B60BF">
        <w:rPr>
          <w:rFonts w:ascii="Palatino Linotype" w:eastAsia="Palatino Linotype" w:hAnsi="Palatino Linotype" w:cs="Palatino Linotype"/>
          <w:color w:val="000000"/>
        </w:rPr>
        <w:t>la</w:t>
      </w:r>
      <w:r w:rsidR="00CB1566" w:rsidRPr="008B60BF">
        <w:rPr>
          <w:rFonts w:ascii="Palatino Linotype" w:eastAsia="Palatino Linotype" w:hAnsi="Palatino Linotype" w:cs="Palatino Linotype"/>
        </w:rPr>
        <w:t xml:space="preserve"> solicitud de acceso a la información a través de SAIMEX, </w:t>
      </w:r>
      <w:r w:rsidR="008940A5" w:rsidRPr="008B60BF">
        <w:rPr>
          <w:rFonts w:ascii="Palatino Linotype" w:eastAsia="Palatino Linotype" w:hAnsi="Palatino Linotype" w:cs="Palatino Linotype"/>
        </w:rPr>
        <w:t xml:space="preserve">mediante </w:t>
      </w:r>
      <w:r w:rsidR="007C3D34" w:rsidRPr="008B60BF">
        <w:rPr>
          <w:rFonts w:ascii="Palatino Linotype" w:eastAsia="Palatino Linotype" w:hAnsi="Palatino Linotype" w:cs="Palatino Linotype"/>
        </w:rPr>
        <w:t>los archivos denominados:</w:t>
      </w:r>
    </w:p>
    <w:p w:rsidR="007C3D34" w:rsidRPr="008B60BF" w:rsidRDefault="007C3D34" w:rsidP="007C3D34">
      <w:pPr>
        <w:pBdr>
          <w:top w:val="nil"/>
          <w:left w:val="nil"/>
          <w:bottom w:val="nil"/>
          <w:right w:val="nil"/>
          <w:between w:val="nil"/>
        </w:pBdr>
        <w:tabs>
          <w:tab w:val="left" w:pos="0"/>
        </w:tabs>
        <w:spacing w:line="360" w:lineRule="auto"/>
        <w:ind w:right="49"/>
        <w:jc w:val="center"/>
        <w:rPr>
          <w:rFonts w:ascii="Palatino Linotype" w:eastAsia="Palatino Linotype" w:hAnsi="Palatino Linotype" w:cs="Palatino Linotype"/>
          <w:b/>
        </w:rPr>
      </w:pPr>
      <w:r w:rsidRPr="008B60BF">
        <w:rPr>
          <w:rFonts w:ascii="Palatino Linotype" w:eastAsia="Palatino Linotype" w:hAnsi="Palatino Linotype" w:cs="Palatino Linotype"/>
          <w:b/>
        </w:rPr>
        <w:t>00012.pdf</w:t>
      </w:r>
    </w:p>
    <w:p w:rsidR="007C3D34" w:rsidRPr="008B60BF" w:rsidRDefault="007C3D34" w:rsidP="007C3D34">
      <w:pPr>
        <w:pBdr>
          <w:top w:val="nil"/>
          <w:left w:val="nil"/>
          <w:bottom w:val="nil"/>
          <w:right w:val="nil"/>
          <w:between w:val="nil"/>
        </w:pBdr>
        <w:tabs>
          <w:tab w:val="left" w:pos="0"/>
        </w:tabs>
        <w:spacing w:line="360" w:lineRule="auto"/>
        <w:ind w:right="49"/>
        <w:jc w:val="center"/>
        <w:rPr>
          <w:rFonts w:ascii="Palatino Linotype" w:eastAsia="Palatino Linotype" w:hAnsi="Palatino Linotype" w:cs="Palatino Linotype"/>
          <w:b/>
        </w:rPr>
      </w:pPr>
      <w:r w:rsidRPr="008B60BF">
        <w:rPr>
          <w:rFonts w:ascii="Palatino Linotype" w:eastAsia="Palatino Linotype" w:hAnsi="Palatino Linotype" w:cs="Palatino Linotype"/>
          <w:b/>
        </w:rPr>
        <w:t>Manual Catastral del Estado de Mexico 2022.pdf</w:t>
      </w:r>
    </w:p>
    <w:p w:rsidR="007C3D34" w:rsidRPr="008B60BF" w:rsidRDefault="007C3D34" w:rsidP="007C3D34">
      <w:pPr>
        <w:pBdr>
          <w:top w:val="nil"/>
          <w:left w:val="nil"/>
          <w:bottom w:val="nil"/>
          <w:right w:val="nil"/>
          <w:between w:val="nil"/>
        </w:pBdr>
        <w:tabs>
          <w:tab w:val="left" w:pos="0"/>
        </w:tabs>
        <w:spacing w:line="360" w:lineRule="auto"/>
        <w:ind w:right="49"/>
        <w:jc w:val="center"/>
        <w:rPr>
          <w:rFonts w:ascii="Palatino Linotype" w:eastAsia="Palatino Linotype" w:hAnsi="Palatino Linotype" w:cs="Palatino Linotype"/>
          <w:b/>
        </w:rPr>
      </w:pPr>
      <w:r w:rsidRPr="008B60BF">
        <w:rPr>
          <w:rFonts w:ascii="Palatino Linotype" w:eastAsia="Palatino Linotype" w:hAnsi="Palatino Linotype" w:cs="Palatino Linotype"/>
          <w:b/>
        </w:rPr>
        <w:t>MANUAL DE PROCEDIMIENTOS DE LA COORDINACION DE PREDIAL Y CATASTRO.pdf</w:t>
      </w:r>
    </w:p>
    <w:p w:rsidR="007C3D34" w:rsidRPr="008B60BF" w:rsidRDefault="007C3D34" w:rsidP="007C3D34">
      <w:pPr>
        <w:pBdr>
          <w:top w:val="nil"/>
          <w:left w:val="nil"/>
          <w:bottom w:val="nil"/>
          <w:right w:val="nil"/>
          <w:between w:val="nil"/>
        </w:pBdr>
        <w:tabs>
          <w:tab w:val="left" w:pos="0"/>
        </w:tabs>
        <w:spacing w:line="360" w:lineRule="auto"/>
        <w:ind w:right="49"/>
        <w:jc w:val="center"/>
        <w:rPr>
          <w:rFonts w:ascii="Palatino Linotype" w:eastAsia="Palatino Linotype" w:hAnsi="Palatino Linotype" w:cs="Palatino Linotype"/>
          <w:b/>
        </w:rPr>
      </w:pPr>
      <w:r w:rsidRPr="008B60BF">
        <w:rPr>
          <w:rFonts w:ascii="Palatino Linotype" w:eastAsia="Palatino Linotype" w:hAnsi="Palatino Linotype" w:cs="Palatino Linotype"/>
          <w:b/>
        </w:rPr>
        <w:t>MANUAL DE ORGANIZACION DE LA COORDINACION DE PREDIAL Y CATASTRO.pdf</w:t>
      </w:r>
    </w:p>
    <w:p w:rsidR="001D7945" w:rsidRPr="008B60BF" w:rsidRDefault="001D7945" w:rsidP="00D13D4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7C3D34" w:rsidRPr="008B60BF" w:rsidRDefault="007C3D34" w:rsidP="007C3D34">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Cuyo contenido corresponden al Manual Catastral del Estado de México, Manual de Procedimientos de la Coordinación de Predial y Catastro de Ayapango, Manual de Organización de la Coordinación de Predial y Catastro de Ayapango y, un oficio suscrito por la Coordinadora de Predial y Catastro, a tr</w:t>
      </w:r>
      <w:r w:rsidR="00216716" w:rsidRPr="008B60BF">
        <w:rPr>
          <w:rFonts w:ascii="Palatino Linotype" w:eastAsia="Palatino Linotype" w:hAnsi="Palatino Linotype" w:cs="Palatino Linotype"/>
        </w:rPr>
        <w:t>avés del cual informa de los</w:t>
      </w:r>
      <w:r w:rsidRPr="008B60BF">
        <w:rPr>
          <w:rFonts w:ascii="Palatino Linotype" w:eastAsia="Palatino Linotype" w:hAnsi="Palatino Linotype" w:cs="Palatino Linotype"/>
        </w:rPr>
        <w:t xml:space="preserve"> </w:t>
      </w:r>
      <w:r w:rsidR="00216716" w:rsidRPr="008B60BF">
        <w:rPr>
          <w:rFonts w:ascii="Palatino Linotype" w:eastAsia="Palatino Linotype" w:hAnsi="Palatino Linotype" w:cs="Palatino Linotype"/>
        </w:rPr>
        <w:t>archivos entregados</w:t>
      </w:r>
      <w:r w:rsidRPr="008B60BF">
        <w:rPr>
          <w:rFonts w:ascii="Palatino Linotype" w:eastAsia="Palatino Linotype" w:hAnsi="Palatino Linotype" w:cs="Palatino Linotype"/>
        </w:rPr>
        <w:t>.</w:t>
      </w:r>
    </w:p>
    <w:p w:rsidR="007C3D34" w:rsidRPr="008B60BF" w:rsidRDefault="007C3D34" w:rsidP="007C3D34">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8B60BF" w:rsidRDefault="009D3673" w:rsidP="00D13D4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color w:val="000000"/>
        </w:rPr>
        <w:t>El</w:t>
      </w:r>
      <w:r w:rsidRPr="008B60BF">
        <w:rPr>
          <w:rFonts w:ascii="Palatino Linotype" w:eastAsia="Palatino Linotype" w:hAnsi="Palatino Linotype" w:cs="Palatino Linotype"/>
          <w:b/>
          <w:color w:val="000000"/>
        </w:rPr>
        <w:t xml:space="preserve"> </w:t>
      </w:r>
      <w:r w:rsidR="007C3D34" w:rsidRPr="008B60BF">
        <w:rPr>
          <w:rFonts w:ascii="Palatino Linotype" w:eastAsia="Palatino Linotype" w:hAnsi="Palatino Linotype" w:cs="Palatino Linotype"/>
          <w:b/>
        </w:rPr>
        <w:t>once de febrero</w:t>
      </w:r>
      <w:r w:rsidR="00CB1566" w:rsidRPr="008B60BF">
        <w:rPr>
          <w:rFonts w:ascii="Palatino Linotype" w:eastAsia="Palatino Linotype" w:hAnsi="Palatino Linotype" w:cs="Palatino Linotype"/>
          <w:b/>
        </w:rPr>
        <w:t xml:space="preserve"> de dos mil </w:t>
      </w:r>
      <w:r w:rsidR="007C3D34" w:rsidRPr="008B60BF">
        <w:rPr>
          <w:rFonts w:ascii="Palatino Linotype" w:eastAsia="Palatino Linotype" w:hAnsi="Palatino Linotype" w:cs="Palatino Linotype"/>
          <w:b/>
        </w:rPr>
        <w:t>veintiséis</w:t>
      </w:r>
      <w:r w:rsidR="00CB1566" w:rsidRPr="008B60BF">
        <w:rPr>
          <w:rFonts w:ascii="Palatino Linotype" w:eastAsia="Palatino Linotype" w:hAnsi="Palatino Linotype" w:cs="Palatino Linotype"/>
          <w:b/>
        </w:rPr>
        <w:t xml:space="preserve">, </w:t>
      </w:r>
      <w:r w:rsidR="00CB1566" w:rsidRPr="008B60BF">
        <w:rPr>
          <w:rFonts w:ascii="Palatino Linotype" w:eastAsia="Palatino Linotype" w:hAnsi="Palatino Linotype" w:cs="Palatino Linotype"/>
        </w:rPr>
        <w:t xml:space="preserve">la parte </w:t>
      </w:r>
      <w:r w:rsidR="00CB1566" w:rsidRPr="008B60BF">
        <w:rPr>
          <w:rFonts w:ascii="Palatino Linotype" w:eastAsia="Palatino Linotype" w:hAnsi="Palatino Linotype" w:cs="Palatino Linotype"/>
          <w:b/>
        </w:rPr>
        <w:t>Recurrente</w:t>
      </w:r>
      <w:r w:rsidR="00CB1566" w:rsidRPr="008B60BF">
        <w:rPr>
          <w:rFonts w:ascii="Palatino Linotype" w:eastAsia="Palatino Linotype" w:hAnsi="Palatino Linotype" w:cs="Palatino Linotype"/>
        </w:rPr>
        <w:t xml:space="preserve"> interpuso el recurso de revisión a través de </w:t>
      </w:r>
      <w:r w:rsidR="00CB1566" w:rsidRPr="008B60BF">
        <w:rPr>
          <w:rFonts w:ascii="Palatino Linotype" w:eastAsia="Palatino Linotype" w:hAnsi="Palatino Linotype" w:cs="Palatino Linotype"/>
          <w:b/>
        </w:rPr>
        <w:t xml:space="preserve">SAIMEX, </w:t>
      </w:r>
      <w:r w:rsidR="00CB1566" w:rsidRPr="008B60BF">
        <w:rPr>
          <w:rFonts w:ascii="Palatino Linotype" w:eastAsia="Palatino Linotype" w:hAnsi="Palatino Linotype" w:cs="Palatino Linotype"/>
        </w:rPr>
        <w:t xml:space="preserve">en donde se manifestó </w:t>
      </w:r>
      <w:r w:rsidR="001D7945" w:rsidRPr="008B60BF">
        <w:rPr>
          <w:rFonts w:ascii="Palatino Linotype" w:eastAsia="Palatino Linotype" w:hAnsi="Palatino Linotype" w:cs="Palatino Linotype"/>
        </w:rPr>
        <w:t>lo siguiente</w:t>
      </w:r>
      <w:r w:rsidR="00CB1566" w:rsidRPr="008B60BF">
        <w:rPr>
          <w:rFonts w:ascii="Palatino Linotype" w:eastAsia="Palatino Linotype" w:hAnsi="Palatino Linotype" w:cs="Palatino Linotype"/>
        </w:rPr>
        <w:t>:</w:t>
      </w:r>
    </w:p>
    <w:p w:rsidR="00CB1566" w:rsidRPr="008B60BF" w:rsidRDefault="00CB1566" w:rsidP="00D13D4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8B60BF" w:rsidRDefault="00CB1566" w:rsidP="008B60BF">
      <w:pPr>
        <w:pStyle w:val="Prrafodelista"/>
        <w:numPr>
          <w:ilvl w:val="0"/>
          <w:numId w:val="45"/>
        </w:numPr>
        <w:tabs>
          <w:tab w:val="left" w:pos="2745"/>
        </w:tabs>
        <w:spacing w:line="360" w:lineRule="auto"/>
        <w:ind w:right="616"/>
        <w:jc w:val="both"/>
        <w:rPr>
          <w:rFonts w:ascii="Palatino Linotype" w:eastAsia="Palatino Linotype" w:hAnsi="Palatino Linotype" w:cs="Palatino Linotype"/>
          <w:b/>
        </w:rPr>
      </w:pPr>
      <w:r w:rsidRPr="008B60BF">
        <w:rPr>
          <w:rFonts w:ascii="Palatino Linotype" w:eastAsia="Palatino Linotype" w:hAnsi="Palatino Linotype" w:cs="Palatino Linotype"/>
          <w:b/>
        </w:rPr>
        <w:t xml:space="preserve">Acto impugnado: </w:t>
      </w:r>
    </w:p>
    <w:p w:rsidR="00CB1566" w:rsidRPr="008B60BF" w:rsidRDefault="00CB1566" w:rsidP="00D13D4B">
      <w:pPr>
        <w:tabs>
          <w:tab w:val="left" w:pos="2745"/>
        </w:tabs>
        <w:spacing w:line="360" w:lineRule="auto"/>
        <w:ind w:left="851" w:right="616"/>
        <w:jc w:val="both"/>
        <w:rPr>
          <w:rFonts w:ascii="Palatino Linotype" w:eastAsia="Palatino Linotype" w:hAnsi="Palatino Linotype" w:cs="Palatino Linotype"/>
          <w:i/>
        </w:rPr>
      </w:pPr>
      <w:r w:rsidRPr="008B60BF">
        <w:rPr>
          <w:rFonts w:ascii="Palatino Linotype" w:eastAsia="Palatino Linotype" w:hAnsi="Palatino Linotype" w:cs="Palatino Linotype"/>
          <w:i/>
        </w:rPr>
        <w:t>“</w:t>
      </w:r>
      <w:r w:rsidR="007C3D34" w:rsidRPr="008B60BF">
        <w:rPr>
          <w:rFonts w:ascii="Palatino Linotype" w:eastAsia="Palatino Linotype" w:hAnsi="Palatino Linotype" w:cs="Palatino Linotype"/>
          <w:i/>
        </w:rPr>
        <w:t xml:space="preserve">La respuesta emitida por el Ayuntamiento de Ayapango a la Solicitud de Información identificada con folio 00012/AYAPANGO/IP/2026, mediante la cual se proporcionaron manuales de carácter general sin precisar el documento normativo </w:t>
      </w:r>
      <w:r w:rsidR="007C3D34" w:rsidRPr="008B60BF">
        <w:rPr>
          <w:rFonts w:ascii="Palatino Linotype" w:eastAsia="Palatino Linotype" w:hAnsi="Palatino Linotype" w:cs="Palatino Linotype"/>
          <w:i/>
        </w:rPr>
        <w:lastRenderedPageBreak/>
        <w:t>específico que regule la atención de solicitudes informativas realizadas por particulares.</w:t>
      </w:r>
      <w:r w:rsidR="009F6E27" w:rsidRPr="008B60BF">
        <w:rPr>
          <w:rFonts w:ascii="Palatino Linotype" w:eastAsia="Palatino Linotype" w:hAnsi="Palatino Linotype" w:cs="Palatino Linotype"/>
          <w:i/>
        </w:rPr>
        <w:t>”</w:t>
      </w:r>
    </w:p>
    <w:p w:rsidR="00CB1566" w:rsidRPr="008B60BF" w:rsidRDefault="00CB1566" w:rsidP="00D13D4B">
      <w:pPr>
        <w:tabs>
          <w:tab w:val="left" w:pos="2745"/>
        </w:tabs>
        <w:spacing w:line="360" w:lineRule="auto"/>
        <w:ind w:left="851" w:right="616"/>
        <w:jc w:val="both"/>
        <w:rPr>
          <w:rFonts w:ascii="Palatino Linotype" w:eastAsia="Palatino Linotype" w:hAnsi="Palatino Linotype" w:cs="Palatino Linotype"/>
          <w:i/>
        </w:rPr>
      </w:pPr>
    </w:p>
    <w:p w:rsidR="00CB1566" w:rsidRPr="008B60BF" w:rsidRDefault="00CB1566" w:rsidP="008B60BF">
      <w:pPr>
        <w:pStyle w:val="Prrafodelista"/>
        <w:numPr>
          <w:ilvl w:val="0"/>
          <w:numId w:val="45"/>
        </w:numPr>
        <w:spacing w:line="360" w:lineRule="auto"/>
        <w:ind w:right="616"/>
        <w:jc w:val="both"/>
        <w:rPr>
          <w:rFonts w:ascii="Palatino Linotype" w:eastAsia="Palatino Linotype" w:hAnsi="Palatino Linotype" w:cs="Palatino Linotype"/>
        </w:rPr>
      </w:pPr>
      <w:bookmarkStart w:id="2" w:name="_heading=h.30j0zll" w:colFirst="0" w:colLast="0"/>
      <w:bookmarkEnd w:id="2"/>
      <w:r w:rsidRPr="008B60BF">
        <w:rPr>
          <w:rFonts w:ascii="Palatino Linotype" w:eastAsia="Palatino Linotype" w:hAnsi="Palatino Linotype" w:cs="Palatino Linotype"/>
          <w:b/>
        </w:rPr>
        <w:t>Razones o motivos de inconformidad</w:t>
      </w:r>
      <w:r w:rsidRPr="008B60BF">
        <w:rPr>
          <w:rFonts w:ascii="Palatino Linotype" w:eastAsia="Palatino Linotype" w:hAnsi="Palatino Linotype" w:cs="Palatino Linotype"/>
        </w:rPr>
        <w:t>:</w:t>
      </w:r>
    </w:p>
    <w:p w:rsidR="00CB1566" w:rsidRPr="008B60BF" w:rsidRDefault="00CB1566" w:rsidP="00D13D4B">
      <w:pPr>
        <w:tabs>
          <w:tab w:val="left" w:pos="2745"/>
        </w:tabs>
        <w:spacing w:line="360" w:lineRule="auto"/>
        <w:ind w:left="851" w:right="616"/>
        <w:jc w:val="both"/>
        <w:rPr>
          <w:rFonts w:ascii="Palatino Linotype" w:eastAsia="Palatino Linotype" w:hAnsi="Palatino Linotype" w:cs="Palatino Linotype"/>
          <w:i/>
        </w:rPr>
      </w:pPr>
      <w:r w:rsidRPr="008B60BF">
        <w:rPr>
          <w:rFonts w:ascii="Palatino Linotype" w:eastAsia="Palatino Linotype" w:hAnsi="Palatino Linotype" w:cs="Palatino Linotype"/>
          <w:i/>
        </w:rPr>
        <w:t>“</w:t>
      </w:r>
      <w:r w:rsidR="007C3D34" w:rsidRPr="008B60BF">
        <w:rPr>
          <w:rFonts w:ascii="Palatino Linotype" w:eastAsia="Palatino Linotype" w:hAnsi="Palatino Linotype" w:cs="Palatino Linotype"/>
          <w:i/>
        </w:rPr>
        <w:t>La respuesta emitida por el sujeto obligado resulta incompleta respecto de lo solicitado. En la solicitud se requirió copia en versión electrónica de los documentos normativos que determinen, regulen o delimiten la competencia, atribuciones y funciones de la Coordinación de Predial y Catastro, específicamente en lo relativo a la atención de solicitudes informativas realizadas por particulares. Si bien el sujeto obligado proporcionó manuales de organización, procedimientos y normatividad estatal en materia catastral, no precisó ni identificó el apartado específico que regule la atención de solicitudes informativas realizadas por particulares, ni se pronunció expresamente sobre la existencia o inexistencia de un procedimiento interno distinto al relativo a la prestación de servicios catastrales. Los documentos entregados regulan principalmente trámites y servicios catastrales que requieren interés jurídico, certificaciones o actos administrativos formales, sin que se advierta fundamento específico respecto de la atención de solicitudes de carácter meramente informativo. En consecuencia, la respuesta no resulta exhaustiva. Por lo anterior, solicito que el sujeto obligado: Precise el documento normativo y apartado específico que regule la atención de solicitudes informativas realizadas por particulares; o Declare expresamente la inexistencia de un procedimiento interno específico en dicha materia.</w:t>
      </w:r>
      <w:r w:rsidR="00252B9F" w:rsidRPr="008B60BF">
        <w:rPr>
          <w:rFonts w:ascii="Palatino Linotype" w:eastAsia="Palatino Linotype" w:hAnsi="Palatino Linotype" w:cs="Palatino Linotype"/>
          <w:i/>
        </w:rPr>
        <w:t>”</w:t>
      </w:r>
    </w:p>
    <w:p w:rsidR="00AF6023" w:rsidRPr="008B60BF" w:rsidRDefault="00AF6023" w:rsidP="00D13D4B">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rsidR="00B84DF1" w:rsidRPr="008B60BF" w:rsidRDefault="00CB1566"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8B60BF">
        <w:rPr>
          <w:rFonts w:ascii="Palatino Linotype" w:eastAsia="Palatino Linotype" w:hAnsi="Palatino Linotype" w:cs="Palatino Linotype"/>
        </w:rPr>
        <w:t>Con fecha</w:t>
      </w:r>
      <w:r w:rsidRPr="008B60BF">
        <w:rPr>
          <w:rFonts w:ascii="Palatino Linotype" w:eastAsia="Palatino Linotype" w:hAnsi="Palatino Linotype" w:cs="Palatino Linotype"/>
          <w:b/>
        </w:rPr>
        <w:t xml:space="preserve"> </w:t>
      </w:r>
      <w:r w:rsidR="00934D87" w:rsidRPr="008B60BF">
        <w:rPr>
          <w:rFonts w:ascii="Palatino Linotype" w:eastAsia="Palatino Linotype" w:hAnsi="Palatino Linotype" w:cs="Palatino Linotype"/>
          <w:b/>
        </w:rPr>
        <w:t>dieciséis de febrero</w:t>
      </w:r>
      <w:r w:rsidR="000A0BD7" w:rsidRPr="008B60BF">
        <w:rPr>
          <w:rFonts w:ascii="Palatino Linotype" w:eastAsia="Palatino Linotype" w:hAnsi="Palatino Linotype" w:cs="Palatino Linotype"/>
          <w:b/>
        </w:rPr>
        <w:t xml:space="preserve"> de</w:t>
      </w:r>
      <w:r w:rsidR="0090156E" w:rsidRPr="008B60BF">
        <w:rPr>
          <w:rFonts w:ascii="Palatino Linotype" w:eastAsia="Palatino Linotype" w:hAnsi="Palatino Linotype" w:cs="Palatino Linotype"/>
          <w:b/>
        </w:rPr>
        <w:t xml:space="preserve"> </w:t>
      </w:r>
      <w:r w:rsidRPr="008B60BF">
        <w:rPr>
          <w:rFonts w:ascii="Palatino Linotype" w:eastAsia="Palatino Linotype" w:hAnsi="Palatino Linotype" w:cs="Palatino Linotype"/>
          <w:b/>
        </w:rPr>
        <w:t xml:space="preserve">dos mil </w:t>
      </w:r>
      <w:r w:rsidR="007C3D34" w:rsidRPr="008B60BF">
        <w:rPr>
          <w:rFonts w:ascii="Palatino Linotype" w:eastAsia="Palatino Linotype" w:hAnsi="Palatino Linotype" w:cs="Palatino Linotype"/>
          <w:b/>
        </w:rPr>
        <w:t>veintiséis</w:t>
      </w:r>
      <w:r w:rsidRPr="008B60BF">
        <w:rPr>
          <w:rFonts w:ascii="Palatino Linotype" w:eastAsia="Palatino Linotype" w:hAnsi="Palatino Linotype" w:cs="Palatino Linotype"/>
          <w:b/>
        </w:rPr>
        <w:t xml:space="preserve">, </w:t>
      </w:r>
      <w:r w:rsidRPr="008B60BF">
        <w:rPr>
          <w:rFonts w:ascii="Palatino Linotype" w:eastAsia="Palatino Linotype" w:hAnsi="Palatino Linotype" w:cs="Palatino Linotype"/>
        </w:rPr>
        <w:t xml:space="preserve">este Instituto de Transparencia, Acceso a la Información Pública y Protección de Datos Personales del Estado de México y </w:t>
      </w:r>
      <w:r w:rsidRPr="008B60BF">
        <w:rPr>
          <w:rFonts w:ascii="Palatino Linotype" w:eastAsia="Palatino Linotype" w:hAnsi="Palatino Linotype" w:cs="Palatino Linotype"/>
        </w:rPr>
        <w:lastRenderedPageBreak/>
        <w:t xml:space="preserve">Municipios, admitió a trámite el recurso de revisión que ahora se resuelve, dando un plazo máximo de siete días hábiles para que las partes manifestaran lo que a su derecho resultara conveniente, ofrecieran pruebas, formularan alegatos y el </w:t>
      </w:r>
      <w:r w:rsidRPr="008B60BF">
        <w:rPr>
          <w:rFonts w:ascii="Palatino Linotype" w:eastAsia="Palatino Linotype" w:hAnsi="Palatino Linotype" w:cs="Palatino Linotype"/>
          <w:b/>
        </w:rPr>
        <w:t xml:space="preserve">Sujeto Obligado </w:t>
      </w:r>
      <w:r w:rsidRPr="008B60BF">
        <w:rPr>
          <w:rFonts w:ascii="Palatino Linotype" w:eastAsia="Palatino Linotype" w:hAnsi="Palatino Linotype" w:cs="Palatino Linotype"/>
        </w:rPr>
        <w:t>presentara su informe justificado.</w:t>
      </w:r>
    </w:p>
    <w:p w:rsidR="00C273BD" w:rsidRPr="008B60BF" w:rsidRDefault="00C273BD" w:rsidP="00D13D4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8B60BF" w:rsidRDefault="00760330" w:rsidP="00934D87">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8B60BF">
        <w:rPr>
          <w:rFonts w:ascii="Palatino Linotype" w:eastAsia="Palatino Linotype" w:hAnsi="Palatino Linotype" w:cs="Palatino Linotype"/>
          <w:color w:val="000000"/>
        </w:rPr>
        <w:t>E</w:t>
      </w:r>
      <w:r w:rsidR="00874872" w:rsidRPr="008B60BF">
        <w:rPr>
          <w:rFonts w:ascii="Palatino Linotype" w:eastAsia="Palatino Linotype" w:hAnsi="Palatino Linotype" w:cs="Palatino Linotype"/>
          <w:color w:val="000000"/>
        </w:rPr>
        <w:t>l</w:t>
      </w:r>
      <w:r w:rsidR="00874872" w:rsidRPr="008B60BF">
        <w:rPr>
          <w:rFonts w:ascii="Palatino Linotype" w:eastAsia="Palatino Linotype" w:hAnsi="Palatino Linotype" w:cs="Palatino Linotype"/>
          <w:b/>
          <w:color w:val="000000"/>
        </w:rPr>
        <w:t xml:space="preserve"> SUJETO </w:t>
      </w:r>
      <w:r w:rsidR="00874872" w:rsidRPr="008B60BF">
        <w:rPr>
          <w:rFonts w:ascii="Palatino Linotype" w:eastAsia="Palatino Linotype" w:hAnsi="Palatino Linotype" w:cs="Palatino Linotype"/>
          <w:b/>
        </w:rPr>
        <w:t>OBLIGADO</w:t>
      </w:r>
      <w:r w:rsidR="00874872" w:rsidRPr="008B60BF">
        <w:rPr>
          <w:rFonts w:ascii="Palatino Linotype" w:eastAsia="Palatino Linotype" w:hAnsi="Palatino Linotype" w:cs="Palatino Linotype"/>
          <w:b/>
          <w:color w:val="000000"/>
        </w:rPr>
        <w:t xml:space="preserve"> </w:t>
      </w:r>
      <w:r w:rsidR="008D2D54" w:rsidRPr="008B60BF">
        <w:rPr>
          <w:rFonts w:ascii="Palatino Linotype" w:eastAsia="Palatino Linotype" w:hAnsi="Palatino Linotype" w:cs="Palatino Linotype"/>
          <w:color w:val="000000"/>
        </w:rPr>
        <w:t>e</w:t>
      </w:r>
      <w:r w:rsidR="002A5587" w:rsidRPr="008B60BF">
        <w:rPr>
          <w:rFonts w:ascii="Palatino Linotype" w:eastAsia="Palatino Linotype" w:hAnsi="Palatino Linotype" w:cs="Palatino Linotype"/>
          <w:color w:val="000000"/>
        </w:rPr>
        <w:t>l</w:t>
      </w:r>
      <w:r w:rsidR="008D2D54" w:rsidRPr="008B60BF">
        <w:rPr>
          <w:rFonts w:ascii="Palatino Linotype" w:eastAsia="Palatino Linotype" w:hAnsi="Palatino Linotype" w:cs="Palatino Linotype"/>
          <w:color w:val="000000"/>
        </w:rPr>
        <w:t xml:space="preserve"> día </w:t>
      </w:r>
      <w:r w:rsidR="00934D87" w:rsidRPr="008B60BF">
        <w:rPr>
          <w:rFonts w:ascii="Palatino Linotype" w:eastAsia="Palatino Linotype" w:hAnsi="Palatino Linotype" w:cs="Palatino Linotype"/>
          <w:b/>
          <w:color w:val="000000"/>
        </w:rPr>
        <w:t>dieciocho de febrero</w:t>
      </w:r>
      <w:r w:rsidR="002A5587" w:rsidRPr="008B60BF">
        <w:rPr>
          <w:rFonts w:ascii="Palatino Linotype" w:eastAsia="Palatino Linotype" w:hAnsi="Palatino Linotype" w:cs="Palatino Linotype"/>
          <w:b/>
          <w:color w:val="000000"/>
        </w:rPr>
        <w:t xml:space="preserve"> de dos mil </w:t>
      </w:r>
      <w:r w:rsidR="007C3D34" w:rsidRPr="008B60BF">
        <w:rPr>
          <w:rFonts w:ascii="Palatino Linotype" w:eastAsia="Palatino Linotype" w:hAnsi="Palatino Linotype" w:cs="Palatino Linotype"/>
          <w:b/>
          <w:color w:val="000000"/>
        </w:rPr>
        <w:t>veintiséis</w:t>
      </w:r>
      <w:r w:rsidR="008D2D54" w:rsidRPr="008B60BF">
        <w:rPr>
          <w:rFonts w:ascii="Palatino Linotype" w:eastAsia="Palatino Linotype" w:hAnsi="Palatino Linotype" w:cs="Palatino Linotype"/>
          <w:b/>
          <w:color w:val="000000"/>
        </w:rPr>
        <w:t xml:space="preserve"> </w:t>
      </w:r>
      <w:r w:rsidR="008D2D54" w:rsidRPr="008B60BF">
        <w:rPr>
          <w:rFonts w:ascii="Palatino Linotype" w:eastAsia="Palatino Linotype" w:hAnsi="Palatino Linotype" w:cs="Palatino Linotype"/>
          <w:color w:val="000000"/>
        </w:rPr>
        <w:t>rindió info</w:t>
      </w:r>
      <w:r w:rsidR="002A5587" w:rsidRPr="008B60BF">
        <w:rPr>
          <w:rFonts w:ascii="Palatino Linotype" w:eastAsia="Palatino Linotype" w:hAnsi="Palatino Linotype" w:cs="Palatino Linotype"/>
          <w:color w:val="000000"/>
        </w:rPr>
        <w:t>rme justificado por medio de</w:t>
      </w:r>
      <w:r w:rsidR="00934D87" w:rsidRPr="008B60BF">
        <w:rPr>
          <w:rFonts w:ascii="Palatino Linotype" w:eastAsia="Palatino Linotype" w:hAnsi="Palatino Linotype" w:cs="Palatino Linotype"/>
          <w:color w:val="000000"/>
        </w:rPr>
        <w:t xml:space="preserve">l </w:t>
      </w:r>
      <w:r w:rsidR="00763456" w:rsidRPr="008B60BF">
        <w:rPr>
          <w:rFonts w:ascii="Palatino Linotype" w:eastAsia="Palatino Linotype" w:hAnsi="Palatino Linotype" w:cs="Palatino Linotype"/>
          <w:color w:val="000000"/>
        </w:rPr>
        <w:t>archivo</w:t>
      </w:r>
      <w:r w:rsidR="00934D87" w:rsidRPr="008B60BF">
        <w:rPr>
          <w:rFonts w:ascii="Palatino Linotype" w:eastAsia="Palatino Linotype" w:hAnsi="Palatino Linotype" w:cs="Palatino Linotype"/>
          <w:color w:val="000000"/>
        </w:rPr>
        <w:t xml:space="preserve"> denominado</w:t>
      </w:r>
      <w:r w:rsidR="00763456" w:rsidRPr="008B60BF">
        <w:rPr>
          <w:rFonts w:ascii="Palatino Linotype" w:eastAsia="Palatino Linotype" w:hAnsi="Palatino Linotype" w:cs="Palatino Linotype"/>
          <w:color w:val="000000"/>
        </w:rPr>
        <w:t xml:space="preserve"> </w:t>
      </w:r>
      <w:r w:rsidR="00934D87" w:rsidRPr="008B60BF">
        <w:rPr>
          <w:rFonts w:ascii="Palatino Linotype" w:eastAsia="Palatino Linotype" w:hAnsi="Palatino Linotype" w:cs="Palatino Linotype"/>
          <w:i/>
          <w:color w:val="000000"/>
        </w:rPr>
        <w:t>01813 REC REV.pdf</w:t>
      </w:r>
      <w:r w:rsidR="000A0BD7" w:rsidRPr="008B60BF">
        <w:rPr>
          <w:rFonts w:ascii="Palatino Linotype" w:eastAsia="Palatino Linotype" w:hAnsi="Palatino Linotype" w:cs="Palatino Linotype"/>
          <w:i/>
          <w:color w:val="000000"/>
        </w:rPr>
        <w:t>,</w:t>
      </w:r>
      <w:r w:rsidR="00763456" w:rsidRPr="008B60BF">
        <w:rPr>
          <w:rFonts w:ascii="Palatino Linotype" w:eastAsia="Palatino Linotype" w:hAnsi="Palatino Linotype" w:cs="Palatino Linotype"/>
          <w:color w:val="000000"/>
        </w:rPr>
        <w:t xml:space="preserve"> </w:t>
      </w:r>
      <w:r w:rsidR="00BC005B" w:rsidRPr="008B60BF">
        <w:rPr>
          <w:rFonts w:ascii="Palatino Linotype" w:eastAsia="Palatino Linotype" w:hAnsi="Palatino Linotype" w:cs="Palatino Linotype"/>
          <w:color w:val="000000"/>
        </w:rPr>
        <w:t xml:space="preserve">que contiene </w:t>
      </w:r>
      <w:r w:rsidR="00934D87" w:rsidRPr="008B60BF">
        <w:rPr>
          <w:rFonts w:ascii="Palatino Linotype" w:eastAsia="Palatino Linotype" w:hAnsi="Palatino Linotype" w:cs="Palatino Linotype"/>
          <w:color w:val="000000"/>
        </w:rPr>
        <w:t xml:space="preserve">un oficio suscrito por la Coordinadora de Predial y Catastro, quien de manera general informa </w:t>
      </w:r>
      <w:r w:rsidR="00BC005B" w:rsidRPr="008B60BF">
        <w:rPr>
          <w:rFonts w:ascii="Palatino Linotype" w:eastAsia="Palatino Linotype" w:hAnsi="Palatino Linotype" w:cs="Palatino Linotype"/>
          <w:color w:val="000000"/>
        </w:rPr>
        <w:t>d</w:t>
      </w:r>
      <w:r w:rsidR="00934D87" w:rsidRPr="008B60BF">
        <w:rPr>
          <w:rFonts w:ascii="Palatino Linotype" w:eastAsia="Palatino Linotype" w:hAnsi="Palatino Linotype" w:cs="Palatino Linotype"/>
          <w:color w:val="000000"/>
        </w:rPr>
        <w:t xml:space="preserve">el contenido del Manual Catastral Vigente del Estado de México, </w:t>
      </w:r>
      <w:r w:rsidR="00BC005B" w:rsidRPr="008B60BF">
        <w:rPr>
          <w:rFonts w:ascii="Palatino Linotype" w:eastAsia="Palatino Linotype" w:hAnsi="Palatino Linotype" w:cs="Palatino Linotype"/>
          <w:color w:val="000000"/>
        </w:rPr>
        <w:t>en su</w:t>
      </w:r>
      <w:r w:rsidR="00934D87" w:rsidRPr="008B60BF">
        <w:rPr>
          <w:rFonts w:ascii="Palatino Linotype" w:eastAsia="Palatino Linotype" w:hAnsi="Palatino Linotype" w:cs="Palatino Linotype"/>
          <w:color w:val="000000"/>
        </w:rPr>
        <w:t xml:space="preserve"> Apartado I. Atención al público y control de la gestión para la prestación de servicios y generación de servicios catastrales; 1.3 Políticas generales.</w:t>
      </w:r>
    </w:p>
    <w:p w:rsidR="00BC005B" w:rsidRPr="008B60BF" w:rsidRDefault="00BC005B" w:rsidP="00BC005B">
      <w:pPr>
        <w:pStyle w:val="Prrafodelista"/>
        <w:rPr>
          <w:rFonts w:ascii="Palatino Linotype" w:eastAsia="Palatino Linotype" w:hAnsi="Palatino Linotype" w:cs="Palatino Linotype"/>
          <w:b/>
          <w:color w:val="000000"/>
        </w:rPr>
      </w:pPr>
    </w:p>
    <w:p w:rsidR="00B84DF1" w:rsidRPr="008B60BF" w:rsidRDefault="009D3673" w:rsidP="00D13D4B">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8B60BF">
        <w:rPr>
          <w:rFonts w:ascii="Palatino Linotype" w:eastAsia="Palatino Linotype" w:hAnsi="Palatino Linotype" w:cs="Palatino Linotype"/>
          <w:b/>
          <w:color w:val="000000"/>
        </w:rPr>
        <w:t>C O N S I D E R A C I O N E S</w:t>
      </w:r>
    </w:p>
    <w:p w:rsidR="00B84DF1" w:rsidRPr="008B60BF" w:rsidRDefault="00B84DF1" w:rsidP="00D13D4B">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8B60BF" w:rsidRDefault="003B59FA" w:rsidP="00D13D4B">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8B60BF">
        <w:rPr>
          <w:rFonts w:ascii="Palatino Linotype" w:eastAsia="Palatino Linotype" w:hAnsi="Palatino Linotype" w:cs="Palatino Linotype"/>
          <w:b/>
          <w:color w:val="000000"/>
          <w:sz w:val="24"/>
          <w:szCs w:val="24"/>
        </w:rPr>
        <w:t>PRIMERO</w:t>
      </w:r>
      <w:r w:rsidR="009D3673" w:rsidRPr="008B60BF">
        <w:rPr>
          <w:rFonts w:ascii="Palatino Linotype" w:eastAsia="Palatino Linotype" w:hAnsi="Palatino Linotype" w:cs="Palatino Linotype"/>
          <w:b/>
          <w:color w:val="000000"/>
          <w:sz w:val="24"/>
          <w:szCs w:val="24"/>
        </w:rPr>
        <w:t>. Competencia</w:t>
      </w:r>
    </w:p>
    <w:p w:rsidR="00B84DF1" w:rsidRPr="008B60BF" w:rsidRDefault="0090156E"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8B60BF">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8B60BF">
        <w:rPr>
          <w:rFonts w:ascii="Palatino Linotype" w:eastAsia="Palatino Linotype" w:hAnsi="Palatino Linotype" w:cs="Palatino Linotype"/>
        </w:rPr>
        <w:t>trigésimo</w:t>
      </w:r>
      <w:r w:rsidRPr="008B60BF">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84DF1" w:rsidRPr="008B60BF" w:rsidRDefault="009D3673" w:rsidP="00D13D4B">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8B60BF">
        <w:rPr>
          <w:rFonts w:ascii="Palatino Linotype" w:eastAsia="Palatino Linotype" w:hAnsi="Palatino Linotype" w:cs="Palatino Linotype"/>
          <w:b/>
          <w:color w:val="000000"/>
          <w:sz w:val="24"/>
          <w:szCs w:val="24"/>
        </w:rPr>
        <w:lastRenderedPageBreak/>
        <w:t>SEGUND</w:t>
      </w:r>
      <w:r w:rsidR="003B59FA" w:rsidRPr="008B60BF">
        <w:rPr>
          <w:rFonts w:ascii="Palatino Linotype" w:eastAsia="Palatino Linotype" w:hAnsi="Palatino Linotype" w:cs="Palatino Linotype"/>
          <w:b/>
          <w:color w:val="000000"/>
          <w:sz w:val="24"/>
          <w:szCs w:val="24"/>
        </w:rPr>
        <w:t>O</w:t>
      </w:r>
      <w:r w:rsidRPr="008B60BF">
        <w:rPr>
          <w:rFonts w:ascii="Palatino Linotype" w:eastAsia="Palatino Linotype" w:hAnsi="Palatino Linotype" w:cs="Palatino Linotype"/>
          <w:b/>
          <w:color w:val="000000"/>
          <w:sz w:val="24"/>
          <w:szCs w:val="24"/>
        </w:rPr>
        <w:t>. Procedencia.</w:t>
      </w:r>
    </w:p>
    <w:p w:rsidR="00B84DF1" w:rsidRPr="008B60BF" w:rsidRDefault="009D3673"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 xml:space="preserve">Este Órgano Garante considera que el medio de impugnación reúne los requisitos de </w:t>
      </w:r>
      <w:r w:rsidRPr="008B60BF">
        <w:rPr>
          <w:rFonts w:ascii="Palatino Linotype" w:eastAsia="Palatino Linotype" w:hAnsi="Palatino Linotype" w:cs="Palatino Linotype"/>
          <w:color w:val="000000"/>
        </w:rPr>
        <w:t>procedencia</w:t>
      </w:r>
      <w:r w:rsidRPr="008B60BF">
        <w:rPr>
          <w:rFonts w:ascii="Palatino Linotype" w:eastAsia="Palatino Linotype" w:hAnsi="Palatino Linotype" w:cs="Palatino Linotype"/>
        </w:rPr>
        <w:t xml:space="preserve"> </w:t>
      </w:r>
      <w:r w:rsidRPr="008B60BF">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BC005B" w:rsidRPr="008B60BF" w:rsidRDefault="00BC005B" w:rsidP="00BC005B">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84DF1" w:rsidRPr="008B60BF" w:rsidRDefault="009D3673"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 xml:space="preserve">Finalmente, el escrito contiene las formalidades previstas por el artículo 180 último </w:t>
      </w:r>
      <w:r w:rsidR="00A227E2" w:rsidRPr="008B60BF">
        <w:rPr>
          <w:rFonts w:ascii="Palatino Linotype" w:eastAsia="Palatino Linotype" w:hAnsi="Palatino Linotype" w:cs="Palatino Linotype"/>
        </w:rPr>
        <w:t>párrafo de la citada Ley de la M</w:t>
      </w:r>
      <w:r w:rsidRPr="008B60BF">
        <w:rPr>
          <w:rFonts w:ascii="Palatino Linotype" w:eastAsia="Palatino Linotype" w:hAnsi="Palatino Linotype" w:cs="Palatino Linotype"/>
        </w:rPr>
        <w:t>ateria, por lo que es procedente que este Instituto conozca y resuelva el presente Recurso de Revisión.</w:t>
      </w:r>
    </w:p>
    <w:p w:rsidR="00B84DF1" w:rsidRPr="008B60BF" w:rsidRDefault="00B84DF1" w:rsidP="00D13D4B">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313EA6" w:rsidRPr="008B60BF" w:rsidRDefault="00313EA6" w:rsidP="00D13D4B">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8B60BF">
        <w:rPr>
          <w:rFonts w:ascii="Palatino Linotype" w:hAnsi="Palatino Linotype"/>
          <w:b/>
          <w:bCs/>
          <w:color w:val="000000" w:themeColor="text1"/>
          <w:sz w:val="24"/>
          <w:szCs w:val="24"/>
        </w:rPr>
        <w:t xml:space="preserve">TERCERO. </w:t>
      </w:r>
      <w:bookmarkEnd w:id="6"/>
      <w:bookmarkEnd w:id="7"/>
      <w:r w:rsidRPr="008B60BF">
        <w:rPr>
          <w:rFonts w:ascii="Palatino Linotype" w:hAnsi="Palatino Linotype"/>
          <w:b/>
          <w:bCs/>
          <w:color w:val="000000" w:themeColor="text1"/>
          <w:sz w:val="24"/>
          <w:szCs w:val="24"/>
        </w:rPr>
        <w:t>De</w:t>
      </w:r>
      <w:r w:rsidR="0044042A" w:rsidRPr="008B60BF">
        <w:rPr>
          <w:rFonts w:ascii="Palatino Linotype" w:hAnsi="Palatino Linotype"/>
          <w:b/>
          <w:bCs/>
          <w:color w:val="000000" w:themeColor="text1"/>
          <w:sz w:val="24"/>
          <w:szCs w:val="24"/>
        </w:rPr>
        <w:t xml:space="preserve"> las causales de sobreseimiento.</w:t>
      </w:r>
    </w:p>
    <w:p w:rsidR="00313EA6" w:rsidRPr="008B60BF" w:rsidRDefault="00313EA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 xml:space="preserve">Se solicitó </w:t>
      </w:r>
      <w:r w:rsidRPr="008B60BF">
        <w:rPr>
          <w:rFonts w:ascii="Palatino Linotype" w:eastAsia="Palatino Linotype" w:hAnsi="Palatino Linotype" w:cs="Palatino Linotype"/>
        </w:rPr>
        <w:t>tener</w:t>
      </w:r>
      <w:r w:rsidRPr="008B60BF">
        <w:rPr>
          <w:rFonts w:ascii="Palatino Linotype" w:hAnsi="Palatino Linotype"/>
        </w:rPr>
        <w:t xml:space="preserve"> </w:t>
      </w:r>
      <w:r w:rsidRPr="008B60BF">
        <w:rPr>
          <w:rFonts w:ascii="Palatino Linotype" w:eastAsia="Palatino Linotype" w:hAnsi="Palatino Linotype" w:cs="Palatino Linotype"/>
        </w:rPr>
        <w:t>acceso</w:t>
      </w:r>
      <w:r w:rsidRPr="008B60BF">
        <w:rPr>
          <w:rFonts w:ascii="Palatino Linotype" w:hAnsi="Palatino Linotype"/>
        </w:rPr>
        <w:t>, a la información que a continuación se simplifica:</w:t>
      </w:r>
    </w:p>
    <w:p w:rsidR="009D0F55" w:rsidRPr="008B60BF" w:rsidRDefault="00BC005B" w:rsidP="00BC005B">
      <w:pPr>
        <w:pStyle w:val="Prrafodelista"/>
        <w:numPr>
          <w:ilvl w:val="0"/>
          <w:numId w:val="35"/>
        </w:numPr>
        <w:pBdr>
          <w:top w:val="nil"/>
          <w:left w:val="nil"/>
          <w:bottom w:val="nil"/>
          <w:right w:val="nil"/>
          <w:between w:val="nil"/>
        </w:pBdr>
        <w:spacing w:line="360" w:lineRule="auto"/>
        <w:ind w:right="567"/>
        <w:contextualSpacing w:val="0"/>
        <w:jc w:val="both"/>
        <w:rPr>
          <w:rFonts w:ascii="Palatino Linotype" w:eastAsia="Calibri" w:hAnsi="Palatino Linotype" w:cs="Arial"/>
          <w:b/>
          <w:lang w:val="es-AR"/>
        </w:rPr>
      </w:pPr>
      <w:r w:rsidRPr="008B60BF">
        <w:rPr>
          <w:rFonts w:ascii="Palatino Linotype" w:eastAsia="Palatino Linotype" w:hAnsi="Palatino Linotype" w:cs="Palatino Linotype"/>
          <w:b/>
        </w:rPr>
        <w:t>El marco normativo vigente que determine, regule o delimite la competencia, atribuciones y funciones de la Coordinación de Predial y Catastro del Ayuntamiento de Ayapango, así como lo relativo a la atención de solicitudes de carácter informativo realizadas por particulares.</w:t>
      </w:r>
    </w:p>
    <w:p w:rsidR="005B7E55" w:rsidRPr="008B60BF" w:rsidRDefault="005B7E55" w:rsidP="005B7E55">
      <w:pPr>
        <w:pStyle w:val="Prrafodelista"/>
        <w:pBdr>
          <w:top w:val="nil"/>
          <w:left w:val="nil"/>
          <w:bottom w:val="nil"/>
          <w:right w:val="nil"/>
          <w:between w:val="nil"/>
        </w:pBdr>
        <w:spacing w:line="360" w:lineRule="auto"/>
        <w:ind w:left="1080" w:right="567"/>
        <w:contextualSpacing w:val="0"/>
        <w:jc w:val="both"/>
        <w:rPr>
          <w:rFonts w:ascii="Palatino Linotype" w:eastAsia="Calibri" w:hAnsi="Palatino Linotype" w:cs="Arial"/>
          <w:b/>
          <w:lang w:val="es-AR"/>
        </w:rPr>
      </w:pPr>
    </w:p>
    <w:p w:rsidR="00313EA6" w:rsidRDefault="00313EA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 xml:space="preserve">Inconforme con la respuesta, el solicitante interpuso recurso de revisión </w:t>
      </w:r>
      <w:r w:rsidR="00945C3B" w:rsidRPr="008B60BF">
        <w:rPr>
          <w:rFonts w:ascii="Palatino Linotype" w:hAnsi="Palatino Linotype"/>
        </w:rPr>
        <w:t xml:space="preserve">de manera general </w:t>
      </w:r>
      <w:r w:rsidR="00F11260" w:rsidRPr="008B60BF">
        <w:rPr>
          <w:rFonts w:ascii="Palatino Linotype" w:hAnsi="Palatino Linotype"/>
        </w:rPr>
        <w:t>en contra de</w:t>
      </w:r>
      <w:r w:rsidR="00945C3B" w:rsidRPr="008B60BF">
        <w:rPr>
          <w:rFonts w:ascii="Palatino Linotype" w:hAnsi="Palatino Linotype"/>
        </w:rPr>
        <w:t xml:space="preserve"> </w:t>
      </w:r>
      <w:r w:rsidR="00763456" w:rsidRPr="008B60BF">
        <w:rPr>
          <w:rFonts w:ascii="Palatino Linotype" w:hAnsi="Palatino Linotype"/>
        </w:rPr>
        <w:t>la entrega de información incompleta</w:t>
      </w:r>
      <w:r w:rsidRPr="008B60BF">
        <w:rPr>
          <w:rFonts w:ascii="Palatino Linotype" w:eastAsia="Palatino Linotype" w:hAnsi="Palatino Linotype" w:cs="Palatino Linotype"/>
          <w:color w:val="000000"/>
        </w:rPr>
        <w:t xml:space="preserve">. </w:t>
      </w:r>
      <w:r w:rsidRPr="008B60BF">
        <w:rPr>
          <w:rFonts w:ascii="Palatino Linotype" w:hAnsi="Palatino Linotype"/>
        </w:rPr>
        <w:t>En dichas condiciones, la controversia a resolver en el presente proveído, corresponde a determinar si se actualiza la causal de procedencia previst</w:t>
      </w:r>
      <w:r w:rsidR="007147C0" w:rsidRPr="008B60BF">
        <w:rPr>
          <w:rFonts w:ascii="Palatino Linotype" w:hAnsi="Palatino Linotype"/>
        </w:rPr>
        <w:t xml:space="preserve">a en el artículo 179, fracción </w:t>
      </w:r>
      <w:r w:rsidR="00763456" w:rsidRPr="008B60BF">
        <w:rPr>
          <w:rFonts w:ascii="Palatino Linotype" w:hAnsi="Palatino Linotype"/>
        </w:rPr>
        <w:t>V</w:t>
      </w:r>
      <w:r w:rsidRPr="008B60BF">
        <w:rPr>
          <w:rFonts w:ascii="Palatino Linotype" w:hAnsi="Palatino Linotype"/>
        </w:rPr>
        <w:t xml:space="preserve">, de la Ley de Transparencia y Acceso a la Información Pública del Estado de México y Municipios; fracción que determina la hipótesis relativa a la </w:t>
      </w:r>
      <w:r w:rsidR="00763456" w:rsidRPr="008B60BF">
        <w:rPr>
          <w:rFonts w:ascii="Palatino Linotype" w:hAnsi="Palatino Linotype"/>
        </w:rPr>
        <w:t>entrega de información incompleta</w:t>
      </w:r>
      <w:r w:rsidR="00F11260" w:rsidRPr="008B60BF">
        <w:rPr>
          <w:rFonts w:ascii="Palatino Linotype" w:hAnsi="Palatino Linotype"/>
        </w:rPr>
        <w:t>;</w:t>
      </w:r>
      <w:r w:rsidRPr="008B60BF">
        <w:rPr>
          <w:rFonts w:ascii="Palatino Linotype" w:hAnsi="Palatino Linotype"/>
        </w:rPr>
        <w:t xml:space="preserve"> contexto del cual se dolió el </w:t>
      </w:r>
      <w:r w:rsidRPr="008B60BF">
        <w:rPr>
          <w:rFonts w:ascii="Palatino Linotype" w:hAnsi="Palatino Linotype"/>
        </w:rPr>
        <w:lastRenderedPageBreak/>
        <w:t xml:space="preserve">Recurrente al momento de interponer su inconformidad. De modo tal que el presente recurso de revisión se abocará en determinar si el Sujeto Obligado con su respuesta ciertamente actualiza la causal de procedencia señalada. </w:t>
      </w:r>
    </w:p>
    <w:p w:rsidR="008B60BF" w:rsidRPr="008B60BF" w:rsidRDefault="008B60BF" w:rsidP="008B60BF">
      <w:pPr>
        <w:pBdr>
          <w:top w:val="nil"/>
          <w:left w:val="nil"/>
          <w:bottom w:val="nil"/>
          <w:right w:val="nil"/>
          <w:between w:val="nil"/>
        </w:pBdr>
        <w:spacing w:line="360" w:lineRule="auto"/>
        <w:ind w:right="49"/>
        <w:jc w:val="both"/>
        <w:rPr>
          <w:rFonts w:ascii="Palatino Linotype" w:hAnsi="Palatino Linotype"/>
        </w:rPr>
      </w:pPr>
    </w:p>
    <w:p w:rsidR="00313EA6" w:rsidRPr="008B60BF" w:rsidRDefault="0021671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Luego entonces,</w:t>
      </w:r>
      <w:r w:rsidR="00313EA6" w:rsidRPr="008B60BF">
        <w:rPr>
          <w:rFonts w:ascii="Palatino Linotype" w:hAnsi="Palatino Linotype"/>
        </w:rPr>
        <w:t xml:space="preserve">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313EA6" w:rsidRPr="008B60BF" w:rsidRDefault="00313EA6" w:rsidP="00D13D4B">
      <w:pPr>
        <w:pStyle w:val="Prrafodelista"/>
        <w:spacing w:line="360" w:lineRule="auto"/>
        <w:ind w:left="0"/>
        <w:jc w:val="both"/>
        <w:rPr>
          <w:rFonts w:ascii="Palatino Linotype" w:hAnsi="Palatino Linotype"/>
        </w:rPr>
      </w:pPr>
    </w:p>
    <w:p w:rsidR="00313EA6" w:rsidRPr="008B60BF" w:rsidRDefault="00313EA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13EA6" w:rsidRPr="008B60BF" w:rsidRDefault="00313EA6" w:rsidP="00D13D4B">
      <w:pPr>
        <w:pStyle w:val="Prrafodelista"/>
        <w:spacing w:line="360" w:lineRule="auto"/>
        <w:rPr>
          <w:rFonts w:ascii="Palatino Linotype" w:hAnsi="Palatino Linotype"/>
        </w:rPr>
      </w:pPr>
    </w:p>
    <w:p w:rsidR="00313EA6" w:rsidRPr="008B60BF" w:rsidRDefault="00313EA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w:t>
      </w:r>
      <w:r w:rsidRPr="008B60BF">
        <w:rPr>
          <w:rFonts w:ascii="Palatino Linotype" w:hAnsi="Palatino Linotype"/>
        </w:rPr>
        <w:lastRenderedPageBreak/>
        <w:t>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867E2" w:rsidRPr="008B60BF" w:rsidRDefault="00F867E2" w:rsidP="00D13D4B">
      <w:pPr>
        <w:pStyle w:val="Prrafodelista"/>
        <w:spacing w:line="360" w:lineRule="auto"/>
        <w:rPr>
          <w:rFonts w:ascii="Palatino Linotype" w:hAnsi="Palatino Linotype"/>
        </w:rPr>
      </w:pPr>
    </w:p>
    <w:p w:rsidR="005B7E55" w:rsidRPr="008B60BF" w:rsidRDefault="00313EA6" w:rsidP="00073C90">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8B60BF">
        <w:rPr>
          <w:rFonts w:ascii="Palatino Linotype" w:eastAsia="Palatino Linotype" w:hAnsi="Palatino Linotype" w:cs="Palatino Linotype"/>
        </w:rPr>
        <w:t xml:space="preserve">Dicho lo anterior es necesario </w:t>
      </w:r>
      <w:r w:rsidR="008D2D54" w:rsidRPr="008B60BF">
        <w:rPr>
          <w:rFonts w:ascii="Palatino Linotype" w:eastAsia="Palatino Linotype" w:hAnsi="Palatino Linotype" w:cs="Palatino Linotype"/>
        </w:rPr>
        <w:t xml:space="preserve">traer a contexto los motivos de inconformidad; toda vez que </w:t>
      </w:r>
      <w:r w:rsidR="008D2D54" w:rsidRPr="008B60BF">
        <w:rPr>
          <w:rFonts w:ascii="Palatino Linotype" w:hAnsi="Palatino Linotype"/>
        </w:rPr>
        <w:t>estos</w:t>
      </w:r>
      <w:r w:rsidR="008D2D54" w:rsidRPr="008B60BF">
        <w:rPr>
          <w:rFonts w:ascii="Palatino Linotype" w:eastAsia="Palatino Linotype" w:hAnsi="Palatino Linotype" w:cs="Palatino Linotype"/>
        </w:rPr>
        <w:t xml:space="preserve"> </w:t>
      </w:r>
      <w:r w:rsidR="008D2D54" w:rsidRPr="008B60BF">
        <w:rPr>
          <w:rFonts w:ascii="Palatino Linotype" w:hAnsi="Palatino Linotype"/>
        </w:rPr>
        <w:t>son</w:t>
      </w:r>
      <w:r w:rsidR="008D2D54" w:rsidRPr="008B60BF">
        <w:rPr>
          <w:rFonts w:ascii="Palatino Linotype" w:eastAsia="Palatino Linotype" w:hAnsi="Palatino Linotype" w:cs="Palatino Linotype"/>
        </w:rPr>
        <w:t xml:space="preserve"> </w:t>
      </w:r>
      <w:r w:rsidR="008D2D54" w:rsidRPr="008B60BF">
        <w:rPr>
          <w:rFonts w:ascii="Palatino Linotype" w:hAnsi="Palatino Linotype"/>
        </w:rPr>
        <w:t>tendentes</w:t>
      </w:r>
      <w:r w:rsidR="008D2D54" w:rsidRPr="008B60BF">
        <w:rPr>
          <w:rFonts w:ascii="Palatino Linotype" w:eastAsia="Palatino Linotype" w:hAnsi="Palatino Linotype" w:cs="Palatino Linotype"/>
        </w:rPr>
        <w:t xml:space="preserve"> a impugnar </w:t>
      </w:r>
      <w:r w:rsidR="00763456" w:rsidRPr="008B60BF">
        <w:rPr>
          <w:rFonts w:ascii="Palatino Linotype" w:eastAsia="Palatino Linotype" w:hAnsi="Palatino Linotype" w:cs="Palatino Linotype"/>
        </w:rPr>
        <w:t xml:space="preserve">la entrega de información incompleta, </w:t>
      </w:r>
      <w:r w:rsidR="005B7E55" w:rsidRPr="008B60BF">
        <w:rPr>
          <w:rFonts w:ascii="Palatino Linotype" w:eastAsia="Palatino Linotype" w:hAnsi="Palatino Linotype" w:cs="Palatino Linotype"/>
        </w:rPr>
        <w:t xml:space="preserve">únicamente respecto de </w:t>
      </w:r>
      <w:r w:rsidR="00073C90" w:rsidRPr="008B60BF">
        <w:rPr>
          <w:rFonts w:ascii="Palatino Linotype" w:eastAsia="Palatino Linotype" w:hAnsi="Palatino Linotype" w:cs="Palatino Linotype"/>
        </w:rPr>
        <w:t>la precisión o identificación del apartado específico que regule la atención de solicitudes informativas realizadas por particulares</w:t>
      </w:r>
      <w:r w:rsidR="00763456" w:rsidRPr="008B60BF">
        <w:rPr>
          <w:rFonts w:ascii="Palatino Linotype" w:eastAsia="Palatino Linotype" w:hAnsi="Palatino Linotype" w:cs="Palatino Linotype"/>
        </w:rPr>
        <w:t>.</w:t>
      </w:r>
    </w:p>
    <w:p w:rsidR="005B7E55" w:rsidRPr="008B60BF" w:rsidRDefault="005B7E55" w:rsidP="005B7E55">
      <w:pPr>
        <w:pStyle w:val="Prrafodelista"/>
        <w:rPr>
          <w:rFonts w:ascii="Palatino Linotype" w:eastAsia="Palatino Linotype" w:hAnsi="Palatino Linotype" w:cs="Palatino Linotype"/>
        </w:rPr>
      </w:pPr>
    </w:p>
    <w:p w:rsidR="00A07391" w:rsidRPr="008B60BF"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 xml:space="preserve">De tal forma que, la parte de la solicitud que no fue impugnada así como de lo ya entregado en calidad de respuesta, debe declararse consentida, toda vez que al no realizar manifestaciones de inconformidad; no pueden producirse efectos jurídicos tendentes a revocar, confirmar o modificar el acto reclamado, ya que no realizó manifestación alguna al respecto. </w:t>
      </w:r>
    </w:p>
    <w:p w:rsidR="00A07391" w:rsidRPr="008B60BF" w:rsidRDefault="00A07391" w:rsidP="00A0739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A07391" w:rsidRPr="008B60BF"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A07391" w:rsidRPr="008B60BF" w:rsidRDefault="00A07391" w:rsidP="00A07391">
      <w:pPr>
        <w:tabs>
          <w:tab w:val="left" w:pos="851"/>
        </w:tabs>
        <w:spacing w:line="360" w:lineRule="auto"/>
        <w:ind w:left="851" w:right="616"/>
        <w:jc w:val="both"/>
        <w:rPr>
          <w:rFonts w:ascii="Palatino Linotype" w:eastAsia="Palatino Linotype" w:hAnsi="Palatino Linotype" w:cs="Palatino Linotype"/>
          <w:i/>
          <w:iCs/>
        </w:rPr>
      </w:pPr>
      <w:r w:rsidRPr="008B60BF">
        <w:rPr>
          <w:rFonts w:ascii="Palatino Linotype" w:eastAsia="Palatino Linotype" w:hAnsi="Palatino Linotype" w:cs="Palatino Linotype"/>
          <w:b/>
          <w:bCs/>
          <w:i/>
          <w:iCs/>
        </w:rPr>
        <w:t xml:space="preserve">“ACTOS CONSENTIDOS. SON LOS QUE NO SE IMPUGNAN MEDIANTE EL RECURSO IDÓNEO. </w:t>
      </w:r>
      <w:r w:rsidRPr="008B60BF">
        <w:rPr>
          <w:rFonts w:ascii="Palatino Linotype" w:eastAsia="Palatino Linotype" w:hAnsi="Palatino Linotype" w:cs="Palatino Linotype"/>
          <w:i/>
          <w:iCs/>
        </w:rPr>
        <w:t xml:space="preserve">Debe reputarse como consentido el acto que no se impugnó por el medio establecido por la ley, ya que si se hizo uso de otro no previsto por ella o si </w:t>
      </w:r>
      <w:r w:rsidRPr="008B60BF">
        <w:rPr>
          <w:rFonts w:ascii="Palatino Linotype" w:eastAsia="Palatino Linotype" w:hAnsi="Palatino Linotype" w:cs="Palatino Linotype"/>
          <w:i/>
          <w:iCs/>
        </w:rPr>
        <w:lastRenderedPageBreak/>
        <w:t>se hace una simple manifestación de inconformidad, tales actuaciones no producen efectos jurídicos tendientes a revocar, confirmar o modificar el acto reclamado en amparo, lo que significa consentimiento del mismo por falta de impugnación eficaz.”</w:t>
      </w:r>
    </w:p>
    <w:p w:rsidR="00A07391" w:rsidRPr="008B60BF" w:rsidRDefault="00A07391" w:rsidP="00A07391">
      <w:pPr>
        <w:tabs>
          <w:tab w:val="left" w:pos="851"/>
        </w:tabs>
        <w:spacing w:line="360" w:lineRule="auto"/>
        <w:ind w:left="851" w:right="616"/>
        <w:jc w:val="both"/>
        <w:rPr>
          <w:rFonts w:ascii="Palatino Linotype" w:eastAsia="Palatino Linotype" w:hAnsi="Palatino Linotype" w:cs="Palatino Linotype"/>
          <w:i/>
          <w:iCs/>
        </w:rPr>
      </w:pPr>
    </w:p>
    <w:p w:rsidR="00A07391" w:rsidRPr="008B60BF"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 xml:space="preserve">De la interpretación del Criterio antes citado, se advierte que cuando el particular impugnó la respuesta del </w:t>
      </w:r>
      <w:r w:rsidRPr="008B60BF">
        <w:rPr>
          <w:rFonts w:ascii="Palatino Linotype" w:eastAsia="Palatino Linotype" w:hAnsi="Palatino Linotype" w:cs="Palatino Linotype"/>
          <w:b/>
          <w:bCs/>
        </w:rPr>
        <w:t>SUJETO OBLIGADO</w:t>
      </w:r>
      <w:r w:rsidRPr="008B60BF">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sidR="008811C5" w:rsidRPr="008B60BF">
        <w:rPr>
          <w:rFonts w:ascii="Palatino Linotype" w:eastAsia="Palatino Linotype" w:hAnsi="Palatino Linotype" w:cs="Palatino Linotype"/>
          <w:b/>
          <w:bCs/>
        </w:rPr>
        <w:t>LA RECURRENTE</w:t>
      </w:r>
      <w:r w:rsidRPr="008B60BF">
        <w:rPr>
          <w:rFonts w:ascii="Palatino Linotype" w:eastAsia="Palatino Linotype" w:hAnsi="Palatino Linotype" w:cs="Palatino Linotype"/>
        </w:rPr>
        <w:t xml:space="preserve"> está conforme con la respuesta proporcionada por </w:t>
      </w:r>
      <w:r w:rsidRPr="008B60BF">
        <w:rPr>
          <w:rFonts w:ascii="Palatino Linotype" w:eastAsia="Palatino Linotype" w:hAnsi="Palatino Linotype" w:cs="Palatino Linotype"/>
          <w:b/>
          <w:bCs/>
        </w:rPr>
        <w:t>EL SUJETO OBLIGADO,</w:t>
      </w:r>
      <w:r w:rsidRPr="008B60BF">
        <w:rPr>
          <w:rFonts w:ascii="Palatino Linotype" w:eastAsia="Palatino Linotype" w:hAnsi="Palatino Linotype" w:cs="Palatino Linotype"/>
        </w:rPr>
        <w:t xml:space="preserve"> al no contravenir la misma. </w:t>
      </w:r>
    </w:p>
    <w:p w:rsidR="00A07391" w:rsidRPr="008B60BF" w:rsidRDefault="00A07391" w:rsidP="00A07391">
      <w:pPr>
        <w:spacing w:line="360" w:lineRule="auto"/>
        <w:jc w:val="both"/>
        <w:rPr>
          <w:rFonts w:ascii="Palatino Linotype" w:eastAsia="Palatino Linotype" w:hAnsi="Palatino Linotype" w:cs="Palatino Linotype"/>
        </w:rPr>
      </w:pPr>
    </w:p>
    <w:p w:rsidR="00A07391" w:rsidRPr="008B60BF"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A07391" w:rsidRPr="008B60BF" w:rsidRDefault="00A07391" w:rsidP="00A07391">
      <w:pPr>
        <w:tabs>
          <w:tab w:val="left" w:pos="7937"/>
          <w:tab w:val="left" w:pos="8222"/>
        </w:tabs>
        <w:spacing w:line="360" w:lineRule="auto"/>
        <w:ind w:left="851" w:right="901"/>
        <w:jc w:val="both"/>
        <w:rPr>
          <w:rFonts w:ascii="Palatino Linotype" w:eastAsia="Palatino Linotype" w:hAnsi="Palatino Linotype" w:cs="Palatino Linotype"/>
          <w:i/>
          <w:iCs/>
        </w:rPr>
      </w:pPr>
      <w:r w:rsidRPr="008B60BF">
        <w:rPr>
          <w:rFonts w:ascii="Palatino Linotype" w:eastAsia="Palatino Linotype" w:hAnsi="Palatino Linotype" w:cs="Palatino Linotype"/>
          <w:b/>
          <w:bCs/>
          <w:i/>
          <w:iCs/>
        </w:rPr>
        <w:t xml:space="preserve">“REVISIÓN EN AMPARO. LOS RESOLUTIVOS NO COMBATIDOS DEBEN DECLARARSE FIRMES. </w:t>
      </w:r>
      <w:r w:rsidRPr="008B60BF">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5B7E55" w:rsidRPr="008B60BF"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r w:rsidRPr="008B60BF">
        <w:rPr>
          <w:rFonts w:ascii="Palatino Linotype" w:eastAsia="Palatino Linotype" w:hAnsi="Palatino Linotype" w:cs="Palatino Linotype"/>
        </w:rPr>
        <w:lastRenderedPageBreak/>
        <w:t>En consecuencia, que los demás fundamentos remitidos en respuesta. Se consideran un acto consentido y, en consecuencia, este Órgano Resolutor no entrará al estudio de los rubros no impugnados por las razones hasta aquí expuestas.</w:t>
      </w:r>
    </w:p>
    <w:p w:rsidR="005B7E55" w:rsidRPr="008B60BF" w:rsidRDefault="005B7E55" w:rsidP="005B7E55">
      <w:pPr>
        <w:pStyle w:val="Prrafodelista"/>
        <w:rPr>
          <w:rFonts w:ascii="Palatino Linotype" w:eastAsia="Palatino Linotype" w:hAnsi="Palatino Linotype" w:cs="Palatino Linotype"/>
        </w:rPr>
      </w:pPr>
    </w:p>
    <w:p w:rsidR="0050215C" w:rsidRPr="008B60BF" w:rsidRDefault="00A07391" w:rsidP="00A873F9">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r w:rsidRPr="008B60BF">
        <w:rPr>
          <w:rFonts w:ascii="Palatino Linotype" w:hAnsi="Palatino Linotype" w:cs="Arial"/>
        </w:rPr>
        <w:t>Respecto de</w:t>
      </w:r>
      <w:r w:rsidR="00A873F9" w:rsidRPr="008B60BF">
        <w:rPr>
          <w:rFonts w:ascii="Palatino Linotype" w:hAnsi="Palatino Linotype" w:cs="Arial"/>
        </w:rPr>
        <w:t xml:space="preserve"> </w:t>
      </w:r>
      <w:r w:rsidRPr="008B60BF">
        <w:rPr>
          <w:rFonts w:ascii="Palatino Linotype" w:hAnsi="Palatino Linotype" w:cs="Arial"/>
        </w:rPr>
        <w:t>l</w:t>
      </w:r>
      <w:r w:rsidR="00A873F9" w:rsidRPr="008B60BF">
        <w:rPr>
          <w:rFonts w:ascii="Palatino Linotype" w:hAnsi="Palatino Linotype" w:cs="Arial"/>
        </w:rPr>
        <w:t>os</w:t>
      </w:r>
      <w:r w:rsidRPr="008B60BF">
        <w:rPr>
          <w:rFonts w:ascii="Palatino Linotype" w:hAnsi="Palatino Linotype" w:cs="Arial"/>
        </w:rPr>
        <w:t xml:space="preserve"> motivo</w:t>
      </w:r>
      <w:r w:rsidR="00A873F9" w:rsidRPr="008B60BF">
        <w:rPr>
          <w:rFonts w:ascii="Palatino Linotype" w:hAnsi="Palatino Linotype" w:cs="Arial"/>
        </w:rPr>
        <w:t>s</w:t>
      </w:r>
      <w:r w:rsidRPr="008B60BF">
        <w:rPr>
          <w:rFonts w:ascii="Palatino Linotype" w:hAnsi="Palatino Linotype" w:cs="Arial"/>
        </w:rPr>
        <w:t xml:space="preserve"> de </w:t>
      </w:r>
      <w:r w:rsidRPr="008B60BF">
        <w:rPr>
          <w:rFonts w:ascii="Palatino Linotype" w:eastAsia="Palatino Linotype" w:hAnsi="Palatino Linotype" w:cs="Palatino Linotype"/>
        </w:rPr>
        <w:t>inconformidad</w:t>
      </w:r>
      <w:r w:rsidRPr="008B60BF">
        <w:rPr>
          <w:rFonts w:ascii="Palatino Linotype" w:hAnsi="Palatino Linotype" w:cs="Arial"/>
        </w:rPr>
        <w:t>, relativo</w:t>
      </w:r>
      <w:r w:rsidR="00A873F9" w:rsidRPr="008B60BF">
        <w:rPr>
          <w:rFonts w:ascii="Palatino Linotype" w:hAnsi="Palatino Linotype" w:cs="Arial"/>
        </w:rPr>
        <w:t>s</w:t>
      </w:r>
      <w:r w:rsidRPr="008B60BF">
        <w:rPr>
          <w:rFonts w:ascii="Palatino Linotype" w:hAnsi="Palatino Linotype" w:cs="Arial"/>
        </w:rPr>
        <w:t xml:space="preserve"> a </w:t>
      </w:r>
      <w:r w:rsidR="00A873F9" w:rsidRPr="008B60BF">
        <w:rPr>
          <w:rFonts w:ascii="Palatino Linotype" w:hAnsi="Palatino Linotype" w:cs="Arial"/>
          <w:i/>
        </w:rPr>
        <w:t>"...ni se pronunció expresamente sobre la existencia o inexistencia de un procedimiento interno distinto al relativo a la prestación de servicios catastrales...</w:t>
      </w:r>
      <w:r w:rsidR="00A873F9" w:rsidRPr="008B60BF">
        <w:rPr>
          <w:rFonts w:ascii="Palatino Linotype" w:hAnsi="Palatino Linotype" w:cs="Arial"/>
        </w:rPr>
        <w:t>" y "</w:t>
      </w:r>
      <w:r w:rsidR="00A873F9" w:rsidRPr="008B60BF">
        <w:rPr>
          <w:rFonts w:ascii="Palatino Linotype" w:hAnsi="Palatino Linotype" w:cs="Arial"/>
          <w:i/>
        </w:rPr>
        <w:t>...Declare expresamente la inexistencia de un procedimiento interno específico en dicha materia...</w:t>
      </w:r>
      <w:r w:rsidR="00A873F9" w:rsidRPr="008B60BF">
        <w:rPr>
          <w:rFonts w:ascii="Palatino Linotype" w:hAnsi="Palatino Linotype" w:cs="Arial"/>
        </w:rPr>
        <w:t>" son inatendibles; en virtud que corresponde</w:t>
      </w:r>
      <w:r w:rsidR="005747A2" w:rsidRPr="008B60BF">
        <w:rPr>
          <w:rFonts w:ascii="Palatino Linotype" w:hAnsi="Palatino Linotype" w:cs="Arial"/>
        </w:rPr>
        <w:t>n</w:t>
      </w:r>
      <w:r w:rsidR="00A873F9" w:rsidRPr="008B60BF">
        <w:rPr>
          <w:rFonts w:ascii="Palatino Linotype" w:hAnsi="Palatino Linotype" w:cs="Arial"/>
        </w:rPr>
        <w:t xml:space="preserve"> a </w:t>
      </w:r>
      <w:r w:rsidR="005747A2" w:rsidRPr="008B60BF">
        <w:rPr>
          <w:rFonts w:ascii="Palatino Linotype" w:hAnsi="Palatino Linotype" w:cs="Arial"/>
        </w:rPr>
        <w:t>requerimientos</w:t>
      </w:r>
      <w:r w:rsidR="00A873F9" w:rsidRPr="008B60BF">
        <w:rPr>
          <w:rFonts w:ascii="Palatino Linotype" w:hAnsi="Palatino Linotype" w:cs="Arial"/>
        </w:rPr>
        <w:t xml:space="preserve"> que no </w:t>
      </w:r>
      <w:r w:rsidR="005747A2" w:rsidRPr="008B60BF">
        <w:rPr>
          <w:rFonts w:ascii="Palatino Linotype" w:hAnsi="Palatino Linotype" w:cs="Arial"/>
        </w:rPr>
        <w:t>fueron</w:t>
      </w:r>
      <w:r w:rsidR="00A873F9" w:rsidRPr="008B60BF">
        <w:rPr>
          <w:rFonts w:ascii="Palatino Linotype" w:hAnsi="Palatino Linotype" w:cs="Arial"/>
        </w:rPr>
        <w:t xml:space="preserve"> solicitado</w:t>
      </w:r>
      <w:r w:rsidR="005747A2" w:rsidRPr="008B60BF">
        <w:rPr>
          <w:rFonts w:ascii="Palatino Linotype" w:hAnsi="Palatino Linotype" w:cs="Arial"/>
        </w:rPr>
        <w:t>s</w:t>
      </w:r>
      <w:r w:rsidR="00A873F9" w:rsidRPr="008B60BF">
        <w:rPr>
          <w:rFonts w:ascii="Palatino Linotype" w:hAnsi="Palatino Linotype" w:cs="Arial"/>
        </w:rPr>
        <w:t xml:space="preserve"> en un inicio.</w:t>
      </w:r>
    </w:p>
    <w:p w:rsidR="0050215C" w:rsidRPr="008B60BF" w:rsidRDefault="0050215C" w:rsidP="00D13D4B">
      <w:pPr>
        <w:pStyle w:val="Prrafodelista"/>
        <w:spacing w:line="360" w:lineRule="auto"/>
        <w:rPr>
          <w:rFonts w:ascii="Palatino Linotype" w:hAnsi="Palatino Linotype" w:cs="Arial"/>
        </w:rPr>
      </w:pPr>
    </w:p>
    <w:p w:rsidR="009346BB" w:rsidRPr="008B60BF" w:rsidRDefault="009346BB" w:rsidP="009346B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themeColor="text1"/>
        </w:rPr>
      </w:pPr>
      <w:r w:rsidRPr="008B60BF">
        <w:rPr>
          <w:rFonts w:ascii="Palatino Linotype" w:eastAsia="Palatino Linotype" w:hAnsi="Palatino Linotype" w:cs="Palatino Linotype"/>
          <w:color w:val="000000" w:themeColor="text1"/>
        </w:rPr>
        <w:t xml:space="preserve">Por tanto, </w:t>
      </w:r>
      <w:r w:rsidRPr="008B60BF">
        <w:rPr>
          <w:rFonts w:ascii="Palatino Linotype" w:eastAsia="Calibri" w:hAnsi="Palatino Linotype" w:cs="Consolas"/>
          <w:color w:val="000000" w:themeColor="text1"/>
          <w:lang w:val="es-MX" w:eastAsia="es-MX"/>
        </w:rPr>
        <w:t xml:space="preserve">al pretender </w:t>
      </w:r>
      <w:r w:rsidRPr="008B60BF">
        <w:rPr>
          <w:rFonts w:ascii="Palatino Linotype" w:eastAsia="Palatino Linotype" w:hAnsi="Palatino Linotype" w:cs="Palatino Linotype"/>
          <w:color w:val="000000" w:themeColor="text1"/>
        </w:rPr>
        <w:t xml:space="preserve">nuevos requerimientos de información, se configura lo que se conoce como </w:t>
      </w:r>
      <w:r w:rsidRPr="008B60BF">
        <w:rPr>
          <w:rFonts w:ascii="Palatino Linotype" w:eastAsia="Palatino Linotype" w:hAnsi="Palatino Linotype" w:cs="Palatino Linotype"/>
          <w:i/>
          <w:color w:val="000000" w:themeColor="text1"/>
        </w:rPr>
        <w:t>plus petitio</w:t>
      </w:r>
      <w:r w:rsidRPr="008B60BF">
        <w:rPr>
          <w:rFonts w:ascii="Palatino Linotype" w:eastAsia="Palatino Linotype" w:hAnsi="Palatino Linotype" w:cs="Palatino Linotype"/>
          <w:b/>
          <w:i/>
          <w:color w:val="000000" w:themeColor="text1"/>
        </w:rPr>
        <w:t xml:space="preserve">, </w:t>
      </w:r>
      <w:r w:rsidRPr="008B60BF">
        <w:rPr>
          <w:rFonts w:ascii="Palatino Linotype" w:eastAsia="Palatino Linotype" w:hAnsi="Palatino Linotype" w:cs="Palatino Linotype"/>
          <w:color w:val="000000" w:themeColor="text1"/>
        </w:rPr>
        <w:t xml:space="preserve">que consiste en una ampliación a su requerimiento informativo, argumentos que no son susceptibles de ser valorados en términos de la fracción VII del Artículo 191 de la Ley de Transparencia y Acceso a la Información Pública del Estado de México y Municipios, el cual señala la improcedencia cuando </w:t>
      </w:r>
      <w:r w:rsidRPr="008B60BF">
        <w:rPr>
          <w:rFonts w:ascii="Palatino Linotype" w:eastAsia="Palatino Linotype" w:hAnsi="Palatino Linotype" w:cs="Palatino Linotype"/>
          <w:b/>
          <w:color w:val="000000" w:themeColor="text1"/>
        </w:rPr>
        <w:t>la parte</w:t>
      </w:r>
      <w:r w:rsidRPr="008B60BF">
        <w:rPr>
          <w:rFonts w:ascii="Palatino Linotype" w:eastAsia="Palatino Linotype" w:hAnsi="Palatino Linotype" w:cs="Palatino Linotype"/>
          <w:color w:val="000000" w:themeColor="text1"/>
        </w:rPr>
        <w:t xml:space="preserve"> </w:t>
      </w:r>
      <w:r w:rsidRPr="008B60BF">
        <w:rPr>
          <w:rFonts w:ascii="Palatino Linotype" w:eastAsia="Palatino Linotype" w:hAnsi="Palatino Linotype" w:cs="Palatino Linotype"/>
          <w:b/>
          <w:color w:val="000000" w:themeColor="text1"/>
        </w:rPr>
        <w:t>Recurrente</w:t>
      </w:r>
      <w:r w:rsidRPr="008B60BF">
        <w:rPr>
          <w:rFonts w:ascii="Palatino Linotype" w:eastAsia="Palatino Linotype" w:hAnsi="Palatino Linotype" w:cs="Palatino Linotype"/>
          <w:color w:val="000000" w:themeColor="text1"/>
        </w:rPr>
        <w:t xml:space="preserve"> amplíe su solicitud en el Recurso de Revisión, cuestión que tuvo lugar en el presente caso, pues </w:t>
      </w:r>
      <w:r w:rsidRPr="008B60BF">
        <w:rPr>
          <w:rFonts w:ascii="Palatino Linotype" w:eastAsia="Palatino Linotype" w:hAnsi="Palatino Linotype" w:cs="Palatino Linotype"/>
          <w:b/>
          <w:color w:val="000000" w:themeColor="text1"/>
        </w:rPr>
        <w:t>la parte</w:t>
      </w:r>
      <w:r w:rsidRPr="008B60BF">
        <w:rPr>
          <w:rFonts w:ascii="Palatino Linotype" w:eastAsia="Palatino Linotype" w:hAnsi="Palatino Linotype" w:cs="Palatino Linotype"/>
          <w:color w:val="000000" w:themeColor="text1"/>
        </w:rPr>
        <w:t xml:space="preserve"> </w:t>
      </w:r>
      <w:r w:rsidRPr="008B60BF">
        <w:rPr>
          <w:rFonts w:ascii="Palatino Linotype" w:eastAsia="Palatino Linotype" w:hAnsi="Palatino Linotype" w:cs="Palatino Linotype"/>
          <w:b/>
          <w:color w:val="000000" w:themeColor="text1"/>
        </w:rPr>
        <w:t>Recurrente</w:t>
      </w:r>
      <w:r w:rsidRPr="008B60BF">
        <w:rPr>
          <w:rFonts w:ascii="Palatino Linotype" w:eastAsia="Palatino Linotype" w:hAnsi="Palatino Linotype" w:cs="Palatino Linotype"/>
          <w:color w:val="000000" w:themeColor="text1"/>
        </w:rPr>
        <w:t xml:space="preserve"> formuló nuevos cuestionamientos, en los que solicitó información que no formó parte de su solicitud inicial y por lo tanto son inatendibles a través del recurso de revisión. </w:t>
      </w:r>
    </w:p>
    <w:p w:rsidR="009346BB" w:rsidRPr="008B60BF" w:rsidRDefault="009346BB" w:rsidP="009346BB">
      <w:pPr>
        <w:spacing w:line="360" w:lineRule="auto"/>
        <w:jc w:val="both"/>
        <w:rPr>
          <w:rFonts w:ascii="Palatino Linotype" w:eastAsia="Palatino Linotype" w:hAnsi="Palatino Linotype" w:cs="Palatino Linotype"/>
          <w:color w:val="000000" w:themeColor="text1"/>
        </w:rPr>
      </w:pPr>
    </w:p>
    <w:p w:rsidR="009346BB" w:rsidRPr="008B60BF" w:rsidRDefault="009346BB" w:rsidP="009346BB">
      <w:pPr>
        <w:numPr>
          <w:ilvl w:val="0"/>
          <w:numId w:val="1"/>
        </w:numPr>
        <w:pBdr>
          <w:top w:val="nil"/>
          <w:left w:val="nil"/>
          <w:bottom w:val="nil"/>
          <w:right w:val="nil"/>
          <w:between w:val="nil"/>
        </w:pBdr>
        <w:spacing w:line="360" w:lineRule="auto"/>
        <w:ind w:left="0" w:right="49" w:firstLine="0"/>
        <w:jc w:val="both"/>
        <w:rPr>
          <w:rFonts w:ascii="Palatino Linotype" w:hAnsi="Palatino Linotype"/>
          <w:color w:val="000000" w:themeColor="text1"/>
        </w:rPr>
      </w:pPr>
      <w:r w:rsidRPr="008B60BF">
        <w:rPr>
          <w:rFonts w:ascii="Palatino Linotype" w:eastAsia="Palatino Linotype" w:hAnsi="Palatino Linotype" w:cs="Palatino Linotype"/>
          <w:color w:val="000000" w:themeColor="text1"/>
        </w:rPr>
        <w:t xml:space="preserve">En este tenor, es posible determinar que para el caso que nos ocupa, la totalidad de los argumentos formulados como acto impugnado concatenados con los motivos o razones de inconformidad son una ampliación a la solicitud inicial y corresponden a nuevos requerimientos de información, que no se encuentran relacionados con lo solicitado en un primer momento; </w:t>
      </w:r>
      <w:r w:rsidRPr="008B60BF">
        <w:rPr>
          <w:rFonts w:ascii="Palatino Linotype" w:hAnsi="Palatino Linotype"/>
          <w:color w:val="000000" w:themeColor="text1"/>
        </w:rPr>
        <w:t xml:space="preserve">siendo importante señalar que una vez formulada una solicitud, los </w:t>
      </w:r>
      <w:r w:rsidRPr="008B60BF">
        <w:rPr>
          <w:rFonts w:ascii="Palatino Linotype" w:hAnsi="Palatino Linotype"/>
          <w:color w:val="000000" w:themeColor="text1"/>
        </w:rPr>
        <w:lastRenderedPageBreak/>
        <w:t>particulares no pueden modificarla o ampliarla a través de posteriores promociones o en el momento de ingresar su recurso de revisión; por tanto, la materia de las solicitudes de información se circunscribe a que se permita el acceso a los documentos inicialmente solicitados y en su caso a los aclarados o corregidos.</w:t>
      </w:r>
    </w:p>
    <w:p w:rsidR="009346BB" w:rsidRPr="008B60BF" w:rsidRDefault="009346BB" w:rsidP="009346BB">
      <w:pPr>
        <w:pStyle w:val="Prrafodelista"/>
        <w:rPr>
          <w:rFonts w:ascii="Palatino Linotype" w:hAnsi="Palatino Linotype"/>
          <w:color w:val="000000" w:themeColor="text1"/>
        </w:rPr>
      </w:pPr>
    </w:p>
    <w:p w:rsidR="009346BB" w:rsidRPr="008B60BF" w:rsidRDefault="009346BB" w:rsidP="009346B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themeColor="text1"/>
        </w:rPr>
      </w:pPr>
      <w:r w:rsidRPr="008B60BF">
        <w:rPr>
          <w:rFonts w:ascii="Palatino Linotype" w:eastAsia="Palatino Linotype" w:hAnsi="Palatino Linotype" w:cs="Palatino Linotype"/>
          <w:color w:val="000000" w:themeColor="text1"/>
        </w:rPr>
        <w:t>Robustece lo anterior lo plasmado en el criterio orientador número 01/17 emitido por el Instituto Nacional de Transparencia, Acceso a la Información y Protección de Datos Personales, INAI, que lleva por rubro y texto lo que a continuación se transcribe:</w:t>
      </w:r>
    </w:p>
    <w:p w:rsidR="009346BB" w:rsidRPr="008B60BF" w:rsidRDefault="009346BB" w:rsidP="009346BB">
      <w:pPr>
        <w:spacing w:line="360" w:lineRule="auto"/>
        <w:ind w:left="851" w:right="900"/>
        <w:jc w:val="both"/>
        <w:rPr>
          <w:rFonts w:ascii="Palatino Linotype" w:eastAsia="Palatino Linotype" w:hAnsi="Palatino Linotype" w:cs="Palatino Linotype"/>
          <w:color w:val="000000" w:themeColor="text1"/>
        </w:rPr>
      </w:pPr>
      <w:r w:rsidRPr="008B60BF">
        <w:rPr>
          <w:rFonts w:ascii="Palatino Linotype" w:eastAsia="Palatino Linotype" w:hAnsi="Palatino Linotype" w:cs="Palatino Linotype"/>
          <w:i/>
          <w:color w:val="000000" w:themeColor="text1"/>
        </w:rPr>
        <w:t>“</w:t>
      </w:r>
      <w:r w:rsidRPr="008B60BF">
        <w:rPr>
          <w:rFonts w:ascii="Palatino Linotype" w:eastAsia="Palatino Linotype" w:hAnsi="Palatino Linotype" w:cs="Palatino Linotype"/>
          <w:b/>
          <w:i/>
          <w:color w:val="000000" w:themeColor="text1"/>
        </w:rPr>
        <w:t xml:space="preserve">Es improcedente ampliar las solicitudes de acceso a información, a través de la interposición del recurso de revisión. </w:t>
      </w:r>
      <w:r w:rsidRPr="008B60BF">
        <w:rPr>
          <w:rFonts w:ascii="Palatino Linotype" w:eastAsia="Palatino Linotype" w:hAnsi="Palatino Linotype" w:cs="Palatino Linotype"/>
          <w:i/>
          <w:color w:val="000000" w:themeColor="text1"/>
        </w:rPr>
        <w:t>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r w:rsidRPr="008B60BF">
        <w:rPr>
          <w:rFonts w:ascii="Palatino Linotype" w:eastAsia="Palatino Linotype" w:hAnsi="Palatino Linotype" w:cs="Palatino Linotype"/>
          <w:b/>
          <w:i/>
          <w:color w:val="000000" w:themeColor="text1"/>
        </w:rPr>
        <w:t>.</w:t>
      </w:r>
      <w:r w:rsidRPr="008B60BF">
        <w:rPr>
          <w:rFonts w:ascii="Palatino Linotype" w:eastAsia="Palatino Linotype" w:hAnsi="Palatino Linotype" w:cs="Palatino Linotype"/>
          <w:i/>
          <w:color w:val="000000" w:themeColor="text1"/>
        </w:rPr>
        <w:t>”</w:t>
      </w:r>
    </w:p>
    <w:p w:rsidR="009346BB" w:rsidRPr="008B60BF" w:rsidRDefault="009346BB" w:rsidP="009346B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themeColor="text1"/>
        </w:rPr>
      </w:pPr>
    </w:p>
    <w:p w:rsidR="009346BB" w:rsidRPr="008B60BF" w:rsidRDefault="009346BB" w:rsidP="009346B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themeColor="text1"/>
        </w:rPr>
      </w:pPr>
      <w:r w:rsidRPr="008B60BF">
        <w:rPr>
          <w:rFonts w:ascii="Palatino Linotype" w:eastAsia="Palatino Linotype" w:hAnsi="Palatino Linotype" w:cs="Palatino Linotype"/>
          <w:color w:val="000000" w:themeColor="text1"/>
        </w:rPr>
        <w:t xml:space="preserve">Acotado lo anterior, resultan inatendibles los nuevos requerimientos. No obstante, a efecto de no conculcar los intereses del ahora </w:t>
      </w:r>
      <w:r w:rsidRPr="008B60BF">
        <w:rPr>
          <w:rFonts w:ascii="Palatino Linotype" w:eastAsia="Palatino Linotype" w:hAnsi="Palatino Linotype" w:cs="Palatino Linotype"/>
          <w:b/>
          <w:bCs/>
          <w:color w:val="000000" w:themeColor="text1"/>
        </w:rPr>
        <w:t>RECURRENTE</w:t>
      </w:r>
      <w:r w:rsidRPr="008B60BF">
        <w:rPr>
          <w:rFonts w:ascii="Palatino Linotype" w:eastAsia="Palatino Linotype" w:hAnsi="Palatino Linotype" w:cs="Palatino Linotype"/>
          <w:color w:val="000000" w:themeColor="text1"/>
        </w:rPr>
        <w:t>, se dejan a salvo sus derechos para interponer nuevas solicitudes de información ante los sujetos obligados que a sus intereses convenga.</w:t>
      </w:r>
    </w:p>
    <w:p w:rsidR="009346BB" w:rsidRPr="008B60BF" w:rsidRDefault="009346BB" w:rsidP="009346BB">
      <w:pPr>
        <w:pBdr>
          <w:top w:val="nil"/>
          <w:left w:val="nil"/>
          <w:bottom w:val="nil"/>
          <w:right w:val="nil"/>
          <w:between w:val="nil"/>
        </w:pBdr>
        <w:spacing w:line="360" w:lineRule="auto"/>
        <w:ind w:right="49"/>
        <w:jc w:val="both"/>
        <w:rPr>
          <w:rFonts w:ascii="Palatino Linotype" w:hAnsi="Palatino Linotype"/>
        </w:rPr>
      </w:pPr>
    </w:p>
    <w:p w:rsidR="009346BB" w:rsidRPr="008B60BF" w:rsidRDefault="009346BB" w:rsidP="0021671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lastRenderedPageBreak/>
        <w:t>Respecto del rubro impugnado</w:t>
      </w:r>
      <w:r w:rsidR="00216716" w:rsidRPr="008B60BF">
        <w:rPr>
          <w:rFonts w:ascii="Palatino Linotype" w:hAnsi="Palatino Linotype"/>
        </w:rPr>
        <w:t xml:space="preserve"> (</w:t>
      </w:r>
      <w:r w:rsidR="00216716" w:rsidRPr="008B60BF">
        <w:rPr>
          <w:rFonts w:ascii="Palatino Linotype" w:hAnsi="Palatino Linotype"/>
          <w:i/>
        </w:rPr>
        <w:t>no precisó ni identificó el apartado específico que regule la atención de solicitudes informativas realizadas por particulares</w:t>
      </w:r>
      <w:r w:rsidR="00216716" w:rsidRPr="008B60BF">
        <w:rPr>
          <w:rFonts w:ascii="Palatino Linotype" w:hAnsi="Palatino Linotype"/>
        </w:rPr>
        <w:t>)</w:t>
      </w:r>
      <w:r w:rsidR="001C7F4A" w:rsidRPr="008B60BF">
        <w:rPr>
          <w:rFonts w:ascii="Palatino Linotype" w:hAnsi="Palatino Linotype"/>
        </w:rPr>
        <w:t xml:space="preserve">, es de señalar que ciertamente no se advierte un </w:t>
      </w:r>
      <w:r w:rsidR="001C7F4A" w:rsidRPr="008B60BF">
        <w:rPr>
          <w:rFonts w:ascii="Palatino Linotype" w:eastAsia="Palatino Linotype" w:hAnsi="Palatino Linotype" w:cs="Palatino Linotype"/>
          <w:color w:val="000000" w:themeColor="text1"/>
        </w:rPr>
        <w:t>pronunciamiento</w:t>
      </w:r>
      <w:r w:rsidR="001C7F4A" w:rsidRPr="008B60BF">
        <w:rPr>
          <w:rFonts w:ascii="Palatino Linotype" w:hAnsi="Palatino Linotype"/>
        </w:rPr>
        <w:t xml:space="preserve"> puntual relativo a la atención de solicitudes de carácter informativo realizadas por particulares.</w:t>
      </w:r>
    </w:p>
    <w:p w:rsidR="009346BB" w:rsidRPr="008B60BF" w:rsidRDefault="009346BB" w:rsidP="009346BB">
      <w:pPr>
        <w:pBdr>
          <w:top w:val="nil"/>
          <w:left w:val="nil"/>
          <w:bottom w:val="nil"/>
          <w:right w:val="nil"/>
          <w:between w:val="nil"/>
        </w:pBdr>
        <w:spacing w:line="360" w:lineRule="auto"/>
        <w:ind w:right="49"/>
        <w:jc w:val="both"/>
        <w:rPr>
          <w:rFonts w:ascii="Palatino Linotype" w:hAnsi="Palatino Linotype"/>
        </w:rPr>
      </w:pPr>
    </w:p>
    <w:p w:rsidR="0002664A" w:rsidRPr="008B60BF" w:rsidRDefault="0002664A" w:rsidP="0002664A">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 xml:space="preserve">Si bien es cierto, los sujetos obligados no están obligados a generar documentos </w:t>
      </w:r>
      <w:r w:rsidRPr="008B60BF">
        <w:rPr>
          <w:rFonts w:ascii="Palatino Linotype" w:hAnsi="Palatino Linotype"/>
          <w:i/>
        </w:rPr>
        <w:t>ad hoc</w:t>
      </w:r>
      <w:r w:rsidRPr="008B60BF">
        <w:rPr>
          <w:rFonts w:ascii="Palatino Linotype" w:hAnsi="Palatino Linotype"/>
        </w:rPr>
        <w:t xml:space="preserve"> a efecto de satisfacer las pretensiones puntuales de los solicitantes y, que el acceso a la información pública, es un derecho que versa sobre documentos el cual se colma con la entrega del soporte documental en que conste o se advierta, como resulta del caso concreto que la normatividad entregada en respuesta.</w:t>
      </w:r>
    </w:p>
    <w:p w:rsidR="0002664A" w:rsidRPr="008B60BF" w:rsidRDefault="0002664A" w:rsidP="0002664A">
      <w:pPr>
        <w:pStyle w:val="Prrafodelista"/>
        <w:rPr>
          <w:rFonts w:ascii="Palatino Linotype" w:hAnsi="Palatino Linotype"/>
        </w:rPr>
      </w:pPr>
    </w:p>
    <w:p w:rsidR="0002664A" w:rsidRPr="008B60BF" w:rsidRDefault="0002664A" w:rsidP="0002664A">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 xml:space="preserve">También lo es que no basta con materialmente remitir el soporte documental sin orden alguno, mezclados, sin identificación o de tal forma que resulte imposible comprender cuáles atienden cada punto de la solicitud, </w:t>
      </w:r>
      <w:r w:rsidR="00B5782D" w:rsidRPr="008B60BF">
        <w:rPr>
          <w:rFonts w:ascii="Palatino Linotype" w:hAnsi="Palatino Linotype"/>
        </w:rPr>
        <w:t>pues ello</w:t>
      </w:r>
      <w:r w:rsidRPr="008B60BF">
        <w:rPr>
          <w:rFonts w:ascii="Palatino Linotype" w:hAnsi="Palatino Linotype"/>
        </w:rPr>
        <w:t xml:space="preserve"> actualiza la causal prevista en la fracción IX del artículo 179</w:t>
      </w:r>
      <w:r w:rsidR="00B5782D" w:rsidRPr="008B60BF">
        <w:rPr>
          <w:rFonts w:ascii="Palatino Linotype" w:hAnsi="Palatino Linotype"/>
        </w:rPr>
        <w:t xml:space="preserve"> de la Ley de la Materia</w:t>
      </w:r>
      <w:r w:rsidRPr="008B60BF">
        <w:rPr>
          <w:rFonts w:ascii="Palatino Linotype" w:hAnsi="Palatino Linotype"/>
        </w:rPr>
        <w:t>, al tratarse de una entrega en un formato incomprensible, o incluso la fracción V, si la desorganización impide advertir si la totalidad de la información fue efectivamente proporcionada.</w:t>
      </w:r>
    </w:p>
    <w:p w:rsidR="006600EC" w:rsidRPr="008B60BF" w:rsidRDefault="006600EC" w:rsidP="006600EC">
      <w:pPr>
        <w:pStyle w:val="Prrafodelista"/>
        <w:rPr>
          <w:rFonts w:ascii="Palatino Linotype" w:hAnsi="Palatino Linotype"/>
        </w:rPr>
      </w:pPr>
    </w:p>
    <w:p w:rsidR="006600EC" w:rsidRPr="008B60BF" w:rsidRDefault="006600EC" w:rsidP="00B70989">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 xml:space="preserve">Luego entonces, si la respuesta consta de </w:t>
      </w:r>
      <w:r w:rsidR="00F06381" w:rsidRPr="008B60BF">
        <w:rPr>
          <w:rFonts w:ascii="Palatino Linotype" w:hAnsi="Palatino Linotype"/>
        </w:rPr>
        <w:t>múltiple soporte documental o de</w:t>
      </w:r>
      <w:r w:rsidRPr="008B60BF">
        <w:rPr>
          <w:rFonts w:ascii="Palatino Linotype" w:hAnsi="Palatino Linotype"/>
        </w:rPr>
        <w:t xml:space="preserve"> páginas sin índice ni referencia a los puntos de la solicitud</w:t>
      </w:r>
      <w:r w:rsidR="00F06381" w:rsidRPr="008B60BF">
        <w:rPr>
          <w:rFonts w:ascii="Palatino Linotype" w:hAnsi="Palatino Linotype"/>
        </w:rPr>
        <w:t xml:space="preserve"> y </w:t>
      </w:r>
      <w:r w:rsidRPr="008B60BF">
        <w:rPr>
          <w:rFonts w:ascii="Palatino Linotype" w:hAnsi="Palatino Linotype"/>
        </w:rPr>
        <w:t>no es posible determinar qué documentos atienden cada requerimiento; o</w:t>
      </w:r>
      <w:r w:rsidR="00F06381" w:rsidRPr="008B60BF">
        <w:rPr>
          <w:rFonts w:ascii="Palatino Linotype" w:hAnsi="Palatino Linotype"/>
        </w:rPr>
        <w:t xml:space="preserve"> identificar como en el caso concreto dentro de una normatividad lo requerido, </w:t>
      </w:r>
      <w:r w:rsidR="00F06381" w:rsidRPr="008B60BF">
        <w:rPr>
          <w:rFonts w:ascii="Palatino Linotype" w:hAnsi="Palatino Linotype"/>
          <w:i/>
        </w:rPr>
        <w:t>máxime</w:t>
      </w:r>
      <w:r w:rsidR="00F06381" w:rsidRPr="008B60BF">
        <w:rPr>
          <w:rFonts w:ascii="Palatino Linotype" w:hAnsi="Palatino Linotype"/>
        </w:rPr>
        <w:t xml:space="preserve"> que los solicitantes no están obligados a ser expertos en la materia, </w:t>
      </w:r>
      <w:r w:rsidR="00216716" w:rsidRPr="008B60BF">
        <w:rPr>
          <w:rFonts w:ascii="Palatino Linotype" w:hAnsi="Palatino Linotype"/>
        </w:rPr>
        <w:t>la</w:t>
      </w:r>
      <w:r w:rsidR="00F06381" w:rsidRPr="008B60BF">
        <w:rPr>
          <w:rFonts w:ascii="Palatino Linotype" w:hAnsi="Palatino Linotype"/>
        </w:rPr>
        <w:t xml:space="preserve"> entrega de la información se puede convertir en </w:t>
      </w:r>
      <w:r w:rsidRPr="008B60BF">
        <w:rPr>
          <w:rFonts w:ascii="Palatino Linotype" w:hAnsi="Palatino Linotype"/>
        </w:rPr>
        <w:t>inacce</w:t>
      </w:r>
      <w:r w:rsidR="00F06381" w:rsidRPr="008B60BF">
        <w:rPr>
          <w:rFonts w:ascii="Palatino Linotype" w:hAnsi="Palatino Linotype"/>
        </w:rPr>
        <w:t xml:space="preserve">sible, aun y cuando </w:t>
      </w:r>
      <w:r w:rsidR="00F06381" w:rsidRPr="008B60BF">
        <w:rPr>
          <w:rFonts w:ascii="Palatino Linotype" w:hAnsi="Palatino Linotype"/>
        </w:rPr>
        <w:lastRenderedPageBreak/>
        <w:t>esta haya sido remitida como obre en sus archivos de conformidad al Artículo 12 de la Ley de la Materia.</w:t>
      </w:r>
    </w:p>
    <w:p w:rsidR="00F06381" w:rsidRPr="008B60BF" w:rsidRDefault="00F06381" w:rsidP="00F06381">
      <w:pPr>
        <w:pStyle w:val="Prrafodelista"/>
        <w:rPr>
          <w:rFonts w:ascii="Palatino Linotype" w:hAnsi="Palatino Linotype"/>
        </w:rPr>
      </w:pPr>
    </w:p>
    <w:p w:rsidR="00F06381" w:rsidRPr="008B60BF" w:rsidRDefault="00F06381" w:rsidP="00F06381">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 xml:space="preserve">Empero, </w:t>
      </w:r>
      <w:r w:rsidR="00216716" w:rsidRPr="008B60BF">
        <w:rPr>
          <w:rFonts w:ascii="Palatino Linotype" w:hAnsi="Palatino Linotype"/>
        </w:rPr>
        <w:t xml:space="preserve">el </w:t>
      </w:r>
      <w:r w:rsidR="00216716" w:rsidRPr="008B60BF">
        <w:rPr>
          <w:rFonts w:ascii="Palatino Linotype" w:hAnsi="Palatino Linotype"/>
          <w:b/>
        </w:rPr>
        <w:t xml:space="preserve">SUJETO OBLIGADO </w:t>
      </w:r>
      <w:r w:rsidRPr="008B60BF">
        <w:rPr>
          <w:rFonts w:ascii="Palatino Linotype" w:hAnsi="Palatino Linotype"/>
        </w:rPr>
        <w:t>en un hecho posterior a la interposición del recurso de revisión, como lo es la etapa de manifestaciones, refiere que en el Manual Catastral Vigente del Estado de México, en su Apartado I de atención al público, se puede localizar la información de su int</w:t>
      </w:r>
      <w:r w:rsidR="00216716" w:rsidRPr="008B60BF">
        <w:rPr>
          <w:rFonts w:ascii="Palatino Linotype" w:hAnsi="Palatino Linotype"/>
        </w:rPr>
        <w:t>erés, el cual además de referir,</w:t>
      </w:r>
      <w:r w:rsidRPr="008B60BF">
        <w:rPr>
          <w:rFonts w:ascii="Palatino Linotype" w:hAnsi="Palatino Linotype"/>
        </w:rPr>
        <w:t xml:space="preserve"> lo transcribe.</w:t>
      </w:r>
    </w:p>
    <w:p w:rsidR="00F06381" w:rsidRPr="008B60BF" w:rsidRDefault="00F06381" w:rsidP="00F06381">
      <w:pPr>
        <w:pStyle w:val="Prrafodelista"/>
        <w:rPr>
          <w:rFonts w:ascii="Palatino Linotype" w:hAnsi="Palatino Linotype"/>
        </w:rPr>
      </w:pPr>
    </w:p>
    <w:p w:rsidR="006600EC" w:rsidRPr="008B60BF" w:rsidRDefault="00F06381" w:rsidP="00B70989">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 xml:space="preserve">Con el hecho anterior, se concluye que se tiene por colmado el rubro impugnado; toda vez que el Manual Catastral del Estado de México es de observancia obligatoria para el Ayuntamiento de Ayapango porque así lo establece expresamente las disposiciones que regulan la actividad catastral en la entidad, particularmente el Código Financiero del Estado de México y </w:t>
      </w:r>
      <w:r w:rsidR="00B70989" w:rsidRPr="008B60BF">
        <w:rPr>
          <w:rFonts w:ascii="Palatino Linotype" w:hAnsi="Palatino Linotype"/>
        </w:rPr>
        <w:t>Municipios, en sus artículos 167,168 y 169 fracción IV a saber:</w:t>
      </w:r>
    </w:p>
    <w:p w:rsidR="00B70989" w:rsidRPr="008B60BF" w:rsidRDefault="0060220B" w:rsidP="00B70989">
      <w:pPr>
        <w:pBdr>
          <w:top w:val="nil"/>
          <w:left w:val="nil"/>
          <w:bottom w:val="nil"/>
          <w:right w:val="nil"/>
          <w:between w:val="nil"/>
        </w:pBdr>
        <w:spacing w:line="360" w:lineRule="auto"/>
        <w:ind w:left="567" w:right="758"/>
        <w:jc w:val="both"/>
        <w:rPr>
          <w:rFonts w:ascii="Palatino Linotype" w:hAnsi="Palatino Linotype"/>
          <w:i/>
        </w:rPr>
      </w:pPr>
      <w:r w:rsidRPr="008B60BF">
        <w:rPr>
          <w:rFonts w:ascii="Palatino Linotype" w:hAnsi="Palatino Linotype"/>
          <w:i/>
        </w:rPr>
        <w:t>“</w:t>
      </w:r>
      <w:r w:rsidR="00B70989" w:rsidRPr="008B60BF">
        <w:rPr>
          <w:rFonts w:ascii="Palatino Linotype" w:hAnsi="Palatino Linotype"/>
          <w:i/>
        </w:rPr>
        <w:t>Artículo 167.- Las disposiciones de este título tienen por objeto normar la actividad catastral en el Estado, así como la integración y actualización de las Tablas de Valores Unitarios de Suelo y Construcciones.</w:t>
      </w: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i/>
        </w:rPr>
      </w:pPr>
      <w:r w:rsidRPr="008B60BF">
        <w:rPr>
          <w:rFonts w:ascii="Palatino Linotype" w:hAnsi="Palatino Linotype"/>
          <w:i/>
        </w:rPr>
        <w:t>En lo concerniente a la integración, conservación y actualización de la información e investigación catastral, se estará a lo dispuesto en el LIGECEM, este Título, su reglamento, el Manual Catastral y demás disposiciones aplicables en la materia.</w:t>
      </w: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rPr>
      </w:pP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i/>
        </w:rPr>
      </w:pPr>
      <w:r w:rsidRPr="008B60BF">
        <w:rPr>
          <w:rFonts w:ascii="Palatino Linotype" w:hAnsi="Palatino Linotype"/>
          <w:i/>
        </w:rPr>
        <w:t>Artículo 168.- Catastro es el sistema de información territorial, cuyo propósito es integrar, conservar y mantener actualizados el padrón catastral estatal y los padrones municipales de la Entidad.</w:t>
      </w: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i/>
        </w:rPr>
      </w:pPr>
      <w:r w:rsidRPr="008B60BF">
        <w:rPr>
          <w:rFonts w:ascii="Palatino Linotype" w:hAnsi="Palatino Linotype"/>
          <w:i/>
        </w:rPr>
        <w:lastRenderedPageBreak/>
        <w:t>El padrón catastral es el inventario analítico que contiene los datos técnicos y administrativos de los inmuebles y está conformado por el conjunto de registros geográficos, gráficos, estadísticos, alfanuméricos y elementos y características resultantes de la actividad catastral.</w:t>
      </w: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i/>
        </w:rPr>
      </w:pPr>
      <w:r w:rsidRPr="008B60BF">
        <w:rPr>
          <w:rFonts w:ascii="Palatino Linotype" w:hAnsi="Palatino Linotype"/>
          <w:i/>
        </w:rPr>
        <w:t>La actividad catastral se refiere al conjunto de acciones de identificación, inscripción, control y valuación, que permiten integrar, conservar y mantener actualizado el inventario analítico con las características cualitativas y cuantitativas de los inmuebles inscritos en los padrones catastrales estatal y municipales de la Entidad, realizadas con apego al LIGECEM, este Título, su reglamento, el Manual Catastral y demás disposiciones aplicables en la materia.</w:t>
      </w: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i/>
        </w:rPr>
      </w:pP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i/>
        </w:rPr>
      </w:pPr>
      <w:r w:rsidRPr="008B60BF">
        <w:rPr>
          <w:rFonts w:ascii="Palatino Linotype" w:hAnsi="Palatino Linotype"/>
          <w:i/>
        </w:rPr>
        <w:t>Artículo 169.- Son autoridades en materia de catastro:</w:t>
      </w: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i/>
        </w:rPr>
      </w:pPr>
      <w:r w:rsidRPr="008B60BF">
        <w:rPr>
          <w:rFonts w:ascii="Palatino Linotype" w:hAnsi="Palatino Linotype"/>
          <w:i/>
        </w:rPr>
        <w:t>…</w:t>
      </w: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i/>
        </w:rPr>
      </w:pPr>
      <w:r w:rsidRPr="008B60BF">
        <w:rPr>
          <w:rFonts w:ascii="Palatino Linotype" w:hAnsi="Palatino Linotype"/>
          <w:i/>
        </w:rPr>
        <w:t>IV. El Ayuntamiento y la persona servidora pública que sea designada como titular de la</w:t>
      </w:r>
      <w:r w:rsidR="0060220B" w:rsidRPr="008B60BF">
        <w:rPr>
          <w:rFonts w:ascii="Palatino Linotype" w:hAnsi="Palatino Linotype"/>
          <w:i/>
        </w:rPr>
        <w:t xml:space="preserve"> </w:t>
      </w:r>
      <w:r w:rsidRPr="008B60BF">
        <w:rPr>
          <w:rFonts w:ascii="Palatino Linotype" w:hAnsi="Palatino Linotype"/>
          <w:i/>
        </w:rPr>
        <w:t>unidad encargada del catastro municipal.</w:t>
      </w:r>
    </w:p>
    <w:p w:rsidR="00B70989" w:rsidRPr="008B60BF" w:rsidRDefault="00B70989" w:rsidP="00B70989">
      <w:pPr>
        <w:pBdr>
          <w:top w:val="nil"/>
          <w:left w:val="nil"/>
          <w:bottom w:val="nil"/>
          <w:right w:val="nil"/>
          <w:between w:val="nil"/>
        </w:pBdr>
        <w:spacing w:line="360" w:lineRule="auto"/>
        <w:ind w:left="567" w:right="758"/>
        <w:jc w:val="both"/>
        <w:rPr>
          <w:rFonts w:ascii="Palatino Linotype" w:hAnsi="Palatino Linotype"/>
          <w:i/>
        </w:rPr>
      </w:pPr>
      <w:r w:rsidRPr="008B60BF">
        <w:rPr>
          <w:rFonts w:ascii="Palatino Linotype" w:hAnsi="Palatino Linotype"/>
          <w:i/>
        </w:rPr>
        <w:t>...</w:t>
      </w:r>
      <w:r w:rsidR="0060220B" w:rsidRPr="008B60BF">
        <w:rPr>
          <w:rFonts w:ascii="Palatino Linotype" w:hAnsi="Palatino Linotype"/>
          <w:i/>
        </w:rPr>
        <w:t>”</w:t>
      </w:r>
    </w:p>
    <w:p w:rsidR="00B70989" w:rsidRPr="008B60BF" w:rsidRDefault="00B70989" w:rsidP="00B70989">
      <w:pPr>
        <w:pBdr>
          <w:top w:val="nil"/>
          <w:left w:val="nil"/>
          <w:bottom w:val="nil"/>
          <w:right w:val="nil"/>
          <w:between w:val="nil"/>
        </w:pBdr>
        <w:spacing w:line="360" w:lineRule="auto"/>
        <w:ind w:right="49"/>
        <w:jc w:val="both"/>
        <w:rPr>
          <w:rFonts w:ascii="Palatino Linotype" w:hAnsi="Palatino Linotype"/>
        </w:rPr>
      </w:pPr>
    </w:p>
    <w:p w:rsidR="00B70989" w:rsidRPr="008B60BF" w:rsidRDefault="00B70989" w:rsidP="0021671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Por tanto, el Manual Catastral constituye un instrumento normativo de observancia obligatoria, que regular el ejercicio de las atribuciones catastrales municipales, por lo que si en dicho manual obra un precepto relacionado con atención al público, deberá tenerse por colmado el rubro de mérito, aun y cuando en estricto sentido no refiera “</w:t>
      </w:r>
      <w:r w:rsidRPr="008B60BF">
        <w:rPr>
          <w:rFonts w:ascii="Palatino Linotype" w:hAnsi="Palatino Linotype"/>
          <w:i/>
        </w:rPr>
        <w:t>solicitudes informativas realizadas por particulares”</w:t>
      </w:r>
      <w:r w:rsidRPr="008B60BF">
        <w:rPr>
          <w:rFonts w:ascii="Palatino Linotype" w:hAnsi="Palatino Linotype"/>
        </w:rPr>
        <w:t xml:space="preserve"> </w:t>
      </w:r>
      <w:r w:rsidR="00D35B64" w:rsidRPr="008B60BF">
        <w:rPr>
          <w:rFonts w:ascii="Palatino Linotype" w:hAnsi="Palatino Linotype"/>
        </w:rPr>
        <w:t>pues dicha</w:t>
      </w:r>
      <w:r w:rsidRPr="008B60BF">
        <w:rPr>
          <w:rFonts w:ascii="Palatino Linotype" w:hAnsi="Palatino Linotype"/>
        </w:rPr>
        <w:t xml:space="preserve"> </w:t>
      </w:r>
      <w:r w:rsidR="00D35B64" w:rsidRPr="008B60BF">
        <w:rPr>
          <w:rFonts w:ascii="Palatino Linotype" w:hAnsi="Palatino Linotype"/>
        </w:rPr>
        <w:t xml:space="preserve">pretensión de la particular </w:t>
      </w:r>
      <w:r w:rsidRPr="008B60BF">
        <w:rPr>
          <w:rFonts w:ascii="Palatino Linotype" w:hAnsi="Palatino Linotype"/>
        </w:rPr>
        <w:t xml:space="preserve">puede conceptualizarse como los requerimientos formulados por personas físicas o jurídicas colectivas ante las autoridades catastrales competentes, mediante los cuales solicitan el </w:t>
      </w:r>
      <w:r w:rsidRPr="008B60BF">
        <w:rPr>
          <w:rFonts w:ascii="Palatino Linotype" w:hAnsi="Palatino Linotype"/>
        </w:rPr>
        <w:lastRenderedPageBreak/>
        <w:t>acceso, consulta, expedición de constancias o conocimiento de información contenida en los registr</w:t>
      </w:r>
      <w:r w:rsidR="00D35B64" w:rsidRPr="008B60BF">
        <w:rPr>
          <w:rFonts w:ascii="Palatino Linotype" w:hAnsi="Palatino Linotype"/>
        </w:rPr>
        <w:t>os y bases de datos catastrales</w:t>
      </w:r>
      <w:r w:rsidRPr="008B60BF">
        <w:rPr>
          <w:rFonts w:ascii="Palatino Linotype" w:hAnsi="Palatino Linotype"/>
        </w:rPr>
        <w:t xml:space="preserve"> de los bienes inmuebles ubicados dentro del territorio municipal, en los términos previstos por la normatividad aplicable.</w:t>
      </w:r>
    </w:p>
    <w:p w:rsidR="00B70989" w:rsidRPr="008B60BF" w:rsidRDefault="00B70989" w:rsidP="00B70989">
      <w:pPr>
        <w:pBdr>
          <w:top w:val="nil"/>
          <w:left w:val="nil"/>
          <w:bottom w:val="nil"/>
          <w:right w:val="nil"/>
          <w:between w:val="nil"/>
        </w:pBdr>
        <w:spacing w:line="360" w:lineRule="auto"/>
        <w:ind w:right="49"/>
        <w:jc w:val="both"/>
        <w:rPr>
          <w:rFonts w:ascii="Palatino Linotype" w:hAnsi="Palatino Linotype"/>
        </w:rPr>
      </w:pPr>
    </w:p>
    <w:p w:rsidR="00B70989" w:rsidRPr="008B60BF" w:rsidRDefault="00D35B64" w:rsidP="0021671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8B60BF">
        <w:rPr>
          <w:rFonts w:ascii="Palatino Linotype" w:hAnsi="Palatino Linotype"/>
        </w:rPr>
        <w:t xml:space="preserve">Por tanto es que se tiene por atendido el rubro de referencia, </w:t>
      </w:r>
      <w:r w:rsidR="00B70989" w:rsidRPr="008B60BF">
        <w:rPr>
          <w:rFonts w:ascii="Palatino Linotype" w:hAnsi="Palatino Linotype"/>
        </w:rPr>
        <w:t xml:space="preserve">sumado a que </w:t>
      </w:r>
      <w:r w:rsidRPr="008B60BF">
        <w:rPr>
          <w:rFonts w:ascii="Palatino Linotype" w:hAnsi="Palatino Linotype"/>
        </w:rPr>
        <w:t>no se localizó algún otro elemento normativo que contemple “</w:t>
      </w:r>
      <w:r w:rsidRPr="008B60BF">
        <w:rPr>
          <w:rFonts w:ascii="Palatino Linotype" w:hAnsi="Palatino Linotype"/>
          <w:i/>
        </w:rPr>
        <w:t xml:space="preserve">solicitudes informativas realizadas por particulares” </w:t>
      </w:r>
      <w:r w:rsidRPr="008B60BF">
        <w:rPr>
          <w:rFonts w:ascii="Palatino Linotype" w:hAnsi="Palatino Linotype"/>
        </w:rPr>
        <w:t>y</w:t>
      </w:r>
      <w:r w:rsidR="00216716" w:rsidRPr="008B60BF">
        <w:rPr>
          <w:rFonts w:ascii="Palatino Linotype" w:hAnsi="Palatino Linotype"/>
        </w:rPr>
        <w:t>,</w:t>
      </w:r>
      <w:r w:rsidRPr="008B60BF">
        <w:rPr>
          <w:rFonts w:ascii="Palatino Linotype" w:hAnsi="Palatino Linotype"/>
        </w:rPr>
        <w:t xml:space="preserve"> a que </w:t>
      </w:r>
      <w:r w:rsidR="00B70989" w:rsidRPr="008B60BF">
        <w:rPr>
          <w:rFonts w:ascii="Palatino Linotype" w:hAnsi="Palatino Linotype"/>
        </w:rPr>
        <w:t xml:space="preserve">el </w:t>
      </w:r>
      <w:r w:rsidR="00B70989" w:rsidRPr="008B60BF">
        <w:rPr>
          <w:rFonts w:ascii="Palatino Linotype" w:hAnsi="Palatino Linotype"/>
          <w:b/>
        </w:rPr>
        <w:t>SUJETO OBLIGADO</w:t>
      </w:r>
      <w:r w:rsidR="00B70989" w:rsidRPr="008B60BF">
        <w:rPr>
          <w:rFonts w:ascii="Palatino Linotype" w:hAnsi="Palatino Linotype"/>
        </w:rPr>
        <w:t xml:space="preserve"> refiere expresamente que </w:t>
      </w:r>
      <w:r w:rsidRPr="008B60BF">
        <w:rPr>
          <w:rFonts w:ascii="Palatino Linotype" w:hAnsi="Palatino Linotype"/>
        </w:rPr>
        <w:t xml:space="preserve">los preceptos remitidos en calidad de informe justificado, </w:t>
      </w:r>
      <w:r w:rsidR="00B70989" w:rsidRPr="008B60BF">
        <w:rPr>
          <w:rFonts w:ascii="Palatino Linotype" w:hAnsi="Palatino Linotype"/>
        </w:rPr>
        <w:t>corresponde</w:t>
      </w:r>
      <w:r w:rsidRPr="008B60BF">
        <w:rPr>
          <w:rFonts w:ascii="Palatino Linotype" w:hAnsi="Palatino Linotype"/>
        </w:rPr>
        <w:t>n</w:t>
      </w:r>
      <w:r w:rsidR="00B70989" w:rsidRPr="008B60BF">
        <w:rPr>
          <w:rFonts w:ascii="Palatino Linotype" w:hAnsi="Palatino Linotype"/>
        </w:rPr>
        <w:t xml:space="preserve"> a</w:t>
      </w:r>
      <w:r w:rsidRPr="008B60BF">
        <w:rPr>
          <w:rFonts w:ascii="Palatino Linotype" w:hAnsi="Palatino Linotype"/>
        </w:rPr>
        <w:t xml:space="preserve"> </w:t>
      </w:r>
      <w:r w:rsidR="00B70989" w:rsidRPr="008B60BF">
        <w:rPr>
          <w:rFonts w:ascii="Palatino Linotype" w:hAnsi="Palatino Linotype"/>
        </w:rPr>
        <w:t>l</w:t>
      </w:r>
      <w:r w:rsidRPr="008B60BF">
        <w:rPr>
          <w:rFonts w:ascii="Palatino Linotype" w:hAnsi="Palatino Linotype"/>
        </w:rPr>
        <w:t>os</w:t>
      </w:r>
      <w:r w:rsidR="00B70989" w:rsidRPr="008B60BF">
        <w:rPr>
          <w:rFonts w:ascii="Palatino Linotype" w:hAnsi="Palatino Linotype"/>
        </w:rPr>
        <w:t xml:space="preserve"> vigente</w:t>
      </w:r>
      <w:r w:rsidRPr="008B60BF">
        <w:rPr>
          <w:rFonts w:ascii="Palatino Linotype" w:hAnsi="Palatino Linotype"/>
        </w:rPr>
        <w:t>s</w:t>
      </w:r>
      <w:r w:rsidR="00B70989" w:rsidRPr="008B60BF">
        <w:rPr>
          <w:rFonts w:ascii="Palatino Linotype" w:hAnsi="Palatino Linotype"/>
        </w:rPr>
        <w:t>, con lo que se colma el extremo temporal establecido por la entonces solicitante.</w:t>
      </w:r>
    </w:p>
    <w:p w:rsidR="00B70989" w:rsidRPr="008B60BF" w:rsidRDefault="00B70989" w:rsidP="00B70989">
      <w:pPr>
        <w:pBdr>
          <w:top w:val="nil"/>
          <w:left w:val="nil"/>
          <w:bottom w:val="nil"/>
          <w:right w:val="nil"/>
          <w:between w:val="nil"/>
        </w:pBdr>
        <w:spacing w:line="360" w:lineRule="auto"/>
        <w:ind w:right="49"/>
        <w:jc w:val="both"/>
        <w:rPr>
          <w:rFonts w:ascii="Palatino Linotype" w:hAnsi="Palatino Linotype"/>
        </w:rPr>
      </w:pPr>
    </w:p>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44042A" w:rsidRPr="008B60BF" w:rsidRDefault="0044042A"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hAnsi="Palatino Linotype"/>
          <w:bCs/>
        </w:rPr>
        <w:t xml:space="preserve">En razón de lo anterior, es que se estima que la información remitida en un hecho posterior </w:t>
      </w:r>
      <w:r w:rsidRPr="008B60BF">
        <w:rPr>
          <w:rFonts w:ascii="Palatino Linotype" w:hAnsi="Palatino Linotype" w:cs="Arial"/>
        </w:rPr>
        <w:t>como</w:t>
      </w:r>
      <w:r w:rsidRPr="008B60BF">
        <w:rPr>
          <w:rFonts w:ascii="Palatino Linotype" w:hAnsi="Palatino Linotype"/>
          <w:bCs/>
        </w:rPr>
        <w:t xml:space="preserve"> lo es la etapa de manifestaciones en calidad de informe justificado</w:t>
      </w:r>
      <w:r w:rsidRPr="008B60BF">
        <w:rPr>
          <w:rFonts w:ascii="Palatino Linotype" w:hAnsi="Palatino Linotype"/>
        </w:rPr>
        <w:t xml:space="preserve">, </w:t>
      </w:r>
      <w:r w:rsidRPr="008B60BF">
        <w:rPr>
          <w:rFonts w:ascii="Palatino Linotype" w:hAnsi="Palatino Linotype" w:cs="Arial"/>
        </w:rPr>
        <w:t>resulta</w:t>
      </w:r>
      <w:r w:rsidRPr="008B60BF">
        <w:rPr>
          <w:rFonts w:ascii="Palatino Linotype" w:hAnsi="Palatino Linotype"/>
        </w:rPr>
        <w:t xml:space="preserve"> un hecho que actualiza una causal de sobreseimiento del Recurso de Revisión de mérito, en términos de lo dispuesto por</w:t>
      </w:r>
      <w:r w:rsidRPr="008B60BF">
        <w:rPr>
          <w:rFonts w:ascii="Palatino Linotype" w:eastAsia="Palatino Linotype" w:hAnsi="Palatino Linotype" w:cs="Palatino Linotype"/>
        </w:rPr>
        <w:t xml:space="preserve"> la fracción III del artículo 192 de la Ley de Transparencia y Acceso a la Información Pública del Estado de México y Municipios en su correlación con la causal de improcedencia contemplada en la </w:t>
      </w:r>
      <w:r w:rsidRPr="008B60BF">
        <w:rPr>
          <w:rFonts w:ascii="Palatino Linotype" w:eastAsia="Palatino Linotype" w:hAnsi="Palatino Linotype" w:cs="Palatino Linotype"/>
        </w:rPr>
        <w:fldChar w:fldCharType="begin"/>
      </w:r>
      <w:r w:rsidRPr="008B60BF">
        <w:rPr>
          <w:rFonts w:ascii="Palatino Linotype" w:eastAsia="Palatino Linotype" w:hAnsi="Palatino Linotype" w:cs="Palatino Linotype"/>
        </w:rPr>
        <w:instrText xml:space="preserve"> fracción VII del  </w:instrText>
      </w:r>
      <w:r w:rsidRPr="008B60BF">
        <w:rPr>
          <w:rFonts w:ascii="Palatino Linotype" w:eastAsia="Palatino Linotype" w:hAnsi="Palatino Linotype" w:cs="Palatino Linotype"/>
        </w:rPr>
        <w:fldChar w:fldCharType="separate"/>
      </w:r>
      <w:r w:rsidR="006D4ADF" w:rsidRPr="008B60BF">
        <w:rPr>
          <w:rFonts w:ascii="Palatino Linotype" w:eastAsia="Palatino Linotype" w:hAnsi="Palatino Linotype" w:cs="Palatino Linotype"/>
          <w:b/>
          <w:bCs/>
          <w:lang w:val="es-ES"/>
        </w:rPr>
        <w:t>¡Error! Marcador no definido.</w:t>
      </w:r>
      <w:r w:rsidRPr="008B60BF">
        <w:rPr>
          <w:rFonts w:ascii="Palatino Linotype" w:eastAsia="Palatino Linotype" w:hAnsi="Palatino Linotype" w:cs="Palatino Linotype"/>
        </w:rPr>
        <w:fldChar w:fldCharType="end"/>
      </w:r>
      <w:r w:rsidRPr="008B60BF">
        <w:rPr>
          <w:rFonts w:ascii="Palatino Linotype" w:eastAsia="Palatino Linotype" w:hAnsi="Palatino Linotype" w:cs="Palatino Linotype"/>
        </w:rPr>
        <w:t>artículo 191 del ordenamiento legal en cita, los que se transcriben a continuación, para un mejor entendimiento:</w:t>
      </w:r>
    </w:p>
    <w:p w:rsidR="0044042A" w:rsidRPr="008B60BF"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8B60BF">
        <w:rPr>
          <w:rFonts w:ascii="Palatino Linotype" w:eastAsia="Palatino Linotype" w:hAnsi="Palatino Linotype" w:cs="Palatino Linotype"/>
          <w:b/>
          <w:i/>
        </w:rPr>
        <w:t>Artículo 192.</w:t>
      </w:r>
      <w:r w:rsidRPr="008B60BF">
        <w:rPr>
          <w:rFonts w:ascii="Palatino Linotype" w:eastAsia="Palatino Linotype" w:hAnsi="Palatino Linotype" w:cs="Palatino Linotype"/>
          <w:i/>
        </w:rPr>
        <w:t xml:space="preserve"> El recurso será sobreseído, en todo o en parte, cuando una vez admitido, se actualicen alguno de los siguientes supuestos:</w:t>
      </w:r>
    </w:p>
    <w:p w:rsidR="0044042A" w:rsidRPr="008B60BF"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8B60BF">
        <w:rPr>
          <w:rFonts w:ascii="Palatino Linotype" w:eastAsia="Palatino Linotype" w:hAnsi="Palatino Linotype" w:cs="Palatino Linotype"/>
          <w:i/>
        </w:rPr>
        <w:t>…</w:t>
      </w:r>
    </w:p>
    <w:p w:rsidR="0044042A" w:rsidRPr="008B60BF"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8B60BF">
        <w:rPr>
          <w:rFonts w:ascii="Palatino Linotype" w:eastAsia="Palatino Linotype" w:hAnsi="Palatino Linotype" w:cs="Palatino Linotype"/>
          <w:b/>
          <w:i/>
        </w:rPr>
        <w:t xml:space="preserve">III. </w:t>
      </w:r>
      <w:r w:rsidRPr="008B60BF">
        <w:rPr>
          <w:rFonts w:ascii="Palatino Linotype" w:eastAsia="Palatino Linotype" w:hAnsi="Palatino Linotype" w:cs="Palatino Linotype"/>
          <w:b/>
          <w:bCs/>
          <w:i/>
        </w:rPr>
        <w:t>El sujeto obligado responsable del acto lo modifique o revoque de tal manera que el recurso de revisión quede sin materia</w:t>
      </w:r>
      <w:r w:rsidRPr="008B60BF">
        <w:rPr>
          <w:rFonts w:ascii="Palatino Linotype" w:eastAsia="Palatino Linotype" w:hAnsi="Palatino Linotype" w:cs="Palatino Linotype"/>
          <w:bCs/>
          <w:i/>
        </w:rPr>
        <w:t>;</w:t>
      </w:r>
      <w:r w:rsidRPr="008B60BF">
        <w:rPr>
          <w:rFonts w:ascii="Palatino Linotype" w:eastAsia="Palatino Linotype" w:hAnsi="Palatino Linotype" w:cs="Palatino Linotype"/>
          <w:i/>
        </w:rPr>
        <w:t xml:space="preserve"> </w:t>
      </w:r>
    </w:p>
    <w:p w:rsidR="0044042A" w:rsidRPr="008B60BF"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8B60BF">
        <w:rPr>
          <w:rFonts w:ascii="Palatino Linotype" w:eastAsia="Palatino Linotype" w:hAnsi="Palatino Linotype" w:cs="Palatino Linotype"/>
          <w:b/>
          <w:i/>
        </w:rPr>
        <w:t>…</w:t>
      </w:r>
      <w:r w:rsidRPr="008B60BF">
        <w:rPr>
          <w:rFonts w:ascii="Palatino Linotype" w:eastAsia="Palatino Linotype" w:hAnsi="Palatino Linotype" w:cs="Palatino Linotype"/>
          <w:i/>
        </w:rPr>
        <w:t>“</w:t>
      </w:r>
    </w:p>
    <w:p w:rsidR="0044042A" w:rsidRPr="008B60BF"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rPr>
      </w:pPr>
      <w:r w:rsidRPr="008B60BF">
        <w:rPr>
          <w:rFonts w:ascii="Palatino Linotype" w:eastAsia="Palatino Linotype" w:hAnsi="Palatino Linotype" w:cs="Palatino Linotype"/>
        </w:rPr>
        <w:lastRenderedPageBreak/>
        <w:t>Énfasis propio</w:t>
      </w:r>
    </w:p>
    <w:p w:rsidR="00D13D4B" w:rsidRPr="008B60BF" w:rsidRDefault="00D13D4B"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rPr>
      </w:pPr>
    </w:p>
    <w:p w:rsidR="0044042A" w:rsidRPr="008B60BF" w:rsidRDefault="0044042A"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 xml:space="preserve">Siendo el sobreseimiento un acto que da por terminado el procedimiento </w:t>
      </w:r>
      <w:r w:rsidRPr="008B60BF">
        <w:rPr>
          <w:rFonts w:ascii="Palatino Linotype" w:hAnsi="Palatino Linotype"/>
          <w:bCs/>
        </w:rPr>
        <w:t>administrativo</w:t>
      </w:r>
      <w:r w:rsidRPr="008B60BF">
        <w:rPr>
          <w:rFonts w:ascii="Palatino Linotype" w:eastAsia="Palatino Linotype" w:hAnsi="Palatino Linotype" w:cs="Palatino Linotype"/>
        </w:rPr>
        <w:t xml:space="preserve"> de </w:t>
      </w:r>
      <w:r w:rsidRPr="008B60BF">
        <w:rPr>
          <w:rFonts w:ascii="Palatino Linotype" w:hAnsi="Palatino Linotype"/>
        </w:rPr>
        <w:t>impugnación</w:t>
      </w:r>
      <w:r w:rsidRPr="008B60BF">
        <w:rPr>
          <w:rFonts w:ascii="Palatino Linotype" w:eastAsia="Palatino Linotype" w:hAnsi="Palatino Linotype" w:cs="Palatino Linotype"/>
        </w:rPr>
        <w:t xml:space="preserve"> sin resolver el fondo de la cuestión planteada, por presentarse causas que impiden a la autoridad referirse a lo sustancial de lo planteado por </w:t>
      </w:r>
      <w:r w:rsidR="008811C5" w:rsidRPr="008B60BF">
        <w:rPr>
          <w:rFonts w:ascii="Palatino Linotype" w:eastAsia="Palatino Linotype" w:hAnsi="Palatino Linotype" w:cs="Palatino Linotype"/>
          <w:b/>
        </w:rPr>
        <w:t>LA RECURRENTE</w:t>
      </w:r>
      <w:r w:rsidRPr="008B60BF">
        <w:rPr>
          <w:rFonts w:ascii="Palatino Linotype" w:eastAsia="Palatino Linotype" w:hAnsi="Palatino Linotype" w:cs="Palatino Linotype"/>
        </w:rPr>
        <w:t>, los efectos del sobreseimiento consisten en dar por concluido el recurso administrativo sin entrar al estudio de fondo del asunto de que se trate; lo anterior con apoyo en el criterio del Poder Judicial de la Federación con rubro:</w:t>
      </w:r>
    </w:p>
    <w:p w:rsidR="0044042A" w:rsidRPr="008B60BF" w:rsidRDefault="0044042A" w:rsidP="00D13D4B">
      <w:pPr>
        <w:pStyle w:val="Prrafodelista"/>
        <w:spacing w:line="360" w:lineRule="auto"/>
        <w:ind w:left="360" w:right="902"/>
        <w:jc w:val="both"/>
        <w:rPr>
          <w:rFonts w:ascii="Palatino Linotype" w:eastAsia="Palatino Linotype" w:hAnsi="Palatino Linotype" w:cs="Palatino Linotype"/>
          <w:b/>
          <w:i/>
        </w:rPr>
      </w:pPr>
      <w:r w:rsidRPr="008B60BF">
        <w:rPr>
          <w:rFonts w:ascii="Palatino Linotype" w:eastAsia="Palatino Linotype" w:hAnsi="Palatino Linotype" w:cs="Palatino Linotype"/>
          <w:i/>
        </w:rPr>
        <w:t>“</w:t>
      </w:r>
      <w:r w:rsidRPr="008B60BF">
        <w:rPr>
          <w:rFonts w:ascii="Palatino Linotype" w:eastAsia="Palatino Linotype" w:hAnsi="Palatino Linotype" w:cs="Palatino Linotype"/>
          <w:b/>
          <w:i/>
        </w:rPr>
        <w:t>SOBRESEIMIENTO, NO PERMITE ENTRAR AL ESTUDIO DE LAS CUESTIONES DE FONDO</w:t>
      </w:r>
    </w:p>
    <w:p w:rsidR="0044042A" w:rsidRPr="008B60BF" w:rsidRDefault="0044042A" w:rsidP="00D13D4B">
      <w:pPr>
        <w:pStyle w:val="Prrafodelista"/>
        <w:spacing w:line="360" w:lineRule="auto"/>
        <w:ind w:left="360" w:right="902"/>
        <w:jc w:val="both"/>
        <w:rPr>
          <w:rFonts w:ascii="Palatino Linotype" w:eastAsia="Palatino Linotype" w:hAnsi="Palatino Linotype" w:cs="Palatino Linotype"/>
          <w:i/>
        </w:rPr>
      </w:pPr>
      <w:r w:rsidRPr="008B60BF">
        <w:rPr>
          <w:rFonts w:ascii="Palatino Linotype" w:eastAsia="Palatino Linotype" w:hAnsi="Palatino Linotype" w:cs="Palatino Linotype"/>
          <w:i/>
        </w:rPr>
        <w:t>Localización: 213609. II.2o.183 K. Tribunales Colegiados de Circuito. Octava Época. Semanario Judicial de la Federación. Tomo XIII, Febrero de 1994, Pág. 420</w:t>
      </w:r>
    </w:p>
    <w:p w:rsidR="0044042A" w:rsidRPr="008B60BF" w:rsidRDefault="0044042A" w:rsidP="00D13D4B">
      <w:pPr>
        <w:pStyle w:val="Prrafodelista"/>
        <w:spacing w:line="360" w:lineRule="auto"/>
        <w:ind w:left="360" w:right="902"/>
        <w:jc w:val="both"/>
        <w:rPr>
          <w:rFonts w:ascii="Palatino Linotype" w:eastAsia="Palatino Linotype" w:hAnsi="Palatino Linotype" w:cs="Palatino Linotype"/>
          <w:i/>
        </w:rPr>
      </w:pPr>
      <w:r w:rsidRPr="008B60BF">
        <w:rPr>
          <w:rFonts w:ascii="Palatino Linotype" w:eastAsia="Palatino Linotype" w:hAnsi="Palatino Linotype" w:cs="Palatino Linotype"/>
          <w:i/>
        </w:rPr>
        <w:t xml:space="preserve">Cuerpo de tesis: No causa agravio la sentencia que no se ocupa de los razonamientos tendientes a demostrar la inconstitucionalidad de los actos reclamados de las autoridades responsables, que constituyen el problema de fondo, si se decreta el sobreseimiento del juicio.” </w:t>
      </w:r>
    </w:p>
    <w:p w:rsidR="0044042A" w:rsidRPr="008B60BF" w:rsidRDefault="0044042A" w:rsidP="00D13D4B">
      <w:pPr>
        <w:pStyle w:val="Prrafodelista"/>
        <w:spacing w:line="360" w:lineRule="auto"/>
        <w:ind w:left="360" w:right="902"/>
        <w:jc w:val="both"/>
        <w:rPr>
          <w:rFonts w:ascii="Palatino Linotype" w:eastAsia="Palatino Linotype" w:hAnsi="Palatino Linotype" w:cs="Palatino Linotype"/>
          <w:i/>
        </w:rPr>
      </w:pPr>
    </w:p>
    <w:p w:rsidR="0044042A" w:rsidRPr="008B60BF" w:rsidRDefault="0044042A"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rsidR="0044042A" w:rsidRPr="008B60BF" w:rsidRDefault="0044042A" w:rsidP="00D13D4B">
      <w:pPr>
        <w:pStyle w:val="Prrafodelista"/>
        <w:spacing w:line="360" w:lineRule="auto"/>
        <w:ind w:left="360" w:right="902"/>
        <w:jc w:val="both"/>
        <w:rPr>
          <w:rFonts w:ascii="Palatino Linotype" w:eastAsia="Palatino Linotype" w:hAnsi="Palatino Linotype" w:cs="Palatino Linotype"/>
          <w:b/>
          <w:i/>
        </w:rPr>
      </w:pPr>
      <w:r w:rsidRPr="008B60BF">
        <w:rPr>
          <w:rFonts w:ascii="Palatino Linotype" w:eastAsia="Palatino Linotype" w:hAnsi="Palatino Linotype" w:cs="Palatino Linotype"/>
          <w:b/>
          <w:i/>
        </w:rPr>
        <w:t>“DESECHAMIENTO O SOBRESEIMIENTO EN EL JUICIO DE AMPARO. NO IMPLICA DENEGACIÓN DE JUSTICIA NI GENERA INSEGURIDAD JURÍDICA”</w:t>
      </w:r>
    </w:p>
    <w:p w:rsidR="0044042A" w:rsidRPr="008B60BF" w:rsidRDefault="0044042A" w:rsidP="00D13D4B">
      <w:pPr>
        <w:pStyle w:val="Prrafodelista"/>
        <w:spacing w:line="360" w:lineRule="auto"/>
        <w:ind w:left="360" w:right="902"/>
        <w:jc w:val="both"/>
        <w:rPr>
          <w:rFonts w:ascii="Palatino Linotype" w:eastAsia="Palatino Linotype" w:hAnsi="Palatino Linotype" w:cs="Palatino Linotype"/>
          <w:i/>
        </w:rPr>
      </w:pPr>
      <w:r w:rsidRPr="008B60BF">
        <w:rPr>
          <w:rFonts w:ascii="Palatino Linotype" w:eastAsia="Palatino Linotype" w:hAnsi="Palatino Linotype" w:cs="Palatino Linotype"/>
          <w:i/>
        </w:rPr>
        <w:lastRenderedPageBreak/>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rsidR="0044042A" w:rsidRPr="008B60BF" w:rsidRDefault="0044042A" w:rsidP="00D13D4B">
      <w:pPr>
        <w:pStyle w:val="Prrafodelista"/>
        <w:spacing w:line="360" w:lineRule="auto"/>
        <w:ind w:left="360" w:right="902"/>
        <w:jc w:val="both"/>
        <w:rPr>
          <w:rFonts w:ascii="Palatino Linotype" w:eastAsia="Palatino Linotype" w:hAnsi="Palatino Linotype" w:cs="Palatino Linotype"/>
          <w:i/>
        </w:rPr>
      </w:pPr>
    </w:p>
    <w:p w:rsidR="0044042A" w:rsidRPr="008B60BF" w:rsidRDefault="00552147" w:rsidP="00B5782D">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8B60BF">
        <w:rPr>
          <w:rFonts w:ascii="Palatino Linotype" w:eastAsia="Palatino Linotype" w:hAnsi="Palatino Linotype" w:cs="Palatino Linotype"/>
        </w:rPr>
        <w:t>P</w:t>
      </w:r>
      <w:r w:rsidR="00794056" w:rsidRPr="008B60BF">
        <w:rPr>
          <w:rFonts w:ascii="Palatino Linotype" w:eastAsia="Palatino Linotype" w:hAnsi="Palatino Linotype" w:cs="Palatino Linotype"/>
        </w:rPr>
        <w:t>or lo que al haberse remitido en el presente asunto lo puntualmente impugnado en calidad de informe justificado, se reitera la procedencia del sobreseimiento</w:t>
      </w:r>
      <w:r w:rsidR="0044042A" w:rsidRPr="008B60BF">
        <w:rPr>
          <w:rFonts w:ascii="Palatino Linotype" w:eastAsia="Palatino Linotype" w:hAnsi="Palatino Linotype" w:cs="Palatino Linotype"/>
        </w:rPr>
        <w:t xml:space="preserve"> con fundamento en la segunda hipótesis de la fracción I del artículo 186, de la Ley de Transparencia y Acceso a la Información Pública del Estado de México y Municipios, se </w:t>
      </w:r>
      <w:r w:rsidR="0044042A" w:rsidRPr="008B60BF">
        <w:rPr>
          <w:rFonts w:ascii="Palatino Linotype" w:eastAsia="Palatino Linotype" w:hAnsi="Palatino Linotype" w:cs="Palatino Linotype"/>
          <w:b/>
        </w:rPr>
        <w:t xml:space="preserve">sobresee </w:t>
      </w:r>
      <w:r w:rsidR="0044042A" w:rsidRPr="008B60BF">
        <w:rPr>
          <w:rFonts w:ascii="Palatino Linotype" w:eastAsia="Palatino Linotype" w:hAnsi="Palatino Linotype" w:cs="Palatino Linotype"/>
        </w:rPr>
        <w:t xml:space="preserve">el Recurso de Revisión </w:t>
      </w:r>
      <w:r w:rsidR="007C3D34" w:rsidRPr="008B60BF">
        <w:rPr>
          <w:rFonts w:ascii="Palatino Linotype" w:eastAsia="Palatino Linotype" w:hAnsi="Palatino Linotype" w:cs="Palatino Linotype"/>
          <w:b/>
        </w:rPr>
        <w:t>01813</w:t>
      </w:r>
      <w:r w:rsidRPr="008B60BF">
        <w:rPr>
          <w:rFonts w:ascii="Palatino Linotype" w:eastAsia="Palatino Linotype" w:hAnsi="Palatino Linotype" w:cs="Palatino Linotype"/>
          <w:b/>
        </w:rPr>
        <w:t>/INFOEM/IP/RR/2026</w:t>
      </w:r>
      <w:r w:rsidR="0044042A" w:rsidRPr="008B60BF">
        <w:rPr>
          <w:rFonts w:ascii="Palatino Linotype" w:eastAsia="Palatino Linotype" w:hAnsi="Palatino Linotype" w:cs="Palatino Linotype"/>
        </w:rPr>
        <w:t>, que ha sido materia del presente fallo.</w:t>
      </w:r>
    </w:p>
    <w:p w:rsidR="009D364A" w:rsidRPr="008B60BF" w:rsidRDefault="009D364A" w:rsidP="00D13D4B">
      <w:pPr>
        <w:pBdr>
          <w:top w:val="nil"/>
          <w:left w:val="nil"/>
          <w:bottom w:val="nil"/>
          <w:right w:val="nil"/>
          <w:between w:val="nil"/>
        </w:pBdr>
        <w:spacing w:line="360" w:lineRule="auto"/>
        <w:ind w:right="49"/>
        <w:jc w:val="both"/>
        <w:rPr>
          <w:rFonts w:ascii="Palatino Linotype" w:hAnsi="Palatino Linotype" w:cs="Arial"/>
          <w:color w:val="000000" w:themeColor="text1"/>
        </w:rPr>
      </w:pPr>
    </w:p>
    <w:p w:rsidR="0044042A" w:rsidRPr="008B60BF" w:rsidRDefault="0044042A"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color w:val="000000" w:themeColor="text1"/>
        </w:rPr>
      </w:pPr>
      <w:r w:rsidRPr="008B60BF">
        <w:rPr>
          <w:rFonts w:ascii="Palatino Linotype" w:eastAsia="Palatino Linotype" w:hAnsi="Palatino Linotype" w:cs="Palatino Linotype"/>
        </w:rPr>
        <w:t xml:space="preserve">Así, con fundamento en lo prescrito en los artículos 5 párrafos trigésimo, trigésimo primero y trigésimo segundo de la Constitución Política del Estado Libre y Soberano de México; 2, fracción II; 29, 36 fracciones I y II; 176, 178, 181, 185 y 186 fracción II de la Ley de </w:t>
      </w:r>
      <w:r w:rsidRPr="008B60BF">
        <w:rPr>
          <w:rFonts w:ascii="Palatino Linotype" w:eastAsia="Palatino Linotype" w:hAnsi="Palatino Linotype" w:cs="Palatino Linotype"/>
        </w:rPr>
        <w:lastRenderedPageBreak/>
        <w:t>Transparencia y Acceso a la Información Pública del Estado de México y Municipios, este Pleno</w:t>
      </w:r>
      <w:r w:rsidRPr="008B60BF">
        <w:rPr>
          <w:rFonts w:ascii="Palatino Linotype" w:eastAsia="Palatino Linotype" w:hAnsi="Palatino Linotype" w:cs="Palatino Linotype"/>
          <w:color w:val="000000"/>
        </w:rPr>
        <w:t xml:space="preserve"> emite los siguientes:</w:t>
      </w:r>
    </w:p>
    <w:p w:rsidR="0044042A" w:rsidRPr="008B60BF" w:rsidRDefault="0044042A" w:rsidP="00D13D4B">
      <w:pPr>
        <w:spacing w:line="360" w:lineRule="auto"/>
        <w:contextualSpacing/>
        <w:jc w:val="center"/>
        <w:rPr>
          <w:rFonts w:ascii="Palatino Linotype" w:eastAsia="Palatino Linotype" w:hAnsi="Palatino Linotype" w:cs="Palatino Linotype"/>
        </w:rPr>
      </w:pPr>
    </w:p>
    <w:p w:rsidR="0044042A" w:rsidRPr="008B60BF" w:rsidRDefault="0044042A" w:rsidP="00D13D4B">
      <w:pPr>
        <w:pBdr>
          <w:top w:val="nil"/>
          <w:left w:val="nil"/>
          <w:bottom w:val="nil"/>
          <w:right w:val="nil"/>
          <w:between w:val="nil"/>
        </w:pBdr>
        <w:spacing w:line="360" w:lineRule="auto"/>
        <w:jc w:val="center"/>
        <w:rPr>
          <w:rFonts w:ascii="Palatino Linotype" w:eastAsia="Palatino Linotype" w:hAnsi="Palatino Linotype" w:cs="Palatino Linotype"/>
          <w:b/>
        </w:rPr>
      </w:pPr>
      <w:r w:rsidRPr="008B60BF">
        <w:rPr>
          <w:rFonts w:ascii="Palatino Linotype" w:eastAsia="Palatino Linotype" w:hAnsi="Palatino Linotype" w:cs="Palatino Linotype"/>
          <w:b/>
        </w:rPr>
        <w:t>R E S O L U T I V O S</w:t>
      </w:r>
    </w:p>
    <w:p w:rsidR="0044042A" w:rsidRPr="008B60BF" w:rsidRDefault="0044042A" w:rsidP="00D13D4B">
      <w:pPr>
        <w:pBdr>
          <w:top w:val="nil"/>
          <w:left w:val="nil"/>
          <w:bottom w:val="nil"/>
          <w:right w:val="nil"/>
          <w:between w:val="nil"/>
        </w:pBdr>
        <w:spacing w:line="360" w:lineRule="auto"/>
        <w:jc w:val="center"/>
        <w:rPr>
          <w:rFonts w:ascii="Palatino Linotype" w:eastAsia="Palatino Linotype" w:hAnsi="Palatino Linotype" w:cs="Palatino Linotype"/>
          <w:b/>
        </w:rPr>
      </w:pPr>
    </w:p>
    <w:p w:rsidR="0044042A" w:rsidRPr="008B60BF" w:rsidRDefault="0044042A" w:rsidP="00D13D4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8B60BF">
        <w:rPr>
          <w:rFonts w:ascii="Palatino Linotype" w:eastAsia="Palatino Linotype" w:hAnsi="Palatino Linotype" w:cs="Palatino Linotype"/>
          <w:b/>
          <w:color w:val="000000"/>
        </w:rPr>
        <w:t xml:space="preserve">PRIMERO. </w:t>
      </w:r>
      <w:r w:rsidRPr="008B60BF">
        <w:rPr>
          <w:rFonts w:ascii="Palatino Linotype" w:eastAsia="Palatino Linotype" w:hAnsi="Palatino Linotype" w:cs="Palatino Linotype"/>
          <w:color w:val="000000"/>
        </w:rPr>
        <w:t xml:space="preserve">Se </w:t>
      </w:r>
      <w:r w:rsidRPr="008B60BF">
        <w:rPr>
          <w:rFonts w:ascii="Palatino Linotype" w:eastAsia="Palatino Linotype" w:hAnsi="Palatino Linotype" w:cs="Palatino Linotype"/>
          <w:b/>
          <w:color w:val="000000"/>
        </w:rPr>
        <w:t>SOBRESEE</w:t>
      </w:r>
      <w:r w:rsidRPr="008B60BF">
        <w:rPr>
          <w:rFonts w:ascii="Palatino Linotype" w:eastAsia="Palatino Linotype" w:hAnsi="Palatino Linotype" w:cs="Palatino Linotype"/>
          <w:color w:val="000000"/>
        </w:rPr>
        <w:t xml:space="preserve"> el Recurso de Revisión número </w:t>
      </w:r>
      <w:r w:rsidR="007C3D34" w:rsidRPr="008B60BF">
        <w:rPr>
          <w:rFonts w:ascii="Palatino Linotype" w:eastAsia="Palatino Linotype" w:hAnsi="Palatino Linotype" w:cs="Palatino Linotype"/>
          <w:b/>
          <w:color w:val="000000"/>
        </w:rPr>
        <w:t>01813</w:t>
      </w:r>
      <w:r w:rsidR="00552147" w:rsidRPr="008B60BF">
        <w:rPr>
          <w:rFonts w:ascii="Palatino Linotype" w:eastAsia="Palatino Linotype" w:hAnsi="Palatino Linotype" w:cs="Palatino Linotype"/>
          <w:b/>
          <w:color w:val="000000"/>
        </w:rPr>
        <w:t>/INFOEM/IP/RR/2026</w:t>
      </w:r>
      <w:r w:rsidRPr="008B60BF">
        <w:rPr>
          <w:rFonts w:ascii="Palatino Linotype" w:eastAsia="Palatino Linotype" w:hAnsi="Palatino Linotype" w:cs="Palatino Linotype"/>
          <w:color w:val="000000"/>
        </w:rPr>
        <w:t>, conforme al artículo 192</w:t>
      </w:r>
      <w:r w:rsidR="00B1448E" w:rsidRPr="008B60BF">
        <w:rPr>
          <w:rFonts w:ascii="Palatino Linotype" w:eastAsia="Palatino Linotype" w:hAnsi="Palatino Linotype" w:cs="Palatino Linotype"/>
          <w:color w:val="000000"/>
        </w:rPr>
        <w:t>,</w:t>
      </w:r>
      <w:r w:rsidRPr="008B60BF">
        <w:rPr>
          <w:rFonts w:ascii="Palatino Linotype" w:eastAsia="Palatino Linotype" w:hAnsi="Palatino Linotype" w:cs="Palatino Linotype"/>
          <w:color w:val="000000"/>
        </w:rPr>
        <w:t xml:space="preserve"> fracción III</w:t>
      </w:r>
      <w:r w:rsidR="00B1448E" w:rsidRPr="008B60BF">
        <w:rPr>
          <w:rFonts w:ascii="Palatino Linotype" w:eastAsia="Palatino Linotype" w:hAnsi="Palatino Linotype" w:cs="Palatino Linotype"/>
          <w:color w:val="000000"/>
        </w:rPr>
        <w:t>,</w:t>
      </w:r>
      <w:r w:rsidRPr="008B60BF">
        <w:rPr>
          <w:rFonts w:ascii="Palatino Linotype" w:eastAsia="Palatino Linotype" w:hAnsi="Palatino Linotype" w:cs="Palatino Linotype"/>
        </w:rPr>
        <w:t xml:space="preserve"> de la Ley de Transparencia y Acceso a la Información Pública del Estado de México y Municipios</w:t>
      </w:r>
      <w:r w:rsidRPr="008B60BF">
        <w:rPr>
          <w:rFonts w:ascii="Palatino Linotype" w:eastAsia="Palatino Linotype" w:hAnsi="Palatino Linotype" w:cs="Palatino Linotype"/>
          <w:color w:val="000000"/>
        </w:rPr>
        <w:t xml:space="preserve">, porque al modificar su respuesta el </w:t>
      </w:r>
      <w:r w:rsidRPr="008B60BF">
        <w:rPr>
          <w:rFonts w:ascii="Palatino Linotype" w:eastAsia="Palatino Linotype" w:hAnsi="Palatino Linotype" w:cs="Palatino Linotype"/>
          <w:b/>
          <w:color w:val="000000"/>
        </w:rPr>
        <w:t>SUJETO OBLIGADO</w:t>
      </w:r>
      <w:r w:rsidRPr="008B60BF">
        <w:rPr>
          <w:rFonts w:ascii="Palatino Linotype" w:eastAsia="Palatino Linotype" w:hAnsi="Palatino Linotype" w:cs="Palatino Linotype"/>
          <w:color w:val="000000"/>
        </w:rPr>
        <w:t xml:space="preserve">; el Recurso de Revisión quedó sin materia en términos del  Considerando </w:t>
      </w:r>
      <w:r w:rsidRPr="008B60BF">
        <w:rPr>
          <w:rFonts w:ascii="Palatino Linotype" w:eastAsia="Palatino Linotype" w:hAnsi="Palatino Linotype" w:cs="Palatino Linotype"/>
          <w:b/>
          <w:color w:val="000000"/>
        </w:rPr>
        <w:t>TERCERO</w:t>
      </w:r>
      <w:r w:rsidRPr="008B60BF">
        <w:rPr>
          <w:rFonts w:ascii="Palatino Linotype" w:eastAsia="Palatino Linotype" w:hAnsi="Palatino Linotype" w:cs="Palatino Linotype"/>
          <w:color w:val="000000"/>
        </w:rPr>
        <w:t xml:space="preserve"> de la presente Resolución.</w:t>
      </w:r>
    </w:p>
    <w:p w:rsidR="0044042A" w:rsidRPr="008B60BF" w:rsidRDefault="0044042A" w:rsidP="00D13D4B">
      <w:pPr>
        <w:spacing w:line="360" w:lineRule="auto"/>
        <w:ind w:right="49"/>
        <w:jc w:val="both"/>
        <w:rPr>
          <w:rFonts w:ascii="Palatino Linotype" w:eastAsia="Palatino Linotype" w:hAnsi="Palatino Linotype" w:cs="Palatino Linotype"/>
          <w:b/>
        </w:rPr>
      </w:pPr>
    </w:p>
    <w:p w:rsidR="0044042A" w:rsidRPr="008B60BF" w:rsidRDefault="0044042A"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bookmarkStart w:id="32" w:name="_heading=h.35nkun2" w:colFirst="0" w:colLast="0"/>
      <w:bookmarkEnd w:id="32"/>
      <w:r w:rsidRPr="008B60BF">
        <w:rPr>
          <w:rFonts w:ascii="Palatino Linotype" w:eastAsia="Palatino Linotype" w:hAnsi="Palatino Linotype" w:cs="Palatino Linotype"/>
          <w:b/>
          <w:color w:val="000000"/>
        </w:rPr>
        <w:t xml:space="preserve">SEGUNDO. Notifíquese </w:t>
      </w:r>
      <w:r w:rsidRPr="008B60BF">
        <w:rPr>
          <w:rFonts w:ascii="Palatino Linotype" w:eastAsia="Palatino Linotype" w:hAnsi="Palatino Linotype" w:cs="Palatino Linotype"/>
          <w:color w:val="000000"/>
        </w:rPr>
        <w:t xml:space="preserve">a través del Sistema de Acceso a la Información Mexiquense </w:t>
      </w:r>
      <w:r w:rsidRPr="008B60BF">
        <w:rPr>
          <w:rFonts w:ascii="Palatino Linotype" w:eastAsia="Palatino Linotype" w:hAnsi="Palatino Linotype" w:cs="Palatino Linotype"/>
          <w:b/>
          <w:color w:val="000000"/>
        </w:rPr>
        <w:t xml:space="preserve">(SAIMEX) </w:t>
      </w:r>
      <w:r w:rsidRPr="008B60BF">
        <w:rPr>
          <w:rFonts w:ascii="Palatino Linotype" w:eastAsia="Palatino Linotype" w:hAnsi="Palatino Linotype" w:cs="Palatino Linotype"/>
          <w:color w:val="000000"/>
        </w:rPr>
        <w:t>la presente Resolución al Titular de la Unidad de Transparencia del</w:t>
      </w:r>
      <w:r w:rsidRPr="008B60BF">
        <w:rPr>
          <w:rFonts w:ascii="Palatino Linotype" w:eastAsia="Palatino Linotype" w:hAnsi="Palatino Linotype" w:cs="Palatino Linotype"/>
          <w:b/>
          <w:color w:val="000000"/>
        </w:rPr>
        <w:t xml:space="preserve"> SUJETO OBLIGADO</w:t>
      </w:r>
      <w:r w:rsidRPr="008B60BF">
        <w:rPr>
          <w:rFonts w:ascii="Palatino Linotype" w:eastAsia="Palatino Linotype" w:hAnsi="Palatino Linotype" w:cs="Palatino Linotype"/>
          <w:color w:val="000000"/>
        </w:rPr>
        <w:t>, para su conocimiento.</w:t>
      </w:r>
      <w:r w:rsidRPr="008B60BF">
        <w:rPr>
          <w:rFonts w:ascii="Palatino Linotype" w:eastAsia="Palatino Linotype" w:hAnsi="Palatino Linotype" w:cs="Palatino Linotype"/>
          <w:b/>
          <w:color w:val="000000"/>
        </w:rPr>
        <w:t xml:space="preserve"> </w:t>
      </w:r>
    </w:p>
    <w:p w:rsidR="00794056" w:rsidRPr="008B60BF" w:rsidRDefault="00794056"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44042A" w:rsidRPr="008B60BF" w:rsidRDefault="0044042A"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8B60BF">
        <w:rPr>
          <w:rFonts w:ascii="Palatino Linotype" w:eastAsia="Palatino Linotype" w:hAnsi="Palatino Linotype" w:cs="Palatino Linotype"/>
          <w:b/>
          <w:color w:val="000000"/>
        </w:rPr>
        <w:t xml:space="preserve">TERCERO. Notifíquese </w:t>
      </w:r>
      <w:r w:rsidRPr="008B60BF">
        <w:rPr>
          <w:rFonts w:ascii="Palatino Linotype" w:eastAsia="Palatino Linotype" w:hAnsi="Palatino Linotype" w:cs="Palatino Linotype"/>
          <w:color w:val="000000"/>
        </w:rPr>
        <w:t xml:space="preserve">a </w:t>
      </w:r>
      <w:r w:rsidR="008811C5" w:rsidRPr="008B60BF">
        <w:rPr>
          <w:rFonts w:ascii="Palatino Linotype" w:eastAsia="Palatino Linotype" w:hAnsi="Palatino Linotype" w:cs="Palatino Linotype"/>
          <w:b/>
          <w:color w:val="000000"/>
        </w:rPr>
        <w:t>LA RECURRENTE</w:t>
      </w:r>
      <w:r w:rsidRPr="008B60BF">
        <w:rPr>
          <w:rFonts w:ascii="Palatino Linotype" w:eastAsia="Palatino Linotype" w:hAnsi="Palatino Linotype" w:cs="Palatino Linotype"/>
          <w:b/>
          <w:color w:val="000000"/>
        </w:rPr>
        <w:t xml:space="preserve"> </w:t>
      </w:r>
      <w:r w:rsidRPr="008B60BF">
        <w:rPr>
          <w:rFonts w:ascii="Palatino Linotype" w:eastAsia="Palatino Linotype" w:hAnsi="Palatino Linotype" w:cs="Palatino Linotype"/>
          <w:color w:val="000000"/>
        </w:rPr>
        <w:t xml:space="preserve">la presente Resolución, vía </w:t>
      </w:r>
      <w:r w:rsidRPr="008B60BF">
        <w:rPr>
          <w:rFonts w:ascii="Palatino Linotype" w:eastAsia="Palatino Linotype" w:hAnsi="Palatino Linotype" w:cs="Palatino Linotype"/>
          <w:b/>
          <w:color w:val="000000"/>
        </w:rPr>
        <w:t>SAIMEX.</w:t>
      </w:r>
    </w:p>
    <w:p w:rsidR="00D13D4B" w:rsidRPr="008B60BF" w:rsidRDefault="00D13D4B"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44042A" w:rsidRPr="008B60BF" w:rsidRDefault="0044042A" w:rsidP="00D13D4B">
      <w:pPr>
        <w:shd w:val="clear" w:color="auto" w:fill="FFFFFF"/>
        <w:spacing w:line="360" w:lineRule="auto"/>
        <w:ind w:right="49"/>
        <w:jc w:val="both"/>
        <w:rPr>
          <w:rFonts w:ascii="Palatino Linotype" w:eastAsia="Palatino Linotype" w:hAnsi="Palatino Linotype" w:cs="Palatino Linotype"/>
        </w:rPr>
      </w:pPr>
      <w:r w:rsidRPr="008B60BF">
        <w:rPr>
          <w:rFonts w:ascii="Palatino Linotype" w:eastAsia="Palatino Linotype" w:hAnsi="Palatino Linotype" w:cs="Palatino Linotype"/>
          <w:b/>
        </w:rPr>
        <w:t>CUARTO.</w:t>
      </w:r>
      <w:r w:rsidRPr="008B60BF">
        <w:rPr>
          <w:rFonts w:ascii="Palatino Linotype" w:eastAsia="Palatino Linotype" w:hAnsi="Palatino Linotype" w:cs="Palatino Linotype"/>
        </w:rPr>
        <w:t xml:space="preserve"> Se hace del conocimiento de </w:t>
      </w:r>
      <w:r w:rsidR="008811C5" w:rsidRPr="008B60BF">
        <w:rPr>
          <w:rFonts w:ascii="Palatino Linotype" w:eastAsia="Palatino Linotype" w:hAnsi="Palatino Linotype" w:cs="Palatino Linotype"/>
          <w:b/>
        </w:rPr>
        <w:t>LA RECURRENTE</w:t>
      </w:r>
      <w:r w:rsidRPr="008B60BF">
        <w:rPr>
          <w:rFonts w:ascii="Palatino Linotype" w:eastAsia="Palatino Linotype" w:hAnsi="Palatino Linotype" w:cs="Palatino Linotype"/>
          <w:b/>
        </w:rPr>
        <w:t xml:space="preserve"> </w:t>
      </w:r>
      <w:r w:rsidRPr="008B60BF">
        <w:rPr>
          <w:rFonts w:ascii="Palatino Linotype" w:eastAsia="Palatino Linotype" w:hAnsi="Palatino Linotype" w:cs="Palatino Linotype"/>
        </w:rPr>
        <w:t>que de conformidad con lo establecido en el artículo 196 de la Ley de Transparencia y Acceso a la Información Pública del Estado de México y Municipios, e</w:t>
      </w:r>
      <w:r w:rsidR="00D13D4B" w:rsidRPr="008B60BF">
        <w:rPr>
          <w:rFonts w:ascii="Palatino Linotype" w:eastAsia="Palatino Linotype" w:hAnsi="Palatino Linotype" w:cs="Palatino Linotype"/>
        </w:rPr>
        <w:t>n caso de que considere que la R</w:t>
      </w:r>
      <w:r w:rsidRPr="008B60BF">
        <w:rPr>
          <w:rFonts w:ascii="Palatino Linotype" w:eastAsia="Palatino Linotype" w:hAnsi="Palatino Linotype" w:cs="Palatino Linotype"/>
        </w:rPr>
        <w:t>esolución le cause algún perjuicio podrá impugnar vía juicio de amparo en los términos de las leyes aplicables.</w:t>
      </w:r>
    </w:p>
    <w:p w:rsidR="00083BB7" w:rsidRPr="008B60BF" w:rsidRDefault="00083BB7" w:rsidP="00D13D4B">
      <w:pPr>
        <w:shd w:val="clear" w:color="auto" w:fill="FFFFFF"/>
        <w:spacing w:line="360" w:lineRule="auto"/>
        <w:ind w:right="49"/>
        <w:jc w:val="both"/>
        <w:rPr>
          <w:rFonts w:ascii="Palatino Linotype" w:eastAsia="Palatino Linotype" w:hAnsi="Palatino Linotype" w:cs="Palatino Linotype"/>
        </w:rPr>
      </w:pPr>
    </w:p>
    <w:p w:rsidR="00B1448E" w:rsidRPr="008B60BF" w:rsidRDefault="00B1448E" w:rsidP="00B1448E">
      <w:pPr>
        <w:spacing w:before="240" w:after="240" w:line="360" w:lineRule="auto"/>
        <w:ind w:firstLine="1"/>
        <w:jc w:val="both"/>
        <w:rPr>
          <w:rFonts w:ascii="Palatino Linotype" w:hAnsi="Palatino Linotype"/>
        </w:rPr>
      </w:pPr>
      <w:bookmarkStart w:id="33" w:name="_Hlk99014733"/>
      <w:r w:rsidRPr="008B60BF">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8B60BF">
        <w:rPr>
          <w:rFonts w:ascii="Palatino Linotype" w:hAnsi="Palatino Linotype" w:cs="Palatino Linotype"/>
          <w:color w:val="000000" w:themeColor="text1"/>
        </w:rPr>
        <w:t>ALEXIS TAPIA RAMÍREZ.</w:t>
      </w:r>
    </w:p>
    <w:bookmarkEnd w:id="33"/>
    <w:p w:rsidR="00B84DF1" w:rsidRPr="008B60BF" w:rsidRDefault="00B84DF1" w:rsidP="00D13D4B">
      <w:pPr>
        <w:spacing w:line="360" w:lineRule="auto"/>
        <w:ind w:right="49"/>
        <w:rPr>
          <w:rFonts w:ascii="Palatino Linotype" w:eastAsia="Palatino Linotype" w:hAnsi="Palatino Linotype" w:cs="Palatino Linotype"/>
        </w:rPr>
      </w:pPr>
    </w:p>
    <w:p w:rsidR="00B84DF1" w:rsidRPr="008B60BF" w:rsidRDefault="00B84DF1" w:rsidP="00D13D4B">
      <w:pPr>
        <w:spacing w:line="360" w:lineRule="auto"/>
        <w:ind w:right="49"/>
        <w:rPr>
          <w:rFonts w:ascii="Palatino Linotype" w:eastAsia="Palatino Linotype" w:hAnsi="Palatino Linotype" w:cs="Palatino Linotype"/>
        </w:rPr>
      </w:pPr>
    </w:p>
    <w:p w:rsidR="00B84DF1" w:rsidRPr="008B60BF" w:rsidRDefault="00B84DF1" w:rsidP="00D13D4B">
      <w:pPr>
        <w:spacing w:line="360" w:lineRule="auto"/>
        <w:ind w:right="49"/>
        <w:rPr>
          <w:rFonts w:ascii="Palatino Linotype" w:eastAsia="Palatino Linotype" w:hAnsi="Palatino Linotype" w:cs="Palatino Linotype"/>
        </w:rPr>
      </w:pPr>
    </w:p>
    <w:p w:rsidR="00B84DF1" w:rsidRPr="008B60BF" w:rsidRDefault="00B84DF1" w:rsidP="00D13D4B">
      <w:pPr>
        <w:spacing w:line="360" w:lineRule="auto"/>
        <w:ind w:right="49"/>
        <w:rPr>
          <w:rFonts w:ascii="Palatino Linotype" w:eastAsia="Palatino Linotype" w:hAnsi="Palatino Linotype" w:cs="Palatino Linotype"/>
        </w:rPr>
      </w:pPr>
    </w:p>
    <w:p w:rsidR="00B84DF1" w:rsidRPr="008B60BF" w:rsidRDefault="00B84DF1" w:rsidP="00D13D4B">
      <w:pPr>
        <w:spacing w:line="360" w:lineRule="auto"/>
        <w:ind w:right="49"/>
        <w:rPr>
          <w:rFonts w:ascii="Palatino Linotype" w:eastAsia="Palatino Linotype" w:hAnsi="Palatino Linotype" w:cs="Palatino Linotype"/>
        </w:rPr>
      </w:pPr>
    </w:p>
    <w:p w:rsidR="00B84DF1" w:rsidRPr="008B60BF" w:rsidRDefault="009D3673" w:rsidP="00D13D4B">
      <w:pPr>
        <w:tabs>
          <w:tab w:val="left" w:pos="3374"/>
        </w:tabs>
        <w:spacing w:line="360" w:lineRule="auto"/>
        <w:ind w:right="49"/>
        <w:rPr>
          <w:rFonts w:ascii="Palatino Linotype" w:eastAsia="Palatino Linotype" w:hAnsi="Palatino Linotype" w:cs="Palatino Linotype"/>
        </w:rPr>
      </w:pPr>
      <w:r w:rsidRPr="008B60BF">
        <w:rPr>
          <w:rFonts w:ascii="Palatino Linotype" w:eastAsia="Palatino Linotype" w:hAnsi="Palatino Linotype" w:cs="Palatino Linotype"/>
        </w:rPr>
        <w:tab/>
      </w:r>
    </w:p>
    <w:p w:rsidR="00B84DF1" w:rsidRPr="008B60BF" w:rsidRDefault="00B84DF1" w:rsidP="00D13D4B">
      <w:pPr>
        <w:tabs>
          <w:tab w:val="left" w:pos="3374"/>
        </w:tabs>
        <w:spacing w:line="360" w:lineRule="auto"/>
        <w:ind w:right="49"/>
        <w:rPr>
          <w:rFonts w:ascii="Palatino Linotype" w:eastAsia="Palatino Linotype" w:hAnsi="Palatino Linotype" w:cs="Palatino Linotype"/>
        </w:rPr>
      </w:pPr>
    </w:p>
    <w:p w:rsidR="00B84DF1" w:rsidRPr="008B60BF" w:rsidRDefault="00B84DF1" w:rsidP="00D13D4B">
      <w:pPr>
        <w:tabs>
          <w:tab w:val="left" w:pos="3374"/>
        </w:tabs>
        <w:spacing w:line="360" w:lineRule="auto"/>
        <w:ind w:right="49"/>
        <w:rPr>
          <w:rFonts w:ascii="Palatino Linotype" w:eastAsia="Palatino Linotype" w:hAnsi="Palatino Linotype" w:cs="Palatino Linotype"/>
        </w:rPr>
      </w:pPr>
    </w:p>
    <w:p w:rsidR="00B84DF1" w:rsidRPr="008B60BF" w:rsidRDefault="00B84DF1" w:rsidP="00D13D4B">
      <w:pPr>
        <w:tabs>
          <w:tab w:val="left" w:pos="3374"/>
        </w:tabs>
        <w:spacing w:line="360" w:lineRule="auto"/>
        <w:ind w:right="49"/>
        <w:rPr>
          <w:rFonts w:ascii="Palatino Linotype" w:eastAsia="Palatino Linotype" w:hAnsi="Palatino Linotype" w:cs="Palatino Linotype"/>
        </w:rPr>
      </w:pPr>
    </w:p>
    <w:p w:rsidR="00B84DF1" w:rsidRPr="008B60BF" w:rsidRDefault="00B84DF1" w:rsidP="00D13D4B">
      <w:pPr>
        <w:tabs>
          <w:tab w:val="left" w:pos="3374"/>
        </w:tabs>
        <w:spacing w:line="360" w:lineRule="auto"/>
        <w:ind w:right="49"/>
        <w:rPr>
          <w:rFonts w:ascii="Palatino Linotype" w:eastAsia="Palatino Linotype" w:hAnsi="Palatino Linotype" w:cs="Palatino Linotype"/>
        </w:rPr>
      </w:pPr>
    </w:p>
    <w:p w:rsidR="00B84DF1" w:rsidRPr="008B60BF" w:rsidRDefault="00B84DF1" w:rsidP="00D13D4B">
      <w:pPr>
        <w:tabs>
          <w:tab w:val="left" w:pos="3374"/>
        </w:tabs>
        <w:spacing w:line="360" w:lineRule="auto"/>
        <w:ind w:right="49"/>
        <w:rPr>
          <w:rFonts w:ascii="Palatino Linotype" w:eastAsia="Palatino Linotype" w:hAnsi="Palatino Linotype" w:cs="Palatino Linotype"/>
        </w:rPr>
      </w:pPr>
    </w:p>
    <w:p w:rsidR="00B84DF1" w:rsidRPr="008B60BF" w:rsidRDefault="00B84DF1" w:rsidP="00D13D4B">
      <w:pPr>
        <w:tabs>
          <w:tab w:val="left" w:pos="3374"/>
        </w:tabs>
        <w:spacing w:line="360" w:lineRule="auto"/>
        <w:ind w:right="49"/>
        <w:rPr>
          <w:rFonts w:ascii="Palatino Linotype" w:eastAsia="Palatino Linotype" w:hAnsi="Palatino Linotype" w:cs="Palatino Linotype"/>
        </w:rPr>
      </w:pPr>
    </w:p>
    <w:p w:rsidR="00B84DF1" w:rsidRPr="008B60BF" w:rsidRDefault="00B84DF1" w:rsidP="00D13D4B">
      <w:pPr>
        <w:tabs>
          <w:tab w:val="left" w:pos="3374"/>
        </w:tabs>
        <w:spacing w:line="360" w:lineRule="auto"/>
        <w:ind w:right="49"/>
        <w:rPr>
          <w:rFonts w:ascii="Palatino Linotype" w:eastAsia="Palatino Linotype" w:hAnsi="Palatino Linotype" w:cs="Palatino Linotype"/>
        </w:rPr>
      </w:pPr>
    </w:p>
    <w:p w:rsidR="00B84DF1" w:rsidRPr="008B60BF" w:rsidRDefault="00B84DF1" w:rsidP="00D13D4B">
      <w:pPr>
        <w:tabs>
          <w:tab w:val="left" w:pos="3374"/>
        </w:tabs>
        <w:spacing w:line="360" w:lineRule="auto"/>
        <w:ind w:right="49"/>
        <w:rPr>
          <w:rFonts w:ascii="Palatino Linotype" w:eastAsia="Palatino Linotype" w:hAnsi="Palatino Linotype" w:cs="Palatino Linotype"/>
        </w:rPr>
      </w:pPr>
    </w:p>
    <w:p w:rsidR="00B84DF1" w:rsidRPr="008B60BF" w:rsidRDefault="00B84DF1"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p w:rsidR="001C254D" w:rsidRPr="008B60BF" w:rsidRDefault="001C254D" w:rsidP="00D13D4B">
      <w:pPr>
        <w:spacing w:line="360" w:lineRule="auto"/>
        <w:ind w:right="49"/>
        <w:rPr>
          <w:rFonts w:ascii="Palatino Linotype" w:eastAsia="Palatino Linotype" w:hAnsi="Palatino Linotype" w:cs="Palatino Linotype"/>
        </w:rPr>
      </w:pPr>
    </w:p>
    <w:sectPr w:rsidR="001C254D" w:rsidRPr="008B60BF" w:rsidSect="008B60BF">
      <w:headerReference w:type="even" r:id="rId9"/>
      <w:headerReference w:type="default" r:id="rId10"/>
      <w:footerReference w:type="default" r:id="rId11"/>
      <w:headerReference w:type="first" r:id="rId12"/>
      <w:footerReference w:type="first" r:id="rId13"/>
      <w:pgSz w:w="12240" w:h="15840"/>
      <w:pgMar w:top="2268"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FD8" w:rsidRDefault="00424FD8">
      <w:r>
        <w:separator/>
      </w:r>
    </w:p>
  </w:endnote>
  <w:endnote w:type="continuationSeparator" w:id="0">
    <w:p w:rsidR="00424FD8" w:rsidRDefault="0042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989" w:rsidRPr="008B60BF" w:rsidRDefault="00B7098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8B60BF">
      <w:rPr>
        <w:rFonts w:ascii="Palatino Linotype" w:eastAsia="Palatino Linotype" w:hAnsi="Palatino Linotype" w:cs="Palatino Linotype"/>
        <w:color w:val="000000"/>
        <w:sz w:val="22"/>
        <w:szCs w:val="20"/>
      </w:rPr>
      <w:t xml:space="preserve">Página </w:t>
    </w:r>
    <w:r w:rsidRPr="008B60BF">
      <w:rPr>
        <w:rFonts w:ascii="Palatino Linotype" w:eastAsia="Palatino Linotype" w:hAnsi="Palatino Linotype" w:cs="Palatino Linotype"/>
        <w:color w:val="000000"/>
        <w:sz w:val="22"/>
        <w:szCs w:val="20"/>
      </w:rPr>
      <w:fldChar w:fldCharType="begin"/>
    </w:r>
    <w:r w:rsidRPr="008B60BF">
      <w:rPr>
        <w:rFonts w:ascii="Palatino Linotype" w:eastAsia="Palatino Linotype" w:hAnsi="Palatino Linotype" w:cs="Palatino Linotype"/>
        <w:color w:val="000000"/>
        <w:sz w:val="22"/>
        <w:szCs w:val="20"/>
      </w:rPr>
      <w:instrText>PAGE</w:instrText>
    </w:r>
    <w:r w:rsidRPr="008B60BF">
      <w:rPr>
        <w:rFonts w:ascii="Palatino Linotype" w:eastAsia="Palatino Linotype" w:hAnsi="Palatino Linotype" w:cs="Palatino Linotype"/>
        <w:color w:val="000000"/>
        <w:sz w:val="22"/>
        <w:szCs w:val="20"/>
      </w:rPr>
      <w:fldChar w:fldCharType="separate"/>
    </w:r>
    <w:r w:rsidR="00B322B3">
      <w:rPr>
        <w:rFonts w:ascii="Palatino Linotype" w:eastAsia="Palatino Linotype" w:hAnsi="Palatino Linotype" w:cs="Palatino Linotype"/>
        <w:noProof/>
        <w:color w:val="000000"/>
        <w:sz w:val="22"/>
        <w:szCs w:val="20"/>
      </w:rPr>
      <w:t>16</w:t>
    </w:r>
    <w:r w:rsidRPr="008B60BF">
      <w:rPr>
        <w:rFonts w:ascii="Palatino Linotype" w:eastAsia="Palatino Linotype" w:hAnsi="Palatino Linotype" w:cs="Palatino Linotype"/>
        <w:color w:val="000000"/>
        <w:sz w:val="22"/>
        <w:szCs w:val="20"/>
      </w:rPr>
      <w:fldChar w:fldCharType="end"/>
    </w:r>
    <w:r w:rsidRPr="008B60BF">
      <w:rPr>
        <w:rFonts w:ascii="Palatino Linotype" w:eastAsia="Palatino Linotype" w:hAnsi="Palatino Linotype" w:cs="Palatino Linotype"/>
        <w:color w:val="000000"/>
        <w:sz w:val="22"/>
        <w:szCs w:val="20"/>
      </w:rPr>
      <w:t xml:space="preserve"> de </w:t>
    </w:r>
    <w:r w:rsidRPr="008B60BF">
      <w:rPr>
        <w:rFonts w:ascii="Palatino Linotype" w:eastAsia="Palatino Linotype" w:hAnsi="Palatino Linotype" w:cs="Palatino Linotype"/>
        <w:color w:val="000000"/>
        <w:sz w:val="22"/>
        <w:szCs w:val="20"/>
      </w:rPr>
      <w:fldChar w:fldCharType="begin"/>
    </w:r>
    <w:r w:rsidRPr="008B60BF">
      <w:rPr>
        <w:rFonts w:ascii="Palatino Linotype" w:eastAsia="Palatino Linotype" w:hAnsi="Palatino Linotype" w:cs="Palatino Linotype"/>
        <w:color w:val="000000"/>
        <w:sz w:val="22"/>
        <w:szCs w:val="20"/>
      </w:rPr>
      <w:instrText>NUMPAGES</w:instrText>
    </w:r>
    <w:r w:rsidRPr="008B60BF">
      <w:rPr>
        <w:rFonts w:ascii="Palatino Linotype" w:eastAsia="Palatino Linotype" w:hAnsi="Palatino Linotype" w:cs="Palatino Linotype"/>
        <w:color w:val="000000"/>
        <w:sz w:val="22"/>
        <w:szCs w:val="20"/>
      </w:rPr>
      <w:fldChar w:fldCharType="separate"/>
    </w:r>
    <w:r w:rsidR="00B322B3">
      <w:rPr>
        <w:rFonts w:ascii="Palatino Linotype" w:eastAsia="Palatino Linotype" w:hAnsi="Palatino Linotype" w:cs="Palatino Linotype"/>
        <w:noProof/>
        <w:color w:val="000000"/>
        <w:sz w:val="22"/>
        <w:szCs w:val="20"/>
      </w:rPr>
      <w:t>19</w:t>
    </w:r>
    <w:r w:rsidRPr="008B60BF">
      <w:rPr>
        <w:rFonts w:ascii="Palatino Linotype" w:eastAsia="Palatino Linotype" w:hAnsi="Palatino Linotype" w:cs="Palatino Linotype"/>
        <w:color w:val="000000"/>
        <w:sz w:val="22"/>
        <w:szCs w:val="20"/>
      </w:rPr>
      <w:fldChar w:fldCharType="end"/>
    </w:r>
  </w:p>
  <w:p w:rsidR="00B70989" w:rsidRDefault="00B7098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989" w:rsidRPr="008B60BF" w:rsidRDefault="00B7098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8B60BF">
      <w:rPr>
        <w:rFonts w:ascii="Palatino Linotype" w:eastAsia="Palatino Linotype" w:hAnsi="Palatino Linotype" w:cs="Palatino Linotype"/>
        <w:color w:val="000000"/>
        <w:sz w:val="22"/>
        <w:szCs w:val="20"/>
      </w:rPr>
      <w:t xml:space="preserve">Página </w:t>
    </w:r>
    <w:r w:rsidRPr="008B60BF">
      <w:rPr>
        <w:rFonts w:ascii="Palatino Linotype" w:eastAsia="Palatino Linotype" w:hAnsi="Palatino Linotype" w:cs="Palatino Linotype"/>
        <w:color w:val="000000"/>
        <w:sz w:val="22"/>
        <w:szCs w:val="20"/>
      </w:rPr>
      <w:fldChar w:fldCharType="begin"/>
    </w:r>
    <w:r w:rsidRPr="008B60BF">
      <w:rPr>
        <w:rFonts w:ascii="Palatino Linotype" w:eastAsia="Palatino Linotype" w:hAnsi="Palatino Linotype" w:cs="Palatino Linotype"/>
        <w:color w:val="000000"/>
        <w:sz w:val="22"/>
        <w:szCs w:val="20"/>
      </w:rPr>
      <w:instrText>PAGE</w:instrText>
    </w:r>
    <w:r w:rsidRPr="008B60BF">
      <w:rPr>
        <w:rFonts w:ascii="Palatino Linotype" w:eastAsia="Palatino Linotype" w:hAnsi="Palatino Linotype" w:cs="Palatino Linotype"/>
        <w:color w:val="000000"/>
        <w:sz w:val="22"/>
        <w:szCs w:val="20"/>
      </w:rPr>
      <w:fldChar w:fldCharType="separate"/>
    </w:r>
    <w:r w:rsidR="00B322B3">
      <w:rPr>
        <w:rFonts w:ascii="Palatino Linotype" w:eastAsia="Palatino Linotype" w:hAnsi="Palatino Linotype" w:cs="Palatino Linotype"/>
        <w:noProof/>
        <w:color w:val="000000"/>
        <w:sz w:val="22"/>
        <w:szCs w:val="20"/>
      </w:rPr>
      <w:t>1</w:t>
    </w:r>
    <w:r w:rsidRPr="008B60BF">
      <w:rPr>
        <w:rFonts w:ascii="Palatino Linotype" w:eastAsia="Palatino Linotype" w:hAnsi="Palatino Linotype" w:cs="Palatino Linotype"/>
        <w:color w:val="000000"/>
        <w:sz w:val="22"/>
        <w:szCs w:val="20"/>
      </w:rPr>
      <w:fldChar w:fldCharType="end"/>
    </w:r>
    <w:r w:rsidRPr="008B60BF">
      <w:rPr>
        <w:rFonts w:ascii="Palatino Linotype" w:eastAsia="Palatino Linotype" w:hAnsi="Palatino Linotype" w:cs="Palatino Linotype"/>
        <w:color w:val="000000"/>
        <w:sz w:val="22"/>
        <w:szCs w:val="20"/>
      </w:rPr>
      <w:t xml:space="preserve"> de </w:t>
    </w:r>
    <w:r w:rsidRPr="008B60BF">
      <w:rPr>
        <w:rFonts w:ascii="Palatino Linotype" w:eastAsia="Palatino Linotype" w:hAnsi="Palatino Linotype" w:cs="Palatino Linotype"/>
        <w:color w:val="000000"/>
        <w:sz w:val="22"/>
        <w:szCs w:val="20"/>
      </w:rPr>
      <w:fldChar w:fldCharType="begin"/>
    </w:r>
    <w:r w:rsidRPr="008B60BF">
      <w:rPr>
        <w:rFonts w:ascii="Palatino Linotype" w:eastAsia="Palatino Linotype" w:hAnsi="Palatino Linotype" w:cs="Palatino Linotype"/>
        <w:color w:val="000000"/>
        <w:sz w:val="22"/>
        <w:szCs w:val="20"/>
      </w:rPr>
      <w:instrText>NUMPAGES</w:instrText>
    </w:r>
    <w:r w:rsidRPr="008B60BF">
      <w:rPr>
        <w:rFonts w:ascii="Palatino Linotype" w:eastAsia="Palatino Linotype" w:hAnsi="Palatino Linotype" w:cs="Palatino Linotype"/>
        <w:color w:val="000000"/>
        <w:sz w:val="22"/>
        <w:szCs w:val="20"/>
      </w:rPr>
      <w:fldChar w:fldCharType="separate"/>
    </w:r>
    <w:r w:rsidR="00B322B3">
      <w:rPr>
        <w:rFonts w:ascii="Palatino Linotype" w:eastAsia="Palatino Linotype" w:hAnsi="Palatino Linotype" w:cs="Palatino Linotype"/>
        <w:noProof/>
        <w:color w:val="000000"/>
        <w:sz w:val="22"/>
        <w:szCs w:val="20"/>
      </w:rPr>
      <w:t>19</w:t>
    </w:r>
    <w:r w:rsidRPr="008B60BF">
      <w:rPr>
        <w:rFonts w:ascii="Palatino Linotype" w:eastAsia="Palatino Linotype" w:hAnsi="Palatino Linotype" w:cs="Palatino Linotype"/>
        <w:color w:val="000000"/>
        <w:sz w:val="22"/>
        <w:szCs w:val="20"/>
      </w:rPr>
      <w:fldChar w:fldCharType="end"/>
    </w:r>
  </w:p>
  <w:p w:rsidR="00B70989" w:rsidRDefault="00B7098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FD8" w:rsidRDefault="00424FD8">
      <w:r>
        <w:separator/>
      </w:r>
    </w:p>
  </w:footnote>
  <w:footnote w:type="continuationSeparator" w:id="0">
    <w:p w:rsidR="00424FD8" w:rsidRDefault="00424F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989" w:rsidRDefault="00424FD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519" w:type="dxa"/>
      <w:tblInd w:w="3261" w:type="dxa"/>
      <w:tblLayout w:type="fixed"/>
      <w:tblLook w:val="0400" w:firstRow="0" w:lastRow="0" w:firstColumn="0" w:lastColumn="0" w:noHBand="0" w:noVBand="1"/>
    </w:tblPr>
    <w:tblGrid>
      <w:gridCol w:w="2976"/>
      <w:gridCol w:w="3543"/>
    </w:tblGrid>
    <w:tr w:rsidR="00B70989" w:rsidTr="008B60BF">
      <w:trPr>
        <w:trHeight w:val="227"/>
      </w:trPr>
      <w:tc>
        <w:tcPr>
          <w:tcW w:w="2976" w:type="dxa"/>
          <w:vAlign w:val="center"/>
        </w:tcPr>
        <w:p w:rsidR="00B70989" w:rsidRPr="008B60BF" w:rsidRDefault="00B70989">
          <w:pPr>
            <w:ind w:right="34"/>
            <w:jc w:val="right"/>
            <w:rPr>
              <w:rFonts w:ascii="Palatino Linotype" w:eastAsia="Palatino Linotype" w:hAnsi="Palatino Linotype" w:cs="Palatino Linotype"/>
              <w:b/>
              <w:szCs w:val="22"/>
            </w:rPr>
          </w:pPr>
          <w:r w:rsidRPr="008B60BF">
            <w:rPr>
              <w:rFonts w:ascii="Palatino Linotype" w:eastAsia="Palatino Linotype" w:hAnsi="Palatino Linotype" w:cs="Palatino Linotype"/>
              <w:b/>
              <w:szCs w:val="22"/>
            </w:rPr>
            <w:t>Recurso de Revisión:</w:t>
          </w:r>
        </w:p>
      </w:tc>
      <w:tc>
        <w:tcPr>
          <w:tcW w:w="3543" w:type="dxa"/>
          <w:vAlign w:val="center"/>
        </w:tcPr>
        <w:p w:rsidR="00B70989" w:rsidRPr="008B60BF" w:rsidRDefault="00B70989" w:rsidP="00B411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8B60BF">
            <w:rPr>
              <w:rFonts w:ascii="Palatino Linotype" w:eastAsia="Palatino Linotype" w:hAnsi="Palatino Linotype" w:cs="Palatino Linotype"/>
              <w:color w:val="000000"/>
              <w:szCs w:val="22"/>
            </w:rPr>
            <w:t>01813</w:t>
          </w:r>
          <w:r w:rsidR="00552147" w:rsidRPr="008B60BF">
            <w:rPr>
              <w:rFonts w:ascii="Palatino Linotype" w:eastAsia="Palatino Linotype" w:hAnsi="Palatino Linotype" w:cs="Palatino Linotype"/>
              <w:color w:val="000000"/>
              <w:szCs w:val="22"/>
            </w:rPr>
            <w:t>/INFOEM/IP/RR/2026</w:t>
          </w:r>
        </w:p>
      </w:tc>
    </w:tr>
    <w:tr w:rsidR="00B70989" w:rsidTr="008B60BF">
      <w:trPr>
        <w:trHeight w:val="242"/>
      </w:trPr>
      <w:tc>
        <w:tcPr>
          <w:tcW w:w="2976" w:type="dxa"/>
          <w:vAlign w:val="center"/>
        </w:tcPr>
        <w:p w:rsidR="00B70989" w:rsidRPr="008B60BF" w:rsidRDefault="00B70989">
          <w:pPr>
            <w:ind w:right="34"/>
            <w:jc w:val="right"/>
            <w:rPr>
              <w:rFonts w:ascii="Palatino Linotype" w:eastAsia="Palatino Linotype" w:hAnsi="Palatino Linotype" w:cs="Palatino Linotype"/>
              <w:b/>
              <w:szCs w:val="22"/>
            </w:rPr>
          </w:pPr>
          <w:r w:rsidRPr="008B60BF">
            <w:rPr>
              <w:rFonts w:ascii="Palatino Linotype" w:eastAsia="Palatino Linotype" w:hAnsi="Palatino Linotype" w:cs="Palatino Linotype"/>
              <w:b/>
              <w:szCs w:val="22"/>
            </w:rPr>
            <w:t>Sujeto Obligado:</w:t>
          </w:r>
        </w:p>
      </w:tc>
      <w:tc>
        <w:tcPr>
          <w:tcW w:w="3543" w:type="dxa"/>
          <w:vAlign w:val="center"/>
        </w:tcPr>
        <w:p w:rsidR="00B70989" w:rsidRPr="008B60BF" w:rsidRDefault="00B70989" w:rsidP="00ED0A5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8B60BF">
            <w:rPr>
              <w:rFonts w:ascii="Palatino Linotype" w:eastAsia="Palatino Linotype" w:hAnsi="Palatino Linotype" w:cs="Palatino Linotype"/>
              <w:color w:val="000000"/>
              <w:szCs w:val="22"/>
            </w:rPr>
            <w:t>Ayuntamiento de Ayapango</w:t>
          </w:r>
        </w:p>
      </w:tc>
    </w:tr>
    <w:tr w:rsidR="00B70989" w:rsidTr="008B60BF">
      <w:trPr>
        <w:trHeight w:val="342"/>
      </w:trPr>
      <w:tc>
        <w:tcPr>
          <w:tcW w:w="2976" w:type="dxa"/>
          <w:vAlign w:val="center"/>
        </w:tcPr>
        <w:p w:rsidR="00B70989" w:rsidRPr="008B60BF" w:rsidRDefault="00B70989">
          <w:pPr>
            <w:ind w:right="34"/>
            <w:jc w:val="right"/>
            <w:rPr>
              <w:rFonts w:ascii="Palatino Linotype" w:eastAsia="Palatino Linotype" w:hAnsi="Palatino Linotype" w:cs="Palatino Linotype"/>
              <w:b/>
              <w:szCs w:val="22"/>
            </w:rPr>
          </w:pPr>
          <w:r w:rsidRPr="008B60BF">
            <w:rPr>
              <w:rFonts w:ascii="Palatino Linotype" w:eastAsia="Palatino Linotype" w:hAnsi="Palatino Linotype" w:cs="Palatino Linotype"/>
              <w:b/>
              <w:szCs w:val="22"/>
            </w:rPr>
            <w:t>Comisionada Ponente:</w:t>
          </w:r>
        </w:p>
      </w:tc>
      <w:tc>
        <w:tcPr>
          <w:tcW w:w="3543" w:type="dxa"/>
          <w:vAlign w:val="center"/>
        </w:tcPr>
        <w:p w:rsidR="00B70989" w:rsidRPr="008B60BF" w:rsidRDefault="00B7098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8B60BF">
            <w:rPr>
              <w:rFonts w:ascii="Palatino Linotype" w:eastAsia="Palatino Linotype" w:hAnsi="Palatino Linotype" w:cs="Palatino Linotype"/>
              <w:color w:val="000000"/>
              <w:szCs w:val="22"/>
            </w:rPr>
            <w:t>María del Rosario Mejía Ayala</w:t>
          </w:r>
        </w:p>
      </w:tc>
    </w:tr>
  </w:tbl>
  <w:p w:rsidR="00B70989" w:rsidRDefault="00424FD8">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119" w:type="dxa"/>
      <w:tblLayout w:type="fixed"/>
      <w:tblLook w:val="0400" w:firstRow="0" w:lastRow="0" w:firstColumn="0" w:lastColumn="0" w:noHBand="0" w:noVBand="1"/>
    </w:tblPr>
    <w:tblGrid>
      <w:gridCol w:w="2977"/>
      <w:gridCol w:w="3683"/>
    </w:tblGrid>
    <w:tr w:rsidR="00B70989" w:rsidTr="008B60BF">
      <w:trPr>
        <w:trHeight w:val="227"/>
      </w:trPr>
      <w:tc>
        <w:tcPr>
          <w:tcW w:w="2977" w:type="dxa"/>
          <w:vAlign w:val="center"/>
        </w:tcPr>
        <w:p w:rsidR="00B70989" w:rsidRPr="008B60BF" w:rsidRDefault="00B70989">
          <w:pPr>
            <w:jc w:val="right"/>
            <w:rPr>
              <w:rFonts w:ascii="Palatino Linotype" w:eastAsia="Palatino Linotype" w:hAnsi="Palatino Linotype" w:cs="Palatino Linotype"/>
              <w:b/>
              <w:szCs w:val="22"/>
            </w:rPr>
          </w:pPr>
          <w:r w:rsidRPr="008B60BF">
            <w:rPr>
              <w:rFonts w:ascii="Palatino Linotype" w:eastAsia="Palatino Linotype" w:hAnsi="Palatino Linotype" w:cs="Palatino Linotype"/>
              <w:b/>
              <w:szCs w:val="22"/>
            </w:rPr>
            <w:t>Recurso de Revisión:</w:t>
          </w:r>
        </w:p>
      </w:tc>
      <w:tc>
        <w:tcPr>
          <w:tcW w:w="3683" w:type="dxa"/>
          <w:vAlign w:val="center"/>
        </w:tcPr>
        <w:p w:rsidR="00B70989" w:rsidRPr="008B60BF" w:rsidRDefault="00B70989" w:rsidP="00CB156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8B60BF">
            <w:rPr>
              <w:rFonts w:ascii="Palatino Linotype" w:eastAsia="Palatino Linotype" w:hAnsi="Palatino Linotype" w:cs="Palatino Linotype"/>
              <w:color w:val="000000"/>
              <w:szCs w:val="22"/>
            </w:rPr>
            <w:t>0181</w:t>
          </w:r>
          <w:r w:rsidR="00552147" w:rsidRPr="008B60BF">
            <w:rPr>
              <w:rFonts w:ascii="Palatino Linotype" w:eastAsia="Palatino Linotype" w:hAnsi="Palatino Linotype" w:cs="Palatino Linotype"/>
              <w:color w:val="000000"/>
              <w:szCs w:val="22"/>
            </w:rPr>
            <w:t>3/INFOEM/IP/RR/2026</w:t>
          </w:r>
        </w:p>
      </w:tc>
    </w:tr>
    <w:tr w:rsidR="00B70989" w:rsidTr="008B60BF">
      <w:trPr>
        <w:trHeight w:val="242"/>
      </w:trPr>
      <w:tc>
        <w:tcPr>
          <w:tcW w:w="2977" w:type="dxa"/>
          <w:vAlign w:val="center"/>
        </w:tcPr>
        <w:p w:rsidR="00B70989" w:rsidRPr="008B60BF" w:rsidRDefault="00B70989">
          <w:pPr>
            <w:jc w:val="right"/>
            <w:rPr>
              <w:rFonts w:ascii="Palatino Linotype" w:eastAsia="Palatino Linotype" w:hAnsi="Palatino Linotype" w:cs="Palatino Linotype"/>
              <w:b/>
              <w:szCs w:val="22"/>
            </w:rPr>
          </w:pPr>
          <w:r w:rsidRPr="008B60BF">
            <w:rPr>
              <w:rFonts w:ascii="Palatino Linotype" w:eastAsia="Palatino Linotype" w:hAnsi="Palatino Linotype" w:cs="Palatino Linotype"/>
              <w:b/>
              <w:szCs w:val="22"/>
            </w:rPr>
            <w:t>Recurrente:</w:t>
          </w:r>
        </w:p>
      </w:tc>
      <w:tc>
        <w:tcPr>
          <w:tcW w:w="3683" w:type="dxa"/>
        </w:tcPr>
        <w:p w:rsidR="00B70989" w:rsidRPr="008B60BF" w:rsidRDefault="00B322B3">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B70989" w:rsidTr="008B60BF">
      <w:trPr>
        <w:trHeight w:val="342"/>
      </w:trPr>
      <w:tc>
        <w:tcPr>
          <w:tcW w:w="2977" w:type="dxa"/>
          <w:vAlign w:val="center"/>
        </w:tcPr>
        <w:p w:rsidR="00B70989" w:rsidRPr="008B60BF" w:rsidRDefault="00B70989">
          <w:pPr>
            <w:jc w:val="right"/>
            <w:rPr>
              <w:rFonts w:ascii="Palatino Linotype" w:eastAsia="Palatino Linotype" w:hAnsi="Palatino Linotype" w:cs="Palatino Linotype"/>
              <w:b/>
              <w:szCs w:val="22"/>
            </w:rPr>
          </w:pPr>
          <w:r w:rsidRPr="008B60BF">
            <w:rPr>
              <w:rFonts w:ascii="Palatino Linotype" w:eastAsia="Palatino Linotype" w:hAnsi="Palatino Linotype" w:cs="Palatino Linotype"/>
              <w:b/>
              <w:szCs w:val="22"/>
            </w:rPr>
            <w:t>Sujeto Obligado:</w:t>
          </w:r>
        </w:p>
      </w:tc>
      <w:tc>
        <w:tcPr>
          <w:tcW w:w="3683" w:type="dxa"/>
          <w:vAlign w:val="center"/>
        </w:tcPr>
        <w:p w:rsidR="00B70989" w:rsidRPr="008B60BF" w:rsidRDefault="00B70989"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8B60BF">
            <w:rPr>
              <w:rFonts w:ascii="Palatino Linotype" w:eastAsia="Palatino Linotype" w:hAnsi="Palatino Linotype" w:cs="Palatino Linotype"/>
              <w:color w:val="000000"/>
              <w:szCs w:val="22"/>
            </w:rPr>
            <w:t>Ayuntamiento de Ayapango</w:t>
          </w:r>
        </w:p>
      </w:tc>
    </w:tr>
    <w:tr w:rsidR="00B70989" w:rsidTr="008B60BF">
      <w:trPr>
        <w:trHeight w:val="342"/>
      </w:trPr>
      <w:tc>
        <w:tcPr>
          <w:tcW w:w="2977" w:type="dxa"/>
          <w:vAlign w:val="center"/>
        </w:tcPr>
        <w:p w:rsidR="00B70989" w:rsidRPr="008B60BF" w:rsidRDefault="00B70989">
          <w:pPr>
            <w:jc w:val="right"/>
            <w:rPr>
              <w:rFonts w:ascii="Palatino Linotype" w:eastAsia="Palatino Linotype" w:hAnsi="Palatino Linotype" w:cs="Palatino Linotype"/>
              <w:b/>
              <w:szCs w:val="22"/>
            </w:rPr>
          </w:pPr>
          <w:r w:rsidRPr="008B60BF">
            <w:rPr>
              <w:rFonts w:ascii="Palatino Linotype" w:eastAsia="Palatino Linotype" w:hAnsi="Palatino Linotype" w:cs="Palatino Linotype"/>
              <w:b/>
              <w:szCs w:val="22"/>
            </w:rPr>
            <w:t>Comisionada Ponente:</w:t>
          </w:r>
        </w:p>
      </w:tc>
      <w:tc>
        <w:tcPr>
          <w:tcW w:w="3683" w:type="dxa"/>
          <w:vAlign w:val="center"/>
        </w:tcPr>
        <w:p w:rsidR="00B70989" w:rsidRPr="008B60BF" w:rsidRDefault="00B7098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8B60BF">
            <w:rPr>
              <w:rFonts w:ascii="Palatino Linotype" w:eastAsia="Palatino Linotype" w:hAnsi="Palatino Linotype" w:cs="Palatino Linotype"/>
              <w:color w:val="000000"/>
              <w:szCs w:val="22"/>
            </w:rPr>
            <w:t>María del Rosario Mejía Ayala</w:t>
          </w:r>
        </w:p>
      </w:tc>
    </w:tr>
  </w:tbl>
  <w:p w:rsidR="00B70989" w:rsidRDefault="00424FD8">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0C5B26"/>
    <w:multiLevelType w:val="hybridMultilevel"/>
    <w:tmpl w:val="860CF2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8985675"/>
    <w:multiLevelType w:val="hybridMultilevel"/>
    <w:tmpl w:val="96F0E4D2"/>
    <w:lvl w:ilvl="0" w:tplc="721633D0">
      <w:start w:val="1"/>
      <w:numFmt w:val="lowerLetter"/>
      <w:lvlText w:val="%1)"/>
      <w:lvlJc w:val="left"/>
      <w:pPr>
        <w:ind w:left="720" w:hanging="360"/>
      </w:pPr>
      <w:rPr>
        <w:b/>
      </w:rPr>
    </w:lvl>
    <w:lvl w:ilvl="1" w:tplc="F33E2EC8">
      <w:start w:val="1"/>
      <w:numFmt w:val="lowerLetter"/>
      <w:lvlText w:val="%2."/>
      <w:lvlJc w:val="left"/>
      <w:pPr>
        <w:ind w:left="1440" w:hanging="360"/>
      </w:pPr>
      <w:rPr>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4"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BD4987"/>
    <w:multiLevelType w:val="hybridMultilevel"/>
    <w:tmpl w:val="0B565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C50384C"/>
    <w:multiLevelType w:val="hybridMultilevel"/>
    <w:tmpl w:val="F684DE94"/>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8"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6465D6D"/>
    <w:multiLevelType w:val="multilevel"/>
    <w:tmpl w:val="DB668E5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37"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9"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0"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1"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2" w15:restartNumberingAfterBreak="0">
    <w:nsid w:val="7B8F71ED"/>
    <w:multiLevelType w:val="hybridMultilevel"/>
    <w:tmpl w:val="A524CD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5"/>
  </w:num>
  <w:num w:numId="2">
    <w:abstractNumId w:val="12"/>
  </w:num>
  <w:num w:numId="3">
    <w:abstractNumId w:val="23"/>
  </w:num>
  <w:num w:numId="4">
    <w:abstractNumId w:val="38"/>
  </w:num>
  <w:num w:numId="5">
    <w:abstractNumId w:val="36"/>
  </w:num>
  <w:num w:numId="6">
    <w:abstractNumId w:val="3"/>
  </w:num>
  <w:num w:numId="7">
    <w:abstractNumId w:val="1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43"/>
    <w:lvlOverride w:ilvl="0">
      <w:lvl w:ilvl="0">
        <w:numFmt w:val="decimal"/>
        <w:lvlText w:val="%1."/>
        <w:lvlJc w:val="left"/>
        <w:rPr>
          <w:b/>
        </w:rPr>
      </w:lvl>
    </w:lvlOverride>
  </w:num>
  <w:num w:numId="11">
    <w:abstractNumId w:val="14"/>
  </w:num>
  <w:num w:numId="12">
    <w:abstractNumId w:val="17"/>
  </w:num>
  <w:num w:numId="13">
    <w:abstractNumId w:val="6"/>
  </w:num>
  <w:num w:numId="14">
    <w:abstractNumId w:val="40"/>
  </w:num>
  <w:num w:numId="15">
    <w:abstractNumId w:val="21"/>
  </w:num>
  <w:num w:numId="16">
    <w:abstractNumId w:val="13"/>
  </w:num>
  <w:num w:numId="17">
    <w:abstractNumId w:val="0"/>
  </w:num>
  <w:num w:numId="18">
    <w:abstractNumId w:val="5"/>
  </w:num>
  <w:num w:numId="19">
    <w:abstractNumId w:val="28"/>
  </w:num>
  <w:num w:numId="20">
    <w:abstractNumId w:val="39"/>
  </w:num>
  <w:num w:numId="21">
    <w:abstractNumId w:val="2"/>
  </w:num>
  <w:num w:numId="22">
    <w:abstractNumId w:val="24"/>
  </w:num>
  <w:num w:numId="23">
    <w:abstractNumId w:val="34"/>
  </w:num>
  <w:num w:numId="24">
    <w:abstractNumId w:val="44"/>
  </w:num>
  <w:num w:numId="25">
    <w:abstractNumId w:val="4"/>
  </w:num>
  <w:num w:numId="26">
    <w:abstractNumId w:val="18"/>
  </w:num>
  <w:num w:numId="27">
    <w:abstractNumId w:val="19"/>
  </w:num>
  <w:num w:numId="28">
    <w:abstractNumId w:val="1"/>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8"/>
  </w:num>
  <w:num w:numId="33">
    <w:abstractNumId w:val="20"/>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32"/>
  </w:num>
  <w:num w:numId="37">
    <w:abstractNumId w:val="41"/>
  </w:num>
  <w:num w:numId="38">
    <w:abstractNumId w:val="7"/>
  </w:num>
  <w:num w:numId="39">
    <w:abstractNumId w:val="35"/>
  </w:num>
  <w:num w:numId="40">
    <w:abstractNumId w:val="9"/>
  </w:num>
  <w:num w:numId="41">
    <w:abstractNumId w:val="42"/>
  </w:num>
  <w:num w:numId="42">
    <w:abstractNumId w:val="26"/>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677B"/>
    <w:rsid w:val="00015CA6"/>
    <w:rsid w:val="00025289"/>
    <w:rsid w:val="0002664A"/>
    <w:rsid w:val="00031DF2"/>
    <w:rsid w:val="00034F10"/>
    <w:rsid w:val="000378F8"/>
    <w:rsid w:val="00041443"/>
    <w:rsid w:val="000444BD"/>
    <w:rsid w:val="00053809"/>
    <w:rsid w:val="00071823"/>
    <w:rsid w:val="00073C90"/>
    <w:rsid w:val="00083BB7"/>
    <w:rsid w:val="000877E9"/>
    <w:rsid w:val="000A0BD7"/>
    <w:rsid w:val="000A6691"/>
    <w:rsid w:val="000A6833"/>
    <w:rsid w:val="000B137A"/>
    <w:rsid w:val="000B554D"/>
    <w:rsid w:val="000C7A68"/>
    <w:rsid w:val="000E5750"/>
    <w:rsid w:val="000E7F59"/>
    <w:rsid w:val="000F0720"/>
    <w:rsid w:val="000F1E77"/>
    <w:rsid w:val="00120600"/>
    <w:rsid w:val="001268E9"/>
    <w:rsid w:val="00134848"/>
    <w:rsid w:val="001360AA"/>
    <w:rsid w:val="001368EA"/>
    <w:rsid w:val="00137E3A"/>
    <w:rsid w:val="0016422C"/>
    <w:rsid w:val="00164A10"/>
    <w:rsid w:val="001737E1"/>
    <w:rsid w:val="001857C9"/>
    <w:rsid w:val="00194544"/>
    <w:rsid w:val="001964B7"/>
    <w:rsid w:val="001C254D"/>
    <w:rsid w:val="001C3453"/>
    <w:rsid w:val="001C7F4A"/>
    <w:rsid w:val="001D7945"/>
    <w:rsid w:val="001E06BF"/>
    <w:rsid w:val="001E3052"/>
    <w:rsid w:val="0021003A"/>
    <w:rsid w:val="00212FD8"/>
    <w:rsid w:val="00216716"/>
    <w:rsid w:val="0023609E"/>
    <w:rsid w:val="00236CC6"/>
    <w:rsid w:val="00246311"/>
    <w:rsid w:val="00252B9F"/>
    <w:rsid w:val="00256C47"/>
    <w:rsid w:val="00260274"/>
    <w:rsid w:val="00261EEB"/>
    <w:rsid w:val="0026445F"/>
    <w:rsid w:val="0026452F"/>
    <w:rsid w:val="00267DE2"/>
    <w:rsid w:val="00271109"/>
    <w:rsid w:val="00275205"/>
    <w:rsid w:val="0029404D"/>
    <w:rsid w:val="00297E94"/>
    <w:rsid w:val="002A5587"/>
    <w:rsid w:val="002B1760"/>
    <w:rsid w:val="002B6B27"/>
    <w:rsid w:val="002C2106"/>
    <w:rsid w:val="002D3FE5"/>
    <w:rsid w:val="002D50F0"/>
    <w:rsid w:val="002E0DF4"/>
    <w:rsid w:val="002E5220"/>
    <w:rsid w:val="002F7D36"/>
    <w:rsid w:val="003063EE"/>
    <w:rsid w:val="00313EA6"/>
    <w:rsid w:val="00320F2D"/>
    <w:rsid w:val="00320FD6"/>
    <w:rsid w:val="0032619C"/>
    <w:rsid w:val="0034676E"/>
    <w:rsid w:val="00352795"/>
    <w:rsid w:val="00380BD1"/>
    <w:rsid w:val="003960D8"/>
    <w:rsid w:val="003A10C2"/>
    <w:rsid w:val="003B54B3"/>
    <w:rsid w:val="003B59FA"/>
    <w:rsid w:val="003B6629"/>
    <w:rsid w:val="003D2130"/>
    <w:rsid w:val="003D408C"/>
    <w:rsid w:val="003D7E7B"/>
    <w:rsid w:val="003E15C4"/>
    <w:rsid w:val="003E42B6"/>
    <w:rsid w:val="004204F5"/>
    <w:rsid w:val="00424FD8"/>
    <w:rsid w:val="00425628"/>
    <w:rsid w:val="00425B7C"/>
    <w:rsid w:val="00427B63"/>
    <w:rsid w:val="00430300"/>
    <w:rsid w:val="00434ACE"/>
    <w:rsid w:val="00435EA5"/>
    <w:rsid w:val="0044042A"/>
    <w:rsid w:val="00447084"/>
    <w:rsid w:val="00454DEC"/>
    <w:rsid w:val="00456AC6"/>
    <w:rsid w:val="004656BC"/>
    <w:rsid w:val="00472A9C"/>
    <w:rsid w:val="00481DE3"/>
    <w:rsid w:val="004A0C6B"/>
    <w:rsid w:val="004A2ACD"/>
    <w:rsid w:val="004B459A"/>
    <w:rsid w:val="004B5F96"/>
    <w:rsid w:val="004D4188"/>
    <w:rsid w:val="004D47CA"/>
    <w:rsid w:val="004E489A"/>
    <w:rsid w:val="004E4B9F"/>
    <w:rsid w:val="0050215C"/>
    <w:rsid w:val="00514236"/>
    <w:rsid w:val="005311B9"/>
    <w:rsid w:val="005432FF"/>
    <w:rsid w:val="00552147"/>
    <w:rsid w:val="005531B6"/>
    <w:rsid w:val="00555782"/>
    <w:rsid w:val="00561B00"/>
    <w:rsid w:val="00564C26"/>
    <w:rsid w:val="005705FE"/>
    <w:rsid w:val="0057241F"/>
    <w:rsid w:val="005747A2"/>
    <w:rsid w:val="00582B7B"/>
    <w:rsid w:val="005A0D41"/>
    <w:rsid w:val="005B2DCD"/>
    <w:rsid w:val="005B7E55"/>
    <w:rsid w:val="005C66F7"/>
    <w:rsid w:val="005D442D"/>
    <w:rsid w:val="0060220B"/>
    <w:rsid w:val="006027C3"/>
    <w:rsid w:val="00606C9D"/>
    <w:rsid w:val="006077D4"/>
    <w:rsid w:val="006261B6"/>
    <w:rsid w:val="00644E0D"/>
    <w:rsid w:val="0064652D"/>
    <w:rsid w:val="00651421"/>
    <w:rsid w:val="006535A3"/>
    <w:rsid w:val="00654047"/>
    <w:rsid w:val="00655B77"/>
    <w:rsid w:val="006600EC"/>
    <w:rsid w:val="0066627C"/>
    <w:rsid w:val="00671E11"/>
    <w:rsid w:val="00681C04"/>
    <w:rsid w:val="006931A2"/>
    <w:rsid w:val="006B7977"/>
    <w:rsid w:val="006C4668"/>
    <w:rsid w:val="006C4EFA"/>
    <w:rsid w:val="006D4ADF"/>
    <w:rsid w:val="006E36A4"/>
    <w:rsid w:val="006E7948"/>
    <w:rsid w:val="006E79B6"/>
    <w:rsid w:val="00704604"/>
    <w:rsid w:val="007137AB"/>
    <w:rsid w:val="007147C0"/>
    <w:rsid w:val="00714C89"/>
    <w:rsid w:val="00725BBA"/>
    <w:rsid w:val="0073213D"/>
    <w:rsid w:val="00760330"/>
    <w:rsid w:val="00763456"/>
    <w:rsid w:val="00780B76"/>
    <w:rsid w:val="00781D57"/>
    <w:rsid w:val="00792763"/>
    <w:rsid w:val="007939B9"/>
    <w:rsid w:val="00794056"/>
    <w:rsid w:val="007A402E"/>
    <w:rsid w:val="007C3D34"/>
    <w:rsid w:val="007D013F"/>
    <w:rsid w:val="007D1050"/>
    <w:rsid w:val="007D4A48"/>
    <w:rsid w:val="007E1DBF"/>
    <w:rsid w:val="007E6134"/>
    <w:rsid w:val="007F745B"/>
    <w:rsid w:val="007F7F26"/>
    <w:rsid w:val="00805083"/>
    <w:rsid w:val="00805D93"/>
    <w:rsid w:val="0081462E"/>
    <w:rsid w:val="00825F36"/>
    <w:rsid w:val="00826A75"/>
    <w:rsid w:val="008311D3"/>
    <w:rsid w:val="0083179B"/>
    <w:rsid w:val="00831F7B"/>
    <w:rsid w:val="008330D2"/>
    <w:rsid w:val="00833895"/>
    <w:rsid w:val="00834AB8"/>
    <w:rsid w:val="00850FB6"/>
    <w:rsid w:val="00854B9E"/>
    <w:rsid w:val="008572AA"/>
    <w:rsid w:val="0086180F"/>
    <w:rsid w:val="008704F4"/>
    <w:rsid w:val="00874872"/>
    <w:rsid w:val="00874B71"/>
    <w:rsid w:val="008811C5"/>
    <w:rsid w:val="00885F80"/>
    <w:rsid w:val="00886BE8"/>
    <w:rsid w:val="008940A5"/>
    <w:rsid w:val="008B60BF"/>
    <w:rsid w:val="008D2D54"/>
    <w:rsid w:val="008F56FA"/>
    <w:rsid w:val="00900624"/>
    <w:rsid w:val="0090156E"/>
    <w:rsid w:val="00924256"/>
    <w:rsid w:val="0092678C"/>
    <w:rsid w:val="009346BB"/>
    <w:rsid w:val="00934D87"/>
    <w:rsid w:val="00945C3B"/>
    <w:rsid w:val="00961CA6"/>
    <w:rsid w:val="00972164"/>
    <w:rsid w:val="009A0E35"/>
    <w:rsid w:val="009C08D3"/>
    <w:rsid w:val="009D0F55"/>
    <w:rsid w:val="009D2474"/>
    <w:rsid w:val="009D364A"/>
    <w:rsid w:val="009D3673"/>
    <w:rsid w:val="009F12B3"/>
    <w:rsid w:val="009F6E27"/>
    <w:rsid w:val="009F74E7"/>
    <w:rsid w:val="009F7C6A"/>
    <w:rsid w:val="00A07391"/>
    <w:rsid w:val="00A07D00"/>
    <w:rsid w:val="00A1164D"/>
    <w:rsid w:val="00A227E2"/>
    <w:rsid w:val="00A270A8"/>
    <w:rsid w:val="00A3180B"/>
    <w:rsid w:val="00A31ACC"/>
    <w:rsid w:val="00A34C8C"/>
    <w:rsid w:val="00A36A65"/>
    <w:rsid w:val="00A43841"/>
    <w:rsid w:val="00A502B5"/>
    <w:rsid w:val="00A634F0"/>
    <w:rsid w:val="00A73911"/>
    <w:rsid w:val="00A77DDE"/>
    <w:rsid w:val="00A873F9"/>
    <w:rsid w:val="00AA53A0"/>
    <w:rsid w:val="00AC01CA"/>
    <w:rsid w:val="00AD2D90"/>
    <w:rsid w:val="00AD30C0"/>
    <w:rsid w:val="00AD753F"/>
    <w:rsid w:val="00AE16A9"/>
    <w:rsid w:val="00AE3D3C"/>
    <w:rsid w:val="00AF048E"/>
    <w:rsid w:val="00AF6023"/>
    <w:rsid w:val="00B01467"/>
    <w:rsid w:val="00B01E96"/>
    <w:rsid w:val="00B02063"/>
    <w:rsid w:val="00B040C3"/>
    <w:rsid w:val="00B05FE8"/>
    <w:rsid w:val="00B11C54"/>
    <w:rsid w:val="00B1448E"/>
    <w:rsid w:val="00B21ADF"/>
    <w:rsid w:val="00B322B3"/>
    <w:rsid w:val="00B33052"/>
    <w:rsid w:val="00B3387E"/>
    <w:rsid w:val="00B36DB4"/>
    <w:rsid w:val="00B408A0"/>
    <w:rsid w:val="00B41162"/>
    <w:rsid w:val="00B44995"/>
    <w:rsid w:val="00B5309F"/>
    <w:rsid w:val="00B5782D"/>
    <w:rsid w:val="00B60BC1"/>
    <w:rsid w:val="00B62425"/>
    <w:rsid w:val="00B64111"/>
    <w:rsid w:val="00B65101"/>
    <w:rsid w:val="00B70989"/>
    <w:rsid w:val="00B7456C"/>
    <w:rsid w:val="00B77AB7"/>
    <w:rsid w:val="00B84DF1"/>
    <w:rsid w:val="00B908BD"/>
    <w:rsid w:val="00B90C18"/>
    <w:rsid w:val="00B91685"/>
    <w:rsid w:val="00BA3D27"/>
    <w:rsid w:val="00BB4401"/>
    <w:rsid w:val="00BC005B"/>
    <w:rsid w:val="00BD5B3D"/>
    <w:rsid w:val="00BD7237"/>
    <w:rsid w:val="00BE415E"/>
    <w:rsid w:val="00BE5C3A"/>
    <w:rsid w:val="00C1203A"/>
    <w:rsid w:val="00C132F6"/>
    <w:rsid w:val="00C273BD"/>
    <w:rsid w:val="00C33B64"/>
    <w:rsid w:val="00C33FDB"/>
    <w:rsid w:val="00C449F2"/>
    <w:rsid w:val="00C45F15"/>
    <w:rsid w:val="00C73A98"/>
    <w:rsid w:val="00C82EDE"/>
    <w:rsid w:val="00CA0332"/>
    <w:rsid w:val="00CA7D5D"/>
    <w:rsid w:val="00CB0A99"/>
    <w:rsid w:val="00CB1255"/>
    <w:rsid w:val="00CB1566"/>
    <w:rsid w:val="00CB4A28"/>
    <w:rsid w:val="00CC616B"/>
    <w:rsid w:val="00CC78CD"/>
    <w:rsid w:val="00CD27D3"/>
    <w:rsid w:val="00CD2FD3"/>
    <w:rsid w:val="00CD36ED"/>
    <w:rsid w:val="00CE34F2"/>
    <w:rsid w:val="00CE38F5"/>
    <w:rsid w:val="00CF5DF5"/>
    <w:rsid w:val="00CF698F"/>
    <w:rsid w:val="00CF798E"/>
    <w:rsid w:val="00D01E27"/>
    <w:rsid w:val="00D03874"/>
    <w:rsid w:val="00D03A0D"/>
    <w:rsid w:val="00D11877"/>
    <w:rsid w:val="00D13D4B"/>
    <w:rsid w:val="00D22942"/>
    <w:rsid w:val="00D35B64"/>
    <w:rsid w:val="00D36388"/>
    <w:rsid w:val="00D41150"/>
    <w:rsid w:val="00D41356"/>
    <w:rsid w:val="00D52722"/>
    <w:rsid w:val="00D6542A"/>
    <w:rsid w:val="00D77568"/>
    <w:rsid w:val="00D82D8C"/>
    <w:rsid w:val="00DA1300"/>
    <w:rsid w:val="00DB20B2"/>
    <w:rsid w:val="00DB7C4B"/>
    <w:rsid w:val="00DC2BB2"/>
    <w:rsid w:val="00DC7C5B"/>
    <w:rsid w:val="00DD370B"/>
    <w:rsid w:val="00DD52D1"/>
    <w:rsid w:val="00DF2FE0"/>
    <w:rsid w:val="00DF36EF"/>
    <w:rsid w:val="00DF4EBD"/>
    <w:rsid w:val="00E17E99"/>
    <w:rsid w:val="00E30F92"/>
    <w:rsid w:val="00E46D33"/>
    <w:rsid w:val="00E76B90"/>
    <w:rsid w:val="00E81E4D"/>
    <w:rsid w:val="00E839D9"/>
    <w:rsid w:val="00E845E2"/>
    <w:rsid w:val="00E8516D"/>
    <w:rsid w:val="00E87A76"/>
    <w:rsid w:val="00E87C17"/>
    <w:rsid w:val="00E96581"/>
    <w:rsid w:val="00EB2B47"/>
    <w:rsid w:val="00EC2856"/>
    <w:rsid w:val="00ED0A54"/>
    <w:rsid w:val="00ED457F"/>
    <w:rsid w:val="00EE43F4"/>
    <w:rsid w:val="00EE5A08"/>
    <w:rsid w:val="00EF7EF9"/>
    <w:rsid w:val="00F06381"/>
    <w:rsid w:val="00F0736F"/>
    <w:rsid w:val="00F11260"/>
    <w:rsid w:val="00F15452"/>
    <w:rsid w:val="00F167E6"/>
    <w:rsid w:val="00F22E98"/>
    <w:rsid w:val="00F321D3"/>
    <w:rsid w:val="00F33652"/>
    <w:rsid w:val="00F40A57"/>
    <w:rsid w:val="00F413BE"/>
    <w:rsid w:val="00F427A0"/>
    <w:rsid w:val="00F6082D"/>
    <w:rsid w:val="00F62D4D"/>
    <w:rsid w:val="00F757BF"/>
    <w:rsid w:val="00F816BF"/>
    <w:rsid w:val="00F85D77"/>
    <w:rsid w:val="00F8679D"/>
    <w:rsid w:val="00F867E2"/>
    <w:rsid w:val="00F916D5"/>
    <w:rsid w:val="00F97F2C"/>
    <w:rsid w:val="00FA1827"/>
    <w:rsid w:val="00FC4FFC"/>
    <w:rsid w:val="00FD54ED"/>
    <w:rsid w:val="00FD719C"/>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3B5F9D-3EB3-48D4-999C-CDCE5E56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19</Pages>
  <Words>4167</Words>
  <Characters>22922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25</cp:revision>
  <cp:lastPrinted>2026-06-18T18:41:00Z</cp:lastPrinted>
  <dcterms:created xsi:type="dcterms:W3CDTF">2026-06-09T21:43:00Z</dcterms:created>
  <dcterms:modified xsi:type="dcterms:W3CDTF">2026-06-23T19:59:00Z</dcterms:modified>
</cp:coreProperties>
</file>