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Pr="009A07D7" w:rsidRDefault="004C465F" w:rsidP="001162C4">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FD8E6F9" w:rsidR="00C4052B" w:rsidRPr="00A00990" w:rsidRDefault="00C4052B" w:rsidP="001162C4">
          <w:pPr>
            <w:pStyle w:val="TtulodeTDC"/>
            <w:spacing w:before="0" w:line="360" w:lineRule="auto"/>
            <w:jc w:val="center"/>
            <w:rPr>
              <w:rFonts w:ascii="Palatino Linotype" w:hAnsi="Palatino Linotype"/>
              <w:color w:val="auto"/>
              <w:sz w:val="22"/>
              <w:szCs w:val="22"/>
            </w:rPr>
          </w:pPr>
          <w:r w:rsidRPr="00A00990">
            <w:rPr>
              <w:rFonts w:ascii="Palatino Linotype" w:hAnsi="Palatino Linotype"/>
              <w:color w:val="auto"/>
              <w:sz w:val="22"/>
              <w:szCs w:val="22"/>
              <w:lang w:val="es-ES"/>
            </w:rPr>
            <w:t xml:space="preserve">RESOLUCIÓN DEL RECURSO DE REVISIÓN </w:t>
          </w:r>
          <w:r w:rsidR="009A07D7" w:rsidRPr="00A00990">
            <w:rPr>
              <w:rFonts w:ascii="Palatino Linotype" w:hAnsi="Palatino Linotype"/>
              <w:color w:val="auto"/>
              <w:sz w:val="22"/>
              <w:szCs w:val="22"/>
            </w:rPr>
            <w:t>08951</w:t>
          </w:r>
          <w:r w:rsidR="000D392E" w:rsidRPr="00A00990">
            <w:rPr>
              <w:rFonts w:ascii="Palatino Linotype" w:hAnsi="Palatino Linotype"/>
              <w:color w:val="auto"/>
              <w:sz w:val="22"/>
              <w:szCs w:val="22"/>
            </w:rPr>
            <w:t>/INFOEM/IP/RR/2025</w:t>
          </w:r>
        </w:p>
        <w:p w14:paraId="73933EFA" w14:textId="77777777" w:rsidR="00C4052B" w:rsidRPr="00A00990" w:rsidRDefault="00C4052B" w:rsidP="001162C4">
          <w:pPr>
            <w:spacing w:after="0" w:line="360" w:lineRule="auto"/>
            <w:rPr>
              <w:color w:val="FF0000"/>
            </w:rPr>
          </w:pPr>
        </w:p>
        <w:p w14:paraId="6FB65DC6" w14:textId="77777777" w:rsidR="00A00990" w:rsidRPr="00A00990" w:rsidRDefault="00C4052B">
          <w:pPr>
            <w:pStyle w:val="TDC1"/>
            <w:tabs>
              <w:tab w:val="right" w:leader="dot" w:pos="8921"/>
            </w:tabs>
            <w:rPr>
              <w:rFonts w:asciiTheme="minorHAnsi" w:eastAsiaTheme="minorEastAsia" w:hAnsiTheme="minorHAnsi" w:cstheme="minorBidi"/>
              <w:noProof/>
              <w:color w:val="auto"/>
            </w:rPr>
          </w:pPr>
          <w:r w:rsidRPr="00A00990">
            <w:rPr>
              <w:color w:val="FF0000"/>
            </w:rPr>
            <w:fldChar w:fldCharType="begin"/>
          </w:r>
          <w:r w:rsidRPr="00A00990">
            <w:rPr>
              <w:color w:val="FF0000"/>
            </w:rPr>
            <w:instrText xml:space="preserve"> TOC \o "1-3" \h \z \u </w:instrText>
          </w:r>
          <w:r w:rsidRPr="00A00990">
            <w:rPr>
              <w:color w:val="FF0000"/>
            </w:rPr>
            <w:fldChar w:fldCharType="separate"/>
          </w:r>
          <w:hyperlink w:anchor="_Toc220599778" w:history="1">
            <w:r w:rsidR="00A00990" w:rsidRPr="00A00990">
              <w:rPr>
                <w:rStyle w:val="Hipervnculo"/>
                <w:noProof/>
              </w:rPr>
              <w:t>A N T E C E D E N T E S</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_Toc220599778 \h </w:instrText>
            </w:r>
            <w:r w:rsidR="00A00990" w:rsidRPr="00A00990">
              <w:rPr>
                <w:noProof/>
                <w:webHidden/>
              </w:rPr>
            </w:r>
            <w:r w:rsidR="00A00990" w:rsidRPr="00A00990">
              <w:rPr>
                <w:noProof/>
                <w:webHidden/>
              </w:rPr>
              <w:fldChar w:fldCharType="separate"/>
            </w:r>
            <w:r w:rsidR="00A7638C">
              <w:rPr>
                <w:noProof/>
                <w:webHidden/>
              </w:rPr>
              <w:t>2</w:t>
            </w:r>
            <w:r w:rsidR="00A00990" w:rsidRPr="00A00990">
              <w:rPr>
                <w:noProof/>
                <w:webHidden/>
              </w:rPr>
              <w:fldChar w:fldCharType="end"/>
            </w:r>
          </w:hyperlink>
        </w:p>
        <w:p w14:paraId="42386DDD"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79" w:history="1">
            <w:r w:rsidR="00A00990" w:rsidRPr="00A00990">
              <w:rPr>
                <w:rStyle w:val="Hipervnculo"/>
                <w:noProof/>
                <w:lang w:eastAsia="es-ES"/>
              </w:rPr>
              <w:t>I. Presentación de la solicitud de información</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_Toc220599779 \h </w:instrText>
            </w:r>
            <w:r w:rsidR="00A00990" w:rsidRPr="00A00990">
              <w:rPr>
                <w:noProof/>
                <w:webHidden/>
              </w:rPr>
            </w:r>
            <w:r w:rsidR="00A00990" w:rsidRPr="00A00990">
              <w:rPr>
                <w:noProof/>
                <w:webHidden/>
              </w:rPr>
              <w:fldChar w:fldCharType="separate"/>
            </w:r>
            <w:r w:rsidR="00A7638C">
              <w:rPr>
                <w:noProof/>
                <w:webHidden/>
              </w:rPr>
              <w:t>2</w:t>
            </w:r>
            <w:r w:rsidR="00A00990" w:rsidRPr="00A00990">
              <w:rPr>
                <w:noProof/>
                <w:webHidden/>
              </w:rPr>
              <w:fldChar w:fldCharType="end"/>
            </w:r>
          </w:hyperlink>
        </w:p>
        <w:p w14:paraId="09DB97B9"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0" w:history="1">
            <w:r w:rsidR="00A00990" w:rsidRPr="00A00990">
              <w:rPr>
                <w:rStyle w:val="Hipervnculo"/>
                <w:rFonts w:cs="Tahoma"/>
                <w:noProof/>
              </w:rPr>
              <w:t>II.</w:t>
            </w:r>
            <w:r w:rsidR="00A00990" w:rsidRPr="00A00990">
              <w:rPr>
                <w:rStyle w:val="Hipervnculo"/>
                <w:noProof/>
              </w:rPr>
              <w:t xml:space="preserve"> Respuesta del Sujeto Obligado</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_Toc220599780 \h </w:instrText>
            </w:r>
            <w:r w:rsidR="00A00990" w:rsidRPr="00A00990">
              <w:rPr>
                <w:noProof/>
                <w:webHidden/>
              </w:rPr>
            </w:r>
            <w:r w:rsidR="00A00990" w:rsidRPr="00A00990">
              <w:rPr>
                <w:noProof/>
                <w:webHidden/>
              </w:rPr>
              <w:fldChar w:fldCharType="separate"/>
            </w:r>
            <w:r w:rsidR="00A7638C">
              <w:rPr>
                <w:noProof/>
                <w:webHidden/>
              </w:rPr>
              <w:t>3</w:t>
            </w:r>
            <w:r w:rsidR="00A00990" w:rsidRPr="00A00990">
              <w:rPr>
                <w:noProof/>
                <w:webHidden/>
              </w:rPr>
              <w:fldChar w:fldCharType="end"/>
            </w:r>
          </w:hyperlink>
        </w:p>
        <w:p w14:paraId="48583EEA"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1" w:history="1">
            <w:r w:rsidR="00A00990" w:rsidRPr="00A00990">
              <w:rPr>
                <w:rStyle w:val="Hipervnculo"/>
                <w:noProof/>
              </w:rPr>
              <w:t>III. Interposición del Recurso de Revisión</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_Toc220599781 \h </w:instrText>
            </w:r>
            <w:r w:rsidR="00A00990" w:rsidRPr="00A00990">
              <w:rPr>
                <w:noProof/>
                <w:webHidden/>
              </w:rPr>
            </w:r>
            <w:r w:rsidR="00A00990" w:rsidRPr="00A00990">
              <w:rPr>
                <w:noProof/>
                <w:webHidden/>
              </w:rPr>
              <w:fldChar w:fldCharType="separate"/>
            </w:r>
            <w:r w:rsidR="00A7638C">
              <w:rPr>
                <w:noProof/>
                <w:webHidden/>
              </w:rPr>
              <w:t>4</w:t>
            </w:r>
            <w:r w:rsidR="00A00990" w:rsidRPr="00A00990">
              <w:rPr>
                <w:noProof/>
                <w:webHidden/>
              </w:rPr>
              <w:fldChar w:fldCharType="end"/>
            </w:r>
          </w:hyperlink>
        </w:p>
        <w:p w14:paraId="7C728560"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2" w:history="1">
            <w:r w:rsidR="00A00990" w:rsidRPr="00A00990">
              <w:rPr>
                <w:rStyle w:val="Hipervnculo"/>
                <w:noProof/>
              </w:rPr>
              <w:t>IV. Trámite del Recurso de Revisión ante este Instituto</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_Toc220599782 \h </w:instrText>
            </w:r>
            <w:r w:rsidR="00A00990" w:rsidRPr="00A00990">
              <w:rPr>
                <w:noProof/>
                <w:webHidden/>
              </w:rPr>
            </w:r>
            <w:r w:rsidR="00A00990" w:rsidRPr="00A00990">
              <w:rPr>
                <w:noProof/>
                <w:webHidden/>
              </w:rPr>
              <w:fldChar w:fldCharType="separate"/>
            </w:r>
            <w:r w:rsidR="00A7638C">
              <w:rPr>
                <w:noProof/>
                <w:webHidden/>
              </w:rPr>
              <w:t>5</w:t>
            </w:r>
            <w:r w:rsidR="00A00990" w:rsidRPr="00A00990">
              <w:rPr>
                <w:noProof/>
                <w:webHidden/>
              </w:rPr>
              <w:fldChar w:fldCharType="end"/>
            </w:r>
          </w:hyperlink>
        </w:p>
        <w:p w14:paraId="5073A311" w14:textId="77777777" w:rsidR="00A00990" w:rsidRPr="00A00990" w:rsidRDefault="00090479">
          <w:pPr>
            <w:pStyle w:val="TDC1"/>
            <w:tabs>
              <w:tab w:val="right" w:leader="dot" w:pos="8921"/>
            </w:tabs>
            <w:rPr>
              <w:rFonts w:asciiTheme="minorHAnsi" w:eastAsiaTheme="minorEastAsia" w:hAnsiTheme="minorHAnsi" w:cstheme="minorBidi"/>
              <w:noProof/>
              <w:color w:val="auto"/>
            </w:rPr>
          </w:pPr>
          <w:hyperlink w:anchor="_Toc220599783" w:history="1">
            <w:r w:rsidR="00A00990" w:rsidRPr="00A00990">
              <w:rPr>
                <w:rStyle w:val="Hipervnculo"/>
                <w:noProof/>
              </w:rPr>
              <w:t>C O N S I D E R A N D O S</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_Toc220599783 \h </w:instrText>
            </w:r>
            <w:r w:rsidR="00A00990" w:rsidRPr="00A00990">
              <w:rPr>
                <w:noProof/>
                <w:webHidden/>
              </w:rPr>
            </w:r>
            <w:r w:rsidR="00A00990" w:rsidRPr="00A00990">
              <w:rPr>
                <w:noProof/>
                <w:webHidden/>
              </w:rPr>
              <w:fldChar w:fldCharType="separate"/>
            </w:r>
            <w:r w:rsidR="00A7638C">
              <w:rPr>
                <w:noProof/>
                <w:webHidden/>
              </w:rPr>
              <w:t>7</w:t>
            </w:r>
            <w:r w:rsidR="00A00990" w:rsidRPr="00A00990">
              <w:rPr>
                <w:noProof/>
                <w:webHidden/>
              </w:rPr>
              <w:fldChar w:fldCharType="end"/>
            </w:r>
          </w:hyperlink>
        </w:p>
        <w:p w14:paraId="7F43B24A"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4" w:history="1">
            <w:r w:rsidR="00A00990" w:rsidRPr="00A00990">
              <w:rPr>
                <w:rStyle w:val="Hipervnculo"/>
                <w:noProof/>
              </w:rPr>
              <w:t>PRIMERO. Competencia</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_Toc220599784 \h </w:instrText>
            </w:r>
            <w:r w:rsidR="00A00990" w:rsidRPr="00A00990">
              <w:rPr>
                <w:noProof/>
                <w:webHidden/>
              </w:rPr>
            </w:r>
            <w:r w:rsidR="00A00990" w:rsidRPr="00A00990">
              <w:rPr>
                <w:noProof/>
                <w:webHidden/>
              </w:rPr>
              <w:fldChar w:fldCharType="separate"/>
            </w:r>
            <w:r w:rsidR="00A7638C">
              <w:rPr>
                <w:noProof/>
                <w:webHidden/>
              </w:rPr>
              <w:t>7</w:t>
            </w:r>
            <w:r w:rsidR="00A00990" w:rsidRPr="00A00990">
              <w:rPr>
                <w:noProof/>
                <w:webHidden/>
              </w:rPr>
              <w:fldChar w:fldCharType="end"/>
            </w:r>
          </w:hyperlink>
        </w:p>
        <w:p w14:paraId="631BCF65"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5" w:history="1">
            <w:r w:rsidR="00A00990" w:rsidRPr="00A00990">
              <w:rPr>
                <w:rStyle w:val="Hipervnculo"/>
                <w:noProof/>
              </w:rPr>
              <w:t>SEGUNDO. Causales de improcedencia y sobreseimiento</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_Toc220599785 \h </w:instrText>
            </w:r>
            <w:r w:rsidR="00A00990" w:rsidRPr="00A00990">
              <w:rPr>
                <w:noProof/>
                <w:webHidden/>
              </w:rPr>
            </w:r>
            <w:r w:rsidR="00A00990" w:rsidRPr="00A00990">
              <w:rPr>
                <w:noProof/>
                <w:webHidden/>
              </w:rPr>
              <w:fldChar w:fldCharType="separate"/>
            </w:r>
            <w:r w:rsidR="00A7638C">
              <w:rPr>
                <w:noProof/>
                <w:webHidden/>
              </w:rPr>
              <w:t>7</w:t>
            </w:r>
            <w:r w:rsidR="00A00990" w:rsidRPr="00A00990">
              <w:rPr>
                <w:noProof/>
                <w:webHidden/>
              </w:rPr>
              <w:fldChar w:fldCharType="end"/>
            </w:r>
          </w:hyperlink>
        </w:p>
        <w:p w14:paraId="3CF0421D"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6" w:history="1">
            <w:r w:rsidR="00A00990" w:rsidRPr="00A00990">
              <w:rPr>
                <w:rStyle w:val="Hipervnculo"/>
                <w:noProof/>
              </w:rPr>
              <w:t>TERCERO. Determinación de la Controversia</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_Toc220599786 \h </w:instrText>
            </w:r>
            <w:r w:rsidR="00A00990" w:rsidRPr="00A00990">
              <w:rPr>
                <w:noProof/>
                <w:webHidden/>
              </w:rPr>
            </w:r>
            <w:r w:rsidR="00A00990" w:rsidRPr="00A00990">
              <w:rPr>
                <w:noProof/>
                <w:webHidden/>
              </w:rPr>
              <w:fldChar w:fldCharType="separate"/>
            </w:r>
            <w:r w:rsidR="00A7638C">
              <w:rPr>
                <w:noProof/>
                <w:webHidden/>
              </w:rPr>
              <w:t>9</w:t>
            </w:r>
            <w:r w:rsidR="00A00990" w:rsidRPr="00A00990">
              <w:rPr>
                <w:noProof/>
                <w:webHidden/>
              </w:rPr>
              <w:fldChar w:fldCharType="end"/>
            </w:r>
          </w:hyperlink>
        </w:p>
        <w:p w14:paraId="68252601"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7" w:history="1">
            <w:r w:rsidR="00A00990" w:rsidRPr="00A00990">
              <w:rPr>
                <w:rStyle w:val="Hipervnculo"/>
                <w:noProof/>
              </w:rPr>
              <w:t>CUARTO. Marco normativo aplicable en materia de transparencia y acceso a la información pública</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_Toc220599787 \h </w:instrText>
            </w:r>
            <w:r w:rsidR="00A00990" w:rsidRPr="00A00990">
              <w:rPr>
                <w:noProof/>
                <w:webHidden/>
              </w:rPr>
            </w:r>
            <w:r w:rsidR="00A00990" w:rsidRPr="00A00990">
              <w:rPr>
                <w:noProof/>
                <w:webHidden/>
              </w:rPr>
              <w:fldChar w:fldCharType="separate"/>
            </w:r>
            <w:r w:rsidR="00A7638C">
              <w:rPr>
                <w:noProof/>
                <w:webHidden/>
              </w:rPr>
              <w:t>10</w:t>
            </w:r>
            <w:r w:rsidR="00A00990" w:rsidRPr="00A00990">
              <w:rPr>
                <w:noProof/>
                <w:webHidden/>
              </w:rPr>
              <w:fldChar w:fldCharType="end"/>
            </w:r>
          </w:hyperlink>
        </w:p>
        <w:p w14:paraId="742FDB89"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8" w:history="1">
            <w:r w:rsidR="00A00990" w:rsidRPr="00A00990">
              <w:rPr>
                <w:rStyle w:val="Hipervnculo"/>
                <w:noProof/>
              </w:rPr>
              <w:t>QUINTO. Estudio de Fondo</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_Toc220599788 \h </w:instrText>
            </w:r>
            <w:r w:rsidR="00A00990" w:rsidRPr="00A00990">
              <w:rPr>
                <w:noProof/>
                <w:webHidden/>
              </w:rPr>
            </w:r>
            <w:r w:rsidR="00A00990" w:rsidRPr="00A00990">
              <w:rPr>
                <w:noProof/>
                <w:webHidden/>
              </w:rPr>
              <w:fldChar w:fldCharType="separate"/>
            </w:r>
            <w:r w:rsidR="00A7638C">
              <w:rPr>
                <w:noProof/>
                <w:webHidden/>
              </w:rPr>
              <w:t>11</w:t>
            </w:r>
            <w:r w:rsidR="00A00990" w:rsidRPr="00A00990">
              <w:rPr>
                <w:noProof/>
                <w:webHidden/>
              </w:rPr>
              <w:fldChar w:fldCharType="end"/>
            </w:r>
          </w:hyperlink>
        </w:p>
        <w:p w14:paraId="6B061B8A" w14:textId="77777777" w:rsidR="00A00990" w:rsidRPr="00A00990" w:rsidRDefault="00090479">
          <w:pPr>
            <w:pStyle w:val="TDC2"/>
            <w:tabs>
              <w:tab w:val="right" w:leader="dot" w:pos="8921"/>
            </w:tabs>
            <w:rPr>
              <w:rFonts w:asciiTheme="minorHAnsi" w:eastAsiaTheme="minorEastAsia" w:hAnsiTheme="minorHAnsi" w:cstheme="minorBidi"/>
              <w:noProof/>
              <w:color w:val="auto"/>
            </w:rPr>
          </w:pPr>
          <w:hyperlink w:anchor="_Toc220599789" w:history="1">
            <w:r w:rsidR="00A00990" w:rsidRPr="00A00990">
              <w:rPr>
                <w:rStyle w:val="Hipervnculo"/>
                <w:noProof/>
              </w:rPr>
              <w:t>SEXTO. Decisión</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_Toc220599789 \h </w:instrText>
            </w:r>
            <w:r w:rsidR="00A00990" w:rsidRPr="00A00990">
              <w:rPr>
                <w:noProof/>
                <w:webHidden/>
              </w:rPr>
            </w:r>
            <w:r w:rsidR="00A00990" w:rsidRPr="00A00990">
              <w:rPr>
                <w:noProof/>
                <w:webHidden/>
              </w:rPr>
              <w:fldChar w:fldCharType="separate"/>
            </w:r>
            <w:r w:rsidR="00A7638C">
              <w:rPr>
                <w:noProof/>
                <w:webHidden/>
              </w:rPr>
              <w:t>19</w:t>
            </w:r>
            <w:r w:rsidR="00A00990" w:rsidRPr="00A00990">
              <w:rPr>
                <w:noProof/>
                <w:webHidden/>
              </w:rPr>
              <w:fldChar w:fldCharType="end"/>
            </w:r>
          </w:hyperlink>
        </w:p>
        <w:p w14:paraId="645B783D" w14:textId="77777777" w:rsidR="00A00990" w:rsidRPr="00A00990" w:rsidRDefault="00090479">
          <w:pPr>
            <w:pStyle w:val="TDC1"/>
            <w:tabs>
              <w:tab w:val="right" w:leader="dot" w:pos="8921"/>
            </w:tabs>
            <w:rPr>
              <w:rFonts w:asciiTheme="minorHAnsi" w:eastAsiaTheme="minorEastAsia" w:hAnsiTheme="minorHAnsi" w:cstheme="minorBidi"/>
              <w:noProof/>
              <w:color w:val="auto"/>
            </w:rPr>
          </w:pPr>
          <w:hyperlink w:anchor="_Toc220599790" w:history="1">
            <w:r w:rsidR="00A00990" w:rsidRPr="00A00990">
              <w:rPr>
                <w:rStyle w:val="Hipervnculo"/>
                <w:noProof/>
              </w:rPr>
              <w:t>R E S U E L V E</w:t>
            </w:r>
            <w:r w:rsidR="00A00990" w:rsidRPr="00A00990">
              <w:rPr>
                <w:noProof/>
                <w:webHidden/>
              </w:rPr>
              <w:tab/>
            </w:r>
            <w:r w:rsidR="00A00990" w:rsidRPr="00A00990">
              <w:rPr>
                <w:noProof/>
                <w:webHidden/>
              </w:rPr>
              <w:fldChar w:fldCharType="begin"/>
            </w:r>
            <w:r w:rsidR="00A00990" w:rsidRPr="00A00990">
              <w:rPr>
                <w:noProof/>
                <w:webHidden/>
              </w:rPr>
              <w:instrText xml:space="preserve"> PAGEREF _Toc220599790 \h </w:instrText>
            </w:r>
            <w:r w:rsidR="00A00990" w:rsidRPr="00A00990">
              <w:rPr>
                <w:noProof/>
                <w:webHidden/>
              </w:rPr>
            </w:r>
            <w:r w:rsidR="00A00990" w:rsidRPr="00A00990">
              <w:rPr>
                <w:noProof/>
                <w:webHidden/>
              </w:rPr>
              <w:fldChar w:fldCharType="separate"/>
            </w:r>
            <w:r w:rsidR="00A7638C">
              <w:rPr>
                <w:noProof/>
                <w:webHidden/>
              </w:rPr>
              <w:t>20</w:t>
            </w:r>
            <w:r w:rsidR="00A00990" w:rsidRPr="00A00990">
              <w:rPr>
                <w:noProof/>
                <w:webHidden/>
              </w:rPr>
              <w:fldChar w:fldCharType="end"/>
            </w:r>
          </w:hyperlink>
        </w:p>
        <w:p w14:paraId="5B9D6C11" w14:textId="331DCCD6" w:rsidR="00C4052B" w:rsidRPr="00A00990" w:rsidRDefault="00C4052B" w:rsidP="001162C4">
          <w:pPr>
            <w:spacing w:after="0" w:line="360" w:lineRule="auto"/>
            <w:rPr>
              <w:color w:val="FF0000"/>
            </w:rPr>
          </w:pPr>
          <w:r w:rsidRPr="00A00990">
            <w:rPr>
              <w:b/>
              <w:bCs/>
              <w:color w:val="FF0000"/>
              <w:lang w:val="es-ES"/>
            </w:rPr>
            <w:fldChar w:fldCharType="end"/>
          </w:r>
        </w:p>
      </w:sdtContent>
    </w:sdt>
    <w:p w14:paraId="57481942" w14:textId="77777777" w:rsidR="00C4052B" w:rsidRPr="00A00990" w:rsidRDefault="00C4052B" w:rsidP="001162C4">
      <w:pPr>
        <w:tabs>
          <w:tab w:val="left" w:pos="8931"/>
        </w:tabs>
        <w:spacing w:after="0" w:line="360" w:lineRule="auto"/>
        <w:rPr>
          <w:color w:val="FF0000"/>
        </w:rPr>
      </w:pPr>
    </w:p>
    <w:p w14:paraId="411B5995" w14:textId="77777777" w:rsidR="00C4052B" w:rsidRPr="00A00990" w:rsidRDefault="00C4052B" w:rsidP="001162C4">
      <w:pPr>
        <w:tabs>
          <w:tab w:val="left" w:pos="8931"/>
        </w:tabs>
        <w:spacing w:after="0" w:line="360" w:lineRule="auto"/>
        <w:rPr>
          <w:color w:val="FF0000"/>
        </w:rPr>
      </w:pPr>
    </w:p>
    <w:p w14:paraId="6784625D" w14:textId="77777777" w:rsidR="00C4052B" w:rsidRPr="00A00990" w:rsidRDefault="00C4052B" w:rsidP="001162C4">
      <w:pPr>
        <w:tabs>
          <w:tab w:val="left" w:pos="8931"/>
        </w:tabs>
        <w:spacing w:after="0" w:line="360" w:lineRule="auto"/>
        <w:rPr>
          <w:color w:val="FF0000"/>
        </w:rPr>
      </w:pPr>
    </w:p>
    <w:p w14:paraId="140888DD" w14:textId="77777777" w:rsidR="00C4052B" w:rsidRPr="00A00990" w:rsidRDefault="00C4052B" w:rsidP="001162C4">
      <w:pPr>
        <w:tabs>
          <w:tab w:val="left" w:pos="8931"/>
        </w:tabs>
        <w:spacing w:after="0" w:line="360" w:lineRule="auto"/>
        <w:rPr>
          <w:color w:val="FF0000"/>
        </w:rPr>
      </w:pPr>
    </w:p>
    <w:p w14:paraId="46268890" w14:textId="77777777" w:rsidR="00C4052B" w:rsidRPr="00A00990" w:rsidRDefault="00C4052B" w:rsidP="001162C4">
      <w:pPr>
        <w:tabs>
          <w:tab w:val="left" w:pos="8931"/>
        </w:tabs>
        <w:spacing w:after="0" w:line="360" w:lineRule="auto"/>
        <w:rPr>
          <w:color w:val="FF0000"/>
        </w:rPr>
      </w:pPr>
    </w:p>
    <w:p w14:paraId="147CC638" w14:textId="77777777" w:rsidR="00C4052B" w:rsidRPr="00A00990" w:rsidRDefault="00C4052B" w:rsidP="001162C4">
      <w:pPr>
        <w:tabs>
          <w:tab w:val="left" w:pos="8931"/>
        </w:tabs>
        <w:spacing w:after="0" w:line="360" w:lineRule="auto"/>
        <w:rPr>
          <w:color w:val="FF0000"/>
        </w:rPr>
      </w:pPr>
    </w:p>
    <w:p w14:paraId="01BB5716" w14:textId="77777777" w:rsidR="00C4052B" w:rsidRPr="00A00990" w:rsidRDefault="00C4052B" w:rsidP="001162C4">
      <w:pPr>
        <w:tabs>
          <w:tab w:val="left" w:pos="8931"/>
        </w:tabs>
        <w:spacing w:after="0" w:line="360" w:lineRule="auto"/>
        <w:rPr>
          <w:color w:val="FF0000"/>
        </w:rPr>
      </w:pPr>
    </w:p>
    <w:p w14:paraId="62C1CEC9" w14:textId="77777777" w:rsidR="00C4052B" w:rsidRPr="00A00990" w:rsidRDefault="00C4052B" w:rsidP="001162C4">
      <w:pPr>
        <w:tabs>
          <w:tab w:val="left" w:pos="8931"/>
        </w:tabs>
        <w:spacing w:after="0" w:line="360" w:lineRule="auto"/>
        <w:rPr>
          <w:color w:val="FF0000"/>
        </w:rPr>
      </w:pPr>
    </w:p>
    <w:p w14:paraId="3FB7EB5E" w14:textId="41649E53" w:rsidR="005C690F" w:rsidRPr="00A00990" w:rsidRDefault="007D6307" w:rsidP="001162C4">
      <w:pPr>
        <w:tabs>
          <w:tab w:val="left" w:pos="8931"/>
        </w:tabs>
        <w:spacing w:after="0" w:line="360" w:lineRule="auto"/>
        <w:rPr>
          <w:color w:val="auto"/>
        </w:rPr>
      </w:pPr>
      <w:r w:rsidRPr="00A00990">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00990">
        <w:rPr>
          <w:color w:val="auto"/>
        </w:rPr>
        <w:t xml:space="preserve">fecha </w:t>
      </w:r>
      <w:r w:rsidR="00FB5A4E" w:rsidRPr="00A00990">
        <w:rPr>
          <w:color w:val="auto"/>
        </w:rPr>
        <w:t>veintiocho de enero de dos mil veintiséis.</w:t>
      </w:r>
    </w:p>
    <w:p w14:paraId="0DCD3B82" w14:textId="77777777" w:rsidR="005C690F" w:rsidRPr="00A00990" w:rsidRDefault="005C690F" w:rsidP="001162C4">
      <w:pPr>
        <w:spacing w:after="0" w:line="360" w:lineRule="auto"/>
        <w:rPr>
          <w:b/>
          <w:color w:val="auto"/>
        </w:rPr>
      </w:pPr>
    </w:p>
    <w:p w14:paraId="1570B336" w14:textId="36189D13" w:rsidR="005C690F" w:rsidRPr="00A00990" w:rsidRDefault="007D6307" w:rsidP="001162C4">
      <w:pPr>
        <w:spacing w:after="0" w:line="360" w:lineRule="auto"/>
        <w:rPr>
          <w:color w:val="auto"/>
        </w:rPr>
      </w:pPr>
      <w:r w:rsidRPr="00A00990">
        <w:rPr>
          <w:b/>
          <w:color w:val="auto"/>
        </w:rPr>
        <w:t xml:space="preserve">VISTO </w:t>
      </w:r>
      <w:r w:rsidRPr="00A00990">
        <w:rPr>
          <w:color w:val="auto"/>
        </w:rPr>
        <w:t xml:space="preserve">el expediente electrónico conformado con motivo del Recurso de Revisión </w:t>
      </w:r>
      <w:r w:rsidR="00FB5A4E" w:rsidRPr="00CA3D93">
        <w:rPr>
          <w:b/>
          <w:bCs/>
          <w:color w:val="auto"/>
        </w:rPr>
        <w:t>08951</w:t>
      </w:r>
      <w:r w:rsidR="000D392E" w:rsidRPr="00CA3D93">
        <w:rPr>
          <w:b/>
          <w:bCs/>
          <w:color w:val="auto"/>
        </w:rPr>
        <w:t>/INFOEM/IP/RR/2025</w:t>
      </w:r>
      <w:r w:rsidRPr="00A00990">
        <w:rPr>
          <w:bCs/>
          <w:color w:val="auto"/>
        </w:rPr>
        <w:t xml:space="preserve">, interpuesto </w:t>
      </w:r>
      <w:r w:rsidR="008415EA" w:rsidRPr="00A00990">
        <w:rPr>
          <w:bCs/>
          <w:color w:val="auto"/>
        </w:rPr>
        <w:t>por</w:t>
      </w:r>
      <w:r w:rsidR="00EE1006" w:rsidRPr="00A00990">
        <w:rPr>
          <w:bCs/>
          <w:color w:val="auto"/>
        </w:rPr>
        <w:t xml:space="preserve"> </w:t>
      </w:r>
      <w:r w:rsidR="00D906B2" w:rsidRPr="00A00990">
        <w:rPr>
          <w:bCs/>
          <w:color w:val="auto"/>
        </w:rPr>
        <w:t>la persona</w:t>
      </w:r>
      <w:r w:rsidRPr="00A00990">
        <w:rPr>
          <w:bCs/>
          <w:color w:val="auto"/>
        </w:rPr>
        <w:t xml:space="preserve"> Recurrente o Particular, en contra de la respuesta del Sujeto Obligado</w:t>
      </w:r>
      <w:r w:rsidR="00705FBB" w:rsidRPr="00A00990">
        <w:rPr>
          <w:bCs/>
          <w:color w:val="auto"/>
        </w:rPr>
        <w:t xml:space="preserve">, </w:t>
      </w:r>
      <w:r w:rsidR="008246F7" w:rsidRPr="00CA3D93">
        <w:rPr>
          <w:b/>
          <w:color w:val="auto"/>
        </w:rPr>
        <w:t>Ayuntamiento d</w:t>
      </w:r>
      <w:r w:rsidR="00EC7CBF" w:rsidRPr="00CA3D93">
        <w:rPr>
          <w:b/>
          <w:color w:val="auto"/>
        </w:rPr>
        <w:t xml:space="preserve">e </w:t>
      </w:r>
      <w:r w:rsidR="001F3444" w:rsidRPr="00CA3D93">
        <w:rPr>
          <w:b/>
          <w:color w:val="auto"/>
        </w:rPr>
        <w:t>T</w:t>
      </w:r>
      <w:r w:rsidR="00F30312" w:rsidRPr="00CA3D93">
        <w:rPr>
          <w:b/>
          <w:color w:val="auto"/>
        </w:rPr>
        <w:t>oluca</w:t>
      </w:r>
      <w:r w:rsidR="00EF0C39" w:rsidRPr="00A00990">
        <w:rPr>
          <w:bCs/>
          <w:color w:val="auto"/>
        </w:rPr>
        <w:t>,</w:t>
      </w:r>
      <w:r w:rsidRPr="00A00990">
        <w:rPr>
          <w:bCs/>
          <w:color w:val="auto"/>
        </w:rPr>
        <w:t xml:space="preserve"> </w:t>
      </w:r>
      <w:r w:rsidRPr="00A00990">
        <w:rPr>
          <w:color w:val="auto"/>
        </w:rPr>
        <w:t>a la solicitud de acceso a la información pública</w:t>
      </w:r>
      <w:r w:rsidR="00800641" w:rsidRPr="00A00990">
        <w:rPr>
          <w:color w:val="auto"/>
        </w:rPr>
        <w:t xml:space="preserve"> </w:t>
      </w:r>
      <w:r w:rsidR="00FB5A4E" w:rsidRPr="00A00990">
        <w:rPr>
          <w:color w:val="auto"/>
        </w:rPr>
        <w:t>03711/TOLUCA/IP/2025</w:t>
      </w:r>
      <w:r w:rsidRPr="00A00990">
        <w:rPr>
          <w:color w:val="auto"/>
        </w:rPr>
        <w:t>, se emite la presente Resolución, con base en los Antecedentes y Considerandos que se exponen a continuación:</w:t>
      </w:r>
    </w:p>
    <w:p w14:paraId="1F97CEF3" w14:textId="77777777" w:rsidR="005C690F" w:rsidRPr="00A00990" w:rsidRDefault="005C690F" w:rsidP="001162C4">
      <w:pPr>
        <w:spacing w:after="0" w:line="360" w:lineRule="auto"/>
        <w:rPr>
          <w:b/>
          <w:color w:val="auto"/>
        </w:rPr>
      </w:pPr>
    </w:p>
    <w:p w14:paraId="1DEAF9D3" w14:textId="24D35555" w:rsidR="005C690F" w:rsidRPr="00A00990" w:rsidRDefault="00CD6238" w:rsidP="001162C4">
      <w:pPr>
        <w:pStyle w:val="Ttulo1"/>
        <w:spacing w:before="0" w:after="0" w:line="360" w:lineRule="auto"/>
        <w:jc w:val="center"/>
        <w:rPr>
          <w:color w:val="auto"/>
          <w:sz w:val="22"/>
          <w:szCs w:val="22"/>
        </w:rPr>
      </w:pPr>
      <w:bookmarkStart w:id="1" w:name="_Toc220599778"/>
      <w:r w:rsidRPr="00A00990">
        <w:rPr>
          <w:color w:val="auto"/>
          <w:sz w:val="22"/>
          <w:szCs w:val="22"/>
        </w:rPr>
        <w:t>A N T E C E D E N T E S</w:t>
      </w:r>
      <w:bookmarkEnd w:id="1"/>
    </w:p>
    <w:p w14:paraId="5A7EDA4F" w14:textId="77777777" w:rsidR="005C690F" w:rsidRPr="00A00990" w:rsidRDefault="005C690F" w:rsidP="001162C4">
      <w:pPr>
        <w:spacing w:after="0" w:line="360" w:lineRule="auto"/>
        <w:jc w:val="center"/>
        <w:rPr>
          <w:b/>
          <w:color w:val="FF0000"/>
        </w:rPr>
      </w:pPr>
    </w:p>
    <w:p w14:paraId="4930DAB9" w14:textId="701611A7" w:rsidR="00E22EA8" w:rsidRPr="00A00990" w:rsidRDefault="009215C2" w:rsidP="001162C4">
      <w:pPr>
        <w:pStyle w:val="Ttulo2"/>
        <w:spacing w:before="0" w:after="0" w:line="360" w:lineRule="auto"/>
        <w:rPr>
          <w:color w:val="auto"/>
          <w:sz w:val="22"/>
          <w:szCs w:val="22"/>
          <w:lang w:eastAsia="es-ES"/>
        </w:rPr>
      </w:pPr>
      <w:bookmarkStart w:id="2" w:name="_Toc220599779"/>
      <w:r w:rsidRPr="00A00990">
        <w:rPr>
          <w:color w:val="auto"/>
          <w:sz w:val="22"/>
          <w:szCs w:val="22"/>
          <w:lang w:eastAsia="es-ES"/>
        </w:rPr>
        <w:t xml:space="preserve">I. </w:t>
      </w:r>
      <w:r w:rsidR="00E22EA8" w:rsidRPr="00A00990">
        <w:rPr>
          <w:color w:val="auto"/>
          <w:sz w:val="22"/>
          <w:szCs w:val="22"/>
          <w:lang w:eastAsia="es-ES"/>
        </w:rPr>
        <w:t>Presentación de la solicitud de información</w:t>
      </w:r>
      <w:bookmarkEnd w:id="2"/>
    </w:p>
    <w:p w14:paraId="63A20E25" w14:textId="77777777" w:rsidR="009215C2" w:rsidRPr="00A00990" w:rsidRDefault="009215C2" w:rsidP="001162C4">
      <w:pPr>
        <w:tabs>
          <w:tab w:val="left" w:pos="567"/>
        </w:tabs>
        <w:spacing w:after="0" w:line="360" w:lineRule="auto"/>
        <w:rPr>
          <w:rFonts w:eastAsia="Times New Roman" w:cs="Tahoma"/>
          <w:color w:val="FF0000"/>
          <w:lang w:eastAsia="es-ES"/>
        </w:rPr>
      </w:pPr>
    </w:p>
    <w:p w14:paraId="301B8A4E" w14:textId="63A63351" w:rsidR="00E22EA8" w:rsidRPr="00A00990" w:rsidRDefault="00D906B2" w:rsidP="001162C4">
      <w:pPr>
        <w:spacing w:after="0" w:line="360" w:lineRule="auto"/>
        <w:rPr>
          <w:rFonts w:eastAsia="Times New Roman" w:cs="Tahoma"/>
          <w:color w:val="auto"/>
          <w:lang w:eastAsia="es-ES"/>
        </w:rPr>
      </w:pPr>
      <w:r w:rsidRPr="00A00990">
        <w:rPr>
          <w:rFonts w:eastAsia="Times New Roman" w:cs="Tahoma"/>
          <w:color w:val="auto"/>
          <w:lang w:eastAsia="es-ES"/>
        </w:rPr>
        <w:t>El</w:t>
      </w:r>
      <w:r w:rsidR="00D52EC1" w:rsidRPr="00A00990">
        <w:rPr>
          <w:rFonts w:eastAsia="Times New Roman" w:cs="Tahoma"/>
          <w:color w:val="auto"/>
          <w:lang w:eastAsia="es-ES"/>
        </w:rPr>
        <w:t xml:space="preserve"> </w:t>
      </w:r>
      <w:r w:rsidR="00FB5A4E" w:rsidRPr="00A00990">
        <w:rPr>
          <w:rFonts w:eastAsia="Times New Roman" w:cs="Tahoma"/>
          <w:color w:val="auto"/>
          <w:lang w:eastAsia="es-ES"/>
        </w:rPr>
        <w:t xml:space="preserve">veintisiete de junio de </w:t>
      </w:r>
      <w:r w:rsidR="008E0DC4" w:rsidRPr="00A00990">
        <w:rPr>
          <w:rFonts w:eastAsia="Times New Roman" w:cs="Tahoma"/>
          <w:color w:val="auto"/>
          <w:lang w:eastAsia="es-ES"/>
        </w:rPr>
        <w:t>dos mil veinticinco</w:t>
      </w:r>
      <w:r w:rsidR="00BF362A" w:rsidRPr="00A00990">
        <w:rPr>
          <w:rFonts w:eastAsia="Times New Roman" w:cs="Tahoma"/>
          <w:color w:val="auto"/>
          <w:lang w:eastAsia="es-ES"/>
        </w:rPr>
        <w:t xml:space="preserve">, </w:t>
      </w:r>
      <w:r w:rsidR="00E22EA8" w:rsidRPr="00A00990">
        <w:rPr>
          <w:rFonts w:eastAsia="Times New Roman" w:cs="Tahoma"/>
          <w:color w:val="auto"/>
          <w:lang w:eastAsia="es-ES"/>
        </w:rPr>
        <w:t>el Particular presentó una solicitud de acceso a la información pública, a través del Sistema de Acceso a la Información Mexiquense (SAIMEX), ante</w:t>
      </w:r>
      <w:r w:rsidR="000B3C56" w:rsidRPr="00A00990">
        <w:rPr>
          <w:rFonts w:eastAsia="Times New Roman" w:cs="Tahoma"/>
          <w:color w:val="auto"/>
          <w:lang w:eastAsia="es-ES"/>
        </w:rPr>
        <w:t xml:space="preserve"> </w:t>
      </w:r>
      <w:r w:rsidR="00DC175C" w:rsidRPr="00A00990">
        <w:rPr>
          <w:rFonts w:eastAsia="Times New Roman" w:cs="Tahoma"/>
          <w:color w:val="auto"/>
          <w:lang w:eastAsia="es-ES"/>
        </w:rPr>
        <w:t>el</w:t>
      </w:r>
      <w:r w:rsidR="008246F7" w:rsidRPr="00A00990">
        <w:rPr>
          <w:color w:val="auto"/>
        </w:rPr>
        <w:t xml:space="preserve"> Ayuntamiento de </w:t>
      </w:r>
      <w:r w:rsidR="001F3444" w:rsidRPr="00A00990">
        <w:rPr>
          <w:color w:val="auto"/>
        </w:rPr>
        <w:t>T</w:t>
      </w:r>
      <w:r w:rsidR="00F30312" w:rsidRPr="00A00990">
        <w:rPr>
          <w:color w:val="auto"/>
        </w:rPr>
        <w:t>oluca</w:t>
      </w:r>
      <w:r w:rsidR="008E0DC4" w:rsidRPr="00A00990">
        <w:rPr>
          <w:rFonts w:eastAsia="Calibri" w:cs="Times New Roman"/>
          <w:color w:val="auto"/>
        </w:rPr>
        <w:t>,</w:t>
      </w:r>
      <w:r w:rsidR="00DC175C" w:rsidRPr="00A00990">
        <w:rPr>
          <w:rFonts w:eastAsia="Calibri" w:cs="Tahoma"/>
          <w:color w:val="auto"/>
        </w:rPr>
        <w:t xml:space="preserve"> </w:t>
      </w:r>
      <w:r w:rsidR="00E22EA8" w:rsidRPr="00A00990">
        <w:rPr>
          <w:rFonts w:eastAsia="Calibri" w:cs="Tahoma"/>
          <w:color w:val="auto"/>
        </w:rPr>
        <w:t xml:space="preserve">en los siguientes términos: </w:t>
      </w:r>
    </w:p>
    <w:p w14:paraId="2B959865" w14:textId="77777777" w:rsidR="00E22EA8" w:rsidRPr="00A00990" w:rsidRDefault="00E22EA8" w:rsidP="001162C4">
      <w:pPr>
        <w:spacing w:after="0" w:line="360" w:lineRule="auto"/>
        <w:rPr>
          <w:rFonts w:eastAsia="Calibri" w:cs="Tahoma"/>
          <w:color w:val="auto"/>
        </w:rPr>
      </w:pPr>
    </w:p>
    <w:p w14:paraId="3FBC9D66" w14:textId="0F26255C" w:rsidR="00A41789" w:rsidRPr="00A00990" w:rsidRDefault="00125F26" w:rsidP="001162C4">
      <w:pPr>
        <w:tabs>
          <w:tab w:val="left" w:pos="4667"/>
        </w:tabs>
        <w:spacing w:after="0" w:line="360" w:lineRule="auto"/>
        <w:ind w:left="567" w:right="567"/>
        <w:rPr>
          <w:rFonts w:eastAsia="Times New Roman" w:cs="Tahoma"/>
          <w:b/>
          <w:i/>
          <w:iCs/>
          <w:color w:val="auto"/>
          <w:sz w:val="20"/>
          <w:szCs w:val="20"/>
          <w:lang w:eastAsia="es-ES"/>
        </w:rPr>
      </w:pPr>
      <w:r w:rsidRPr="00A00990">
        <w:rPr>
          <w:rFonts w:eastAsia="Times New Roman" w:cs="Tahoma"/>
          <w:b/>
          <w:i/>
          <w:iCs/>
          <w:color w:val="auto"/>
          <w:sz w:val="20"/>
          <w:szCs w:val="20"/>
          <w:lang w:eastAsia="es-ES"/>
        </w:rPr>
        <w:t>“</w:t>
      </w:r>
      <w:r w:rsidR="00E22EA8" w:rsidRPr="00A00990">
        <w:rPr>
          <w:rFonts w:eastAsia="Times New Roman" w:cs="Tahoma"/>
          <w:b/>
          <w:i/>
          <w:iCs/>
          <w:color w:val="auto"/>
          <w:sz w:val="20"/>
          <w:szCs w:val="20"/>
          <w:lang w:eastAsia="es-ES"/>
        </w:rPr>
        <w:t>DESCRIPCIÓN CLARA Y PRECI</w:t>
      </w:r>
      <w:r w:rsidR="0084143D" w:rsidRPr="00A00990">
        <w:rPr>
          <w:rFonts w:eastAsia="Times New Roman" w:cs="Tahoma"/>
          <w:b/>
          <w:i/>
          <w:iCs/>
          <w:color w:val="auto"/>
          <w:sz w:val="20"/>
          <w:szCs w:val="20"/>
          <w:lang w:eastAsia="es-ES"/>
        </w:rPr>
        <w:t xml:space="preserve">SA DE LA </w:t>
      </w:r>
      <w:r w:rsidR="00A41789" w:rsidRPr="00A00990">
        <w:rPr>
          <w:rFonts w:eastAsia="Times New Roman" w:cs="Tahoma"/>
          <w:b/>
          <w:i/>
          <w:iCs/>
          <w:color w:val="auto"/>
          <w:sz w:val="20"/>
          <w:szCs w:val="20"/>
          <w:lang w:eastAsia="es-ES"/>
        </w:rPr>
        <w:t>INFORMACIÓN SOLICITADA</w:t>
      </w:r>
    </w:p>
    <w:p w14:paraId="2C6BC213" w14:textId="24AFE7F3" w:rsidR="00E22EA8" w:rsidRPr="00A00990" w:rsidRDefault="00FB5A4E" w:rsidP="001162C4">
      <w:pPr>
        <w:tabs>
          <w:tab w:val="left" w:pos="4667"/>
        </w:tabs>
        <w:spacing w:after="0" w:line="360" w:lineRule="auto"/>
        <w:ind w:left="567" w:right="567"/>
        <w:rPr>
          <w:i/>
          <w:iCs/>
          <w:color w:val="auto"/>
          <w:sz w:val="20"/>
          <w:szCs w:val="20"/>
        </w:rPr>
      </w:pPr>
      <w:r w:rsidRPr="00A00990">
        <w:rPr>
          <w:i/>
          <w:iCs/>
          <w:color w:val="auto"/>
          <w:sz w:val="20"/>
          <w:szCs w:val="20"/>
        </w:rPr>
        <w:t>Se solicita, atentamente al sujeto obligado del Estado de méxico, presente el padrón de provedores correspondiente al primer, segundo trimestre del año 2025, para que en términos de lo dispuesto por el artículo 70 de la Ley General de Transparencia y Acceso a la Información Pública, específicamente con lo indicado en la fracción XXIII del articulo en mención mismo que a la letra indica: “Artículo 70. En la Ley Federal y de las Entidades Federativas se contemplará que los sujetos obligados pongan a disposición del público y mantengan actualizada, en los respectivos medios electrónicos, de acuerdo con sus facultades, atribuciones, funciones u objteo social, según corresponda, la información, por lo menos, de los temas, documentos y políticas que a continuación se señalan: XXXII. Padrón de proveedores y contratistas” Así como a lo señalado en el artículo 92 fracción XXXVI de la Ley de Transparencia y Acceso a la Información Pública del Estado de México y Municipios, se otorgue la totalidad del padrón de proveedores. Lo anterior se solicita ya que se ha detectado una omisión en el cumplimiento de la obligación del mismo sujeto</w:t>
      </w:r>
      <w:r w:rsidR="00CA7C7A" w:rsidRPr="00A00990">
        <w:rPr>
          <w:i/>
          <w:iCs/>
          <w:color w:val="auto"/>
          <w:sz w:val="20"/>
          <w:szCs w:val="20"/>
        </w:rPr>
        <w:t>.</w:t>
      </w:r>
      <w:r w:rsidR="009215C2" w:rsidRPr="00A00990">
        <w:rPr>
          <w:i/>
          <w:iCs/>
          <w:color w:val="auto"/>
          <w:sz w:val="20"/>
          <w:szCs w:val="20"/>
        </w:rPr>
        <w:t>”</w:t>
      </w:r>
      <w:r w:rsidR="00857C17" w:rsidRPr="00A00990">
        <w:rPr>
          <w:i/>
          <w:iCs/>
          <w:color w:val="auto"/>
          <w:sz w:val="20"/>
          <w:szCs w:val="20"/>
        </w:rPr>
        <w:t xml:space="preserve"> (Sic.)</w:t>
      </w:r>
    </w:p>
    <w:p w14:paraId="5E88ED39" w14:textId="77777777" w:rsidR="00BF362A" w:rsidRPr="00A00990" w:rsidRDefault="00BF362A" w:rsidP="001162C4">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A00990" w:rsidRDefault="00125F26" w:rsidP="001162C4">
      <w:pPr>
        <w:tabs>
          <w:tab w:val="left" w:pos="4667"/>
        </w:tabs>
        <w:spacing w:after="0" w:line="360" w:lineRule="auto"/>
        <w:ind w:left="567" w:right="567"/>
        <w:rPr>
          <w:rFonts w:eastAsia="Times New Roman" w:cs="Tahoma"/>
          <w:b/>
          <w:bCs/>
          <w:i/>
          <w:iCs/>
          <w:color w:val="auto"/>
          <w:sz w:val="20"/>
          <w:lang w:eastAsia="es-ES"/>
        </w:rPr>
      </w:pPr>
      <w:r w:rsidRPr="00A00990">
        <w:rPr>
          <w:rFonts w:eastAsia="Times New Roman" w:cs="Tahoma"/>
          <w:b/>
          <w:bCs/>
          <w:i/>
          <w:iCs/>
          <w:color w:val="auto"/>
          <w:sz w:val="20"/>
          <w:lang w:eastAsia="es-ES"/>
        </w:rPr>
        <w:t>“</w:t>
      </w:r>
      <w:r w:rsidR="00E22EA8" w:rsidRPr="00A00990">
        <w:rPr>
          <w:rFonts w:eastAsia="Times New Roman" w:cs="Tahoma"/>
          <w:b/>
          <w:bCs/>
          <w:i/>
          <w:iCs/>
          <w:color w:val="auto"/>
          <w:sz w:val="20"/>
          <w:lang w:eastAsia="es-ES"/>
        </w:rPr>
        <w:t>MODALIDAD DE ENTREGA</w:t>
      </w:r>
    </w:p>
    <w:p w14:paraId="3CA8F82F" w14:textId="1B5A8200" w:rsidR="00EB386A" w:rsidRPr="00A00990" w:rsidRDefault="00BB6693" w:rsidP="001162C4">
      <w:pPr>
        <w:spacing w:after="0" w:line="360" w:lineRule="auto"/>
        <w:ind w:left="567" w:right="567"/>
        <w:rPr>
          <w:rFonts w:eastAsia="Times New Roman" w:cs="Arial"/>
          <w:bCs/>
          <w:i/>
          <w:iCs/>
          <w:color w:val="auto"/>
          <w:sz w:val="20"/>
          <w:lang w:eastAsia="es-ES"/>
        </w:rPr>
      </w:pPr>
      <w:r w:rsidRPr="00A00990">
        <w:rPr>
          <w:rFonts w:eastAsia="Times New Roman" w:cs="Arial"/>
          <w:bCs/>
          <w:i/>
          <w:iCs/>
          <w:color w:val="auto"/>
          <w:sz w:val="20"/>
          <w:lang w:eastAsia="es-ES"/>
        </w:rPr>
        <w:t>A través del SAIMEX</w:t>
      </w:r>
      <w:r w:rsidR="00E22EA8" w:rsidRPr="00A00990">
        <w:rPr>
          <w:rFonts w:eastAsia="Times New Roman" w:cs="Arial"/>
          <w:bCs/>
          <w:i/>
          <w:iCs/>
          <w:color w:val="auto"/>
          <w:sz w:val="20"/>
          <w:lang w:eastAsia="es-ES"/>
        </w:rPr>
        <w:t>”</w:t>
      </w:r>
    </w:p>
    <w:p w14:paraId="4373CC46" w14:textId="77777777" w:rsidR="00F30312" w:rsidRPr="00A00990" w:rsidRDefault="00F30312" w:rsidP="00F30312">
      <w:pPr>
        <w:spacing w:after="0" w:line="360" w:lineRule="auto"/>
        <w:ind w:right="567"/>
        <w:rPr>
          <w:rFonts w:eastAsia="Calibri" w:cs="Tahoma"/>
          <w:bCs/>
          <w:color w:val="FF0000"/>
          <w:lang w:eastAsia="en-US"/>
        </w:rPr>
      </w:pPr>
    </w:p>
    <w:p w14:paraId="0A604AAC" w14:textId="2F3D7533" w:rsidR="00E22EA8" w:rsidRPr="00A00990" w:rsidRDefault="00F30312" w:rsidP="001162C4">
      <w:pPr>
        <w:pStyle w:val="Ttulo2"/>
        <w:spacing w:before="0" w:after="0" w:line="360" w:lineRule="auto"/>
        <w:rPr>
          <w:color w:val="auto"/>
          <w:sz w:val="22"/>
          <w:szCs w:val="22"/>
        </w:rPr>
      </w:pPr>
      <w:bookmarkStart w:id="3" w:name="_Toc220599780"/>
      <w:r w:rsidRPr="00A00990">
        <w:rPr>
          <w:rFonts w:cs="Tahoma"/>
          <w:color w:val="auto"/>
          <w:sz w:val="22"/>
          <w:szCs w:val="22"/>
        </w:rPr>
        <w:t>I</w:t>
      </w:r>
      <w:r w:rsidR="00720A55" w:rsidRPr="00A00990">
        <w:rPr>
          <w:rFonts w:cs="Tahoma"/>
          <w:color w:val="auto"/>
          <w:sz w:val="22"/>
          <w:szCs w:val="22"/>
        </w:rPr>
        <w:t>I</w:t>
      </w:r>
      <w:r w:rsidR="00E22EA8" w:rsidRPr="00A00990">
        <w:rPr>
          <w:rFonts w:cs="Tahoma"/>
          <w:color w:val="auto"/>
          <w:sz w:val="22"/>
          <w:szCs w:val="22"/>
        </w:rPr>
        <w:t>.</w:t>
      </w:r>
      <w:r w:rsidR="00E22EA8" w:rsidRPr="00A00990">
        <w:rPr>
          <w:color w:val="auto"/>
          <w:sz w:val="22"/>
          <w:szCs w:val="22"/>
        </w:rPr>
        <w:t xml:space="preserve"> Respuesta del Sujeto Obligado</w:t>
      </w:r>
      <w:bookmarkEnd w:id="3"/>
    </w:p>
    <w:p w14:paraId="10CE94A9" w14:textId="77777777" w:rsidR="00C06004" w:rsidRPr="00A00990" w:rsidRDefault="00C06004" w:rsidP="001162C4">
      <w:pPr>
        <w:autoSpaceDE w:val="0"/>
        <w:autoSpaceDN w:val="0"/>
        <w:adjustRightInd w:val="0"/>
        <w:spacing w:after="0" w:line="360" w:lineRule="auto"/>
        <w:rPr>
          <w:b/>
          <w:bCs/>
          <w:color w:val="FF0000"/>
        </w:rPr>
      </w:pPr>
    </w:p>
    <w:p w14:paraId="492FB67C" w14:textId="5339E62B" w:rsidR="005454D5" w:rsidRPr="00A00990" w:rsidRDefault="00EB386A" w:rsidP="001162C4">
      <w:pPr>
        <w:spacing w:after="0" w:line="360" w:lineRule="auto"/>
        <w:rPr>
          <w:color w:val="auto"/>
        </w:rPr>
      </w:pPr>
      <w:r w:rsidRPr="00A00990">
        <w:rPr>
          <w:color w:val="auto"/>
        </w:rPr>
        <w:t xml:space="preserve">El </w:t>
      </w:r>
      <w:r w:rsidR="00FB5A4E" w:rsidRPr="00A00990">
        <w:rPr>
          <w:color w:val="auto"/>
        </w:rPr>
        <w:t xml:space="preserve">dieciocho de julio de dos </w:t>
      </w:r>
      <w:r w:rsidR="00CD4DE8" w:rsidRPr="00A00990">
        <w:rPr>
          <w:color w:val="auto"/>
        </w:rPr>
        <w:t>mil veinticinco</w:t>
      </w:r>
      <w:r w:rsidR="00E22EA8" w:rsidRPr="00A00990">
        <w:rPr>
          <w:color w:val="auto"/>
        </w:rPr>
        <w:t xml:space="preserve">, el Sujeto Obligado notificó, a través del Sistema de Acceso a la Información Mexiquense (SAIMEX), la respuesta a la solicitud de acceso a la información pública, </w:t>
      </w:r>
      <w:r w:rsidR="005454D5" w:rsidRPr="00A00990">
        <w:rPr>
          <w:color w:val="auto"/>
        </w:rPr>
        <w:t>a través de los documentos siguientes:</w:t>
      </w:r>
    </w:p>
    <w:p w14:paraId="0743878A" w14:textId="77777777" w:rsidR="001F3444" w:rsidRPr="00A00990" w:rsidRDefault="001F3444" w:rsidP="001162C4">
      <w:pPr>
        <w:spacing w:after="0" w:line="360" w:lineRule="auto"/>
        <w:rPr>
          <w:color w:val="FF0000"/>
        </w:rPr>
      </w:pPr>
    </w:p>
    <w:p w14:paraId="6F3FD38A" w14:textId="389173F4" w:rsidR="00FB5A4E" w:rsidRPr="00A00990" w:rsidRDefault="005454D5" w:rsidP="00790E31">
      <w:pPr>
        <w:spacing w:after="0" w:line="360" w:lineRule="auto"/>
        <w:rPr>
          <w:color w:val="auto"/>
        </w:rPr>
      </w:pPr>
      <w:r w:rsidRPr="00A00990">
        <w:rPr>
          <w:color w:val="auto"/>
        </w:rPr>
        <w:t>i. O</w:t>
      </w:r>
      <w:r w:rsidR="005E380A" w:rsidRPr="00A00990">
        <w:rPr>
          <w:color w:val="auto"/>
        </w:rPr>
        <w:t xml:space="preserve">ficio </w:t>
      </w:r>
      <w:r w:rsidR="00FB5A4E" w:rsidRPr="00A00990">
        <w:rPr>
          <w:color w:val="auto"/>
        </w:rPr>
        <w:t xml:space="preserve">200F10300/498/2025, del tres de julio de dos mil veinticinco, suscrito por </w:t>
      </w:r>
      <w:r w:rsidR="004703CB" w:rsidRPr="00A00990">
        <w:rPr>
          <w:color w:val="auto"/>
        </w:rPr>
        <w:t>la Coordinadora de Administración y Finanzas</w:t>
      </w:r>
      <w:r w:rsidR="006C350F" w:rsidRPr="00A00990">
        <w:rPr>
          <w:color w:val="auto"/>
        </w:rPr>
        <w:t xml:space="preserve"> del Instituto Municipal de la Mujer</w:t>
      </w:r>
      <w:r w:rsidR="004703CB" w:rsidRPr="00A00990">
        <w:rPr>
          <w:color w:val="auto"/>
        </w:rPr>
        <w:t>, dirigido al Titular de la Unidad de Información, Programación y Evaluación, por medio del cual menciona lo siguiente:</w:t>
      </w:r>
    </w:p>
    <w:p w14:paraId="5A8CB686" w14:textId="77777777" w:rsidR="004703CB" w:rsidRPr="00A00990" w:rsidRDefault="004703CB" w:rsidP="00790E31">
      <w:pPr>
        <w:spacing w:after="0" w:line="360" w:lineRule="auto"/>
        <w:rPr>
          <w:color w:val="auto"/>
        </w:rPr>
      </w:pPr>
    </w:p>
    <w:p w14:paraId="3B993D69" w14:textId="5B39D332" w:rsidR="004703CB" w:rsidRPr="00A00990" w:rsidRDefault="004703CB" w:rsidP="004703CB">
      <w:pPr>
        <w:tabs>
          <w:tab w:val="left" w:pos="4667"/>
        </w:tabs>
        <w:spacing w:after="0" w:line="360" w:lineRule="auto"/>
        <w:ind w:left="567" w:right="567"/>
        <w:rPr>
          <w:i/>
          <w:iCs/>
          <w:color w:val="auto"/>
          <w:sz w:val="20"/>
          <w:szCs w:val="20"/>
        </w:rPr>
      </w:pPr>
      <w:r w:rsidRPr="00A00990">
        <w:rPr>
          <w:i/>
          <w:iCs/>
          <w:color w:val="auto"/>
          <w:sz w:val="20"/>
          <w:szCs w:val="20"/>
        </w:rPr>
        <w:t xml:space="preserve">“…Al respecto, le informo que la información solicitada sí se encuentra publicada y disponible para consulta pública en el sistema de IPOMEX, específicamente en el artículo 92, fracción XXXVI correspondiente al primer trimestre del ejercicio 2025. Cabe señalar que la información publicada corresponde íntegramente a la que fue generada por esta Coordinación, sin alteraciones o modificaciones y debidamente fundamentada. Para facilitar el acceso, a continuación se proporciona el enlace: </w:t>
      </w:r>
      <w:hyperlink r:id="rId9" w:anchor="/info-fraccion/50/197/1" w:history="1">
        <w:r w:rsidRPr="00A00990">
          <w:rPr>
            <w:rStyle w:val="Hipervnculo"/>
            <w:i/>
            <w:iCs/>
            <w:sz w:val="20"/>
            <w:szCs w:val="20"/>
          </w:rPr>
          <w:t>https://ipomex.org.mx/ipomex/#/info-fraccion/50/197/1</w:t>
        </w:r>
      </w:hyperlink>
      <w:r w:rsidRPr="00A00990">
        <w:rPr>
          <w:i/>
          <w:iCs/>
          <w:color w:val="auto"/>
          <w:sz w:val="20"/>
          <w:szCs w:val="20"/>
        </w:rPr>
        <w:t>.</w:t>
      </w:r>
    </w:p>
    <w:p w14:paraId="20214686" w14:textId="77777777" w:rsidR="004703CB" w:rsidRPr="00A00990" w:rsidRDefault="004703CB" w:rsidP="004703CB">
      <w:pPr>
        <w:tabs>
          <w:tab w:val="left" w:pos="4667"/>
        </w:tabs>
        <w:spacing w:after="0" w:line="360" w:lineRule="auto"/>
        <w:ind w:left="567" w:right="567"/>
        <w:rPr>
          <w:i/>
          <w:iCs/>
          <w:color w:val="auto"/>
          <w:sz w:val="20"/>
          <w:szCs w:val="20"/>
        </w:rPr>
      </w:pPr>
    </w:p>
    <w:p w14:paraId="5467F9AF" w14:textId="7D02C8F0" w:rsidR="004703CB" w:rsidRPr="00A00990" w:rsidRDefault="004703CB" w:rsidP="004703CB">
      <w:pPr>
        <w:tabs>
          <w:tab w:val="left" w:pos="4667"/>
        </w:tabs>
        <w:spacing w:after="0" w:line="360" w:lineRule="auto"/>
        <w:ind w:left="567" w:right="567"/>
        <w:rPr>
          <w:i/>
          <w:iCs/>
          <w:color w:val="auto"/>
          <w:sz w:val="20"/>
          <w:szCs w:val="20"/>
        </w:rPr>
      </w:pPr>
      <w:r w:rsidRPr="00A00990">
        <w:rPr>
          <w:i/>
          <w:iCs/>
          <w:color w:val="auto"/>
          <w:sz w:val="20"/>
          <w:szCs w:val="20"/>
        </w:rPr>
        <w:t>En lo que respecta al segundo trimestre del ejercicio 2025, la información se encuentra actualmente en proceso de actualización, conforme a los plazos y términos establecidos por la normativa aplicable en materia de transparencia…” (Sic)</w:t>
      </w:r>
    </w:p>
    <w:p w14:paraId="3316644C" w14:textId="77777777" w:rsidR="00590688" w:rsidRPr="00A00990" w:rsidRDefault="00590688" w:rsidP="004703CB">
      <w:pPr>
        <w:tabs>
          <w:tab w:val="left" w:pos="4667"/>
        </w:tabs>
        <w:spacing w:after="0" w:line="360" w:lineRule="auto"/>
        <w:ind w:left="567" w:right="567"/>
        <w:rPr>
          <w:i/>
          <w:iCs/>
          <w:color w:val="auto"/>
          <w:sz w:val="20"/>
          <w:szCs w:val="20"/>
        </w:rPr>
      </w:pPr>
    </w:p>
    <w:p w14:paraId="57D1BB3C" w14:textId="559D2F0E" w:rsidR="00FB5A4E" w:rsidRPr="00A00990" w:rsidRDefault="00301D86" w:rsidP="00790E31">
      <w:pPr>
        <w:spacing w:after="0" w:line="360" w:lineRule="auto"/>
      </w:pPr>
      <w:r w:rsidRPr="00A00990">
        <w:rPr>
          <w:color w:val="auto"/>
        </w:rPr>
        <w:t xml:space="preserve">ii. Oficio </w:t>
      </w:r>
      <w:r w:rsidRPr="00A00990">
        <w:t>206010000/4502/2025 del dieciséis julio de dos mil veinticinco, suscrito por la Directora General de Administración, dirigido a la persona solicitante, por medio del cual se menciona lo siguiente:</w:t>
      </w:r>
    </w:p>
    <w:p w14:paraId="78538620" w14:textId="77777777" w:rsidR="000045D6" w:rsidRPr="00A00990" w:rsidRDefault="000045D6" w:rsidP="00790E31">
      <w:pPr>
        <w:spacing w:after="0" w:line="360" w:lineRule="auto"/>
      </w:pPr>
    </w:p>
    <w:p w14:paraId="0A230362" w14:textId="0241B2BC" w:rsidR="00301D86" w:rsidRPr="00A00990" w:rsidRDefault="00301D86" w:rsidP="00301D86">
      <w:pPr>
        <w:tabs>
          <w:tab w:val="left" w:pos="4667"/>
        </w:tabs>
        <w:spacing w:after="0" w:line="360" w:lineRule="auto"/>
        <w:ind w:left="567" w:right="567"/>
        <w:rPr>
          <w:i/>
          <w:iCs/>
          <w:color w:val="auto"/>
          <w:sz w:val="20"/>
          <w:szCs w:val="20"/>
        </w:rPr>
      </w:pPr>
      <w:r w:rsidRPr="00A00990">
        <w:rPr>
          <w:i/>
          <w:iCs/>
          <w:color w:val="auto"/>
          <w:sz w:val="20"/>
          <w:szCs w:val="20"/>
        </w:rPr>
        <w:t>“…Al respecto, hago de su conocimiento que por medio del SAIMEX, se remite la respuesta de la persona servidora pública de la Dirección de Recursos Materiales del Ayuntamiento de Toluca, competente para tal propósito…” (Sic)</w:t>
      </w:r>
    </w:p>
    <w:p w14:paraId="37CF6A35" w14:textId="77777777" w:rsidR="00B31BAC" w:rsidRPr="00A00990" w:rsidRDefault="00B31BAC" w:rsidP="00B31BAC">
      <w:pPr>
        <w:spacing w:after="0" w:line="360" w:lineRule="auto"/>
      </w:pPr>
    </w:p>
    <w:p w14:paraId="2D729277" w14:textId="3EE591D2" w:rsidR="00301D86" w:rsidRPr="00A00990" w:rsidRDefault="00676B7F" w:rsidP="00B31BAC">
      <w:pPr>
        <w:spacing w:after="0" w:line="360" w:lineRule="auto"/>
      </w:pPr>
      <w:r w:rsidRPr="00A00990">
        <w:t xml:space="preserve">iii. </w:t>
      </w:r>
      <w:r w:rsidR="00B31BAC" w:rsidRPr="00A00990">
        <w:t>Nota informativa No. 236/2025 del quince de julio de dos mil veinticinco, suscrito por la Directora de Recursos Materiales, dirigido a la Directora General de Administración, por medio de la cual se menciona lo siguiente:</w:t>
      </w:r>
    </w:p>
    <w:p w14:paraId="4100F0AB" w14:textId="77777777" w:rsidR="00B31BAC" w:rsidRPr="00A00990" w:rsidRDefault="00B31BAC" w:rsidP="00B31BAC">
      <w:pPr>
        <w:spacing w:after="0" w:line="360" w:lineRule="auto"/>
      </w:pPr>
    </w:p>
    <w:p w14:paraId="08180CEB" w14:textId="66308EE6" w:rsidR="00B31BAC" w:rsidRPr="00A00990" w:rsidRDefault="00B31BAC" w:rsidP="00B31BAC">
      <w:pPr>
        <w:tabs>
          <w:tab w:val="left" w:pos="4667"/>
        </w:tabs>
        <w:spacing w:after="0" w:line="360" w:lineRule="auto"/>
        <w:ind w:left="567" w:right="567"/>
        <w:rPr>
          <w:i/>
          <w:iCs/>
          <w:color w:val="auto"/>
          <w:sz w:val="20"/>
          <w:szCs w:val="20"/>
        </w:rPr>
      </w:pPr>
      <w:r w:rsidRPr="00A00990">
        <w:rPr>
          <w:i/>
          <w:iCs/>
          <w:color w:val="auto"/>
          <w:sz w:val="20"/>
          <w:szCs w:val="20"/>
        </w:rPr>
        <w:t xml:space="preserve">“…Al respecto, de conformidad con lo establecido por los artículos 12 segundo párrafo y 160 de la Ley de Transparencia y Acceso a la Información Pública del Estado de México y Municipios; en el ámbito de competencia de esta Dirección sus Departamentos, me permito comentar que la información solicitada, se encuentra disponible en el portal del IPOMEX, en el apartado del artículo 92 fracción XXXVI Padrón de Proveedores y Contratistas, ejercicio 2025, la cual podrá ser consultada en el siguiente link: </w:t>
      </w:r>
    </w:p>
    <w:p w14:paraId="6FE6F27B" w14:textId="77777777" w:rsidR="00B31BAC" w:rsidRPr="00A00990" w:rsidRDefault="00B31BAC" w:rsidP="00B31BAC">
      <w:pPr>
        <w:tabs>
          <w:tab w:val="left" w:pos="4667"/>
        </w:tabs>
        <w:spacing w:after="0" w:line="360" w:lineRule="auto"/>
        <w:ind w:left="567" w:right="567"/>
        <w:rPr>
          <w:i/>
          <w:iCs/>
          <w:color w:val="auto"/>
          <w:sz w:val="20"/>
          <w:szCs w:val="20"/>
        </w:rPr>
      </w:pPr>
    </w:p>
    <w:p w14:paraId="09F14C3A" w14:textId="77777777" w:rsidR="00B31BAC" w:rsidRPr="00A00990" w:rsidRDefault="00090479" w:rsidP="00B31BAC">
      <w:pPr>
        <w:tabs>
          <w:tab w:val="left" w:pos="4667"/>
        </w:tabs>
        <w:spacing w:after="0" w:line="360" w:lineRule="auto"/>
        <w:ind w:left="567" w:right="567"/>
        <w:rPr>
          <w:i/>
          <w:iCs/>
          <w:color w:val="auto"/>
          <w:sz w:val="20"/>
          <w:szCs w:val="20"/>
        </w:rPr>
      </w:pPr>
      <w:hyperlink r:id="rId10" w:anchor="/info-fraccion/50/197/1" w:history="1">
        <w:r w:rsidR="00B31BAC" w:rsidRPr="00A00990">
          <w:rPr>
            <w:i/>
            <w:iCs/>
            <w:color w:val="auto"/>
            <w:sz w:val="20"/>
            <w:szCs w:val="20"/>
          </w:rPr>
          <w:t>https://ipomex.org.mx/ipomex/#/info-fraccion/50/197/1</w:t>
        </w:r>
      </w:hyperlink>
      <w:r w:rsidR="00B31BAC" w:rsidRPr="00A00990">
        <w:rPr>
          <w:i/>
          <w:iCs/>
          <w:color w:val="auto"/>
          <w:sz w:val="20"/>
          <w:szCs w:val="20"/>
        </w:rPr>
        <w:t xml:space="preserve">  </w:t>
      </w:r>
    </w:p>
    <w:p w14:paraId="4E979D06" w14:textId="3441DB65" w:rsidR="00B31BAC" w:rsidRPr="00A00990" w:rsidRDefault="00B31BAC" w:rsidP="00B31BAC">
      <w:pPr>
        <w:tabs>
          <w:tab w:val="left" w:pos="4667"/>
        </w:tabs>
        <w:spacing w:after="0" w:line="360" w:lineRule="auto"/>
        <w:ind w:left="567" w:right="567"/>
        <w:rPr>
          <w:i/>
          <w:iCs/>
          <w:color w:val="auto"/>
          <w:sz w:val="20"/>
          <w:szCs w:val="20"/>
        </w:rPr>
      </w:pPr>
      <w:r w:rsidRPr="00A00990">
        <w:rPr>
          <w:i/>
          <w:iCs/>
          <w:color w:val="auto"/>
          <w:sz w:val="20"/>
          <w:szCs w:val="20"/>
        </w:rPr>
        <w:t xml:space="preserve">…” (Sic) </w:t>
      </w:r>
    </w:p>
    <w:p w14:paraId="6F64C010" w14:textId="77777777" w:rsidR="00790E31" w:rsidRPr="00A00990" w:rsidRDefault="00790E31" w:rsidP="009F702C">
      <w:pPr>
        <w:spacing w:after="0" w:line="360" w:lineRule="auto"/>
        <w:rPr>
          <w:i/>
          <w:color w:val="auto"/>
          <w:sz w:val="20"/>
        </w:rPr>
      </w:pPr>
    </w:p>
    <w:p w14:paraId="7E7FBB31" w14:textId="2D71FF5C" w:rsidR="00E22EA8" w:rsidRPr="00A00990" w:rsidRDefault="00720A55" w:rsidP="001162C4">
      <w:pPr>
        <w:pStyle w:val="Ttulo2"/>
        <w:spacing w:before="0" w:after="0" w:line="360" w:lineRule="auto"/>
        <w:rPr>
          <w:color w:val="auto"/>
          <w:sz w:val="22"/>
          <w:szCs w:val="22"/>
        </w:rPr>
      </w:pPr>
      <w:bookmarkStart w:id="4" w:name="_Toc220599781"/>
      <w:r w:rsidRPr="00A00990">
        <w:rPr>
          <w:color w:val="auto"/>
          <w:sz w:val="22"/>
          <w:szCs w:val="22"/>
        </w:rPr>
        <w:t>I</w:t>
      </w:r>
      <w:r w:rsidR="00D252F7" w:rsidRPr="00A00990">
        <w:rPr>
          <w:color w:val="auto"/>
          <w:sz w:val="22"/>
          <w:szCs w:val="22"/>
        </w:rPr>
        <w:t>II</w:t>
      </w:r>
      <w:r w:rsidR="00E22EA8" w:rsidRPr="00A00990">
        <w:rPr>
          <w:color w:val="auto"/>
          <w:sz w:val="22"/>
          <w:szCs w:val="22"/>
        </w:rPr>
        <w:t>. Interposición del Recurso de Revisión</w:t>
      </w:r>
      <w:bookmarkEnd w:id="4"/>
    </w:p>
    <w:p w14:paraId="053D45CF" w14:textId="77777777" w:rsidR="00E22EA8" w:rsidRPr="00A00990" w:rsidRDefault="00E22EA8" w:rsidP="001162C4">
      <w:pPr>
        <w:spacing w:after="0" w:line="360" w:lineRule="auto"/>
        <w:rPr>
          <w:b/>
          <w:color w:val="auto"/>
        </w:rPr>
      </w:pPr>
    </w:p>
    <w:p w14:paraId="355C8CC6" w14:textId="43E95C1F" w:rsidR="009C5A71" w:rsidRPr="00A00990" w:rsidRDefault="00083169" w:rsidP="001162C4">
      <w:pPr>
        <w:spacing w:after="0" w:line="360" w:lineRule="auto"/>
        <w:rPr>
          <w:bCs/>
          <w:color w:val="auto"/>
        </w:rPr>
      </w:pPr>
      <w:r w:rsidRPr="00A00990">
        <w:rPr>
          <w:bCs/>
          <w:color w:val="auto"/>
        </w:rPr>
        <w:t>El</w:t>
      </w:r>
      <w:r w:rsidR="008E5E71" w:rsidRPr="00A00990">
        <w:rPr>
          <w:bCs/>
          <w:color w:val="auto"/>
        </w:rPr>
        <w:t xml:space="preserve"> </w:t>
      </w:r>
      <w:r w:rsidR="00A00990">
        <w:rPr>
          <w:bCs/>
          <w:color w:val="auto"/>
        </w:rPr>
        <w:t>cuatro</w:t>
      </w:r>
      <w:r w:rsidR="009F702C" w:rsidRPr="00A00990">
        <w:rPr>
          <w:bCs/>
          <w:color w:val="auto"/>
        </w:rPr>
        <w:t xml:space="preserve"> de agosto de dos mil veinticinco</w:t>
      </w:r>
      <w:r w:rsidR="00E22EA8" w:rsidRPr="00A00990">
        <w:rPr>
          <w:bCs/>
          <w:color w:val="auto"/>
        </w:rPr>
        <w:t xml:space="preserve">, se recibió en este Instituto, a través del </w:t>
      </w:r>
      <w:r w:rsidR="00E22EA8" w:rsidRPr="00A00990">
        <w:rPr>
          <w:bCs/>
          <w:color w:val="auto"/>
          <w:lang w:val="es-ES"/>
        </w:rPr>
        <w:t>Sistema de Acceso a la Información Mexiquense (SAIMEX)</w:t>
      </w:r>
      <w:r w:rsidR="00E22EA8" w:rsidRPr="00A00990">
        <w:rPr>
          <w:bCs/>
          <w:color w:val="auto"/>
        </w:rPr>
        <w:t xml:space="preserve">, </w:t>
      </w:r>
      <w:r w:rsidR="009F702C" w:rsidRPr="00A00990">
        <w:rPr>
          <w:bCs/>
          <w:color w:val="auto"/>
        </w:rPr>
        <w:t>(ya que si bien se tuvo por presentado el veintidós de julio de dicho año, este fue inhábil, por lo que se tuvo por presentado el día hábil siguiente)</w:t>
      </w:r>
      <w:r w:rsidR="006C350F" w:rsidRPr="00A00990">
        <w:rPr>
          <w:bCs/>
          <w:color w:val="auto"/>
        </w:rPr>
        <w:t xml:space="preserve">, </w:t>
      </w:r>
      <w:r w:rsidR="009019A8" w:rsidRPr="00A00990">
        <w:rPr>
          <w:bCs/>
          <w:color w:val="auto"/>
        </w:rPr>
        <w:t xml:space="preserve">el </w:t>
      </w:r>
      <w:r w:rsidR="00E22EA8" w:rsidRPr="00A00990">
        <w:rPr>
          <w:bCs/>
          <w:color w:val="auto"/>
        </w:rPr>
        <w:t>Recurso de Revisión interpuesto por la p</w:t>
      </w:r>
      <w:r w:rsidRPr="00A00990">
        <w:rPr>
          <w:bCs/>
          <w:color w:val="auto"/>
        </w:rPr>
        <w:t>ersona</w:t>
      </w:r>
      <w:r w:rsidR="00E22EA8" w:rsidRPr="00A00990">
        <w:rPr>
          <w:bCs/>
          <w:color w:val="auto"/>
        </w:rPr>
        <w:t xml:space="preserve"> Recurrente, en contra de la respuesta por el Sujeto Obligado, a la solicitud de información</w:t>
      </w:r>
      <w:r w:rsidR="00F43789" w:rsidRPr="00A00990">
        <w:rPr>
          <w:rFonts w:eastAsia="Calibri" w:cs="Times New Roman"/>
          <w:color w:val="auto"/>
        </w:rPr>
        <w:t xml:space="preserve">, </w:t>
      </w:r>
      <w:r w:rsidR="00E22EA8" w:rsidRPr="00A00990">
        <w:rPr>
          <w:bCs/>
          <w:color w:val="auto"/>
        </w:rPr>
        <w:t>en los siguientes términos:</w:t>
      </w:r>
    </w:p>
    <w:p w14:paraId="1DFB5451" w14:textId="77777777" w:rsidR="001B6E39" w:rsidRPr="00A00990" w:rsidRDefault="001B6E39" w:rsidP="001162C4">
      <w:pPr>
        <w:spacing w:after="0" w:line="360" w:lineRule="auto"/>
        <w:rPr>
          <w:bCs/>
          <w:color w:val="FF0000"/>
        </w:rPr>
      </w:pPr>
    </w:p>
    <w:p w14:paraId="1B2CCD45" w14:textId="1F34B3A9" w:rsidR="00E22EA8" w:rsidRPr="00A00990" w:rsidRDefault="00E12804" w:rsidP="001162C4">
      <w:pPr>
        <w:spacing w:after="0" w:line="360" w:lineRule="auto"/>
        <w:ind w:left="567" w:right="567"/>
        <w:rPr>
          <w:bCs/>
          <w:i/>
          <w:color w:val="auto"/>
          <w:sz w:val="20"/>
          <w:szCs w:val="20"/>
        </w:rPr>
      </w:pPr>
      <w:r w:rsidRPr="00A00990">
        <w:rPr>
          <w:b/>
          <w:bCs/>
          <w:i/>
          <w:color w:val="auto"/>
          <w:sz w:val="20"/>
          <w:szCs w:val="20"/>
        </w:rPr>
        <w:t>‘’</w:t>
      </w:r>
      <w:r w:rsidR="00E22EA8" w:rsidRPr="00A00990">
        <w:rPr>
          <w:b/>
          <w:bCs/>
          <w:i/>
          <w:color w:val="auto"/>
          <w:sz w:val="20"/>
          <w:szCs w:val="20"/>
        </w:rPr>
        <w:t>ACTO IMPUGNADO</w:t>
      </w:r>
    </w:p>
    <w:p w14:paraId="20CB87D1" w14:textId="516B5201" w:rsidR="00E22EA8" w:rsidRPr="00A00990" w:rsidRDefault="006C350F" w:rsidP="001162C4">
      <w:pPr>
        <w:spacing w:after="0" w:line="360" w:lineRule="auto"/>
        <w:ind w:left="567" w:right="567"/>
        <w:rPr>
          <w:i/>
          <w:iCs/>
          <w:color w:val="auto"/>
          <w:sz w:val="20"/>
          <w:szCs w:val="20"/>
        </w:rPr>
      </w:pPr>
      <w:r w:rsidRPr="00A00990">
        <w:rPr>
          <w:i/>
          <w:iCs/>
          <w:color w:val="auto"/>
          <w:sz w:val="20"/>
          <w:szCs w:val="20"/>
        </w:rPr>
        <w:t>LA NEGATIVA DE LA INFORMAICÓN QUE ES PUBLICA</w:t>
      </w:r>
      <w:r w:rsidR="00E22EA8" w:rsidRPr="00A00990">
        <w:rPr>
          <w:i/>
          <w:iCs/>
          <w:color w:val="auto"/>
          <w:sz w:val="20"/>
          <w:szCs w:val="20"/>
        </w:rPr>
        <w:t>”</w:t>
      </w:r>
      <w:r w:rsidR="002D6CA6" w:rsidRPr="00A00990">
        <w:rPr>
          <w:i/>
          <w:iCs/>
          <w:color w:val="auto"/>
          <w:sz w:val="20"/>
          <w:szCs w:val="20"/>
        </w:rPr>
        <w:t xml:space="preserve"> (Sic.)</w:t>
      </w:r>
    </w:p>
    <w:p w14:paraId="3B2615CC" w14:textId="77777777" w:rsidR="00E22EA8" w:rsidRPr="00A00990" w:rsidRDefault="00E22EA8" w:rsidP="001162C4">
      <w:pPr>
        <w:spacing w:after="0" w:line="360" w:lineRule="auto"/>
        <w:ind w:left="567" w:right="567"/>
        <w:rPr>
          <w:i/>
          <w:color w:val="auto"/>
          <w:sz w:val="20"/>
          <w:szCs w:val="20"/>
        </w:rPr>
      </w:pPr>
    </w:p>
    <w:p w14:paraId="3F1F07C7" w14:textId="49F2AE96" w:rsidR="00E22EA8" w:rsidRPr="00A00990" w:rsidRDefault="00E12804" w:rsidP="001162C4">
      <w:pPr>
        <w:spacing w:after="0" w:line="360" w:lineRule="auto"/>
        <w:ind w:left="567" w:right="567"/>
        <w:rPr>
          <w:b/>
          <w:i/>
          <w:color w:val="auto"/>
          <w:sz w:val="20"/>
          <w:szCs w:val="20"/>
        </w:rPr>
      </w:pPr>
      <w:r w:rsidRPr="00A00990">
        <w:rPr>
          <w:b/>
          <w:i/>
          <w:color w:val="auto"/>
          <w:sz w:val="20"/>
          <w:szCs w:val="20"/>
        </w:rPr>
        <w:t>‘’</w:t>
      </w:r>
      <w:r w:rsidR="00E22EA8" w:rsidRPr="00A00990">
        <w:rPr>
          <w:b/>
          <w:i/>
          <w:color w:val="auto"/>
          <w:sz w:val="20"/>
          <w:szCs w:val="20"/>
        </w:rPr>
        <w:t>RAZONES O MOTIVOS DE LA INCONFORMIDAD</w:t>
      </w:r>
    </w:p>
    <w:p w14:paraId="31B716B5" w14:textId="5883A107" w:rsidR="00E12804" w:rsidRPr="00A00990" w:rsidRDefault="006C350F" w:rsidP="001162C4">
      <w:pPr>
        <w:spacing w:after="0" w:line="360" w:lineRule="auto"/>
        <w:ind w:left="567" w:right="567"/>
        <w:rPr>
          <w:i/>
          <w:iCs/>
          <w:color w:val="auto"/>
          <w:sz w:val="20"/>
          <w:szCs w:val="20"/>
        </w:rPr>
      </w:pPr>
      <w:r w:rsidRPr="00A00990">
        <w:rPr>
          <w:i/>
          <w:iCs/>
          <w:color w:val="auto"/>
          <w:sz w:val="20"/>
          <w:szCs w:val="20"/>
        </w:rPr>
        <w:t>LA NEGATIVA DE LA INFORMAICÓN QUE ES PUBLICA</w:t>
      </w:r>
      <w:r w:rsidR="003C5F59" w:rsidRPr="00A00990">
        <w:rPr>
          <w:i/>
          <w:iCs/>
          <w:color w:val="auto"/>
          <w:sz w:val="20"/>
          <w:szCs w:val="20"/>
        </w:rPr>
        <w:t>”</w:t>
      </w:r>
      <w:r w:rsidR="002D6CA6" w:rsidRPr="00A00990">
        <w:rPr>
          <w:i/>
          <w:iCs/>
          <w:color w:val="auto"/>
          <w:sz w:val="20"/>
          <w:szCs w:val="20"/>
        </w:rPr>
        <w:t xml:space="preserve"> (Sic.)</w:t>
      </w:r>
    </w:p>
    <w:p w14:paraId="1DB4737B" w14:textId="77777777" w:rsidR="00F41361" w:rsidRPr="00A00990" w:rsidRDefault="00F41361" w:rsidP="001162C4">
      <w:pPr>
        <w:spacing w:after="0" w:line="360" w:lineRule="auto"/>
        <w:ind w:left="567" w:right="567"/>
        <w:rPr>
          <w:i/>
          <w:color w:val="FF0000"/>
          <w:sz w:val="20"/>
          <w:szCs w:val="20"/>
        </w:rPr>
      </w:pPr>
    </w:p>
    <w:p w14:paraId="009DB65C" w14:textId="095E43F1" w:rsidR="00E22EA8" w:rsidRPr="00A00990" w:rsidRDefault="00D252F7" w:rsidP="001162C4">
      <w:pPr>
        <w:pStyle w:val="Ttulo2"/>
        <w:spacing w:before="0" w:after="0" w:line="360" w:lineRule="auto"/>
        <w:rPr>
          <w:color w:val="auto"/>
          <w:sz w:val="22"/>
          <w:szCs w:val="22"/>
        </w:rPr>
      </w:pPr>
      <w:bookmarkStart w:id="5" w:name="_Toc220599782"/>
      <w:r w:rsidRPr="00A00990">
        <w:rPr>
          <w:color w:val="auto"/>
          <w:sz w:val="22"/>
          <w:szCs w:val="22"/>
        </w:rPr>
        <w:t>I</w:t>
      </w:r>
      <w:r w:rsidR="00E22EA8" w:rsidRPr="00A00990">
        <w:rPr>
          <w:color w:val="auto"/>
          <w:sz w:val="22"/>
          <w:szCs w:val="22"/>
        </w:rPr>
        <w:t>V. Trámite del Recurso de Revisión ante este Instituto</w:t>
      </w:r>
      <w:bookmarkEnd w:id="5"/>
    </w:p>
    <w:p w14:paraId="5C9B63F8" w14:textId="77777777" w:rsidR="009B2DAB" w:rsidRPr="00A00990" w:rsidRDefault="009B2DAB" w:rsidP="001162C4">
      <w:pPr>
        <w:spacing w:after="0" w:line="360" w:lineRule="auto"/>
        <w:rPr>
          <w:b/>
          <w:bCs/>
          <w:color w:val="auto"/>
        </w:rPr>
      </w:pPr>
    </w:p>
    <w:p w14:paraId="173768ED" w14:textId="6CA793B7" w:rsidR="00E22EA8" w:rsidRPr="00A00990" w:rsidRDefault="00E22EA8" w:rsidP="001162C4">
      <w:pPr>
        <w:spacing w:after="0" w:line="360" w:lineRule="auto"/>
        <w:rPr>
          <w:bCs/>
          <w:color w:val="auto"/>
        </w:rPr>
      </w:pPr>
      <w:r w:rsidRPr="00A00990">
        <w:rPr>
          <w:b/>
          <w:bCs/>
          <w:color w:val="auto"/>
        </w:rPr>
        <w:t>a) Turno del Medio de Impugnación.</w:t>
      </w:r>
      <w:r w:rsidR="000A706F" w:rsidRPr="00A00990">
        <w:rPr>
          <w:bCs/>
          <w:color w:val="auto"/>
        </w:rPr>
        <w:t xml:space="preserve"> </w:t>
      </w:r>
      <w:r w:rsidR="003C5F59" w:rsidRPr="00A00990">
        <w:rPr>
          <w:bCs/>
          <w:color w:val="auto"/>
        </w:rPr>
        <w:t xml:space="preserve">El </w:t>
      </w:r>
      <w:r w:rsidR="006C350F" w:rsidRPr="00A00990">
        <w:rPr>
          <w:bCs/>
          <w:color w:val="auto"/>
        </w:rPr>
        <w:t xml:space="preserve">veintidós de julio </w:t>
      </w:r>
      <w:r w:rsidR="00E64E18" w:rsidRPr="00A00990">
        <w:rPr>
          <w:color w:val="auto"/>
        </w:rPr>
        <w:t>de dos mil veinticinco</w:t>
      </w:r>
      <w:r w:rsidRPr="00A00990">
        <w:rPr>
          <w:bCs/>
          <w:color w:val="auto"/>
        </w:rPr>
        <w:t xml:space="preserve">, el </w:t>
      </w:r>
      <w:r w:rsidRPr="00A00990">
        <w:rPr>
          <w:color w:val="auto"/>
          <w:lang w:val="es-ES"/>
        </w:rPr>
        <w:t>Sistema de Acceso a la Información Mexiquense (SAIMEX),</w:t>
      </w:r>
      <w:r w:rsidRPr="00A00990">
        <w:rPr>
          <w:bCs/>
          <w:color w:val="auto"/>
        </w:rPr>
        <w:t xml:space="preserve"> asignó el número de expediente </w:t>
      </w:r>
      <w:r w:rsidR="006C350F" w:rsidRPr="00A00990">
        <w:rPr>
          <w:b/>
          <w:bCs/>
          <w:color w:val="auto"/>
        </w:rPr>
        <w:t>08951</w:t>
      </w:r>
      <w:r w:rsidR="000D392E" w:rsidRPr="00A00990">
        <w:rPr>
          <w:b/>
          <w:bCs/>
          <w:color w:val="auto"/>
        </w:rPr>
        <w:t>/INFOEM/IP/RR/2025</w:t>
      </w:r>
      <w:r w:rsidRPr="00A00990">
        <w:rPr>
          <w:bCs/>
          <w:color w:val="auto"/>
        </w:rPr>
        <w:t xml:space="preserve">, al medio de impugnación que nos ocupa, con base en el sistema aprobado por el Pleno de este </w:t>
      </w:r>
      <w:r w:rsidR="00B65BCA" w:rsidRPr="00A00990">
        <w:rPr>
          <w:bCs/>
          <w:color w:val="auto"/>
        </w:rPr>
        <w:t>Organismo</w:t>
      </w:r>
      <w:r w:rsidRPr="00A0099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A00990" w:rsidRDefault="005914EE" w:rsidP="001162C4">
      <w:pPr>
        <w:spacing w:after="0" w:line="360" w:lineRule="auto"/>
        <w:rPr>
          <w:b/>
          <w:bCs/>
          <w:color w:val="auto"/>
        </w:rPr>
      </w:pPr>
    </w:p>
    <w:p w14:paraId="61891480" w14:textId="52EA706C" w:rsidR="00E22EA8" w:rsidRPr="00A00990" w:rsidRDefault="00E22EA8" w:rsidP="001162C4">
      <w:pPr>
        <w:spacing w:after="0" w:line="360" w:lineRule="auto"/>
        <w:rPr>
          <w:color w:val="auto"/>
        </w:rPr>
      </w:pPr>
      <w:r w:rsidRPr="00A00990">
        <w:rPr>
          <w:b/>
          <w:bCs/>
          <w:color w:val="auto"/>
        </w:rPr>
        <w:t>b) Admisión del Recurso de Revisión</w:t>
      </w:r>
      <w:r w:rsidRPr="00A00990">
        <w:rPr>
          <w:b/>
          <w:bCs/>
          <w:color w:val="auto"/>
          <w:lang w:val="es-ES_tradnl"/>
        </w:rPr>
        <w:t xml:space="preserve">. </w:t>
      </w:r>
      <w:r w:rsidR="003C5F59" w:rsidRPr="00A00990">
        <w:rPr>
          <w:color w:val="auto"/>
        </w:rPr>
        <w:t xml:space="preserve">El </w:t>
      </w:r>
      <w:r w:rsidR="006C350F" w:rsidRPr="00A00990">
        <w:rPr>
          <w:color w:val="auto"/>
        </w:rPr>
        <w:t>siete de agosto de dos mil veinticinco</w:t>
      </w:r>
      <w:r w:rsidRPr="00A00990">
        <w:rPr>
          <w:bCs/>
          <w:color w:val="auto"/>
          <w:lang w:val="es-ES_tradnl"/>
        </w:rPr>
        <w:t xml:space="preserve">, se acordó la admisión del Recurso de Revisión interpuesto por </w:t>
      </w:r>
      <w:r w:rsidR="00261B92" w:rsidRPr="00A00990">
        <w:rPr>
          <w:bCs/>
          <w:color w:val="auto"/>
          <w:lang w:val="es-ES_tradnl"/>
        </w:rPr>
        <w:t>la persona</w:t>
      </w:r>
      <w:r w:rsidRPr="00A00990">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00990">
        <w:rPr>
          <w:bCs/>
          <w:color w:val="auto"/>
          <w:lang w:val="es-ES_tradnl"/>
        </w:rPr>
        <w:t>el</w:t>
      </w:r>
      <w:r w:rsidR="007C4D4E" w:rsidRPr="00A00990">
        <w:rPr>
          <w:bCs/>
          <w:color w:val="auto"/>
          <w:lang w:val="es-ES_tradnl"/>
        </w:rPr>
        <w:t xml:space="preserve"> mismo día</w:t>
      </w:r>
      <w:r w:rsidRPr="00A00990">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A00990" w:rsidRDefault="00E22EA8" w:rsidP="001162C4">
      <w:pPr>
        <w:spacing w:after="0" w:line="360" w:lineRule="auto"/>
        <w:rPr>
          <w:rFonts w:cs="Tahoma"/>
          <w:color w:val="FF0000"/>
          <w:lang w:val="es-ES_tradnl"/>
        </w:rPr>
      </w:pPr>
    </w:p>
    <w:p w14:paraId="47340AE7" w14:textId="5E69B70C" w:rsidR="006C350F" w:rsidRPr="00A00990" w:rsidRDefault="000410E6" w:rsidP="00590688">
      <w:pPr>
        <w:spacing w:after="0" w:line="360" w:lineRule="auto"/>
        <w:rPr>
          <w:color w:val="auto"/>
        </w:rPr>
      </w:pPr>
      <w:r w:rsidRPr="00A00990">
        <w:rPr>
          <w:b/>
          <w:color w:val="auto"/>
        </w:rPr>
        <w:t>c) Informe Justificado</w:t>
      </w:r>
      <w:r w:rsidR="000C48DB" w:rsidRPr="00A00990">
        <w:rPr>
          <w:b/>
          <w:color w:val="auto"/>
        </w:rPr>
        <w:t xml:space="preserve">. </w:t>
      </w:r>
      <w:r w:rsidR="00FE2415" w:rsidRPr="00A00990">
        <w:rPr>
          <w:color w:val="auto"/>
        </w:rPr>
        <w:t xml:space="preserve">El </w:t>
      </w:r>
      <w:r w:rsidR="006C350F" w:rsidRPr="00A00990">
        <w:rPr>
          <w:color w:val="auto"/>
        </w:rPr>
        <w:t xml:space="preserve">dieciocho de agosto de dos mil veinticinco, </w:t>
      </w:r>
      <w:r w:rsidR="000C48DB" w:rsidRPr="00A00990">
        <w:rPr>
          <w:color w:val="auto"/>
        </w:rPr>
        <w:t>se recibió, a través del Sistema de Acceso a la Información Mexiquense (SAIMEX), el Informe Justificado del Sujeto Obligado, a través de</w:t>
      </w:r>
      <w:r w:rsidR="00590688" w:rsidRPr="00A00990">
        <w:rPr>
          <w:color w:val="auto"/>
        </w:rPr>
        <w:t>l cual de manera medular ratifico las respuestas otorgadas.</w:t>
      </w:r>
    </w:p>
    <w:p w14:paraId="107241AD" w14:textId="77777777" w:rsidR="0076162A" w:rsidRPr="00A00990" w:rsidRDefault="0076162A" w:rsidP="001162C4">
      <w:pPr>
        <w:spacing w:after="0" w:line="360" w:lineRule="auto"/>
        <w:rPr>
          <w:rFonts w:cs="Tahoma"/>
          <w:color w:val="auto"/>
        </w:rPr>
      </w:pPr>
    </w:p>
    <w:p w14:paraId="715A7EF1" w14:textId="60188276" w:rsidR="000C48DB" w:rsidRPr="00A00990" w:rsidRDefault="000C48DB" w:rsidP="001162C4">
      <w:pPr>
        <w:spacing w:after="0" w:line="360" w:lineRule="auto"/>
        <w:rPr>
          <w:rFonts w:cs="Tahoma"/>
          <w:b/>
          <w:color w:val="auto"/>
        </w:rPr>
      </w:pPr>
      <w:r w:rsidRPr="00A00990">
        <w:rPr>
          <w:b/>
          <w:color w:val="auto"/>
        </w:rPr>
        <w:t>d) Vista del Informe Justificado.</w:t>
      </w:r>
      <w:r w:rsidRPr="00A00990">
        <w:rPr>
          <w:color w:val="auto"/>
        </w:rPr>
        <w:t xml:space="preserve"> El </w:t>
      </w:r>
      <w:r w:rsidR="003F2B5D" w:rsidRPr="00A00990">
        <w:rPr>
          <w:color w:val="auto"/>
        </w:rPr>
        <w:t xml:space="preserve">veintidós </w:t>
      </w:r>
      <w:r w:rsidR="00FE2415" w:rsidRPr="00A00990">
        <w:rPr>
          <w:color w:val="auto"/>
        </w:rPr>
        <w:t>de enero de dos mil veintiséis</w:t>
      </w:r>
      <w:r w:rsidRPr="00A00990">
        <w:rPr>
          <w:color w:val="auto"/>
        </w:rPr>
        <w:t xml:space="preserve">,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A00990">
        <w:rPr>
          <w:b/>
          <w:color w:val="auto"/>
        </w:rPr>
        <w:t>Cabe señalar que el Particular fue omiso en realizar manifestación alguna.</w:t>
      </w:r>
    </w:p>
    <w:p w14:paraId="111E50A5" w14:textId="77777777" w:rsidR="00A87D25" w:rsidRPr="00A00990" w:rsidRDefault="00A87D25" w:rsidP="001162C4">
      <w:pPr>
        <w:spacing w:after="0" w:line="360" w:lineRule="auto"/>
        <w:rPr>
          <w:rFonts w:cs="Tahoma"/>
          <w:color w:val="FF0000"/>
        </w:rPr>
      </w:pPr>
    </w:p>
    <w:p w14:paraId="2CAFAFAD" w14:textId="1C8BA319" w:rsidR="00A87D25" w:rsidRPr="00A00990" w:rsidRDefault="000C48DB" w:rsidP="00A87D25">
      <w:pPr>
        <w:spacing w:after="0" w:line="360" w:lineRule="auto"/>
        <w:rPr>
          <w:color w:val="auto"/>
        </w:rPr>
      </w:pPr>
      <w:bookmarkStart w:id="6" w:name="_Hlk182976945"/>
      <w:r w:rsidRPr="00A00990">
        <w:rPr>
          <w:b/>
          <w:color w:val="auto"/>
        </w:rPr>
        <w:t>e</w:t>
      </w:r>
      <w:r w:rsidR="00A87D25" w:rsidRPr="00A00990">
        <w:rPr>
          <w:b/>
          <w:color w:val="auto"/>
        </w:rPr>
        <w:t>) Ampliación de plazo para resolver.</w:t>
      </w:r>
      <w:r w:rsidR="00A87D25" w:rsidRPr="00A00990">
        <w:rPr>
          <w:color w:val="auto"/>
        </w:rPr>
        <w:t xml:space="preserve"> El</w:t>
      </w:r>
      <w:r w:rsidR="003F2B5D" w:rsidRPr="00A00990">
        <w:rPr>
          <w:color w:val="auto"/>
        </w:rPr>
        <w:t xml:space="preserve"> veintidós </w:t>
      </w:r>
      <w:r w:rsidR="00FE2415" w:rsidRPr="00A00990">
        <w:rPr>
          <w:color w:val="auto"/>
        </w:rPr>
        <w:t>de enero de dos mil veintiséis</w:t>
      </w:r>
      <w:r w:rsidR="00A87D25" w:rsidRPr="00A00990">
        <w:rPr>
          <w:color w:val="auto"/>
        </w:rPr>
        <w:t xml:space="preserve">, el Comisionado Ponente, con fundamento en lo dispuesto por el artículo 181, párrafo tercero, de la Ley de Transparencia y Acceso a la Información Pública del Estado de México y Municipios, acordó ampliar por un </w:t>
      </w:r>
      <w:r w:rsidR="00A87D25" w:rsidRPr="00A00990">
        <w:rPr>
          <w:b/>
          <w:bCs/>
          <w:color w:val="auto"/>
        </w:rPr>
        <w:t>periodo</w:t>
      </w:r>
      <w:r w:rsidR="00A168FA" w:rsidRPr="00A00990">
        <w:rPr>
          <w:b/>
          <w:bCs/>
          <w:color w:val="auto"/>
        </w:rPr>
        <w:t xml:space="preserve"> razonable</w:t>
      </w:r>
      <w:r w:rsidR="00A87D25" w:rsidRPr="00A00990">
        <w:rPr>
          <w:color w:val="auto"/>
        </w:rPr>
        <w:t>, el plazo para resolver el Recurso de Revisión que nos ocupa; acto que fue notificado a las partes el mismo día, mediante el Sistema de Acceso a la Información Mexiquense (SAIMEX).</w:t>
      </w:r>
    </w:p>
    <w:p w14:paraId="01DA4C8E" w14:textId="77777777" w:rsidR="00A87D25" w:rsidRPr="00A00990" w:rsidRDefault="00A87D25" w:rsidP="001162C4">
      <w:pPr>
        <w:spacing w:after="0" w:line="360" w:lineRule="auto"/>
        <w:rPr>
          <w:b/>
          <w:color w:val="auto"/>
        </w:rPr>
      </w:pPr>
    </w:p>
    <w:p w14:paraId="08D98E1D" w14:textId="46252944" w:rsidR="000410E6" w:rsidRPr="00A00990" w:rsidRDefault="000C48DB" w:rsidP="001162C4">
      <w:pPr>
        <w:spacing w:after="0" w:line="360" w:lineRule="auto"/>
        <w:contextualSpacing/>
        <w:rPr>
          <w:color w:val="auto"/>
          <w:lang w:val="es-ES"/>
        </w:rPr>
      </w:pPr>
      <w:r w:rsidRPr="00A00990">
        <w:rPr>
          <w:rFonts w:eastAsia="Batang" w:cs="Tahoma"/>
          <w:b/>
          <w:color w:val="auto"/>
        </w:rPr>
        <w:t>f</w:t>
      </w:r>
      <w:r w:rsidR="003C5FE0" w:rsidRPr="00A00990">
        <w:rPr>
          <w:rFonts w:eastAsia="Batang" w:cs="Tahoma"/>
          <w:b/>
          <w:color w:val="auto"/>
        </w:rPr>
        <w:t xml:space="preserve">) </w:t>
      </w:r>
      <w:r w:rsidR="00002B20" w:rsidRPr="00A00990">
        <w:rPr>
          <w:rFonts w:eastAsia="Times New Roman" w:cs="Tahoma"/>
          <w:b/>
          <w:color w:val="auto"/>
          <w:szCs w:val="24"/>
          <w:lang w:eastAsia="es-ES"/>
        </w:rPr>
        <w:t>Cierre de instrucción.</w:t>
      </w:r>
      <w:r w:rsidR="00C06C06" w:rsidRPr="00A00990">
        <w:rPr>
          <w:rFonts w:eastAsia="Times New Roman" w:cs="Tahoma"/>
          <w:color w:val="auto"/>
          <w:szCs w:val="24"/>
          <w:lang w:eastAsia="es-ES"/>
        </w:rPr>
        <w:t xml:space="preserve"> El</w:t>
      </w:r>
      <w:r w:rsidR="00FE2415" w:rsidRPr="00A00990">
        <w:rPr>
          <w:rFonts w:eastAsia="Times New Roman" w:cs="Tahoma"/>
          <w:color w:val="auto"/>
          <w:szCs w:val="24"/>
          <w:lang w:eastAsia="es-ES"/>
        </w:rPr>
        <w:t xml:space="preserve"> v</w:t>
      </w:r>
      <w:r w:rsidR="003F2B5D" w:rsidRPr="00A00990">
        <w:rPr>
          <w:rFonts w:eastAsia="Times New Roman" w:cs="Tahoma"/>
          <w:color w:val="auto"/>
          <w:szCs w:val="24"/>
          <w:lang w:eastAsia="es-ES"/>
        </w:rPr>
        <w:t>eintiocho</w:t>
      </w:r>
      <w:r w:rsidR="00FE2415" w:rsidRPr="00A00990">
        <w:rPr>
          <w:rFonts w:eastAsia="Times New Roman" w:cs="Tahoma"/>
          <w:color w:val="auto"/>
          <w:szCs w:val="24"/>
          <w:lang w:eastAsia="es-ES"/>
        </w:rPr>
        <w:t xml:space="preserve"> de enero de dos mil veintiséis</w:t>
      </w:r>
      <w:r w:rsidR="00002B20" w:rsidRPr="00A0099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00990">
        <w:rPr>
          <w:color w:val="auto"/>
          <w:lang w:val="es-ES"/>
        </w:rPr>
        <w:t>acto que fue notificado a las partes, mediante el Sistema de Acceso a la Información Mexiquense (SAIMEX)</w:t>
      </w:r>
      <w:bookmarkEnd w:id="6"/>
      <w:r w:rsidR="00D135B4">
        <w:rPr>
          <w:color w:val="auto"/>
          <w:lang w:val="es-ES"/>
        </w:rPr>
        <w:t>.</w:t>
      </w:r>
    </w:p>
    <w:p w14:paraId="1D2DAFCD" w14:textId="77777777" w:rsidR="000410E6" w:rsidRPr="00A00990" w:rsidRDefault="000410E6" w:rsidP="001162C4">
      <w:pPr>
        <w:spacing w:after="0" w:line="360" w:lineRule="auto"/>
        <w:rPr>
          <w:color w:val="auto"/>
        </w:rPr>
      </w:pPr>
      <w:r w:rsidRPr="00A00990">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00990" w:rsidRDefault="00674DAF" w:rsidP="001162C4">
      <w:pPr>
        <w:spacing w:after="0" w:line="360" w:lineRule="auto"/>
        <w:rPr>
          <w:color w:val="auto"/>
        </w:rPr>
      </w:pPr>
    </w:p>
    <w:p w14:paraId="250F6589" w14:textId="3F880C72" w:rsidR="005C690F" w:rsidRPr="00A00990" w:rsidRDefault="00CD6238" w:rsidP="001162C4">
      <w:pPr>
        <w:pStyle w:val="Ttulo1"/>
        <w:spacing w:before="0" w:after="0" w:line="360" w:lineRule="auto"/>
        <w:jc w:val="center"/>
        <w:rPr>
          <w:color w:val="auto"/>
          <w:sz w:val="22"/>
          <w:szCs w:val="22"/>
        </w:rPr>
      </w:pPr>
      <w:bookmarkStart w:id="7" w:name="_Toc220599783"/>
      <w:r w:rsidRPr="00A00990">
        <w:rPr>
          <w:color w:val="auto"/>
          <w:sz w:val="22"/>
          <w:szCs w:val="22"/>
        </w:rPr>
        <w:t>C O N S I D E R A N D O S</w:t>
      </w:r>
      <w:bookmarkEnd w:id="7"/>
    </w:p>
    <w:p w14:paraId="5AB6ED71" w14:textId="77777777" w:rsidR="005C690F" w:rsidRPr="00A00990" w:rsidRDefault="005C690F" w:rsidP="001162C4">
      <w:pPr>
        <w:spacing w:after="0" w:line="360" w:lineRule="auto"/>
        <w:jc w:val="center"/>
        <w:rPr>
          <w:b/>
          <w:color w:val="auto"/>
        </w:rPr>
      </w:pPr>
    </w:p>
    <w:p w14:paraId="36BFFC7E" w14:textId="2F0F17EA" w:rsidR="005C690F" w:rsidRPr="00A00990" w:rsidRDefault="007D6307" w:rsidP="001162C4">
      <w:pPr>
        <w:pStyle w:val="Ttulo2"/>
        <w:spacing w:before="0" w:after="0" w:line="360" w:lineRule="auto"/>
        <w:rPr>
          <w:color w:val="auto"/>
          <w:sz w:val="22"/>
          <w:szCs w:val="22"/>
        </w:rPr>
      </w:pPr>
      <w:bookmarkStart w:id="8" w:name="_Toc220599784"/>
      <w:r w:rsidRPr="00A00990">
        <w:rPr>
          <w:color w:val="auto"/>
          <w:sz w:val="22"/>
          <w:szCs w:val="22"/>
        </w:rPr>
        <w:t xml:space="preserve">PRIMERO. </w:t>
      </w:r>
      <w:r w:rsidR="00CD6238" w:rsidRPr="00A00990">
        <w:rPr>
          <w:color w:val="auto"/>
          <w:sz w:val="22"/>
          <w:szCs w:val="22"/>
        </w:rPr>
        <w:t>Competencia</w:t>
      </w:r>
      <w:bookmarkEnd w:id="8"/>
    </w:p>
    <w:p w14:paraId="2F02418E" w14:textId="77777777" w:rsidR="00156343" w:rsidRPr="00A00990" w:rsidRDefault="00156343" w:rsidP="001162C4">
      <w:pPr>
        <w:spacing w:after="0" w:line="360" w:lineRule="auto"/>
        <w:contextualSpacing/>
        <w:rPr>
          <w:rFonts w:eastAsia="Times New Roman" w:cs="Tahoma"/>
          <w:bCs/>
          <w:color w:val="auto"/>
          <w:lang w:eastAsia="es-ES"/>
        </w:rPr>
      </w:pPr>
      <w:bookmarkStart w:id="9" w:name="_heading=h.30j0zll" w:colFirst="0" w:colLast="0"/>
      <w:bookmarkEnd w:id="9"/>
    </w:p>
    <w:p w14:paraId="4225FD09" w14:textId="3B6A9483" w:rsidR="005C690F" w:rsidRPr="009E43CE" w:rsidRDefault="009E43CE" w:rsidP="001162C4">
      <w:pPr>
        <w:spacing w:after="0" w:line="360" w:lineRule="auto"/>
        <w:rPr>
          <w:color w:val="auto"/>
        </w:rPr>
      </w:pPr>
      <w:r w:rsidRPr="009E43CE">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2D03B29" w14:textId="77777777" w:rsidR="009E43CE" w:rsidRPr="00A00990" w:rsidRDefault="009E43CE" w:rsidP="001162C4">
      <w:pPr>
        <w:spacing w:after="0" w:line="360" w:lineRule="auto"/>
        <w:rPr>
          <w:b/>
          <w:color w:val="auto"/>
        </w:rPr>
      </w:pPr>
    </w:p>
    <w:p w14:paraId="46691DD5" w14:textId="4C1C70AD" w:rsidR="005C690F" w:rsidRPr="00A00990" w:rsidRDefault="007D6307" w:rsidP="001162C4">
      <w:pPr>
        <w:pStyle w:val="Ttulo2"/>
        <w:spacing w:before="0" w:after="0" w:line="360" w:lineRule="auto"/>
        <w:rPr>
          <w:color w:val="auto"/>
          <w:sz w:val="22"/>
          <w:szCs w:val="22"/>
        </w:rPr>
      </w:pPr>
      <w:bookmarkStart w:id="10" w:name="_Toc220599785"/>
      <w:r w:rsidRPr="00A00990">
        <w:rPr>
          <w:color w:val="auto"/>
          <w:sz w:val="22"/>
          <w:szCs w:val="22"/>
        </w:rPr>
        <w:t>SEGUNDO. Causales de</w:t>
      </w:r>
      <w:r w:rsidR="00CD6238" w:rsidRPr="00A00990">
        <w:rPr>
          <w:color w:val="auto"/>
          <w:sz w:val="22"/>
          <w:szCs w:val="22"/>
        </w:rPr>
        <w:t xml:space="preserve"> improcedencia y sobreseimiento</w:t>
      </w:r>
      <w:bookmarkEnd w:id="10"/>
    </w:p>
    <w:p w14:paraId="49AA4CDE" w14:textId="77777777" w:rsidR="005C690F" w:rsidRPr="00A00990" w:rsidRDefault="005C690F" w:rsidP="001162C4">
      <w:pPr>
        <w:spacing w:after="0" w:line="360" w:lineRule="auto"/>
        <w:rPr>
          <w:color w:val="auto"/>
        </w:rPr>
      </w:pPr>
    </w:p>
    <w:p w14:paraId="2553CE58" w14:textId="77777777" w:rsidR="005C690F" w:rsidRPr="00A00990" w:rsidRDefault="007D6307" w:rsidP="001162C4">
      <w:pPr>
        <w:spacing w:after="0" w:line="360" w:lineRule="auto"/>
        <w:rPr>
          <w:color w:val="auto"/>
        </w:rPr>
      </w:pPr>
      <w:r w:rsidRPr="00A00990">
        <w:rPr>
          <w:color w:val="auto"/>
        </w:rPr>
        <w:t xml:space="preserve">De las constancias que forma parte del Recurso de Revisión que se analiza, se advierte que previo al estudio del fondo de la </w:t>
      </w:r>
      <w:r w:rsidRPr="00A00990">
        <w:rPr>
          <w:i/>
          <w:color w:val="auto"/>
        </w:rPr>
        <w:t>litis</w:t>
      </w:r>
      <w:r w:rsidRPr="00A00990">
        <w:rPr>
          <w:color w:val="auto"/>
        </w:rPr>
        <w:t>, es necesario estudiar las causales de improcedencia y sobreseimiento que se adviertan, para determinar lo que en Derecho proceda.</w:t>
      </w:r>
    </w:p>
    <w:p w14:paraId="35A30074" w14:textId="77777777" w:rsidR="009B2DAB" w:rsidRPr="00A00990" w:rsidRDefault="009B2DAB" w:rsidP="001162C4">
      <w:pPr>
        <w:spacing w:after="0" w:line="360" w:lineRule="auto"/>
        <w:rPr>
          <w:color w:val="auto"/>
        </w:rPr>
      </w:pPr>
    </w:p>
    <w:p w14:paraId="3066DF0C" w14:textId="77777777" w:rsidR="005C690F" w:rsidRPr="00A00990" w:rsidRDefault="007D6307" w:rsidP="001162C4">
      <w:pPr>
        <w:spacing w:after="0" w:line="360" w:lineRule="auto"/>
        <w:rPr>
          <w:b/>
          <w:color w:val="auto"/>
        </w:rPr>
      </w:pPr>
      <w:r w:rsidRPr="00A00990">
        <w:rPr>
          <w:b/>
          <w:color w:val="auto"/>
        </w:rPr>
        <w:t>Causales de improcedencia</w:t>
      </w:r>
    </w:p>
    <w:p w14:paraId="706394D4" w14:textId="77777777" w:rsidR="00304DE6" w:rsidRPr="00A00990" w:rsidRDefault="00304DE6" w:rsidP="001162C4">
      <w:pPr>
        <w:spacing w:after="0" w:line="360" w:lineRule="auto"/>
        <w:rPr>
          <w:b/>
          <w:color w:val="auto"/>
        </w:rPr>
      </w:pPr>
    </w:p>
    <w:p w14:paraId="6C56CA88" w14:textId="77777777" w:rsidR="005C690F" w:rsidRPr="00A00990" w:rsidRDefault="007D6307" w:rsidP="001162C4">
      <w:pPr>
        <w:spacing w:after="0" w:line="360" w:lineRule="auto"/>
        <w:rPr>
          <w:color w:val="auto"/>
        </w:rPr>
      </w:pPr>
      <w:r w:rsidRPr="00A0099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00990" w:rsidRDefault="005C690F" w:rsidP="001162C4">
      <w:pPr>
        <w:spacing w:after="0" w:line="360" w:lineRule="auto"/>
        <w:rPr>
          <w:color w:val="auto"/>
        </w:rPr>
      </w:pPr>
    </w:p>
    <w:p w14:paraId="22563DDB" w14:textId="33D3D011" w:rsidR="008D3B3F" w:rsidRPr="00A00990" w:rsidRDefault="007D6307" w:rsidP="001162C4">
      <w:pPr>
        <w:spacing w:after="0" w:line="360" w:lineRule="auto"/>
        <w:rPr>
          <w:color w:val="auto"/>
        </w:rPr>
      </w:pPr>
      <w:r w:rsidRPr="00A00990">
        <w:rPr>
          <w:color w:val="auto"/>
        </w:rPr>
        <w:t>En el presente caso, </w:t>
      </w:r>
      <w:r w:rsidRPr="00A00990">
        <w:rPr>
          <w:b/>
          <w:color w:val="auto"/>
        </w:rPr>
        <w:t>no se actualiza ninguna de las causales de improcedencia</w:t>
      </w:r>
      <w:r w:rsidRPr="00A00990">
        <w:rPr>
          <w:color w:val="auto"/>
        </w:rPr>
        <w:t> establecidas en el ordenamiento jurídico previamente señalado, toda vez que: este Instituto no tiene conocimiento de que se encuentre en trámite algún medio de defensa presentado por la</w:t>
      </w:r>
      <w:r w:rsidR="00261B92" w:rsidRPr="00A00990">
        <w:rPr>
          <w:color w:val="auto"/>
        </w:rPr>
        <w:t xml:space="preserve"> persona</w:t>
      </w:r>
      <w:r w:rsidRPr="00A00990">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00990" w:rsidRDefault="00874D8A" w:rsidP="001162C4">
      <w:pPr>
        <w:spacing w:after="0" w:line="360" w:lineRule="auto"/>
        <w:rPr>
          <w:color w:val="auto"/>
        </w:rPr>
      </w:pPr>
    </w:p>
    <w:p w14:paraId="1C21859B" w14:textId="31726B5A" w:rsidR="00E14735" w:rsidRPr="00A00990" w:rsidRDefault="007D6307" w:rsidP="00E14735">
      <w:pPr>
        <w:spacing w:after="0" w:line="360" w:lineRule="auto"/>
        <w:rPr>
          <w:color w:val="auto"/>
        </w:rPr>
      </w:pPr>
      <w:r w:rsidRPr="00A00990">
        <w:rPr>
          <w:color w:val="auto"/>
        </w:rPr>
        <w:t>Por lo cual, se actualiza la causal de procedencia del Recurso de Revisión señal</w:t>
      </w:r>
      <w:r w:rsidR="00261DF6" w:rsidRPr="00A00990">
        <w:rPr>
          <w:color w:val="auto"/>
        </w:rPr>
        <w:t>ada en el artículo 179, fracci</w:t>
      </w:r>
      <w:r w:rsidR="00740736" w:rsidRPr="00A00990">
        <w:rPr>
          <w:color w:val="auto"/>
        </w:rPr>
        <w:t>ón VI</w:t>
      </w:r>
      <w:r w:rsidRPr="00A00990">
        <w:rPr>
          <w:color w:val="auto"/>
        </w:rPr>
        <w:t>, de la Ley en cita, pues la p</w:t>
      </w:r>
      <w:r w:rsidR="00261B92" w:rsidRPr="00A00990">
        <w:rPr>
          <w:color w:val="auto"/>
        </w:rPr>
        <w:t>ersona</w:t>
      </w:r>
      <w:r w:rsidRPr="00A00990">
        <w:rPr>
          <w:color w:val="auto"/>
        </w:rPr>
        <w:t xml:space="preserve"> Recurrente se inconformó </w:t>
      </w:r>
      <w:r w:rsidR="00E14735" w:rsidRPr="00A00990">
        <w:rPr>
          <w:color w:val="auto"/>
        </w:rPr>
        <w:t>de</w:t>
      </w:r>
      <w:r w:rsidR="00D47418" w:rsidRPr="00A00990">
        <w:rPr>
          <w:color w:val="auto"/>
        </w:rPr>
        <w:t xml:space="preserve"> la </w:t>
      </w:r>
      <w:r w:rsidR="00740736" w:rsidRPr="00A00990">
        <w:rPr>
          <w:color w:val="auto"/>
        </w:rPr>
        <w:t>entrega de información que no corresponde con lo solicitado.</w:t>
      </w:r>
    </w:p>
    <w:p w14:paraId="6E155DDA" w14:textId="77777777" w:rsidR="008E5041" w:rsidRPr="00A00990" w:rsidRDefault="008E5041" w:rsidP="00E14735">
      <w:pPr>
        <w:spacing w:after="0" w:line="360" w:lineRule="auto"/>
        <w:rPr>
          <w:color w:val="auto"/>
        </w:rPr>
      </w:pPr>
    </w:p>
    <w:p w14:paraId="55FF691A" w14:textId="6D373E30" w:rsidR="005C690F" w:rsidRPr="00A00990" w:rsidRDefault="007D6307" w:rsidP="001162C4">
      <w:pPr>
        <w:spacing w:after="0" w:line="360" w:lineRule="auto"/>
        <w:rPr>
          <w:color w:val="auto"/>
        </w:rPr>
      </w:pPr>
      <w:r w:rsidRPr="00A00990">
        <w:rPr>
          <w:b/>
          <w:color w:val="auto"/>
        </w:rPr>
        <w:t>Ca</w:t>
      </w:r>
      <w:r w:rsidR="00CD6238" w:rsidRPr="00A00990">
        <w:rPr>
          <w:b/>
          <w:color w:val="auto"/>
        </w:rPr>
        <w:t>usales de sobreseimiento</w:t>
      </w:r>
    </w:p>
    <w:p w14:paraId="426FEE7A" w14:textId="77777777" w:rsidR="005C690F" w:rsidRPr="00A00990" w:rsidRDefault="005C690F" w:rsidP="001162C4">
      <w:pPr>
        <w:spacing w:after="0" w:line="360" w:lineRule="auto"/>
        <w:rPr>
          <w:color w:val="auto"/>
        </w:rPr>
      </w:pPr>
    </w:p>
    <w:p w14:paraId="5B1C849A" w14:textId="77777777" w:rsidR="005C690F" w:rsidRPr="00A00990" w:rsidRDefault="007D6307" w:rsidP="001162C4">
      <w:pPr>
        <w:spacing w:after="0" w:line="360" w:lineRule="auto"/>
        <w:rPr>
          <w:color w:val="auto"/>
        </w:rPr>
      </w:pPr>
      <w:r w:rsidRPr="00A00990">
        <w:rPr>
          <w:color w:val="auto"/>
        </w:rPr>
        <w:t>Por ser de previo y especial pronunciamiento, este Instituto analiza si se actualiza alguna causal de sobreseimiento.</w:t>
      </w:r>
    </w:p>
    <w:p w14:paraId="6229FBE8" w14:textId="77777777" w:rsidR="00FE2415" w:rsidRPr="00A00990" w:rsidRDefault="00FE2415" w:rsidP="001162C4">
      <w:pPr>
        <w:spacing w:after="0" w:line="360" w:lineRule="auto"/>
        <w:rPr>
          <w:color w:val="auto"/>
        </w:rPr>
      </w:pPr>
    </w:p>
    <w:p w14:paraId="766AB72D" w14:textId="77777777" w:rsidR="00BC038B" w:rsidRPr="00A00990" w:rsidRDefault="00BC038B" w:rsidP="001162C4">
      <w:pPr>
        <w:spacing w:after="0" w:line="360" w:lineRule="auto"/>
        <w:rPr>
          <w:color w:val="auto"/>
        </w:rPr>
      </w:pPr>
      <w:r w:rsidRPr="00A00990">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A00990" w:rsidRDefault="00BC038B" w:rsidP="001162C4">
      <w:pPr>
        <w:spacing w:after="0" w:line="360" w:lineRule="auto"/>
        <w:rPr>
          <w:color w:val="auto"/>
        </w:rPr>
      </w:pPr>
    </w:p>
    <w:p w14:paraId="5BDF3BB4" w14:textId="2A80B251" w:rsidR="00BC038B" w:rsidRPr="00A00990" w:rsidRDefault="00BC038B" w:rsidP="001162C4">
      <w:pPr>
        <w:spacing w:after="0" w:line="360" w:lineRule="auto"/>
        <w:rPr>
          <w:color w:val="auto"/>
        </w:rPr>
      </w:pPr>
      <w:r w:rsidRPr="00A00990">
        <w:rPr>
          <w:color w:val="auto"/>
        </w:rPr>
        <w:t>Por tales motivos, se considera procedente entrar al fondo del presente asunto.</w:t>
      </w:r>
    </w:p>
    <w:p w14:paraId="275D3AA1" w14:textId="77777777" w:rsidR="001A44D1" w:rsidRPr="00A00990" w:rsidRDefault="001A44D1" w:rsidP="001162C4">
      <w:pPr>
        <w:spacing w:after="0" w:line="360" w:lineRule="auto"/>
        <w:rPr>
          <w:b/>
          <w:color w:val="auto"/>
        </w:rPr>
      </w:pPr>
    </w:p>
    <w:p w14:paraId="0A6A0BAE" w14:textId="184EF292" w:rsidR="005C690F" w:rsidRPr="00A00990" w:rsidRDefault="007D6307" w:rsidP="001162C4">
      <w:pPr>
        <w:pStyle w:val="Ttulo2"/>
        <w:spacing w:before="0" w:after="0" w:line="360" w:lineRule="auto"/>
        <w:rPr>
          <w:color w:val="auto"/>
          <w:sz w:val="22"/>
          <w:szCs w:val="22"/>
        </w:rPr>
      </w:pPr>
      <w:bookmarkStart w:id="11" w:name="_Toc220599786"/>
      <w:r w:rsidRPr="00A00990">
        <w:rPr>
          <w:color w:val="auto"/>
          <w:sz w:val="22"/>
          <w:szCs w:val="22"/>
        </w:rPr>
        <w:t>TERCERO. De</w:t>
      </w:r>
      <w:r w:rsidR="00CD6238" w:rsidRPr="00A00990">
        <w:rPr>
          <w:color w:val="auto"/>
          <w:sz w:val="22"/>
          <w:szCs w:val="22"/>
        </w:rPr>
        <w:t>terminación de la Controversia</w:t>
      </w:r>
      <w:bookmarkEnd w:id="11"/>
    </w:p>
    <w:p w14:paraId="4A0739CB" w14:textId="77777777" w:rsidR="00897A05" w:rsidRPr="00A00990" w:rsidRDefault="00897A05" w:rsidP="001162C4">
      <w:pPr>
        <w:spacing w:after="0" w:line="360" w:lineRule="auto"/>
        <w:rPr>
          <w:b/>
          <w:color w:val="FF0000"/>
        </w:rPr>
      </w:pPr>
    </w:p>
    <w:p w14:paraId="25A3F334" w14:textId="75DDD3E7" w:rsidR="00FE2415" w:rsidRPr="00A00990" w:rsidRDefault="007C7BAF" w:rsidP="00FE2415">
      <w:pPr>
        <w:spacing w:after="0" w:line="360" w:lineRule="auto"/>
        <w:rPr>
          <w:rFonts w:cs="Tahoma"/>
          <w:color w:val="auto"/>
        </w:rPr>
      </w:pPr>
      <w:r w:rsidRPr="00A00990">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A27704" w:rsidRPr="00A00990">
        <w:rPr>
          <w:rFonts w:cs="Tahoma"/>
          <w:color w:val="auto"/>
        </w:rPr>
        <w:t>requirió,</w:t>
      </w:r>
      <w:r w:rsidR="00FE2415" w:rsidRPr="00A00990">
        <w:rPr>
          <w:rFonts w:cs="Tahoma"/>
          <w:color w:val="auto"/>
        </w:rPr>
        <w:t xml:space="preserve"> </w:t>
      </w:r>
      <w:r w:rsidR="008B5759" w:rsidRPr="00A00990">
        <w:rPr>
          <w:rFonts w:cs="Tahoma"/>
          <w:color w:val="auto"/>
        </w:rPr>
        <w:t>el padrón de proveedores correspondiente al primer</w:t>
      </w:r>
      <w:r w:rsidR="00E9613C" w:rsidRPr="00A00990">
        <w:rPr>
          <w:rFonts w:cs="Tahoma"/>
          <w:color w:val="auto"/>
        </w:rPr>
        <w:t xml:space="preserve"> y </w:t>
      </w:r>
      <w:r w:rsidR="008B5759" w:rsidRPr="00A00990">
        <w:rPr>
          <w:rFonts w:cs="Tahoma"/>
          <w:color w:val="auto"/>
        </w:rPr>
        <w:t>segundo trimestre del año dos mil veinticinco.</w:t>
      </w:r>
    </w:p>
    <w:p w14:paraId="6486E5A9" w14:textId="77777777" w:rsidR="00A85CE4" w:rsidRPr="00A00990" w:rsidRDefault="00A85CE4" w:rsidP="001162C4">
      <w:pPr>
        <w:spacing w:after="0" w:line="360" w:lineRule="auto"/>
        <w:rPr>
          <w:rFonts w:cs="Tahoma"/>
          <w:color w:val="FF0000"/>
        </w:rPr>
      </w:pPr>
    </w:p>
    <w:p w14:paraId="0781F441" w14:textId="30BA7CA2" w:rsidR="008F2D7A" w:rsidRPr="00A00990" w:rsidRDefault="008B5759" w:rsidP="001162C4">
      <w:pPr>
        <w:spacing w:after="0" w:line="360" w:lineRule="auto"/>
        <w:rPr>
          <w:color w:val="auto"/>
        </w:rPr>
      </w:pPr>
      <w:r w:rsidRPr="00A00990">
        <w:rPr>
          <w:color w:val="auto"/>
        </w:rPr>
        <w:t>En respuesta, el Sujeto Obligado, a través de la Dirección General de Administración</w:t>
      </w:r>
      <w:r w:rsidR="004C2F2F" w:rsidRPr="00A00990">
        <w:rPr>
          <w:color w:val="auto"/>
        </w:rPr>
        <w:t>, Recursos Humanos</w:t>
      </w:r>
      <w:r w:rsidRPr="00A00990">
        <w:rPr>
          <w:color w:val="auto"/>
        </w:rPr>
        <w:t xml:space="preserve">  y la Coordinación de Administración y Finanzas del Instituto Municipal de la Mujer, señalaron que la información se encontraba disponible en el Portal de Información Pública de Oficio Mexiquense (IPOMEX), a través de una liga la cual se logra advertir se remitió  en formato cerrado, cabe señalar que la Coordinación de Administración y Finanzas del Instituto Municipal de la Mujer también señalo que por lo que respecta a la información del segundo trimestre del ejercicio </w:t>
      </w:r>
      <w:r w:rsidR="00183E96" w:rsidRPr="00A00990">
        <w:rPr>
          <w:color w:val="auto"/>
        </w:rPr>
        <w:t xml:space="preserve">dos mil veinticinco se encontraba en proceso de actualización; </w:t>
      </w:r>
      <w:r w:rsidR="00EC6180" w:rsidRPr="00A00990">
        <w:rPr>
          <w:color w:val="auto"/>
        </w:rPr>
        <w:t xml:space="preserve">; </w:t>
      </w:r>
      <w:r w:rsidR="007C7BAF" w:rsidRPr="00A00990">
        <w:rPr>
          <w:rFonts w:cs="Tahoma"/>
          <w:color w:val="auto"/>
          <w:lang w:val="es-ES"/>
        </w:rPr>
        <w:t>ante dicha circunstancia, el Particular se inconformó</w:t>
      </w:r>
      <w:r w:rsidR="00644832" w:rsidRPr="00A00990">
        <w:rPr>
          <w:rFonts w:cs="Tahoma"/>
          <w:color w:val="auto"/>
          <w:lang w:val="es-ES"/>
        </w:rPr>
        <w:t xml:space="preserve"> </w:t>
      </w:r>
      <w:r w:rsidR="00EC4902" w:rsidRPr="00A00990">
        <w:rPr>
          <w:rFonts w:cs="Tahoma"/>
          <w:color w:val="auto"/>
          <w:lang w:val="es-ES"/>
        </w:rPr>
        <w:t>de</w:t>
      </w:r>
      <w:r w:rsidR="00C175A7" w:rsidRPr="00A00990">
        <w:rPr>
          <w:rFonts w:cs="Tahoma"/>
          <w:color w:val="auto"/>
          <w:lang w:val="es-ES"/>
        </w:rPr>
        <w:t xml:space="preserve"> la entrega de información que no corresponde con lo solicitado</w:t>
      </w:r>
      <w:r w:rsidR="00FB628E" w:rsidRPr="00A00990">
        <w:rPr>
          <w:rFonts w:cs="Tahoma"/>
          <w:color w:val="auto"/>
          <w:lang w:val="es-ES"/>
        </w:rPr>
        <w:t>, al mencionar que</w:t>
      </w:r>
      <w:r w:rsidR="00FE2415" w:rsidRPr="00A00990">
        <w:rPr>
          <w:rFonts w:cs="Tahoma"/>
          <w:color w:val="auto"/>
          <w:lang w:val="es-ES"/>
        </w:rPr>
        <w:t xml:space="preserve"> no le entregaron</w:t>
      </w:r>
      <w:r w:rsidR="00C175A7" w:rsidRPr="00A00990">
        <w:rPr>
          <w:rFonts w:cs="Tahoma"/>
          <w:color w:val="auto"/>
          <w:lang w:val="es-ES"/>
        </w:rPr>
        <w:t xml:space="preserve"> la información solicitada</w:t>
      </w:r>
      <w:r w:rsidR="001A7F04" w:rsidRPr="00A00990">
        <w:rPr>
          <w:rFonts w:cs="Tahoma"/>
          <w:color w:val="auto"/>
          <w:lang w:val="es-ES"/>
        </w:rPr>
        <w:t xml:space="preserve">, </w:t>
      </w:r>
      <w:r w:rsidR="007C7BAF" w:rsidRPr="00A00990">
        <w:rPr>
          <w:rFonts w:cs="Tahoma"/>
          <w:color w:val="auto"/>
          <w:lang w:val="es-ES"/>
        </w:rPr>
        <w:t xml:space="preserve">lo cual </w:t>
      </w:r>
      <w:r w:rsidR="007C7BAF" w:rsidRPr="00A00990">
        <w:rPr>
          <w:rFonts w:eastAsia="Calibri" w:cs="Tahoma"/>
          <w:color w:val="auto"/>
        </w:rPr>
        <w:t>actualiza la causal de proce</w:t>
      </w:r>
      <w:r w:rsidR="00413093" w:rsidRPr="00A00990">
        <w:rPr>
          <w:rFonts w:eastAsia="Calibri" w:cs="Tahoma"/>
          <w:color w:val="auto"/>
        </w:rPr>
        <w:t xml:space="preserve">dencia prevista en la fracción </w:t>
      </w:r>
      <w:r w:rsidR="00C175A7" w:rsidRPr="00A00990">
        <w:rPr>
          <w:rFonts w:eastAsia="Calibri" w:cs="Tahoma"/>
          <w:color w:val="auto"/>
        </w:rPr>
        <w:t>VI</w:t>
      </w:r>
      <w:r w:rsidR="007C7BAF" w:rsidRPr="00A00990">
        <w:rPr>
          <w:rFonts w:eastAsia="Calibri" w:cs="Tahoma"/>
          <w:color w:val="auto"/>
        </w:rPr>
        <w:t>, del artículo 179 de la Ley de Transparencia y Acceso a la Información Pública del Estado de México y Municipios</w:t>
      </w:r>
      <w:r w:rsidR="007C7BAF" w:rsidRPr="00A00990">
        <w:rPr>
          <w:color w:val="auto"/>
        </w:rPr>
        <w:t xml:space="preserve">. </w:t>
      </w:r>
      <w:r w:rsidR="007C7BAF" w:rsidRPr="00A00990">
        <w:rPr>
          <w:rFonts w:eastAsia="Calibri" w:cs="Tahoma"/>
          <w:color w:val="auto"/>
        </w:rPr>
        <w:t>Así, las cosas, una vez admitido y notificado el Recurso de Revisión</w:t>
      </w:r>
      <w:r w:rsidR="00522A47" w:rsidRPr="00A00990">
        <w:rPr>
          <w:rFonts w:eastAsia="Calibri" w:cs="Tahoma"/>
          <w:color w:val="auto"/>
        </w:rPr>
        <w:t xml:space="preserve"> a las partes,</w:t>
      </w:r>
      <w:r w:rsidR="00D93A2A" w:rsidRPr="00A00990">
        <w:rPr>
          <w:rFonts w:eastAsia="Calibri" w:cs="Tahoma"/>
          <w:color w:val="auto"/>
        </w:rPr>
        <w:t xml:space="preserve"> </w:t>
      </w:r>
      <w:r w:rsidR="00C175A7" w:rsidRPr="00A00990">
        <w:rPr>
          <w:rFonts w:eastAsia="Calibri" w:cs="Tahoma"/>
          <w:color w:val="auto"/>
        </w:rPr>
        <w:t xml:space="preserve">el Sujeto Obligado </w:t>
      </w:r>
      <w:r w:rsidR="00B37415" w:rsidRPr="00A00990">
        <w:rPr>
          <w:rFonts w:eastAsia="Calibri" w:cs="Tahoma"/>
          <w:color w:val="auto"/>
        </w:rPr>
        <w:t>ratificó</w:t>
      </w:r>
      <w:r w:rsidR="00BF6B94" w:rsidRPr="00A00990">
        <w:rPr>
          <w:rFonts w:eastAsia="Calibri" w:cs="Tahoma"/>
          <w:color w:val="auto"/>
        </w:rPr>
        <w:t xml:space="preserve"> su respuesta.</w:t>
      </w:r>
    </w:p>
    <w:p w14:paraId="5B0BE6AE" w14:textId="77777777" w:rsidR="008F2D7A" w:rsidRPr="00A00990" w:rsidRDefault="008F2D7A" w:rsidP="001162C4">
      <w:pPr>
        <w:tabs>
          <w:tab w:val="left" w:pos="4962"/>
        </w:tabs>
        <w:spacing w:after="0" w:line="360" w:lineRule="auto"/>
        <w:rPr>
          <w:rFonts w:eastAsia="Calibri" w:cs="Tahoma"/>
          <w:color w:val="FF0000"/>
        </w:rPr>
      </w:pPr>
    </w:p>
    <w:p w14:paraId="22C5958E" w14:textId="0CF3AE30" w:rsidR="007C7BAF" w:rsidRPr="00A00990" w:rsidRDefault="007C7BAF" w:rsidP="001162C4">
      <w:pPr>
        <w:tabs>
          <w:tab w:val="left" w:pos="4962"/>
        </w:tabs>
        <w:spacing w:after="0" w:line="360" w:lineRule="auto"/>
        <w:rPr>
          <w:rFonts w:eastAsia="Calibri" w:cs="Tahoma"/>
          <w:bCs/>
          <w:color w:val="auto"/>
        </w:rPr>
      </w:pPr>
      <w:r w:rsidRPr="00A00990">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A00990">
        <w:rPr>
          <w:rFonts w:eastAsia="Calibri" w:cs="Tahoma"/>
          <w:iCs/>
          <w:color w:val="auto"/>
          <w:lang w:val="es-ES" w:eastAsia="es-ES_tradnl"/>
        </w:rPr>
        <w:t>i</w:t>
      </w:r>
      <w:r w:rsidR="0076190F" w:rsidRPr="00A00990">
        <w:rPr>
          <w:rFonts w:eastAsia="Calibri" w:cs="Tahoma"/>
          <w:iCs/>
          <w:color w:val="auto"/>
          <w:lang w:val="es-ES" w:eastAsia="es-ES_tradnl"/>
        </w:rPr>
        <w:t xml:space="preserve">tud de acceso a </w:t>
      </w:r>
      <w:r w:rsidR="00B7669B" w:rsidRPr="00A00990">
        <w:rPr>
          <w:rFonts w:eastAsia="Calibri" w:cs="Tahoma"/>
          <w:iCs/>
          <w:color w:val="auto"/>
          <w:lang w:val="es-ES" w:eastAsia="es-ES_tradnl"/>
        </w:rPr>
        <w:t xml:space="preserve">la información, </w:t>
      </w:r>
      <w:r w:rsidR="006E6B82" w:rsidRPr="00A00990">
        <w:rPr>
          <w:rFonts w:eastAsia="Calibri" w:cs="Tahoma"/>
          <w:iCs/>
          <w:color w:val="auto"/>
          <w:lang w:eastAsia="es-ES_tradnl"/>
        </w:rPr>
        <w:t>el escrito recursal</w:t>
      </w:r>
      <w:r w:rsidR="00B7669B" w:rsidRPr="00A00990">
        <w:rPr>
          <w:rFonts w:eastAsia="Calibri" w:cs="Tahoma"/>
          <w:iCs/>
          <w:color w:val="auto"/>
          <w:lang w:eastAsia="es-ES_tradnl"/>
        </w:rPr>
        <w:t xml:space="preserve"> y el Informe Justificado</w:t>
      </w:r>
      <w:r w:rsidRPr="00A00990">
        <w:rPr>
          <w:rFonts w:eastAsia="Calibri" w:cs="Tahoma"/>
          <w:iCs/>
          <w:color w:val="auto"/>
          <w:lang w:eastAsia="es-ES_tradnl"/>
        </w:rPr>
        <w:t xml:space="preserve">; </w:t>
      </w:r>
      <w:r w:rsidRPr="00A00990">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A00990" w:rsidRDefault="00C672CD" w:rsidP="001162C4">
      <w:pPr>
        <w:pStyle w:val="Ttulo2"/>
        <w:spacing w:before="0" w:after="0" w:line="360" w:lineRule="auto"/>
        <w:rPr>
          <w:color w:val="auto"/>
          <w:sz w:val="22"/>
          <w:szCs w:val="22"/>
        </w:rPr>
      </w:pPr>
    </w:p>
    <w:p w14:paraId="36DCBD9D" w14:textId="0AA8912A" w:rsidR="005C690F" w:rsidRPr="00A00990" w:rsidRDefault="007D6307" w:rsidP="001162C4">
      <w:pPr>
        <w:pStyle w:val="Ttulo2"/>
        <w:spacing w:before="0" w:after="0" w:line="360" w:lineRule="auto"/>
        <w:rPr>
          <w:color w:val="auto"/>
          <w:sz w:val="22"/>
          <w:szCs w:val="22"/>
        </w:rPr>
      </w:pPr>
      <w:bookmarkStart w:id="12" w:name="_Toc220599787"/>
      <w:r w:rsidRPr="00A00990">
        <w:rPr>
          <w:color w:val="auto"/>
          <w:sz w:val="22"/>
          <w:szCs w:val="22"/>
        </w:rPr>
        <w:t xml:space="preserve">CUARTO. Marco normativo aplicable en materia de transparencia y </w:t>
      </w:r>
      <w:r w:rsidR="00CD6238" w:rsidRPr="00A00990">
        <w:rPr>
          <w:color w:val="auto"/>
          <w:sz w:val="22"/>
          <w:szCs w:val="22"/>
        </w:rPr>
        <w:t>acceso a la información pública</w:t>
      </w:r>
      <w:bookmarkEnd w:id="12"/>
    </w:p>
    <w:p w14:paraId="4D62F8F1" w14:textId="77777777" w:rsidR="005C690F" w:rsidRPr="00A00990" w:rsidRDefault="005C690F" w:rsidP="001162C4">
      <w:pPr>
        <w:spacing w:after="0" w:line="360" w:lineRule="auto"/>
        <w:rPr>
          <w:color w:val="auto"/>
        </w:rPr>
      </w:pPr>
    </w:p>
    <w:p w14:paraId="68F50546" w14:textId="77777777" w:rsidR="005C690F" w:rsidRPr="00A00990" w:rsidRDefault="007D6307" w:rsidP="001162C4">
      <w:pPr>
        <w:spacing w:after="0" w:line="360" w:lineRule="auto"/>
        <w:rPr>
          <w:color w:val="auto"/>
        </w:rPr>
      </w:pPr>
      <w:r w:rsidRPr="00A00990">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A00990" w:rsidRDefault="005C690F" w:rsidP="001162C4">
      <w:pPr>
        <w:spacing w:after="0" w:line="360" w:lineRule="auto"/>
        <w:rPr>
          <w:color w:val="auto"/>
        </w:rPr>
      </w:pPr>
    </w:p>
    <w:p w14:paraId="69458899" w14:textId="77777777" w:rsidR="005C690F" w:rsidRPr="00A00990" w:rsidRDefault="007D6307" w:rsidP="001162C4">
      <w:pPr>
        <w:spacing w:after="0" w:line="360" w:lineRule="auto"/>
        <w:rPr>
          <w:color w:val="auto"/>
        </w:rPr>
      </w:pPr>
      <w:r w:rsidRPr="00A00990">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00990" w:rsidRDefault="005C690F" w:rsidP="001162C4">
      <w:pPr>
        <w:spacing w:after="0" w:line="360" w:lineRule="auto"/>
        <w:rPr>
          <w:color w:val="auto"/>
        </w:rPr>
      </w:pPr>
    </w:p>
    <w:p w14:paraId="3D8EBDEC" w14:textId="77777777" w:rsidR="005C690F" w:rsidRPr="00A00990" w:rsidRDefault="007D6307" w:rsidP="001162C4">
      <w:pPr>
        <w:spacing w:after="0" w:line="360" w:lineRule="auto"/>
        <w:rPr>
          <w:color w:val="auto"/>
        </w:rPr>
      </w:pPr>
      <w:r w:rsidRPr="00A00990">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A00990" w:rsidRDefault="005C690F" w:rsidP="001162C4">
      <w:pPr>
        <w:spacing w:after="0" w:line="360" w:lineRule="auto"/>
        <w:rPr>
          <w:color w:val="auto"/>
        </w:rPr>
      </w:pPr>
    </w:p>
    <w:p w14:paraId="5BD9CB2E" w14:textId="77777777" w:rsidR="005C690F" w:rsidRPr="00A00990" w:rsidRDefault="007D6307" w:rsidP="001162C4">
      <w:pPr>
        <w:spacing w:after="0" w:line="360" w:lineRule="auto"/>
        <w:rPr>
          <w:color w:val="auto"/>
        </w:rPr>
      </w:pPr>
      <w:r w:rsidRPr="00A00990">
        <w:rPr>
          <w:color w:val="auto"/>
        </w:rPr>
        <w:t>El artículo 12, que, quienes generen, recopilen, administren, manejen, procesen, archiven o conserven información pública serán responsables de la misma.</w:t>
      </w:r>
    </w:p>
    <w:p w14:paraId="6BD1FFBB" w14:textId="77777777" w:rsidR="007C02D1" w:rsidRPr="00A00990" w:rsidRDefault="007C02D1" w:rsidP="001162C4">
      <w:pPr>
        <w:spacing w:after="0" w:line="360" w:lineRule="auto"/>
        <w:rPr>
          <w:color w:val="auto"/>
        </w:rPr>
      </w:pPr>
    </w:p>
    <w:p w14:paraId="3D899A16" w14:textId="77777777" w:rsidR="005C690F" w:rsidRPr="00A00990" w:rsidRDefault="007D6307" w:rsidP="001162C4">
      <w:pPr>
        <w:widowControl w:val="0"/>
        <w:spacing w:after="0" w:line="360" w:lineRule="auto"/>
        <w:rPr>
          <w:color w:val="auto"/>
        </w:rPr>
      </w:pPr>
      <w:r w:rsidRPr="00A00990">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A00990" w:rsidRDefault="00B153FA" w:rsidP="001162C4">
      <w:pPr>
        <w:widowControl w:val="0"/>
        <w:spacing w:after="0" w:line="360" w:lineRule="auto"/>
        <w:rPr>
          <w:color w:val="auto"/>
        </w:rPr>
      </w:pPr>
    </w:p>
    <w:p w14:paraId="70E5B643" w14:textId="378E2A57" w:rsidR="00B04A35" w:rsidRPr="00A00990" w:rsidRDefault="007D6307" w:rsidP="001162C4">
      <w:pPr>
        <w:spacing w:after="0" w:line="360" w:lineRule="auto"/>
        <w:rPr>
          <w:color w:val="auto"/>
        </w:rPr>
      </w:pPr>
      <w:r w:rsidRPr="00A00990">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A00990" w:rsidRDefault="005C690F" w:rsidP="001162C4">
      <w:pPr>
        <w:spacing w:after="0" w:line="360" w:lineRule="auto"/>
        <w:rPr>
          <w:color w:val="auto"/>
        </w:rPr>
      </w:pPr>
    </w:p>
    <w:p w14:paraId="3AF871E5" w14:textId="6FEB966D" w:rsidR="005C690F" w:rsidRPr="00A00990" w:rsidRDefault="00CD6238" w:rsidP="001162C4">
      <w:pPr>
        <w:pStyle w:val="Ttulo2"/>
        <w:spacing w:before="0" w:after="0" w:line="360" w:lineRule="auto"/>
        <w:rPr>
          <w:color w:val="auto"/>
          <w:sz w:val="22"/>
          <w:szCs w:val="22"/>
        </w:rPr>
      </w:pPr>
      <w:bookmarkStart w:id="13" w:name="_Toc220599788"/>
      <w:r w:rsidRPr="00A00990">
        <w:rPr>
          <w:color w:val="auto"/>
          <w:sz w:val="22"/>
          <w:szCs w:val="22"/>
        </w:rPr>
        <w:t>Q</w:t>
      </w:r>
      <w:r w:rsidR="0044017B" w:rsidRPr="00A00990">
        <w:rPr>
          <w:color w:val="auto"/>
          <w:sz w:val="22"/>
          <w:szCs w:val="22"/>
        </w:rPr>
        <w:t>UINTO</w:t>
      </w:r>
      <w:r w:rsidRPr="00A00990">
        <w:rPr>
          <w:color w:val="auto"/>
          <w:sz w:val="22"/>
          <w:szCs w:val="22"/>
        </w:rPr>
        <w:t>. Estudio de Fondo</w:t>
      </w:r>
      <w:bookmarkEnd w:id="13"/>
    </w:p>
    <w:p w14:paraId="2596B212" w14:textId="77777777" w:rsidR="00A56228" w:rsidRPr="00A00990" w:rsidRDefault="00A56228" w:rsidP="001162C4">
      <w:pPr>
        <w:spacing w:after="0" w:line="360" w:lineRule="auto"/>
        <w:rPr>
          <w:b/>
          <w:color w:val="auto"/>
        </w:rPr>
      </w:pPr>
    </w:p>
    <w:p w14:paraId="63BCC1E3" w14:textId="100FCE1F" w:rsidR="00A6674B" w:rsidRPr="00A00990" w:rsidRDefault="0064067B" w:rsidP="001162C4">
      <w:pPr>
        <w:spacing w:after="0" w:line="360" w:lineRule="auto"/>
        <w:rPr>
          <w:rFonts w:eastAsia="Times New Roman" w:cs="Tahoma"/>
          <w:bCs/>
          <w:iCs/>
          <w:color w:val="auto"/>
          <w:lang w:eastAsia="es-ES"/>
        </w:rPr>
      </w:pPr>
      <w:r w:rsidRPr="00A00990">
        <w:rPr>
          <w:color w:val="auto"/>
        </w:rPr>
        <w:t>Expuestas las posturas de las partes, se procede al análisis de los agravios hechos valer por la persona Recurrente</w:t>
      </w:r>
      <w:r w:rsidR="00731FB9" w:rsidRPr="00A00990">
        <w:rPr>
          <w:color w:val="auto"/>
        </w:rPr>
        <w:t xml:space="preserve">, </w:t>
      </w:r>
      <w:r w:rsidR="007F4407" w:rsidRPr="00A00990">
        <w:rPr>
          <w:rFonts w:eastAsia="Times New Roman" w:cs="Tahoma"/>
          <w:bCs/>
          <w:iCs/>
          <w:color w:val="auto"/>
          <w:lang w:eastAsia="es-ES"/>
        </w:rPr>
        <w:t>por lo que, en principio es necesario contextualizar la solicitud de información</w:t>
      </w:r>
      <w:r w:rsidR="00A6674B" w:rsidRPr="00A00990">
        <w:rPr>
          <w:rFonts w:eastAsia="Times New Roman" w:cs="Tahoma"/>
          <w:bCs/>
          <w:iCs/>
          <w:color w:val="auto"/>
          <w:lang w:eastAsia="es-ES"/>
        </w:rPr>
        <w:t>.</w:t>
      </w:r>
    </w:p>
    <w:p w14:paraId="0A116580" w14:textId="77777777" w:rsidR="00183E96" w:rsidRPr="00A00990" w:rsidRDefault="00183E96" w:rsidP="001162C4">
      <w:pPr>
        <w:spacing w:after="0" w:line="360" w:lineRule="auto"/>
        <w:rPr>
          <w:rFonts w:eastAsia="Times New Roman" w:cs="Tahoma"/>
          <w:bCs/>
          <w:iCs/>
          <w:color w:val="auto"/>
          <w:lang w:eastAsia="es-ES"/>
        </w:rPr>
      </w:pPr>
    </w:p>
    <w:p w14:paraId="586F9CCA" w14:textId="7336F9E0" w:rsidR="00183E96" w:rsidRPr="00A00990" w:rsidRDefault="00183E96" w:rsidP="001162C4">
      <w:pPr>
        <w:spacing w:after="0" w:line="360" w:lineRule="auto"/>
      </w:pPr>
      <w:r w:rsidRPr="00A00990">
        <w:t xml:space="preserve">Al respecto el artículo 2°, fracción IV, del Reglamento de la Ley de Contratación Pública del Estado de México y Municipios, establece que el </w:t>
      </w:r>
      <w:r w:rsidRPr="00A00990">
        <w:rPr>
          <w:b/>
        </w:rPr>
        <w:t>Catálogo de Proveedores y Prestadores de Servicios,</w:t>
      </w:r>
      <w:r w:rsidRPr="00A00990">
        <w:t xml:space="preserve"> es la lista de carácter público en la que se registran los proveedores y prestadores de servicios que han acreditado cumplir con los requisitos establecidos, con la finalidad de que se les permita en los procedimientos de adquisición omitir la presentación de los documentos relacionados con su información administrativa, legal y financiera, así como tener preferencia en las convocatorias que se realicen a procedimientos de invitación restringida.</w:t>
      </w:r>
    </w:p>
    <w:p w14:paraId="1F1CFF50" w14:textId="77777777" w:rsidR="00183E96" w:rsidRPr="00A00990" w:rsidRDefault="00183E96" w:rsidP="001162C4">
      <w:pPr>
        <w:spacing w:after="0" w:line="360" w:lineRule="auto"/>
      </w:pPr>
    </w:p>
    <w:p w14:paraId="367B5A22" w14:textId="60FFBC6C" w:rsidR="00183E96" w:rsidRPr="00A00990" w:rsidRDefault="00183E96" w:rsidP="001162C4">
      <w:pPr>
        <w:spacing w:after="0" w:line="360" w:lineRule="auto"/>
      </w:pPr>
      <w:r w:rsidRPr="00A00990">
        <w:t xml:space="preserve">En ese mismo orden de ideas los artículos 20 y 21 de la Ley de Contratación Pública del Estado de México y Municipios establece que </w:t>
      </w:r>
      <w:r w:rsidRPr="00A00990">
        <w:rPr>
          <w:b/>
        </w:rPr>
        <w:t>los Ayuntamientos</w:t>
      </w:r>
      <w:r w:rsidRPr="00A00990">
        <w:t xml:space="preserve"> operarán el catálogo de bienes y servicios y lo integrarán a fin de conocer la capacidad administrativa, financiera, legal y técnica de las fuentes de suministro, catalogo que deberá publicarse en los Ayuntamientos.</w:t>
      </w:r>
    </w:p>
    <w:p w14:paraId="440BA4FD" w14:textId="77777777" w:rsidR="00E9613C" w:rsidRPr="00A00990" w:rsidRDefault="00E9613C" w:rsidP="001162C4">
      <w:pPr>
        <w:spacing w:after="0" w:line="360" w:lineRule="auto"/>
      </w:pPr>
    </w:p>
    <w:p w14:paraId="0DC5476B" w14:textId="43485001" w:rsidR="00E9613C" w:rsidRPr="00A00990" w:rsidRDefault="00E9613C" w:rsidP="001162C4">
      <w:pPr>
        <w:spacing w:after="0" w:line="360" w:lineRule="auto"/>
      </w:pPr>
      <w:r w:rsidRPr="00A00990">
        <w:t xml:space="preserve">En relación con lo anterior el artículo 92 fracción XXXVI de la Ley de Transparencia y Acceso a la Información Pública del Estado de México y Municipios, establece que el </w:t>
      </w:r>
      <w:r w:rsidRPr="00A00990">
        <w:rPr>
          <w:b/>
        </w:rPr>
        <w:t xml:space="preserve">padrón de proveedores y contratistas, </w:t>
      </w:r>
      <w:r w:rsidRPr="00A00990">
        <w:t>corresponde a una de las obligaciones de transparencia comunes.</w:t>
      </w:r>
    </w:p>
    <w:p w14:paraId="48320D0F" w14:textId="77777777" w:rsidR="00E9613C" w:rsidRPr="00A00990" w:rsidRDefault="00E9613C" w:rsidP="001162C4">
      <w:pPr>
        <w:spacing w:after="0" w:line="360" w:lineRule="auto"/>
      </w:pPr>
    </w:p>
    <w:p w14:paraId="432BC8FF" w14:textId="0D2691DF" w:rsidR="00E9613C" w:rsidRPr="00A00990" w:rsidRDefault="00E9613C" w:rsidP="001162C4">
      <w:pPr>
        <w:spacing w:after="0" w:line="360" w:lineRule="auto"/>
      </w:pPr>
      <w:r w:rsidRPr="00A00990">
        <w:t xml:space="preserve">Ahora bien, se traen por analogía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establecen que el </w:t>
      </w:r>
      <w:r w:rsidRPr="00A00990">
        <w:rPr>
          <w:b/>
        </w:rPr>
        <w:t>padrón de proveedores y contratistas</w:t>
      </w:r>
      <w:r w:rsidRPr="00A00990">
        <w:t xml:space="preserve"> deberá actualizarse por lo menos cada tres meses.</w:t>
      </w:r>
    </w:p>
    <w:p w14:paraId="4DEC58E5" w14:textId="77777777" w:rsidR="00183E96" w:rsidRPr="00A00990" w:rsidRDefault="00183E96" w:rsidP="001162C4">
      <w:pPr>
        <w:spacing w:after="0" w:line="360" w:lineRule="auto"/>
      </w:pPr>
    </w:p>
    <w:p w14:paraId="7F1B24FA" w14:textId="62D1CDE9" w:rsidR="00183E96" w:rsidRPr="00A00990" w:rsidRDefault="00ED355F" w:rsidP="001162C4">
      <w:pPr>
        <w:spacing w:after="0" w:line="360" w:lineRule="auto"/>
      </w:pPr>
      <w:r w:rsidRPr="00A00990">
        <w:t xml:space="preserve">En esa misma consecución de ideas, el artículo 3.40 del Manual de Organización de la Dirección General de Administración del Ayuntamiento de Toluca, establece que dicha  dirección dentro de sus atribuciones y funciones se encarga entre otras cosas de </w:t>
      </w:r>
      <w:r w:rsidRPr="00A00990">
        <w:rPr>
          <w:b/>
        </w:rPr>
        <w:t xml:space="preserve">integrar el catálogo general de proveedores </w:t>
      </w:r>
      <w:r w:rsidRPr="00A00990">
        <w:t>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25D546C7" w14:textId="77777777" w:rsidR="00ED355F" w:rsidRPr="00A00990" w:rsidRDefault="00ED355F" w:rsidP="001162C4">
      <w:pPr>
        <w:spacing w:after="0" w:line="360" w:lineRule="auto"/>
      </w:pPr>
    </w:p>
    <w:p w14:paraId="0208FFB0" w14:textId="38AF4E7D" w:rsidR="00ED355F" w:rsidRPr="00A00990" w:rsidRDefault="00ED355F" w:rsidP="001162C4">
      <w:pPr>
        <w:spacing w:after="0" w:line="360" w:lineRule="auto"/>
      </w:pPr>
      <w:r w:rsidRPr="00A00990">
        <w:t>Al respecto el artículo 3.43 del Manual en comento señala que la Dirección de Recursos Humanos de la Dirección General de Administ</w:t>
      </w:r>
      <w:r w:rsidR="00B277B2" w:rsidRPr="00A00990">
        <w:t xml:space="preserve">ración es el área encargada de </w:t>
      </w:r>
      <w:r w:rsidR="00B277B2" w:rsidRPr="00A00990">
        <w:rPr>
          <w:b/>
        </w:rPr>
        <w:t>m</w:t>
      </w:r>
      <w:r w:rsidRPr="00A00990">
        <w:rPr>
          <w:b/>
        </w:rPr>
        <w:t>antener actualizado el padrón de proveedores</w:t>
      </w:r>
      <w:r w:rsidRPr="00A00990">
        <w:t>; tomando en consideración, el tipo de bien y servicio que ofrece cada proveedor, este deberá cubrir los documentos y requisitos que establece la normatividad respectiva</w:t>
      </w:r>
      <w:r w:rsidR="00B277B2" w:rsidRPr="00A00990">
        <w:t>.</w:t>
      </w:r>
    </w:p>
    <w:p w14:paraId="709F8BFE" w14:textId="77777777" w:rsidR="00D73B3A" w:rsidRPr="00A00990" w:rsidRDefault="00D73B3A" w:rsidP="001162C4">
      <w:pPr>
        <w:spacing w:after="0" w:line="360" w:lineRule="auto"/>
      </w:pPr>
    </w:p>
    <w:p w14:paraId="33CA6FEF" w14:textId="437E74FF" w:rsidR="00D73B3A" w:rsidRPr="00A00990" w:rsidRDefault="00D73B3A" w:rsidP="001162C4">
      <w:pPr>
        <w:spacing w:after="0" w:line="360" w:lineRule="auto"/>
        <w:rPr>
          <w:rFonts w:eastAsia="Times New Roman" w:cs="Tahoma"/>
          <w:bCs/>
          <w:iCs/>
          <w:color w:val="auto"/>
          <w:lang w:eastAsia="es-ES"/>
        </w:rPr>
      </w:pPr>
      <w:r w:rsidRPr="00A00990">
        <w:t>Por otra parte el Reglamento Interno del Instituto Municipal de la Mujer de Toluca, en su artículo 18 fracción XVI establece que la Coordinación de Administración y Finanzas  de dicho Instituto dentro de sus atribuciones se encarga de Integrar y actualizar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Instituto.</w:t>
      </w:r>
    </w:p>
    <w:p w14:paraId="72FCF3DB" w14:textId="77777777" w:rsidR="009E6A6D" w:rsidRPr="00A00990" w:rsidRDefault="009E6A6D" w:rsidP="00EC4902">
      <w:pPr>
        <w:spacing w:after="0" w:line="360" w:lineRule="auto"/>
        <w:rPr>
          <w:rFonts w:eastAsia="Times New Roman" w:cs="Tahoma"/>
          <w:bCs/>
          <w:iCs/>
          <w:color w:val="FF0000"/>
          <w:lang w:eastAsia="es-ES"/>
        </w:rPr>
      </w:pPr>
    </w:p>
    <w:p w14:paraId="52668C09" w14:textId="7398B2AE" w:rsidR="0070242C" w:rsidRPr="00A00990" w:rsidRDefault="00EC4902" w:rsidP="00DF08D7">
      <w:pPr>
        <w:spacing w:after="0" w:line="360" w:lineRule="auto"/>
        <w:rPr>
          <w:rFonts w:eastAsia="Times New Roman" w:cs="Tahoma"/>
          <w:bCs/>
          <w:iCs/>
          <w:color w:val="auto"/>
          <w:lang w:eastAsia="es-ES"/>
        </w:rPr>
      </w:pPr>
      <w:r w:rsidRPr="00A00990">
        <w:rPr>
          <w:rFonts w:eastAsia="Times New Roman" w:cs="Tahoma"/>
          <w:bCs/>
          <w:iCs/>
          <w:color w:val="auto"/>
          <w:lang w:eastAsia="es-ES"/>
        </w:rPr>
        <w:t xml:space="preserve">Conforme a lo anterior, se logra vislumbrar que </w:t>
      </w:r>
      <w:r w:rsidR="00EE0F64" w:rsidRPr="00A00990">
        <w:rPr>
          <w:rFonts w:eastAsia="Times New Roman" w:cs="Tahoma"/>
          <w:bCs/>
          <w:iCs/>
          <w:color w:val="auto"/>
          <w:lang w:eastAsia="es-ES"/>
        </w:rPr>
        <w:t xml:space="preserve">la pretensión de la persona Recurrente es obtener, </w:t>
      </w:r>
      <w:r w:rsidR="00E9613C" w:rsidRPr="00A00990">
        <w:rPr>
          <w:rFonts w:cs="Tahoma"/>
          <w:color w:val="auto"/>
        </w:rPr>
        <w:t>el padrón de proveedores correspondiente al primer y segundo trimestre del año dos mil veinticinco.</w:t>
      </w:r>
    </w:p>
    <w:p w14:paraId="274125A4" w14:textId="77777777" w:rsidR="00E9613C" w:rsidRPr="00A00990" w:rsidRDefault="00E9613C" w:rsidP="00DF08D7">
      <w:pPr>
        <w:spacing w:after="0" w:line="360" w:lineRule="auto"/>
        <w:rPr>
          <w:rFonts w:eastAsia="Times New Roman" w:cs="Tahoma"/>
          <w:bCs/>
          <w:iCs/>
          <w:color w:val="FF0000"/>
          <w:lang w:eastAsia="es-ES"/>
        </w:rPr>
      </w:pPr>
    </w:p>
    <w:p w14:paraId="094DC71E" w14:textId="77777777" w:rsidR="00E9613C" w:rsidRPr="00A00990" w:rsidRDefault="00E9613C" w:rsidP="00DF08D7">
      <w:pPr>
        <w:spacing w:after="0" w:line="360" w:lineRule="auto"/>
        <w:rPr>
          <w:rFonts w:cs="Tahoma"/>
          <w:color w:val="FF0000"/>
        </w:rPr>
      </w:pPr>
    </w:p>
    <w:p w14:paraId="70511778" w14:textId="1779A8BE" w:rsidR="00B0601E" w:rsidRPr="00A00990" w:rsidRDefault="00B0601E" w:rsidP="001162C4">
      <w:pPr>
        <w:spacing w:after="0" w:line="360" w:lineRule="auto"/>
        <w:rPr>
          <w:rFonts w:eastAsia="Times New Roman" w:cs="Tahoma"/>
          <w:bCs/>
          <w:iCs/>
          <w:color w:val="FF0000"/>
          <w:lang w:eastAsia="es-ES"/>
        </w:rPr>
      </w:pPr>
      <w:r w:rsidRPr="00A00990">
        <w:rPr>
          <w:rFonts w:eastAsia="Times New Roman" w:cs="Tahoma"/>
          <w:bCs/>
          <w:iCs/>
          <w:color w:val="auto"/>
          <w:lang w:eastAsia="es-ES"/>
        </w:rPr>
        <w:t>Establecida dicha circunstancia, de las constancias que obran en el expediente electrónico, se advierte que el Sujeto Obligado</w:t>
      </w:r>
      <w:r w:rsidR="0007157F" w:rsidRPr="00A00990">
        <w:rPr>
          <w:rFonts w:eastAsia="Times New Roman" w:cs="Tahoma"/>
          <w:bCs/>
          <w:iCs/>
          <w:color w:val="auto"/>
          <w:lang w:eastAsia="es-ES"/>
        </w:rPr>
        <w:t xml:space="preserve"> turno la solicitud de información a la</w:t>
      </w:r>
      <w:r w:rsidR="002754BD" w:rsidRPr="00A00990">
        <w:rPr>
          <w:rFonts w:eastAsia="Times New Roman" w:cs="Tahoma"/>
          <w:bCs/>
          <w:iCs/>
          <w:color w:val="FF0000"/>
          <w:lang w:eastAsia="es-ES"/>
        </w:rPr>
        <w:t xml:space="preserve"> </w:t>
      </w:r>
      <w:r w:rsidR="00BD0358" w:rsidRPr="00A00990">
        <w:rPr>
          <w:color w:val="auto"/>
        </w:rPr>
        <w:t>Dirección General de Administración  y la Coordinación de Administración y Finanzas del Instituto Municipal de la Mujer</w:t>
      </w:r>
      <w:r w:rsidRPr="00A00990">
        <w:rPr>
          <w:rFonts w:eastAsia="Times New Roman" w:cs="Tahoma"/>
          <w:bCs/>
          <w:iCs/>
          <w:color w:val="auto"/>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Pr="00A00990">
        <w:rPr>
          <w:rFonts w:eastAsia="Times New Roman" w:cs="Tahoma"/>
          <w:bCs/>
          <w:iCs/>
          <w:color w:val="FF0000"/>
          <w:lang w:eastAsia="es-ES"/>
        </w:rPr>
        <w:t>.</w:t>
      </w:r>
    </w:p>
    <w:p w14:paraId="71FE3CDE" w14:textId="77777777" w:rsidR="00B0601E" w:rsidRPr="00A00990" w:rsidRDefault="00B0601E" w:rsidP="001162C4">
      <w:pPr>
        <w:spacing w:after="0" w:line="360" w:lineRule="auto"/>
        <w:rPr>
          <w:rFonts w:eastAsia="Times New Roman" w:cs="Tahoma"/>
          <w:bCs/>
          <w:iCs/>
          <w:color w:val="FF0000"/>
          <w:lang w:eastAsia="es-ES"/>
        </w:rPr>
      </w:pPr>
    </w:p>
    <w:p w14:paraId="7A783851" w14:textId="2CFECA6B" w:rsidR="00DF08D7" w:rsidRPr="00A00990" w:rsidRDefault="00B0601E" w:rsidP="001162C4">
      <w:pPr>
        <w:spacing w:after="0" w:line="360" w:lineRule="auto"/>
        <w:rPr>
          <w:rFonts w:eastAsia="Times New Roman" w:cs="Tahoma"/>
          <w:bCs/>
          <w:iCs/>
          <w:color w:val="auto"/>
          <w:lang w:eastAsia="es-ES"/>
        </w:rPr>
      </w:pPr>
      <w:r w:rsidRPr="00A00990">
        <w:rPr>
          <w:rFonts w:eastAsia="Times New Roman" w:cs="Tahoma"/>
          <w:bCs/>
          <w:iCs/>
          <w:color w:val="auto"/>
          <w:lang w:eastAsia="es-ES"/>
        </w:rPr>
        <w:t>Así y de lo plasmado en párrafos anteriores, se logra colegir que el Sujeto Obligado cumplió con el procedimiento de búsqueda establecido en el artículo 162 de la Ley de Transparencia y Acceso a la Información Pública del Estado de</w:t>
      </w:r>
      <w:r w:rsidR="008A519E" w:rsidRPr="00A00990">
        <w:rPr>
          <w:rFonts w:eastAsia="Times New Roman" w:cs="Tahoma"/>
          <w:bCs/>
          <w:iCs/>
          <w:color w:val="auto"/>
          <w:lang w:eastAsia="es-ES"/>
        </w:rPr>
        <w:t xml:space="preserve"> Méxic</w:t>
      </w:r>
      <w:r w:rsidR="0007157F" w:rsidRPr="00A00990">
        <w:rPr>
          <w:rFonts w:eastAsia="Times New Roman" w:cs="Tahoma"/>
          <w:bCs/>
          <w:iCs/>
          <w:color w:val="auto"/>
          <w:lang w:eastAsia="es-ES"/>
        </w:rPr>
        <w:t xml:space="preserve">o y Municipios, toda vez que </w:t>
      </w:r>
      <w:r w:rsidR="008A519E" w:rsidRPr="00A00990">
        <w:rPr>
          <w:rFonts w:eastAsia="Times New Roman" w:cs="Tahoma"/>
          <w:bCs/>
          <w:iCs/>
          <w:color w:val="auto"/>
          <w:lang w:eastAsia="es-ES"/>
        </w:rPr>
        <w:t>turno</w:t>
      </w:r>
      <w:r w:rsidR="00BD0358" w:rsidRPr="00A00990">
        <w:rPr>
          <w:rFonts w:eastAsia="Times New Roman" w:cs="Tahoma"/>
          <w:bCs/>
          <w:iCs/>
          <w:color w:val="auto"/>
          <w:lang w:eastAsia="es-ES"/>
        </w:rPr>
        <w:t xml:space="preserve"> la solicitud de información a las</w:t>
      </w:r>
      <w:r w:rsidR="0007157F" w:rsidRPr="00A00990">
        <w:rPr>
          <w:rFonts w:eastAsia="Times New Roman" w:cs="Tahoma"/>
          <w:bCs/>
          <w:iCs/>
          <w:color w:val="auto"/>
          <w:lang w:eastAsia="es-ES"/>
        </w:rPr>
        <w:t xml:space="preserve"> área</w:t>
      </w:r>
      <w:r w:rsidR="00BD0358" w:rsidRPr="00A00990">
        <w:rPr>
          <w:rFonts w:eastAsia="Times New Roman" w:cs="Tahoma"/>
          <w:bCs/>
          <w:iCs/>
          <w:color w:val="auto"/>
          <w:lang w:eastAsia="es-ES"/>
        </w:rPr>
        <w:t>s</w:t>
      </w:r>
      <w:r w:rsidR="0007157F" w:rsidRPr="00A00990">
        <w:rPr>
          <w:rFonts w:eastAsia="Times New Roman" w:cs="Tahoma"/>
          <w:bCs/>
          <w:iCs/>
          <w:color w:val="auto"/>
          <w:lang w:eastAsia="es-ES"/>
        </w:rPr>
        <w:t xml:space="preserve"> competente </w:t>
      </w:r>
      <w:r w:rsidR="00750CF0" w:rsidRPr="00A00990">
        <w:rPr>
          <w:rFonts w:eastAsia="Times New Roman" w:cs="Tahoma"/>
          <w:bCs/>
          <w:iCs/>
          <w:color w:val="auto"/>
          <w:lang w:eastAsia="es-ES"/>
        </w:rPr>
        <w:t>de</w:t>
      </w:r>
      <w:r w:rsidR="00F317D5" w:rsidRPr="00A00990">
        <w:rPr>
          <w:rFonts w:eastAsia="Times New Roman" w:cs="Tahoma"/>
          <w:bCs/>
          <w:iCs/>
          <w:color w:val="auto"/>
          <w:lang w:eastAsia="es-ES"/>
        </w:rPr>
        <w:t xml:space="preserve"> conocer </w:t>
      </w:r>
      <w:r w:rsidR="00DF08D7" w:rsidRPr="00A00990">
        <w:rPr>
          <w:rFonts w:eastAsia="Times New Roman" w:cs="Tahoma"/>
          <w:bCs/>
          <w:iCs/>
          <w:color w:val="auto"/>
          <w:lang w:eastAsia="es-ES"/>
        </w:rPr>
        <w:t>de la información.</w:t>
      </w:r>
    </w:p>
    <w:p w14:paraId="52F1D1B3" w14:textId="77777777" w:rsidR="00DF08D7" w:rsidRPr="00A00990" w:rsidRDefault="00DF08D7" w:rsidP="001162C4">
      <w:pPr>
        <w:spacing w:after="0" w:line="360" w:lineRule="auto"/>
        <w:rPr>
          <w:rFonts w:eastAsia="Times New Roman" w:cs="Tahoma"/>
          <w:bCs/>
          <w:iCs/>
          <w:color w:val="auto"/>
          <w:lang w:eastAsia="es-ES"/>
        </w:rPr>
      </w:pPr>
    </w:p>
    <w:p w14:paraId="0C41F0EA" w14:textId="2D899392" w:rsidR="00D27D4B" w:rsidRPr="00A00990" w:rsidRDefault="00DF08D7" w:rsidP="00BD0358">
      <w:pPr>
        <w:spacing w:after="0" w:line="360" w:lineRule="auto"/>
        <w:rPr>
          <w:color w:val="auto"/>
        </w:rPr>
      </w:pPr>
      <w:r w:rsidRPr="00A00990">
        <w:rPr>
          <w:rFonts w:eastAsia="Times New Roman" w:cs="Tahoma"/>
          <w:bCs/>
          <w:iCs/>
          <w:color w:val="auto"/>
          <w:lang w:eastAsia="es-ES"/>
        </w:rPr>
        <w:t>Ahora bien, en respuesta</w:t>
      </w:r>
      <w:r w:rsidR="0013399A" w:rsidRPr="00A00990">
        <w:rPr>
          <w:rFonts w:eastAsia="Times New Roman" w:cs="Tahoma"/>
          <w:bCs/>
          <w:iCs/>
          <w:color w:val="auto"/>
          <w:lang w:eastAsia="es-ES"/>
        </w:rPr>
        <w:t>,</w:t>
      </w:r>
      <w:r w:rsidRPr="00A00990">
        <w:rPr>
          <w:rFonts w:eastAsia="Times New Roman" w:cs="Tahoma"/>
          <w:bCs/>
          <w:iCs/>
          <w:color w:val="auto"/>
          <w:lang w:eastAsia="es-ES"/>
        </w:rPr>
        <w:t xml:space="preserve"> como en Informe Justificado</w:t>
      </w:r>
      <w:r w:rsidR="00D27D4B" w:rsidRPr="00A00990">
        <w:rPr>
          <w:rFonts w:eastAsia="Times New Roman" w:cs="Tahoma"/>
          <w:bCs/>
          <w:iCs/>
          <w:color w:val="auto"/>
          <w:lang w:eastAsia="es-ES"/>
        </w:rPr>
        <w:t>,</w:t>
      </w:r>
      <w:r w:rsidR="00BD0358" w:rsidRPr="00A00990">
        <w:rPr>
          <w:color w:val="auto"/>
        </w:rPr>
        <w:t xml:space="preserve"> la Dirección General de Administración  y la Coordinación de Administración y Finanzas del Instituto Municipal de la Mujer, señalaron que la información se encontraba disponible en el Portal de Información Pública de Oficio Mexiquense (IPOMEX), a través de una liga la cual se logra advertir se remitió  en formato cerrado, cabe señalar que la Coordinación de Administración y Finanzas del Instituto Municipal de la Mujer también señal</w:t>
      </w:r>
      <w:r w:rsidR="0013399A" w:rsidRPr="00A00990">
        <w:rPr>
          <w:color w:val="auto"/>
        </w:rPr>
        <w:t xml:space="preserve">ó </w:t>
      </w:r>
      <w:r w:rsidR="00BD0358" w:rsidRPr="00A00990">
        <w:rPr>
          <w:color w:val="auto"/>
        </w:rPr>
        <w:t>que por lo que respecta a la información del segundo trimestre del ejercicio dos mil veinticinco se encontraba en proceso de actualización.</w:t>
      </w:r>
    </w:p>
    <w:p w14:paraId="41149437" w14:textId="77777777" w:rsidR="0013399A" w:rsidRPr="00A00990" w:rsidRDefault="0013399A" w:rsidP="00BD0358">
      <w:pPr>
        <w:spacing w:after="0" w:line="360" w:lineRule="auto"/>
        <w:rPr>
          <w:rFonts w:eastAsia="Times New Roman" w:cs="Tahoma"/>
          <w:bCs/>
          <w:iCs/>
          <w:color w:val="auto"/>
          <w:lang w:eastAsia="es-ES"/>
        </w:rPr>
      </w:pPr>
    </w:p>
    <w:p w14:paraId="582028B5" w14:textId="295FD51A" w:rsidR="00BE53BB" w:rsidRPr="00A00990" w:rsidRDefault="00BE53BB" w:rsidP="00BE53BB">
      <w:pPr>
        <w:widowControl w:val="0"/>
        <w:autoSpaceDE w:val="0"/>
        <w:autoSpaceDN w:val="0"/>
        <w:adjustRightInd w:val="0"/>
        <w:spacing w:after="0" w:line="360" w:lineRule="auto"/>
        <w:contextualSpacing/>
        <w:rPr>
          <w:rFonts w:cs="Tahoma"/>
          <w:color w:val="auto"/>
        </w:rPr>
      </w:pPr>
      <w:r w:rsidRPr="00A00990">
        <w:rPr>
          <w:rFonts w:cs="Tahoma"/>
          <w:color w:val="auto"/>
        </w:rPr>
        <w:t>En ese sentido, si bien</w:t>
      </w:r>
      <w:r w:rsidR="00BD0358" w:rsidRPr="00A00990">
        <w:rPr>
          <w:rFonts w:cs="Tahoma"/>
          <w:color w:val="auto"/>
        </w:rPr>
        <w:t xml:space="preserve"> el Ayuntamiento de Toluca remitió una liga electrónica para consultar la información </w:t>
      </w:r>
      <w:r w:rsidR="004C2F2F" w:rsidRPr="00A00990">
        <w:rPr>
          <w:rFonts w:cs="Tahoma"/>
          <w:color w:val="auto"/>
        </w:rPr>
        <w:t>con la que se contaba a la fecha de la solicitud</w:t>
      </w:r>
      <w:r w:rsidRPr="00A00990">
        <w:rPr>
          <w:rFonts w:eastAsia="Times New Roman" w:cs="Times New Roman"/>
          <w:color w:val="auto"/>
        </w:rPr>
        <w:t>, se logra vislumbrar que se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4C6809E" w14:textId="77777777" w:rsidR="00BE53BB" w:rsidRPr="00A00990" w:rsidRDefault="00BE53BB" w:rsidP="00BE53BB">
      <w:pPr>
        <w:widowControl w:val="0"/>
        <w:autoSpaceDE w:val="0"/>
        <w:autoSpaceDN w:val="0"/>
        <w:adjustRightInd w:val="0"/>
        <w:spacing w:after="0" w:line="360" w:lineRule="auto"/>
        <w:contextualSpacing/>
        <w:rPr>
          <w:rFonts w:eastAsia="Times New Roman" w:cs="Times New Roman"/>
          <w:color w:val="auto"/>
        </w:rPr>
      </w:pPr>
      <w:r w:rsidRPr="00A00990">
        <w:rPr>
          <w:rFonts w:eastAsia="Times New Roman" w:cs="Times New Roman"/>
          <w:color w:val="auto"/>
        </w:rPr>
        <w:t> </w:t>
      </w:r>
    </w:p>
    <w:p w14:paraId="2E411793"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123224A4"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 </w:t>
      </w:r>
    </w:p>
    <w:p w14:paraId="28B470EF"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En ese contexto, el artículo 3°, fracciones VIII y XVI de la Ley de Transparencia y Acceso a la Información Pública del Estado de México y Municipios, precisan lo siguiente:</w:t>
      </w:r>
    </w:p>
    <w:p w14:paraId="2D5D53FF" w14:textId="77777777" w:rsidR="00BE53BB" w:rsidRPr="00A00990" w:rsidRDefault="00BE53BB" w:rsidP="00BE53BB">
      <w:pPr>
        <w:widowControl w:val="0"/>
        <w:autoSpaceDE w:val="0"/>
        <w:autoSpaceDN w:val="0"/>
        <w:adjustRightInd w:val="0"/>
        <w:spacing w:after="0" w:line="360" w:lineRule="auto"/>
        <w:contextualSpacing/>
        <w:rPr>
          <w:color w:val="auto"/>
        </w:rPr>
      </w:pPr>
    </w:p>
    <w:p w14:paraId="706C28F0" w14:textId="77777777" w:rsidR="00BE53BB" w:rsidRPr="00A00990" w:rsidRDefault="00BE53BB" w:rsidP="00BE53BB">
      <w:pPr>
        <w:widowControl w:val="0"/>
        <w:numPr>
          <w:ilvl w:val="0"/>
          <w:numId w:val="43"/>
        </w:numPr>
        <w:autoSpaceDE w:val="0"/>
        <w:autoSpaceDN w:val="0"/>
        <w:adjustRightInd w:val="0"/>
        <w:spacing w:after="0" w:line="360" w:lineRule="auto"/>
        <w:contextualSpacing/>
        <w:rPr>
          <w:rFonts w:eastAsia="Times New Roman" w:cs="Times New Roman"/>
          <w:color w:val="auto"/>
          <w:szCs w:val="24"/>
          <w:lang w:eastAsia="es-ES"/>
        </w:rPr>
      </w:pPr>
      <w:r w:rsidRPr="00A00990">
        <w:rPr>
          <w:rFonts w:eastAsia="Times New Roman" w:cs="Times New Roman"/>
          <w:b/>
          <w:bCs/>
          <w:color w:val="auto"/>
          <w:szCs w:val="24"/>
          <w:lang w:eastAsia="es-ES"/>
        </w:rPr>
        <w:t>Dato abierto:</w:t>
      </w:r>
      <w:r w:rsidRPr="00A00990">
        <w:rPr>
          <w:rFonts w:eastAsia="Times New Roman" w:cs="Times New Roman"/>
          <w:color w:val="auto"/>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06B6E16"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 </w:t>
      </w:r>
    </w:p>
    <w:p w14:paraId="346AEEE0" w14:textId="77777777" w:rsidR="00BE53BB" w:rsidRPr="00A00990" w:rsidRDefault="00BE53BB" w:rsidP="00BE53BB">
      <w:pPr>
        <w:widowControl w:val="0"/>
        <w:numPr>
          <w:ilvl w:val="0"/>
          <w:numId w:val="23"/>
        </w:numPr>
        <w:autoSpaceDE w:val="0"/>
        <w:autoSpaceDN w:val="0"/>
        <w:adjustRightInd w:val="0"/>
        <w:spacing w:after="0" w:line="360" w:lineRule="auto"/>
        <w:contextualSpacing/>
        <w:rPr>
          <w:rFonts w:cs="Times New Roman"/>
          <w:color w:val="auto"/>
          <w:szCs w:val="24"/>
          <w:lang w:eastAsia="es-ES"/>
        </w:rPr>
      </w:pPr>
      <w:r w:rsidRPr="00A00990">
        <w:rPr>
          <w:rFonts w:cs="Times New Roman"/>
          <w:b/>
          <w:bCs/>
          <w:color w:val="auto"/>
          <w:szCs w:val="24"/>
          <w:lang w:eastAsia="es-ES"/>
        </w:rPr>
        <w:t>Formato accesible:</w:t>
      </w:r>
      <w:r w:rsidRPr="00A00990">
        <w:rPr>
          <w:rFonts w:cs="Times New Roman"/>
          <w:color w:val="auto"/>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55AD9A7"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 </w:t>
      </w:r>
    </w:p>
    <w:p w14:paraId="095C8538"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3D6F7140"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 </w:t>
      </w:r>
    </w:p>
    <w:p w14:paraId="77587369" w14:textId="77777777"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7506C7F" w14:textId="77777777" w:rsidR="00BE53BB" w:rsidRPr="00A00990" w:rsidRDefault="00BE53BB" w:rsidP="00BE53BB">
      <w:pPr>
        <w:widowControl w:val="0"/>
        <w:autoSpaceDE w:val="0"/>
        <w:autoSpaceDN w:val="0"/>
        <w:adjustRightInd w:val="0"/>
        <w:spacing w:after="0" w:line="360" w:lineRule="auto"/>
        <w:contextualSpacing/>
        <w:rPr>
          <w:color w:val="auto"/>
        </w:rPr>
      </w:pPr>
    </w:p>
    <w:p w14:paraId="035F069A" w14:textId="03CDF394" w:rsidR="00BE53BB" w:rsidRPr="00A00990" w:rsidRDefault="00BE53BB" w:rsidP="00BE53BB">
      <w:pPr>
        <w:widowControl w:val="0"/>
        <w:autoSpaceDE w:val="0"/>
        <w:autoSpaceDN w:val="0"/>
        <w:adjustRightInd w:val="0"/>
        <w:spacing w:after="0" w:line="360" w:lineRule="auto"/>
        <w:contextualSpacing/>
        <w:rPr>
          <w:color w:val="auto"/>
        </w:rPr>
      </w:pPr>
      <w:r w:rsidRPr="00A00990">
        <w:rPr>
          <w:color w:val="auto"/>
        </w:rPr>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Sin menoscabar lo anterior, este Instituto revisó la liga electrónica remitida, la cual da acceso a lo siguiente:</w:t>
      </w:r>
    </w:p>
    <w:p w14:paraId="0EB2E8B2" w14:textId="77777777" w:rsidR="004C2F2F" w:rsidRPr="00A00990" w:rsidRDefault="004C2F2F" w:rsidP="00BE53BB">
      <w:pPr>
        <w:widowControl w:val="0"/>
        <w:autoSpaceDE w:val="0"/>
        <w:autoSpaceDN w:val="0"/>
        <w:adjustRightInd w:val="0"/>
        <w:spacing w:after="0" w:line="360" w:lineRule="auto"/>
        <w:contextualSpacing/>
        <w:rPr>
          <w:color w:val="auto"/>
        </w:rPr>
      </w:pPr>
    </w:p>
    <w:p w14:paraId="355EDD71" w14:textId="41B4A668" w:rsidR="00BE53BB" w:rsidRPr="00A00990" w:rsidRDefault="004C2F2F" w:rsidP="00BE53BB">
      <w:pPr>
        <w:widowControl w:val="0"/>
        <w:autoSpaceDE w:val="0"/>
        <w:autoSpaceDN w:val="0"/>
        <w:adjustRightInd w:val="0"/>
        <w:spacing w:after="0" w:line="360" w:lineRule="auto"/>
        <w:contextualSpacing/>
        <w:rPr>
          <w:color w:val="FF0000"/>
        </w:rPr>
      </w:pPr>
      <w:r w:rsidRPr="00A00990">
        <w:rPr>
          <w:noProof/>
          <w:color w:val="FF0000"/>
        </w:rPr>
        <w:drawing>
          <wp:inline distT="0" distB="0" distL="0" distR="0" wp14:anchorId="75A3DFAC" wp14:editId="775CE470">
            <wp:extent cx="5669915" cy="109156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915" cy="1091565"/>
                    </a:xfrm>
                    <a:prstGeom prst="rect">
                      <a:avLst/>
                    </a:prstGeom>
                    <a:noFill/>
                  </pic:spPr>
                </pic:pic>
              </a:graphicData>
            </a:graphic>
          </wp:inline>
        </w:drawing>
      </w:r>
    </w:p>
    <w:p w14:paraId="3E47C28B" w14:textId="01D65DE5" w:rsidR="00BE53BB" w:rsidRPr="00A00990" w:rsidRDefault="00BE53BB" w:rsidP="00BE53BB">
      <w:pPr>
        <w:tabs>
          <w:tab w:val="center" w:pos="4522"/>
        </w:tabs>
        <w:spacing w:after="0" w:line="360" w:lineRule="auto"/>
        <w:contextualSpacing/>
        <w:rPr>
          <w:rFonts w:eastAsia="Calibri" w:cs="Times New Roman"/>
          <w:color w:val="auto"/>
        </w:rPr>
      </w:pPr>
      <w:r w:rsidRPr="00A00990">
        <w:rPr>
          <w:rFonts w:eastAsia="Calibri" w:cs="Tahoma"/>
          <w:bCs/>
          <w:color w:val="auto"/>
        </w:rPr>
        <w:t>Como se logra observar, el Sujeto Obligado si bien señaló una página electrónica,</w:t>
      </w:r>
      <w:r w:rsidR="00030C43" w:rsidRPr="00A00990">
        <w:rPr>
          <w:rFonts w:eastAsia="Calibri" w:cs="Tahoma"/>
          <w:bCs/>
          <w:color w:val="auto"/>
        </w:rPr>
        <w:t xml:space="preserve"> la entrego en formato cerrado</w:t>
      </w:r>
      <w:r w:rsidRPr="00A00990">
        <w:rPr>
          <w:rFonts w:eastAsia="Calibri" w:cs="Tahoma"/>
          <w:bCs/>
          <w:color w:val="auto"/>
        </w:rPr>
        <w:t>,</w:t>
      </w:r>
      <w:r w:rsidR="00030C43" w:rsidRPr="00A00990">
        <w:rPr>
          <w:rFonts w:eastAsia="Calibri" w:cs="Tahoma"/>
          <w:bCs/>
          <w:color w:val="auto"/>
        </w:rPr>
        <w:t xml:space="preserve"> por lo que</w:t>
      </w:r>
      <w:r w:rsidRPr="00A00990">
        <w:rPr>
          <w:rFonts w:eastAsia="Calibri" w:cs="Tahoma"/>
          <w:bCs/>
          <w:color w:val="auto"/>
        </w:rPr>
        <w:t xml:space="preserve"> incumplió con lo establecido en el artículo 161 de la Ley de Transparencia y Acceso a la Información Pública del Estado de México y Municipios</w:t>
      </w:r>
      <w:r w:rsidRPr="00A00990">
        <w:rPr>
          <w:rFonts w:eastAsia="Calibri" w:cs="Times New Roman"/>
          <w:color w:val="auto"/>
        </w:rPr>
        <w:t xml:space="preserve">, por lo que, el agravio resulta </w:t>
      </w:r>
      <w:r w:rsidRPr="00A00990">
        <w:rPr>
          <w:rFonts w:eastAsia="Calibri" w:cs="Times New Roman"/>
          <w:b/>
          <w:color w:val="auto"/>
        </w:rPr>
        <w:t>FUNDADO</w:t>
      </w:r>
      <w:r w:rsidRPr="00A00990">
        <w:rPr>
          <w:rFonts w:eastAsia="Calibri" w:cs="Times New Roman"/>
          <w:color w:val="auto"/>
        </w:rPr>
        <w:t>.</w:t>
      </w:r>
    </w:p>
    <w:p w14:paraId="17DCC6B4" w14:textId="77777777" w:rsidR="00030C43" w:rsidRPr="00A00990" w:rsidRDefault="00030C43" w:rsidP="00BE53BB">
      <w:pPr>
        <w:tabs>
          <w:tab w:val="center" w:pos="4522"/>
        </w:tabs>
        <w:spacing w:after="0" w:line="360" w:lineRule="auto"/>
        <w:contextualSpacing/>
        <w:rPr>
          <w:rFonts w:eastAsia="Calibri" w:cs="Times New Roman"/>
          <w:color w:val="auto"/>
        </w:rPr>
      </w:pPr>
    </w:p>
    <w:p w14:paraId="0BBF96D3" w14:textId="72AF02C0" w:rsidR="00030C43" w:rsidRPr="00A00990" w:rsidRDefault="00030C43" w:rsidP="00BE53BB">
      <w:pPr>
        <w:tabs>
          <w:tab w:val="center" w:pos="4522"/>
        </w:tabs>
        <w:spacing w:after="0" w:line="360" w:lineRule="auto"/>
        <w:contextualSpacing/>
        <w:rPr>
          <w:rFonts w:eastAsia="Calibri" w:cs="Times New Roman"/>
          <w:color w:val="auto"/>
        </w:rPr>
      </w:pPr>
      <w:r w:rsidRPr="00A00990">
        <w:rPr>
          <w:rFonts w:eastAsia="Calibri" w:cs="Times New Roman"/>
          <w:color w:val="auto"/>
        </w:rPr>
        <w:t>Es importante señalar que el requerimiento informativo se tuvo por presentado el veintisiete de junio de dos mil veinticinco, por lo que a la fecha de la solicitud todavía se encontraba en proceso de actualización la información correspondiente al segundo trimestre, tal como lo señal</w:t>
      </w:r>
      <w:r w:rsidR="0013399A" w:rsidRPr="00A00990">
        <w:rPr>
          <w:rFonts w:eastAsia="Calibri" w:cs="Times New Roman"/>
          <w:color w:val="auto"/>
        </w:rPr>
        <w:t>ó</w:t>
      </w:r>
      <w:r w:rsidRPr="00A00990">
        <w:rPr>
          <w:rFonts w:eastAsia="Calibri" w:cs="Times New Roman"/>
          <w:color w:val="auto"/>
        </w:rPr>
        <w:t xml:space="preserve"> el Sujeto Obligado</w:t>
      </w:r>
      <w:r w:rsidR="0013399A" w:rsidRPr="00A00990">
        <w:rPr>
          <w:rFonts w:eastAsia="Calibri" w:cs="Times New Roman"/>
          <w:color w:val="auto"/>
        </w:rPr>
        <w:t>; por lo que, a la fecha de la solicitud aun no contaba con el padrón de proveedores del segundo periodo, en atención al periodo que tienen los sujetos obligados a realizar la actualización de las obligaciones de transparencia.</w:t>
      </w:r>
    </w:p>
    <w:p w14:paraId="54CE8A7F" w14:textId="77777777" w:rsidR="00BE53BB" w:rsidRPr="00A00990" w:rsidRDefault="00BE53BB" w:rsidP="00BE53BB">
      <w:pPr>
        <w:tabs>
          <w:tab w:val="center" w:pos="4522"/>
        </w:tabs>
        <w:spacing w:after="0" w:line="360" w:lineRule="auto"/>
        <w:contextualSpacing/>
        <w:rPr>
          <w:rFonts w:eastAsia="Calibri" w:cs="Times New Roman"/>
          <w:color w:val="FF0000"/>
        </w:rPr>
      </w:pPr>
    </w:p>
    <w:p w14:paraId="4A60B83A" w14:textId="72DAA520" w:rsidR="004C2F2F" w:rsidRPr="00A00990" w:rsidRDefault="00BE53BB" w:rsidP="00BE53BB">
      <w:pPr>
        <w:tabs>
          <w:tab w:val="center" w:pos="4522"/>
        </w:tabs>
        <w:spacing w:after="0" w:line="360" w:lineRule="auto"/>
        <w:contextualSpacing/>
        <w:rPr>
          <w:rFonts w:eastAsia="Calibri" w:cs="Times New Roman"/>
          <w:color w:val="auto"/>
        </w:rPr>
      </w:pPr>
      <w:r w:rsidRPr="00A00990">
        <w:rPr>
          <w:rFonts w:eastAsia="Calibri" w:cs="Times New Roman"/>
          <w:color w:val="auto"/>
        </w:rPr>
        <w:t>Así, este Instituto considera que, para atender el requerimiento de información, el Sujeto Obligado deberá realizar una búsqueda exhaustiva y razonable en los archivos de la Direcc</w:t>
      </w:r>
      <w:r w:rsidR="004C2F2F" w:rsidRPr="00A00990">
        <w:rPr>
          <w:rFonts w:eastAsia="Calibri" w:cs="Times New Roman"/>
          <w:color w:val="auto"/>
        </w:rPr>
        <w:t xml:space="preserve">ión General de Administración, </w:t>
      </w:r>
      <w:r w:rsidRPr="00A00990">
        <w:rPr>
          <w:rFonts w:eastAsia="Calibri" w:cs="Times New Roman"/>
          <w:color w:val="auto"/>
        </w:rPr>
        <w:t>Recursos Humanos</w:t>
      </w:r>
      <w:r w:rsidR="004C2F2F" w:rsidRPr="00A00990">
        <w:rPr>
          <w:rFonts w:eastAsia="Calibri" w:cs="Times New Roman"/>
          <w:color w:val="auto"/>
        </w:rPr>
        <w:t xml:space="preserve"> y </w:t>
      </w:r>
      <w:r w:rsidR="004C2F2F" w:rsidRPr="00A00990">
        <w:rPr>
          <w:color w:val="auto"/>
        </w:rPr>
        <w:t>Coordinación de Administración y Finanzas del Instituto Municipal de la Mujer</w:t>
      </w:r>
      <w:r w:rsidRPr="00A00990">
        <w:rPr>
          <w:rFonts w:eastAsia="Calibri" w:cs="Times New Roman"/>
          <w:color w:val="auto"/>
        </w:rPr>
        <w:t>, a efecto de que proporcione,</w:t>
      </w:r>
      <w:r w:rsidR="004C2F2F" w:rsidRPr="00A00990">
        <w:rPr>
          <w:rFonts w:cs="Tahoma"/>
          <w:color w:val="auto"/>
        </w:rPr>
        <w:t xml:space="preserve"> el padrón de proveedores con el que se contara al veintisiete de junio de dos mil veinticinco.</w:t>
      </w:r>
    </w:p>
    <w:p w14:paraId="1F11AB06" w14:textId="77777777" w:rsidR="004C2F2F" w:rsidRPr="00A00990" w:rsidRDefault="004C2F2F" w:rsidP="00BE53BB">
      <w:pPr>
        <w:tabs>
          <w:tab w:val="center" w:pos="4522"/>
        </w:tabs>
        <w:spacing w:after="0" w:line="360" w:lineRule="auto"/>
        <w:contextualSpacing/>
        <w:rPr>
          <w:rFonts w:cs="Tahoma"/>
          <w:color w:val="auto"/>
        </w:rPr>
      </w:pPr>
    </w:p>
    <w:p w14:paraId="03DAC15A" w14:textId="564C839A" w:rsidR="004C2F2F" w:rsidRPr="00A00990" w:rsidRDefault="004C2F2F" w:rsidP="00BE53BB">
      <w:pPr>
        <w:tabs>
          <w:tab w:val="center" w:pos="4522"/>
        </w:tabs>
        <w:spacing w:after="0" w:line="360" w:lineRule="auto"/>
        <w:contextualSpacing/>
        <w:rPr>
          <w:rFonts w:eastAsia="Calibri" w:cs="Times New Roman"/>
          <w:color w:val="auto"/>
        </w:rPr>
      </w:pPr>
      <w:r w:rsidRPr="00A00990">
        <w:rPr>
          <w:rFonts w:cs="Tahoma"/>
          <w:color w:val="auto"/>
        </w:rPr>
        <w:t>No pasa desapercibido para este Instituto que a la fecha en que se tuvo por presentada la solicitud de información el Instituto Municipal de la Mujer de Toluca, no era un Sujeto Obligado diverso al Ayuntamiento de Toluca.</w:t>
      </w:r>
    </w:p>
    <w:p w14:paraId="389B0996" w14:textId="77777777" w:rsidR="004C2F2F" w:rsidRPr="00A00990" w:rsidRDefault="004C2F2F" w:rsidP="00BE53BB">
      <w:pPr>
        <w:tabs>
          <w:tab w:val="center" w:pos="4522"/>
        </w:tabs>
        <w:spacing w:after="0" w:line="360" w:lineRule="auto"/>
        <w:contextualSpacing/>
        <w:rPr>
          <w:rFonts w:eastAsia="Calibri" w:cs="Times New Roman"/>
          <w:color w:val="FF0000"/>
        </w:rPr>
      </w:pPr>
    </w:p>
    <w:p w14:paraId="6128A8F7" w14:textId="77777777" w:rsidR="00BE53BB" w:rsidRPr="00A00990" w:rsidRDefault="00BE53BB" w:rsidP="00BE53BB">
      <w:pPr>
        <w:tabs>
          <w:tab w:val="center" w:pos="4522"/>
        </w:tabs>
        <w:spacing w:after="0" w:line="360" w:lineRule="auto"/>
        <w:contextualSpacing/>
        <w:rPr>
          <w:rFonts w:eastAsia="Calibri" w:cs="Times New Roman"/>
          <w:color w:val="auto"/>
        </w:rPr>
      </w:pPr>
      <w:r w:rsidRPr="00A00990">
        <w:rPr>
          <w:rFonts w:eastAsia="Calibri" w:cs="Times New Roman"/>
          <w:color w:val="auto"/>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FE6E604" w14:textId="77777777" w:rsidR="00BE53BB" w:rsidRPr="00A00990" w:rsidRDefault="00BE53BB" w:rsidP="00BE53BB">
      <w:pPr>
        <w:tabs>
          <w:tab w:val="center" w:pos="4522"/>
        </w:tabs>
        <w:spacing w:after="0" w:line="360" w:lineRule="auto"/>
        <w:contextualSpacing/>
        <w:rPr>
          <w:rFonts w:eastAsia="Calibri" w:cs="Times New Roman"/>
          <w:color w:val="FF0000"/>
        </w:rPr>
      </w:pPr>
    </w:p>
    <w:p w14:paraId="081322F0" w14:textId="77777777" w:rsidR="00BE53BB" w:rsidRPr="00A00990" w:rsidRDefault="00BE53BB" w:rsidP="00BE53BB">
      <w:pPr>
        <w:tabs>
          <w:tab w:val="center" w:pos="4522"/>
        </w:tabs>
        <w:spacing w:after="0" w:line="360" w:lineRule="auto"/>
        <w:contextualSpacing/>
        <w:rPr>
          <w:rFonts w:eastAsia="Calibri" w:cs="Times New Roman"/>
          <w:color w:val="auto"/>
        </w:rPr>
      </w:pPr>
      <w:r w:rsidRPr="00A00990">
        <w:rPr>
          <w:rFonts w:eastAsia="Calibri" w:cs="Times New Roman"/>
          <w:color w:val="auto"/>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13011D9" w14:textId="77777777" w:rsidR="00BE53BB" w:rsidRPr="00A00990" w:rsidRDefault="00BE53BB" w:rsidP="00BE53BB">
      <w:pPr>
        <w:tabs>
          <w:tab w:val="center" w:pos="4522"/>
        </w:tabs>
        <w:spacing w:after="0" w:line="360" w:lineRule="auto"/>
        <w:contextualSpacing/>
        <w:rPr>
          <w:rFonts w:eastAsia="Calibri" w:cs="Times New Roman"/>
          <w:color w:val="auto"/>
        </w:rPr>
      </w:pPr>
    </w:p>
    <w:p w14:paraId="12A415BD" w14:textId="5CA7117B" w:rsidR="00BE53BB" w:rsidRPr="00A00990" w:rsidRDefault="00BE53BB" w:rsidP="00BE53BB">
      <w:pPr>
        <w:tabs>
          <w:tab w:val="center" w:pos="4522"/>
        </w:tabs>
        <w:spacing w:after="0" w:line="360" w:lineRule="auto"/>
        <w:contextualSpacing/>
        <w:rPr>
          <w:rFonts w:eastAsia="Calibri" w:cs="Times New Roman"/>
          <w:color w:val="auto"/>
        </w:rPr>
      </w:pPr>
      <w:r w:rsidRPr="00A00990">
        <w:rPr>
          <w:rFonts w:eastAsia="Calibri" w:cs="Times New Roman"/>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r w:rsidR="0013399A" w:rsidRPr="00A00990">
        <w:rPr>
          <w:rFonts w:eastAsia="Calibri" w:cs="Times New Roman"/>
          <w:color w:val="auto"/>
        </w:rPr>
        <w:t>; para el caso de que la información se encuentre publicada en Internet, para atender el requerimiento podrá entregar la liga específica en formato abierto, precisando el procedimiento exacto, de como acceder a la información.</w:t>
      </w:r>
    </w:p>
    <w:p w14:paraId="11B4056B" w14:textId="77777777" w:rsidR="00BE53BB" w:rsidRPr="00A00990" w:rsidRDefault="00BE53BB" w:rsidP="00BE53BB">
      <w:pPr>
        <w:tabs>
          <w:tab w:val="center" w:pos="4522"/>
        </w:tabs>
        <w:spacing w:after="0" w:line="360" w:lineRule="auto"/>
        <w:contextualSpacing/>
        <w:rPr>
          <w:rFonts w:eastAsia="Calibri" w:cs="Times New Roman"/>
          <w:color w:val="FF0000"/>
        </w:rPr>
      </w:pPr>
    </w:p>
    <w:p w14:paraId="1961F6A9" w14:textId="20CF74C9" w:rsidR="004C2F2F" w:rsidRPr="00A00990" w:rsidRDefault="004C2F2F" w:rsidP="004C2F2F">
      <w:pPr>
        <w:tabs>
          <w:tab w:val="center" w:pos="4522"/>
        </w:tabs>
        <w:spacing w:after="0" w:line="360" w:lineRule="auto"/>
        <w:contextualSpacing/>
        <w:rPr>
          <w:rFonts w:eastAsia="Calibri" w:cs="Times New Roman"/>
          <w:color w:val="auto"/>
        </w:rPr>
      </w:pPr>
      <w:r w:rsidRPr="00A00990">
        <w:rPr>
          <w:rFonts w:eastAsia="Calibri" w:cs="Times New Roman"/>
          <w:color w:val="auto"/>
        </w:rPr>
        <w:t>Finalmente, no pasa desapercibido para este Instituto que los documentos que den cuenta de lo solicitado, pudieran contener datos o información clasificada</w:t>
      </w:r>
      <w:r w:rsidR="0013399A" w:rsidRPr="00A00990">
        <w:rPr>
          <w:rFonts w:eastAsia="Calibri" w:cs="Times New Roman"/>
          <w:color w:val="auto"/>
        </w:rPr>
        <w:t>, tal como pudiera ser los datos bancarios de proveedores y contratistas</w:t>
      </w:r>
      <w:r w:rsidRPr="00A00990">
        <w:rPr>
          <w:rFonts w:eastAsia="Calibri" w:cs="Times New Roman"/>
          <w:color w:val="auto"/>
        </w:rPr>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E406F5C" w14:textId="77777777" w:rsidR="004C2F2F" w:rsidRPr="00A00990" w:rsidRDefault="004C2F2F" w:rsidP="004C2F2F">
      <w:pPr>
        <w:tabs>
          <w:tab w:val="center" w:pos="4522"/>
        </w:tabs>
        <w:spacing w:after="0" w:line="360" w:lineRule="auto"/>
        <w:contextualSpacing/>
        <w:rPr>
          <w:rFonts w:eastAsia="Calibri" w:cs="Times New Roman"/>
          <w:color w:val="auto"/>
        </w:rPr>
      </w:pPr>
    </w:p>
    <w:p w14:paraId="743B777B" w14:textId="22BF789E" w:rsidR="00945690" w:rsidRPr="00A00990" w:rsidRDefault="004C2F2F" w:rsidP="004C2F2F">
      <w:pPr>
        <w:tabs>
          <w:tab w:val="center" w:pos="4522"/>
        </w:tabs>
        <w:spacing w:after="0" w:line="360" w:lineRule="auto"/>
        <w:contextualSpacing/>
        <w:rPr>
          <w:rFonts w:eastAsia="Calibri" w:cs="Times New Roman"/>
          <w:color w:val="auto"/>
        </w:rPr>
      </w:pPr>
      <w:r w:rsidRPr="00A00990">
        <w:rPr>
          <w:rFonts w:eastAsia="Calibri" w:cs="Times New Roman"/>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D2D3189" w14:textId="77777777" w:rsidR="004C2F2F" w:rsidRPr="00A00990" w:rsidRDefault="004C2F2F" w:rsidP="004C2F2F">
      <w:pPr>
        <w:tabs>
          <w:tab w:val="center" w:pos="4522"/>
        </w:tabs>
        <w:spacing w:after="0" w:line="360" w:lineRule="auto"/>
        <w:contextualSpacing/>
        <w:rPr>
          <w:rFonts w:eastAsia="Calibri" w:cs="Times New Roman"/>
          <w:color w:val="auto"/>
        </w:rPr>
      </w:pPr>
    </w:p>
    <w:p w14:paraId="0CCF70E8" w14:textId="77777777" w:rsidR="00D1318A" w:rsidRPr="00A00990" w:rsidRDefault="00D1318A" w:rsidP="001162C4">
      <w:pPr>
        <w:pStyle w:val="Ttulo2"/>
        <w:spacing w:before="0" w:after="0" w:line="360" w:lineRule="auto"/>
        <w:rPr>
          <w:color w:val="auto"/>
          <w:sz w:val="22"/>
          <w:szCs w:val="22"/>
        </w:rPr>
      </w:pPr>
      <w:bookmarkStart w:id="14" w:name="_Toc220599789"/>
      <w:r w:rsidRPr="00A00990">
        <w:rPr>
          <w:color w:val="auto"/>
          <w:sz w:val="22"/>
          <w:szCs w:val="22"/>
        </w:rPr>
        <w:t>SEXTO. Decisión</w:t>
      </w:r>
      <w:bookmarkEnd w:id="14"/>
    </w:p>
    <w:p w14:paraId="0D2B29DC" w14:textId="77777777" w:rsidR="00D1318A" w:rsidRPr="00A00990" w:rsidRDefault="00D1318A" w:rsidP="001162C4">
      <w:pPr>
        <w:spacing w:after="0" w:line="360" w:lineRule="auto"/>
        <w:contextualSpacing/>
        <w:rPr>
          <w:rFonts w:eastAsia="Calibri" w:cs="Tahoma"/>
          <w:b/>
          <w:color w:val="auto"/>
        </w:rPr>
      </w:pPr>
    </w:p>
    <w:p w14:paraId="4BF18B87" w14:textId="22C2972E" w:rsidR="00D1318A" w:rsidRPr="00A00990" w:rsidRDefault="00D1318A" w:rsidP="001162C4">
      <w:pPr>
        <w:spacing w:after="0" w:line="360" w:lineRule="auto"/>
        <w:rPr>
          <w:color w:val="auto"/>
        </w:rPr>
      </w:pPr>
      <w:r w:rsidRPr="00A00990">
        <w:rPr>
          <w:color w:val="auto"/>
        </w:rPr>
        <w:t xml:space="preserve">De acuerdo con lo expuesto y, con fundamento en el artículo 186, fracción III, de la Ley de Transparencia y Acceso a la Información Pública del Estado de México y Municipios, este Instituto considera procedente </w:t>
      </w:r>
      <w:r w:rsidR="00BF460D" w:rsidRPr="00A00990">
        <w:rPr>
          <w:b/>
          <w:color w:val="auto"/>
        </w:rPr>
        <w:t>REVOCAR</w:t>
      </w:r>
      <w:r w:rsidRPr="00A00990">
        <w:rPr>
          <w:b/>
          <w:color w:val="auto"/>
        </w:rPr>
        <w:t xml:space="preserve"> </w:t>
      </w:r>
      <w:r w:rsidRPr="00A00990">
        <w:rPr>
          <w:color w:val="auto"/>
        </w:rPr>
        <w:t>la resp</w:t>
      </w:r>
      <w:r w:rsidR="00655068" w:rsidRPr="00A00990">
        <w:rPr>
          <w:color w:val="auto"/>
        </w:rPr>
        <w:t>uesta del</w:t>
      </w:r>
      <w:r w:rsidR="00F66940" w:rsidRPr="00A00990">
        <w:rPr>
          <w:color w:val="auto"/>
        </w:rPr>
        <w:t xml:space="preserve"> Ayu</w:t>
      </w:r>
      <w:r w:rsidR="0060286E" w:rsidRPr="00A00990">
        <w:rPr>
          <w:color w:val="auto"/>
        </w:rPr>
        <w:t xml:space="preserve">ntamiento de </w:t>
      </w:r>
      <w:r w:rsidR="00795C86" w:rsidRPr="00A00990">
        <w:rPr>
          <w:color w:val="auto"/>
        </w:rPr>
        <w:t>Toluca</w:t>
      </w:r>
      <w:r w:rsidRPr="00A00990">
        <w:rPr>
          <w:b/>
          <w:color w:val="auto"/>
        </w:rPr>
        <w:t xml:space="preserve">, </w:t>
      </w:r>
      <w:r w:rsidRPr="00A00990">
        <w:rPr>
          <w:color w:val="auto"/>
        </w:rPr>
        <w:t xml:space="preserve">a efecto de que </w:t>
      </w:r>
      <w:r w:rsidR="004076BD" w:rsidRPr="00A00990">
        <w:rPr>
          <w:color w:val="auto"/>
        </w:rPr>
        <w:t>entregue</w:t>
      </w:r>
      <w:r w:rsidR="00287797" w:rsidRPr="00A00990">
        <w:rPr>
          <w:color w:val="auto"/>
        </w:rPr>
        <w:t xml:space="preserve"> la información solicitada</w:t>
      </w:r>
      <w:r w:rsidR="001C6B7A" w:rsidRPr="00A00990">
        <w:rPr>
          <w:color w:val="auto"/>
        </w:rPr>
        <w:t>.</w:t>
      </w:r>
    </w:p>
    <w:p w14:paraId="2D21EE22" w14:textId="77777777" w:rsidR="002C080E" w:rsidRPr="00A00990" w:rsidRDefault="002C080E" w:rsidP="001162C4">
      <w:pPr>
        <w:spacing w:after="0" w:line="360" w:lineRule="auto"/>
        <w:rPr>
          <w:color w:val="FF0000"/>
        </w:rPr>
      </w:pPr>
    </w:p>
    <w:p w14:paraId="0C829323" w14:textId="77777777" w:rsidR="00D1318A" w:rsidRPr="00A00990" w:rsidRDefault="00D1318A" w:rsidP="001162C4">
      <w:pPr>
        <w:spacing w:after="0" w:line="360" w:lineRule="auto"/>
        <w:contextualSpacing/>
        <w:rPr>
          <w:rFonts w:eastAsia="Calibri" w:cs="Tahoma"/>
          <w:b/>
          <w:bCs/>
          <w:color w:val="auto"/>
        </w:rPr>
      </w:pPr>
      <w:r w:rsidRPr="00A00990">
        <w:rPr>
          <w:rFonts w:eastAsia="Calibri" w:cs="Tahoma"/>
          <w:b/>
          <w:bCs/>
          <w:color w:val="auto"/>
        </w:rPr>
        <w:t>Términos de la Resolución para conocimiento del Particular</w:t>
      </w:r>
    </w:p>
    <w:p w14:paraId="1E2E8060" w14:textId="77777777" w:rsidR="00795C86" w:rsidRPr="00A00990" w:rsidRDefault="00795C86" w:rsidP="001162C4">
      <w:pPr>
        <w:spacing w:after="0" w:line="360" w:lineRule="auto"/>
        <w:contextualSpacing/>
        <w:rPr>
          <w:rFonts w:eastAsia="Calibri" w:cs="Tahoma"/>
          <w:b/>
          <w:bCs/>
          <w:color w:val="auto"/>
        </w:rPr>
      </w:pPr>
    </w:p>
    <w:p w14:paraId="1DFEE1B2" w14:textId="77777777" w:rsidR="00002184" w:rsidRPr="00A00990" w:rsidRDefault="00D1318A" w:rsidP="001162C4">
      <w:pPr>
        <w:spacing w:after="0" w:line="360" w:lineRule="auto"/>
        <w:rPr>
          <w:color w:val="auto"/>
        </w:rPr>
      </w:pPr>
      <w:r w:rsidRPr="00A00990">
        <w:rPr>
          <w:color w:val="auto"/>
        </w:rPr>
        <w:t xml:space="preserve">Se le hace del conocimiento a la persona Recurrente que, en el presente asunto, se le da la razón, pues </w:t>
      </w:r>
      <w:r w:rsidR="00715343" w:rsidRPr="00A00990">
        <w:rPr>
          <w:color w:val="auto"/>
        </w:rPr>
        <w:t xml:space="preserve">si bien </w:t>
      </w:r>
      <w:r w:rsidR="004076BD" w:rsidRPr="00A00990">
        <w:rPr>
          <w:color w:val="auto"/>
        </w:rPr>
        <w:t>el Sujeto Obligado</w:t>
      </w:r>
      <w:r w:rsidR="00BF460D" w:rsidRPr="00A00990">
        <w:rPr>
          <w:color w:val="auto"/>
        </w:rPr>
        <w:t xml:space="preserve"> dio respuesta</w:t>
      </w:r>
      <w:r w:rsidR="00D44453" w:rsidRPr="00A00990">
        <w:rPr>
          <w:color w:val="auto"/>
        </w:rPr>
        <w:t xml:space="preserve">, </w:t>
      </w:r>
      <w:r w:rsidR="001F67D8" w:rsidRPr="00A00990">
        <w:rPr>
          <w:color w:val="auto"/>
        </w:rPr>
        <w:t>entregó una liga electrónica en formato cerrado en la cual no se puede acceder</w:t>
      </w:r>
      <w:r w:rsidR="00AE7A85" w:rsidRPr="00A00990">
        <w:rPr>
          <w:color w:val="auto"/>
        </w:rPr>
        <w:t xml:space="preserve">, </w:t>
      </w:r>
      <w:r w:rsidR="00795C86" w:rsidRPr="00A00990">
        <w:rPr>
          <w:color w:val="auto"/>
        </w:rPr>
        <w:t>además, no</w:t>
      </w:r>
      <w:r w:rsidR="001F67D8" w:rsidRPr="00A00990">
        <w:rPr>
          <w:color w:val="auto"/>
        </w:rPr>
        <w:t xml:space="preserve"> contiene lo solicitado</w:t>
      </w:r>
      <w:r w:rsidR="00795C86" w:rsidRPr="00A00990">
        <w:rPr>
          <w:color w:val="auto"/>
        </w:rPr>
        <w:t xml:space="preserve">, </w:t>
      </w:r>
      <w:r w:rsidR="00AE7A85" w:rsidRPr="00A00990">
        <w:rPr>
          <w:color w:val="auto"/>
        </w:rPr>
        <w:t xml:space="preserve">por lo que, </w:t>
      </w:r>
      <w:r w:rsidRPr="00A00990">
        <w:rPr>
          <w:color w:val="auto"/>
        </w:rPr>
        <w:t>deberá entre</w:t>
      </w:r>
      <w:r w:rsidR="00655068" w:rsidRPr="00A00990">
        <w:rPr>
          <w:color w:val="auto"/>
        </w:rPr>
        <w:t>ga</w:t>
      </w:r>
      <w:r w:rsidR="00AE7A85" w:rsidRPr="00A00990">
        <w:rPr>
          <w:color w:val="auto"/>
        </w:rPr>
        <w:t>r</w:t>
      </w:r>
      <w:r w:rsidR="00287797" w:rsidRPr="00A00990">
        <w:rPr>
          <w:color w:val="auto"/>
        </w:rPr>
        <w:t xml:space="preserve"> la información</w:t>
      </w:r>
      <w:r w:rsidR="00795C86" w:rsidRPr="00A00990">
        <w:rPr>
          <w:color w:val="auto"/>
        </w:rPr>
        <w:t xml:space="preserve"> solicitada</w:t>
      </w:r>
      <w:r w:rsidR="00002184" w:rsidRPr="00A00990">
        <w:rPr>
          <w:color w:val="auto"/>
        </w:rPr>
        <w:t>.</w:t>
      </w:r>
    </w:p>
    <w:p w14:paraId="6CE97110" w14:textId="77777777" w:rsidR="00002184" w:rsidRPr="00A00990" w:rsidRDefault="00002184" w:rsidP="001162C4">
      <w:pPr>
        <w:spacing w:after="0" w:line="360" w:lineRule="auto"/>
        <w:rPr>
          <w:color w:val="auto"/>
        </w:rPr>
      </w:pPr>
    </w:p>
    <w:p w14:paraId="3B668E85" w14:textId="52B00909" w:rsidR="00D1318A" w:rsidRPr="00A00990" w:rsidRDefault="00002184" w:rsidP="001162C4">
      <w:pPr>
        <w:spacing w:after="0" w:line="360" w:lineRule="auto"/>
        <w:rPr>
          <w:color w:val="auto"/>
        </w:rPr>
      </w:pPr>
      <w:r w:rsidRPr="00A00990">
        <w:rPr>
          <w:color w:val="auto"/>
        </w:rPr>
        <w:t>L</w:t>
      </w:r>
      <w:r w:rsidR="00D1318A" w:rsidRPr="00A00990">
        <w:rPr>
          <w:color w:val="auto"/>
        </w:rPr>
        <w:t>a labor del Instituto es apoyar a la población a acceder a la información pública y garantizar la protección de sus datos personales.</w:t>
      </w:r>
    </w:p>
    <w:p w14:paraId="51AD938A" w14:textId="77777777" w:rsidR="00E50794" w:rsidRPr="00A00990" w:rsidRDefault="00E50794" w:rsidP="001162C4">
      <w:pPr>
        <w:spacing w:after="0" w:line="360" w:lineRule="auto"/>
        <w:rPr>
          <w:color w:val="auto"/>
        </w:rPr>
      </w:pPr>
    </w:p>
    <w:p w14:paraId="1C805ED0" w14:textId="77777777" w:rsidR="00D1318A" w:rsidRPr="00A00990" w:rsidRDefault="00D1318A" w:rsidP="001162C4">
      <w:pPr>
        <w:spacing w:after="0" w:line="360" w:lineRule="auto"/>
        <w:contextualSpacing/>
        <w:rPr>
          <w:rFonts w:eastAsia="Calibri"/>
          <w:color w:val="auto"/>
        </w:rPr>
      </w:pPr>
      <w:r w:rsidRPr="00A00990">
        <w:rPr>
          <w:rFonts w:eastAsia="Calibri"/>
          <w:color w:val="auto"/>
        </w:rPr>
        <w:t>Por lo expuesto y fundado, este Pleno:</w:t>
      </w:r>
    </w:p>
    <w:p w14:paraId="4969F2B6" w14:textId="77777777" w:rsidR="00D1318A" w:rsidRPr="00A00990" w:rsidRDefault="00D1318A" w:rsidP="001162C4">
      <w:pPr>
        <w:pStyle w:val="Ttulo1"/>
        <w:spacing w:before="0" w:after="0" w:line="360" w:lineRule="auto"/>
        <w:jc w:val="center"/>
        <w:rPr>
          <w:color w:val="auto"/>
          <w:sz w:val="22"/>
          <w:szCs w:val="22"/>
        </w:rPr>
      </w:pPr>
      <w:bookmarkStart w:id="15" w:name="_Toc220599790"/>
      <w:r w:rsidRPr="00A00990">
        <w:rPr>
          <w:color w:val="auto"/>
          <w:sz w:val="22"/>
          <w:szCs w:val="22"/>
        </w:rPr>
        <w:t>R E S U E L V E</w:t>
      </w:r>
      <w:bookmarkEnd w:id="15"/>
    </w:p>
    <w:p w14:paraId="00911B7E" w14:textId="77777777" w:rsidR="00D1318A" w:rsidRPr="00A00990" w:rsidRDefault="00D1318A" w:rsidP="001162C4">
      <w:pPr>
        <w:spacing w:after="0" w:line="360" w:lineRule="auto"/>
        <w:contextualSpacing/>
        <w:rPr>
          <w:rFonts w:eastAsia="Calibri"/>
          <w:b/>
          <w:bCs/>
          <w:color w:val="auto"/>
        </w:rPr>
      </w:pPr>
    </w:p>
    <w:p w14:paraId="59D86F6A" w14:textId="26ECF29B" w:rsidR="00D1318A" w:rsidRPr="00A00990" w:rsidRDefault="00D1318A" w:rsidP="001162C4">
      <w:pPr>
        <w:spacing w:after="0" w:line="360" w:lineRule="auto"/>
        <w:contextualSpacing/>
        <w:rPr>
          <w:color w:val="FF0000"/>
        </w:rPr>
      </w:pPr>
      <w:r w:rsidRPr="00A00990">
        <w:rPr>
          <w:rFonts w:cs="Tahoma"/>
          <w:b/>
          <w:bCs/>
          <w:color w:val="auto"/>
        </w:rPr>
        <w:t xml:space="preserve">PRIMERO. </w:t>
      </w:r>
      <w:r w:rsidRPr="00A00990">
        <w:rPr>
          <w:rFonts w:cs="Tahoma"/>
          <w:bCs/>
          <w:color w:val="auto"/>
        </w:rPr>
        <w:t xml:space="preserve">Se </w:t>
      </w:r>
      <w:r w:rsidR="00BF460D" w:rsidRPr="00A00990">
        <w:rPr>
          <w:rFonts w:cs="Tahoma"/>
          <w:b/>
          <w:bCs/>
          <w:color w:val="auto"/>
        </w:rPr>
        <w:t>REVOCA</w:t>
      </w:r>
      <w:r w:rsidRPr="00A00990">
        <w:rPr>
          <w:rFonts w:cs="Tahoma"/>
          <w:b/>
          <w:bCs/>
          <w:color w:val="auto"/>
        </w:rPr>
        <w:t xml:space="preserve"> </w:t>
      </w:r>
      <w:r w:rsidRPr="00A00990">
        <w:rPr>
          <w:rFonts w:cs="Tahoma"/>
          <w:bCs/>
          <w:color w:val="auto"/>
        </w:rPr>
        <w:t>la respuesta entrega</w:t>
      </w:r>
      <w:r w:rsidR="00655068" w:rsidRPr="00A00990">
        <w:rPr>
          <w:rFonts w:cs="Tahoma"/>
          <w:bCs/>
          <w:color w:val="auto"/>
        </w:rPr>
        <w:t>da por el</w:t>
      </w:r>
      <w:r w:rsidR="004076BD" w:rsidRPr="00A00990">
        <w:rPr>
          <w:rFonts w:cs="Tahoma"/>
          <w:bCs/>
          <w:color w:val="auto"/>
        </w:rPr>
        <w:t xml:space="preserve"> Ayuntamiento de </w:t>
      </w:r>
      <w:r w:rsidR="00795C86" w:rsidRPr="00A00990">
        <w:rPr>
          <w:rFonts w:cs="Tahoma"/>
          <w:bCs/>
          <w:color w:val="auto"/>
        </w:rPr>
        <w:t>Toluca</w:t>
      </w:r>
      <w:r w:rsidRPr="00A00990">
        <w:rPr>
          <w:rFonts w:cs="Tahoma"/>
          <w:bCs/>
          <w:color w:val="auto"/>
        </w:rPr>
        <w:t xml:space="preserve">, a la solicitud de </w:t>
      </w:r>
      <w:r w:rsidRPr="00A00990">
        <w:rPr>
          <w:color w:val="auto"/>
        </w:rPr>
        <w:t>información</w:t>
      </w:r>
      <w:r w:rsidR="00655068" w:rsidRPr="00A00990">
        <w:rPr>
          <w:color w:val="auto"/>
        </w:rPr>
        <w:t xml:space="preserve"> </w:t>
      </w:r>
      <w:r w:rsidR="00FD4713" w:rsidRPr="00A00990">
        <w:rPr>
          <w:color w:val="auto"/>
        </w:rPr>
        <w:t>03711/TOLUCA/IP/2025</w:t>
      </w:r>
      <w:r w:rsidRPr="00A00990">
        <w:rPr>
          <w:bCs/>
          <w:color w:val="auto"/>
        </w:rPr>
        <w:t xml:space="preserve">, por resultar </w:t>
      </w:r>
      <w:r w:rsidRPr="00A00990">
        <w:rPr>
          <w:b/>
          <w:bCs/>
          <w:color w:val="auto"/>
        </w:rPr>
        <w:t>FUNDADAS</w:t>
      </w:r>
      <w:r w:rsidRPr="00A00990">
        <w:rPr>
          <w:rFonts w:cs="Tahoma"/>
          <w:b/>
          <w:bCs/>
          <w:color w:val="auto"/>
        </w:rPr>
        <w:t xml:space="preserve"> </w:t>
      </w:r>
      <w:r w:rsidRPr="00A00990">
        <w:rPr>
          <w:rFonts w:eastAsia="Calibri" w:cs="Tahoma"/>
          <w:bCs/>
          <w:color w:val="auto"/>
        </w:rPr>
        <w:t>las razones o motivos de inconformidad hechos valer por el Recurrente</w:t>
      </w:r>
      <w:r w:rsidRPr="00A00990">
        <w:rPr>
          <w:rFonts w:cs="Tahoma"/>
          <w:bCs/>
          <w:color w:val="auto"/>
        </w:rPr>
        <w:t xml:space="preserve">, </w:t>
      </w:r>
      <w:r w:rsidRPr="00A00990">
        <w:rPr>
          <w:rFonts w:eastAsia="Calibri" w:cs="Tahoma"/>
          <w:bCs/>
          <w:color w:val="auto"/>
        </w:rPr>
        <w:t>en términos de los considerandos QUINTO y SEXTO de la presente Resolución.</w:t>
      </w:r>
    </w:p>
    <w:p w14:paraId="5F3709A7" w14:textId="77777777" w:rsidR="00D1318A" w:rsidRPr="00A00990" w:rsidRDefault="00D1318A" w:rsidP="001162C4">
      <w:pPr>
        <w:spacing w:after="0" w:line="360" w:lineRule="auto"/>
        <w:contextualSpacing/>
        <w:rPr>
          <w:rFonts w:eastAsia="Times New Roman" w:cs="Tahoma"/>
          <w:bCs/>
          <w:color w:val="FF0000"/>
          <w:lang w:eastAsia="es-ES"/>
        </w:rPr>
      </w:pPr>
    </w:p>
    <w:p w14:paraId="0248B568" w14:textId="6B23DAA1" w:rsidR="00704B45" w:rsidRPr="00A00990" w:rsidRDefault="00D1318A" w:rsidP="007D131F">
      <w:pPr>
        <w:spacing w:after="0" w:line="360" w:lineRule="auto"/>
        <w:rPr>
          <w:rFonts w:cs="Tahoma"/>
          <w:color w:val="auto"/>
        </w:rPr>
      </w:pPr>
      <w:r w:rsidRPr="00A00990">
        <w:rPr>
          <w:rFonts w:cs="Tahoma"/>
          <w:b/>
          <w:bCs/>
          <w:color w:val="auto"/>
        </w:rPr>
        <w:t xml:space="preserve">SEGUNDO. </w:t>
      </w:r>
      <w:r w:rsidRPr="00A00990">
        <w:rPr>
          <w:color w:val="auto"/>
        </w:rPr>
        <w:t xml:space="preserve">Se </w:t>
      </w:r>
      <w:r w:rsidRPr="00A00990">
        <w:rPr>
          <w:b/>
          <w:color w:val="auto"/>
        </w:rPr>
        <w:t>ORDENA</w:t>
      </w:r>
      <w:r w:rsidRPr="00A00990">
        <w:rPr>
          <w:color w:val="auto"/>
        </w:rPr>
        <w:t xml:space="preserve"> al Ente Recurrido</w:t>
      </w:r>
      <w:r w:rsidRPr="00A00990">
        <w:rPr>
          <w:b/>
          <w:color w:val="auto"/>
        </w:rPr>
        <w:t xml:space="preserve">, </w:t>
      </w:r>
      <w:r w:rsidR="004068E7" w:rsidRPr="00A00990">
        <w:rPr>
          <w:color w:val="auto"/>
        </w:rPr>
        <w:t>a efecto de que</w:t>
      </w:r>
      <w:r w:rsidR="00287797" w:rsidRPr="00A00990">
        <w:rPr>
          <w:color w:val="auto"/>
        </w:rPr>
        <w:t xml:space="preserve"> previa búsqueda exhaustiva</w:t>
      </w:r>
      <w:r w:rsidR="004068E7" w:rsidRPr="00A00990">
        <w:rPr>
          <w:color w:val="auto"/>
        </w:rPr>
        <w:t xml:space="preserve"> </w:t>
      </w:r>
      <w:r w:rsidRPr="00A00990">
        <w:rPr>
          <w:color w:val="auto"/>
        </w:rPr>
        <w:t>entregue</w:t>
      </w:r>
      <w:r w:rsidR="001C6B7A" w:rsidRPr="00A00990">
        <w:rPr>
          <w:color w:val="auto"/>
        </w:rPr>
        <w:t xml:space="preserve">, </w:t>
      </w:r>
      <w:r w:rsidRPr="00A00990">
        <w:rPr>
          <w:color w:val="auto"/>
        </w:rPr>
        <w:t>a través del Sistema de Acceso a la I</w:t>
      </w:r>
      <w:r w:rsidR="00715343" w:rsidRPr="00A00990">
        <w:rPr>
          <w:color w:val="auto"/>
        </w:rPr>
        <w:t>nformación Mexiquense (SAIMEX)</w:t>
      </w:r>
      <w:r w:rsidR="004068E7" w:rsidRPr="00A00990">
        <w:rPr>
          <w:color w:val="auto"/>
        </w:rPr>
        <w:t xml:space="preserve">, </w:t>
      </w:r>
      <w:r w:rsidR="00282C2E" w:rsidRPr="00A00990">
        <w:rPr>
          <w:color w:val="auto"/>
        </w:rPr>
        <w:t xml:space="preserve">en </w:t>
      </w:r>
      <w:r w:rsidR="00795C86" w:rsidRPr="00A00990">
        <w:rPr>
          <w:color w:val="auto"/>
        </w:rPr>
        <w:t xml:space="preserve">su caso, en </w:t>
      </w:r>
      <w:r w:rsidR="00B17B55" w:rsidRPr="00A00990">
        <w:rPr>
          <w:color w:val="auto"/>
        </w:rPr>
        <w:t>versión</w:t>
      </w:r>
      <w:r w:rsidR="0015197F" w:rsidRPr="00A00990">
        <w:rPr>
          <w:color w:val="auto"/>
        </w:rPr>
        <w:t xml:space="preserve"> pública</w:t>
      </w:r>
      <w:r w:rsidR="00B17B55" w:rsidRPr="00A00990">
        <w:rPr>
          <w:color w:val="auto"/>
        </w:rPr>
        <w:t xml:space="preserve">, </w:t>
      </w:r>
      <w:r w:rsidR="007D131F" w:rsidRPr="00A00990">
        <w:rPr>
          <w:rFonts w:cs="Tahoma"/>
          <w:color w:val="auto"/>
        </w:rPr>
        <w:t>lo siguiente:</w:t>
      </w:r>
    </w:p>
    <w:p w14:paraId="37DAFDB5" w14:textId="77777777" w:rsidR="00FD4713" w:rsidRPr="00A00990" w:rsidRDefault="00FD4713" w:rsidP="00FD4713">
      <w:pPr>
        <w:rPr>
          <w:rFonts w:cs="Tahoma"/>
          <w:color w:val="FF0000"/>
        </w:rPr>
      </w:pPr>
    </w:p>
    <w:p w14:paraId="67F580FD" w14:textId="55FC541F" w:rsidR="00FD4713" w:rsidRPr="00A00990" w:rsidRDefault="00FD4713" w:rsidP="00FD4713">
      <w:pPr>
        <w:pStyle w:val="Prrafodelista"/>
        <w:numPr>
          <w:ilvl w:val="0"/>
          <w:numId w:val="23"/>
        </w:numPr>
        <w:spacing w:line="360" w:lineRule="auto"/>
        <w:rPr>
          <w:color w:val="auto"/>
        </w:rPr>
      </w:pPr>
      <w:r w:rsidRPr="00A00990">
        <w:rPr>
          <w:color w:val="auto"/>
        </w:rPr>
        <w:t xml:space="preserve">El padrón de proveedores </w:t>
      </w:r>
      <w:r w:rsidR="00D11694" w:rsidRPr="00A00990">
        <w:rPr>
          <w:color w:val="auto"/>
        </w:rPr>
        <w:t>y contratistas</w:t>
      </w:r>
      <w:r w:rsidRPr="00A00990">
        <w:rPr>
          <w:color w:val="auto"/>
        </w:rPr>
        <w:t xml:space="preserve"> del Ayuntamiento de Toluca, así como del Instituto Municipal de la Mujer</w:t>
      </w:r>
      <w:r w:rsidR="00D11694" w:rsidRPr="00A00990">
        <w:rPr>
          <w:color w:val="auto"/>
        </w:rPr>
        <w:t>,</w:t>
      </w:r>
      <w:r w:rsidRPr="00A00990">
        <w:rPr>
          <w:color w:val="auto"/>
        </w:rPr>
        <w:t xml:space="preserve"> con el que contara al veintisiete de junio de dos mil veinticinco.</w:t>
      </w:r>
    </w:p>
    <w:p w14:paraId="2F90A5AF" w14:textId="58670D26" w:rsidR="00795C86" w:rsidRPr="00A00990" w:rsidRDefault="00795C86" w:rsidP="004B234E">
      <w:pPr>
        <w:spacing w:after="0" w:line="360" w:lineRule="auto"/>
        <w:rPr>
          <w:color w:val="FF0000"/>
        </w:rPr>
      </w:pPr>
    </w:p>
    <w:p w14:paraId="520394F5" w14:textId="60DACC97" w:rsidR="00AC7443" w:rsidRPr="00A00990" w:rsidRDefault="0015197F" w:rsidP="004B234E">
      <w:pPr>
        <w:spacing w:after="0" w:line="360" w:lineRule="auto"/>
        <w:ind w:right="-28"/>
        <w:contextualSpacing/>
        <w:rPr>
          <w:rFonts w:cs="Tahoma"/>
          <w:bCs/>
          <w:iCs/>
          <w:color w:val="auto"/>
          <w:lang w:eastAsia="es-ES"/>
        </w:rPr>
      </w:pPr>
      <w:r w:rsidRPr="00A00990">
        <w:rPr>
          <w:color w:val="auto"/>
        </w:rPr>
        <w:t xml:space="preserve">Además, </w:t>
      </w:r>
      <w:r w:rsidR="007D131F" w:rsidRPr="00A00990">
        <w:rPr>
          <w:color w:val="auto"/>
        </w:rPr>
        <w:t xml:space="preserve">en su caso, </w:t>
      </w:r>
      <w:r w:rsidRPr="00A00990">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5B5340" w14:textId="77777777" w:rsidR="0015197F" w:rsidRPr="00A00990" w:rsidRDefault="0015197F" w:rsidP="004B234E">
      <w:pPr>
        <w:spacing w:after="0" w:line="360" w:lineRule="auto"/>
        <w:ind w:right="-28"/>
        <w:contextualSpacing/>
        <w:rPr>
          <w:color w:val="FF0000"/>
        </w:rPr>
      </w:pPr>
    </w:p>
    <w:p w14:paraId="2AE4964B" w14:textId="77777777" w:rsidR="002C080E" w:rsidRPr="00A00990" w:rsidRDefault="00D1318A" w:rsidP="001162C4">
      <w:pPr>
        <w:spacing w:after="0" w:line="360" w:lineRule="auto"/>
        <w:ind w:right="-28"/>
        <w:contextualSpacing/>
        <w:rPr>
          <w:rFonts w:cs="Tahoma"/>
          <w:bCs/>
          <w:iCs/>
          <w:color w:val="auto"/>
        </w:rPr>
      </w:pPr>
      <w:r w:rsidRPr="00A00990">
        <w:rPr>
          <w:rFonts w:eastAsia="Calibri" w:cs="Tahoma"/>
          <w:b/>
          <w:bCs/>
          <w:color w:val="auto"/>
        </w:rPr>
        <w:t xml:space="preserve">TERCERO. </w:t>
      </w:r>
      <w:r w:rsidRPr="00A00990">
        <w:rPr>
          <w:rFonts w:cs="Tahoma"/>
          <w:b/>
          <w:bCs/>
          <w:iCs/>
          <w:color w:val="auto"/>
        </w:rPr>
        <w:t xml:space="preserve">NOTIFÍQUESE POR SAIMEX </w:t>
      </w:r>
      <w:r w:rsidRPr="00A00990">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A00990">
        <w:rPr>
          <w:rFonts w:cs="Tahoma"/>
          <w:bCs/>
          <w:iCs/>
          <w:color w:val="auto"/>
        </w:rPr>
        <w:t xml:space="preserve">Ley </w:t>
      </w:r>
      <w:r w:rsidR="00C968FF" w:rsidRPr="00A00990">
        <w:rPr>
          <w:rFonts w:cs="Tahoma"/>
          <w:bCs/>
          <w:iCs/>
          <w:color w:val="auto"/>
        </w:rPr>
        <w:t xml:space="preserve">referida. </w:t>
      </w:r>
    </w:p>
    <w:p w14:paraId="5BFFF1E0" w14:textId="77777777" w:rsidR="002C080E" w:rsidRPr="00A00990" w:rsidRDefault="002C080E" w:rsidP="001162C4">
      <w:pPr>
        <w:spacing w:after="0" w:line="360" w:lineRule="auto"/>
        <w:ind w:right="-28"/>
        <w:contextualSpacing/>
        <w:rPr>
          <w:rFonts w:cs="Tahoma"/>
          <w:bCs/>
          <w:iCs/>
          <w:color w:val="auto"/>
        </w:rPr>
      </w:pPr>
    </w:p>
    <w:p w14:paraId="3EAE0142" w14:textId="1E66776A" w:rsidR="00D1318A" w:rsidRPr="00A00990" w:rsidRDefault="00D1318A" w:rsidP="001162C4">
      <w:pPr>
        <w:spacing w:after="0" w:line="360" w:lineRule="auto"/>
        <w:ind w:right="-28"/>
        <w:contextualSpacing/>
        <w:rPr>
          <w:rFonts w:cs="Tahoma"/>
          <w:bCs/>
          <w:iCs/>
          <w:color w:val="auto"/>
        </w:rPr>
      </w:pPr>
      <w:r w:rsidRPr="00A00990">
        <w:rPr>
          <w:rFonts w:eastAsia="Calibri" w:cs="Tahoma"/>
          <w:iCs/>
          <w:color w:val="auto"/>
        </w:rPr>
        <w:t xml:space="preserve">De conformidad con el artículo 198 de la </w:t>
      </w:r>
      <w:r w:rsidR="00C968FF" w:rsidRPr="00A00990">
        <w:rPr>
          <w:rFonts w:cs="Tahoma"/>
          <w:bCs/>
          <w:iCs/>
          <w:color w:val="auto"/>
        </w:rPr>
        <w:t>Ley de la materia</w:t>
      </w:r>
      <w:r w:rsidRPr="00A00990">
        <w:rPr>
          <w:rFonts w:eastAsia="Calibri" w:cs="Tahoma"/>
          <w:iCs/>
          <w:color w:val="auto"/>
        </w:rPr>
        <w:t>, de considerarlo procedente, el Sujeto Obligado de manera fundada y motivada, podrá solicitar una ampliación de plazo para el cumplimiento de la presente resolución.</w:t>
      </w:r>
    </w:p>
    <w:p w14:paraId="34731E30" w14:textId="77777777" w:rsidR="00D1318A" w:rsidRPr="00A00990" w:rsidRDefault="00D1318A" w:rsidP="001162C4">
      <w:pPr>
        <w:spacing w:after="0" w:line="360" w:lineRule="auto"/>
        <w:contextualSpacing/>
        <w:rPr>
          <w:rFonts w:eastAsia="Calibri" w:cs="Tahoma"/>
          <w:color w:val="auto"/>
          <w:lang w:val="es-ES"/>
        </w:rPr>
      </w:pPr>
    </w:p>
    <w:p w14:paraId="3F59EFC7" w14:textId="77777777" w:rsidR="00D1318A" w:rsidRPr="00A00990" w:rsidRDefault="00D1318A" w:rsidP="001162C4">
      <w:pPr>
        <w:spacing w:after="0" w:line="360" w:lineRule="auto"/>
        <w:contextualSpacing/>
        <w:rPr>
          <w:rFonts w:cs="Tahoma"/>
          <w:color w:val="auto"/>
        </w:rPr>
      </w:pPr>
      <w:r w:rsidRPr="00A00990">
        <w:rPr>
          <w:rFonts w:eastAsia="Calibri" w:cs="Tahoma"/>
          <w:b/>
          <w:color w:val="auto"/>
        </w:rPr>
        <w:t>CUARTO</w:t>
      </w:r>
      <w:r w:rsidRPr="00A00990">
        <w:rPr>
          <w:rFonts w:eastAsia="Calibri" w:cs="Tahoma"/>
          <w:b/>
          <w:bCs/>
          <w:color w:val="auto"/>
        </w:rPr>
        <w:t xml:space="preserve">. </w:t>
      </w:r>
      <w:r w:rsidRPr="00A00990">
        <w:rPr>
          <w:rFonts w:cs="Tahoma"/>
          <w:b/>
          <w:color w:val="auto"/>
        </w:rPr>
        <w:t>NOTIFÍQUESE POR SAIMEX</w:t>
      </w:r>
      <w:r w:rsidRPr="00A00990">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00990" w:rsidRDefault="00D1318A" w:rsidP="001162C4">
      <w:pPr>
        <w:spacing w:after="0" w:line="360" w:lineRule="auto"/>
        <w:contextualSpacing/>
        <w:rPr>
          <w:rFonts w:cs="Arial"/>
          <w:b/>
          <w:bCs/>
          <w:color w:val="auto"/>
        </w:rPr>
      </w:pPr>
    </w:p>
    <w:p w14:paraId="440D22CF" w14:textId="30BEC879" w:rsidR="00D1318A" w:rsidRPr="00FD4713" w:rsidRDefault="00D1318A" w:rsidP="001162C4">
      <w:pPr>
        <w:spacing w:after="0" w:line="360" w:lineRule="auto"/>
        <w:contextualSpacing/>
        <w:rPr>
          <w:rFonts w:cs="Tahoma"/>
          <w:b/>
          <w:bCs/>
          <w:color w:val="auto"/>
        </w:rPr>
      </w:pPr>
      <w:r w:rsidRPr="00A00990">
        <w:rPr>
          <w:rFonts w:eastAsia="Calibri" w:cs="Tahoma"/>
          <w:bCs/>
          <w:color w:val="auto"/>
        </w:rPr>
        <w:t>ASÍ LO RESUELVE, POR </w:t>
      </w:r>
      <w:r w:rsidRPr="00A00990">
        <w:rPr>
          <w:rFonts w:eastAsia="Calibri" w:cs="Tahoma"/>
          <w:b/>
          <w:bCs/>
          <w:color w:val="auto"/>
        </w:rPr>
        <w:t>UNANIMIDAD</w:t>
      </w:r>
      <w:r w:rsidRPr="00A00990">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A00990" w:rsidRPr="00A00990">
        <w:rPr>
          <w:rFonts w:eastAsia="Calibri" w:cs="Tahoma"/>
          <w:bCs/>
          <w:color w:val="auto"/>
        </w:rPr>
        <w:t xml:space="preserve"> (AUSENCIA JUSTIFICADA)</w:t>
      </w:r>
      <w:r w:rsidRPr="00A00990">
        <w:rPr>
          <w:rFonts w:eastAsia="Calibri" w:cs="Tahoma"/>
          <w:bCs/>
          <w:color w:val="auto"/>
        </w:rPr>
        <w:t>, SHARON CRISTINA MORALES MARTÍNEZ, LUIS GUSTAVO PARRA NORIEGA Y GUADALUPE RAMÍREZ PEÑA</w:t>
      </w:r>
      <w:r w:rsidR="00CF7AA5" w:rsidRPr="00A00990">
        <w:rPr>
          <w:rFonts w:eastAsia="Calibri" w:cs="Tahoma"/>
          <w:bCs/>
          <w:color w:val="auto"/>
        </w:rPr>
        <w:t xml:space="preserve">, EN LA </w:t>
      </w:r>
      <w:r w:rsidR="00FD4713" w:rsidRPr="00A00990">
        <w:rPr>
          <w:rFonts w:eastAsia="Calibri" w:cs="Tahoma"/>
          <w:bCs/>
          <w:color w:val="auto"/>
        </w:rPr>
        <w:t xml:space="preserve">TERCERA </w:t>
      </w:r>
      <w:r w:rsidRPr="00A00990">
        <w:rPr>
          <w:rFonts w:eastAsia="Calibri" w:cs="Tahoma"/>
          <w:bCs/>
          <w:color w:val="auto"/>
        </w:rPr>
        <w:t>SESIÓN ORDINA</w:t>
      </w:r>
      <w:r w:rsidR="00715343" w:rsidRPr="00A00990">
        <w:rPr>
          <w:rFonts w:eastAsia="Calibri" w:cs="Tahoma"/>
          <w:bCs/>
          <w:color w:val="auto"/>
        </w:rPr>
        <w:t>RIA, C</w:t>
      </w:r>
      <w:r w:rsidR="0052714E" w:rsidRPr="00A00990">
        <w:rPr>
          <w:rFonts w:eastAsia="Calibri" w:cs="Tahoma"/>
          <w:bCs/>
          <w:color w:val="auto"/>
        </w:rPr>
        <w:t>ELEBRADA EL</w:t>
      </w:r>
      <w:r w:rsidR="00B92D10" w:rsidRPr="00A00990">
        <w:rPr>
          <w:rFonts w:eastAsia="Calibri" w:cs="Tahoma"/>
          <w:bCs/>
          <w:color w:val="auto"/>
        </w:rPr>
        <w:t xml:space="preserve"> VEINTI</w:t>
      </w:r>
      <w:r w:rsidR="00FD4713" w:rsidRPr="00A00990">
        <w:rPr>
          <w:rFonts w:eastAsia="Calibri" w:cs="Tahoma"/>
          <w:bCs/>
          <w:color w:val="auto"/>
        </w:rPr>
        <w:t xml:space="preserve">OCHO </w:t>
      </w:r>
      <w:r w:rsidR="00B92D10" w:rsidRPr="00A00990">
        <w:rPr>
          <w:rFonts w:eastAsia="Calibri" w:cs="Tahoma"/>
          <w:bCs/>
          <w:color w:val="auto"/>
        </w:rPr>
        <w:t>DE ENERO DE DOS MIL VEINTISÉIS</w:t>
      </w:r>
      <w:r w:rsidRPr="00A00990">
        <w:rPr>
          <w:rFonts w:eastAsia="Calibri" w:cs="Tahoma"/>
          <w:bCs/>
          <w:color w:val="auto"/>
        </w:rPr>
        <w:t>, ANTE EL SECRETARIO TÉCNICO DEL PLENO, ALEXIS TAPIA RAMÍREZ.</w:t>
      </w:r>
    </w:p>
    <w:p w14:paraId="2BA380C7" w14:textId="77777777" w:rsidR="00D1318A" w:rsidRPr="00FD4713" w:rsidRDefault="00D1318A" w:rsidP="001162C4">
      <w:pPr>
        <w:spacing w:after="0" w:line="360" w:lineRule="auto"/>
        <w:ind w:right="-28"/>
        <w:rPr>
          <w:color w:val="auto"/>
        </w:rPr>
      </w:pPr>
    </w:p>
    <w:p w14:paraId="1FFCF4F3" w14:textId="77777777" w:rsidR="00B02499" w:rsidRPr="009A07D7" w:rsidRDefault="00B02499" w:rsidP="001162C4">
      <w:pPr>
        <w:spacing w:after="0" w:line="360" w:lineRule="auto"/>
        <w:rPr>
          <w:rFonts w:eastAsia="Calibri" w:cs="Times New Roman"/>
          <w:b/>
          <w:bCs/>
          <w:color w:val="FF0000"/>
        </w:rPr>
      </w:pPr>
    </w:p>
    <w:p w14:paraId="654C889D" w14:textId="77777777" w:rsidR="00B02499" w:rsidRPr="009A07D7" w:rsidRDefault="00B02499" w:rsidP="001162C4">
      <w:pPr>
        <w:spacing w:after="0" w:line="360" w:lineRule="auto"/>
        <w:rPr>
          <w:rFonts w:eastAsia="Calibri" w:cs="Times New Roman"/>
          <w:b/>
          <w:bCs/>
          <w:color w:val="FF0000"/>
        </w:rPr>
      </w:pPr>
    </w:p>
    <w:p w14:paraId="097C707A" w14:textId="77777777" w:rsidR="004A10B0" w:rsidRPr="009A07D7" w:rsidRDefault="004A10B0" w:rsidP="001162C4">
      <w:pPr>
        <w:spacing w:after="0" w:line="360" w:lineRule="auto"/>
        <w:contextualSpacing/>
        <w:rPr>
          <w:rFonts w:eastAsia="Calibri" w:cs="Times New Roman"/>
          <w:color w:val="FF0000"/>
        </w:rPr>
      </w:pPr>
    </w:p>
    <w:p w14:paraId="3677DBED" w14:textId="77777777" w:rsidR="004A10B0" w:rsidRPr="009A07D7" w:rsidRDefault="004A10B0" w:rsidP="001162C4">
      <w:pPr>
        <w:spacing w:after="0" w:line="360" w:lineRule="auto"/>
        <w:contextualSpacing/>
        <w:rPr>
          <w:color w:val="FF0000"/>
        </w:rPr>
      </w:pPr>
    </w:p>
    <w:p w14:paraId="74E8DB3F" w14:textId="77777777" w:rsidR="00C556AB" w:rsidRPr="009A07D7" w:rsidRDefault="00C556AB" w:rsidP="001162C4">
      <w:pPr>
        <w:spacing w:after="0" w:line="360" w:lineRule="auto"/>
        <w:rPr>
          <w:color w:val="FF0000"/>
        </w:rPr>
      </w:pPr>
    </w:p>
    <w:p w14:paraId="1A555613" w14:textId="77777777" w:rsidR="00023BBD" w:rsidRPr="009A07D7" w:rsidRDefault="00023BBD" w:rsidP="001162C4">
      <w:pPr>
        <w:spacing w:after="0" w:line="360" w:lineRule="auto"/>
        <w:rPr>
          <w:color w:val="FF0000"/>
        </w:rPr>
      </w:pPr>
    </w:p>
    <w:p w14:paraId="2DB71CAF" w14:textId="49BEE08C" w:rsidR="001D4F21" w:rsidRPr="009A07D7" w:rsidRDefault="001D4F21" w:rsidP="001162C4">
      <w:pPr>
        <w:spacing w:after="0" w:line="360" w:lineRule="auto"/>
        <w:rPr>
          <w:color w:val="FF0000"/>
        </w:rPr>
      </w:pPr>
    </w:p>
    <w:p w14:paraId="38B4EF2E" w14:textId="77777777" w:rsidR="001D4F21" w:rsidRPr="009A07D7" w:rsidRDefault="001D4F21" w:rsidP="001162C4">
      <w:pPr>
        <w:spacing w:after="0" w:line="360" w:lineRule="auto"/>
        <w:rPr>
          <w:color w:val="FF0000"/>
        </w:rPr>
      </w:pPr>
    </w:p>
    <w:p w14:paraId="4201A0A0" w14:textId="77777777" w:rsidR="00E864E9" w:rsidRPr="009A07D7" w:rsidRDefault="00E864E9" w:rsidP="001162C4">
      <w:pPr>
        <w:tabs>
          <w:tab w:val="right" w:pos="8931"/>
        </w:tabs>
        <w:spacing w:after="0" w:line="360" w:lineRule="auto"/>
        <w:rPr>
          <w:color w:val="FF0000"/>
        </w:rPr>
      </w:pPr>
    </w:p>
    <w:p w14:paraId="543728D1" w14:textId="77777777" w:rsidR="00E864E9" w:rsidRPr="009A07D7" w:rsidRDefault="00E864E9" w:rsidP="001162C4">
      <w:pPr>
        <w:tabs>
          <w:tab w:val="right" w:pos="8931"/>
        </w:tabs>
        <w:spacing w:after="0" w:line="360" w:lineRule="auto"/>
        <w:rPr>
          <w:color w:val="FF0000"/>
        </w:rPr>
      </w:pPr>
    </w:p>
    <w:p w14:paraId="0E4439D0" w14:textId="5248D3C9" w:rsidR="007B58B9" w:rsidRPr="009A07D7" w:rsidRDefault="007B58B9" w:rsidP="001162C4">
      <w:pPr>
        <w:spacing w:after="0" w:line="360" w:lineRule="auto"/>
        <w:rPr>
          <w:color w:val="FF0000"/>
        </w:rPr>
      </w:pPr>
    </w:p>
    <w:p w14:paraId="26916C77" w14:textId="77777777" w:rsidR="00A37EDE" w:rsidRPr="009A07D7" w:rsidRDefault="00A37EDE" w:rsidP="001162C4">
      <w:pPr>
        <w:spacing w:after="0" w:line="360" w:lineRule="auto"/>
        <w:rPr>
          <w:color w:val="FF0000"/>
        </w:rPr>
      </w:pPr>
    </w:p>
    <w:sectPr w:rsidR="00A37EDE" w:rsidRPr="009A07D7"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1623F" w14:textId="77777777" w:rsidR="00090479" w:rsidRDefault="00090479">
      <w:pPr>
        <w:spacing w:after="0" w:line="240" w:lineRule="auto"/>
      </w:pPr>
      <w:r>
        <w:separator/>
      </w:r>
    </w:p>
  </w:endnote>
  <w:endnote w:type="continuationSeparator" w:id="0">
    <w:p w14:paraId="697FE47B" w14:textId="77777777" w:rsidR="00090479" w:rsidRDefault="0009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C2F2F" w:rsidRDefault="004C2F2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7638C">
      <w:rPr>
        <w:b/>
        <w:noProof/>
        <w:color w:val="000000"/>
        <w:sz w:val="24"/>
        <w:szCs w:val="24"/>
      </w:rPr>
      <w:t>22</w:t>
    </w:r>
    <w:r>
      <w:rPr>
        <w:b/>
        <w:color w:val="000000"/>
        <w:sz w:val="24"/>
        <w:szCs w:val="24"/>
      </w:rPr>
      <w:fldChar w:fldCharType="end"/>
    </w:r>
  </w:p>
  <w:p w14:paraId="7EB9860B" w14:textId="77777777" w:rsidR="004C2F2F" w:rsidRDefault="004C2F2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C2F2F" w:rsidRDefault="004C2F2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804D2">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804D2">
      <w:rPr>
        <w:b/>
        <w:noProof/>
        <w:color w:val="000000"/>
        <w:sz w:val="24"/>
        <w:szCs w:val="24"/>
      </w:rPr>
      <w:t>22</w:t>
    </w:r>
    <w:r>
      <w:rPr>
        <w:b/>
        <w:color w:val="000000"/>
        <w:sz w:val="24"/>
        <w:szCs w:val="24"/>
      </w:rPr>
      <w:fldChar w:fldCharType="end"/>
    </w:r>
  </w:p>
  <w:p w14:paraId="0D7FA8D9" w14:textId="77777777" w:rsidR="004C2F2F" w:rsidRDefault="004C2F2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C2F2F" w:rsidRDefault="004C2F2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9047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90479">
      <w:rPr>
        <w:b/>
        <w:noProof/>
        <w:color w:val="000000"/>
        <w:sz w:val="24"/>
        <w:szCs w:val="24"/>
      </w:rPr>
      <w:t>1</w:t>
    </w:r>
    <w:r>
      <w:rPr>
        <w:b/>
        <w:color w:val="000000"/>
        <w:sz w:val="24"/>
        <w:szCs w:val="24"/>
      </w:rPr>
      <w:fldChar w:fldCharType="end"/>
    </w:r>
  </w:p>
  <w:p w14:paraId="6796AF5F" w14:textId="77777777" w:rsidR="004C2F2F" w:rsidRDefault="004C2F2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BF0B4" w14:textId="77777777" w:rsidR="00090479" w:rsidRDefault="00090479">
      <w:pPr>
        <w:spacing w:after="0" w:line="240" w:lineRule="auto"/>
      </w:pPr>
      <w:r>
        <w:separator/>
      </w:r>
    </w:p>
  </w:footnote>
  <w:footnote w:type="continuationSeparator" w:id="0">
    <w:p w14:paraId="6BCDECB4" w14:textId="77777777" w:rsidR="00090479" w:rsidRDefault="00090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C2F2F" w:rsidRDefault="004C2F2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C2F2F" w14:paraId="10C29E94" w14:textId="77777777">
      <w:trPr>
        <w:trHeight w:val="132"/>
      </w:trPr>
      <w:tc>
        <w:tcPr>
          <w:tcW w:w="2691" w:type="dxa"/>
        </w:tcPr>
        <w:p w14:paraId="7D85A4B8" w14:textId="77777777" w:rsidR="004C2F2F" w:rsidRDefault="004C2F2F">
          <w:pPr>
            <w:tabs>
              <w:tab w:val="right" w:pos="8838"/>
            </w:tabs>
            <w:ind w:right="-105"/>
            <w:rPr>
              <w:b/>
            </w:rPr>
          </w:pPr>
          <w:r>
            <w:rPr>
              <w:b/>
            </w:rPr>
            <w:t>Recurso de Revisión:</w:t>
          </w:r>
        </w:p>
      </w:tc>
      <w:tc>
        <w:tcPr>
          <w:tcW w:w="3405" w:type="dxa"/>
        </w:tcPr>
        <w:p w14:paraId="0B0D1A9D" w14:textId="77777777" w:rsidR="004C2F2F" w:rsidRDefault="004C2F2F">
          <w:pPr>
            <w:tabs>
              <w:tab w:val="right" w:pos="8838"/>
            </w:tabs>
            <w:ind w:left="-28" w:right="-32"/>
          </w:pPr>
          <w:r>
            <w:t>03846/INFOEM/IP/RR/2020</w:t>
          </w:r>
        </w:p>
      </w:tc>
    </w:tr>
    <w:tr w:rsidR="004C2F2F" w14:paraId="2F47AC72" w14:textId="77777777">
      <w:trPr>
        <w:trHeight w:val="261"/>
      </w:trPr>
      <w:tc>
        <w:tcPr>
          <w:tcW w:w="2691" w:type="dxa"/>
        </w:tcPr>
        <w:p w14:paraId="154A4752" w14:textId="77777777" w:rsidR="004C2F2F" w:rsidRDefault="004C2F2F">
          <w:pPr>
            <w:tabs>
              <w:tab w:val="right" w:pos="8838"/>
            </w:tabs>
            <w:ind w:right="-105"/>
            <w:rPr>
              <w:b/>
            </w:rPr>
          </w:pPr>
          <w:r>
            <w:rPr>
              <w:b/>
            </w:rPr>
            <w:t>Sujeto Obligado:</w:t>
          </w:r>
        </w:p>
      </w:tc>
      <w:tc>
        <w:tcPr>
          <w:tcW w:w="3405" w:type="dxa"/>
        </w:tcPr>
        <w:p w14:paraId="5D9EC711" w14:textId="77777777" w:rsidR="004C2F2F" w:rsidRDefault="004C2F2F">
          <w:pPr>
            <w:tabs>
              <w:tab w:val="right" w:pos="8838"/>
            </w:tabs>
            <w:ind w:right="-32"/>
          </w:pPr>
          <w:r>
            <w:t>Ayuntamiento de Temascalcingo</w:t>
          </w:r>
        </w:p>
      </w:tc>
    </w:tr>
    <w:tr w:rsidR="004C2F2F" w14:paraId="11FBB450" w14:textId="77777777">
      <w:trPr>
        <w:trHeight w:val="261"/>
      </w:trPr>
      <w:tc>
        <w:tcPr>
          <w:tcW w:w="2691" w:type="dxa"/>
        </w:tcPr>
        <w:p w14:paraId="6BAF6003" w14:textId="77777777" w:rsidR="004C2F2F" w:rsidRDefault="004C2F2F">
          <w:pPr>
            <w:tabs>
              <w:tab w:val="right" w:pos="8838"/>
            </w:tabs>
            <w:ind w:right="-105"/>
            <w:rPr>
              <w:b/>
            </w:rPr>
          </w:pPr>
          <w:r>
            <w:rPr>
              <w:b/>
            </w:rPr>
            <w:t>Comisionado Ponente:</w:t>
          </w:r>
        </w:p>
      </w:tc>
      <w:tc>
        <w:tcPr>
          <w:tcW w:w="3405" w:type="dxa"/>
        </w:tcPr>
        <w:p w14:paraId="420341AF" w14:textId="77777777" w:rsidR="004C2F2F" w:rsidRDefault="004C2F2F">
          <w:pPr>
            <w:tabs>
              <w:tab w:val="right" w:pos="8838"/>
            </w:tabs>
            <w:ind w:right="-32"/>
            <w:rPr>
              <w:b/>
            </w:rPr>
          </w:pPr>
          <w:r>
            <w:t>Luis Gustavo Parra Noriega</w:t>
          </w:r>
        </w:p>
      </w:tc>
    </w:tr>
  </w:tbl>
  <w:p w14:paraId="00411D75" w14:textId="77777777" w:rsidR="004C2F2F" w:rsidRDefault="0009047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C2F2F" w:rsidRDefault="0009047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C2F2F" w14:paraId="40D5D5A3" w14:textId="77777777" w:rsidTr="00AE7B9D">
      <w:trPr>
        <w:trHeight w:val="138"/>
      </w:trPr>
      <w:tc>
        <w:tcPr>
          <w:tcW w:w="2693" w:type="dxa"/>
          <w:vAlign w:val="center"/>
        </w:tcPr>
        <w:p w14:paraId="43377EBE" w14:textId="77777777" w:rsidR="004C2F2F" w:rsidRDefault="004C2F2F" w:rsidP="008C266D">
          <w:pPr>
            <w:tabs>
              <w:tab w:val="right" w:pos="8838"/>
            </w:tabs>
            <w:ind w:left="-108" w:right="-105"/>
            <w:jc w:val="left"/>
            <w:rPr>
              <w:b/>
            </w:rPr>
          </w:pPr>
        </w:p>
        <w:p w14:paraId="1DB5C8D0" w14:textId="7E98B3D2" w:rsidR="004C2F2F" w:rsidRDefault="004C2F2F" w:rsidP="008C266D">
          <w:pPr>
            <w:tabs>
              <w:tab w:val="right" w:pos="8838"/>
            </w:tabs>
            <w:ind w:left="-108" w:right="-105"/>
            <w:jc w:val="left"/>
            <w:rPr>
              <w:b/>
            </w:rPr>
          </w:pPr>
          <w:r>
            <w:rPr>
              <w:b/>
            </w:rPr>
            <w:t>Recurso de Revisión:</w:t>
          </w:r>
        </w:p>
      </w:tc>
      <w:tc>
        <w:tcPr>
          <w:tcW w:w="3969" w:type="dxa"/>
        </w:tcPr>
        <w:p w14:paraId="5BCC69C4" w14:textId="77777777" w:rsidR="004C2F2F" w:rsidRPr="00EF0C39" w:rsidRDefault="004C2F2F" w:rsidP="008C266D">
          <w:pPr>
            <w:tabs>
              <w:tab w:val="right" w:pos="8838"/>
            </w:tabs>
            <w:ind w:right="57"/>
          </w:pPr>
        </w:p>
        <w:p w14:paraId="61E59D71" w14:textId="4BBCA710" w:rsidR="004C2F2F" w:rsidRPr="00EF0C39" w:rsidRDefault="004C2F2F" w:rsidP="008C266D">
          <w:pPr>
            <w:tabs>
              <w:tab w:val="right" w:pos="8838"/>
            </w:tabs>
            <w:ind w:right="57"/>
          </w:pPr>
          <w:r>
            <w:t>08951/INFOEM/IP/RR/2025</w:t>
          </w:r>
        </w:p>
      </w:tc>
    </w:tr>
    <w:tr w:rsidR="004C2F2F" w14:paraId="7A281F30" w14:textId="77777777" w:rsidTr="00AE7B9D">
      <w:trPr>
        <w:trHeight w:val="273"/>
      </w:trPr>
      <w:tc>
        <w:tcPr>
          <w:tcW w:w="2693" w:type="dxa"/>
        </w:tcPr>
        <w:p w14:paraId="6671A308" w14:textId="77777777" w:rsidR="004C2F2F" w:rsidRDefault="004C2F2F" w:rsidP="008C266D">
          <w:pPr>
            <w:tabs>
              <w:tab w:val="right" w:pos="8838"/>
            </w:tabs>
            <w:ind w:left="-108" w:right="-105"/>
            <w:rPr>
              <w:b/>
            </w:rPr>
          </w:pPr>
          <w:r>
            <w:rPr>
              <w:b/>
            </w:rPr>
            <w:t>Sujeto Obligado:</w:t>
          </w:r>
        </w:p>
      </w:tc>
      <w:tc>
        <w:tcPr>
          <w:tcW w:w="3969" w:type="dxa"/>
        </w:tcPr>
        <w:p w14:paraId="30885B6D" w14:textId="4DA931E9" w:rsidR="004C2F2F" w:rsidRPr="00EF0C39" w:rsidRDefault="004C2F2F" w:rsidP="007B4717">
          <w:pPr>
            <w:tabs>
              <w:tab w:val="right" w:pos="8838"/>
            </w:tabs>
            <w:ind w:right="180"/>
          </w:pPr>
          <w:r>
            <w:t>Ayuntamiento de Toluca</w:t>
          </w:r>
        </w:p>
      </w:tc>
    </w:tr>
    <w:tr w:rsidR="004C2F2F" w14:paraId="00C22F2F" w14:textId="77777777" w:rsidTr="00AE7B9D">
      <w:trPr>
        <w:trHeight w:val="273"/>
      </w:trPr>
      <w:tc>
        <w:tcPr>
          <w:tcW w:w="2693" w:type="dxa"/>
        </w:tcPr>
        <w:p w14:paraId="70417649" w14:textId="77777777" w:rsidR="004C2F2F" w:rsidRDefault="004C2F2F" w:rsidP="008C266D">
          <w:pPr>
            <w:tabs>
              <w:tab w:val="right" w:pos="8838"/>
            </w:tabs>
            <w:ind w:left="-108" w:right="-105"/>
            <w:rPr>
              <w:b/>
            </w:rPr>
          </w:pPr>
          <w:r>
            <w:rPr>
              <w:b/>
            </w:rPr>
            <w:t>Comisionado Ponente:</w:t>
          </w:r>
        </w:p>
      </w:tc>
      <w:tc>
        <w:tcPr>
          <w:tcW w:w="3969" w:type="dxa"/>
        </w:tcPr>
        <w:p w14:paraId="5E6EB38B" w14:textId="77777777" w:rsidR="004C2F2F" w:rsidRPr="00EF0C39" w:rsidRDefault="004C2F2F" w:rsidP="008C266D">
          <w:pPr>
            <w:tabs>
              <w:tab w:val="right" w:pos="8838"/>
            </w:tabs>
            <w:ind w:right="-170"/>
          </w:pPr>
          <w:r w:rsidRPr="00EF0C39">
            <w:t>Luis Gustavo Parra Noriega</w:t>
          </w:r>
        </w:p>
        <w:p w14:paraId="1A63C67B" w14:textId="77777777" w:rsidR="004C2F2F" w:rsidRPr="00EF0C39" w:rsidRDefault="004C2F2F" w:rsidP="008C266D">
          <w:pPr>
            <w:tabs>
              <w:tab w:val="right" w:pos="8838"/>
            </w:tabs>
            <w:ind w:right="-170"/>
            <w:rPr>
              <w:b/>
            </w:rPr>
          </w:pPr>
        </w:p>
      </w:tc>
    </w:tr>
  </w:tbl>
  <w:p w14:paraId="3498D107" w14:textId="7E17876C" w:rsidR="004C2F2F" w:rsidRDefault="004C2F2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EC88BA7" w:rsidR="004C2F2F" w:rsidRDefault="00090479">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C2F2F" w14:paraId="6B3232BD" w14:textId="77777777" w:rsidTr="00D71C46">
      <w:trPr>
        <w:trHeight w:val="132"/>
      </w:trPr>
      <w:tc>
        <w:tcPr>
          <w:tcW w:w="2551" w:type="dxa"/>
        </w:tcPr>
        <w:p w14:paraId="38F16E2F" w14:textId="77777777" w:rsidR="004C2F2F" w:rsidRDefault="004C2F2F">
          <w:pPr>
            <w:tabs>
              <w:tab w:val="right" w:pos="8838"/>
            </w:tabs>
            <w:ind w:right="-105"/>
            <w:rPr>
              <w:b/>
            </w:rPr>
          </w:pPr>
          <w:r>
            <w:rPr>
              <w:b/>
            </w:rPr>
            <w:t>Recurso de Revisión:</w:t>
          </w:r>
        </w:p>
      </w:tc>
      <w:tc>
        <w:tcPr>
          <w:tcW w:w="4253" w:type="dxa"/>
        </w:tcPr>
        <w:p w14:paraId="211CDC0A" w14:textId="66C0EB0A" w:rsidR="004C2F2F" w:rsidRPr="00026C6B" w:rsidRDefault="004C2F2F" w:rsidP="00026C6B">
          <w:r>
            <w:t>08951/INFOEM/IP/RR/2025</w:t>
          </w:r>
        </w:p>
      </w:tc>
    </w:tr>
    <w:tr w:rsidR="004C2F2F" w14:paraId="6AA3CC58" w14:textId="77777777" w:rsidTr="00D71C46">
      <w:trPr>
        <w:trHeight w:val="132"/>
      </w:trPr>
      <w:tc>
        <w:tcPr>
          <w:tcW w:w="2551" w:type="dxa"/>
        </w:tcPr>
        <w:p w14:paraId="7FD164F5" w14:textId="77777777" w:rsidR="004C2F2F" w:rsidRDefault="004C2F2F">
          <w:pPr>
            <w:tabs>
              <w:tab w:val="left" w:pos="1875"/>
            </w:tabs>
            <w:ind w:right="-105"/>
            <w:rPr>
              <w:b/>
            </w:rPr>
          </w:pPr>
          <w:r>
            <w:rPr>
              <w:b/>
            </w:rPr>
            <w:t>Recurrente:</w:t>
          </w:r>
          <w:r>
            <w:rPr>
              <w:b/>
            </w:rPr>
            <w:tab/>
          </w:r>
        </w:p>
      </w:tc>
      <w:tc>
        <w:tcPr>
          <w:tcW w:w="4253" w:type="dxa"/>
        </w:tcPr>
        <w:p w14:paraId="1F1B0537" w14:textId="45B738BD" w:rsidR="004C2F2F" w:rsidRPr="00EF0C39" w:rsidRDefault="004C2F2F" w:rsidP="006D7FDA">
          <w:pPr>
            <w:tabs>
              <w:tab w:val="right" w:pos="8838"/>
            </w:tabs>
            <w:ind w:right="-250"/>
          </w:pPr>
          <w:r>
            <w:t xml:space="preserve"> </w:t>
          </w:r>
        </w:p>
      </w:tc>
    </w:tr>
    <w:tr w:rsidR="004C2F2F" w14:paraId="5113CAA6" w14:textId="77777777" w:rsidTr="00D71C46">
      <w:trPr>
        <w:trHeight w:val="261"/>
      </w:trPr>
      <w:tc>
        <w:tcPr>
          <w:tcW w:w="2551" w:type="dxa"/>
        </w:tcPr>
        <w:p w14:paraId="28E3431B" w14:textId="30EC7C18" w:rsidR="004C2F2F" w:rsidRDefault="004C2F2F">
          <w:pPr>
            <w:tabs>
              <w:tab w:val="right" w:pos="8838"/>
            </w:tabs>
            <w:ind w:right="-105"/>
            <w:rPr>
              <w:b/>
            </w:rPr>
          </w:pPr>
          <w:r>
            <w:rPr>
              <w:b/>
            </w:rPr>
            <w:t>Sujeto Obligado:</w:t>
          </w:r>
        </w:p>
      </w:tc>
      <w:tc>
        <w:tcPr>
          <w:tcW w:w="4253" w:type="dxa"/>
        </w:tcPr>
        <w:p w14:paraId="3192354E" w14:textId="7106AD3F" w:rsidR="004C2F2F" w:rsidRPr="00026C6B" w:rsidRDefault="004C2F2F" w:rsidP="00026C6B">
          <w:r>
            <w:t>Ayuntamiento de Toluca</w:t>
          </w:r>
        </w:p>
      </w:tc>
    </w:tr>
    <w:tr w:rsidR="004C2F2F" w14:paraId="5D4C2A35" w14:textId="77777777" w:rsidTr="00D71C46">
      <w:trPr>
        <w:trHeight w:val="261"/>
      </w:trPr>
      <w:tc>
        <w:tcPr>
          <w:tcW w:w="2551" w:type="dxa"/>
        </w:tcPr>
        <w:p w14:paraId="7F522FEC" w14:textId="77777777" w:rsidR="004C2F2F" w:rsidRDefault="004C2F2F">
          <w:pPr>
            <w:tabs>
              <w:tab w:val="right" w:pos="8838"/>
            </w:tabs>
            <w:ind w:right="-105"/>
            <w:rPr>
              <w:b/>
            </w:rPr>
          </w:pPr>
          <w:r>
            <w:rPr>
              <w:b/>
            </w:rPr>
            <w:t>Comisionado Ponente:</w:t>
          </w:r>
        </w:p>
      </w:tc>
      <w:tc>
        <w:tcPr>
          <w:tcW w:w="4253" w:type="dxa"/>
        </w:tcPr>
        <w:p w14:paraId="0F0566F9" w14:textId="77777777" w:rsidR="004C2F2F" w:rsidRPr="00EF0C39" w:rsidRDefault="004C2F2F" w:rsidP="00C46A25">
          <w:pPr>
            <w:tabs>
              <w:tab w:val="right" w:pos="8838"/>
            </w:tabs>
            <w:ind w:right="-32"/>
            <w:rPr>
              <w:b/>
            </w:rPr>
          </w:pPr>
          <w:r w:rsidRPr="00EF0C39">
            <w:t>Luis Gustavo Parra Noriega</w:t>
          </w:r>
        </w:p>
      </w:tc>
    </w:tr>
  </w:tbl>
  <w:p w14:paraId="4DFC2598" w14:textId="74A87CCC" w:rsidR="004C2F2F" w:rsidRDefault="004C2F2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E1E"/>
    <w:multiLevelType w:val="hybridMultilevel"/>
    <w:tmpl w:val="5066B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721A"/>
    <w:multiLevelType w:val="hybridMultilevel"/>
    <w:tmpl w:val="401E2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E3751"/>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706AE1"/>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9475EEE"/>
    <w:multiLevelType w:val="hybridMultilevel"/>
    <w:tmpl w:val="2D3A7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B56606"/>
    <w:multiLevelType w:val="hybridMultilevel"/>
    <w:tmpl w:val="9286A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1F206E3"/>
    <w:multiLevelType w:val="hybridMultilevel"/>
    <w:tmpl w:val="A5F07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C372C3"/>
    <w:multiLevelType w:val="hybridMultilevel"/>
    <w:tmpl w:val="CA0CD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4B3529"/>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20131B"/>
    <w:multiLevelType w:val="hybridMultilevel"/>
    <w:tmpl w:val="5BE86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CF2CB0"/>
    <w:multiLevelType w:val="hybridMultilevel"/>
    <w:tmpl w:val="196E1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F9601C"/>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6F5250A"/>
    <w:multiLevelType w:val="hybridMultilevel"/>
    <w:tmpl w:val="44A019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3BAA234B"/>
    <w:multiLevelType w:val="hybridMultilevel"/>
    <w:tmpl w:val="6736EE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130334"/>
    <w:multiLevelType w:val="hybridMultilevel"/>
    <w:tmpl w:val="23C6E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6E0391"/>
    <w:multiLevelType w:val="hybridMultilevel"/>
    <w:tmpl w:val="E6E45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DA0D26"/>
    <w:multiLevelType w:val="hybridMultilevel"/>
    <w:tmpl w:val="9CD8A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CC2ECF"/>
    <w:multiLevelType w:val="multilevel"/>
    <w:tmpl w:val="00AAB3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4FBD5093"/>
    <w:multiLevelType w:val="hybridMultilevel"/>
    <w:tmpl w:val="BA28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82B3A21"/>
    <w:multiLevelType w:val="hybridMultilevel"/>
    <w:tmpl w:val="11DEE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165CEC"/>
    <w:multiLevelType w:val="hybridMultilevel"/>
    <w:tmpl w:val="1ACEB3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2"/>
  </w:num>
  <w:num w:numId="4">
    <w:abstractNumId w:val="33"/>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13"/>
  </w:num>
  <w:num w:numId="8">
    <w:abstractNumId w:val="30"/>
  </w:num>
  <w:num w:numId="9">
    <w:abstractNumId w:val="44"/>
  </w:num>
  <w:num w:numId="10">
    <w:abstractNumId w:val="2"/>
  </w:num>
  <w:num w:numId="11">
    <w:abstractNumId w:val="19"/>
  </w:num>
  <w:num w:numId="12">
    <w:abstractNumId w:val="4"/>
  </w:num>
  <w:num w:numId="13">
    <w:abstractNumId w:val="3"/>
  </w:num>
  <w:num w:numId="14">
    <w:abstractNumId w:val="24"/>
  </w:num>
  <w:num w:numId="15">
    <w:abstractNumId w:val="40"/>
  </w:num>
  <w:num w:numId="16">
    <w:abstractNumId w:val="0"/>
  </w:num>
  <w:num w:numId="17">
    <w:abstractNumId w:val="29"/>
  </w:num>
  <w:num w:numId="18">
    <w:abstractNumId w:val="5"/>
  </w:num>
  <w:num w:numId="19">
    <w:abstractNumId w:val="20"/>
  </w:num>
  <w:num w:numId="20">
    <w:abstractNumId w:val="10"/>
  </w:num>
  <w:num w:numId="21">
    <w:abstractNumId w:val="38"/>
  </w:num>
  <w:num w:numId="22">
    <w:abstractNumId w:val="16"/>
  </w:num>
  <w:num w:numId="23">
    <w:abstractNumId w:val="17"/>
  </w:num>
  <w:num w:numId="24">
    <w:abstractNumId w:val="1"/>
  </w:num>
  <w:num w:numId="25">
    <w:abstractNumId w:val="9"/>
  </w:num>
  <w:num w:numId="26">
    <w:abstractNumId w:val="46"/>
  </w:num>
  <w:num w:numId="27">
    <w:abstractNumId w:val="11"/>
  </w:num>
  <w:num w:numId="28">
    <w:abstractNumId w:val="35"/>
  </w:num>
  <w:num w:numId="29">
    <w:abstractNumId w:val="27"/>
  </w:num>
  <w:num w:numId="30">
    <w:abstractNumId w:val="36"/>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2"/>
  </w:num>
  <w:num w:numId="35">
    <w:abstractNumId w:val="43"/>
  </w:num>
  <w:num w:numId="36">
    <w:abstractNumId w:val="28"/>
  </w:num>
  <w:num w:numId="37">
    <w:abstractNumId w:val="26"/>
  </w:num>
  <w:num w:numId="38">
    <w:abstractNumId w:val="6"/>
  </w:num>
  <w:num w:numId="39">
    <w:abstractNumId w:val="18"/>
  </w:num>
  <w:num w:numId="40">
    <w:abstractNumId w:val="41"/>
  </w:num>
  <w:num w:numId="41">
    <w:abstractNumId w:val="25"/>
  </w:num>
  <w:num w:numId="42">
    <w:abstractNumId w:val="14"/>
  </w:num>
  <w:num w:numId="43">
    <w:abstractNumId w:val="7"/>
  </w:num>
  <w:num w:numId="44">
    <w:abstractNumId w:val="12"/>
  </w:num>
  <w:num w:numId="45">
    <w:abstractNumId w:val="31"/>
  </w:num>
  <w:num w:numId="46">
    <w:abstractNumId w:val="8"/>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184"/>
    <w:rsid w:val="00002B20"/>
    <w:rsid w:val="00003081"/>
    <w:rsid w:val="000045D6"/>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0C43"/>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2770"/>
    <w:rsid w:val="00064936"/>
    <w:rsid w:val="00064E3A"/>
    <w:rsid w:val="00067A48"/>
    <w:rsid w:val="000709AA"/>
    <w:rsid w:val="0007157F"/>
    <w:rsid w:val="000735F0"/>
    <w:rsid w:val="00073949"/>
    <w:rsid w:val="00075996"/>
    <w:rsid w:val="00075A71"/>
    <w:rsid w:val="00075CAF"/>
    <w:rsid w:val="00075D5A"/>
    <w:rsid w:val="00080524"/>
    <w:rsid w:val="000811E7"/>
    <w:rsid w:val="00081D01"/>
    <w:rsid w:val="0008295C"/>
    <w:rsid w:val="00082B5B"/>
    <w:rsid w:val="00083169"/>
    <w:rsid w:val="00084273"/>
    <w:rsid w:val="00085D44"/>
    <w:rsid w:val="000866B0"/>
    <w:rsid w:val="00087074"/>
    <w:rsid w:val="00087EDB"/>
    <w:rsid w:val="00090479"/>
    <w:rsid w:val="0009167E"/>
    <w:rsid w:val="00091A65"/>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67E6"/>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E6BA7"/>
    <w:rsid w:val="000F3B49"/>
    <w:rsid w:val="000F40B6"/>
    <w:rsid w:val="000F4583"/>
    <w:rsid w:val="000F4AC1"/>
    <w:rsid w:val="000F562C"/>
    <w:rsid w:val="000F6219"/>
    <w:rsid w:val="000F6E36"/>
    <w:rsid w:val="000F7C1F"/>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20B"/>
    <w:rsid w:val="00125905"/>
    <w:rsid w:val="00125F26"/>
    <w:rsid w:val="001260CE"/>
    <w:rsid w:val="0012618B"/>
    <w:rsid w:val="00126A15"/>
    <w:rsid w:val="00126AD3"/>
    <w:rsid w:val="001325F3"/>
    <w:rsid w:val="00132F29"/>
    <w:rsid w:val="0013399A"/>
    <w:rsid w:val="00134465"/>
    <w:rsid w:val="0013481F"/>
    <w:rsid w:val="00136BC8"/>
    <w:rsid w:val="00140A7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402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3E96"/>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6E39"/>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7D8"/>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5CF"/>
    <w:rsid w:val="00284CFE"/>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695"/>
    <w:rsid w:val="002B2B90"/>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1D86"/>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46EFA"/>
    <w:rsid w:val="00353296"/>
    <w:rsid w:val="0035368D"/>
    <w:rsid w:val="00354255"/>
    <w:rsid w:val="00354BC5"/>
    <w:rsid w:val="00354FD0"/>
    <w:rsid w:val="00355D05"/>
    <w:rsid w:val="00356E1B"/>
    <w:rsid w:val="003602C9"/>
    <w:rsid w:val="0036042F"/>
    <w:rsid w:val="003657F4"/>
    <w:rsid w:val="003663BF"/>
    <w:rsid w:val="00366BB8"/>
    <w:rsid w:val="00366D05"/>
    <w:rsid w:val="0036736E"/>
    <w:rsid w:val="00376326"/>
    <w:rsid w:val="00376AEF"/>
    <w:rsid w:val="003804D2"/>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5D"/>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22C98"/>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03CB"/>
    <w:rsid w:val="00471E99"/>
    <w:rsid w:val="004721AA"/>
    <w:rsid w:val="0047290D"/>
    <w:rsid w:val="00473151"/>
    <w:rsid w:val="00473542"/>
    <w:rsid w:val="00474793"/>
    <w:rsid w:val="00475E62"/>
    <w:rsid w:val="00481F23"/>
    <w:rsid w:val="00483320"/>
    <w:rsid w:val="00483F95"/>
    <w:rsid w:val="00484E27"/>
    <w:rsid w:val="00487556"/>
    <w:rsid w:val="00492333"/>
    <w:rsid w:val="0049696B"/>
    <w:rsid w:val="0049788F"/>
    <w:rsid w:val="004A10B0"/>
    <w:rsid w:val="004A10E6"/>
    <w:rsid w:val="004A5405"/>
    <w:rsid w:val="004B0C65"/>
    <w:rsid w:val="004B234E"/>
    <w:rsid w:val="004B27E7"/>
    <w:rsid w:val="004B33EF"/>
    <w:rsid w:val="004B58D3"/>
    <w:rsid w:val="004B7343"/>
    <w:rsid w:val="004B73FB"/>
    <w:rsid w:val="004C1F42"/>
    <w:rsid w:val="004C21E6"/>
    <w:rsid w:val="004C2F2F"/>
    <w:rsid w:val="004C465F"/>
    <w:rsid w:val="004C56AA"/>
    <w:rsid w:val="004C5CF3"/>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D5D"/>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4D5"/>
    <w:rsid w:val="00545D04"/>
    <w:rsid w:val="005501BA"/>
    <w:rsid w:val="00550C0B"/>
    <w:rsid w:val="005520E3"/>
    <w:rsid w:val="00552C67"/>
    <w:rsid w:val="005569DD"/>
    <w:rsid w:val="00556A90"/>
    <w:rsid w:val="00562D89"/>
    <w:rsid w:val="0056443F"/>
    <w:rsid w:val="00565861"/>
    <w:rsid w:val="005673D1"/>
    <w:rsid w:val="0057076C"/>
    <w:rsid w:val="00570AEA"/>
    <w:rsid w:val="00572946"/>
    <w:rsid w:val="005732F8"/>
    <w:rsid w:val="00580345"/>
    <w:rsid w:val="005816DE"/>
    <w:rsid w:val="00582FC0"/>
    <w:rsid w:val="00585C29"/>
    <w:rsid w:val="005867A9"/>
    <w:rsid w:val="0058767A"/>
    <w:rsid w:val="00590688"/>
    <w:rsid w:val="00590FB7"/>
    <w:rsid w:val="005914EE"/>
    <w:rsid w:val="00595FCC"/>
    <w:rsid w:val="005A0A77"/>
    <w:rsid w:val="005A381E"/>
    <w:rsid w:val="005A39F4"/>
    <w:rsid w:val="005A79D9"/>
    <w:rsid w:val="005A7C36"/>
    <w:rsid w:val="005B0203"/>
    <w:rsid w:val="005B142C"/>
    <w:rsid w:val="005B21C9"/>
    <w:rsid w:val="005B6BFA"/>
    <w:rsid w:val="005B7CFE"/>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888"/>
    <w:rsid w:val="00631EA9"/>
    <w:rsid w:val="00632F61"/>
    <w:rsid w:val="00635A27"/>
    <w:rsid w:val="00636662"/>
    <w:rsid w:val="00637B1E"/>
    <w:rsid w:val="00640115"/>
    <w:rsid w:val="006404F6"/>
    <w:rsid w:val="0064067B"/>
    <w:rsid w:val="006418B3"/>
    <w:rsid w:val="006430B1"/>
    <w:rsid w:val="00644832"/>
    <w:rsid w:val="00644B2E"/>
    <w:rsid w:val="00654DE3"/>
    <w:rsid w:val="00655068"/>
    <w:rsid w:val="00655B7F"/>
    <w:rsid w:val="006573B9"/>
    <w:rsid w:val="00660AAD"/>
    <w:rsid w:val="0066148F"/>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6B7F"/>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350F"/>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0BB1"/>
    <w:rsid w:val="006F134A"/>
    <w:rsid w:val="006F1838"/>
    <w:rsid w:val="006F272D"/>
    <w:rsid w:val="006F4CC9"/>
    <w:rsid w:val="006F60D5"/>
    <w:rsid w:val="006F79F1"/>
    <w:rsid w:val="006F7CBF"/>
    <w:rsid w:val="007001B2"/>
    <w:rsid w:val="00700D00"/>
    <w:rsid w:val="0070242C"/>
    <w:rsid w:val="00702D5F"/>
    <w:rsid w:val="0070397B"/>
    <w:rsid w:val="007041F9"/>
    <w:rsid w:val="00704B14"/>
    <w:rsid w:val="00704B45"/>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4BBE"/>
    <w:rsid w:val="00765317"/>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0E31"/>
    <w:rsid w:val="00792220"/>
    <w:rsid w:val="00792309"/>
    <w:rsid w:val="00792DF8"/>
    <w:rsid w:val="00794774"/>
    <w:rsid w:val="00794B3F"/>
    <w:rsid w:val="00795C86"/>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0E9B"/>
    <w:rsid w:val="007C4D4E"/>
    <w:rsid w:val="007C636E"/>
    <w:rsid w:val="007C76F2"/>
    <w:rsid w:val="007C7BAF"/>
    <w:rsid w:val="007C7F1F"/>
    <w:rsid w:val="007D04B8"/>
    <w:rsid w:val="007D086D"/>
    <w:rsid w:val="007D131F"/>
    <w:rsid w:val="007D354B"/>
    <w:rsid w:val="007D6307"/>
    <w:rsid w:val="007D658D"/>
    <w:rsid w:val="007E0603"/>
    <w:rsid w:val="007E172B"/>
    <w:rsid w:val="007E1EF5"/>
    <w:rsid w:val="007E25E4"/>
    <w:rsid w:val="007E56C0"/>
    <w:rsid w:val="007E5FB2"/>
    <w:rsid w:val="007E6087"/>
    <w:rsid w:val="007E6354"/>
    <w:rsid w:val="007E64DE"/>
    <w:rsid w:val="007E6532"/>
    <w:rsid w:val="007E65E1"/>
    <w:rsid w:val="007E66B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6B0"/>
    <w:rsid w:val="00836749"/>
    <w:rsid w:val="0084143D"/>
    <w:rsid w:val="008415EA"/>
    <w:rsid w:val="008416D9"/>
    <w:rsid w:val="008441D0"/>
    <w:rsid w:val="008449E4"/>
    <w:rsid w:val="008473B9"/>
    <w:rsid w:val="0085091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483A"/>
    <w:rsid w:val="008A519E"/>
    <w:rsid w:val="008A60AE"/>
    <w:rsid w:val="008A64DD"/>
    <w:rsid w:val="008A756A"/>
    <w:rsid w:val="008A78EA"/>
    <w:rsid w:val="008B21BC"/>
    <w:rsid w:val="008B270A"/>
    <w:rsid w:val="008B4F0B"/>
    <w:rsid w:val="008B5759"/>
    <w:rsid w:val="008B5C71"/>
    <w:rsid w:val="008B731F"/>
    <w:rsid w:val="008B7D4E"/>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210"/>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44A8"/>
    <w:rsid w:val="00945690"/>
    <w:rsid w:val="00945CB8"/>
    <w:rsid w:val="009502F9"/>
    <w:rsid w:val="00950D76"/>
    <w:rsid w:val="00950ED4"/>
    <w:rsid w:val="00951B0D"/>
    <w:rsid w:val="0095477E"/>
    <w:rsid w:val="00954CF1"/>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92901"/>
    <w:rsid w:val="009948FA"/>
    <w:rsid w:val="00996BDA"/>
    <w:rsid w:val="0099716B"/>
    <w:rsid w:val="009973CB"/>
    <w:rsid w:val="00997E6B"/>
    <w:rsid w:val="009A07D7"/>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BF3"/>
    <w:rsid w:val="009C6DA9"/>
    <w:rsid w:val="009D07C4"/>
    <w:rsid w:val="009D41AB"/>
    <w:rsid w:val="009D4333"/>
    <w:rsid w:val="009D443C"/>
    <w:rsid w:val="009D4BA7"/>
    <w:rsid w:val="009D5461"/>
    <w:rsid w:val="009D7D07"/>
    <w:rsid w:val="009E03A4"/>
    <w:rsid w:val="009E0F24"/>
    <w:rsid w:val="009E263E"/>
    <w:rsid w:val="009E2705"/>
    <w:rsid w:val="009E29E8"/>
    <w:rsid w:val="009E2E2A"/>
    <w:rsid w:val="009E4128"/>
    <w:rsid w:val="009E43CE"/>
    <w:rsid w:val="009E4A04"/>
    <w:rsid w:val="009E6A6D"/>
    <w:rsid w:val="009F2202"/>
    <w:rsid w:val="009F3790"/>
    <w:rsid w:val="009F39DF"/>
    <w:rsid w:val="009F41F4"/>
    <w:rsid w:val="009F445E"/>
    <w:rsid w:val="009F6813"/>
    <w:rsid w:val="009F702C"/>
    <w:rsid w:val="00A00990"/>
    <w:rsid w:val="00A02DDB"/>
    <w:rsid w:val="00A03F8F"/>
    <w:rsid w:val="00A042BC"/>
    <w:rsid w:val="00A045F2"/>
    <w:rsid w:val="00A04F3B"/>
    <w:rsid w:val="00A065C8"/>
    <w:rsid w:val="00A071E9"/>
    <w:rsid w:val="00A10DA3"/>
    <w:rsid w:val="00A1369B"/>
    <w:rsid w:val="00A1415D"/>
    <w:rsid w:val="00A15402"/>
    <w:rsid w:val="00A168FA"/>
    <w:rsid w:val="00A16D8E"/>
    <w:rsid w:val="00A20165"/>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638C"/>
    <w:rsid w:val="00A7749F"/>
    <w:rsid w:val="00A805B7"/>
    <w:rsid w:val="00A81A2F"/>
    <w:rsid w:val="00A83160"/>
    <w:rsid w:val="00A8342D"/>
    <w:rsid w:val="00A84E9B"/>
    <w:rsid w:val="00A85CE4"/>
    <w:rsid w:val="00A85D07"/>
    <w:rsid w:val="00A87D25"/>
    <w:rsid w:val="00A87E91"/>
    <w:rsid w:val="00A915DD"/>
    <w:rsid w:val="00A9286C"/>
    <w:rsid w:val="00A92DF7"/>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1497"/>
    <w:rsid w:val="00AC45E1"/>
    <w:rsid w:val="00AC4EC9"/>
    <w:rsid w:val="00AC5582"/>
    <w:rsid w:val="00AC5D01"/>
    <w:rsid w:val="00AC6629"/>
    <w:rsid w:val="00AC70CA"/>
    <w:rsid w:val="00AC7111"/>
    <w:rsid w:val="00AC7443"/>
    <w:rsid w:val="00AC752D"/>
    <w:rsid w:val="00AD1055"/>
    <w:rsid w:val="00AD3E0D"/>
    <w:rsid w:val="00AD468B"/>
    <w:rsid w:val="00AD4F7B"/>
    <w:rsid w:val="00AD7046"/>
    <w:rsid w:val="00AD7954"/>
    <w:rsid w:val="00AE0F80"/>
    <w:rsid w:val="00AE1006"/>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5751"/>
    <w:rsid w:val="00B0601E"/>
    <w:rsid w:val="00B12145"/>
    <w:rsid w:val="00B123FB"/>
    <w:rsid w:val="00B1247F"/>
    <w:rsid w:val="00B153FA"/>
    <w:rsid w:val="00B15D1C"/>
    <w:rsid w:val="00B179C3"/>
    <w:rsid w:val="00B17B55"/>
    <w:rsid w:val="00B20814"/>
    <w:rsid w:val="00B22A17"/>
    <w:rsid w:val="00B22B9F"/>
    <w:rsid w:val="00B22F78"/>
    <w:rsid w:val="00B247CD"/>
    <w:rsid w:val="00B2667E"/>
    <w:rsid w:val="00B27131"/>
    <w:rsid w:val="00B277B2"/>
    <w:rsid w:val="00B27951"/>
    <w:rsid w:val="00B31892"/>
    <w:rsid w:val="00B31BAC"/>
    <w:rsid w:val="00B32602"/>
    <w:rsid w:val="00B32689"/>
    <w:rsid w:val="00B331EC"/>
    <w:rsid w:val="00B35DA2"/>
    <w:rsid w:val="00B35F83"/>
    <w:rsid w:val="00B36A30"/>
    <w:rsid w:val="00B37415"/>
    <w:rsid w:val="00B37803"/>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D10"/>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58"/>
    <w:rsid w:val="00BD0D73"/>
    <w:rsid w:val="00BD2771"/>
    <w:rsid w:val="00BD2C1B"/>
    <w:rsid w:val="00BD35AA"/>
    <w:rsid w:val="00BD3C78"/>
    <w:rsid w:val="00BD3C86"/>
    <w:rsid w:val="00BD6505"/>
    <w:rsid w:val="00BE288A"/>
    <w:rsid w:val="00BE314D"/>
    <w:rsid w:val="00BE53BB"/>
    <w:rsid w:val="00BE5634"/>
    <w:rsid w:val="00BE57BB"/>
    <w:rsid w:val="00BE7092"/>
    <w:rsid w:val="00BE7118"/>
    <w:rsid w:val="00BF03AB"/>
    <w:rsid w:val="00BF0C25"/>
    <w:rsid w:val="00BF2CD0"/>
    <w:rsid w:val="00BF362A"/>
    <w:rsid w:val="00BF381B"/>
    <w:rsid w:val="00BF460D"/>
    <w:rsid w:val="00BF5AD6"/>
    <w:rsid w:val="00BF6B94"/>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633"/>
    <w:rsid w:val="00C27AAC"/>
    <w:rsid w:val="00C335A8"/>
    <w:rsid w:val="00C34810"/>
    <w:rsid w:val="00C362E2"/>
    <w:rsid w:val="00C40507"/>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745"/>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3D93"/>
    <w:rsid w:val="00CA45CB"/>
    <w:rsid w:val="00CA4C3A"/>
    <w:rsid w:val="00CA4E57"/>
    <w:rsid w:val="00CA7AA6"/>
    <w:rsid w:val="00CA7ADA"/>
    <w:rsid w:val="00CA7C07"/>
    <w:rsid w:val="00CA7C7A"/>
    <w:rsid w:val="00CA7EAE"/>
    <w:rsid w:val="00CA7F1D"/>
    <w:rsid w:val="00CB1204"/>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1694"/>
    <w:rsid w:val="00D1305D"/>
    <w:rsid w:val="00D1318A"/>
    <w:rsid w:val="00D131F8"/>
    <w:rsid w:val="00D135B4"/>
    <w:rsid w:val="00D13CEA"/>
    <w:rsid w:val="00D13F20"/>
    <w:rsid w:val="00D144B1"/>
    <w:rsid w:val="00D15014"/>
    <w:rsid w:val="00D15AA1"/>
    <w:rsid w:val="00D164BC"/>
    <w:rsid w:val="00D17468"/>
    <w:rsid w:val="00D203E4"/>
    <w:rsid w:val="00D21713"/>
    <w:rsid w:val="00D23481"/>
    <w:rsid w:val="00D252F7"/>
    <w:rsid w:val="00D25C63"/>
    <w:rsid w:val="00D279F0"/>
    <w:rsid w:val="00D27D4B"/>
    <w:rsid w:val="00D3496C"/>
    <w:rsid w:val="00D34AF5"/>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3B3A"/>
    <w:rsid w:val="00D74D06"/>
    <w:rsid w:val="00D768A4"/>
    <w:rsid w:val="00D7768F"/>
    <w:rsid w:val="00D815A0"/>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906"/>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08D7"/>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09B5"/>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42FF"/>
    <w:rsid w:val="00E354BF"/>
    <w:rsid w:val="00E35B2A"/>
    <w:rsid w:val="00E361ED"/>
    <w:rsid w:val="00E368CF"/>
    <w:rsid w:val="00E40395"/>
    <w:rsid w:val="00E40CA6"/>
    <w:rsid w:val="00E41747"/>
    <w:rsid w:val="00E44D06"/>
    <w:rsid w:val="00E46240"/>
    <w:rsid w:val="00E47AB2"/>
    <w:rsid w:val="00E50794"/>
    <w:rsid w:val="00E50ABD"/>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613C"/>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55F"/>
    <w:rsid w:val="00ED3627"/>
    <w:rsid w:val="00ED37B8"/>
    <w:rsid w:val="00ED3C94"/>
    <w:rsid w:val="00ED4E9B"/>
    <w:rsid w:val="00ED5B5F"/>
    <w:rsid w:val="00ED67BB"/>
    <w:rsid w:val="00ED6859"/>
    <w:rsid w:val="00EE0F64"/>
    <w:rsid w:val="00EE1006"/>
    <w:rsid w:val="00EE1B70"/>
    <w:rsid w:val="00EE2186"/>
    <w:rsid w:val="00EE3EC4"/>
    <w:rsid w:val="00EE53C1"/>
    <w:rsid w:val="00EF0C39"/>
    <w:rsid w:val="00EF36E1"/>
    <w:rsid w:val="00EF6C8B"/>
    <w:rsid w:val="00EF7458"/>
    <w:rsid w:val="00F01CE1"/>
    <w:rsid w:val="00F028A5"/>
    <w:rsid w:val="00F02ACE"/>
    <w:rsid w:val="00F03463"/>
    <w:rsid w:val="00F03E2D"/>
    <w:rsid w:val="00F05082"/>
    <w:rsid w:val="00F056AD"/>
    <w:rsid w:val="00F06AF6"/>
    <w:rsid w:val="00F104DF"/>
    <w:rsid w:val="00F10AC0"/>
    <w:rsid w:val="00F1255F"/>
    <w:rsid w:val="00F1561E"/>
    <w:rsid w:val="00F16F36"/>
    <w:rsid w:val="00F17142"/>
    <w:rsid w:val="00F20567"/>
    <w:rsid w:val="00F21BA6"/>
    <w:rsid w:val="00F25709"/>
    <w:rsid w:val="00F26C65"/>
    <w:rsid w:val="00F30312"/>
    <w:rsid w:val="00F316B5"/>
    <w:rsid w:val="00F317D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2B7"/>
    <w:rsid w:val="00F62E83"/>
    <w:rsid w:val="00F65096"/>
    <w:rsid w:val="00F65D8D"/>
    <w:rsid w:val="00F66486"/>
    <w:rsid w:val="00F66940"/>
    <w:rsid w:val="00F70847"/>
    <w:rsid w:val="00F70A24"/>
    <w:rsid w:val="00F712A4"/>
    <w:rsid w:val="00F71565"/>
    <w:rsid w:val="00F7237E"/>
    <w:rsid w:val="00F73D29"/>
    <w:rsid w:val="00F74C18"/>
    <w:rsid w:val="00F7642B"/>
    <w:rsid w:val="00F8038D"/>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19"/>
    <w:rsid w:val="00FB1BAA"/>
    <w:rsid w:val="00FB1BCD"/>
    <w:rsid w:val="00FB1D33"/>
    <w:rsid w:val="00FB5A4E"/>
    <w:rsid w:val="00FB628E"/>
    <w:rsid w:val="00FB7C3A"/>
    <w:rsid w:val="00FC01D5"/>
    <w:rsid w:val="00FC2034"/>
    <w:rsid w:val="00FC387F"/>
    <w:rsid w:val="00FC48F9"/>
    <w:rsid w:val="00FC6F1F"/>
    <w:rsid w:val="00FC7236"/>
    <w:rsid w:val="00FC74A2"/>
    <w:rsid w:val="00FD06A0"/>
    <w:rsid w:val="00FD34DC"/>
    <w:rsid w:val="00FD3D7D"/>
    <w:rsid w:val="00FD4713"/>
    <w:rsid w:val="00FD5141"/>
    <w:rsid w:val="00FD5CCF"/>
    <w:rsid w:val="00FD667D"/>
    <w:rsid w:val="00FE2415"/>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31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20907047">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686285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5570488">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pomex.org.mx/ipome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32EA2F-9423-4B26-A865-320BED15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5300</Words>
  <Characters>29153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2026-01-30T16:25:00Z</cp:lastPrinted>
  <dcterms:created xsi:type="dcterms:W3CDTF">2026-03-13T15:46:00Z</dcterms:created>
  <dcterms:modified xsi:type="dcterms:W3CDTF">2026-03-13T15:46:00Z</dcterms:modified>
</cp:coreProperties>
</file>