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Pr="00B2261F" w:rsidRDefault="004C465F" w:rsidP="00CA7740">
      <w:pPr>
        <w:tabs>
          <w:tab w:val="left" w:pos="8931"/>
        </w:tabs>
        <w:spacing w:after="0" w:line="360" w:lineRule="auto"/>
        <w:rPr>
          <w:color w:val="FF0000"/>
        </w:rPr>
      </w:pPr>
    </w:p>
    <w:sdt>
      <w:sdtPr>
        <w:rPr>
          <w:rFonts w:ascii="Palatino Linotype" w:eastAsia="Palatino Linotype" w:hAnsi="Palatino Linotype" w:cs="Palatino Linotype"/>
          <w:color w:val="000000" w:themeColor="text1"/>
          <w:sz w:val="22"/>
          <w:szCs w:val="22"/>
          <w:lang w:val="es-ES"/>
        </w:rPr>
        <w:id w:val="1400787207"/>
        <w:docPartObj>
          <w:docPartGallery w:val="Table of Contents"/>
          <w:docPartUnique/>
        </w:docPartObj>
      </w:sdtPr>
      <w:sdtEndPr>
        <w:rPr>
          <w:b/>
          <w:bCs/>
        </w:rPr>
      </w:sdtEndPr>
      <w:sdtContent>
        <w:p w14:paraId="5A3B2F7B" w14:textId="53699552" w:rsidR="00A84426" w:rsidRDefault="00A84426">
          <w:pPr>
            <w:pStyle w:val="TtulodeTDC"/>
          </w:pPr>
        </w:p>
        <w:p w14:paraId="3B431DF1" w14:textId="77777777" w:rsidR="00A84426" w:rsidRDefault="00A84426">
          <w:pPr>
            <w:pStyle w:val="TDC1"/>
            <w:tabs>
              <w:tab w:val="right" w:leader="dot" w:pos="8921"/>
            </w:tabs>
            <w:rPr>
              <w:rFonts w:asciiTheme="minorHAnsi" w:eastAsiaTheme="minorEastAsia" w:hAnsiTheme="minorHAnsi" w:cstheme="minorBidi"/>
              <w:noProof/>
              <w:color w:val="auto"/>
            </w:rPr>
          </w:pPr>
          <w:r>
            <w:rPr>
              <w:b/>
              <w:bCs/>
              <w:lang w:val="es-ES"/>
            </w:rPr>
            <w:fldChar w:fldCharType="begin"/>
          </w:r>
          <w:r>
            <w:rPr>
              <w:b/>
              <w:bCs/>
              <w:lang w:val="es-ES"/>
            </w:rPr>
            <w:instrText xml:space="preserve"> TOC \o "1-3" \h \z \u </w:instrText>
          </w:r>
          <w:r>
            <w:rPr>
              <w:b/>
              <w:bCs/>
              <w:lang w:val="es-ES"/>
            </w:rPr>
            <w:fldChar w:fldCharType="separate"/>
          </w:r>
          <w:hyperlink w:anchor="_Toc223618918" w:history="1">
            <w:r w:rsidRPr="00670D0A">
              <w:rPr>
                <w:rStyle w:val="Hipervnculo"/>
                <w:noProof/>
              </w:rPr>
              <w:t>A N T E C E D E N T E S</w:t>
            </w:r>
            <w:r>
              <w:rPr>
                <w:noProof/>
                <w:webHidden/>
              </w:rPr>
              <w:tab/>
            </w:r>
            <w:r>
              <w:rPr>
                <w:noProof/>
                <w:webHidden/>
              </w:rPr>
              <w:fldChar w:fldCharType="begin"/>
            </w:r>
            <w:r>
              <w:rPr>
                <w:noProof/>
                <w:webHidden/>
              </w:rPr>
              <w:instrText xml:space="preserve"> PAGEREF _Toc223618918 \h </w:instrText>
            </w:r>
            <w:r>
              <w:rPr>
                <w:noProof/>
                <w:webHidden/>
              </w:rPr>
            </w:r>
            <w:r>
              <w:rPr>
                <w:noProof/>
                <w:webHidden/>
              </w:rPr>
              <w:fldChar w:fldCharType="separate"/>
            </w:r>
            <w:r w:rsidR="004C3D5C">
              <w:rPr>
                <w:noProof/>
                <w:webHidden/>
              </w:rPr>
              <w:t>2</w:t>
            </w:r>
            <w:r>
              <w:rPr>
                <w:noProof/>
                <w:webHidden/>
              </w:rPr>
              <w:fldChar w:fldCharType="end"/>
            </w:r>
          </w:hyperlink>
        </w:p>
        <w:p w14:paraId="18E075D4" w14:textId="77777777" w:rsidR="00A84426" w:rsidRDefault="00655188">
          <w:pPr>
            <w:pStyle w:val="TDC2"/>
            <w:tabs>
              <w:tab w:val="right" w:leader="dot" w:pos="8921"/>
            </w:tabs>
            <w:rPr>
              <w:rFonts w:asciiTheme="minorHAnsi" w:eastAsiaTheme="minorEastAsia" w:hAnsiTheme="minorHAnsi" w:cstheme="minorBidi"/>
              <w:noProof/>
              <w:color w:val="auto"/>
            </w:rPr>
          </w:pPr>
          <w:hyperlink w:anchor="_Toc223618919" w:history="1">
            <w:r w:rsidR="00A84426" w:rsidRPr="00670D0A">
              <w:rPr>
                <w:rStyle w:val="Hipervnculo"/>
                <w:noProof/>
                <w:lang w:eastAsia="es-ES"/>
              </w:rPr>
              <w:t>I. Presentación de la solicitud de información</w:t>
            </w:r>
            <w:r w:rsidR="00A84426">
              <w:rPr>
                <w:noProof/>
                <w:webHidden/>
              </w:rPr>
              <w:tab/>
            </w:r>
            <w:r w:rsidR="00A84426">
              <w:rPr>
                <w:noProof/>
                <w:webHidden/>
              </w:rPr>
              <w:fldChar w:fldCharType="begin"/>
            </w:r>
            <w:r w:rsidR="00A84426">
              <w:rPr>
                <w:noProof/>
                <w:webHidden/>
              </w:rPr>
              <w:instrText xml:space="preserve"> PAGEREF _Toc223618919 \h </w:instrText>
            </w:r>
            <w:r w:rsidR="00A84426">
              <w:rPr>
                <w:noProof/>
                <w:webHidden/>
              </w:rPr>
            </w:r>
            <w:r w:rsidR="00A84426">
              <w:rPr>
                <w:noProof/>
                <w:webHidden/>
              </w:rPr>
              <w:fldChar w:fldCharType="separate"/>
            </w:r>
            <w:r w:rsidR="004C3D5C">
              <w:rPr>
                <w:noProof/>
                <w:webHidden/>
              </w:rPr>
              <w:t>2</w:t>
            </w:r>
            <w:r w:rsidR="00A84426">
              <w:rPr>
                <w:noProof/>
                <w:webHidden/>
              </w:rPr>
              <w:fldChar w:fldCharType="end"/>
            </w:r>
          </w:hyperlink>
        </w:p>
        <w:p w14:paraId="1EB6DCCF" w14:textId="31FAEAA1" w:rsidR="00A84426" w:rsidRDefault="00655188" w:rsidP="00A84426">
          <w:pPr>
            <w:pStyle w:val="TDC2"/>
            <w:tabs>
              <w:tab w:val="right" w:leader="dot" w:pos="8921"/>
            </w:tabs>
            <w:rPr>
              <w:rFonts w:asciiTheme="minorHAnsi" w:eastAsiaTheme="minorEastAsia" w:hAnsiTheme="minorHAnsi" w:cstheme="minorBidi"/>
              <w:noProof/>
              <w:color w:val="auto"/>
            </w:rPr>
          </w:pPr>
          <w:hyperlink w:anchor="_Toc223618920" w:history="1">
            <w:r w:rsidR="00A84426" w:rsidRPr="00670D0A">
              <w:rPr>
                <w:rStyle w:val="Hipervnculo"/>
                <w:noProof/>
              </w:rPr>
              <w:t>II. Prórroga para atender la solicitud de información</w:t>
            </w:r>
            <w:r w:rsidR="00A84426">
              <w:rPr>
                <w:noProof/>
                <w:webHidden/>
              </w:rPr>
              <w:tab/>
            </w:r>
            <w:r w:rsidR="00A84426">
              <w:rPr>
                <w:noProof/>
                <w:webHidden/>
              </w:rPr>
              <w:fldChar w:fldCharType="begin"/>
            </w:r>
            <w:r w:rsidR="00A84426">
              <w:rPr>
                <w:noProof/>
                <w:webHidden/>
              </w:rPr>
              <w:instrText xml:space="preserve"> PAGEREF _Toc223618920 \h </w:instrText>
            </w:r>
            <w:r w:rsidR="00A84426">
              <w:rPr>
                <w:noProof/>
                <w:webHidden/>
              </w:rPr>
            </w:r>
            <w:r w:rsidR="00A84426">
              <w:rPr>
                <w:noProof/>
                <w:webHidden/>
              </w:rPr>
              <w:fldChar w:fldCharType="separate"/>
            </w:r>
            <w:r w:rsidR="004C3D5C">
              <w:rPr>
                <w:noProof/>
                <w:webHidden/>
              </w:rPr>
              <w:t>3</w:t>
            </w:r>
            <w:r w:rsidR="00A84426">
              <w:rPr>
                <w:noProof/>
                <w:webHidden/>
              </w:rPr>
              <w:fldChar w:fldCharType="end"/>
            </w:r>
          </w:hyperlink>
        </w:p>
        <w:p w14:paraId="6841B0F6" w14:textId="77777777" w:rsidR="00A84426" w:rsidRDefault="00655188">
          <w:pPr>
            <w:pStyle w:val="TDC2"/>
            <w:tabs>
              <w:tab w:val="right" w:leader="dot" w:pos="8921"/>
            </w:tabs>
            <w:rPr>
              <w:rFonts w:asciiTheme="minorHAnsi" w:eastAsiaTheme="minorEastAsia" w:hAnsiTheme="minorHAnsi" w:cstheme="minorBidi"/>
              <w:noProof/>
              <w:color w:val="auto"/>
            </w:rPr>
          </w:pPr>
          <w:hyperlink w:anchor="_Toc223618922" w:history="1">
            <w:r w:rsidR="00A84426" w:rsidRPr="00670D0A">
              <w:rPr>
                <w:rStyle w:val="Hipervnculo"/>
                <w:noProof/>
              </w:rPr>
              <w:t>III.  Respuesta del Sujeto Obligado</w:t>
            </w:r>
            <w:r w:rsidR="00A84426">
              <w:rPr>
                <w:noProof/>
                <w:webHidden/>
              </w:rPr>
              <w:tab/>
            </w:r>
            <w:r w:rsidR="00A84426">
              <w:rPr>
                <w:noProof/>
                <w:webHidden/>
              </w:rPr>
              <w:fldChar w:fldCharType="begin"/>
            </w:r>
            <w:r w:rsidR="00A84426">
              <w:rPr>
                <w:noProof/>
                <w:webHidden/>
              </w:rPr>
              <w:instrText xml:space="preserve"> PAGEREF _Toc223618922 \h </w:instrText>
            </w:r>
            <w:r w:rsidR="00A84426">
              <w:rPr>
                <w:noProof/>
                <w:webHidden/>
              </w:rPr>
            </w:r>
            <w:r w:rsidR="00A84426">
              <w:rPr>
                <w:noProof/>
                <w:webHidden/>
              </w:rPr>
              <w:fldChar w:fldCharType="separate"/>
            </w:r>
            <w:r w:rsidR="004C3D5C">
              <w:rPr>
                <w:noProof/>
                <w:webHidden/>
              </w:rPr>
              <w:t>3</w:t>
            </w:r>
            <w:r w:rsidR="00A84426">
              <w:rPr>
                <w:noProof/>
                <w:webHidden/>
              </w:rPr>
              <w:fldChar w:fldCharType="end"/>
            </w:r>
          </w:hyperlink>
        </w:p>
        <w:p w14:paraId="3B2EBD50" w14:textId="77777777" w:rsidR="00A84426" w:rsidRDefault="00655188">
          <w:pPr>
            <w:pStyle w:val="TDC2"/>
            <w:tabs>
              <w:tab w:val="right" w:leader="dot" w:pos="8921"/>
            </w:tabs>
            <w:rPr>
              <w:rFonts w:asciiTheme="minorHAnsi" w:eastAsiaTheme="minorEastAsia" w:hAnsiTheme="minorHAnsi" w:cstheme="minorBidi"/>
              <w:noProof/>
              <w:color w:val="auto"/>
            </w:rPr>
          </w:pPr>
          <w:hyperlink w:anchor="_Toc223618923" w:history="1">
            <w:r w:rsidR="00A84426" w:rsidRPr="00670D0A">
              <w:rPr>
                <w:rStyle w:val="Hipervnculo"/>
                <w:noProof/>
              </w:rPr>
              <w:t>IV. Interposición del Recurso de Revisión</w:t>
            </w:r>
            <w:r w:rsidR="00A84426">
              <w:rPr>
                <w:noProof/>
                <w:webHidden/>
              </w:rPr>
              <w:tab/>
            </w:r>
            <w:r w:rsidR="00A84426">
              <w:rPr>
                <w:noProof/>
                <w:webHidden/>
              </w:rPr>
              <w:fldChar w:fldCharType="begin"/>
            </w:r>
            <w:r w:rsidR="00A84426">
              <w:rPr>
                <w:noProof/>
                <w:webHidden/>
              </w:rPr>
              <w:instrText xml:space="preserve"> PAGEREF _Toc223618923 \h </w:instrText>
            </w:r>
            <w:r w:rsidR="00A84426">
              <w:rPr>
                <w:noProof/>
                <w:webHidden/>
              </w:rPr>
            </w:r>
            <w:r w:rsidR="00A84426">
              <w:rPr>
                <w:noProof/>
                <w:webHidden/>
              </w:rPr>
              <w:fldChar w:fldCharType="separate"/>
            </w:r>
            <w:r w:rsidR="004C3D5C">
              <w:rPr>
                <w:noProof/>
                <w:webHidden/>
              </w:rPr>
              <w:t>4</w:t>
            </w:r>
            <w:r w:rsidR="00A84426">
              <w:rPr>
                <w:noProof/>
                <w:webHidden/>
              </w:rPr>
              <w:fldChar w:fldCharType="end"/>
            </w:r>
          </w:hyperlink>
        </w:p>
        <w:p w14:paraId="0B2167C7" w14:textId="77777777" w:rsidR="00A84426" w:rsidRDefault="00655188">
          <w:pPr>
            <w:pStyle w:val="TDC2"/>
            <w:tabs>
              <w:tab w:val="right" w:leader="dot" w:pos="8921"/>
            </w:tabs>
            <w:rPr>
              <w:rFonts w:asciiTheme="minorHAnsi" w:eastAsiaTheme="minorEastAsia" w:hAnsiTheme="minorHAnsi" w:cstheme="minorBidi"/>
              <w:noProof/>
              <w:color w:val="auto"/>
            </w:rPr>
          </w:pPr>
          <w:hyperlink w:anchor="_Toc223618924" w:history="1">
            <w:r w:rsidR="00A84426" w:rsidRPr="00670D0A">
              <w:rPr>
                <w:rStyle w:val="Hipervnculo"/>
                <w:noProof/>
              </w:rPr>
              <w:t>V. Trámite del Recurso de Revisión ante este Instituto</w:t>
            </w:r>
            <w:r w:rsidR="00A84426">
              <w:rPr>
                <w:noProof/>
                <w:webHidden/>
              </w:rPr>
              <w:tab/>
            </w:r>
            <w:r w:rsidR="00A84426">
              <w:rPr>
                <w:noProof/>
                <w:webHidden/>
              </w:rPr>
              <w:fldChar w:fldCharType="begin"/>
            </w:r>
            <w:r w:rsidR="00A84426">
              <w:rPr>
                <w:noProof/>
                <w:webHidden/>
              </w:rPr>
              <w:instrText xml:space="preserve"> PAGEREF _Toc223618924 \h </w:instrText>
            </w:r>
            <w:r w:rsidR="00A84426">
              <w:rPr>
                <w:noProof/>
                <w:webHidden/>
              </w:rPr>
            </w:r>
            <w:r w:rsidR="00A84426">
              <w:rPr>
                <w:noProof/>
                <w:webHidden/>
              </w:rPr>
              <w:fldChar w:fldCharType="separate"/>
            </w:r>
            <w:r w:rsidR="004C3D5C">
              <w:rPr>
                <w:noProof/>
                <w:webHidden/>
              </w:rPr>
              <w:t>5</w:t>
            </w:r>
            <w:r w:rsidR="00A84426">
              <w:rPr>
                <w:noProof/>
                <w:webHidden/>
              </w:rPr>
              <w:fldChar w:fldCharType="end"/>
            </w:r>
          </w:hyperlink>
        </w:p>
        <w:p w14:paraId="1B96FC3C" w14:textId="77777777" w:rsidR="00A84426" w:rsidRDefault="00655188">
          <w:pPr>
            <w:pStyle w:val="TDC1"/>
            <w:tabs>
              <w:tab w:val="right" w:leader="dot" w:pos="8921"/>
            </w:tabs>
            <w:rPr>
              <w:rFonts w:asciiTheme="minorHAnsi" w:eastAsiaTheme="minorEastAsia" w:hAnsiTheme="minorHAnsi" w:cstheme="minorBidi"/>
              <w:noProof/>
              <w:color w:val="auto"/>
            </w:rPr>
          </w:pPr>
          <w:hyperlink w:anchor="_Toc223618925" w:history="1">
            <w:r w:rsidR="00A84426" w:rsidRPr="00670D0A">
              <w:rPr>
                <w:rStyle w:val="Hipervnculo"/>
                <w:noProof/>
              </w:rPr>
              <w:t>C O N S I D E R A N D O S</w:t>
            </w:r>
            <w:r w:rsidR="00A84426">
              <w:rPr>
                <w:noProof/>
                <w:webHidden/>
              </w:rPr>
              <w:tab/>
            </w:r>
            <w:r w:rsidR="00A84426">
              <w:rPr>
                <w:noProof/>
                <w:webHidden/>
              </w:rPr>
              <w:fldChar w:fldCharType="begin"/>
            </w:r>
            <w:r w:rsidR="00A84426">
              <w:rPr>
                <w:noProof/>
                <w:webHidden/>
              </w:rPr>
              <w:instrText xml:space="preserve"> PAGEREF _Toc223618925 \h </w:instrText>
            </w:r>
            <w:r w:rsidR="00A84426">
              <w:rPr>
                <w:noProof/>
                <w:webHidden/>
              </w:rPr>
            </w:r>
            <w:r w:rsidR="00A84426">
              <w:rPr>
                <w:noProof/>
                <w:webHidden/>
              </w:rPr>
              <w:fldChar w:fldCharType="separate"/>
            </w:r>
            <w:r w:rsidR="004C3D5C">
              <w:rPr>
                <w:noProof/>
                <w:webHidden/>
              </w:rPr>
              <w:t>9</w:t>
            </w:r>
            <w:r w:rsidR="00A84426">
              <w:rPr>
                <w:noProof/>
                <w:webHidden/>
              </w:rPr>
              <w:fldChar w:fldCharType="end"/>
            </w:r>
          </w:hyperlink>
        </w:p>
        <w:p w14:paraId="0A575374" w14:textId="77777777" w:rsidR="00A84426" w:rsidRDefault="00655188">
          <w:pPr>
            <w:pStyle w:val="TDC2"/>
            <w:tabs>
              <w:tab w:val="right" w:leader="dot" w:pos="8921"/>
            </w:tabs>
            <w:rPr>
              <w:rFonts w:asciiTheme="minorHAnsi" w:eastAsiaTheme="minorEastAsia" w:hAnsiTheme="minorHAnsi" w:cstheme="minorBidi"/>
              <w:noProof/>
              <w:color w:val="auto"/>
            </w:rPr>
          </w:pPr>
          <w:hyperlink w:anchor="_Toc223618926" w:history="1">
            <w:r w:rsidR="00A84426" w:rsidRPr="00670D0A">
              <w:rPr>
                <w:rStyle w:val="Hipervnculo"/>
                <w:noProof/>
              </w:rPr>
              <w:t>PRIMERO. Competencia</w:t>
            </w:r>
            <w:r w:rsidR="00A84426">
              <w:rPr>
                <w:noProof/>
                <w:webHidden/>
              </w:rPr>
              <w:tab/>
            </w:r>
            <w:r w:rsidR="00A84426">
              <w:rPr>
                <w:noProof/>
                <w:webHidden/>
              </w:rPr>
              <w:fldChar w:fldCharType="begin"/>
            </w:r>
            <w:r w:rsidR="00A84426">
              <w:rPr>
                <w:noProof/>
                <w:webHidden/>
              </w:rPr>
              <w:instrText xml:space="preserve"> PAGEREF _Toc223618926 \h </w:instrText>
            </w:r>
            <w:r w:rsidR="00A84426">
              <w:rPr>
                <w:noProof/>
                <w:webHidden/>
              </w:rPr>
            </w:r>
            <w:r w:rsidR="00A84426">
              <w:rPr>
                <w:noProof/>
                <w:webHidden/>
              </w:rPr>
              <w:fldChar w:fldCharType="separate"/>
            </w:r>
            <w:r w:rsidR="004C3D5C">
              <w:rPr>
                <w:noProof/>
                <w:webHidden/>
              </w:rPr>
              <w:t>9</w:t>
            </w:r>
            <w:r w:rsidR="00A84426">
              <w:rPr>
                <w:noProof/>
                <w:webHidden/>
              </w:rPr>
              <w:fldChar w:fldCharType="end"/>
            </w:r>
          </w:hyperlink>
        </w:p>
        <w:p w14:paraId="532951D2" w14:textId="77777777" w:rsidR="00A84426" w:rsidRDefault="00655188">
          <w:pPr>
            <w:pStyle w:val="TDC2"/>
            <w:tabs>
              <w:tab w:val="right" w:leader="dot" w:pos="8921"/>
            </w:tabs>
            <w:rPr>
              <w:rFonts w:asciiTheme="minorHAnsi" w:eastAsiaTheme="minorEastAsia" w:hAnsiTheme="minorHAnsi" w:cstheme="minorBidi"/>
              <w:noProof/>
              <w:color w:val="auto"/>
            </w:rPr>
          </w:pPr>
          <w:hyperlink w:anchor="_Toc223618927" w:history="1">
            <w:r w:rsidR="00A84426" w:rsidRPr="00670D0A">
              <w:rPr>
                <w:rStyle w:val="Hipervnculo"/>
                <w:noProof/>
              </w:rPr>
              <w:t>SEGUNDO. Causales de improcedencia y sobreseimiento</w:t>
            </w:r>
            <w:r w:rsidR="00A84426">
              <w:rPr>
                <w:noProof/>
                <w:webHidden/>
              </w:rPr>
              <w:tab/>
            </w:r>
            <w:r w:rsidR="00A84426">
              <w:rPr>
                <w:noProof/>
                <w:webHidden/>
              </w:rPr>
              <w:fldChar w:fldCharType="begin"/>
            </w:r>
            <w:r w:rsidR="00A84426">
              <w:rPr>
                <w:noProof/>
                <w:webHidden/>
              </w:rPr>
              <w:instrText xml:space="preserve"> PAGEREF _Toc223618927 \h </w:instrText>
            </w:r>
            <w:r w:rsidR="00A84426">
              <w:rPr>
                <w:noProof/>
                <w:webHidden/>
              </w:rPr>
            </w:r>
            <w:r w:rsidR="00A84426">
              <w:rPr>
                <w:noProof/>
                <w:webHidden/>
              </w:rPr>
              <w:fldChar w:fldCharType="separate"/>
            </w:r>
            <w:r w:rsidR="004C3D5C">
              <w:rPr>
                <w:noProof/>
                <w:webHidden/>
              </w:rPr>
              <w:t>10</w:t>
            </w:r>
            <w:r w:rsidR="00A84426">
              <w:rPr>
                <w:noProof/>
                <w:webHidden/>
              </w:rPr>
              <w:fldChar w:fldCharType="end"/>
            </w:r>
          </w:hyperlink>
        </w:p>
        <w:p w14:paraId="7334C678" w14:textId="77777777" w:rsidR="00A84426" w:rsidRDefault="00655188">
          <w:pPr>
            <w:pStyle w:val="TDC2"/>
            <w:tabs>
              <w:tab w:val="right" w:leader="dot" w:pos="8921"/>
            </w:tabs>
            <w:rPr>
              <w:rFonts w:asciiTheme="minorHAnsi" w:eastAsiaTheme="minorEastAsia" w:hAnsiTheme="minorHAnsi" w:cstheme="minorBidi"/>
              <w:noProof/>
              <w:color w:val="auto"/>
            </w:rPr>
          </w:pPr>
          <w:hyperlink w:anchor="_Toc223618928" w:history="1">
            <w:r w:rsidR="00A84426" w:rsidRPr="00670D0A">
              <w:rPr>
                <w:rStyle w:val="Hipervnculo"/>
                <w:noProof/>
              </w:rPr>
              <w:t>TERCERO. Determinación de la Controversia</w:t>
            </w:r>
            <w:r w:rsidR="00A84426">
              <w:rPr>
                <w:noProof/>
                <w:webHidden/>
              </w:rPr>
              <w:tab/>
            </w:r>
            <w:r w:rsidR="00A84426">
              <w:rPr>
                <w:noProof/>
                <w:webHidden/>
              </w:rPr>
              <w:fldChar w:fldCharType="begin"/>
            </w:r>
            <w:r w:rsidR="00A84426">
              <w:rPr>
                <w:noProof/>
                <w:webHidden/>
              </w:rPr>
              <w:instrText xml:space="preserve"> PAGEREF _Toc223618928 \h </w:instrText>
            </w:r>
            <w:r w:rsidR="00A84426">
              <w:rPr>
                <w:noProof/>
                <w:webHidden/>
              </w:rPr>
            </w:r>
            <w:r w:rsidR="00A84426">
              <w:rPr>
                <w:noProof/>
                <w:webHidden/>
              </w:rPr>
              <w:fldChar w:fldCharType="separate"/>
            </w:r>
            <w:r w:rsidR="004C3D5C">
              <w:rPr>
                <w:noProof/>
                <w:webHidden/>
              </w:rPr>
              <w:t>11</w:t>
            </w:r>
            <w:r w:rsidR="00A84426">
              <w:rPr>
                <w:noProof/>
                <w:webHidden/>
              </w:rPr>
              <w:fldChar w:fldCharType="end"/>
            </w:r>
          </w:hyperlink>
        </w:p>
        <w:p w14:paraId="4AAED9FC" w14:textId="77777777" w:rsidR="00A84426" w:rsidRDefault="00655188">
          <w:pPr>
            <w:pStyle w:val="TDC2"/>
            <w:tabs>
              <w:tab w:val="right" w:leader="dot" w:pos="8921"/>
            </w:tabs>
            <w:rPr>
              <w:rFonts w:asciiTheme="minorHAnsi" w:eastAsiaTheme="minorEastAsia" w:hAnsiTheme="minorHAnsi" w:cstheme="minorBidi"/>
              <w:noProof/>
              <w:color w:val="auto"/>
            </w:rPr>
          </w:pPr>
          <w:hyperlink w:anchor="_Toc223618929" w:history="1">
            <w:r w:rsidR="00A84426" w:rsidRPr="00670D0A">
              <w:rPr>
                <w:rStyle w:val="Hipervnculo"/>
                <w:noProof/>
              </w:rPr>
              <w:t>CUARTO. Marco normativo aplicable en materia de transparencia y acceso a la información pública</w:t>
            </w:r>
            <w:r w:rsidR="00A84426">
              <w:rPr>
                <w:noProof/>
                <w:webHidden/>
              </w:rPr>
              <w:tab/>
            </w:r>
            <w:r w:rsidR="00A84426">
              <w:rPr>
                <w:noProof/>
                <w:webHidden/>
              </w:rPr>
              <w:fldChar w:fldCharType="begin"/>
            </w:r>
            <w:r w:rsidR="00A84426">
              <w:rPr>
                <w:noProof/>
                <w:webHidden/>
              </w:rPr>
              <w:instrText xml:space="preserve"> PAGEREF _Toc223618929 \h </w:instrText>
            </w:r>
            <w:r w:rsidR="00A84426">
              <w:rPr>
                <w:noProof/>
                <w:webHidden/>
              </w:rPr>
            </w:r>
            <w:r w:rsidR="00A84426">
              <w:rPr>
                <w:noProof/>
                <w:webHidden/>
              </w:rPr>
              <w:fldChar w:fldCharType="separate"/>
            </w:r>
            <w:r w:rsidR="004C3D5C">
              <w:rPr>
                <w:noProof/>
                <w:webHidden/>
              </w:rPr>
              <w:t>12</w:t>
            </w:r>
            <w:r w:rsidR="00A84426">
              <w:rPr>
                <w:noProof/>
                <w:webHidden/>
              </w:rPr>
              <w:fldChar w:fldCharType="end"/>
            </w:r>
          </w:hyperlink>
        </w:p>
        <w:p w14:paraId="30ED8412" w14:textId="77777777" w:rsidR="00A84426" w:rsidRDefault="00655188">
          <w:pPr>
            <w:pStyle w:val="TDC2"/>
            <w:tabs>
              <w:tab w:val="right" w:leader="dot" w:pos="8921"/>
            </w:tabs>
            <w:rPr>
              <w:rFonts w:asciiTheme="minorHAnsi" w:eastAsiaTheme="minorEastAsia" w:hAnsiTheme="minorHAnsi" w:cstheme="minorBidi"/>
              <w:noProof/>
              <w:color w:val="auto"/>
            </w:rPr>
          </w:pPr>
          <w:hyperlink w:anchor="_Toc223618930" w:history="1">
            <w:r w:rsidR="00A84426" w:rsidRPr="00670D0A">
              <w:rPr>
                <w:rStyle w:val="Hipervnculo"/>
                <w:noProof/>
              </w:rPr>
              <w:t>QUINTO. Estudio de Fondo</w:t>
            </w:r>
            <w:r w:rsidR="00A84426">
              <w:rPr>
                <w:noProof/>
                <w:webHidden/>
              </w:rPr>
              <w:tab/>
            </w:r>
            <w:r w:rsidR="00A84426">
              <w:rPr>
                <w:noProof/>
                <w:webHidden/>
              </w:rPr>
              <w:fldChar w:fldCharType="begin"/>
            </w:r>
            <w:r w:rsidR="00A84426">
              <w:rPr>
                <w:noProof/>
                <w:webHidden/>
              </w:rPr>
              <w:instrText xml:space="preserve"> PAGEREF _Toc223618930 \h </w:instrText>
            </w:r>
            <w:r w:rsidR="00A84426">
              <w:rPr>
                <w:noProof/>
                <w:webHidden/>
              </w:rPr>
            </w:r>
            <w:r w:rsidR="00A84426">
              <w:rPr>
                <w:noProof/>
                <w:webHidden/>
              </w:rPr>
              <w:fldChar w:fldCharType="separate"/>
            </w:r>
            <w:r w:rsidR="004C3D5C">
              <w:rPr>
                <w:noProof/>
                <w:webHidden/>
              </w:rPr>
              <w:t>13</w:t>
            </w:r>
            <w:r w:rsidR="00A84426">
              <w:rPr>
                <w:noProof/>
                <w:webHidden/>
              </w:rPr>
              <w:fldChar w:fldCharType="end"/>
            </w:r>
          </w:hyperlink>
        </w:p>
        <w:p w14:paraId="22F0731E" w14:textId="77777777" w:rsidR="00A84426" w:rsidRDefault="00655188">
          <w:pPr>
            <w:pStyle w:val="TDC2"/>
            <w:tabs>
              <w:tab w:val="right" w:leader="dot" w:pos="8921"/>
            </w:tabs>
            <w:rPr>
              <w:rFonts w:asciiTheme="minorHAnsi" w:eastAsiaTheme="minorEastAsia" w:hAnsiTheme="minorHAnsi" w:cstheme="minorBidi"/>
              <w:noProof/>
              <w:color w:val="auto"/>
            </w:rPr>
          </w:pPr>
          <w:hyperlink w:anchor="_Toc223618931" w:history="1">
            <w:r w:rsidR="00A84426" w:rsidRPr="00670D0A">
              <w:rPr>
                <w:rStyle w:val="Hipervnculo"/>
                <w:noProof/>
              </w:rPr>
              <w:t>SEXTO. Decisión</w:t>
            </w:r>
            <w:r w:rsidR="00A84426">
              <w:rPr>
                <w:noProof/>
                <w:webHidden/>
              </w:rPr>
              <w:tab/>
            </w:r>
            <w:r w:rsidR="00A84426">
              <w:rPr>
                <w:noProof/>
                <w:webHidden/>
              </w:rPr>
              <w:fldChar w:fldCharType="begin"/>
            </w:r>
            <w:r w:rsidR="00A84426">
              <w:rPr>
                <w:noProof/>
                <w:webHidden/>
              </w:rPr>
              <w:instrText xml:space="preserve"> PAGEREF _Toc223618931 \h </w:instrText>
            </w:r>
            <w:r w:rsidR="00A84426">
              <w:rPr>
                <w:noProof/>
                <w:webHidden/>
              </w:rPr>
            </w:r>
            <w:r w:rsidR="00A84426">
              <w:rPr>
                <w:noProof/>
                <w:webHidden/>
              </w:rPr>
              <w:fldChar w:fldCharType="separate"/>
            </w:r>
            <w:r w:rsidR="004C3D5C">
              <w:rPr>
                <w:noProof/>
                <w:webHidden/>
              </w:rPr>
              <w:t>35</w:t>
            </w:r>
            <w:r w:rsidR="00A84426">
              <w:rPr>
                <w:noProof/>
                <w:webHidden/>
              </w:rPr>
              <w:fldChar w:fldCharType="end"/>
            </w:r>
          </w:hyperlink>
        </w:p>
        <w:p w14:paraId="7D7D11CC" w14:textId="77777777" w:rsidR="00A84426" w:rsidRDefault="00655188">
          <w:pPr>
            <w:pStyle w:val="TDC1"/>
            <w:tabs>
              <w:tab w:val="right" w:leader="dot" w:pos="8921"/>
            </w:tabs>
            <w:rPr>
              <w:rFonts w:asciiTheme="minorHAnsi" w:eastAsiaTheme="minorEastAsia" w:hAnsiTheme="minorHAnsi" w:cstheme="minorBidi"/>
              <w:noProof/>
              <w:color w:val="auto"/>
            </w:rPr>
          </w:pPr>
          <w:hyperlink w:anchor="_Toc223618932" w:history="1">
            <w:r w:rsidR="00A84426" w:rsidRPr="00670D0A">
              <w:rPr>
                <w:rStyle w:val="Hipervnculo"/>
                <w:noProof/>
              </w:rPr>
              <w:t>R E S U E L V E</w:t>
            </w:r>
            <w:r w:rsidR="00A84426">
              <w:rPr>
                <w:noProof/>
                <w:webHidden/>
              </w:rPr>
              <w:tab/>
            </w:r>
            <w:r w:rsidR="00A84426">
              <w:rPr>
                <w:noProof/>
                <w:webHidden/>
              </w:rPr>
              <w:fldChar w:fldCharType="begin"/>
            </w:r>
            <w:r w:rsidR="00A84426">
              <w:rPr>
                <w:noProof/>
                <w:webHidden/>
              </w:rPr>
              <w:instrText xml:space="preserve"> PAGEREF _Toc223618932 \h </w:instrText>
            </w:r>
            <w:r w:rsidR="00A84426">
              <w:rPr>
                <w:noProof/>
                <w:webHidden/>
              </w:rPr>
            </w:r>
            <w:r w:rsidR="00A84426">
              <w:rPr>
                <w:noProof/>
                <w:webHidden/>
              </w:rPr>
              <w:fldChar w:fldCharType="separate"/>
            </w:r>
            <w:r w:rsidR="004C3D5C">
              <w:rPr>
                <w:noProof/>
                <w:webHidden/>
              </w:rPr>
              <w:t>36</w:t>
            </w:r>
            <w:r w:rsidR="00A84426">
              <w:rPr>
                <w:noProof/>
                <w:webHidden/>
              </w:rPr>
              <w:fldChar w:fldCharType="end"/>
            </w:r>
          </w:hyperlink>
        </w:p>
        <w:p w14:paraId="2B9973BA" w14:textId="4220BF63" w:rsidR="00A84426" w:rsidRDefault="00A84426">
          <w:r>
            <w:rPr>
              <w:b/>
              <w:bCs/>
              <w:lang w:val="es-ES"/>
            </w:rPr>
            <w:fldChar w:fldCharType="end"/>
          </w:r>
        </w:p>
      </w:sdtContent>
    </w:sdt>
    <w:p w14:paraId="411B5995" w14:textId="77777777" w:rsidR="00C4052B" w:rsidRPr="00B2261F" w:rsidRDefault="00C4052B" w:rsidP="00CA7740">
      <w:pPr>
        <w:tabs>
          <w:tab w:val="left" w:pos="8931"/>
        </w:tabs>
        <w:spacing w:after="0" w:line="360" w:lineRule="auto"/>
        <w:rPr>
          <w:color w:val="FF0000"/>
        </w:rPr>
      </w:pPr>
    </w:p>
    <w:p w14:paraId="6784625D" w14:textId="77777777" w:rsidR="00C4052B" w:rsidRPr="00B2261F" w:rsidRDefault="00C4052B" w:rsidP="00CA7740">
      <w:pPr>
        <w:tabs>
          <w:tab w:val="left" w:pos="8931"/>
        </w:tabs>
        <w:spacing w:after="0" w:line="360" w:lineRule="auto"/>
        <w:rPr>
          <w:color w:val="FF0000"/>
        </w:rPr>
      </w:pPr>
    </w:p>
    <w:p w14:paraId="140888DD" w14:textId="77777777" w:rsidR="00C4052B" w:rsidRPr="00B2261F" w:rsidRDefault="00C4052B" w:rsidP="00CA7740">
      <w:pPr>
        <w:tabs>
          <w:tab w:val="left" w:pos="8931"/>
        </w:tabs>
        <w:spacing w:after="0" w:line="360" w:lineRule="auto"/>
        <w:rPr>
          <w:color w:val="FF0000"/>
        </w:rPr>
      </w:pPr>
    </w:p>
    <w:p w14:paraId="46268890" w14:textId="77777777" w:rsidR="00C4052B" w:rsidRDefault="00C4052B" w:rsidP="00CA7740">
      <w:pPr>
        <w:tabs>
          <w:tab w:val="left" w:pos="8931"/>
        </w:tabs>
        <w:spacing w:after="0" w:line="360" w:lineRule="auto"/>
        <w:rPr>
          <w:color w:val="FF0000"/>
        </w:rPr>
      </w:pPr>
    </w:p>
    <w:p w14:paraId="0208015A" w14:textId="77777777" w:rsidR="00A84426" w:rsidRDefault="00A84426" w:rsidP="00CA7740">
      <w:pPr>
        <w:tabs>
          <w:tab w:val="left" w:pos="8931"/>
        </w:tabs>
        <w:spacing w:after="0" w:line="360" w:lineRule="auto"/>
        <w:rPr>
          <w:color w:val="FF0000"/>
        </w:rPr>
      </w:pPr>
    </w:p>
    <w:p w14:paraId="08288B87" w14:textId="77777777" w:rsidR="00A84426" w:rsidRDefault="00A84426" w:rsidP="00CA7740">
      <w:pPr>
        <w:tabs>
          <w:tab w:val="left" w:pos="8931"/>
        </w:tabs>
        <w:spacing w:after="0" w:line="360" w:lineRule="auto"/>
        <w:rPr>
          <w:color w:val="FF0000"/>
        </w:rPr>
      </w:pPr>
    </w:p>
    <w:p w14:paraId="167D6582" w14:textId="77777777" w:rsidR="00A84426" w:rsidRDefault="00A84426" w:rsidP="00CA7740">
      <w:pPr>
        <w:tabs>
          <w:tab w:val="left" w:pos="8931"/>
        </w:tabs>
        <w:spacing w:after="0" w:line="360" w:lineRule="auto"/>
        <w:rPr>
          <w:color w:val="FF0000"/>
        </w:rPr>
      </w:pPr>
    </w:p>
    <w:p w14:paraId="63ABDDD1" w14:textId="77777777" w:rsidR="00A84426" w:rsidRPr="00B2261F" w:rsidRDefault="00A84426" w:rsidP="00CA7740">
      <w:pPr>
        <w:tabs>
          <w:tab w:val="left" w:pos="8931"/>
        </w:tabs>
        <w:spacing w:after="0" w:line="360" w:lineRule="auto"/>
        <w:rPr>
          <w:color w:val="FF0000"/>
        </w:rPr>
      </w:pPr>
    </w:p>
    <w:p w14:paraId="7787AFE9" w14:textId="77777777" w:rsidR="00826DC4" w:rsidRDefault="00826DC4" w:rsidP="00CA7740">
      <w:pPr>
        <w:tabs>
          <w:tab w:val="left" w:pos="8931"/>
        </w:tabs>
        <w:spacing w:after="0" w:line="360" w:lineRule="auto"/>
        <w:rPr>
          <w:color w:val="FF0000"/>
        </w:rPr>
      </w:pPr>
    </w:p>
    <w:p w14:paraId="16C0EB06" w14:textId="77777777" w:rsidR="00BC739E" w:rsidRPr="00B2261F" w:rsidRDefault="00BC739E" w:rsidP="00CA7740">
      <w:pPr>
        <w:tabs>
          <w:tab w:val="left" w:pos="8931"/>
        </w:tabs>
        <w:spacing w:after="0" w:line="360" w:lineRule="auto"/>
        <w:rPr>
          <w:color w:val="FF0000"/>
        </w:rPr>
      </w:pPr>
    </w:p>
    <w:p w14:paraId="3FB7EB5E" w14:textId="137471DD" w:rsidR="005C690F" w:rsidRPr="00530177" w:rsidRDefault="007D6307" w:rsidP="00CA7740">
      <w:pPr>
        <w:tabs>
          <w:tab w:val="left" w:pos="8931"/>
        </w:tabs>
        <w:spacing w:after="0" w:line="360" w:lineRule="auto"/>
        <w:rPr>
          <w:color w:val="auto"/>
        </w:rPr>
      </w:pPr>
      <w:r w:rsidRPr="00530177">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EF0C39" w:rsidRPr="00530177">
        <w:rPr>
          <w:color w:val="auto"/>
        </w:rPr>
        <w:t>fecha</w:t>
      </w:r>
      <w:r w:rsidR="009B0BB2" w:rsidRPr="00530177">
        <w:rPr>
          <w:color w:val="auto"/>
        </w:rPr>
        <w:t xml:space="preserve"> </w:t>
      </w:r>
      <w:r w:rsidR="005671F8">
        <w:rPr>
          <w:color w:val="auto"/>
        </w:rPr>
        <w:t>cinco de marzo</w:t>
      </w:r>
      <w:r w:rsidR="00430712">
        <w:rPr>
          <w:color w:val="auto"/>
        </w:rPr>
        <w:t xml:space="preserve"> de dos mil veintiséis</w:t>
      </w:r>
      <w:r w:rsidR="00530177" w:rsidRPr="00530177">
        <w:rPr>
          <w:color w:val="auto"/>
        </w:rPr>
        <w:t>.</w:t>
      </w:r>
    </w:p>
    <w:p w14:paraId="0DCD3B82" w14:textId="77777777" w:rsidR="005C690F" w:rsidRPr="00B2261F" w:rsidRDefault="005C690F" w:rsidP="00CA7740">
      <w:pPr>
        <w:spacing w:after="0" w:line="360" w:lineRule="auto"/>
        <w:rPr>
          <w:b/>
          <w:color w:val="FF0000"/>
        </w:rPr>
      </w:pPr>
    </w:p>
    <w:p w14:paraId="1570B336" w14:textId="2B3766E1" w:rsidR="005C690F" w:rsidRPr="00530177" w:rsidRDefault="007D6307" w:rsidP="00CA7740">
      <w:pPr>
        <w:spacing w:after="0" w:line="360" w:lineRule="auto"/>
        <w:rPr>
          <w:rFonts w:eastAsia="Times New Roman" w:cs="Tahoma"/>
          <w:color w:val="auto"/>
          <w:lang w:eastAsia="es-ES"/>
        </w:rPr>
      </w:pPr>
      <w:r w:rsidRPr="008256E2">
        <w:rPr>
          <w:rFonts w:eastAsia="Times New Roman" w:cs="Tahoma"/>
          <w:b/>
          <w:color w:val="auto"/>
          <w:lang w:eastAsia="es-ES"/>
        </w:rPr>
        <w:t>VISTO</w:t>
      </w:r>
      <w:r w:rsidRPr="00530177">
        <w:rPr>
          <w:rFonts w:eastAsia="Times New Roman" w:cs="Tahoma"/>
          <w:color w:val="auto"/>
          <w:lang w:eastAsia="es-ES"/>
        </w:rPr>
        <w:t xml:space="preserve"> el expediente electrónico conformado con motivo del Recurso de Revisión </w:t>
      </w:r>
      <w:r w:rsidR="005671F8" w:rsidRPr="008256E2">
        <w:rPr>
          <w:rFonts w:eastAsia="Times New Roman" w:cs="Tahoma"/>
          <w:b/>
          <w:color w:val="auto"/>
          <w:lang w:eastAsia="es-ES"/>
        </w:rPr>
        <w:t>11141</w:t>
      </w:r>
      <w:r w:rsidR="00107B20" w:rsidRPr="008256E2">
        <w:rPr>
          <w:rFonts w:eastAsia="Times New Roman" w:cs="Tahoma"/>
          <w:b/>
          <w:color w:val="auto"/>
          <w:lang w:eastAsia="es-ES"/>
        </w:rPr>
        <w:t>/INFOEM/IP/RR/2025</w:t>
      </w:r>
      <w:r w:rsidR="001232E3">
        <w:rPr>
          <w:rFonts w:eastAsia="Times New Roman" w:cs="Tahoma"/>
          <w:color w:val="auto"/>
          <w:lang w:eastAsia="es-ES"/>
        </w:rPr>
        <w:t xml:space="preserve">, interpuesto </w:t>
      </w:r>
      <w:r w:rsidR="00E824C7">
        <w:rPr>
          <w:rFonts w:eastAsia="Times New Roman" w:cs="Tahoma"/>
          <w:color w:val="auto"/>
          <w:lang w:eastAsia="es-ES"/>
        </w:rPr>
        <w:t>por</w:t>
      </w:r>
      <w:r w:rsidR="005671F8">
        <w:rPr>
          <w:rFonts w:eastAsia="Times New Roman" w:cs="Tahoma"/>
          <w:color w:val="auto"/>
          <w:lang w:eastAsia="es-ES"/>
        </w:rPr>
        <w:t xml:space="preserve"> </w:t>
      </w:r>
      <w:r w:rsidR="00457A60" w:rsidRPr="00457A60">
        <w:rPr>
          <w:rFonts w:eastAsia="Times New Roman" w:cs="Tahoma"/>
          <w:color w:val="auto"/>
          <w:highlight w:val="black"/>
          <w:lang w:eastAsia="es-ES"/>
        </w:rPr>
        <w:t>XXXXXXXXXX</w:t>
      </w:r>
      <w:r w:rsidR="005671F8">
        <w:rPr>
          <w:rFonts w:eastAsia="Times New Roman" w:cs="Tahoma"/>
          <w:color w:val="auto"/>
          <w:lang w:eastAsia="es-ES"/>
        </w:rPr>
        <w:t>,</w:t>
      </w:r>
      <w:r w:rsidR="00933F08">
        <w:rPr>
          <w:rFonts w:eastAsia="Times New Roman" w:cs="Tahoma"/>
          <w:color w:val="auto"/>
          <w:lang w:eastAsia="es-ES"/>
        </w:rPr>
        <w:t xml:space="preserve"> </w:t>
      </w:r>
      <w:r w:rsidR="00D906B2" w:rsidRPr="00530177">
        <w:rPr>
          <w:rFonts w:eastAsia="Times New Roman" w:cs="Tahoma"/>
          <w:color w:val="auto"/>
          <w:lang w:eastAsia="es-ES"/>
        </w:rPr>
        <w:t>la persona</w:t>
      </w:r>
      <w:r w:rsidRPr="00530177">
        <w:rPr>
          <w:rFonts w:eastAsia="Times New Roman" w:cs="Tahoma"/>
          <w:color w:val="auto"/>
          <w:lang w:eastAsia="es-ES"/>
        </w:rPr>
        <w:t xml:space="preserve"> Recurrente o Particular, en contra de la respuesta del Sujeto Obligado</w:t>
      </w:r>
      <w:r w:rsidR="00705FBB" w:rsidRPr="00530177">
        <w:rPr>
          <w:rFonts w:eastAsia="Times New Roman" w:cs="Tahoma"/>
          <w:color w:val="auto"/>
          <w:lang w:eastAsia="es-ES"/>
        </w:rPr>
        <w:t xml:space="preserve">, </w:t>
      </w:r>
      <w:r w:rsidR="005671F8" w:rsidRPr="008256E2">
        <w:rPr>
          <w:rFonts w:eastAsia="Times New Roman" w:cs="Tahoma"/>
          <w:b/>
          <w:color w:val="auto"/>
          <w:lang w:eastAsia="es-ES"/>
        </w:rPr>
        <w:t>Ayuntamiento de Metepec</w:t>
      </w:r>
      <w:r w:rsidR="00430712">
        <w:rPr>
          <w:rFonts w:eastAsia="Times New Roman" w:cs="Tahoma"/>
          <w:color w:val="auto"/>
          <w:lang w:eastAsia="es-ES"/>
        </w:rPr>
        <w:t>,</w:t>
      </w:r>
      <w:r w:rsidRPr="00530177">
        <w:rPr>
          <w:rFonts w:eastAsia="Times New Roman" w:cs="Tahoma"/>
          <w:color w:val="auto"/>
          <w:lang w:eastAsia="es-ES"/>
        </w:rPr>
        <w:t xml:space="preserve"> a la solicitud de acceso a la información pública</w:t>
      </w:r>
      <w:r w:rsidR="00800641" w:rsidRPr="00530177">
        <w:rPr>
          <w:rFonts w:eastAsia="Times New Roman" w:cs="Tahoma"/>
          <w:color w:val="auto"/>
          <w:lang w:eastAsia="es-ES"/>
        </w:rPr>
        <w:t xml:space="preserve"> </w:t>
      </w:r>
      <w:r w:rsidR="001232E3" w:rsidRPr="001232E3">
        <w:rPr>
          <w:rFonts w:eastAsia="Times New Roman" w:cs="Tahoma"/>
          <w:color w:val="auto"/>
          <w:lang w:eastAsia="es-ES"/>
        </w:rPr>
        <w:t xml:space="preserve"> </w:t>
      </w:r>
      <w:r w:rsidR="005671F8" w:rsidRPr="005671F8">
        <w:rPr>
          <w:rFonts w:eastAsia="Times New Roman" w:cs="Tahoma"/>
          <w:color w:val="auto"/>
          <w:lang w:eastAsia="es-ES"/>
        </w:rPr>
        <w:t>00316/METEPEC/IP/2025</w:t>
      </w:r>
      <w:r w:rsidR="00CA4D6A">
        <w:rPr>
          <w:rFonts w:eastAsia="Times New Roman" w:cs="Tahoma"/>
          <w:color w:val="auto"/>
          <w:lang w:eastAsia="es-ES"/>
        </w:rPr>
        <w:t>,</w:t>
      </w:r>
      <w:r w:rsidRPr="00530177">
        <w:rPr>
          <w:rFonts w:eastAsia="Times New Roman" w:cs="Tahoma"/>
          <w:color w:val="auto"/>
          <w:lang w:eastAsia="es-ES"/>
        </w:rPr>
        <w:t xml:space="preserve"> se emite la presente Resolució</w:t>
      </w:r>
      <w:r w:rsidR="00C4637B">
        <w:rPr>
          <w:rFonts w:eastAsia="Times New Roman" w:cs="Tahoma"/>
          <w:color w:val="auto"/>
          <w:lang w:eastAsia="es-ES"/>
        </w:rPr>
        <w:t xml:space="preserve">n, con base en los Antecedentes </w:t>
      </w:r>
      <w:r w:rsidRPr="00530177">
        <w:rPr>
          <w:rFonts w:eastAsia="Times New Roman" w:cs="Tahoma"/>
          <w:color w:val="auto"/>
          <w:lang w:eastAsia="es-ES"/>
        </w:rPr>
        <w:t>y Considerandos que s</w:t>
      </w:r>
      <w:bookmarkStart w:id="0" w:name="_GoBack"/>
      <w:bookmarkEnd w:id="0"/>
      <w:r w:rsidRPr="00530177">
        <w:rPr>
          <w:rFonts w:eastAsia="Times New Roman" w:cs="Tahoma"/>
          <w:color w:val="auto"/>
          <w:lang w:eastAsia="es-ES"/>
        </w:rPr>
        <w:t>e exponen a continuación:</w:t>
      </w:r>
    </w:p>
    <w:p w14:paraId="1F97CEF3" w14:textId="77777777" w:rsidR="005C690F" w:rsidRPr="00530177" w:rsidRDefault="005C690F" w:rsidP="00CA7740">
      <w:pPr>
        <w:spacing w:after="0" w:line="360" w:lineRule="auto"/>
        <w:rPr>
          <w:b/>
          <w:color w:val="auto"/>
        </w:rPr>
      </w:pPr>
    </w:p>
    <w:p w14:paraId="1DEAF9D3" w14:textId="24D35555" w:rsidR="005C690F" w:rsidRPr="00530177" w:rsidRDefault="00CD6238" w:rsidP="00CA7740">
      <w:pPr>
        <w:pStyle w:val="Ttulo1"/>
        <w:spacing w:before="0" w:after="0" w:line="360" w:lineRule="auto"/>
        <w:jc w:val="center"/>
        <w:rPr>
          <w:color w:val="auto"/>
          <w:sz w:val="22"/>
          <w:szCs w:val="22"/>
        </w:rPr>
      </w:pPr>
      <w:bookmarkStart w:id="1" w:name="_Toc198156980"/>
      <w:bookmarkStart w:id="2" w:name="_Toc223618918"/>
      <w:r w:rsidRPr="00530177">
        <w:rPr>
          <w:color w:val="auto"/>
          <w:sz w:val="22"/>
          <w:szCs w:val="22"/>
        </w:rPr>
        <w:t>A N T E C E D E N T E S</w:t>
      </w:r>
      <w:bookmarkEnd w:id="1"/>
      <w:bookmarkEnd w:id="2"/>
    </w:p>
    <w:p w14:paraId="5A7EDA4F" w14:textId="77777777" w:rsidR="005C690F" w:rsidRPr="00B2261F" w:rsidRDefault="005C690F" w:rsidP="00CA7740">
      <w:pPr>
        <w:spacing w:after="0" w:line="360" w:lineRule="auto"/>
        <w:jc w:val="center"/>
        <w:rPr>
          <w:b/>
          <w:color w:val="FF0000"/>
        </w:rPr>
      </w:pPr>
    </w:p>
    <w:p w14:paraId="4930DAB9" w14:textId="77777777" w:rsidR="00E22EA8" w:rsidRPr="00530177" w:rsidRDefault="00E22EA8" w:rsidP="00CA7740">
      <w:pPr>
        <w:pStyle w:val="Ttulo2"/>
        <w:spacing w:before="0" w:after="0" w:line="360" w:lineRule="auto"/>
        <w:rPr>
          <w:color w:val="auto"/>
          <w:sz w:val="22"/>
          <w:szCs w:val="22"/>
          <w:lang w:eastAsia="es-ES"/>
        </w:rPr>
      </w:pPr>
      <w:bookmarkStart w:id="3" w:name="_Toc198156981"/>
      <w:bookmarkStart w:id="4" w:name="_Toc223618919"/>
      <w:r w:rsidRPr="00530177">
        <w:rPr>
          <w:color w:val="auto"/>
          <w:sz w:val="22"/>
          <w:szCs w:val="22"/>
          <w:lang w:eastAsia="es-ES"/>
        </w:rPr>
        <w:t>I. Presentación de la solicitud de información</w:t>
      </w:r>
      <w:bookmarkEnd w:id="3"/>
      <w:bookmarkEnd w:id="4"/>
    </w:p>
    <w:p w14:paraId="7243DA53" w14:textId="77777777" w:rsidR="00E22EA8" w:rsidRPr="00530177" w:rsidRDefault="00E22EA8" w:rsidP="00CA7740">
      <w:pPr>
        <w:tabs>
          <w:tab w:val="left" w:pos="567"/>
        </w:tabs>
        <w:spacing w:after="0" w:line="360" w:lineRule="auto"/>
        <w:rPr>
          <w:rFonts w:eastAsia="Times New Roman" w:cs="Tahoma"/>
          <w:color w:val="auto"/>
          <w:lang w:eastAsia="es-ES"/>
        </w:rPr>
      </w:pPr>
    </w:p>
    <w:p w14:paraId="301B8A4E" w14:textId="62F581BB" w:rsidR="00E22EA8" w:rsidRPr="00530177" w:rsidRDefault="00D906B2" w:rsidP="00CA7740">
      <w:pPr>
        <w:spacing w:after="0" w:line="360" w:lineRule="auto"/>
        <w:rPr>
          <w:color w:val="auto"/>
        </w:rPr>
      </w:pPr>
      <w:r w:rsidRPr="00530177">
        <w:rPr>
          <w:rFonts w:eastAsia="Times New Roman" w:cs="Tahoma"/>
          <w:color w:val="auto"/>
          <w:lang w:eastAsia="es-ES"/>
        </w:rPr>
        <w:t>El</w:t>
      </w:r>
      <w:r w:rsidR="00D52EC1" w:rsidRPr="00530177">
        <w:rPr>
          <w:rFonts w:eastAsia="Times New Roman" w:cs="Tahoma"/>
          <w:color w:val="auto"/>
          <w:lang w:eastAsia="es-ES"/>
        </w:rPr>
        <w:t xml:space="preserve"> </w:t>
      </w:r>
      <w:r w:rsidR="005671F8">
        <w:rPr>
          <w:rFonts w:eastAsia="Times New Roman" w:cs="Tahoma"/>
          <w:color w:val="auto"/>
          <w:lang w:eastAsia="es-ES"/>
        </w:rPr>
        <w:t>quince de agosto</w:t>
      </w:r>
      <w:r w:rsidR="00530177" w:rsidRPr="00530177">
        <w:rPr>
          <w:rFonts w:eastAsia="Times New Roman" w:cs="Tahoma"/>
          <w:color w:val="auto"/>
          <w:lang w:eastAsia="es-ES"/>
        </w:rPr>
        <w:t xml:space="preserve"> de </w:t>
      </w:r>
      <w:r w:rsidR="008E0DC4" w:rsidRPr="00530177">
        <w:rPr>
          <w:rFonts w:eastAsia="Times New Roman" w:cs="Tahoma"/>
          <w:color w:val="auto"/>
          <w:lang w:eastAsia="es-ES"/>
        </w:rPr>
        <w:t xml:space="preserve">dos mil </w:t>
      </w:r>
      <w:r w:rsidR="00C4637B">
        <w:rPr>
          <w:rFonts w:eastAsia="Times New Roman" w:cs="Tahoma"/>
          <w:color w:val="auto"/>
          <w:lang w:eastAsia="es-ES"/>
        </w:rPr>
        <w:t xml:space="preserve">veinticinco, </w:t>
      </w:r>
      <w:r w:rsidR="009B0BB2" w:rsidRPr="00530177">
        <w:rPr>
          <w:rFonts w:eastAsia="Times New Roman" w:cs="Tahoma"/>
          <w:color w:val="auto"/>
          <w:lang w:eastAsia="es-ES"/>
        </w:rPr>
        <w:t>el</w:t>
      </w:r>
      <w:r w:rsidR="00E22EA8" w:rsidRPr="00530177">
        <w:rPr>
          <w:rFonts w:eastAsia="Times New Roman" w:cs="Tahoma"/>
          <w:color w:val="auto"/>
          <w:lang w:eastAsia="es-ES"/>
        </w:rPr>
        <w:t xml:space="preserve"> Particular presentó una solicitud de acceso a la información pública, a través del Sistema de Acceso a la Información Mexiquense (SAIMEX), ante</w:t>
      </w:r>
      <w:r w:rsidR="000B3C56" w:rsidRPr="00530177">
        <w:rPr>
          <w:rFonts w:eastAsia="Times New Roman" w:cs="Tahoma"/>
          <w:color w:val="auto"/>
          <w:lang w:eastAsia="es-ES"/>
        </w:rPr>
        <w:t xml:space="preserve"> </w:t>
      </w:r>
      <w:r w:rsidR="00DC175C" w:rsidRPr="00530177">
        <w:rPr>
          <w:rFonts w:eastAsia="Times New Roman" w:cs="Tahoma"/>
          <w:color w:val="auto"/>
          <w:lang w:eastAsia="es-ES"/>
        </w:rPr>
        <w:t>el</w:t>
      </w:r>
      <w:r w:rsidR="00DC175C" w:rsidRPr="00530177">
        <w:rPr>
          <w:color w:val="auto"/>
        </w:rPr>
        <w:t xml:space="preserve"> </w:t>
      </w:r>
      <w:r w:rsidR="005671F8">
        <w:rPr>
          <w:rFonts w:eastAsia="Times New Roman" w:cs="Tahoma"/>
          <w:color w:val="auto"/>
          <w:lang w:eastAsia="es-ES"/>
        </w:rPr>
        <w:t>Ayuntamiento de Metepec</w:t>
      </w:r>
      <w:r w:rsidR="008E0DC4" w:rsidRPr="00530177">
        <w:rPr>
          <w:rFonts w:eastAsia="Calibri" w:cs="Times New Roman"/>
          <w:color w:val="auto"/>
        </w:rPr>
        <w:t>,</w:t>
      </w:r>
      <w:r w:rsidR="00DC175C" w:rsidRPr="00530177">
        <w:rPr>
          <w:rFonts w:eastAsia="Calibri" w:cs="Tahoma"/>
          <w:color w:val="auto"/>
        </w:rPr>
        <w:t xml:space="preserve"> </w:t>
      </w:r>
      <w:r w:rsidR="00E22EA8" w:rsidRPr="00530177">
        <w:rPr>
          <w:rFonts w:eastAsia="Calibri" w:cs="Tahoma"/>
          <w:color w:val="auto"/>
        </w:rPr>
        <w:t xml:space="preserve">en los siguientes términos: </w:t>
      </w:r>
    </w:p>
    <w:p w14:paraId="2B959865" w14:textId="77777777" w:rsidR="00E22EA8" w:rsidRPr="00B2261F" w:rsidRDefault="00E22EA8" w:rsidP="00CA7740">
      <w:pPr>
        <w:spacing w:after="0" w:line="360" w:lineRule="auto"/>
        <w:rPr>
          <w:rFonts w:eastAsia="Calibri" w:cs="Tahoma"/>
          <w:color w:val="FF0000"/>
        </w:rPr>
      </w:pPr>
    </w:p>
    <w:p w14:paraId="5122D73E" w14:textId="1454B0E4" w:rsidR="002B17F0" w:rsidRPr="00530177" w:rsidRDefault="00125F26" w:rsidP="00CA7740">
      <w:pPr>
        <w:tabs>
          <w:tab w:val="left" w:pos="4667"/>
        </w:tabs>
        <w:spacing w:after="0" w:line="360" w:lineRule="auto"/>
        <w:ind w:left="567" w:right="567"/>
        <w:rPr>
          <w:rFonts w:eastAsia="Times New Roman" w:cs="Tahoma"/>
          <w:b/>
          <w:i/>
          <w:iCs/>
          <w:color w:val="auto"/>
          <w:sz w:val="20"/>
          <w:szCs w:val="20"/>
          <w:lang w:eastAsia="es-ES"/>
        </w:rPr>
      </w:pPr>
      <w:r w:rsidRPr="00530177">
        <w:rPr>
          <w:rFonts w:eastAsia="Times New Roman" w:cs="Tahoma"/>
          <w:b/>
          <w:i/>
          <w:iCs/>
          <w:color w:val="auto"/>
          <w:sz w:val="20"/>
          <w:szCs w:val="20"/>
          <w:lang w:eastAsia="es-ES"/>
        </w:rPr>
        <w:t>“</w:t>
      </w:r>
      <w:r w:rsidR="00E22EA8" w:rsidRPr="00530177">
        <w:rPr>
          <w:rFonts w:eastAsia="Times New Roman" w:cs="Tahoma"/>
          <w:b/>
          <w:i/>
          <w:iCs/>
          <w:color w:val="auto"/>
          <w:sz w:val="20"/>
          <w:szCs w:val="20"/>
          <w:lang w:eastAsia="es-ES"/>
        </w:rPr>
        <w:t>DESCRIPCIÓN CLARA Y PRECI</w:t>
      </w:r>
      <w:r w:rsidR="007F04A3" w:rsidRPr="00530177">
        <w:rPr>
          <w:rFonts w:eastAsia="Times New Roman" w:cs="Tahoma"/>
          <w:b/>
          <w:i/>
          <w:iCs/>
          <w:color w:val="auto"/>
          <w:sz w:val="20"/>
          <w:szCs w:val="20"/>
          <w:lang w:eastAsia="es-ES"/>
        </w:rPr>
        <w:t>SA DE LA INFORMACIÓN SOLICITADA</w:t>
      </w:r>
    </w:p>
    <w:p w14:paraId="3D010AF3" w14:textId="4FBCA84F" w:rsidR="00E22EA8" w:rsidRPr="00530177" w:rsidRDefault="005671F8" w:rsidP="00CA7740">
      <w:pPr>
        <w:spacing w:after="0" w:line="360" w:lineRule="auto"/>
        <w:ind w:left="567" w:right="567"/>
        <w:rPr>
          <w:rFonts w:eastAsia="Times New Roman" w:cs="Arial"/>
          <w:bCs/>
          <w:i/>
          <w:iCs/>
          <w:color w:val="auto"/>
          <w:sz w:val="20"/>
          <w:lang w:eastAsia="es-ES"/>
        </w:rPr>
      </w:pPr>
      <w:r w:rsidRPr="005671F8">
        <w:rPr>
          <w:rFonts w:eastAsia="Times New Roman" w:cs="Arial"/>
          <w:bCs/>
          <w:i/>
          <w:iCs/>
          <w:color w:val="auto"/>
          <w:sz w:val="20"/>
          <w:lang w:eastAsia="es-ES"/>
        </w:rPr>
        <w:t>Director de Desarrollo urbano Presente Solicito atentamente se me envien todos los cambios de uso del suelo, incluyendo todos sus anexos, que fueron autorizados por el director de desarrollo urbano o en su caso en el coplademun de los años 2022, 2023, 2024 y 2025 incluyendo las versiones estenograficas de las sesiones de coplademun, en su caso, que se llevaron a cabo en esos años.</w:t>
      </w:r>
      <w:r w:rsidR="006F2A1D" w:rsidRPr="006F2A1D">
        <w:rPr>
          <w:rFonts w:eastAsia="Times New Roman" w:cs="Arial"/>
          <w:bCs/>
          <w:i/>
          <w:iCs/>
          <w:color w:val="auto"/>
          <w:sz w:val="20"/>
          <w:lang w:eastAsia="es-ES"/>
        </w:rPr>
        <w:t>.</w:t>
      </w:r>
      <w:r w:rsidR="001232E3" w:rsidRPr="001232E3">
        <w:rPr>
          <w:rFonts w:eastAsia="Times New Roman" w:cs="Arial"/>
          <w:bCs/>
          <w:i/>
          <w:iCs/>
          <w:color w:val="auto"/>
          <w:sz w:val="20"/>
          <w:lang w:eastAsia="es-ES"/>
        </w:rPr>
        <w:t>.</w:t>
      </w:r>
      <w:r w:rsidR="001232E3" w:rsidRPr="00530177">
        <w:rPr>
          <w:rFonts w:eastAsia="Times New Roman" w:cs="Arial"/>
          <w:bCs/>
          <w:i/>
          <w:iCs/>
          <w:color w:val="auto"/>
          <w:sz w:val="20"/>
          <w:lang w:eastAsia="es-ES"/>
        </w:rPr>
        <w:t>..”</w:t>
      </w:r>
      <w:r w:rsidR="00530177" w:rsidRPr="00530177">
        <w:rPr>
          <w:rFonts w:eastAsia="Times New Roman" w:cs="Arial"/>
          <w:bCs/>
          <w:i/>
          <w:iCs/>
          <w:color w:val="auto"/>
          <w:sz w:val="20"/>
          <w:lang w:eastAsia="es-ES"/>
        </w:rPr>
        <w:t xml:space="preserve"> (Sic)</w:t>
      </w:r>
    </w:p>
    <w:p w14:paraId="6983D825" w14:textId="77777777" w:rsidR="006F2A1D" w:rsidRPr="00530177" w:rsidRDefault="006F2A1D" w:rsidP="00CA7740">
      <w:pPr>
        <w:tabs>
          <w:tab w:val="left" w:pos="4667"/>
        </w:tabs>
        <w:spacing w:after="0" w:line="360" w:lineRule="auto"/>
        <w:ind w:right="567"/>
        <w:rPr>
          <w:rFonts w:eastAsia="Times New Roman" w:cs="Tahoma"/>
          <w:b/>
          <w:bCs/>
          <w:i/>
          <w:iCs/>
          <w:color w:val="auto"/>
          <w:sz w:val="20"/>
          <w:lang w:eastAsia="es-ES"/>
        </w:rPr>
      </w:pPr>
    </w:p>
    <w:p w14:paraId="6C0DE105" w14:textId="3FEE2196" w:rsidR="00E22EA8" w:rsidRPr="00530177" w:rsidRDefault="00125F26" w:rsidP="00CA7740">
      <w:pPr>
        <w:tabs>
          <w:tab w:val="left" w:pos="4667"/>
        </w:tabs>
        <w:spacing w:after="0" w:line="360" w:lineRule="auto"/>
        <w:ind w:left="567" w:right="567"/>
        <w:rPr>
          <w:rFonts w:eastAsia="Times New Roman" w:cs="Tahoma"/>
          <w:b/>
          <w:bCs/>
          <w:i/>
          <w:iCs/>
          <w:color w:val="auto"/>
          <w:sz w:val="20"/>
          <w:lang w:eastAsia="es-ES"/>
        </w:rPr>
      </w:pPr>
      <w:r w:rsidRPr="00530177">
        <w:rPr>
          <w:rFonts w:eastAsia="Times New Roman" w:cs="Tahoma"/>
          <w:b/>
          <w:bCs/>
          <w:i/>
          <w:iCs/>
          <w:color w:val="auto"/>
          <w:sz w:val="20"/>
          <w:lang w:eastAsia="es-ES"/>
        </w:rPr>
        <w:t>“</w:t>
      </w:r>
      <w:r w:rsidR="00E22EA8" w:rsidRPr="00530177">
        <w:rPr>
          <w:rFonts w:eastAsia="Times New Roman" w:cs="Tahoma"/>
          <w:b/>
          <w:bCs/>
          <w:i/>
          <w:iCs/>
          <w:color w:val="auto"/>
          <w:sz w:val="20"/>
          <w:lang w:eastAsia="es-ES"/>
        </w:rPr>
        <w:t>MODALIDAD DE ENTREGA</w:t>
      </w:r>
    </w:p>
    <w:p w14:paraId="09BDE938" w14:textId="0470FB78" w:rsidR="00B60BB0" w:rsidRDefault="009B0BB2" w:rsidP="00CA7740">
      <w:pPr>
        <w:spacing w:after="0" w:line="360" w:lineRule="auto"/>
        <w:ind w:left="567" w:right="567"/>
        <w:rPr>
          <w:rFonts w:eastAsia="Times New Roman" w:cs="Arial"/>
          <w:bCs/>
          <w:i/>
          <w:iCs/>
          <w:color w:val="auto"/>
          <w:sz w:val="20"/>
          <w:lang w:eastAsia="es-ES"/>
        </w:rPr>
      </w:pPr>
      <w:r w:rsidRPr="00530177">
        <w:rPr>
          <w:rFonts w:eastAsia="Times New Roman" w:cs="Arial"/>
          <w:bCs/>
          <w:i/>
          <w:iCs/>
          <w:color w:val="auto"/>
          <w:sz w:val="20"/>
          <w:lang w:eastAsia="es-ES"/>
        </w:rPr>
        <w:t>A través del SAIMEX”</w:t>
      </w:r>
    </w:p>
    <w:p w14:paraId="4E7B0B5D" w14:textId="77777777" w:rsidR="001232E3" w:rsidRDefault="001232E3" w:rsidP="00CA7740">
      <w:pPr>
        <w:spacing w:after="0" w:line="360" w:lineRule="auto"/>
        <w:ind w:left="567" w:right="567"/>
        <w:rPr>
          <w:rFonts w:eastAsia="Times New Roman" w:cs="Arial"/>
          <w:bCs/>
          <w:i/>
          <w:iCs/>
          <w:color w:val="auto"/>
          <w:sz w:val="20"/>
          <w:lang w:eastAsia="es-ES"/>
        </w:rPr>
      </w:pPr>
    </w:p>
    <w:p w14:paraId="05F3BF9E" w14:textId="77777777" w:rsidR="00CF2DFA" w:rsidRDefault="00CF2DFA" w:rsidP="00CA7740">
      <w:pPr>
        <w:spacing w:after="0" w:line="360" w:lineRule="auto"/>
        <w:ind w:right="567"/>
        <w:rPr>
          <w:rFonts w:eastAsia="Times New Roman" w:cs="Arial"/>
          <w:bCs/>
          <w:i/>
          <w:iCs/>
          <w:color w:val="auto"/>
          <w:sz w:val="20"/>
          <w:lang w:eastAsia="es-ES"/>
        </w:rPr>
      </w:pPr>
    </w:p>
    <w:p w14:paraId="0C714587" w14:textId="77777777" w:rsidR="00CF2DFA" w:rsidRDefault="00CF2DFA" w:rsidP="00CA7740">
      <w:pPr>
        <w:pStyle w:val="Ttulo2"/>
        <w:spacing w:before="0" w:after="0" w:line="360" w:lineRule="auto"/>
        <w:rPr>
          <w:color w:val="auto"/>
        </w:rPr>
      </w:pPr>
      <w:bookmarkStart w:id="5" w:name="_Toc223618920"/>
      <w:r>
        <w:rPr>
          <w:color w:val="000000"/>
          <w:sz w:val="22"/>
          <w:szCs w:val="22"/>
        </w:rPr>
        <w:t>II. Prórroga para atender la solicitud de información</w:t>
      </w:r>
      <w:bookmarkEnd w:id="5"/>
      <w:r>
        <w:rPr>
          <w:color w:val="000000"/>
          <w:sz w:val="22"/>
          <w:szCs w:val="22"/>
        </w:rPr>
        <w:t> </w:t>
      </w:r>
    </w:p>
    <w:p w14:paraId="7084FF4B" w14:textId="77777777" w:rsidR="00CF2DFA" w:rsidRDefault="00CF2DFA" w:rsidP="00CA7740">
      <w:pPr>
        <w:pStyle w:val="Ttulo2"/>
        <w:spacing w:before="0" w:after="0" w:line="360" w:lineRule="auto"/>
      </w:pPr>
      <w:r>
        <w:rPr>
          <w:color w:val="000000"/>
          <w:sz w:val="22"/>
          <w:szCs w:val="22"/>
        </w:rPr>
        <w:t> </w:t>
      </w:r>
    </w:p>
    <w:p w14:paraId="3942C361" w14:textId="5967FFB6" w:rsidR="00CF2DFA" w:rsidRDefault="00CF2DFA" w:rsidP="00CA7740">
      <w:pPr>
        <w:pStyle w:val="Ttulo2"/>
        <w:spacing w:before="0" w:after="0" w:line="360" w:lineRule="auto"/>
      </w:pPr>
      <w:bookmarkStart w:id="6" w:name="_Toc223618921"/>
      <w:r>
        <w:rPr>
          <w:b w:val="0"/>
          <w:bCs/>
          <w:color w:val="000000"/>
          <w:sz w:val="22"/>
          <w:szCs w:val="22"/>
        </w:rPr>
        <w:t>Con fecha cinco de septiembre de dos mil veinticinco, el Sujeto Obligado, a través del Sistema de Acceso a la Información Mexiquense (SAIMEX), y mediante el Titular de la Unidad de Transparencia del Sujeto Obligado, informó que se aprobó una prórroga por siete días para atender la solicitud de información, sin embargo, se observó que fue omiso en proporcionar el Acuerdo del Comité de Transparencia que sustentara dicha circunstancia, por lo que se le insta a que en solicitudes subsecuentes proporcione el acuerdo del comité correspondiente.</w:t>
      </w:r>
      <w:bookmarkEnd w:id="6"/>
    </w:p>
    <w:p w14:paraId="31BE4DEF" w14:textId="77777777" w:rsidR="00CF2DFA" w:rsidRPr="00530177" w:rsidRDefault="00CF2DFA" w:rsidP="00CA7740">
      <w:pPr>
        <w:spacing w:after="0" w:line="360" w:lineRule="auto"/>
        <w:ind w:left="567" w:right="567"/>
        <w:rPr>
          <w:rFonts w:eastAsia="Times New Roman" w:cs="Arial"/>
          <w:bCs/>
          <w:i/>
          <w:iCs/>
          <w:color w:val="auto"/>
          <w:sz w:val="20"/>
          <w:lang w:eastAsia="es-ES"/>
        </w:rPr>
      </w:pPr>
    </w:p>
    <w:p w14:paraId="0A604AAC" w14:textId="12E23FB8" w:rsidR="00E22EA8" w:rsidRPr="00530177" w:rsidRDefault="00107B20" w:rsidP="00CA7740">
      <w:pPr>
        <w:pStyle w:val="Ttulo2"/>
        <w:spacing w:before="0" w:after="0" w:line="360" w:lineRule="auto"/>
        <w:rPr>
          <w:color w:val="auto"/>
          <w:sz w:val="22"/>
          <w:szCs w:val="22"/>
        </w:rPr>
      </w:pPr>
      <w:bookmarkStart w:id="7" w:name="_Toc198156982"/>
      <w:bookmarkStart w:id="8" w:name="_Toc223618922"/>
      <w:r w:rsidRPr="00530177">
        <w:rPr>
          <w:color w:val="auto"/>
          <w:sz w:val="22"/>
          <w:szCs w:val="22"/>
        </w:rPr>
        <w:t>I</w:t>
      </w:r>
      <w:r w:rsidR="00CF2DFA">
        <w:rPr>
          <w:color w:val="auto"/>
          <w:sz w:val="22"/>
          <w:szCs w:val="22"/>
        </w:rPr>
        <w:t>I</w:t>
      </w:r>
      <w:r w:rsidRPr="00530177">
        <w:rPr>
          <w:color w:val="auto"/>
          <w:sz w:val="22"/>
          <w:szCs w:val="22"/>
        </w:rPr>
        <w:t xml:space="preserve">I. </w:t>
      </w:r>
      <w:r w:rsidR="007B4DAD" w:rsidRPr="00530177">
        <w:rPr>
          <w:color w:val="auto"/>
          <w:sz w:val="22"/>
          <w:szCs w:val="22"/>
        </w:rPr>
        <w:t xml:space="preserve"> </w:t>
      </w:r>
      <w:r w:rsidR="00E22EA8" w:rsidRPr="00530177">
        <w:rPr>
          <w:color w:val="auto"/>
          <w:sz w:val="22"/>
          <w:szCs w:val="22"/>
        </w:rPr>
        <w:t>Respuesta del Sujeto Obligado</w:t>
      </w:r>
      <w:bookmarkEnd w:id="7"/>
      <w:bookmarkEnd w:id="8"/>
    </w:p>
    <w:p w14:paraId="10CE94A9" w14:textId="77777777" w:rsidR="00C06004" w:rsidRPr="00530177" w:rsidRDefault="00C06004" w:rsidP="00CA7740">
      <w:pPr>
        <w:autoSpaceDE w:val="0"/>
        <w:autoSpaceDN w:val="0"/>
        <w:adjustRightInd w:val="0"/>
        <w:spacing w:after="0" w:line="360" w:lineRule="auto"/>
        <w:rPr>
          <w:b/>
          <w:bCs/>
          <w:color w:val="auto"/>
        </w:rPr>
      </w:pPr>
    </w:p>
    <w:p w14:paraId="378402C1" w14:textId="2D3D0301" w:rsidR="00E22393" w:rsidRDefault="00011477" w:rsidP="00CA7740">
      <w:pPr>
        <w:spacing w:after="0" w:line="360" w:lineRule="auto"/>
        <w:rPr>
          <w:color w:val="auto"/>
        </w:rPr>
      </w:pPr>
      <w:r w:rsidRPr="00530177">
        <w:rPr>
          <w:color w:val="auto"/>
        </w:rPr>
        <w:t xml:space="preserve">El </w:t>
      </w:r>
      <w:r w:rsidR="00E14764">
        <w:rPr>
          <w:color w:val="auto"/>
        </w:rPr>
        <w:t>diecisiete de septiembre</w:t>
      </w:r>
      <w:r w:rsidR="00530177" w:rsidRPr="00530177">
        <w:rPr>
          <w:color w:val="auto"/>
        </w:rPr>
        <w:t xml:space="preserve"> de </w:t>
      </w:r>
      <w:r w:rsidR="00CD4DE8" w:rsidRPr="00530177">
        <w:rPr>
          <w:color w:val="auto"/>
        </w:rPr>
        <w:t>dos mil veinticinco</w:t>
      </w:r>
      <w:r w:rsidR="00E22EA8" w:rsidRPr="00530177">
        <w:rPr>
          <w:color w:val="auto"/>
        </w:rPr>
        <w:t xml:space="preserve">, el Sujeto Obligado notificó, a través del Sistema de Acceso a la Información Mexiquense (SAIMEX), la respuesta a la solicitud de acceso a la información pública, </w:t>
      </w:r>
      <w:r w:rsidR="004D1D8F" w:rsidRPr="00530177">
        <w:rPr>
          <w:color w:val="auto"/>
        </w:rPr>
        <w:t xml:space="preserve">a través </w:t>
      </w:r>
      <w:r w:rsidR="0078286D">
        <w:rPr>
          <w:color w:val="auto"/>
        </w:rPr>
        <w:t>del siguiente documento:</w:t>
      </w:r>
    </w:p>
    <w:p w14:paraId="54D7C11A" w14:textId="77777777" w:rsidR="00E824C7" w:rsidRDefault="00E824C7" w:rsidP="00CA7740">
      <w:pPr>
        <w:spacing w:after="0" w:line="360" w:lineRule="auto"/>
        <w:rPr>
          <w:iCs/>
          <w:color w:val="auto"/>
          <w:szCs w:val="20"/>
        </w:rPr>
      </w:pPr>
    </w:p>
    <w:p w14:paraId="69E82711" w14:textId="0846AC41" w:rsidR="007F1D63" w:rsidRDefault="00E824C7" w:rsidP="00CA7740">
      <w:pPr>
        <w:spacing w:after="0" w:line="360" w:lineRule="auto"/>
        <w:rPr>
          <w:iCs/>
          <w:color w:val="auto"/>
          <w:szCs w:val="20"/>
        </w:rPr>
      </w:pPr>
      <w:r>
        <w:rPr>
          <w:iCs/>
          <w:color w:val="auto"/>
          <w:szCs w:val="20"/>
        </w:rPr>
        <w:t xml:space="preserve">i) </w:t>
      </w:r>
      <w:r w:rsidR="0018152F" w:rsidRPr="00E824C7">
        <w:rPr>
          <w:iCs/>
          <w:color w:val="auto"/>
          <w:szCs w:val="20"/>
        </w:rPr>
        <w:t>Oficio</w:t>
      </w:r>
      <w:r w:rsidR="007F1D63">
        <w:rPr>
          <w:iCs/>
          <w:color w:val="auto"/>
          <w:szCs w:val="20"/>
        </w:rPr>
        <w:t xml:space="preserve"> número </w:t>
      </w:r>
      <w:r w:rsidR="00E14764">
        <w:rPr>
          <w:iCs/>
          <w:color w:val="auto"/>
          <w:szCs w:val="20"/>
        </w:rPr>
        <w:t>DDUyM/UAJ/2464/2025</w:t>
      </w:r>
      <w:r w:rsidR="007F1D63">
        <w:rPr>
          <w:iCs/>
          <w:color w:val="auto"/>
          <w:szCs w:val="20"/>
        </w:rPr>
        <w:t xml:space="preserve">, de fecha </w:t>
      </w:r>
      <w:r w:rsidR="00E14764">
        <w:rPr>
          <w:iCs/>
          <w:color w:val="auto"/>
          <w:szCs w:val="20"/>
        </w:rPr>
        <w:t>nueve</w:t>
      </w:r>
      <w:r w:rsidR="00096A18">
        <w:rPr>
          <w:iCs/>
          <w:color w:val="auto"/>
          <w:szCs w:val="20"/>
        </w:rPr>
        <w:t xml:space="preserve"> de septiembre</w:t>
      </w:r>
      <w:r w:rsidR="007F1D63">
        <w:rPr>
          <w:iCs/>
          <w:color w:val="auto"/>
          <w:szCs w:val="20"/>
        </w:rPr>
        <w:t xml:space="preserve"> suscrito por </w:t>
      </w:r>
      <w:r w:rsidR="00E14764">
        <w:rPr>
          <w:iCs/>
          <w:color w:val="auto"/>
          <w:szCs w:val="20"/>
        </w:rPr>
        <w:t>el Director de Desarrollo Urbano</w:t>
      </w:r>
      <w:r w:rsidR="007F1D63">
        <w:rPr>
          <w:iCs/>
          <w:color w:val="auto"/>
          <w:szCs w:val="20"/>
        </w:rPr>
        <w:t xml:space="preserve"> y dirigido al Titular de la Unidad de Transparencia en donde refiere lo siguiente:</w:t>
      </w:r>
    </w:p>
    <w:p w14:paraId="2787D060" w14:textId="77777777" w:rsidR="007F1D63" w:rsidRDefault="007F1D63" w:rsidP="00CA7740">
      <w:pPr>
        <w:spacing w:after="0" w:line="360" w:lineRule="auto"/>
        <w:rPr>
          <w:iCs/>
          <w:color w:val="auto"/>
          <w:szCs w:val="20"/>
        </w:rPr>
      </w:pPr>
    </w:p>
    <w:p w14:paraId="1C4D7E1F" w14:textId="13160BF3" w:rsidR="00A731ED" w:rsidRDefault="007F1D63" w:rsidP="00CA7740">
      <w:pPr>
        <w:pStyle w:val="Prrafodelista"/>
        <w:spacing w:line="360" w:lineRule="auto"/>
        <w:ind w:left="567" w:right="567"/>
        <w:rPr>
          <w:i/>
          <w:iCs/>
          <w:color w:val="auto"/>
          <w:sz w:val="20"/>
          <w:szCs w:val="20"/>
        </w:rPr>
      </w:pPr>
      <w:r>
        <w:rPr>
          <w:iCs/>
          <w:color w:val="auto"/>
          <w:szCs w:val="20"/>
        </w:rPr>
        <w:t>“</w:t>
      </w:r>
      <w:r w:rsidR="00A731ED" w:rsidRPr="003754BB">
        <w:rPr>
          <w:i/>
          <w:iCs/>
          <w:color w:val="auto"/>
          <w:sz w:val="20"/>
          <w:szCs w:val="20"/>
        </w:rPr>
        <w:t>Con la finalidad de atender la solicitud del particular, oportunamente, le informo que después de una búsqueda exhaustiva, la información sobrepasas las capacidades técnicas del SAIMEX, debido a que el peso de la misma rebaso los 727MB.</w:t>
      </w:r>
    </w:p>
    <w:p w14:paraId="5F6E6FE3" w14:textId="77777777" w:rsidR="003754BB" w:rsidRPr="003754BB" w:rsidRDefault="003754BB" w:rsidP="00CA7740">
      <w:pPr>
        <w:pStyle w:val="Prrafodelista"/>
        <w:spacing w:line="360" w:lineRule="auto"/>
        <w:ind w:left="567" w:right="567"/>
        <w:rPr>
          <w:i/>
          <w:iCs/>
          <w:color w:val="auto"/>
          <w:sz w:val="20"/>
          <w:szCs w:val="20"/>
        </w:rPr>
      </w:pPr>
    </w:p>
    <w:p w14:paraId="740BF4D6" w14:textId="1C8E0052" w:rsidR="00043930" w:rsidRPr="003754BB" w:rsidRDefault="00A731ED" w:rsidP="00CA7740">
      <w:pPr>
        <w:pStyle w:val="Prrafodelista"/>
        <w:spacing w:line="360" w:lineRule="auto"/>
        <w:ind w:left="567" w:right="567"/>
        <w:rPr>
          <w:i/>
          <w:iCs/>
          <w:color w:val="auto"/>
          <w:sz w:val="20"/>
          <w:szCs w:val="20"/>
        </w:rPr>
      </w:pPr>
      <w:r w:rsidRPr="003754BB">
        <w:rPr>
          <w:i/>
          <w:iCs/>
          <w:color w:val="auto"/>
          <w:sz w:val="20"/>
          <w:szCs w:val="20"/>
        </w:rPr>
        <w:t xml:space="preserve">Se pone a disposición del recurrente en todas las modalidades que permite la documentación, </w:t>
      </w:r>
      <w:r w:rsidR="003754BB">
        <w:rPr>
          <w:i/>
          <w:iCs/>
          <w:color w:val="auto"/>
          <w:sz w:val="20"/>
          <w:szCs w:val="20"/>
        </w:rPr>
        <w:t>tales como el CD, correo certificado previo pago de derechos una vez que proporcione su domicilio, Copias simples o certificadas, cubriendo el costo reproductivo, entrega digital y consulta directa deberá asistir a las oficinas</w:t>
      </w:r>
      <w:r w:rsidR="00096A18" w:rsidRPr="003754BB">
        <w:rPr>
          <w:i/>
          <w:iCs/>
          <w:color w:val="auto"/>
          <w:sz w:val="20"/>
          <w:szCs w:val="20"/>
        </w:rPr>
        <w:t>.”</w:t>
      </w:r>
    </w:p>
    <w:p w14:paraId="7E7FBB31" w14:textId="23F7ECDC" w:rsidR="00E22EA8" w:rsidRPr="00EE2207" w:rsidRDefault="00E22EA8" w:rsidP="00CA7740">
      <w:pPr>
        <w:pStyle w:val="Ttulo2"/>
        <w:spacing w:before="0" w:after="0" w:line="360" w:lineRule="auto"/>
        <w:rPr>
          <w:color w:val="auto"/>
          <w:sz w:val="22"/>
          <w:szCs w:val="22"/>
        </w:rPr>
      </w:pPr>
      <w:bookmarkStart w:id="9" w:name="_Toc198156983"/>
      <w:bookmarkStart w:id="10" w:name="_Toc223618923"/>
      <w:r w:rsidRPr="00EE2207">
        <w:rPr>
          <w:color w:val="auto"/>
          <w:sz w:val="22"/>
          <w:szCs w:val="22"/>
        </w:rPr>
        <w:t>I</w:t>
      </w:r>
      <w:r w:rsidR="00CF2DFA">
        <w:rPr>
          <w:color w:val="auto"/>
          <w:sz w:val="22"/>
          <w:szCs w:val="22"/>
        </w:rPr>
        <w:t>V</w:t>
      </w:r>
      <w:r w:rsidRPr="00EE2207">
        <w:rPr>
          <w:color w:val="auto"/>
          <w:sz w:val="22"/>
          <w:szCs w:val="22"/>
        </w:rPr>
        <w:t>. Interposición del Recurso de Revisión</w:t>
      </w:r>
      <w:bookmarkEnd w:id="9"/>
      <w:bookmarkEnd w:id="10"/>
    </w:p>
    <w:p w14:paraId="053D45CF" w14:textId="77777777" w:rsidR="00E22EA8" w:rsidRPr="00B2261F" w:rsidRDefault="00E22EA8" w:rsidP="00CA7740">
      <w:pPr>
        <w:spacing w:after="0" w:line="360" w:lineRule="auto"/>
        <w:rPr>
          <w:b/>
          <w:color w:val="FF0000"/>
        </w:rPr>
      </w:pPr>
    </w:p>
    <w:p w14:paraId="50E14EC8" w14:textId="0D323864" w:rsidR="00F215CA" w:rsidRPr="00EE2207" w:rsidRDefault="00083169" w:rsidP="00CA7740">
      <w:pPr>
        <w:spacing w:after="0" w:line="360" w:lineRule="auto"/>
        <w:rPr>
          <w:bCs/>
          <w:color w:val="auto"/>
        </w:rPr>
      </w:pPr>
      <w:r w:rsidRPr="00EE2207">
        <w:rPr>
          <w:bCs/>
          <w:color w:val="auto"/>
        </w:rPr>
        <w:t>El</w:t>
      </w:r>
      <w:r w:rsidR="008E5E71" w:rsidRPr="00EE2207">
        <w:rPr>
          <w:bCs/>
          <w:color w:val="auto"/>
        </w:rPr>
        <w:t xml:space="preserve"> </w:t>
      </w:r>
      <w:r w:rsidR="00E14764">
        <w:rPr>
          <w:color w:val="auto"/>
        </w:rPr>
        <w:t>veintiocho de septiembre</w:t>
      </w:r>
      <w:r w:rsidR="00EE2207" w:rsidRPr="00EE2207">
        <w:rPr>
          <w:color w:val="auto"/>
        </w:rPr>
        <w:t xml:space="preserve"> </w:t>
      </w:r>
      <w:r w:rsidR="008E5E71" w:rsidRPr="00EE2207">
        <w:rPr>
          <w:color w:val="auto"/>
        </w:rPr>
        <w:t>de dos mil veinticinco</w:t>
      </w:r>
      <w:r w:rsidR="00930FCC" w:rsidRPr="00EE2207">
        <w:rPr>
          <w:color w:val="auto"/>
        </w:rPr>
        <w:t xml:space="preserve">, </w:t>
      </w:r>
      <w:r w:rsidR="00E22EA8" w:rsidRPr="00EE2207">
        <w:rPr>
          <w:bCs/>
          <w:color w:val="auto"/>
        </w:rPr>
        <w:t xml:space="preserve">se recibió en este Instituto, a través del </w:t>
      </w:r>
      <w:r w:rsidR="00E22EA8" w:rsidRPr="00EE2207">
        <w:rPr>
          <w:bCs/>
          <w:color w:val="auto"/>
          <w:lang w:val="es-ES"/>
        </w:rPr>
        <w:t>Sistema de Acceso a la Información Mexiquense (SAIMEX)</w:t>
      </w:r>
      <w:r w:rsidR="00E22EA8" w:rsidRPr="00EE2207">
        <w:rPr>
          <w:bCs/>
          <w:color w:val="auto"/>
        </w:rPr>
        <w:t xml:space="preserve">, </w:t>
      </w:r>
      <w:r w:rsidR="009019A8" w:rsidRPr="00EE2207">
        <w:rPr>
          <w:bCs/>
          <w:color w:val="auto"/>
        </w:rPr>
        <w:t xml:space="preserve">el </w:t>
      </w:r>
      <w:r w:rsidR="00E22EA8" w:rsidRPr="00EE2207">
        <w:rPr>
          <w:bCs/>
          <w:color w:val="auto"/>
        </w:rPr>
        <w:t>Recurso de Revisión interpuesto por la p</w:t>
      </w:r>
      <w:r w:rsidRPr="00EE2207">
        <w:rPr>
          <w:bCs/>
          <w:color w:val="auto"/>
        </w:rPr>
        <w:t>ersona</w:t>
      </w:r>
      <w:r w:rsidR="00E22EA8" w:rsidRPr="00EE2207">
        <w:rPr>
          <w:bCs/>
          <w:color w:val="auto"/>
        </w:rPr>
        <w:t xml:space="preserve"> Recurrente, en contra de la respuesta por el Sujeto Obligado, a la solicitud de información</w:t>
      </w:r>
      <w:r w:rsidR="00F43789" w:rsidRPr="00EE2207">
        <w:rPr>
          <w:rFonts w:eastAsia="Calibri" w:cs="Times New Roman"/>
          <w:color w:val="auto"/>
        </w:rPr>
        <w:t xml:space="preserve">, </w:t>
      </w:r>
      <w:r w:rsidR="00E22EA8" w:rsidRPr="00EE2207">
        <w:rPr>
          <w:bCs/>
          <w:color w:val="auto"/>
        </w:rPr>
        <w:t>en los siguientes términos:</w:t>
      </w:r>
    </w:p>
    <w:p w14:paraId="499DDBDB" w14:textId="4535707E" w:rsidR="008E5E71" w:rsidRPr="00B2261F" w:rsidRDefault="008E5E71" w:rsidP="00CA7740">
      <w:pPr>
        <w:spacing w:after="0" w:line="360" w:lineRule="auto"/>
        <w:ind w:left="567" w:right="567"/>
        <w:rPr>
          <w:b/>
          <w:bCs/>
          <w:i/>
          <w:color w:val="FF0000"/>
          <w:sz w:val="20"/>
          <w:szCs w:val="20"/>
        </w:rPr>
      </w:pPr>
    </w:p>
    <w:p w14:paraId="3365DB25" w14:textId="670D5C28" w:rsidR="006861C3" w:rsidRPr="00EE2207" w:rsidRDefault="00E12804" w:rsidP="00CA7740">
      <w:pPr>
        <w:spacing w:after="0" w:line="360" w:lineRule="auto"/>
        <w:ind w:left="567" w:right="567"/>
        <w:rPr>
          <w:b/>
          <w:bCs/>
          <w:i/>
          <w:color w:val="auto"/>
          <w:sz w:val="20"/>
          <w:szCs w:val="20"/>
        </w:rPr>
      </w:pPr>
      <w:r w:rsidRPr="00EE2207">
        <w:rPr>
          <w:b/>
          <w:bCs/>
          <w:i/>
          <w:color w:val="auto"/>
          <w:sz w:val="20"/>
          <w:szCs w:val="20"/>
        </w:rPr>
        <w:t>‘’</w:t>
      </w:r>
      <w:r w:rsidR="00E22EA8" w:rsidRPr="00EE2207">
        <w:rPr>
          <w:b/>
          <w:bCs/>
          <w:i/>
          <w:color w:val="auto"/>
          <w:sz w:val="20"/>
          <w:szCs w:val="20"/>
        </w:rPr>
        <w:t>ACTO IMPUGNADO</w:t>
      </w:r>
    </w:p>
    <w:p w14:paraId="038EB7EA" w14:textId="355616F4" w:rsidR="00096A18" w:rsidRDefault="00E14764" w:rsidP="00CA7740">
      <w:pPr>
        <w:spacing w:after="0" w:line="360" w:lineRule="auto"/>
        <w:ind w:left="567" w:right="567"/>
        <w:rPr>
          <w:rFonts w:eastAsia="Times New Roman" w:cs="Times New Roman"/>
          <w:i/>
          <w:iCs/>
          <w:color w:val="auto"/>
          <w:sz w:val="20"/>
          <w:szCs w:val="20"/>
          <w:lang w:eastAsia="es-ES"/>
        </w:rPr>
      </w:pPr>
      <w:r w:rsidRPr="00E14764">
        <w:rPr>
          <w:rFonts w:eastAsia="Times New Roman" w:cs="Times New Roman"/>
          <w:i/>
          <w:iCs/>
          <w:color w:val="auto"/>
          <w:sz w:val="20"/>
          <w:szCs w:val="20"/>
          <w:lang w:eastAsia="es-ES"/>
        </w:rPr>
        <w:t>La respuesta a la solicitud de infomración numero 00316/METEPEC/IP/2025 contenida en el oficio DDUYM/UAJ/2464/2025</w:t>
      </w:r>
    </w:p>
    <w:p w14:paraId="42BB5752" w14:textId="77777777" w:rsidR="00E14764" w:rsidRPr="00B2261F" w:rsidRDefault="00E14764" w:rsidP="00CA7740">
      <w:pPr>
        <w:spacing w:after="0" w:line="360" w:lineRule="auto"/>
        <w:ind w:left="567" w:right="567"/>
        <w:rPr>
          <w:i/>
          <w:color w:val="FF0000"/>
          <w:sz w:val="20"/>
          <w:szCs w:val="20"/>
        </w:rPr>
      </w:pPr>
    </w:p>
    <w:p w14:paraId="1EF6399F" w14:textId="28611731" w:rsidR="006861C3" w:rsidRPr="00EE2207" w:rsidRDefault="00E12804" w:rsidP="00CA7740">
      <w:pPr>
        <w:spacing w:after="0" w:line="360" w:lineRule="auto"/>
        <w:ind w:left="567" w:right="567"/>
        <w:rPr>
          <w:b/>
          <w:i/>
          <w:color w:val="auto"/>
          <w:sz w:val="20"/>
          <w:szCs w:val="20"/>
        </w:rPr>
      </w:pPr>
      <w:r w:rsidRPr="00EE2207">
        <w:rPr>
          <w:b/>
          <w:i/>
          <w:color w:val="auto"/>
          <w:sz w:val="20"/>
          <w:szCs w:val="20"/>
        </w:rPr>
        <w:t>‘’</w:t>
      </w:r>
      <w:r w:rsidR="00E22EA8" w:rsidRPr="00EE2207">
        <w:rPr>
          <w:b/>
          <w:i/>
          <w:color w:val="auto"/>
          <w:sz w:val="20"/>
          <w:szCs w:val="20"/>
        </w:rPr>
        <w:t>RAZONES O MOTIVOS DE LA INCONFORMIDAD</w:t>
      </w:r>
    </w:p>
    <w:p w14:paraId="75C19380" w14:textId="32268E08" w:rsidR="00F215CA" w:rsidRDefault="00E14764" w:rsidP="00CA7740">
      <w:pPr>
        <w:pStyle w:val="Prrafodelista"/>
        <w:spacing w:line="360" w:lineRule="auto"/>
        <w:ind w:left="567" w:right="567"/>
        <w:rPr>
          <w:i/>
          <w:iCs/>
          <w:color w:val="auto"/>
          <w:sz w:val="20"/>
          <w:szCs w:val="20"/>
        </w:rPr>
      </w:pPr>
      <w:r w:rsidRPr="00E14764">
        <w:rPr>
          <w:i/>
          <w:iCs/>
          <w:color w:val="auto"/>
          <w:sz w:val="20"/>
          <w:szCs w:val="20"/>
        </w:rPr>
        <w:t>La respuesta del Sujeto Obligado vulnera mi derecho de acceso a la información, pues impone barreras injustificadas para la entrega de la misma. Mi inconformidad se basa en lo siguiente: PRIMERO.- Mi solicitud original requería la entrega de la información a través de la plataforma SAIMEX. El Sujeto Obligado argumenta que esto es imposible porque los archivos superan los 727 MB. Si bien se reconoce que la plataforma puede tener un límite de tamaño, esta justificación no es suficiente para modificar la entrega de un medio electrónico a uno presencial. En la actualidad, existen múltiples plataformas gratuitas para transferir archivos de gran tamaño sin requerir la presencia física del solicitante. El Sujeto Obligado pudo y debió optar por alguna de ellas, como por ejemplo, proporcionar un enlace de descarga a través de un servicio de almacenamiento en la nube tales como Google Drive, OneDrive, WeTransfer, etc. SEGUNDO.- La Ley de Transparencia busca que el acceso a la información sea sencillo y expedito. Forzarme a acudir a las oficinas de la Dirección de Desarrollo Urbano en Metepec impone costos indirectos de tiempo y transporte. La solicitud se realizó por un medio electrónico precisamente para evitar traslados. TERCERO.- El propio oficio de respuesta señala que la Dirección de Desarrollo Urbano "solicita se someta a consideración del Comité de Transparencia, el cambio de modalidad de entrega". Esto significa que al momento de notificarme, la decisión ni siquiera es definitiva. Se me está dando una respuesta condicionada. Por lo anteriormente expuesto y fundado, solicito a este Instituto: Primero. Tener por interpuesto en tiempo y forma el presente recurso de revisión. Segundo. Revocar la respuesta del Sujeto Obligado contenida en el oficio DDUYM/UAJ/2464/2025. Tercero. Ordenar al Municipio de Metepec que entregue la información solicitada a través del medio electrónico solicitado y que no requiera mi presencia física para hacerme entrega de esta.</w:t>
      </w:r>
      <w:r w:rsidRPr="00096A18">
        <w:rPr>
          <w:i/>
          <w:iCs/>
          <w:color w:val="auto"/>
          <w:sz w:val="20"/>
          <w:szCs w:val="20"/>
        </w:rPr>
        <w:t>”</w:t>
      </w:r>
    </w:p>
    <w:p w14:paraId="2D5C1911" w14:textId="77777777" w:rsidR="00E14764" w:rsidRPr="00EE2207" w:rsidRDefault="00E14764" w:rsidP="00CA7740">
      <w:pPr>
        <w:pStyle w:val="Prrafodelista"/>
        <w:spacing w:line="360" w:lineRule="auto"/>
        <w:ind w:left="567" w:right="567"/>
        <w:rPr>
          <w:i/>
          <w:iCs/>
          <w:color w:val="auto"/>
          <w:sz w:val="20"/>
          <w:szCs w:val="20"/>
        </w:rPr>
      </w:pPr>
    </w:p>
    <w:p w14:paraId="15204BE1" w14:textId="7FEB8231" w:rsidR="00EE2207" w:rsidRPr="00E14764" w:rsidRDefault="00E14764" w:rsidP="00CA7740">
      <w:pPr>
        <w:spacing w:after="0" w:line="360" w:lineRule="auto"/>
        <w:ind w:right="567"/>
        <w:rPr>
          <w:iCs/>
          <w:color w:val="auto"/>
          <w:szCs w:val="20"/>
        </w:rPr>
      </w:pPr>
      <w:r>
        <w:rPr>
          <w:iCs/>
          <w:color w:val="auto"/>
          <w:szCs w:val="20"/>
        </w:rPr>
        <w:t>-El recurrente digitalizo la contestación emitida por el Sujeto Obligado.</w:t>
      </w:r>
    </w:p>
    <w:p w14:paraId="0C23A213" w14:textId="77777777" w:rsidR="00E14764" w:rsidRPr="00EE2207" w:rsidRDefault="00E14764" w:rsidP="00CA7740">
      <w:pPr>
        <w:pStyle w:val="Prrafodelista"/>
        <w:spacing w:line="360" w:lineRule="auto"/>
        <w:ind w:left="567" w:right="567"/>
        <w:rPr>
          <w:i/>
          <w:iCs/>
          <w:color w:val="auto"/>
          <w:sz w:val="20"/>
          <w:szCs w:val="20"/>
        </w:rPr>
      </w:pPr>
    </w:p>
    <w:p w14:paraId="009DB65C" w14:textId="79466E96" w:rsidR="00E22EA8" w:rsidRPr="00EE2207" w:rsidRDefault="00E22EA8" w:rsidP="00CA7740">
      <w:pPr>
        <w:pStyle w:val="Ttulo2"/>
        <w:spacing w:before="0" w:after="0" w:line="360" w:lineRule="auto"/>
        <w:rPr>
          <w:color w:val="auto"/>
          <w:sz w:val="22"/>
          <w:szCs w:val="22"/>
        </w:rPr>
      </w:pPr>
      <w:bookmarkStart w:id="11" w:name="_Toc198156984"/>
      <w:bookmarkStart w:id="12" w:name="_Toc223618924"/>
      <w:r w:rsidRPr="00EE2207">
        <w:rPr>
          <w:color w:val="auto"/>
          <w:sz w:val="22"/>
          <w:szCs w:val="22"/>
        </w:rPr>
        <w:t>V. Trámite del Recurso de Revisión ante este Instituto</w:t>
      </w:r>
      <w:bookmarkEnd w:id="11"/>
      <w:bookmarkEnd w:id="12"/>
    </w:p>
    <w:p w14:paraId="5C9B63F8" w14:textId="77777777" w:rsidR="009B2DAB" w:rsidRPr="00B2261F" w:rsidRDefault="009B2DAB" w:rsidP="00CA7740">
      <w:pPr>
        <w:spacing w:after="0" w:line="360" w:lineRule="auto"/>
        <w:rPr>
          <w:b/>
          <w:bCs/>
          <w:color w:val="FF0000"/>
        </w:rPr>
      </w:pPr>
    </w:p>
    <w:p w14:paraId="173768ED" w14:textId="0E7104C9" w:rsidR="00E22EA8" w:rsidRPr="00EE2207" w:rsidRDefault="00E22EA8" w:rsidP="00CA7740">
      <w:pPr>
        <w:spacing w:after="0" w:line="360" w:lineRule="auto"/>
        <w:rPr>
          <w:bCs/>
          <w:color w:val="auto"/>
        </w:rPr>
      </w:pPr>
      <w:r w:rsidRPr="00EE2207">
        <w:rPr>
          <w:b/>
          <w:bCs/>
          <w:color w:val="auto"/>
        </w:rPr>
        <w:t>a) Turno del Medio de Impugnación.</w:t>
      </w:r>
      <w:r w:rsidR="000A706F" w:rsidRPr="00EE2207">
        <w:rPr>
          <w:bCs/>
          <w:color w:val="auto"/>
        </w:rPr>
        <w:t xml:space="preserve"> El</w:t>
      </w:r>
      <w:r w:rsidR="00E64E18" w:rsidRPr="00EE2207">
        <w:rPr>
          <w:bCs/>
          <w:color w:val="auto"/>
        </w:rPr>
        <w:t xml:space="preserve"> </w:t>
      </w:r>
      <w:r w:rsidR="00E14764">
        <w:rPr>
          <w:color w:val="auto"/>
        </w:rPr>
        <w:t>veintiocho de septiembre</w:t>
      </w:r>
      <w:r w:rsidR="00EE2207" w:rsidRPr="00EE2207">
        <w:rPr>
          <w:color w:val="auto"/>
        </w:rPr>
        <w:t xml:space="preserve"> </w:t>
      </w:r>
      <w:r w:rsidR="00E64E18" w:rsidRPr="00EE2207">
        <w:rPr>
          <w:color w:val="auto"/>
        </w:rPr>
        <w:t>de dos mil veinticinco</w:t>
      </w:r>
      <w:r w:rsidRPr="00EE2207">
        <w:rPr>
          <w:bCs/>
          <w:color w:val="auto"/>
        </w:rPr>
        <w:t xml:space="preserve">, el </w:t>
      </w:r>
      <w:r w:rsidRPr="00EE2207">
        <w:rPr>
          <w:color w:val="auto"/>
          <w:lang w:val="es-ES"/>
        </w:rPr>
        <w:t>Sistema de Acceso a la Información Mexiquense (SAIMEX),</w:t>
      </w:r>
      <w:r w:rsidRPr="00EE2207">
        <w:rPr>
          <w:bCs/>
          <w:color w:val="auto"/>
        </w:rPr>
        <w:t xml:space="preserve"> asignó el número de expediente </w:t>
      </w:r>
      <w:r w:rsidR="00E14764">
        <w:rPr>
          <w:b/>
          <w:bCs/>
          <w:color w:val="auto"/>
        </w:rPr>
        <w:t>11141</w:t>
      </w:r>
      <w:r w:rsidR="00107B20" w:rsidRPr="00EE2207">
        <w:rPr>
          <w:b/>
          <w:bCs/>
          <w:color w:val="auto"/>
        </w:rPr>
        <w:t>/INFOEM/IP/RR/2025</w:t>
      </w:r>
      <w:r w:rsidRPr="00EE2207">
        <w:rPr>
          <w:bCs/>
          <w:color w:val="auto"/>
        </w:rPr>
        <w:t xml:space="preserve">, al medio de impugnación que nos ocupa, con base en el sistema aprobado por el Pleno de este </w:t>
      </w:r>
      <w:r w:rsidR="00B65BCA" w:rsidRPr="00EE2207">
        <w:rPr>
          <w:bCs/>
          <w:color w:val="auto"/>
        </w:rPr>
        <w:t>Organismo</w:t>
      </w:r>
      <w:r w:rsidRPr="00EE2207">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EE2207" w:rsidRDefault="005914EE" w:rsidP="00CA7740">
      <w:pPr>
        <w:spacing w:after="0" w:line="360" w:lineRule="auto"/>
        <w:rPr>
          <w:b/>
          <w:bCs/>
          <w:color w:val="auto"/>
        </w:rPr>
      </w:pPr>
    </w:p>
    <w:p w14:paraId="61891480" w14:textId="0AA9FBBD" w:rsidR="00E22EA8" w:rsidRDefault="00E22EA8" w:rsidP="00CA7740">
      <w:pPr>
        <w:spacing w:after="0" w:line="360" w:lineRule="auto"/>
        <w:rPr>
          <w:bCs/>
          <w:color w:val="auto"/>
          <w:lang w:val="es-ES_tradnl"/>
        </w:rPr>
      </w:pPr>
      <w:r w:rsidRPr="00EE2207">
        <w:rPr>
          <w:b/>
          <w:bCs/>
          <w:color w:val="auto"/>
        </w:rPr>
        <w:t>b) Admisión del Recurso de Revisión</w:t>
      </w:r>
      <w:r w:rsidRPr="00EE2207">
        <w:rPr>
          <w:b/>
          <w:bCs/>
          <w:color w:val="auto"/>
          <w:lang w:val="es-ES_tradnl"/>
        </w:rPr>
        <w:t xml:space="preserve">. </w:t>
      </w:r>
      <w:r w:rsidRPr="00EE2207">
        <w:rPr>
          <w:bCs/>
          <w:color w:val="auto"/>
          <w:lang w:val="es-ES_tradnl"/>
        </w:rPr>
        <w:t>El</w:t>
      </w:r>
      <w:r w:rsidR="00E64E18" w:rsidRPr="00EE2207">
        <w:rPr>
          <w:bCs/>
          <w:color w:val="auto"/>
          <w:lang w:val="es-ES_tradnl"/>
        </w:rPr>
        <w:t xml:space="preserve"> </w:t>
      </w:r>
      <w:r w:rsidR="00C11959">
        <w:rPr>
          <w:color w:val="auto"/>
        </w:rPr>
        <w:t>dos</w:t>
      </w:r>
      <w:r w:rsidR="00096A18">
        <w:rPr>
          <w:color w:val="auto"/>
        </w:rPr>
        <w:t xml:space="preserve"> de octubre</w:t>
      </w:r>
      <w:r w:rsidR="00EE2207" w:rsidRPr="00EE2207">
        <w:rPr>
          <w:color w:val="auto"/>
        </w:rPr>
        <w:t xml:space="preserve"> </w:t>
      </w:r>
      <w:r w:rsidR="00E64E18" w:rsidRPr="00EE2207">
        <w:rPr>
          <w:color w:val="auto"/>
        </w:rPr>
        <w:t>de dos mil veinticinco</w:t>
      </w:r>
      <w:r w:rsidRPr="00EE2207">
        <w:rPr>
          <w:bCs/>
          <w:color w:val="auto"/>
          <w:lang w:val="es-ES_tradnl"/>
        </w:rPr>
        <w:t xml:space="preserve">, se acordó la admisión del Recurso de Revisión interpuesto por </w:t>
      </w:r>
      <w:r w:rsidR="00261B92" w:rsidRPr="00EE2207">
        <w:rPr>
          <w:bCs/>
          <w:color w:val="auto"/>
          <w:lang w:val="es-ES_tradnl"/>
        </w:rPr>
        <w:t>la persona</w:t>
      </w:r>
      <w:r w:rsidRPr="00EE2207">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EE2207">
        <w:rPr>
          <w:bCs/>
          <w:color w:val="auto"/>
          <w:lang w:val="es-ES_tradnl"/>
        </w:rPr>
        <w:t>el</w:t>
      </w:r>
      <w:r w:rsidR="000A706F" w:rsidRPr="00EE2207">
        <w:rPr>
          <w:bCs/>
          <w:color w:val="auto"/>
          <w:lang w:val="es-ES_tradnl"/>
        </w:rPr>
        <w:t xml:space="preserve"> mismo día</w:t>
      </w:r>
      <w:r w:rsidRPr="00EE2207">
        <w:rPr>
          <w:bCs/>
          <w:color w:val="auto"/>
          <w:lang w:val="es-ES_tradnl"/>
        </w:rPr>
        <w:t>, a través del Sistema de Acceso a la Información Mexiquense (SAIMEX), en el que se les otorgó un plazo de siete días hábiles posteriores a la misma, para que manifestaran lo que a su derecho c</w:t>
      </w:r>
      <w:r w:rsidR="00992530">
        <w:rPr>
          <w:bCs/>
          <w:color w:val="auto"/>
          <w:lang w:val="es-ES_tradnl"/>
        </w:rPr>
        <w:t>onviniera y formularan alegatos.</w:t>
      </w:r>
    </w:p>
    <w:p w14:paraId="3A5E9370" w14:textId="77777777" w:rsidR="00992530" w:rsidRPr="00EE2207" w:rsidRDefault="00992530" w:rsidP="00CA7740">
      <w:pPr>
        <w:spacing w:after="0" w:line="360" w:lineRule="auto"/>
        <w:rPr>
          <w:color w:val="auto"/>
        </w:rPr>
      </w:pPr>
    </w:p>
    <w:p w14:paraId="556EA4ED" w14:textId="11D268D7" w:rsidR="00C11959" w:rsidRPr="00C11959" w:rsidRDefault="00C11959" w:rsidP="00CA7740">
      <w:pPr>
        <w:spacing w:after="0" w:line="360" w:lineRule="auto"/>
        <w:rPr>
          <w:rFonts w:ascii="Times New Roman" w:eastAsia="Times New Roman" w:hAnsi="Times New Roman" w:cs="Times New Roman"/>
          <w:color w:val="auto"/>
          <w:sz w:val="24"/>
          <w:szCs w:val="24"/>
        </w:rPr>
      </w:pPr>
      <w:r w:rsidRPr="00C11959">
        <w:rPr>
          <w:rFonts w:eastAsia="Times New Roman" w:cs="Times New Roman"/>
          <w:b/>
          <w:bCs/>
          <w:color w:val="000000"/>
        </w:rPr>
        <w:t>c) Informe Justificado.</w:t>
      </w:r>
      <w:r w:rsidRPr="00C11959">
        <w:rPr>
          <w:rFonts w:eastAsia="Times New Roman" w:cs="Times New Roman"/>
          <w:color w:val="000000"/>
        </w:rPr>
        <w:t xml:space="preserve"> El </w:t>
      </w:r>
      <w:r>
        <w:rPr>
          <w:rFonts w:eastAsia="Times New Roman" w:cs="Times New Roman"/>
          <w:color w:val="000000"/>
        </w:rPr>
        <w:t>veintidós de octubre</w:t>
      </w:r>
      <w:r w:rsidRPr="00C11959">
        <w:rPr>
          <w:rFonts w:eastAsia="Times New Roman" w:cs="Times New Roman"/>
          <w:color w:val="000000"/>
        </w:rPr>
        <w:t xml:space="preserve"> de dos mil veinticinco, a través del Sistema de Acceso a la Información Mexiquense (SAIMEX), se recibió en este Instituto el informe justificado por parte del Sujeto Obligado, a través de</w:t>
      </w:r>
      <w:r w:rsidR="00EC3027">
        <w:rPr>
          <w:rFonts w:eastAsia="Times New Roman" w:cs="Times New Roman"/>
          <w:color w:val="000000"/>
        </w:rPr>
        <w:t xml:space="preserve"> la digitalización de un escrito</w:t>
      </w:r>
      <w:r w:rsidRPr="00C11959">
        <w:rPr>
          <w:rFonts w:eastAsia="Times New Roman" w:cs="Times New Roman"/>
          <w:color w:val="000000"/>
        </w:rPr>
        <w:t>, por medio del cual se ratificó la respuesta inicial del Sujeto Obligado.</w:t>
      </w:r>
    </w:p>
    <w:p w14:paraId="10B9FAC8" w14:textId="77777777" w:rsidR="00C11959" w:rsidRPr="00C11959" w:rsidRDefault="00C11959" w:rsidP="00CA7740">
      <w:pPr>
        <w:spacing w:after="0" w:line="360" w:lineRule="auto"/>
        <w:rPr>
          <w:rFonts w:ascii="Times New Roman" w:eastAsia="Times New Roman" w:hAnsi="Times New Roman" w:cs="Times New Roman"/>
          <w:color w:val="auto"/>
          <w:sz w:val="24"/>
          <w:szCs w:val="24"/>
        </w:rPr>
      </w:pPr>
    </w:p>
    <w:p w14:paraId="49D68699" w14:textId="77777777" w:rsidR="00C11959" w:rsidRPr="00C11959" w:rsidRDefault="00C11959" w:rsidP="00CA7740">
      <w:pPr>
        <w:spacing w:after="0" w:line="360" w:lineRule="auto"/>
        <w:rPr>
          <w:rFonts w:ascii="Times New Roman" w:eastAsia="Times New Roman" w:hAnsi="Times New Roman" w:cs="Times New Roman"/>
          <w:color w:val="auto"/>
          <w:sz w:val="24"/>
          <w:szCs w:val="24"/>
        </w:rPr>
      </w:pPr>
      <w:r w:rsidRPr="00C11959">
        <w:rPr>
          <w:rFonts w:eastAsia="Times New Roman" w:cs="Times New Roman"/>
          <w:b/>
          <w:bCs/>
          <w:color w:val="000000"/>
        </w:rPr>
        <w:t>d) Vista al Informe Justificado.</w:t>
      </w:r>
      <w:r w:rsidRPr="00C11959">
        <w:rPr>
          <w:rFonts w:eastAsia="Times New Roman" w:cs="Times New Roman"/>
          <w:color w:val="000000"/>
        </w:rPr>
        <w:t xml:space="preserve"> El veinticinco de febrero de dos mil veintiséis, se notificó a través del Sistema de Acceso a la Información Mexiquense (SAIMEX), el acuerdo mediante el cual se puso a la vista del Particular el Informe Justificado del Recurso de Revisión, proveído por el cual se le otorgó un término de tres días hábiles contados a partir del día siguiente a la notificación, a fin de emitir las manifestaciones que conforme a sus intereses convinieran. </w:t>
      </w:r>
      <w:r w:rsidRPr="00C11959">
        <w:rPr>
          <w:rFonts w:eastAsia="Times New Roman" w:cs="Times New Roman"/>
          <w:b/>
          <w:bCs/>
          <w:color w:val="000000"/>
        </w:rPr>
        <w:t>Cabe señalar que el Particular fue omiso en realizar manifestación alguna.</w:t>
      </w:r>
    </w:p>
    <w:p w14:paraId="13029B1A" w14:textId="77777777" w:rsidR="00E824C7" w:rsidRDefault="00E824C7" w:rsidP="00CA7740">
      <w:pPr>
        <w:spacing w:after="0" w:line="360" w:lineRule="auto"/>
        <w:contextualSpacing/>
        <w:rPr>
          <w:color w:val="auto"/>
        </w:rPr>
      </w:pPr>
    </w:p>
    <w:p w14:paraId="4EAB35C4" w14:textId="102DCC09" w:rsidR="00C11959" w:rsidRDefault="00C11959" w:rsidP="00CA7740">
      <w:pPr>
        <w:spacing w:after="0" w:line="360" w:lineRule="auto"/>
        <w:rPr>
          <w:rFonts w:cs="Tahoma"/>
        </w:rPr>
      </w:pPr>
      <w:r>
        <w:rPr>
          <w:rFonts w:cs="Tahoma"/>
          <w:b/>
        </w:rPr>
        <w:t>e</w:t>
      </w:r>
      <w:r w:rsidRPr="003B166F">
        <w:rPr>
          <w:rFonts w:cs="Tahoma"/>
          <w:b/>
        </w:rPr>
        <w:t>) Requerimiento de información adicional</w:t>
      </w:r>
      <w:r w:rsidRPr="003B166F">
        <w:rPr>
          <w:rFonts w:cs="Tahoma"/>
        </w:rPr>
        <w:t xml:space="preserve">. El </w:t>
      </w:r>
      <w:r w:rsidR="00EC3027">
        <w:rPr>
          <w:rFonts w:cs="Tahoma"/>
        </w:rPr>
        <w:t>veinte de febrero de dos mil veintiséis</w:t>
      </w:r>
      <w:r w:rsidRPr="003B166F">
        <w:rPr>
          <w:rFonts w:cs="Tahoma"/>
        </w:rPr>
        <w:t xml:space="preserve">, se emitió un requerimiento de información adicional suscrito por el Comisionado Ponente el cual es dirigido a la Titular de la Unidad de Transparencia del Sujeto Obligado, lo anterior de conformidad con los artículos 14, fracciones I, II, V y XVI, del Reglamento Interior del Instituto de Transparencia, Acceso a la Información Pública y Protección de Datos Personales del Estado de México y Municipios, mismo que fue notificado al Ayuntamiento de </w:t>
      </w:r>
      <w:r w:rsidR="00092F85">
        <w:rPr>
          <w:rFonts w:cs="Tahoma"/>
        </w:rPr>
        <w:t>Metepec</w:t>
      </w:r>
      <w:r w:rsidRPr="003B166F">
        <w:rPr>
          <w:rFonts w:cs="Tahoma"/>
        </w:rPr>
        <w:t>, el mismo día, a través de correo electrónico y el Sistema de Acceso a la Información Mexiquense (SAIMEX), por medio del cual se le solicitó lo siguiente:</w:t>
      </w:r>
    </w:p>
    <w:p w14:paraId="193A83A3" w14:textId="77777777" w:rsidR="00C11959" w:rsidRDefault="00C11959" w:rsidP="00CA7740">
      <w:pPr>
        <w:spacing w:after="0" w:line="360" w:lineRule="auto"/>
        <w:rPr>
          <w:rFonts w:cs="Tahoma"/>
        </w:rPr>
      </w:pPr>
    </w:p>
    <w:p w14:paraId="39A590CD" w14:textId="38F6C2E3" w:rsidR="00092F85" w:rsidRPr="00C27D4F" w:rsidRDefault="00092F85" w:rsidP="00CA7740">
      <w:pPr>
        <w:pStyle w:val="Prrafodelista"/>
        <w:numPr>
          <w:ilvl w:val="0"/>
          <w:numId w:val="17"/>
        </w:numPr>
        <w:spacing w:line="360" w:lineRule="auto"/>
        <w:rPr>
          <w:rFonts w:cs="Tahoma"/>
          <w:i/>
          <w:sz w:val="20"/>
        </w:rPr>
      </w:pPr>
      <w:r w:rsidRPr="00C27D4F">
        <w:rPr>
          <w:i/>
          <w:sz w:val="20"/>
        </w:rPr>
        <w:t xml:space="preserve">Los cambios de uso de suelo, incluyendo anexos y versiones estenográficas autorizados por el Director de Desarrollo Urbano o su caso por el COPLADEMUN, del dos mil veintidós al dos mil veinticinco, en donde en respuesta señaló que al realizar la búsqueda exhaustiva la información sobrepasa las capacidades técnicas del SAIMEX. Por lo que para realizar el proyecto solicitamos la siguiente </w:t>
      </w:r>
      <w:r w:rsidR="00C27D4F" w:rsidRPr="00C27D4F">
        <w:rPr>
          <w:i/>
          <w:sz w:val="20"/>
        </w:rPr>
        <w:t>información</w:t>
      </w:r>
      <w:r w:rsidRPr="00C27D4F">
        <w:rPr>
          <w:i/>
          <w:sz w:val="20"/>
        </w:rPr>
        <w:t>.</w:t>
      </w:r>
    </w:p>
    <w:p w14:paraId="2F9BF482" w14:textId="48E2A375" w:rsidR="00092F85" w:rsidRPr="00C27D4F" w:rsidRDefault="00092F85" w:rsidP="00CA7740">
      <w:pPr>
        <w:pStyle w:val="Prrafodelista"/>
        <w:numPr>
          <w:ilvl w:val="0"/>
          <w:numId w:val="17"/>
        </w:numPr>
        <w:spacing w:line="360" w:lineRule="auto"/>
        <w:rPr>
          <w:i/>
          <w:sz w:val="20"/>
        </w:rPr>
      </w:pPr>
      <w:r w:rsidRPr="00C27D4F">
        <w:rPr>
          <w:i/>
          <w:sz w:val="20"/>
        </w:rPr>
        <w:t xml:space="preserve">Los documentos que dan cuenta de lo solicitado (autorizaciones, formatos, Actas, Sesiones, entre otros); </w:t>
      </w:r>
    </w:p>
    <w:p w14:paraId="53421000" w14:textId="3256706A" w:rsidR="00092F85" w:rsidRPr="00C27D4F" w:rsidRDefault="00092F85" w:rsidP="00CA7740">
      <w:pPr>
        <w:pStyle w:val="Prrafodelista"/>
        <w:numPr>
          <w:ilvl w:val="0"/>
          <w:numId w:val="17"/>
        </w:numPr>
        <w:spacing w:line="360" w:lineRule="auto"/>
        <w:rPr>
          <w:i/>
          <w:sz w:val="20"/>
        </w:rPr>
      </w:pPr>
      <w:r w:rsidRPr="00C27D4F">
        <w:rPr>
          <w:i/>
          <w:sz w:val="20"/>
        </w:rPr>
        <w:t xml:space="preserve">El peso y número de hojas aproximado, de los documentos que den cuenta de lo  solicitado, desglosado por año, y </w:t>
      </w:r>
    </w:p>
    <w:p w14:paraId="0A00E31B" w14:textId="4072AE43" w:rsidR="00C11959" w:rsidRPr="00C27D4F" w:rsidRDefault="00092F85" w:rsidP="00CA7740">
      <w:pPr>
        <w:pStyle w:val="Prrafodelista"/>
        <w:numPr>
          <w:ilvl w:val="0"/>
          <w:numId w:val="17"/>
        </w:numPr>
        <w:spacing w:line="360" w:lineRule="auto"/>
        <w:rPr>
          <w:i/>
          <w:sz w:val="20"/>
        </w:rPr>
      </w:pPr>
      <w:r w:rsidRPr="00C27D4F">
        <w:rPr>
          <w:i/>
          <w:sz w:val="20"/>
        </w:rPr>
        <w:t xml:space="preserve"> Si presentó la incidencia ante la Dirección General Informática de este Instituto o al correo </w:t>
      </w:r>
      <w:hyperlink r:id="rId9" w:history="1">
        <w:r w:rsidRPr="00C27D4F">
          <w:rPr>
            <w:rStyle w:val="Hipervnculo"/>
            <w:i/>
            <w:sz w:val="20"/>
          </w:rPr>
          <w:t>nelson.correa@infoem.org.mx</w:t>
        </w:r>
      </w:hyperlink>
      <w:r w:rsidRPr="00C27D4F">
        <w:rPr>
          <w:i/>
          <w:sz w:val="20"/>
        </w:rPr>
        <w:t xml:space="preserve"> </w:t>
      </w:r>
    </w:p>
    <w:p w14:paraId="0EF6FEB3" w14:textId="77777777" w:rsidR="00092F85" w:rsidRPr="007802BF" w:rsidRDefault="00092F85" w:rsidP="00CA7740">
      <w:pPr>
        <w:pStyle w:val="Prrafodelista"/>
        <w:spacing w:line="360" w:lineRule="auto"/>
        <w:rPr>
          <w:rFonts w:cs="Tahoma"/>
          <w:i/>
          <w:szCs w:val="22"/>
        </w:rPr>
      </w:pPr>
    </w:p>
    <w:p w14:paraId="4E5CE2D5" w14:textId="085845EE" w:rsidR="00C11959" w:rsidRDefault="00C11959" w:rsidP="00CA7740">
      <w:pPr>
        <w:spacing w:after="0" w:line="360" w:lineRule="auto"/>
        <w:rPr>
          <w:rFonts w:cs="Tahoma"/>
        </w:rPr>
      </w:pPr>
      <w:r>
        <w:rPr>
          <w:rFonts w:cs="Tahoma"/>
          <w:b/>
        </w:rPr>
        <w:t>f</w:t>
      </w:r>
      <w:r w:rsidRPr="00B52F24">
        <w:rPr>
          <w:rFonts w:cs="Tahoma"/>
          <w:b/>
        </w:rPr>
        <w:t>) Desahogo del Requerimiento de Información Adicio</w:t>
      </w:r>
      <w:r>
        <w:rPr>
          <w:rFonts w:cs="Tahoma"/>
          <w:b/>
        </w:rPr>
        <w:t>nal.</w:t>
      </w:r>
      <w:r w:rsidRPr="00B52F24">
        <w:rPr>
          <w:rFonts w:cs="Tahoma"/>
        </w:rPr>
        <w:t xml:space="preserve"> El </w:t>
      </w:r>
      <w:r w:rsidR="00092F85">
        <w:rPr>
          <w:rFonts w:cs="Tahoma"/>
        </w:rPr>
        <w:t>veinticinco de febrero de dos mil veintiséis</w:t>
      </w:r>
      <w:r w:rsidRPr="00B52F24">
        <w:rPr>
          <w:rFonts w:cs="Tahoma"/>
        </w:rPr>
        <w:t>, se recibió por medio del Sistema de Acceso a la I</w:t>
      </w:r>
      <w:r>
        <w:rPr>
          <w:rFonts w:cs="Tahoma"/>
        </w:rPr>
        <w:t>nformación Mexiquense (SAIMEX)</w:t>
      </w:r>
      <w:r w:rsidRPr="00B52F24">
        <w:rPr>
          <w:rFonts w:cs="Tahoma"/>
        </w:rPr>
        <w:t xml:space="preserve">, </w:t>
      </w:r>
      <w:r>
        <w:rPr>
          <w:rFonts w:cs="Tahoma"/>
        </w:rPr>
        <w:t>el</w:t>
      </w:r>
      <w:r w:rsidRPr="00B52F24">
        <w:rPr>
          <w:rFonts w:cs="Tahoma"/>
        </w:rPr>
        <w:t xml:space="preserve"> oficio número </w:t>
      </w:r>
      <w:r w:rsidR="00092F85">
        <w:rPr>
          <w:rFonts w:cs="Tahoma"/>
        </w:rPr>
        <w:t>DDUyM/UAJ/384/2026</w:t>
      </w:r>
      <w:r w:rsidRPr="00B52F24">
        <w:rPr>
          <w:rFonts w:cs="Tahoma"/>
        </w:rPr>
        <w:t xml:space="preserve">, </w:t>
      </w:r>
      <w:r w:rsidR="00092F85">
        <w:rPr>
          <w:rFonts w:cs="Tahoma"/>
        </w:rPr>
        <w:t>del veinticinco de febrero de dos mil veintiséis</w:t>
      </w:r>
      <w:r w:rsidRPr="00B52F24">
        <w:rPr>
          <w:rFonts w:cs="Tahoma"/>
        </w:rPr>
        <w:t xml:space="preserve">, suscrito por </w:t>
      </w:r>
      <w:r>
        <w:rPr>
          <w:rFonts w:cs="Tahoma"/>
        </w:rPr>
        <w:t xml:space="preserve">el </w:t>
      </w:r>
      <w:r w:rsidR="00092F85">
        <w:rPr>
          <w:rFonts w:cs="Tahoma"/>
        </w:rPr>
        <w:t>Director de Desarrollo Urbano</w:t>
      </w:r>
      <w:r w:rsidRPr="00B52F24">
        <w:rPr>
          <w:rFonts w:cs="Tahoma"/>
        </w:rPr>
        <w:t xml:space="preserve"> y dirigido al </w:t>
      </w:r>
      <w:r w:rsidR="00092F85">
        <w:rPr>
          <w:rFonts w:cs="Tahoma"/>
        </w:rPr>
        <w:t>Titular de la Unidad de Transparencia</w:t>
      </w:r>
      <w:r w:rsidRPr="00B52F24">
        <w:rPr>
          <w:rFonts w:cs="Tahoma"/>
        </w:rPr>
        <w:t>,</w:t>
      </w:r>
      <w:r w:rsidR="00092F85">
        <w:rPr>
          <w:rFonts w:cs="Tahoma"/>
        </w:rPr>
        <w:t xml:space="preserve"> por medio del cual refirió lo siguiente:</w:t>
      </w:r>
    </w:p>
    <w:p w14:paraId="6D9F55D4" w14:textId="77777777" w:rsidR="00C27D4F" w:rsidRDefault="00C27D4F" w:rsidP="00CA7740">
      <w:pPr>
        <w:spacing w:after="0" w:line="360" w:lineRule="auto"/>
        <w:rPr>
          <w:rFonts w:cs="Tahoma"/>
        </w:rPr>
      </w:pPr>
    </w:p>
    <w:p w14:paraId="4A27E541" w14:textId="141C00E1" w:rsidR="00092F85" w:rsidRDefault="00092F85" w:rsidP="00CA7740">
      <w:pPr>
        <w:spacing w:after="0" w:line="360" w:lineRule="auto"/>
        <w:ind w:left="567" w:right="567"/>
        <w:rPr>
          <w:rFonts w:cs="Tahoma"/>
          <w:i/>
          <w:sz w:val="20"/>
        </w:rPr>
      </w:pPr>
      <w:r w:rsidRPr="00CA7740">
        <w:rPr>
          <w:rFonts w:cs="Tahoma"/>
        </w:rPr>
        <w:t>“</w:t>
      </w:r>
      <w:r w:rsidRPr="00CA7740">
        <w:rPr>
          <w:rFonts w:cs="Tahoma"/>
          <w:i/>
          <w:sz w:val="20"/>
        </w:rPr>
        <w:t xml:space="preserve">Derivado de la búsqueda exhaustiva realizada en los archivos físicos y electrónicos de la Dirección de Desarrollo Urbano y Metropolitano, se localizaron los siguientes documentos correspondientes a los ejercicios </w:t>
      </w:r>
      <w:r w:rsidR="00F05B7A" w:rsidRPr="00CA7740">
        <w:rPr>
          <w:rFonts w:cs="Tahoma"/>
          <w:i/>
          <w:sz w:val="20"/>
        </w:rPr>
        <w:t>2022, 2023, 2024, 2025. Expedientes Técnicos integrados por los siguientes documentos y peso.</w:t>
      </w:r>
    </w:p>
    <w:p w14:paraId="0FF99326" w14:textId="77777777" w:rsidR="00CA7740" w:rsidRPr="00CA7740" w:rsidRDefault="00CA7740" w:rsidP="00CA7740">
      <w:pPr>
        <w:spacing w:after="0" w:line="360" w:lineRule="auto"/>
        <w:ind w:left="567" w:right="567"/>
        <w:rPr>
          <w:rFonts w:cs="Tahoma"/>
        </w:rPr>
      </w:pPr>
    </w:p>
    <w:p w14:paraId="7FEF3F9F" w14:textId="7193612F" w:rsidR="00F05B7A" w:rsidRDefault="00F05B7A" w:rsidP="00CA7740">
      <w:pPr>
        <w:pStyle w:val="Prrafodelista"/>
        <w:numPr>
          <w:ilvl w:val="0"/>
          <w:numId w:val="22"/>
        </w:numPr>
        <w:spacing w:line="360" w:lineRule="auto"/>
        <w:ind w:left="1134"/>
        <w:rPr>
          <w:rFonts w:cs="Tahoma"/>
          <w:i/>
          <w:sz w:val="20"/>
        </w:rPr>
      </w:pPr>
      <w:r>
        <w:rPr>
          <w:rFonts w:cs="Tahoma"/>
          <w:i/>
          <w:sz w:val="20"/>
        </w:rPr>
        <w:t>Solicitud del tipo de cambio</w:t>
      </w:r>
    </w:p>
    <w:p w14:paraId="3E0439E4" w14:textId="6CD6401B" w:rsidR="00F05B7A" w:rsidRDefault="00F05B7A" w:rsidP="00CA7740">
      <w:pPr>
        <w:pStyle w:val="Prrafodelista"/>
        <w:numPr>
          <w:ilvl w:val="0"/>
          <w:numId w:val="22"/>
        </w:numPr>
        <w:spacing w:line="360" w:lineRule="auto"/>
        <w:ind w:left="1134"/>
        <w:rPr>
          <w:rFonts w:cs="Tahoma"/>
          <w:i/>
          <w:sz w:val="20"/>
        </w:rPr>
      </w:pPr>
      <w:r>
        <w:rPr>
          <w:rFonts w:cs="Tahoma"/>
          <w:i/>
          <w:sz w:val="20"/>
        </w:rPr>
        <w:t>Croquis de localización del predio</w:t>
      </w:r>
    </w:p>
    <w:p w14:paraId="72663169" w14:textId="6393AD75" w:rsidR="00F05B7A" w:rsidRDefault="00F05B7A" w:rsidP="00CA7740">
      <w:pPr>
        <w:pStyle w:val="Prrafodelista"/>
        <w:numPr>
          <w:ilvl w:val="0"/>
          <w:numId w:val="22"/>
        </w:numPr>
        <w:spacing w:line="360" w:lineRule="auto"/>
        <w:ind w:left="1134"/>
        <w:rPr>
          <w:rFonts w:cs="Tahoma"/>
          <w:i/>
          <w:sz w:val="20"/>
        </w:rPr>
      </w:pPr>
      <w:r>
        <w:rPr>
          <w:rFonts w:cs="Tahoma"/>
          <w:i/>
          <w:sz w:val="20"/>
        </w:rPr>
        <w:t>Copia del documento que acredite la propiedad</w:t>
      </w:r>
    </w:p>
    <w:p w14:paraId="33725BA3" w14:textId="5A00EC0D" w:rsidR="00F05B7A" w:rsidRDefault="00F05B7A" w:rsidP="00CA7740">
      <w:pPr>
        <w:pStyle w:val="Prrafodelista"/>
        <w:numPr>
          <w:ilvl w:val="0"/>
          <w:numId w:val="22"/>
        </w:numPr>
        <w:spacing w:line="360" w:lineRule="auto"/>
        <w:ind w:left="1134"/>
        <w:rPr>
          <w:rFonts w:cs="Tahoma"/>
          <w:i/>
          <w:sz w:val="20"/>
        </w:rPr>
      </w:pPr>
      <w:r>
        <w:rPr>
          <w:rFonts w:cs="Tahoma"/>
          <w:i/>
          <w:sz w:val="20"/>
        </w:rPr>
        <w:t>Copia de identificación del propietario</w:t>
      </w:r>
    </w:p>
    <w:p w14:paraId="706C893C" w14:textId="3148641B" w:rsidR="00F05B7A" w:rsidRDefault="00F05B7A" w:rsidP="00CA7740">
      <w:pPr>
        <w:pStyle w:val="Prrafodelista"/>
        <w:numPr>
          <w:ilvl w:val="0"/>
          <w:numId w:val="22"/>
        </w:numPr>
        <w:spacing w:line="360" w:lineRule="auto"/>
        <w:ind w:left="1134"/>
        <w:rPr>
          <w:rFonts w:cs="Tahoma"/>
          <w:i/>
          <w:sz w:val="20"/>
        </w:rPr>
      </w:pPr>
      <w:r>
        <w:rPr>
          <w:rFonts w:cs="Tahoma"/>
          <w:i/>
          <w:sz w:val="20"/>
        </w:rPr>
        <w:t>Memoria descriptiva del proyecto</w:t>
      </w:r>
    </w:p>
    <w:p w14:paraId="41351DED" w14:textId="2B927A55" w:rsidR="00F05B7A" w:rsidRDefault="00F05B7A" w:rsidP="00CA7740">
      <w:pPr>
        <w:pStyle w:val="Prrafodelista"/>
        <w:numPr>
          <w:ilvl w:val="0"/>
          <w:numId w:val="22"/>
        </w:numPr>
        <w:spacing w:line="360" w:lineRule="auto"/>
        <w:ind w:left="1134"/>
        <w:rPr>
          <w:rFonts w:cs="Tahoma"/>
          <w:i/>
          <w:sz w:val="20"/>
        </w:rPr>
      </w:pPr>
      <w:r>
        <w:rPr>
          <w:rFonts w:cs="Tahoma"/>
          <w:i/>
          <w:sz w:val="20"/>
        </w:rPr>
        <w:t>Juegos de planos de proyecto</w:t>
      </w:r>
    </w:p>
    <w:p w14:paraId="2D6BD5C3" w14:textId="4D6BAED1" w:rsidR="00F05B7A" w:rsidRDefault="00F05B7A" w:rsidP="00CA7740">
      <w:pPr>
        <w:pStyle w:val="Prrafodelista"/>
        <w:numPr>
          <w:ilvl w:val="0"/>
          <w:numId w:val="22"/>
        </w:numPr>
        <w:spacing w:line="360" w:lineRule="auto"/>
        <w:ind w:left="1134"/>
        <w:rPr>
          <w:rFonts w:cs="Tahoma"/>
          <w:i/>
          <w:sz w:val="20"/>
        </w:rPr>
      </w:pPr>
      <w:r>
        <w:rPr>
          <w:rFonts w:cs="Tahoma"/>
          <w:i/>
          <w:sz w:val="20"/>
        </w:rPr>
        <w:t>Oficio de capacidad hidráulica y sanitaria</w:t>
      </w:r>
    </w:p>
    <w:p w14:paraId="371E68A9" w14:textId="2DA34A5F" w:rsidR="00F05B7A" w:rsidRDefault="00F05B7A" w:rsidP="00CA7740">
      <w:pPr>
        <w:pStyle w:val="Prrafodelista"/>
        <w:numPr>
          <w:ilvl w:val="0"/>
          <w:numId w:val="22"/>
        </w:numPr>
        <w:spacing w:line="360" w:lineRule="auto"/>
        <w:ind w:left="1134"/>
        <w:rPr>
          <w:rFonts w:cs="Tahoma"/>
          <w:i/>
          <w:sz w:val="20"/>
        </w:rPr>
      </w:pPr>
      <w:r>
        <w:rPr>
          <w:rFonts w:cs="Tahoma"/>
          <w:i/>
          <w:sz w:val="20"/>
        </w:rPr>
        <w:t>Recibo de agua</w:t>
      </w:r>
    </w:p>
    <w:p w14:paraId="6C68F966" w14:textId="52137187" w:rsidR="00F05B7A" w:rsidRDefault="00F05B7A" w:rsidP="00CA7740">
      <w:pPr>
        <w:pStyle w:val="Prrafodelista"/>
        <w:numPr>
          <w:ilvl w:val="0"/>
          <w:numId w:val="22"/>
        </w:numPr>
        <w:spacing w:line="360" w:lineRule="auto"/>
        <w:ind w:left="1134"/>
        <w:rPr>
          <w:rFonts w:cs="Tahoma"/>
          <w:i/>
          <w:sz w:val="20"/>
        </w:rPr>
      </w:pPr>
      <w:r>
        <w:rPr>
          <w:rFonts w:cs="Tahoma"/>
          <w:i/>
          <w:sz w:val="20"/>
        </w:rPr>
        <w:t>Recibo de predial</w:t>
      </w:r>
    </w:p>
    <w:p w14:paraId="4EF730B8" w14:textId="2AF1F898" w:rsidR="00F05B7A" w:rsidRDefault="00F05B7A" w:rsidP="00CA7740">
      <w:pPr>
        <w:pStyle w:val="Prrafodelista"/>
        <w:numPr>
          <w:ilvl w:val="0"/>
          <w:numId w:val="22"/>
        </w:numPr>
        <w:spacing w:line="360" w:lineRule="auto"/>
        <w:ind w:left="1134"/>
        <w:rPr>
          <w:rFonts w:cs="Tahoma"/>
          <w:i/>
          <w:sz w:val="20"/>
        </w:rPr>
      </w:pPr>
      <w:r>
        <w:rPr>
          <w:rFonts w:cs="Tahoma"/>
          <w:i/>
          <w:sz w:val="20"/>
        </w:rPr>
        <w:t>Constancia de alineamiento</w:t>
      </w:r>
    </w:p>
    <w:p w14:paraId="1FDAA37B" w14:textId="4ED817C6" w:rsidR="00F05B7A" w:rsidRDefault="00F05B7A" w:rsidP="00CA7740">
      <w:pPr>
        <w:pStyle w:val="Prrafodelista"/>
        <w:numPr>
          <w:ilvl w:val="0"/>
          <w:numId w:val="22"/>
        </w:numPr>
        <w:spacing w:line="360" w:lineRule="auto"/>
        <w:ind w:left="1134"/>
        <w:rPr>
          <w:rFonts w:cs="Tahoma"/>
          <w:i/>
          <w:sz w:val="20"/>
        </w:rPr>
      </w:pPr>
      <w:r>
        <w:rPr>
          <w:rFonts w:cs="Tahoma"/>
          <w:i/>
          <w:sz w:val="20"/>
        </w:rPr>
        <w:t>Licencia de uso anterior</w:t>
      </w:r>
    </w:p>
    <w:p w14:paraId="5314E650" w14:textId="3C5E6FE6" w:rsidR="00F05B7A" w:rsidRDefault="00F05B7A" w:rsidP="00CA7740">
      <w:pPr>
        <w:pStyle w:val="Prrafodelista"/>
        <w:numPr>
          <w:ilvl w:val="0"/>
          <w:numId w:val="22"/>
        </w:numPr>
        <w:spacing w:line="360" w:lineRule="auto"/>
        <w:ind w:left="1134"/>
        <w:rPr>
          <w:rFonts w:cs="Tahoma"/>
          <w:i/>
          <w:sz w:val="20"/>
        </w:rPr>
      </w:pPr>
      <w:r>
        <w:rPr>
          <w:rFonts w:cs="Tahoma"/>
          <w:i/>
          <w:sz w:val="20"/>
        </w:rPr>
        <w:t>Pago de resultados</w:t>
      </w:r>
    </w:p>
    <w:p w14:paraId="0DF7A752" w14:textId="327C8713" w:rsidR="00F05B7A" w:rsidRDefault="00F05B7A" w:rsidP="00CA7740">
      <w:pPr>
        <w:pStyle w:val="Prrafodelista"/>
        <w:numPr>
          <w:ilvl w:val="0"/>
          <w:numId w:val="22"/>
        </w:numPr>
        <w:spacing w:line="360" w:lineRule="auto"/>
        <w:ind w:left="1134"/>
        <w:rPr>
          <w:rFonts w:cs="Tahoma"/>
          <w:i/>
          <w:sz w:val="20"/>
        </w:rPr>
      </w:pPr>
      <w:r>
        <w:rPr>
          <w:rFonts w:cs="Tahoma"/>
          <w:i/>
          <w:sz w:val="20"/>
        </w:rPr>
        <w:t>Dictamen de evaluación de impacto</w:t>
      </w:r>
    </w:p>
    <w:p w14:paraId="6E56A097" w14:textId="51D835CE" w:rsidR="00F05B7A" w:rsidRDefault="00F05B7A" w:rsidP="00CA7740">
      <w:pPr>
        <w:pStyle w:val="Prrafodelista"/>
        <w:numPr>
          <w:ilvl w:val="0"/>
          <w:numId w:val="22"/>
        </w:numPr>
        <w:spacing w:line="360" w:lineRule="auto"/>
        <w:ind w:left="1134"/>
        <w:rPr>
          <w:rFonts w:cs="Tahoma"/>
          <w:i/>
          <w:sz w:val="20"/>
        </w:rPr>
      </w:pPr>
      <w:r>
        <w:rPr>
          <w:rFonts w:cs="Tahoma"/>
          <w:i/>
          <w:sz w:val="20"/>
        </w:rPr>
        <w:t>Constancia de situación fiscal</w:t>
      </w:r>
    </w:p>
    <w:p w14:paraId="6E950C41" w14:textId="347B557F" w:rsidR="00F05B7A" w:rsidRDefault="00F05B7A" w:rsidP="00CA7740">
      <w:pPr>
        <w:pStyle w:val="Prrafodelista"/>
        <w:numPr>
          <w:ilvl w:val="0"/>
          <w:numId w:val="22"/>
        </w:numPr>
        <w:spacing w:line="360" w:lineRule="auto"/>
        <w:ind w:left="1134"/>
        <w:rPr>
          <w:rFonts w:cs="Tahoma"/>
          <w:i/>
          <w:sz w:val="20"/>
        </w:rPr>
      </w:pPr>
      <w:r>
        <w:rPr>
          <w:rFonts w:cs="Tahoma"/>
          <w:i/>
          <w:sz w:val="20"/>
        </w:rPr>
        <w:t>Dictámenes técnicos</w:t>
      </w:r>
    </w:p>
    <w:p w14:paraId="7A8BA96C" w14:textId="0D969390" w:rsidR="00F05B7A" w:rsidRDefault="00F05B7A" w:rsidP="00CA7740">
      <w:pPr>
        <w:pStyle w:val="Prrafodelista"/>
        <w:numPr>
          <w:ilvl w:val="0"/>
          <w:numId w:val="22"/>
        </w:numPr>
        <w:spacing w:line="360" w:lineRule="auto"/>
        <w:ind w:left="1134"/>
        <w:rPr>
          <w:rFonts w:cs="Tahoma"/>
          <w:i/>
          <w:sz w:val="20"/>
        </w:rPr>
      </w:pPr>
      <w:r>
        <w:rPr>
          <w:rFonts w:cs="Tahoma"/>
          <w:i/>
          <w:sz w:val="20"/>
        </w:rPr>
        <w:t xml:space="preserve">Opiniones </w:t>
      </w:r>
    </w:p>
    <w:p w14:paraId="64A7C351" w14:textId="054D3A0E" w:rsidR="00F05B7A" w:rsidRDefault="00F05B7A" w:rsidP="00CA7740">
      <w:pPr>
        <w:pStyle w:val="Prrafodelista"/>
        <w:numPr>
          <w:ilvl w:val="0"/>
          <w:numId w:val="22"/>
        </w:numPr>
        <w:spacing w:line="360" w:lineRule="auto"/>
        <w:ind w:left="1134"/>
        <w:rPr>
          <w:rFonts w:cs="Tahoma"/>
          <w:i/>
          <w:sz w:val="20"/>
        </w:rPr>
      </w:pPr>
      <w:r>
        <w:rPr>
          <w:rFonts w:cs="Tahoma"/>
          <w:i/>
          <w:sz w:val="20"/>
        </w:rPr>
        <w:t>Actas de Sesiones del COPLADEMUN</w:t>
      </w:r>
    </w:p>
    <w:p w14:paraId="7EB8ED2B" w14:textId="6996B94B" w:rsidR="00F05B7A" w:rsidRDefault="00F05B7A" w:rsidP="00CA7740">
      <w:pPr>
        <w:pStyle w:val="Prrafodelista"/>
        <w:numPr>
          <w:ilvl w:val="0"/>
          <w:numId w:val="22"/>
        </w:numPr>
        <w:spacing w:line="360" w:lineRule="auto"/>
        <w:ind w:left="1134"/>
        <w:rPr>
          <w:rFonts w:cs="Tahoma"/>
          <w:i/>
          <w:sz w:val="20"/>
        </w:rPr>
      </w:pPr>
      <w:r>
        <w:rPr>
          <w:rFonts w:cs="Tahoma"/>
          <w:i/>
          <w:sz w:val="20"/>
        </w:rPr>
        <w:t>Autorizaciones</w:t>
      </w:r>
    </w:p>
    <w:p w14:paraId="564F7359" w14:textId="6C89BFAE" w:rsidR="00F05B7A" w:rsidRDefault="00F05B7A" w:rsidP="00CA7740">
      <w:pPr>
        <w:pStyle w:val="Prrafodelista"/>
        <w:numPr>
          <w:ilvl w:val="0"/>
          <w:numId w:val="22"/>
        </w:numPr>
        <w:spacing w:line="360" w:lineRule="auto"/>
        <w:ind w:left="1134"/>
        <w:rPr>
          <w:rFonts w:cs="Tahoma"/>
          <w:i/>
          <w:sz w:val="20"/>
        </w:rPr>
      </w:pPr>
      <w:r>
        <w:rPr>
          <w:rFonts w:cs="Tahoma"/>
          <w:i/>
          <w:sz w:val="20"/>
        </w:rPr>
        <w:t>Convenios</w:t>
      </w:r>
    </w:p>
    <w:p w14:paraId="0C8876D7" w14:textId="77777777" w:rsidR="009001E8" w:rsidRDefault="009001E8" w:rsidP="00CA7740">
      <w:pPr>
        <w:pStyle w:val="Prrafodelista"/>
        <w:spacing w:line="360" w:lineRule="auto"/>
        <w:rPr>
          <w:rFonts w:cs="Tahoma"/>
          <w:i/>
          <w:sz w:val="20"/>
        </w:rPr>
      </w:pPr>
    </w:p>
    <w:p w14:paraId="05C60224" w14:textId="2F00DD50" w:rsidR="00F05B7A" w:rsidRDefault="009001E8" w:rsidP="00CA7740">
      <w:pPr>
        <w:spacing w:after="0" w:line="360" w:lineRule="auto"/>
        <w:ind w:left="567" w:right="567"/>
        <w:rPr>
          <w:rFonts w:cs="Tahoma"/>
          <w:i/>
          <w:iCs/>
          <w:sz w:val="20"/>
          <w:szCs w:val="20"/>
        </w:rPr>
      </w:pPr>
      <w:r w:rsidRPr="00CA7740">
        <w:rPr>
          <w:rFonts w:cs="Tahoma"/>
          <w:i/>
          <w:iCs/>
          <w:sz w:val="20"/>
          <w:szCs w:val="20"/>
        </w:rPr>
        <w:t>Así mismo digitalizo la incidencia técnica ante la Dirección General de Informática.</w:t>
      </w:r>
    </w:p>
    <w:p w14:paraId="1F00F040" w14:textId="77777777" w:rsidR="00CA7740" w:rsidRPr="00CA7740" w:rsidRDefault="00CA7740" w:rsidP="00CA7740">
      <w:pPr>
        <w:spacing w:after="0" w:line="360" w:lineRule="auto"/>
        <w:ind w:left="567" w:right="567"/>
        <w:rPr>
          <w:rFonts w:cs="Tahoma"/>
          <w:i/>
          <w:iCs/>
          <w:sz w:val="20"/>
          <w:szCs w:val="20"/>
        </w:rPr>
      </w:pPr>
    </w:p>
    <w:p w14:paraId="5DD832F6" w14:textId="5D6A58C6" w:rsidR="00092F85" w:rsidRDefault="00F05B7A" w:rsidP="00CA7740">
      <w:pPr>
        <w:spacing w:after="0" w:line="360" w:lineRule="auto"/>
        <w:jc w:val="center"/>
        <w:rPr>
          <w:rFonts w:eastAsia="Calibri" w:cs="Tahoma"/>
          <w:lang w:eastAsia="en-US"/>
        </w:rPr>
      </w:pPr>
      <w:r w:rsidRPr="00F05B7A">
        <w:rPr>
          <w:rFonts w:eastAsia="Calibri" w:cs="Tahoma"/>
          <w:noProof/>
        </w:rPr>
        <w:drawing>
          <wp:inline distT="0" distB="0" distL="0" distR="0" wp14:anchorId="53DC91EC" wp14:editId="4FD6FD73">
            <wp:extent cx="4382112" cy="188621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82112" cy="1886213"/>
                    </a:xfrm>
                    <a:prstGeom prst="rect">
                      <a:avLst/>
                    </a:prstGeom>
                  </pic:spPr>
                </pic:pic>
              </a:graphicData>
            </a:graphic>
          </wp:inline>
        </w:drawing>
      </w:r>
    </w:p>
    <w:p w14:paraId="47216C18" w14:textId="77777777" w:rsidR="00C11959" w:rsidRDefault="00C11959" w:rsidP="00CA7740">
      <w:pPr>
        <w:spacing w:after="0" w:line="360" w:lineRule="auto"/>
        <w:ind w:left="567" w:right="567"/>
        <w:rPr>
          <w:color w:val="auto"/>
        </w:rPr>
      </w:pPr>
    </w:p>
    <w:p w14:paraId="4FCACE71" w14:textId="0F30B08A" w:rsidR="00C11959" w:rsidRPr="00666E36" w:rsidRDefault="00C11959" w:rsidP="00CA7740">
      <w:pPr>
        <w:spacing w:after="0" w:line="360" w:lineRule="auto"/>
        <w:contextualSpacing/>
        <w:rPr>
          <w:rFonts w:cs="Tahoma"/>
          <w:b/>
          <w:bCs/>
        </w:rPr>
      </w:pPr>
      <w:r>
        <w:rPr>
          <w:rFonts w:cs="Tahoma"/>
          <w:b/>
          <w:bCs/>
        </w:rPr>
        <w:t>g</w:t>
      </w:r>
      <w:r w:rsidRPr="003B333C">
        <w:rPr>
          <w:rFonts w:cs="Tahoma"/>
          <w:b/>
          <w:bCs/>
        </w:rPr>
        <w:t xml:space="preserve">) Vista del Desahogo del Requerimiento de Información Adicional. </w:t>
      </w:r>
      <w:r>
        <w:rPr>
          <w:rFonts w:cs="Tahoma"/>
          <w:bCs/>
        </w:rPr>
        <w:t xml:space="preserve">El </w:t>
      </w:r>
      <w:r w:rsidR="00A53E25">
        <w:rPr>
          <w:rFonts w:cs="Tahoma"/>
          <w:bCs/>
        </w:rPr>
        <w:t xml:space="preserve">veinticinco de febrero de dos mil </w:t>
      </w:r>
      <w:r w:rsidR="00094F3F">
        <w:rPr>
          <w:rFonts w:cs="Tahoma"/>
          <w:bCs/>
        </w:rPr>
        <w:t>veintiséis</w:t>
      </w:r>
      <w:r w:rsidRPr="003B333C">
        <w:rPr>
          <w:rFonts w:cs="Tahoma"/>
          <w:bCs/>
        </w:rPr>
        <w:t>, se dictó acuerdo por medio del cual se puso a la vista del Recurrente el Desahogo del Requerimiento de Información Adicional entregado por el Sujeto Obligado, el cual fue notificado a las partes, a través del Sistema de Acceso a la Información Mexiquense (SAIMEX), el mismo día.</w:t>
      </w:r>
    </w:p>
    <w:p w14:paraId="683CB646" w14:textId="77777777" w:rsidR="00C11959" w:rsidRDefault="00C11959" w:rsidP="00CA7740">
      <w:pPr>
        <w:spacing w:after="0" w:line="360" w:lineRule="auto"/>
        <w:contextualSpacing/>
        <w:rPr>
          <w:color w:val="auto"/>
        </w:rPr>
      </w:pPr>
    </w:p>
    <w:p w14:paraId="636003BA" w14:textId="2E2D0D52" w:rsidR="00C11959" w:rsidRDefault="00C11959" w:rsidP="00CA7740">
      <w:pPr>
        <w:spacing w:after="0" w:line="360" w:lineRule="auto"/>
        <w:contextualSpacing/>
        <w:rPr>
          <w:color w:val="auto"/>
        </w:rPr>
      </w:pPr>
      <w:r>
        <w:rPr>
          <w:rFonts w:eastAsia="Batang" w:cs="Tahoma"/>
          <w:b/>
          <w:color w:val="auto"/>
        </w:rPr>
        <w:t>h)</w:t>
      </w:r>
      <w:r w:rsidRPr="00EE2207">
        <w:rPr>
          <w:rFonts w:eastAsia="Batang" w:cs="Tahoma"/>
          <w:b/>
          <w:color w:val="auto"/>
        </w:rPr>
        <w:t xml:space="preserve"> </w:t>
      </w:r>
      <w:r w:rsidRPr="00EE2207">
        <w:rPr>
          <w:b/>
          <w:bCs/>
          <w:color w:val="auto"/>
        </w:rPr>
        <w:t xml:space="preserve">Ampliación de plazo para resolver. </w:t>
      </w:r>
      <w:r w:rsidRPr="00EE2207">
        <w:rPr>
          <w:color w:val="auto"/>
        </w:rPr>
        <w:t xml:space="preserve">El </w:t>
      </w:r>
      <w:r w:rsidRPr="00C11959">
        <w:rPr>
          <w:rFonts w:eastAsia="Times New Roman" w:cs="Times New Roman"/>
          <w:color w:val="000000"/>
        </w:rPr>
        <w:t>veinticinco de febrero de dos mil veintiséis</w:t>
      </w:r>
      <w:r w:rsidRPr="00EE2207">
        <w:rPr>
          <w:color w:val="auto"/>
        </w:rPr>
        <w:t xml:space="preserve">, el Comisionado Ponente, con fundamento en lo dispuesto por el artículo 181, párrafo tercero, de la Ley de Transparencia y Acceso a la Información Pública del Estado de México y Municipios, acordó ampliar por un periodo </w:t>
      </w:r>
      <w:r>
        <w:rPr>
          <w:color w:val="auto"/>
        </w:rPr>
        <w:t>razonable</w:t>
      </w:r>
      <w:r w:rsidRPr="00EE2207">
        <w:rPr>
          <w:color w:val="auto"/>
        </w:rPr>
        <w:t xml:space="preserve">, el plazo para resolver el Recurso de Revisión que nos ocupa; acto que fue notificado a las partes, mediante el Sistema de Acceso a la Información Mexiquense (SAIMEX, </w:t>
      </w:r>
      <w:r>
        <w:rPr>
          <w:color w:val="auto"/>
        </w:rPr>
        <w:t>el mismo día.</w:t>
      </w:r>
    </w:p>
    <w:p w14:paraId="73AC64D0" w14:textId="073521A0" w:rsidR="00E22EA8" w:rsidRPr="00F71ECC" w:rsidRDefault="00C11959" w:rsidP="00CA7740">
      <w:pPr>
        <w:spacing w:after="0" w:line="360" w:lineRule="auto"/>
        <w:rPr>
          <w:rFonts w:eastAsia="Times New Roman" w:cs="Tahoma"/>
          <w:color w:val="auto"/>
          <w:szCs w:val="24"/>
          <w:lang w:eastAsia="es-ES"/>
        </w:rPr>
      </w:pPr>
      <w:r>
        <w:rPr>
          <w:rFonts w:eastAsia="Times New Roman" w:cs="Tahoma"/>
          <w:b/>
          <w:color w:val="auto"/>
          <w:szCs w:val="24"/>
          <w:lang w:eastAsia="es-ES"/>
        </w:rPr>
        <w:t>i</w:t>
      </w:r>
      <w:r w:rsidR="00E22EA8" w:rsidRPr="00EE2207">
        <w:rPr>
          <w:rFonts w:eastAsia="Times New Roman" w:cs="Tahoma"/>
          <w:b/>
          <w:color w:val="auto"/>
          <w:szCs w:val="24"/>
          <w:lang w:eastAsia="es-ES"/>
        </w:rPr>
        <w:t>) Cierre de instrucción.</w:t>
      </w:r>
      <w:r w:rsidR="00E22EA8" w:rsidRPr="00EE2207">
        <w:rPr>
          <w:rFonts w:eastAsia="Times New Roman" w:cs="Tahoma"/>
          <w:color w:val="auto"/>
          <w:szCs w:val="24"/>
          <w:lang w:eastAsia="es-ES"/>
        </w:rPr>
        <w:t xml:space="preserve"> </w:t>
      </w:r>
      <w:r w:rsidR="00096A18" w:rsidRPr="00EE2207">
        <w:rPr>
          <w:color w:val="auto"/>
        </w:rPr>
        <w:t xml:space="preserve">El </w:t>
      </w:r>
      <w:r>
        <w:rPr>
          <w:bCs/>
          <w:color w:val="auto"/>
        </w:rPr>
        <w:t>c</w:t>
      </w:r>
      <w:r w:rsidR="00A84426">
        <w:rPr>
          <w:bCs/>
          <w:color w:val="auto"/>
        </w:rPr>
        <w:t>inco</w:t>
      </w:r>
      <w:r>
        <w:rPr>
          <w:bCs/>
          <w:color w:val="auto"/>
        </w:rPr>
        <w:t xml:space="preserve"> de marzo</w:t>
      </w:r>
      <w:r w:rsidR="00096A18">
        <w:rPr>
          <w:bCs/>
          <w:color w:val="auto"/>
        </w:rPr>
        <w:t xml:space="preserve"> de dos mil veintiséis</w:t>
      </w:r>
      <w:r w:rsidR="00E22EA8" w:rsidRPr="00EE2207">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EE2207">
        <w:rPr>
          <w:color w:val="auto"/>
          <w:lang w:val="es-ES"/>
        </w:rPr>
        <w:t>acto que fue notificado a las partes, mediante el Sistema de Acceso a la Información Mexiquense (SAIMEX), el mismo día.</w:t>
      </w:r>
    </w:p>
    <w:p w14:paraId="5CA409A3" w14:textId="77777777" w:rsidR="004C21E6" w:rsidRPr="00B2261F" w:rsidRDefault="004C21E6" w:rsidP="00CA7740">
      <w:pPr>
        <w:spacing w:after="0" w:line="360" w:lineRule="auto"/>
        <w:rPr>
          <w:b/>
          <w:bCs/>
          <w:color w:val="FF0000"/>
          <w:lang w:val="es-ES"/>
        </w:rPr>
      </w:pPr>
    </w:p>
    <w:p w14:paraId="1C132216" w14:textId="7A4FF25F" w:rsidR="005C690F" w:rsidRPr="00EE2207" w:rsidRDefault="007D6307" w:rsidP="00CA7740">
      <w:pPr>
        <w:spacing w:after="0" w:line="360" w:lineRule="auto"/>
        <w:rPr>
          <w:color w:val="auto"/>
        </w:rPr>
      </w:pPr>
      <w:r w:rsidRPr="00EE2207">
        <w:rPr>
          <w:color w:val="auto"/>
        </w:rPr>
        <w:t xml:space="preserve">En razón de que fue debidamente </w:t>
      </w:r>
      <w:r w:rsidR="00CC1F8C" w:rsidRPr="00EE2207">
        <w:rPr>
          <w:color w:val="auto"/>
        </w:rPr>
        <w:t>sustanciado</w:t>
      </w:r>
      <w:r w:rsidRPr="00EE2207">
        <w:rPr>
          <w:color w:val="auto"/>
        </w:rPr>
        <w:t xml:space="preserve"> e integrado el expediente electrónico y no existe diligencia pendiente de desahogo, se emite la resolución que conforme a Derecho proceda, de acuerdo a los siguientes:</w:t>
      </w:r>
    </w:p>
    <w:p w14:paraId="3A10F1DA" w14:textId="77777777" w:rsidR="00674DAF" w:rsidRDefault="00674DAF" w:rsidP="00CA7740">
      <w:pPr>
        <w:spacing w:after="0" w:line="360" w:lineRule="auto"/>
        <w:rPr>
          <w:color w:val="auto"/>
        </w:rPr>
      </w:pPr>
    </w:p>
    <w:p w14:paraId="250F6589" w14:textId="1DA8ACEF" w:rsidR="005C690F" w:rsidRPr="00EE2207" w:rsidRDefault="00CA7740" w:rsidP="00CA7740">
      <w:pPr>
        <w:pStyle w:val="Ttulo1"/>
        <w:spacing w:before="0" w:after="0" w:line="360" w:lineRule="auto"/>
        <w:jc w:val="center"/>
        <w:rPr>
          <w:color w:val="auto"/>
          <w:sz w:val="22"/>
          <w:szCs w:val="22"/>
        </w:rPr>
      </w:pPr>
      <w:bookmarkStart w:id="13" w:name="_Toc198156985"/>
      <w:bookmarkStart w:id="14" w:name="_Toc223618925"/>
      <w:r>
        <w:rPr>
          <w:color w:val="auto"/>
          <w:sz w:val="22"/>
          <w:szCs w:val="22"/>
        </w:rPr>
        <w:t>C</w:t>
      </w:r>
      <w:r w:rsidR="00CD6238" w:rsidRPr="00EE2207">
        <w:rPr>
          <w:color w:val="auto"/>
          <w:sz w:val="22"/>
          <w:szCs w:val="22"/>
        </w:rPr>
        <w:t xml:space="preserve"> O N S I D E R A N D O S</w:t>
      </w:r>
      <w:bookmarkEnd w:id="13"/>
      <w:bookmarkEnd w:id="14"/>
    </w:p>
    <w:p w14:paraId="4DA7DF37" w14:textId="77777777" w:rsidR="006F62BB" w:rsidRPr="00EE2207" w:rsidRDefault="006F62BB" w:rsidP="00CA7740">
      <w:pPr>
        <w:spacing w:after="0" w:line="360" w:lineRule="auto"/>
        <w:rPr>
          <w:b/>
          <w:color w:val="auto"/>
        </w:rPr>
      </w:pPr>
    </w:p>
    <w:p w14:paraId="36BFFC7E" w14:textId="2F0F17EA" w:rsidR="005C690F" w:rsidRPr="00EE2207" w:rsidRDefault="007D6307" w:rsidP="00CA7740">
      <w:pPr>
        <w:pStyle w:val="Ttulo2"/>
        <w:spacing w:before="0" w:after="0" w:line="360" w:lineRule="auto"/>
        <w:rPr>
          <w:color w:val="auto"/>
          <w:sz w:val="22"/>
          <w:szCs w:val="22"/>
        </w:rPr>
      </w:pPr>
      <w:bookmarkStart w:id="15" w:name="_Toc198156986"/>
      <w:bookmarkStart w:id="16" w:name="_Toc223618926"/>
      <w:r w:rsidRPr="00EE2207">
        <w:rPr>
          <w:color w:val="auto"/>
          <w:sz w:val="22"/>
          <w:szCs w:val="22"/>
        </w:rPr>
        <w:t xml:space="preserve">PRIMERO. </w:t>
      </w:r>
      <w:r w:rsidR="00CD6238" w:rsidRPr="00EE2207">
        <w:rPr>
          <w:color w:val="auto"/>
          <w:sz w:val="22"/>
          <w:szCs w:val="22"/>
        </w:rPr>
        <w:t>Competencia</w:t>
      </w:r>
      <w:bookmarkEnd w:id="15"/>
      <w:bookmarkEnd w:id="16"/>
    </w:p>
    <w:p w14:paraId="552342DA" w14:textId="77777777" w:rsidR="007A1ACB" w:rsidRPr="00EE2207" w:rsidRDefault="007A1ACB" w:rsidP="00CA7740">
      <w:pPr>
        <w:spacing w:after="0" w:line="360" w:lineRule="auto"/>
        <w:rPr>
          <w:b/>
          <w:color w:val="auto"/>
        </w:rPr>
      </w:pPr>
    </w:p>
    <w:p w14:paraId="743B3EE8" w14:textId="66A778F4" w:rsidR="00010AA5" w:rsidRDefault="00096A18" w:rsidP="00CA7740">
      <w:pPr>
        <w:spacing w:after="0" w:line="360" w:lineRule="auto"/>
        <w:rPr>
          <w:rFonts w:eastAsia="Times New Roman" w:cs="Tahoma"/>
          <w:bCs/>
          <w:color w:val="auto"/>
          <w:lang w:eastAsia="es-ES"/>
        </w:rPr>
      </w:pPr>
      <w:bookmarkStart w:id="17" w:name="_heading=h.30j0zll" w:colFirst="0" w:colLast="0"/>
      <w:bookmarkEnd w:id="17"/>
      <w:r w:rsidRPr="00096A18">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1D8052E" w14:textId="77777777" w:rsidR="00096A18" w:rsidRDefault="00096A18" w:rsidP="00CA7740">
      <w:pPr>
        <w:spacing w:after="0" w:line="360" w:lineRule="auto"/>
        <w:rPr>
          <w:rFonts w:eastAsia="Times New Roman" w:cs="Tahoma"/>
          <w:bCs/>
          <w:color w:val="auto"/>
          <w:lang w:eastAsia="es-ES"/>
        </w:rPr>
      </w:pPr>
    </w:p>
    <w:p w14:paraId="46691DD5" w14:textId="4C1C70AD" w:rsidR="005C690F" w:rsidRPr="00EE2207" w:rsidRDefault="007D6307" w:rsidP="00CA7740">
      <w:pPr>
        <w:pStyle w:val="Ttulo2"/>
        <w:spacing w:before="0" w:after="0" w:line="360" w:lineRule="auto"/>
        <w:rPr>
          <w:color w:val="auto"/>
          <w:sz w:val="22"/>
          <w:szCs w:val="22"/>
        </w:rPr>
      </w:pPr>
      <w:bookmarkStart w:id="18" w:name="_Toc198156987"/>
      <w:bookmarkStart w:id="19" w:name="_Toc223618927"/>
      <w:r w:rsidRPr="00EE2207">
        <w:rPr>
          <w:color w:val="auto"/>
          <w:sz w:val="22"/>
          <w:szCs w:val="22"/>
        </w:rPr>
        <w:t>SEGUNDO. Causales de</w:t>
      </w:r>
      <w:r w:rsidR="00CD6238" w:rsidRPr="00EE2207">
        <w:rPr>
          <w:color w:val="auto"/>
          <w:sz w:val="22"/>
          <w:szCs w:val="22"/>
        </w:rPr>
        <w:t xml:space="preserve"> improcedencia y sobreseimiento</w:t>
      </w:r>
      <w:bookmarkEnd w:id="18"/>
      <w:bookmarkEnd w:id="19"/>
    </w:p>
    <w:p w14:paraId="49AA4CDE" w14:textId="77777777" w:rsidR="005C690F" w:rsidRPr="00EE2207" w:rsidRDefault="005C690F" w:rsidP="00CA7740">
      <w:pPr>
        <w:spacing w:after="0" w:line="360" w:lineRule="auto"/>
        <w:rPr>
          <w:color w:val="auto"/>
        </w:rPr>
      </w:pPr>
    </w:p>
    <w:p w14:paraId="2553CE58" w14:textId="77777777" w:rsidR="005C690F" w:rsidRPr="00EE2207" w:rsidRDefault="007D6307" w:rsidP="00CA7740">
      <w:pPr>
        <w:spacing w:after="0" w:line="360" w:lineRule="auto"/>
        <w:rPr>
          <w:color w:val="auto"/>
        </w:rPr>
      </w:pPr>
      <w:r w:rsidRPr="00EE2207">
        <w:rPr>
          <w:color w:val="auto"/>
        </w:rPr>
        <w:t xml:space="preserve">De las constancias que forma parte del Recurso de Revisión que se analiza, se advierte que previo al estudio del fondo de la </w:t>
      </w:r>
      <w:r w:rsidRPr="00EE2207">
        <w:rPr>
          <w:i/>
          <w:color w:val="auto"/>
        </w:rPr>
        <w:t>litis</w:t>
      </w:r>
      <w:r w:rsidRPr="00EE2207">
        <w:rPr>
          <w:color w:val="auto"/>
        </w:rPr>
        <w:t>, es necesario estudiar las causales de improcedencia y sobreseimiento que se adviertan, para determinar lo que en Derecho proceda.</w:t>
      </w:r>
    </w:p>
    <w:p w14:paraId="35A30074" w14:textId="77777777" w:rsidR="009B2DAB" w:rsidRPr="00EE2207" w:rsidRDefault="009B2DAB" w:rsidP="00CA7740">
      <w:pPr>
        <w:spacing w:after="0" w:line="360" w:lineRule="auto"/>
        <w:rPr>
          <w:color w:val="auto"/>
        </w:rPr>
      </w:pPr>
    </w:p>
    <w:p w14:paraId="3066DF0C" w14:textId="77777777" w:rsidR="005C690F" w:rsidRPr="00EE2207" w:rsidRDefault="007D6307" w:rsidP="00CA7740">
      <w:pPr>
        <w:spacing w:after="0" w:line="360" w:lineRule="auto"/>
        <w:rPr>
          <w:b/>
          <w:color w:val="auto"/>
        </w:rPr>
      </w:pPr>
      <w:r w:rsidRPr="00EE2207">
        <w:rPr>
          <w:b/>
          <w:color w:val="auto"/>
        </w:rPr>
        <w:t>Causales de improcedencia</w:t>
      </w:r>
    </w:p>
    <w:p w14:paraId="75878DC6" w14:textId="77777777" w:rsidR="005C690F" w:rsidRPr="00EE2207" w:rsidRDefault="005C690F" w:rsidP="00CA7740">
      <w:pPr>
        <w:spacing w:after="0" w:line="360" w:lineRule="auto"/>
        <w:rPr>
          <w:color w:val="auto"/>
        </w:rPr>
      </w:pPr>
    </w:p>
    <w:p w14:paraId="6C56CA88" w14:textId="77777777" w:rsidR="005C690F" w:rsidRPr="00EE2207" w:rsidRDefault="007D6307" w:rsidP="00CA7740">
      <w:pPr>
        <w:spacing w:after="0" w:line="360" w:lineRule="auto"/>
        <w:rPr>
          <w:color w:val="auto"/>
        </w:rPr>
      </w:pPr>
      <w:r w:rsidRPr="00EE2207">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EE2207" w:rsidRDefault="005C690F" w:rsidP="00CA7740">
      <w:pPr>
        <w:spacing w:after="0" w:line="360" w:lineRule="auto"/>
        <w:rPr>
          <w:color w:val="auto"/>
        </w:rPr>
      </w:pPr>
    </w:p>
    <w:p w14:paraId="382ECEA9" w14:textId="2A92D3AF" w:rsidR="003A208C" w:rsidRDefault="007D6307" w:rsidP="00CA7740">
      <w:pPr>
        <w:spacing w:after="0" w:line="360" w:lineRule="auto"/>
        <w:rPr>
          <w:color w:val="auto"/>
        </w:rPr>
      </w:pPr>
      <w:r w:rsidRPr="00EE2207">
        <w:rPr>
          <w:color w:val="auto"/>
        </w:rPr>
        <w:t>En el presente caso, </w:t>
      </w:r>
      <w:r w:rsidRPr="00EE2207">
        <w:rPr>
          <w:b/>
          <w:color w:val="auto"/>
        </w:rPr>
        <w:t>no se actualiza ninguna de las causales de improcedencia</w:t>
      </w:r>
      <w:r w:rsidRPr="00EE2207">
        <w:rPr>
          <w:color w:val="auto"/>
        </w:rPr>
        <w:t> establecidas en el ordenamiento jurídico previamente señalado, toda vez que: este Instituto no tiene conocimiento de que se encuentre en trámite algún medio de defensa presentado por la</w:t>
      </w:r>
      <w:r w:rsidR="00261B92" w:rsidRPr="00EE2207">
        <w:rPr>
          <w:color w:val="auto"/>
        </w:rPr>
        <w:t xml:space="preserve"> persona</w:t>
      </w:r>
      <w:r w:rsidRPr="00EE2207">
        <w:rPr>
          <w:color w:val="auto"/>
        </w:rPr>
        <w:t xml:space="preserve"> Recurrente ante otra instancia; no existió prevención alguna; la veracidad de la respuesta no formó parte del agravio; ni se realizó una consulta o ampliación a los alcances del requerimiento informativo.</w:t>
      </w:r>
    </w:p>
    <w:p w14:paraId="02D68136" w14:textId="77777777" w:rsidR="00754528" w:rsidRPr="00EE2207" w:rsidRDefault="00754528" w:rsidP="00CA7740">
      <w:pPr>
        <w:spacing w:after="0" w:line="360" w:lineRule="auto"/>
        <w:rPr>
          <w:color w:val="auto"/>
        </w:rPr>
      </w:pPr>
    </w:p>
    <w:p w14:paraId="2BF1CF5B" w14:textId="34B1918C" w:rsidR="005C690F" w:rsidRPr="00EE2207" w:rsidRDefault="007D6307" w:rsidP="00CA7740">
      <w:pPr>
        <w:spacing w:after="0" w:line="360" w:lineRule="auto"/>
        <w:rPr>
          <w:color w:val="auto"/>
        </w:rPr>
      </w:pPr>
      <w:r w:rsidRPr="00EE2207">
        <w:rPr>
          <w:color w:val="auto"/>
        </w:rPr>
        <w:t>Por lo cual, se actualiza la causal de procedencia del Recurso de Revisión señal</w:t>
      </w:r>
      <w:r w:rsidR="00261DF6" w:rsidRPr="00EE2207">
        <w:rPr>
          <w:color w:val="auto"/>
        </w:rPr>
        <w:t>ada en el artículo 179, fracci</w:t>
      </w:r>
      <w:r w:rsidR="00230B8F" w:rsidRPr="00EE2207">
        <w:rPr>
          <w:color w:val="auto"/>
        </w:rPr>
        <w:t>ón</w:t>
      </w:r>
      <w:r w:rsidR="00D97592" w:rsidRPr="00EE2207">
        <w:rPr>
          <w:color w:val="auto"/>
        </w:rPr>
        <w:t xml:space="preserve"> V</w:t>
      </w:r>
      <w:r w:rsidR="00F93CEA">
        <w:rPr>
          <w:color w:val="auto"/>
        </w:rPr>
        <w:t>II</w:t>
      </w:r>
      <w:r w:rsidR="00EE2207">
        <w:rPr>
          <w:color w:val="auto"/>
        </w:rPr>
        <w:t>I</w:t>
      </w:r>
      <w:r w:rsidRPr="00EE2207">
        <w:rPr>
          <w:color w:val="auto"/>
        </w:rPr>
        <w:t>, de la Ley en cita, pues la p</w:t>
      </w:r>
      <w:r w:rsidR="00261B92" w:rsidRPr="00EE2207">
        <w:rPr>
          <w:color w:val="auto"/>
        </w:rPr>
        <w:t>ersona</w:t>
      </w:r>
      <w:r w:rsidRPr="00EE2207">
        <w:rPr>
          <w:color w:val="auto"/>
        </w:rPr>
        <w:t xml:space="preserve"> Recurrente se inconformó </w:t>
      </w:r>
      <w:r w:rsidR="00674DAF" w:rsidRPr="00EE2207">
        <w:rPr>
          <w:color w:val="auto"/>
        </w:rPr>
        <w:t>d</w:t>
      </w:r>
      <w:r w:rsidR="00F93CEA">
        <w:rPr>
          <w:color w:val="auto"/>
        </w:rPr>
        <w:t>e l</w:t>
      </w:r>
      <w:r w:rsidR="00F93CEA">
        <w:t>a entrega o puesta a disposición de información en una modalidad o formato distinto al solicitado.</w:t>
      </w:r>
    </w:p>
    <w:p w14:paraId="7B59B025" w14:textId="77777777" w:rsidR="00712ED6" w:rsidRPr="00B2261F" w:rsidRDefault="00712ED6" w:rsidP="00CA7740">
      <w:pPr>
        <w:spacing w:after="0" w:line="360" w:lineRule="auto"/>
        <w:rPr>
          <w:color w:val="FF0000"/>
        </w:rPr>
      </w:pPr>
    </w:p>
    <w:p w14:paraId="55FF691A" w14:textId="6D373E30" w:rsidR="005C690F" w:rsidRPr="00FE74A8" w:rsidRDefault="007D6307" w:rsidP="00CA7740">
      <w:pPr>
        <w:spacing w:after="0" w:line="360" w:lineRule="auto"/>
        <w:rPr>
          <w:color w:val="auto"/>
        </w:rPr>
      </w:pPr>
      <w:r w:rsidRPr="00FE74A8">
        <w:rPr>
          <w:b/>
          <w:color w:val="auto"/>
        </w:rPr>
        <w:t>Ca</w:t>
      </w:r>
      <w:r w:rsidR="00CD6238" w:rsidRPr="00FE74A8">
        <w:rPr>
          <w:b/>
          <w:color w:val="auto"/>
        </w:rPr>
        <w:t>usales de sobreseimiento</w:t>
      </w:r>
    </w:p>
    <w:p w14:paraId="426FEE7A" w14:textId="77777777" w:rsidR="005C690F" w:rsidRPr="00FE74A8" w:rsidRDefault="005C690F" w:rsidP="00CA7740">
      <w:pPr>
        <w:spacing w:after="0" w:line="360" w:lineRule="auto"/>
        <w:rPr>
          <w:color w:val="auto"/>
        </w:rPr>
      </w:pPr>
    </w:p>
    <w:p w14:paraId="5B1C849A" w14:textId="77777777" w:rsidR="005C690F" w:rsidRPr="00FE74A8" w:rsidRDefault="007D6307" w:rsidP="00CA7740">
      <w:pPr>
        <w:spacing w:after="0" w:line="360" w:lineRule="auto"/>
        <w:rPr>
          <w:color w:val="auto"/>
        </w:rPr>
      </w:pPr>
      <w:r w:rsidRPr="00FE74A8">
        <w:rPr>
          <w:color w:val="auto"/>
        </w:rPr>
        <w:t>Por ser de previo y especial pronunciamiento, este Instituto analiza si se actualiza alguna causal de sobreseimiento.</w:t>
      </w:r>
    </w:p>
    <w:p w14:paraId="7EE274FA" w14:textId="77777777" w:rsidR="008C12D8" w:rsidRPr="00FE74A8" w:rsidRDefault="008C12D8" w:rsidP="00CA7740">
      <w:pPr>
        <w:spacing w:after="0" w:line="360" w:lineRule="auto"/>
        <w:rPr>
          <w:color w:val="auto"/>
        </w:rPr>
      </w:pPr>
    </w:p>
    <w:p w14:paraId="616B549A" w14:textId="34585935" w:rsidR="005C690F" w:rsidRPr="00FE74A8" w:rsidRDefault="007D6307" w:rsidP="00CA7740">
      <w:pPr>
        <w:spacing w:after="0" w:line="360" w:lineRule="auto"/>
        <w:rPr>
          <w:color w:val="auto"/>
        </w:rPr>
      </w:pPr>
      <w:r w:rsidRPr="00FE74A8">
        <w:rPr>
          <w:color w:val="auto"/>
        </w:rPr>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FE74A8">
        <w:rPr>
          <w:color w:val="auto"/>
        </w:rPr>
        <w:t xml:space="preserve">persona </w:t>
      </w:r>
      <w:r w:rsidRPr="00FE74A8">
        <w:rPr>
          <w:color w:val="auto"/>
        </w:rPr>
        <w:t>Recurrente se haya desistido del recurso, haya fallecido, sobreviniera alguna causal de improcedencia, que el Sujeto Obligado hubiese modificado o revocado el acto impugnado o bien, haya quedado sin materia.</w:t>
      </w:r>
    </w:p>
    <w:p w14:paraId="0FB75386" w14:textId="77777777" w:rsidR="00712ED6" w:rsidRPr="00FE74A8" w:rsidRDefault="00712ED6" w:rsidP="00CA7740">
      <w:pPr>
        <w:spacing w:after="0" w:line="360" w:lineRule="auto"/>
        <w:rPr>
          <w:color w:val="auto"/>
        </w:rPr>
      </w:pPr>
    </w:p>
    <w:p w14:paraId="3B2EB888" w14:textId="57079EFE" w:rsidR="005C690F" w:rsidRPr="00FE74A8" w:rsidRDefault="007D6307" w:rsidP="00CA7740">
      <w:pPr>
        <w:spacing w:after="0" w:line="360" w:lineRule="auto"/>
        <w:rPr>
          <w:color w:val="auto"/>
        </w:rPr>
      </w:pPr>
      <w:r w:rsidRPr="00FE74A8">
        <w:rPr>
          <w:color w:val="auto"/>
        </w:rPr>
        <w:t xml:space="preserve">Por tales motivos, se considera procedente entrar al fondo del presente asunto. </w:t>
      </w:r>
    </w:p>
    <w:p w14:paraId="381FF8CD" w14:textId="77777777" w:rsidR="00E1488B" w:rsidRDefault="00E1488B" w:rsidP="00CA7740">
      <w:pPr>
        <w:spacing w:after="0" w:line="360" w:lineRule="auto"/>
        <w:rPr>
          <w:b/>
          <w:color w:val="auto"/>
        </w:rPr>
      </w:pPr>
    </w:p>
    <w:p w14:paraId="0A6A0BAE" w14:textId="184EF292" w:rsidR="005C690F" w:rsidRPr="00FE74A8" w:rsidRDefault="007D6307" w:rsidP="00CA7740">
      <w:pPr>
        <w:pStyle w:val="Ttulo2"/>
        <w:spacing w:before="0" w:after="0" w:line="360" w:lineRule="auto"/>
        <w:rPr>
          <w:color w:val="auto"/>
          <w:sz w:val="22"/>
          <w:szCs w:val="22"/>
        </w:rPr>
      </w:pPr>
      <w:bookmarkStart w:id="20" w:name="_Toc198156988"/>
      <w:bookmarkStart w:id="21" w:name="_Toc223618928"/>
      <w:r w:rsidRPr="00FE74A8">
        <w:rPr>
          <w:color w:val="auto"/>
          <w:sz w:val="22"/>
          <w:szCs w:val="22"/>
        </w:rPr>
        <w:t>TERCERO. De</w:t>
      </w:r>
      <w:r w:rsidR="00CD6238" w:rsidRPr="00FE74A8">
        <w:rPr>
          <w:color w:val="auto"/>
          <w:sz w:val="22"/>
          <w:szCs w:val="22"/>
        </w:rPr>
        <w:t>terminación de la Controversia</w:t>
      </w:r>
      <w:bookmarkEnd w:id="20"/>
      <w:bookmarkEnd w:id="21"/>
    </w:p>
    <w:p w14:paraId="4A0739CB" w14:textId="77777777" w:rsidR="00897A05" w:rsidRPr="00FE74A8" w:rsidRDefault="00897A05" w:rsidP="00CA7740">
      <w:pPr>
        <w:spacing w:after="0" w:line="360" w:lineRule="auto"/>
        <w:rPr>
          <w:b/>
          <w:color w:val="auto"/>
        </w:rPr>
      </w:pPr>
    </w:p>
    <w:p w14:paraId="386FD303" w14:textId="020EDEC1" w:rsidR="00A42002" w:rsidRPr="00A42002" w:rsidRDefault="007C7BAF" w:rsidP="00CA7740">
      <w:pPr>
        <w:spacing w:after="0" w:line="360" w:lineRule="auto"/>
        <w:rPr>
          <w:rFonts w:cs="Tahoma"/>
          <w:color w:val="auto"/>
        </w:rPr>
      </w:pPr>
      <w:r w:rsidRPr="00FE74A8">
        <w:rPr>
          <w:rFonts w:cs="Tahoma"/>
          <w:color w:val="auto"/>
        </w:rPr>
        <w:t>Con el objetivo de ilustrar la controversia planteada, resulta conveniente precisar, que una vez realizado el estudio de las constancias que integran el expediente en el que se actúa, se desprende que el Particular</w:t>
      </w:r>
      <w:r w:rsidR="008C12D8" w:rsidRPr="00FE74A8">
        <w:rPr>
          <w:rFonts w:cs="Tahoma"/>
          <w:color w:val="auto"/>
        </w:rPr>
        <w:t xml:space="preserve"> </w:t>
      </w:r>
      <w:r w:rsidR="00722AD1" w:rsidRPr="00FE74A8">
        <w:rPr>
          <w:rFonts w:cs="Tahoma"/>
          <w:color w:val="auto"/>
        </w:rPr>
        <w:t xml:space="preserve">requirió </w:t>
      </w:r>
      <w:r w:rsidR="005F5006">
        <w:rPr>
          <w:rFonts w:cs="Tahoma"/>
          <w:color w:val="auto"/>
        </w:rPr>
        <w:t>todos los cambios de uso de su</w:t>
      </w:r>
      <w:r w:rsidR="008D2477">
        <w:rPr>
          <w:rFonts w:cs="Tahoma"/>
          <w:color w:val="auto"/>
        </w:rPr>
        <w:t>elo, autorizados por el director</w:t>
      </w:r>
      <w:r w:rsidR="005F5006">
        <w:rPr>
          <w:rFonts w:cs="Tahoma"/>
          <w:color w:val="auto"/>
        </w:rPr>
        <w:t xml:space="preserve"> de desarrollo urbano, incluyendo sus anexos y versiones estenográficas de las sesiones del COPLADEMUN</w:t>
      </w:r>
      <w:r w:rsidR="00C70344">
        <w:rPr>
          <w:rFonts w:cs="Tahoma"/>
          <w:color w:val="auto"/>
        </w:rPr>
        <w:t xml:space="preserve"> del primero de enero de dos mil </w:t>
      </w:r>
      <w:r w:rsidR="005F5006">
        <w:rPr>
          <w:rFonts w:cs="Tahoma"/>
          <w:color w:val="auto"/>
        </w:rPr>
        <w:t>veintidós</w:t>
      </w:r>
      <w:r w:rsidR="00C70344">
        <w:rPr>
          <w:rFonts w:cs="Tahoma"/>
          <w:color w:val="auto"/>
        </w:rPr>
        <w:t xml:space="preserve"> al </w:t>
      </w:r>
      <w:r w:rsidR="005F5006">
        <w:rPr>
          <w:rFonts w:cs="Tahoma"/>
          <w:color w:val="auto"/>
        </w:rPr>
        <w:t xml:space="preserve">quince de agosto </w:t>
      </w:r>
      <w:r w:rsidR="00C70344">
        <w:rPr>
          <w:rFonts w:cs="Tahoma"/>
          <w:color w:val="auto"/>
        </w:rPr>
        <w:t>de dos mil veinticinco</w:t>
      </w:r>
      <w:r w:rsidR="005F5006">
        <w:rPr>
          <w:rFonts w:cs="Tahoma"/>
          <w:color w:val="auto"/>
        </w:rPr>
        <w:t>.</w:t>
      </w:r>
    </w:p>
    <w:p w14:paraId="67A888C0" w14:textId="19C09A58" w:rsidR="00FA0B83" w:rsidRDefault="007C7BAF" w:rsidP="00CA7740">
      <w:pPr>
        <w:spacing w:after="0" w:line="360" w:lineRule="auto"/>
      </w:pPr>
      <w:r w:rsidRPr="009A5516">
        <w:rPr>
          <w:color w:val="auto"/>
        </w:rPr>
        <w:t>En respuesta, el Sujeto Obligado,</w:t>
      </w:r>
      <w:r w:rsidR="00644832" w:rsidRPr="009A5516">
        <w:rPr>
          <w:color w:val="auto"/>
        </w:rPr>
        <w:t xml:space="preserve"> </w:t>
      </w:r>
      <w:r w:rsidR="008F6B1C">
        <w:rPr>
          <w:color w:val="auto"/>
        </w:rPr>
        <w:t xml:space="preserve">a través de </w:t>
      </w:r>
      <w:r w:rsidR="00513016">
        <w:rPr>
          <w:color w:val="auto"/>
        </w:rPr>
        <w:t>la Dirección de Desarrollo Urbano y Metropolitano</w:t>
      </w:r>
      <w:r w:rsidR="00A42002">
        <w:rPr>
          <w:color w:val="auto"/>
        </w:rPr>
        <w:t>, refirió que ponía a disposición para su consulta o reproducción, previo pago en sus oficinas</w:t>
      </w:r>
      <w:r w:rsidR="009A5516">
        <w:t xml:space="preserve">; ante dicha circunstancia, el Particular se inconformó </w:t>
      </w:r>
      <w:r w:rsidR="008F6B1C" w:rsidRPr="00EE2207">
        <w:rPr>
          <w:color w:val="auto"/>
        </w:rPr>
        <w:t>d</w:t>
      </w:r>
      <w:r w:rsidR="008F6B1C">
        <w:rPr>
          <w:color w:val="auto"/>
        </w:rPr>
        <w:t>e l</w:t>
      </w:r>
      <w:r w:rsidR="008F6B1C">
        <w:t xml:space="preserve">a entrega o puesta a disposición de información en una modalidad o formato distinto al solicitado </w:t>
      </w:r>
      <w:r w:rsidR="009A5516">
        <w:t>prevista en la fracción V</w:t>
      </w:r>
      <w:r w:rsidR="008F6B1C">
        <w:t>II</w:t>
      </w:r>
      <w:r w:rsidR="009A5516">
        <w:t xml:space="preserve">I, del artículo 179 de la Ley de Transparencia y Acceso a la Información Pública del Estado de México y Municipios. Así, las cosas, una vez admitido y notificado el Recurso </w:t>
      </w:r>
      <w:r w:rsidR="008F6B1C">
        <w:t xml:space="preserve">de Revisión, </w:t>
      </w:r>
      <w:r w:rsidR="00A42002">
        <w:t>las partes fueron omisas en emitir alguna manifestación o alegato.</w:t>
      </w:r>
    </w:p>
    <w:p w14:paraId="7A8F3632" w14:textId="77777777" w:rsidR="00FA0B83" w:rsidRDefault="00FA0B83" w:rsidP="00CA7740">
      <w:pPr>
        <w:spacing w:after="0" w:line="360" w:lineRule="auto"/>
        <w:rPr>
          <w:b/>
          <w:u w:val="single"/>
        </w:rPr>
      </w:pPr>
    </w:p>
    <w:p w14:paraId="22C5958E" w14:textId="5603AF72" w:rsidR="007C7BAF" w:rsidRPr="0025724A" w:rsidRDefault="007C7BAF" w:rsidP="00CA7740">
      <w:pPr>
        <w:tabs>
          <w:tab w:val="left" w:pos="4962"/>
        </w:tabs>
        <w:spacing w:after="0" w:line="360" w:lineRule="auto"/>
        <w:rPr>
          <w:rFonts w:eastAsia="Calibri" w:cs="Tahoma"/>
          <w:bCs/>
          <w:color w:val="auto"/>
        </w:rPr>
      </w:pPr>
      <w:r w:rsidRPr="0025724A">
        <w:rPr>
          <w:rFonts w:eastAsia="Calibri" w:cs="Tahoma"/>
          <w:iCs/>
          <w:color w:val="auto"/>
          <w:lang w:val="es-ES" w:eastAsia="es-ES_tradnl"/>
        </w:rPr>
        <w:t>Lo anterior, se desprende de las documentales que obran en el expediente de referencia, materia de la presente resolución, consistente en: la solic</w:t>
      </w:r>
      <w:r w:rsidR="002F389A" w:rsidRPr="0025724A">
        <w:rPr>
          <w:rFonts w:eastAsia="Calibri" w:cs="Tahoma"/>
          <w:iCs/>
          <w:color w:val="auto"/>
          <w:lang w:val="es-ES" w:eastAsia="es-ES_tradnl"/>
        </w:rPr>
        <w:t>itud de acceso a l</w:t>
      </w:r>
      <w:r w:rsidR="00020A2C" w:rsidRPr="0025724A">
        <w:rPr>
          <w:rFonts w:eastAsia="Calibri" w:cs="Tahoma"/>
          <w:iCs/>
          <w:color w:val="auto"/>
          <w:lang w:val="es-ES" w:eastAsia="es-ES_tradnl"/>
        </w:rPr>
        <w:t>a información</w:t>
      </w:r>
      <w:r w:rsidR="0025724A">
        <w:rPr>
          <w:rFonts w:eastAsia="Calibri" w:cs="Tahoma"/>
          <w:iCs/>
          <w:color w:val="auto"/>
          <w:lang w:val="es-ES" w:eastAsia="es-ES_tradnl"/>
        </w:rPr>
        <w:t xml:space="preserve"> y</w:t>
      </w:r>
      <w:r w:rsidR="00020A2C" w:rsidRPr="0025724A">
        <w:rPr>
          <w:rFonts w:eastAsia="Calibri" w:cs="Tahoma"/>
          <w:iCs/>
          <w:color w:val="auto"/>
          <w:lang w:val="es-ES" w:eastAsia="es-ES_tradnl"/>
        </w:rPr>
        <w:t xml:space="preserve"> </w:t>
      </w:r>
      <w:r w:rsidRPr="0025724A">
        <w:rPr>
          <w:rFonts w:eastAsia="Calibri" w:cs="Tahoma"/>
          <w:iCs/>
          <w:color w:val="auto"/>
          <w:lang w:eastAsia="es-ES_tradnl"/>
        </w:rPr>
        <w:t xml:space="preserve">el escrito recursal; </w:t>
      </w:r>
      <w:r w:rsidRPr="0025724A">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7D6E0172" w14:textId="77777777" w:rsidR="007C7BAF" w:rsidRPr="00B2261F" w:rsidRDefault="007C7BAF" w:rsidP="00CA7740">
      <w:pPr>
        <w:spacing w:after="0" w:line="360" w:lineRule="auto"/>
        <w:rPr>
          <w:b/>
          <w:color w:val="FF0000"/>
        </w:rPr>
      </w:pPr>
    </w:p>
    <w:p w14:paraId="36DCBD9D" w14:textId="5B125308" w:rsidR="005C690F" w:rsidRPr="0052732A" w:rsidRDefault="007D6307" w:rsidP="00CA7740">
      <w:pPr>
        <w:pStyle w:val="Ttulo2"/>
        <w:spacing w:before="0" w:after="0" w:line="360" w:lineRule="auto"/>
        <w:rPr>
          <w:color w:val="auto"/>
          <w:sz w:val="22"/>
          <w:szCs w:val="22"/>
        </w:rPr>
      </w:pPr>
      <w:bookmarkStart w:id="22" w:name="_Toc198156989"/>
      <w:bookmarkStart w:id="23" w:name="_Toc223618929"/>
      <w:r w:rsidRPr="0052732A">
        <w:rPr>
          <w:color w:val="auto"/>
          <w:sz w:val="22"/>
          <w:szCs w:val="22"/>
        </w:rPr>
        <w:t xml:space="preserve">CUARTO. Marco normativo aplicable en materia de transparencia y </w:t>
      </w:r>
      <w:r w:rsidR="00CD6238" w:rsidRPr="0052732A">
        <w:rPr>
          <w:color w:val="auto"/>
          <w:sz w:val="22"/>
          <w:szCs w:val="22"/>
        </w:rPr>
        <w:t>acceso a la información pública</w:t>
      </w:r>
      <w:bookmarkEnd w:id="22"/>
      <w:bookmarkEnd w:id="23"/>
    </w:p>
    <w:p w14:paraId="4D62F8F1" w14:textId="77777777" w:rsidR="005C690F" w:rsidRPr="0052732A" w:rsidRDefault="005C690F" w:rsidP="00CA7740">
      <w:pPr>
        <w:spacing w:after="0" w:line="360" w:lineRule="auto"/>
        <w:rPr>
          <w:color w:val="auto"/>
        </w:rPr>
      </w:pPr>
    </w:p>
    <w:p w14:paraId="792A5D2D" w14:textId="39BDC225" w:rsidR="005C690F" w:rsidRDefault="007D6307" w:rsidP="00CA7740">
      <w:pPr>
        <w:spacing w:after="0" w:line="360" w:lineRule="auto"/>
        <w:rPr>
          <w:color w:val="auto"/>
        </w:rPr>
      </w:pPr>
      <w:r w:rsidRPr="0052732A">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C631CFC" w14:textId="77777777" w:rsidR="00CA7740" w:rsidRPr="0052732A" w:rsidRDefault="00CA7740" w:rsidP="00CA7740">
      <w:pPr>
        <w:spacing w:after="0" w:line="360" w:lineRule="auto"/>
        <w:rPr>
          <w:color w:val="auto"/>
        </w:rPr>
      </w:pPr>
    </w:p>
    <w:p w14:paraId="69458899" w14:textId="77777777" w:rsidR="005C690F" w:rsidRPr="0052732A" w:rsidRDefault="007D6307" w:rsidP="00CA7740">
      <w:pPr>
        <w:spacing w:after="0" w:line="360" w:lineRule="auto"/>
        <w:rPr>
          <w:color w:val="auto"/>
        </w:rPr>
      </w:pPr>
      <w:r w:rsidRPr="0052732A">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52732A" w:rsidRDefault="005C690F" w:rsidP="00CA7740">
      <w:pPr>
        <w:spacing w:after="0" w:line="360" w:lineRule="auto"/>
        <w:rPr>
          <w:color w:val="auto"/>
        </w:rPr>
      </w:pPr>
    </w:p>
    <w:p w14:paraId="3D8EBDEC" w14:textId="77777777" w:rsidR="005C690F" w:rsidRPr="0052732A" w:rsidRDefault="007D6307" w:rsidP="00CA7740">
      <w:pPr>
        <w:spacing w:after="0" w:line="360" w:lineRule="auto"/>
        <w:rPr>
          <w:color w:val="auto"/>
        </w:rPr>
      </w:pPr>
      <w:r w:rsidRPr="0052732A">
        <w:rPr>
          <w:color w:val="auto"/>
        </w:rPr>
        <w:t>Por su parte, la Ley de Transparencia y Acceso a la Información Pública del Estado de México y Municipios (Reglamentaria del artículo 5° de la Constitución Local), establece lo siguiente:</w:t>
      </w:r>
    </w:p>
    <w:p w14:paraId="2818D616" w14:textId="77777777" w:rsidR="005C690F" w:rsidRPr="0052732A" w:rsidRDefault="005C690F" w:rsidP="00CA7740">
      <w:pPr>
        <w:spacing w:after="0" w:line="360" w:lineRule="auto"/>
        <w:rPr>
          <w:color w:val="auto"/>
        </w:rPr>
      </w:pPr>
    </w:p>
    <w:p w14:paraId="5BD9CB2E" w14:textId="77777777" w:rsidR="005C690F" w:rsidRPr="0052732A" w:rsidRDefault="007D6307" w:rsidP="00CA7740">
      <w:pPr>
        <w:spacing w:after="0" w:line="360" w:lineRule="auto"/>
        <w:rPr>
          <w:color w:val="auto"/>
        </w:rPr>
      </w:pPr>
      <w:r w:rsidRPr="0052732A">
        <w:rPr>
          <w:color w:val="auto"/>
        </w:rPr>
        <w:t>El artículo 12, que, quienes generen, recopilen, administren, manejen, procesen, archiven o conserven información pública serán responsables de la misma.</w:t>
      </w:r>
    </w:p>
    <w:p w14:paraId="6BD1FFBB" w14:textId="77777777" w:rsidR="007C02D1" w:rsidRPr="0052732A" w:rsidRDefault="007C02D1" w:rsidP="00CA7740">
      <w:pPr>
        <w:spacing w:after="0" w:line="360" w:lineRule="auto"/>
        <w:rPr>
          <w:color w:val="auto"/>
        </w:rPr>
      </w:pPr>
    </w:p>
    <w:p w14:paraId="3D899A16" w14:textId="77777777" w:rsidR="005C690F" w:rsidRPr="0052732A" w:rsidRDefault="007D6307" w:rsidP="00CA7740">
      <w:pPr>
        <w:widowControl w:val="0"/>
        <w:spacing w:after="0" w:line="360" w:lineRule="auto"/>
        <w:rPr>
          <w:color w:val="auto"/>
        </w:rPr>
      </w:pPr>
      <w:r w:rsidRPr="0052732A">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52732A" w:rsidRDefault="00B153FA" w:rsidP="00CA7740">
      <w:pPr>
        <w:widowControl w:val="0"/>
        <w:spacing w:after="0" w:line="360" w:lineRule="auto"/>
        <w:rPr>
          <w:color w:val="auto"/>
        </w:rPr>
      </w:pPr>
    </w:p>
    <w:p w14:paraId="70E5B643" w14:textId="378E2A57" w:rsidR="00B04A35" w:rsidRPr="0052732A" w:rsidRDefault="007D6307" w:rsidP="00CA7740">
      <w:pPr>
        <w:spacing w:after="0" w:line="360" w:lineRule="auto"/>
        <w:rPr>
          <w:color w:val="auto"/>
        </w:rPr>
      </w:pPr>
      <w:r w:rsidRPr="0052732A">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35DFA67" w14:textId="77777777" w:rsidR="001E4231" w:rsidRPr="0052732A" w:rsidRDefault="001E4231" w:rsidP="00CA7740">
      <w:pPr>
        <w:spacing w:after="0" w:line="360" w:lineRule="auto"/>
        <w:rPr>
          <w:color w:val="auto"/>
        </w:rPr>
      </w:pPr>
    </w:p>
    <w:p w14:paraId="3AF871E5" w14:textId="6FEB966D" w:rsidR="005C690F" w:rsidRPr="0052732A" w:rsidRDefault="00CD6238" w:rsidP="00CA7740">
      <w:pPr>
        <w:pStyle w:val="Ttulo2"/>
        <w:spacing w:before="0" w:after="0" w:line="360" w:lineRule="auto"/>
        <w:rPr>
          <w:color w:val="auto"/>
          <w:sz w:val="22"/>
          <w:szCs w:val="22"/>
        </w:rPr>
      </w:pPr>
      <w:bookmarkStart w:id="24" w:name="_Toc198156990"/>
      <w:bookmarkStart w:id="25" w:name="_Toc223618930"/>
      <w:r w:rsidRPr="0052732A">
        <w:rPr>
          <w:color w:val="auto"/>
          <w:sz w:val="22"/>
          <w:szCs w:val="22"/>
        </w:rPr>
        <w:t>Q</w:t>
      </w:r>
      <w:r w:rsidR="0044017B" w:rsidRPr="0052732A">
        <w:rPr>
          <w:color w:val="auto"/>
          <w:sz w:val="22"/>
          <w:szCs w:val="22"/>
        </w:rPr>
        <w:t>UINTO</w:t>
      </w:r>
      <w:r w:rsidRPr="0052732A">
        <w:rPr>
          <w:color w:val="auto"/>
          <w:sz w:val="22"/>
          <w:szCs w:val="22"/>
        </w:rPr>
        <w:t>. Estudio de Fondo</w:t>
      </w:r>
      <w:bookmarkEnd w:id="24"/>
      <w:bookmarkEnd w:id="25"/>
    </w:p>
    <w:p w14:paraId="2596B212" w14:textId="77777777" w:rsidR="00A56228" w:rsidRPr="00B2261F" w:rsidRDefault="00A56228" w:rsidP="00CA7740">
      <w:pPr>
        <w:spacing w:after="0" w:line="360" w:lineRule="auto"/>
        <w:rPr>
          <w:b/>
          <w:color w:val="FF0000"/>
        </w:rPr>
      </w:pPr>
    </w:p>
    <w:p w14:paraId="4CB72A48" w14:textId="3FCDC74E" w:rsidR="00503363" w:rsidRDefault="0064067B" w:rsidP="00CA7740">
      <w:pPr>
        <w:spacing w:after="0" w:line="360" w:lineRule="auto"/>
        <w:rPr>
          <w:rFonts w:eastAsia="Times New Roman" w:cs="Tahoma"/>
          <w:bCs/>
          <w:iCs/>
          <w:color w:val="auto"/>
          <w:lang w:eastAsia="es-ES"/>
        </w:rPr>
      </w:pPr>
      <w:r w:rsidRPr="0052732A">
        <w:rPr>
          <w:color w:val="auto"/>
        </w:rPr>
        <w:t>Expuestas las posturas de las partes, se procede al análisis de los agravios hechos valer por la persona Recurrente</w:t>
      </w:r>
      <w:r w:rsidR="00731FB9" w:rsidRPr="0052732A">
        <w:rPr>
          <w:color w:val="auto"/>
        </w:rPr>
        <w:t xml:space="preserve">, </w:t>
      </w:r>
      <w:r w:rsidR="007F4407" w:rsidRPr="0052732A">
        <w:rPr>
          <w:rFonts w:eastAsia="Times New Roman" w:cs="Tahoma"/>
          <w:bCs/>
          <w:iCs/>
          <w:color w:val="auto"/>
          <w:lang w:eastAsia="es-ES"/>
        </w:rPr>
        <w:t>por lo que, en principio es necesario contextualizar la solicitud de información.</w:t>
      </w:r>
    </w:p>
    <w:p w14:paraId="24A000CE" w14:textId="77777777" w:rsidR="00511BE4" w:rsidRDefault="00511BE4" w:rsidP="00CA7740">
      <w:pPr>
        <w:spacing w:after="0" w:line="360" w:lineRule="auto"/>
        <w:rPr>
          <w:rFonts w:eastAsia="Times New Roman" w:cs="Tahoma"/>
          <w:bCs/>
          <w:iCs/>
          <w:color w:val="auto"/>
          <w:lang w:eastAsia="es-ES"/>
        </w:rPr>
      </w:pPr>
    </w:p>
    <w:p w14:paraId="3738AAF0" w14:textId="77777777" w:rsidR="009001E8" w:rsidRDefault="009001E8" w:rsidP="00CA7740">
      <w:pPr>
        <w:spacing w:after="0" w:line="360" w:lineRule="auto"/>
      </w:pPr>
      <w:r>
        <w:t xml:space="preserve">Respecto al tema, Eduardo López Sosa, Natalia López Sosa. (2014). “Derecho Administrativo Mexicano” (p. 262), establece que la autorización, la licencia, o el permiso es el acto administrativo por medio de los cuales se otorga a un particular, por un órgano administrativo, la facultad o el derecho para realizar una actividad o para hacer alguna cosa. </w:t>
      </w:r>
    </w:p>
    <w:p w14:paraId="40A2E2C4" w14:textId="77777777" w:rsidR="009001E8" w:rsidRDefault="009001E8" w:rsidP="00CA7740">
      <w:pPr>
        <w:spacing w:after="0" w:line="360" w:lineRule="auto"/>
      </w:pPr>
    </w:p>
    <w:p w14:paraId="01001EBD" w14:textId="77777777" w:rsidR="00B6162A" w:rsidRDefault="009001E8" w:rsidP="00CA7740">
      <w:pPr>
        <w:spacing w:after="0" w:line="360" w:lineRule="auto"/>
      </w:pPr>
      <w:r>
        <w:t xml:space="preserve">Sobre dichos documentos, el artículo 5°, fracción X, de la Ley de Bienes del Estado de México y de sus Municipios, establece que los Ayuntamientos otorgan concesiones, autorizaciones, permisos o licencias sobre bienes del dominio público o privado. </w:t>
      </w:r>
    </w:p>
    <w:p w14:paraId="4E23EE88" w14:textId="77777777" w:rsidR="00B6162A" w:rsidRDefault="00B6162A" w:rsidP="00CA7740">
      <w:pPr>
        <w:spacing w:after="0" w:line="360" w:lineRule="auto"/>
      </w:pPr>
    </w:p>
    <w:p w14:paraId="0FB4D7D2" w14:textId="5AA0CBF8" w:rsidR="00D77D03" w:rsidRDefault="001E4231" w:rsidP="00CA7740">
      <w:pPr>
        <w:spacing w:after="0" w:line="360" w:lineRule="auto"/>
      </w:pPr>
      <w:r>
        <w:rPr>
          <w:rFonts w:eastAsia="Times New Roman" w:cs="Tahoma"/>
          <w:bCs/>
          <w:iCs/>
          <w:color w:val="auto"/>
          <w:lang w:eastAsia="es-ES"/>
        </w:rPr>
        <w:t xml:space="preserve">En ese orden de ideas, el Bando Municipal de Metepec vigente, en su artículo 79 refiere que contara con diversas unidades administrativas dentro de las cuales existirá la Dirección de Desarrollo Urbano y Metropolitano que se encargara de </w:t>
      </w:r>
      <w:r>
        <w:t xml:space="preserve">expedir u otorgar licencias, cédulas de zonificación, constancias y permisos en los términos del Código Administrativo, legislación y reglamentos aplicables; así como </w:t>
      </w:r>
      <w:r w:rsidRPr="001E4231">
        <w:rPr>
          <w:b/>
          <w:u w:val="single"/>
        </w:rPr>
        <w:t>otorgar las licencias y/o permisos relacionados con el uso del suelo</w:t>
      </w:r>
      <w:r w:rsidR="00CA7740">
        <w:t>.</w:t>
      </w:r>
    </w:p>
    <w:p w14:paraId="62155D6E" w14:textId="77777777" w:rsidR="00932125" w:rsidRPr="009C76A0" w:rsidRDefault="00932125" w:rsidP="00CA7740">
      <w:pPr>
        <w:spacing w:after="0" w:line="360" w:lineRule="auto"/>
        <w:rPr>
          <w:rFonts w:eastAsia="Times New Roman" w:cs="Tahoma"/>
          <w:bCs/>
          <w:iCs/>
          <w:color w:val="auto"/>
          <w:lang w:eastAsia="es-ES"/>
        </w:rPr>
      </w:pPr>
    </w:p>
    <w:p w14:paraId="45540E97" w14:textId="542ECBBA" w:rsidR="00CB29F6" w:rsidRDefault="00D363C5" w:rsidP="00CA7740">
      <w:pPr>
        <w:spacing w:after="0" w:line="360" w:lineRule="auto"/>
        <w:rPr>
          <w:rFonts w:cs="Tahoma"/>
          <w:color w:val="auto"/>
        </w:rPr>
      </w:pPr>
      <w:r w:rsidRPr="008D2477">
        <w:rPr>
          <w:rFonts w:eastAsia="Times New Roman" w:cs="Tahoma"/>
          <w:bCs/>
          <w:color w:val="auto"/>
          <w:lang w:val="es-ES_tradnl" w:eastAsia="es-ES"/>
        </w:rPr>
        <w:t>De tales circunstancias, se logra vislumbrar que la pretensión de</w:t>
      </w:r>
      <w:r w:rsidR="00093CF1" w:rsidRPr="008D2477">
        <w:rPr>
          <w:rFonts w:eastAsia="Times New Roman" w:cs="Tahoma"/>
          <w:bCs/>
          <w:color w:val="auto"/>
          <w:lang w:val="es-ES_tradnl" w:eastAsia="es-ES"/>
        </w:rPr>
        <w:t xml:space="preserve"> la persona</w:t>
      </w:r>
      <w:r w:rsidRPr="008D2477">
        <w:rPr>
          <w:rFonts w:eastAsia="Times New Roman" w:cs="Tahoma"/>
          <w:bCs/>
          <w:color w:val="auto"/>
          <w:lang w:val="es-ES_tradnl" w:eastAsia="es-ES"/>
        </w:rPr>
        <w:t xml:space="preserve"> Recurrente, es </w:t>
      </w:r>
      <w:r w:rsidR="00054B38" w:rsidRPr="008D2477">
        <w:rPr>
          <w:rFonts w:eastAsia="Times New Roman" w:cs="Tahoma"/>
          <w:bCs/>
          <w:color w:val="auto"/>
          <w:lang w:val="es-ES_tradnl" w:eastAsia="es-ES"/>
        </w:rPr>
        <w:t xml:space="preserve">obtener </w:t>
      </w:r>
      <w:r w:rsidR="008D2477" w:rsidRPr="008D2477">
        <w:rPr>
          <w:rFonts w:cs="Tahoma"/>
          <w:color w:val="auto"/>
        </w:rPr>
        <w:t>todos los cambios de uso de suelo, autorizados por el director de desarrollo urbano, incluyendo sus anexos y versiones estenográficas de las sesiones del COPLADEMUN del primero de enero de dos mil veintidós al quince de agosto de dos mil veinticinco.</w:t>
      </w:r>
    </w:p>
    <w:p w14:paraId="224A7F3B" w14:textId="77777777" w:rsidR="008D2477" w:rsidRPr="00054B38" w:rsidRDefault="008D2477" w:rsidP="00CA7740">
      <w:pPr>
        <w:spacing w:after="0" w:line="360" w:lineRule="auto"/>
        <w:rPr>
          <w:rFonts w:cs="Tahoma"/>
          <w:color w:val="auto"/>
        </w:rPr>
      </w:pPr>
    </w:p>
    <w:p w14:paraId="34C62197" w14:textId="46EA4AFE" w:rsidR="00DF143A" w:rsidRPr="00AD63B4" w:rsidRDefault="00DF143A" w:rsidP="00CA7740">
      <w:pPr>
        <w:spacing w:after="0" w:line="360" w:lineRule="auto"/>
        <w:rPr>
          <w:color w:val="0D0D0D"/>
        </w:rPr>
      </w:pPr>
      <w:r w:rsidRPr="00AD63B4">
        <w:rPr>
          <w:color w:val="000000"/>
        </w:rPr>
        <w:t>Ahora bien, de las constancias que obran en el expediente electrónico, se advierte que el Sujeto Obligado</w:t>
      </w:r>
      <w:r w:rsidRPr="00AD63B4">
        <w:rPr>
          <w:color w:val="0D0D0D"/>
        </w:rPr>
        <w:t>, turnó la solicitud de información a la</w:t>
      </w:r>
      <w:r w:rsidR="00A93910" w:rsidRPr="00A93910">
        <w:t xml:space="preserve"> </w:t>
      </w:r>
      <w:r w:rsidR="009001E8">
        <w:t>Dirección de Desarrollo Urbano y Metropolitano</w:t>
      </w:r>
      <w:r w:rsidRPr="00AD63B4">
        <w:rPr>
          <w:color w:val="000000"/>
        </w:rPr>
        <w:t xml:space="preserve">; </w:t>
      </w:r>
      <w:r w:rsidRPr="00AD63B4">
        <w:t xml:space="preserve">por lo que, es oportuno hacer referencia al </w:t>
      </w:r>
      <w:r w:rsidRPr="00AD63B4">
        <w:rPr>
          <w:b/>
        </w:rPr>
        <w:t>procedimiento de búsqueda que deben de seguir los Sujetos Obligados para localizar la información</w:t>
      </w:r>
      <w:r w:rsidRPr="00AD63B4">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30036C3B" w14:textId="77777777" w:rsidR="00DF143A" w:rsidRPr="009001E8" w:rsidRDefault="00DF143A" w:rsidP="00CA7740">
      <w:pPr>
        <w:spacing w:after="0" w:line="360" w:lineRule="auto"/>
        <w:ind w:left="720"/>
      </w:pPr>
    </w:p>
    <w:p w14:paraId="0E5BED20" w14:textId="245F2996" w:rsidR="00DF143A" w:rsidRDefault="00DF143A" w:rsidP="00CA7740">
      <w:pPr>
        <w:spacing w:after="0" w:line="360" w:lineRule="auto"/>
        <w:rPr>
          <w:color w:val="000000"/>
        </w:rPr>
      </w:pPr>
      <w:r w:rsidRPr="009001E8">
        <w:rPr>
          <w:color w:val="000000"/>
        </w:rPr>
        <w:t xml:space="preserve">Así y de lo plasmado en párrafos anteriores, </w:t>
      </w:r>
      <w:r w:rsidRPr="009001E8">
        <w:t>se logra colegir que el Sujeto Obligad</w:t>
      </w:r>
      <w:r w:rsidR="009001E8" w:rsidRPr="009001E8">
        <w:t xml:space="preserve">o </w:t>
      </w:r>
      <w:r w:rsidRPr="009001E8">
        <w:t>cumplió</w:t>
      </w:r>
      <w:r w:rsidRPr="00AD63B4">
        <w:t xml:space="preserve"> con el procedimiento de búsqueda </w:t>
      </w:r>
      <w:r w:rsidRPr="00AD63B4">
        <w:rPr>
          <w:color w:val="000000"/>
        </w:rPr>
        <w:t>establecido en el artículo 162 de la Ley de Transparencia y Acceso a la Información Pública del Estado de México y Mu</w:t>
      </w:r>
      <w:r w:rsidR="009001E8">
        <w:rPr>
          <w:color w:val="000000"/>
        </w:rPr>
        <w:t xml:space="preserve">nicipios, toda vez, que turno al área competente de </w:t>
      </w:r>
      <w:r w:rsidR="006328FE">
        <w:rPr>
          <w:color w:val="000000"/>
        </w:rPr>
        <w:t>gestionar</w:t>
      </w:r>
      <w:r w:rsidRPr="00AD63B4">
        <w:rPr>
          <w:color w:val="000000"/>
        </w:rPr>
        <w:t xml:space="preserve"> </w:t>
      </w:r>
      <w:r w:rsidR="009001E8">
        <w:rPr>
          <w:color w:val="000000"/>
        </w:rPr>
        <w:t>el requerimiento de información.</w:t>
      </w:r>
    </w:p>
    <w:p w14:paraId="3BFD7A78" w14:textId="77777777" w:rsidR="00103836" w:rsidRPr="00B2261F" w:rsidRDefault="00103836" w:rsidP="00CA7740">
      <w:pPr>
        <w:spacing w:after="0" w:line="360" w:lineRule="auto"/>
        <w:rPr>
          <w:color w:val="FF0000"/>
        </w:rPr>
      </w:pPr>
    </w:p>
    <w:p w14:paraId="7181BBD4" w14:textId="70559F0D" w:rsidR="000E5E55" w:rsidRPr="00920066" w:rsidRDefault="00E0447A" w:rsidP="00CA7740">
      <w:pPr>
        <w:spacing w:after="0" w:line="360" w:lineRule="auto"/>
        <w:rPr>
          <w:color w:val="000000"/>
        </w:rPr>
      </w:pPr>
      <w:r w:rsidRPr="00B60AF8">
        <w:rPr>
          <w:color w:val="auto"/>
        </w:rPr>
        <w:t xml:space="preserve">Ahora bien, </w:t>
      </w:r>
      <w:r w:rsidR="007228F7" w:rsidRPr="00B60AF8">
        <w:rPr>
          <w:color w:val="auto"/>
        </w:rPr>
        <w:t>en respuesta</w:t>
      </w:r>
      <w:r w:rsidR="000E5E55" w:rsidRPr="009A5516">
        <w:rPr>
          <w:color w:val="auto"/>
        </w:rPr>
        <w:t>,</w:t>
      </w:r>
      <w:r w:rsidR="00142492">
        <w:rPr>
          <w:color w:val="auto"/>
        </w:rPr>
        <w:t xml:space="preserve"> </w:t>
      </w:r>
      <w:r w:rsidR="009001E8">
        <w:rPr>
          <w:color w:val="auto"/>
        </w:rPr>
        <w:t xml:space="preserve">dicha área </w:t>
      </w:r>
      <w:r w:rsidR="000E5E55">
        <w:rPr>
          <w:color w:val="auto"/>
        </w:rPr>
        <w:t>refirió</w:t>
      </w:r>
      <w:r w:rsidR="002E363F">
        <w:rPr>
          <w:color w:val="auto"/>
        </w:rPr>
        <w:t xml:space="preserve"> que ponía a disposición la información solicitada </w:t>
      </w:r>
      <w:r w:rsidR="00DC6DC9">
        <w:rPr>
          <w:color w:val="auto"/>
        </w:rPr>
        <w:t xml:space="preserve">en las modalidades disponibles </w:t>
      </w:r>
      <w:r w:rsidR="002E363F">
        <w:rPr>
          <w:color w:val="auto"/>
        </w:rPr>
        <w:t>para su consulta o reproducción, previo pago de derechos en sus oficinas</w:t>
      </w:r>
      <w:r w:rsidR="002E363F">
        <w:t>;</w:t>
      </w:r>
      <w:r w:rsidR="00920066">
        <w:rPr>
          <w:color w:val="000000"/>
        </w:rPr>
        <w:t xml:space="preserve"> </w:t>
      </w:r>
      <w:r w:rsidR="004F2CA0">
        <w:rPr>
          <w:rFonts w:cs="Tahoma"/>
          <w:iCs/>
          <w:szCs w:val="24"/>
          <w:lang w:val="es-ES_tradnl"/>
        </w:rPr>
        <w:t>de</w:t>
      </w:r>
      <w:r w:rsidR="00142492">
        <w:rPr>
          <w:rFonts w:cs="Tahoma"/>
          <w:iCs/>
          <w:szCs w:val="24"/>
          <w:lang w:val="es-ES_tradnl"/>
        </w:rPr>
        <w:t xml:space="preserve"> tal suerte</w:t>
      </w:r>
      <w:r w:rsidR="000E5E55" w:rsidRPr="00AD63B4">
        <w:rPr>
          <w:rFonts w:cs="Tahoma"/>
          <w:iCs/>
          <w:szCs w:val="24"/>
          <w:lang w:val="es-ES_tradnl"/>
        </w:rPr>
        <w:t>, se procede analizar si procede el cambio de modalidad. A</w:t>
      </w:r>
      <w:r w:rsidR="000E5E55" w:rsidRPr="00AD63B4">
        <w:rPr>
          <w:rFonts w:cs="Tahoma"/>
          <w:lang w:val="es-ES"/>
        </w:rPr>
        <w:t xml:space="preserve">l respecto, cabe </w:t>
      </w:r>
      <w:r w:rsidR="000E5E55" w:rsidRPr="00DC6DC9">
        <w:rPr>
          <w:rFonts w:cs="Tahoma"/>
          <w:lang w:val="es-ES"/>
        </w:rPr>
        <w:t>recordar que se requirió la información, a través del Sistema de Acceso a Información Mexiquense (SAIMEX).</w:t>
      </w:r>
    </w:p>
    <w:p w14:paraId="64BFE555" w14:textId="77777777" w:rsidR="00DC6DC9" w:rsidRDefault="00DC6DC9" w:rsidP="00CA7740">
      <w:pPr>
        <w:tabs>
          <w:tab w:val="left" w:pos="7080"/>
        </w:tabs>
        <w:spacing w:after="0" w:line="360" w:lineRule="auto"/>
        <w:contextualSpacing/>
        <w:rPr>
          <w:rStyle w:val="Hipervnculo"/>
          <w:rFonts w:cs="Arial"/>
          <w:color w:val="auto"/>
          <w:lang w:val="es-ES"/>
        </w:rPr>
      </w:pPr>
    </w:p>
    <w:p w14:paraId="6647B7E7" w14:textId="59E2ECC7" w:rsidR="00DC6DC9" w:rsidRDefault="00DC6DC9" w:rsidP="00CA7740">
      <w:pPr>
        <w:spacing w:after="0" w:line="360" w:lineRule="auto"/>
      </w:pPr>
      <w:r w:rsidRPr="00FF2745">
        <w:rPr>
          <w:color w:val="0D0D0D"/>
        </w:rPr>
        <w:t>En ese sentido,</w:t>
      </w:r>
      <w:r w:rsidRPr="00FF2745">
        <w:t xml:space="preserve"> el artículo 155, fracción V, de la Ley de Transparencia y Acceso a la Información Pública del Estado de México y Municipios, precisa que para presentar una solicitud, el particular podrá señalar </w:t>
      </w:r>
      <w:r w:rsidRPr="00FF2745">
        <w:rPr>
          <w:b/>
        </w:rPr>
        <w:t>la modalidad en la que prefiere se otorgue el acceso a la información</w:t>
      </w:r>
      <w:r w:rsidRPr="00FF2745">
        <w:t>, la cual podrá ser verbal, siempre y cuando sea para fines de orientación, mediante consulta directa, mediante la expedición de copias simples o certificadas o la reproducción en cualquier otro med</w:t>
      </w:r>
      <w:r w:rsidR="001C4E41">
        <w:t>io, incluidos los electrónicos.</w:t>
      </w:r>
    </w:p>
    <w:p w14:paraId="71A27518" w14:textId="77777777" w:rsidR="001C4E41" w:rsidRPr="00FF2745" w:rsidRDefault="001C4E41" w:rsidP="00CA7740">
      <w:pPr>
        <w:spacing w:after="0" w:line="360" w:lineRule="auto"/>
      </w:pPr>
    </w:p>
    <w:p w14:paraId="68671153" w14:textId="77777777" w:rsidR="00DC6DC9" w:rsidRPr="00FF2745" w:rsidRDefault="00DC6DC9" w:rsidP="00CA7740">
      <w:pPr>
        <w:spacing w:after="0" w:line="360" w:lineRule="auto"/>
        <w:rPr>
          <w:b/>
        </w:rPr>
      </w:pPr>
      <w:r w:rsidRPr="00FF2745">
        <w:t xml:space="preserve">El artículo 158, dispone que, de manera excepcional, cuando de manera fundada y motivada lo determine el Sujeto Obligado, </w:t>
      </w:r>
      <w:r w:rsidRPr="00FF2745">
        <w:rPr>
          <w:b/>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55109962" w14:textId="77777777" w:rsidR="00DC6DC9" w:rsidRPr="00FF2745" w:rsidRDefault="00DC6DC9" w:rsidP="00CA7740">
      <w:pPr>
        <w:spacing w:after="0" w:line="360" w:lineRule="auto"/>
        <w:rPr>
          <w:b/>
        </w:rPr>
      </w:pPr>
    </w:p>
    <w:p w14:paraId="78D92495" w14:textId="77777777" w:rsidR="00DC6DC9" w:rsidRPr="00FF2745" w:rsidRDefault="00DC6DC9" w:rsidP="00CA7740">
      <w:pPr>
        <w:spacing w:after="0" w:line="360" w:lineRule="auto"/>
      </w:pPr>
      <w:r w:rsidRPr="00FF2745">
        <w:t xml:space="preserve">En ese orden de ideas, el artículo 164 de dicho ordenamiento jurídico, prevé que el acceso se dará en la modalidad de entrega y, en su caso, de envío elegidos por al solicitante. </w:t>
      </w:r>
      <w:r w:rsidRPr="00FF2745">
        <w:rPr>
          <w:b/>
        </w:rPr>
        <w:t>Cuando la información no pueda entregarse o enviarse en la modalidad elegida, el sujeto obligado deberá ofrecer otra u otras modalidades de entrega.</w:t>
      </w:r>
      <w:r w:rsidRPr="00FF2745">
        <w:t xml:space="preserve"> En cualquier caso, </w:t>
      </w:r>
      <w:r w:rsidRPr="00FF2745">
        <w:rPr>
          <w:b/>
        </w:rPr>
        <w:t>se deberá fundar y motivar</w:t>
      </w:r>
      <w:r w:rsidRPr="00FF2745">
        <w:t xml:space="preserve"> la necesidad de ofrecer otras modalidades.</w:t>
      </w:r>
    </w:p>
    <w:p w14:paraId="3D5D5C1E" w14:textId="77777777" w:rsidR="00DC6DC9" w:rsidRPr="00FF2745" w:rsidRDefault="00DC6DC9" w:rsidP="00CA7740">
      <w:pPr>
        <w:spacing w:after="0" w:line="360" w:lineRule="auto"/>
      </w:pPr>
    </w:p>
    <w:p w14:paraId="41A3CBA2" w14:textId="77777777" w:rsidR="00DC6DC9" w:rsidRPr="00FF2745" w:rsidRDefault="00DC6DC9" w:rsidP="00CA7740">
      <w:pPr>
        <w:spacing w:after="0" w:line="360" w:lineRule="auto"/>
        <w:contextualSpacing/>
        <w:rPr>
          <w:rFonts w:cs="Tahoma"/>
          <w:b/>
          <w:bCs/>
          <w:iCs/>
        </w:rPr>
      </w:pPr>
      <w:r w:rsidRPr="00FF2745">
        <w:rPr>
          <w:rFonts w:cs="Tahoma"/>
          <w:bCs/>
          <w:iCs/>
        </w:rPr>
        <w:t xml:space="preserve">En tales consideraciones, la entrega de la información deberá hacerse, </w:t>
      </w:r>
      <w:r w:rsidRPr="00FF2745">
        <w:rPr>
          <w:rFonts w:cs="Tahoma"/>
          <w:b/>
          <w:bCs/>
          <w:iCs/>
        </w:rPr>
        <w:t>en la medida de lo posible, en la forma solicitada por el interesado, salvo que exista un impedimento justificado para atenderla</w:t>
      </w:r>
      <w:r w:rsidRPr="00FF2745">
        <w:rPr>
          <w:rFonts w:cs="Tahoma"/>
          <w:bCs/>
          <w:iCs/>
        </w:rPr>
        <w:t xml:space="preserve">, en cuyo caso, deberán exponerse las razones por las cuales no era posible utilizar el medio de reproducción solicitado; en ese sentido, la entrega de la información en una modalidad distinta a la elegida por el particular </w:t>
      </w:r>
      <w:r w:rsidRPr="00FF2745">
        <w:rPr>
          <w:rFonts w:cs="Tahoma"/>
          <w:b/>
          <w:bCs/>
          <w:iCs/>
        </w:rPr>
        <w:t xml:space="preserve">sólo procede, en caso de que se acredite la imposibilidad de atenderla. </w:t>
      </w:r>
    </w:p>
    <w:p w14:paraId="43C7CC6F" w14:textId="77777777" w:rsidR="00DC6DC9" w:rsidRPr="00FF2745" w:rsidRDefault="00DC6DC9" w:rsidP="00CA7740">
      <w:pPr>
        <w:spacing w:after="0" w:line="360" w:lineRule="auto"/>
        <w:contextualSpacing/>
        <w:rPr>
          <w:rFonts w:eastAsia="Calibri" w:cs="Tahoma"/>
          <w:bCs/>
        </w:rPr>
      </w:pPr>
    </w:p>
    <w:p w14:paraId="62FA9C35" w14:textId="77777777" w:rsidR="00DC6DC9" w:rsidRPr="00FF2745" w:rsidRDefault="00DC6DC9" w:rsidP="00CA7740">
      <w:pPr>
        <w:spacing w:after="0" w:line="360" w:lineRule="auto"/>
        <w:contextualSpacing/>
        <w:rPr>
          <w:rFonts w:eastAsia="Calibri" w:cs="Tahoma"/>
          <w:b/>
        </w:rPr>
      </w:pPr>
      <w:bookmarkStart w:id="26" w:name="_Hlk144892817"/>
      <w:r w:rsidRPr="00FF2745">
        <w:rPr>
          <w:rFonts w:eastAsia="Calibri" w:cs="Tahoma"/>
          <w:bCs/>
          <w:lang w:val="es-ES"/>
        </w:rPr>
        <w:t xml:space="preserve">Así, cuando se justifique el impedimento, </w:t>
      </w:r>
      <w:r w:rsidRPr="00FF2745">
        <w:rPr>
          <w:rFonts w:eastAsia="Calibri" w:cs="Tahoma"/>
          <w:b/>
          <w:bCs/>
          <w:lang w:val="es-ES"/>
        </w:rPr>
        <w:t>los Sujetos Obligados deberán ofrecer al particular otras modalidades de entrega que permita la información</w:t>
      </w:r>
      <w:r w:rsidRPr="00FF2745">
        <w:rPr>
          <w:rFonts w:eastAsia="Calibri" w:cs="Tahoma"/>
          <w:bCs/>
          <w:lang w:val="es-ES"/>
        </w:rPr>
        <w:t>, como consulta directa en las oficinas de la Unidad de Transparencia; lo anterior, es robustecido con el Criterio Orientador SO/008/2017, emitido por el Pleno del Instituto Nacional de Transparencia, Acceso a la Información y Protección de Datos Personales vigente a la fecha de la solicitud, que</w:t>
      </w:r>
      <w:r w:rsidRPr="00FF2745">
        <w:rPr>
          <w:rFonts w:eastAsia="Calibri" w:cs="Tahoma"/>
          <w:bCs/>
        </w:rPr>
        <w:t xml:space="preserve"> establece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FF2745">
        <w:rPr>
          <w:rFonts w:eastAsia="Calibri" w:cs="Tahoma"/>
          <w:b/>
        </w:rPr>
        <w:t>información en todas las modalidades que lo permitan, procurando reducir los costos de entrega.</w:t>
      </w:r>
    </w:p>
    <w:bookmarkEnd w:id="26"/>
    <w:p w14:paraId="43478DF2" w14:textId="77777777" w:rsidR="00DC6DC9" w:rsidRPr="00FF2745" w:rsidRDefault="00DC6DC9" w:rsidP="00CA7740">
      <w:pPr>
        <w:spacing w:after="0" w:line="360" w:lineRule="auto"/>
        <w:contextualSpacing/>
        <w:rPr>
          <w:rFonts w:cs="Tahoma"/>
        </w:rPr>
      </w:pPr>
    </w:p>
    <w:p w14:paraId="2B1D5DF3" w14:textId="77777777" w:rsidR="00DC6DC9" w:rsidRPr="00FF2745" w:rsidRDefault="00DC6DC9" w:rsidP="00CA7740">
      <w:pPr>
        <w:widowControl w:val="0"/>
        <w:spacing w:after="0" w:line="360" w:lineRule="auto"/>
        <w:contextualSpacing/>
        <w:rPr>
          <w:rFonts w:eastAsia="Calibri" w:cs="Tahoma"/>
          <w:bCs/>
        </w:rPr>
      </w:pPr>
      <w:r w:rsidRPr="00FF2745">
        <w:rPr>
          <w:rFonts w:eastAsia="Calibri" w:cs="Tahoma"/>
          <w:bCs/>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20A9EF5F" w14:textId="77777777" w:rsidR="00DC6DC9" w:rsidRPr="00FF2745" w:rsidRDefault="00DC6DC9" w:rsidP="00CA7740">
      <w:pPr>
        <w:widowControl w:val="0"/>
        <w:spacing w:after="0" w:line="360" w:lineRule="auto"/>
        <w:contextualSpacing/>
        <w:rPr>
          <w:rFonts w:eastAsia="Calibri" w:cs="Tahoma"/>
          <w:bCs/>
        </w:rPr>
      </w:pPr>
    </w:p>
    <w:p w14:paraId="3250DCEA" w14:textId="77777777" w:rsidR="00DC6DC9" w:rsidRPr="00FF2745" w:rsidRDefault="00DC6DC9" w:rsidP="00CA7740">
      <w:pPr>
        <w:numPr>
          <w:ilvl w:val="0"/>
          <w:numId w:val="2"/>
        </w:numPr>
        <w:spacing w:after="0" w:line="360" w:lineRule="auto"/>
        <w:contextualSpacing/>
        <w:rPr>
          <w:rFonts w:eastAsia="Calibri" w:cs="Tahoma"/>
          <w:bCs/>
        </w:rPr>
      </w:pPr>
      <w:r w:rsidRPr="00FF2745">
        <w:rPr>
          <w:rFonts w:eastAsia="Calibri" w:cs="Tahoma"/>
          <w:bCs/>
        </w:rPr>
        <w:t>Las razones por las cuales la información implicaba un análisis, estudio o procesamiento de datos;</w:t>
      </w:r>
    </w:p>
    <w:p w14:paraId="6337C8D5" w14:textId="77777777" w:rsidR="00DC6DC9" w:rsidRPr="00FF2745" w:rsidRDefault="00DC6DC9" w:rsidP="00CA7740">
      <w:pPr>
        <w:spacing w:after="0" w:line="360" w:lineRule="auto"/>
        <w:ind w:left="720"/>
        <w:contextualSpacing/>
        <w:rPr>
          <w:rFonts w:eastAsia="Calibri" w:cs="Tahoma"/>
          <w:bCs/>
        </w:rPr>
      </w:pPr>
    </w:p>
    <w:p w14:paraId="6E208CAF" w14:textId="77777777" w:rsidR="00DC6DC9" w:rsidRPr="00FF2745" w:rsidRDefault="00DC6DC9" w:rsidP="00CA7740">
      <w:pPr>
        <w:numPr>
          <w:ilvl w:val="0"/>
          <w:numId w:val="2"/>
        </w:numPr>
        <w:spacing w:after="0" w:line="360" w:lineRule="auto"/>
        <w:contextualSpacing/>
        <w:rPr>
          <w:rFonts w:eastAsia="Calibri" w:cs="Tahoma"/>
          <w:bCs/>
        </w:rPr>
      </w:pPr>
      <w:r w:rsidRPr="00FF2745">
        <w:rPr>
          <w:rFonts w:cs="Tahoma"/>
          <w:iCs/>
        </w:rPr>
        <w:t>Por qué motivo el tiempo, que se le otorga al Sujeto Obligado para dar respuesta, en la modalidad elegida a la solicitud de información, no le es suficiente</w:t>
      </w:r>
      <w:r w:rsidRPr="00FF2745">
        <w:rPr>
          <w:rFonts w:eastAsia="Calibri" w:cs="Tahoma"/>
          <w:bCs/>
        </w:rPr>
        <w:t>, y</w:t>
      </w:r>
    </w:p>
    <w:p w14:paraId="71C218B2" w14:textId="77777777" w:rsidR="00DC6DC9" w:rsidRPr="00FF2745" w:rsidRDefault="00DC6DC9" w:rsidP="00CA7740">
      <w:pPr>
        <w:pStyle w:val="Prrafodelista"/>
        <w:spacing w:line="360" w:lineRule="auto"/>
        <w:rPr>
          <w:rFonts w:eastAsia="Calibri" w:cs="Tahoma"/>
          <w:bCs/>
        </w:rPr>
      </w:pPr>
    </w:p>
    <w:p w14:paraId="3E3A6012" w14:textId="77777777" w:rsidR="00DC6DC9" w:rsidRPr="00FF2745" w:rsidRDefault="00DC6DC9" w:rsidP="00CA7740">
      <w:pPr>
        <w:numPr>
          <w:ilvl w:val="0"/>
          <w:numId w:val="2"/>
        </w:numPr>
        <w:spacing w:after="0" w:line="360" w:lineRule="auto"/>
        <w:contextualSpacing/>
        <w:rPr>
          <w:rFonts w:eastAsia="Calibri" w:cs="Tahoma"/>
          <w:bCs/>
        </w:rPr>
      </w:pPr>
      <w:r w:rsidRPr="00FF2745">
        <w:rPr>
          <w:rFonts w:eastAsia="Calibri" w:cs="Tahoma"/>
          <w:bCs/>
        </w:rPr>
        <w:t>La cantidad de recursos humanos y materiales con los que cuenta el Sujeto Obligado son insuficientes.</w:t>
      </w:r>
    </w:p>
    <w:p w14:paraId="608472AC" w14:textId="77777777" w:rsidR="00DC6DC9" w:rsidRPr="00FF2745" w:rsidRDefault="00DC6DC9" w:rsidP="00CA7740">
      <w:pPr>
        <w:spacing w:after="0" w:line="360" w:lineRule="auto"/>
        <w:ind w:right="-28"/>
      </w:pPr>
    </w:p>
    <w:p w14:paraId="54300C0C" w14:textId="77777777" w:rsidR="00DC6DC9" w:rsidRPr="00FF2745" w:rsidRDefault="00DC6DC9" w:rsidP="00CA7740">
      <w:pPr>
        <w:spacing w:after="0" w:line="360" w:lineRule="auto"/>
        <w:rPr>
          <w:color w:val="000000"/>
        </w:rPr>
      </w:pPr>
      <w:bookmarkStart w:id="27" w:name="_Hlk144895931"/>
      <w:r w:rsidRPr="00FF2745">
        <w:rPr>
          <w:color w:val="000000"/>
        </w:rPr>
        <w:t>Ahora bien, el Sujeto Obligado precisó que ponía a disposición de la persona Recurrente los oficios solicitados en consulta directa, bajo las siguientes consideraciones:</w:t>
      </w:r>
      <w:bookmarkStart w:id="28" w:name="_Hlk144895267"/>
      <w:bookmarkEnd w:id="27"/>
    </w:p>
    <w:p w14:paraId="524B00D9" w14:textId="77777777" w:rsidR="00DC6DC9" w:rsidRPr="00FF2745" w:rsidRDefault="00DC6DC9" w:rsidP="00CA7740">
      <w:pPr>
        <w:spacing w:after="0" w:line="360" w:lineRule="auto"/>
        <w:rPr>
          <w:color w:val="000000"/>
        </w:rPr>
      </w:pPr>
    </w:p>
    <w:p w14:paraId="226C7287" w14:textId="40CCA97B" w:rsidR="00DC6DC9" w:rsidRPr="00FF2745" w:rsidRDefault="00DC6DC9" w:rsidP="00CA7740">
      <w:pPr>
        <w:numPr>
          <w:ilvl w:val="0"/>
          <w:numId w:val="2"/>
        </w:numPr>
        <w:spacing w:after="0" w:line="360" w:lineRule="auto"/>
        <w:contextualSpacing/>
        <w:rPr>
          <w:rFonts w:eastAsia="Calibri" w:cs="Tahoma"/>
          <w:bCs/>
        </w:rPr>
      </w:pPr>
      <w:r w:rsidRPr="00FF2745">
        <w:rPr>
          <w:rFonts w:eastAsia="Calibri" w:cs="Tahoma"/>
          <w:bCs/>
        </w:rPr>
        <w:t>Que la información sobrep</w:t>
      </w:r>
      <w:r w:rsidR="00CB38C8">
        <w:rPr>
          <w:rFonts w:eastAsia="Calibri" w:cs="Tahoma"/>
          <w:bCs/>
        </w:rPr>
        <w:t xml:space="preserve">asaba las capacidades técnicas </w:t>
      </w:r>
      <w:r w:rsidRPr="00FF2745">
        <w:rPr>
          <w:rFonts w:eastAsia="Calibri" w:cs="Tahoma"/>
          <w:bCs/>
        </w:rPr>
        <w:t xml:space="preserve">para poder procesar la información, y, </w:t>
      </w:r>
    </w:p>
    <w:p w14:paraId="35727BE3" w14:textId="77777777" w:rsidR="00DC6DC9" w:rsidRPr="00FF2745" w:rsidRDefault="00DC6DC9" w:rsidP="00CA7740">
      <w:pPr>
        <w:spacing w:after="0" w:line="360" w:lineRule="auto"/>
        <w:rPr>
          <w:color w:val="000000"/>
        </w:rPr>
      </w:pPr>
    </w:p>
    <w:p w14:paraId="04077AF3" w14:textId="25A4EE20" w:rsidR="00DC6DC9" w:rsidRPr="00FF2745" w:rsidRDefault="00DC6DC9" w:rsidP="00CA7740">
      <w:pPr>
        <w:numPr>
          <w:ilvl w:val="0"/>
          <w:numId w:val="2"/>
        </w:numPr>
        <w:spacing w:after="0" w:line="360" w:lineRule="auto"/>
        <w:contextualSpacing/>
        <w:rPr>
          <w:rFonts w:eastAsia="Calibri" w:cs="Tahoma"/>
          <w:bCs/>
        </w:rPr>
      </w:pPr>
      <w:r w:rsidRPr="00FF2745">
        <w:rPr>
          <w:rFonts w:eastAsia="Calibri" w:cs="Tahoma"/>
          <w:bCs/>
        </w:rPr>
        <w:t xml:space="preserve">Que la información </w:t>
      </w:r>
      <w:r w:rsidRPr="00FF2745">
        <w:rPr>
          <w:rFonts w:cs="Tahoma"/>
          <w:lang w:val="es-ES_tradnl"/>
        </w:rPr>
        <w:t xml:space="preserve">excedía la capacidad de </w:t>
      </w:r>
      <w:r w:rsidRPr="00FF2745">
        <w:rPr>
          <w:color w:val="000000"/>
        </w:rPr>
        <w:t xml:space="preserve">máxima de carga dentro del sistema ya que son aproximadamente </w:t>
      </w:r>
      <w:r w:rsidR="00CB38C8">
        <w:rPr>
          <w:color w:val="000000"/>
        </w:rPr>
        <w:t>727MB</w:t>
      </w:r>
      <w:r w:rsidRPr="00FF2745">
        <w:rPr>
          <w:color w:val="000000"/>
        </w:rPr>
        <w:t>.</w:t>
      </w:r>
    </w:p>
    <w:bookmarkEnd w:id="28"/>
    <w:p w14:paraId="2E047AB2" w14:textId="77777777" w:rsidR="00DC6DC9" w:rsidRPr="00FF2745" w:rsidRDefault="00DC6DC9" w:rsidP="00CA7740">
      <w:pPr>
        <w:spacing w:after="0" w:line="360" w:lineRule="auto"/>
        <w:ind w:right="-28"/>
      </w:pPr>
    </w:p>
    <w:p w14:paraId="7CE3BDE6" w14:textId="77777777" w:rsidR="00DC6DC9" w:rsidRDefault="00DC6DC9" w:rsidP="00CA7740">
      <w:pPr>
        <w:autoSpaceDE w:val="0"/>
        <w:autoSpaceDN w:val="0"/>
        <w:adjustRightInd w:val="0"/>
        <w:spacing w:after="0" w:line="360" w:lineRule="auto"/>
        <w:rPr>
          <w:rFonts w:cs="Tahoma"/>
          <w:szCs w:val="24"/>
        </w:rPr>
      </w:pPr>
      <w:r w:rsidRPr="00FF2745">
        <w:rPr>
          <w:rFonts w:eastAsia="Calibri" w:cs="Tahoma"/>
          <w:bCs/>
          <w:iCs/>
        </w:rPr>
        <w:t xml:space="preserve">Sobre dicha circunstancia, </w:t>
      </w:r>
      <w:r w:rsidRPr="00FF2745">
        <w:rPr>
          <w:rFonts w:cs="Tahoma"/>
          <w:szCs w:val="24"/>
        </w:rPr>
        <w:t xml:space="preserve">el Vigésimo Cuarto de los Lineamientos para la operación del Sistema de Acceso a la Información Mexiquense (SAIMEX) y del Sistema de Acceso, Rectificación, Cancelación y Oposición de Datos Personales del Estado de México (SARCOEM), establece que los sistemas electrónicos cuentan con una capacidad máxima de carga dentro del servidor con un peso total de </w:t>
      </w:r>
      <w:r w:rsidRPr="00FF2745">
        <w:rPr>
          <w:rFonts w:cs="Tahoma"/>
          <w:b/>
          <w:bCs/>
          <w:szCs w:val="24"/>
        </w:rPr>
        <w:t>quinientos megabytes</w:t>
      </w:r>
      <w:r w:rsidRPr="00FF2745">
        <w:rPr>
          <w:rFonts w:cs="Tahoma"/>
          <w:szCs w:val="24"/>
        </w:rPr>
        <w:t xml:space="preserve"> o su equivalente a </w:t>
      </w:r>
      <w:r w:rsidRPr="00FF2745">
        <w:rPr>
          <w:rFonts w:cs="Tahoma"/>
          <w:b/>
          <w:bCs/>
          <w:szCs w:val="24"/>
        </w:rPr>
        <w:t>ocho mil fojas</w:t>
      </w:r>
      <w:r w:rsidRPr="00FF2745">
        <w:rPr>
          <w:rFonts w:cs="Tahoma"/>
          <w:szCs w:val="24"/>
        </w:rPr>
        <w:t>.</w:t>
      </w:r>
    </w:p>
    <w:p w14:paraId="47F92C72" w14:textId="77777777" w:rsidR="00DC6DC9" w:rsidRDefault="00DC6DC9" w:rsidP="00CA7740">
      <w:pPr>
        <w:autoSpaceDE w:val="0"/>
        <w:autoSpaceDN w:val="0"/>
        <w:adjustRightInd w:val="0"/>
        <w:spacing w:after="0" w:line="360" w:lineRule="auto"/>
        <w:rPr>
          <w:rFonts w:cs="Tahoma"/>
          <w:szCs w:val="24"/>
        </w:rPr>
      </w:pPr>
    </w:p>
    <w:p w14:paraId="3E675FEA" w14:textId="15DD72CA" w:rsidR="00CA7740" w:rsidRDefault="002325C9" w:rsidP="00CA7740">
      <w:pPr>
        <w:autoSpaceDE w:val="0"/>
        <w:autoSpaceDN w:val="0"/>
        <w:adjustRightInd w:val="0"/>
        <w:spacing w:after="0" w:line="360" w:lineRule="auto"/>
        <w:rPr>
          <w:rFonts w:cs="Tahoma"/>
          <w:szCs w:val="24"/>
        </w:rPr>
      </w:pPr>
      <w:r>
        <w:rPr>
          <w:rFonts w:cs="Tahoma"/>
          <w:szCs w:val="24"/>
        </w:rPr>
        <w:t>En ese contexto, el Pleno de este Instituto ha determinado que para validar un cambio de modalidad, los Sujetos Obligados deberán acreditarla mediante Acuerdo del Comité de Transparencia, o bien, presentando la incidencia correspondiente ante este Instituto.</w:t>
      </w:r>
    </w:p>
    <w:p w14:paraId="121DD287" w14:textId="77777777" w:rsidR="002325C9" w:rsidRDefault="002325C9" w:rsidP="00CA7740">
      <w:pPr>
        <w:autoSpaceDE w:val="0"/>
        <w:autoSpaceDN w:val="0"/>
        <w:adjustRightInd w:val="0"/>
        <w:spacing w:after="0" w:line="360" w:lineRule="auto"/>
        <w:rPr>
          <w:rFonts w:cs="Tahoma"/>
          <w:szCs w:val="24"/>
        </w:rPr>
      </w:pPr>
    </w:p>
    <w:p w14:paraId="43C564AA" w14:textId="5A5B5693" w:rsidR="002325C9" w:rsidRDefault="002325C9" w:rsidP="00CA7740">
      <w:pPr>
        <w:autoSpaceDE w:val="0"/>
        <w:autoSpaceDN w:val="0"/>
        <w:adjustRightInd w:val="0"/>
        <w:spacing w:after="0" w:line="360" w:lineRule="auto"/>
        <w:rPr>
          <w:rFonts w:cs="Tahoma"/>
          <w:szCs w:val="24"/>
        </w:rPr>
      </w:pPr>
      <w:r>
        <w:rPr>
          <w:rFonts w:cs="Tahoma"/>
          <w:szCs w:val="24"/>
        </w:rPr>
        <w:t>Lo cual toma relevancia, con el Décimo Cuarto de los Lineamientos mencionados, que precisa que la Dirección General de Informática deberá llevar un registro de incidencias en la bitácora correspondiente.</w:t>
      </w:r>
    </w:p>
    <w:p w14:paraId="3189DA99" w14:textId="77777777" w:rsidR="002325C9" w:rsidRDefault="002325C9" w:rsidP="00CA7740">
      <w:pPr>
        <w:autoSpaceDE w:val="0"/>
        <w:autoSpaceDN w:val="0"/>
        <w:adjustRightInd w:val="0"/>
        <w:spacing w:after="0" w:line="360" w:lineRule="auto"/>
        <w:rPr>
          <w:rFonts w:cs="Tahoma"/>
          <w:szCs w:val="24"/>
        </w:rPr>
      </w:pPr>
    </w:p>
    <w:p w14:paraId="1578D111" w14:textId="428DBEBD" w:rsidR="002325C9" w:rsidRPr="002130F8" w:rsidRDefault="002325C9" w:rsidP="00CA7740">
      <w:pPr>
        <w:autoSpaceDE w:val="0"/>
        <w:autoSpaceDN w:val="0"/>
        <w:adjustRightInd w:val="0"/>
        <w:spacing w:after="0" w:line="360" w:lineRule="auto"/>
        <w:rPr>
          <w:rFonts w:cs="Tahoma"/>
          <w:b/>
          <w:bCs/>
          <w:szCs w:val="24"/>
        </w:rPr>
      </w:pPr>
      <w:r>
        <w:rPr>
          <w:rFonts w:cs="Tahoma"/>
          <w:szCs w:val="24"/>
        </w:rPr>
        <w:t>Además, es de señalar que si bien el Sujeto Obligado señaló que la información sobrepasaba las capacidades ténicas del Sistema, lo cierto es que no precisó como se conformaba la información, es decir, cuáles eran los documentos que daban cuenta de lo solocitiado, cuantos erán en total; por lo que, se considera que no fundamentó y motivo la justificación para acreditar el cambio de modalidad.</w:t>
      </w:r>
      <w:r w:rsidR="002130F8">
        <w:rPr>
          <w:rFonts w:cs="Tahoma"/>
          <w:szCs w:val="24"/>
        </w:rPr>
        <w:t xml:space="preserve"> Lo cual se robustece con el hecho de que tampoco presentó la incidencia emitida por este Instituto o la autorización del Comité de Transparencia, lo cual da como resultado que el agravio sea </w:t>
      </w:r>
      <w:r w:rsidR="002130F8">
        <w:rPr>
          <w:rFonts w:cs="Tahoma"/>
          <w:b/>
          <w:bCs/>
          <w:szCs w:val="24"/>
        </w:rPr>
        <w:t>FUNDADO.</w:t>
      </w:r>
    </w:p>
    <w:p w14:paraId="4B0AFF14" w14:textId="77777777" w:rsidR="00CA7740" w:rsidRDefault="00CA7740" w:rsidP="00CA7740">
      <w:pPr>
        <w:autoSpaceDE w:val="0"/>
        <w:autoSpaceDN w:val="0"/>
        <w:adjustRightInd w:val="0"/>
        <w:spacing w:after="0" w:line="360" w:lineRule="auto"/>
        <w:rPr>
          <w:rFonts w:cs="Tahoma"/>
          <w:szCs w:val="24"/>
        </w:rPr>
      </w:pPr>
    </w:p>
    <w:p w14:paraId="40A89E6A" w14:textId="7B7EB334" w:rsidR="002130F8" w:rsidRDefault="002130F8" w:rsidP="00CA7740">
      <w:pPr>
        <w:tabs>
          <w:tab w:val="left" w:pos="7080"/>
        </w:tabs>
        <w:spacing w:after="0" w:line="360" w:lineRule="auto"/>
        <w:contextualSpacing/>
        <w:rPr>
          <w:rStyle w:val="Hipervnculo"/>
          <w:rFonts w:cs="Arial"/>
          <w:color w:val="auto"/>
          <w:u w:val="none"/>
          <w:lang w:val="es-ES"/>
        </w:rPr>
      </w:pPr>
      <w:r w:rsidRPr="002130F8">
        <w:rPr>
          <w:rStyle w:val="Hipervnculo"/>
          <w:rFonts w:cs="Arial"/>
          <w:color w:val="auto"/>
          <w:u w:val="none"/>
          <w:lang w:val="es-ES"/>
        </w:rPr>
        <w:t xml:space="preserve">No obstante, mediante </w:t>
      </w:r>
      <w:r w:rsidR="00DC6DC9" w:rsidRPr="002130F8">
        <w:rPr>
          <w:rStyle w:val="Hipervnculo"/>
          <w:rFonts w:cs="Arial"/>
          <w:color w:val="auto"/>
          <w:u w:val="none"/>
          <w:lang w:val="es-ES"/>
        </w:rPr>
        <w:t>del desahogo al Requerimiento de Información Adicional, el Sujeto Obligado aclaró que</w:t>
      </w:r>
      <w:r w:rsidRPr="002130F8">
        <w:rPr>
          <w:rStyle w:val="Hipervnculo"/>
          <w:rFonts w:cs="Arial"/>
          <w:color w:val="auto"/>
          <w:u w:val="none"/>
          <w:lang w:val="es-ES"/>
        </w:rPr>
        <w:t xml:space="preserve"> los documentos que daba cuenta de lo solicitado eran los Expedientes Técnicos de </w:t>
      </w:r>
      <w:r>
        <w:rPr>
          <w:rStyle w:val="Hipervnculo"/>
          <w:rFonts w:cs="Arial"/>
          <w:color w:val="auto"/>
          <w:u w:val="none"/>
          <w:lang w:val="es-ES"/>
        </w:rPr>
        <w:t>cambio de uso de suelo, cuyo peso y número de hojas era el siguiente:</w:t>
      </w:r>
    </w:p>
    <w:p w14:paraId="7B6E2800" w14:textId="77777777" w:rsidR="002130F8" w:rsidRDefault="002130F8" w:rsidP="00CA7740">
      <w:pPr>
        <w:tabs>
          <w:tab w:val="left" w:pos="7080"/>
        </w:tabs>
        <w:spacing w:after="0" w:line="360" w:lineRule="auto"/>
        <w:contextualSpacing/>
        <w:rPr>
          <w:rStyle w:val="Hipervnculo"/>
          <w:rFonts w:cs="Arial"/>
          <w:color w:val="auto"/>
          <w:u w:val="none"/>
          <w:lang w:val="es-ES"/>
        </w:rPr>
      </w:pPr>
    </w:p>
    <w:tbl>
      <w:tblPr>
        <w:tblStyle w:val="Tablaconcuadrcula"/>
        <w:tblW w:w="0" w:type="auto"/>
        <w:tblLook w:val="04A0" w:firstRow="1" w:lastRow="0" w:firstColumn="1" w:lastColumn="0" w:noHBand="0" w:noVBand="1"/>
      </w:tblPr>
      <w:tblGrid>
        <w:gridCol w:w="2973"/>
        <w:gridCol w:w="2974"/>
        <w:gridCol w:w="2974"/>
      </w:tblGrid>
      <w:tr w:rsidR="002130F8" w:rsidRPr="002130F8" w14:paraId="7136C1B2" w14:textId="77777777" w:rsidTr="002130F8">
        <w:tc>
          <w:tcPr>
            <w:tcW w:w="2973" w:type="dxa"/>
            <w:shd w:val="clear" w:color="auto" w:fill="D9D9D9" w:themeFill="background1" w:themeFillShade="D9"/>
          </w:tcPr>
          <w:p w14:paraId="6352D7AC" w14:textId="722AFC19" w:rsidR="002130F8" w:rsidRPr="002130F8" w:rsidRDefault="002130F8" w:rsidP="002130F8">
            <w:pPr>
              <w:tabs>
                <w:tab w:val="left" w:pos="7080"/>
              </w:tabs>
              <w:spacing w:line="360" w:lineRule="auto"/>
              <w:contextualSpacing/>
              <w:jc w:val="center"/>
              <w:rPr>
                <w:rStyle w:val="Hipervnculo"/>
                <w:rFonts w:cs="Arial"/>
                <w:b/>
                <w:bCs/>
                <w:color w:val="auto"/>
                <w:sz w:val="20"/>
                <w:szCs w:val="20"/>
                <w:u w:val="none"/>
                <w:lang w:val="es-ES"/>
              </w:rPr>
            </w:pPr>
            <w:r>
              <w:rPr>
                <w:rStyle w:val="Hipervnculo"/>
                <w:rFonts w:cs="Arial"/>
                <w:b/>
                <w:bCs/>
                <w:color w:val="auto"/>
                <w:sz w:val="20"/>
                <w:szCs w:val="20"/>
                <w:u w:val="none"/>
                <w:lang w:val="es-ES"/>
              </w:rPr>
              <w:t>Año</w:t>
            </w:r>
          </w:p>
        </w:tc>
        <w:tc>
          <w:tcPr>
            <w:tcW w:w="2974" w:type="dxa"/>
            <w:shd w:val="clear" w:color="auto" w:fill="D9D9D9" w:themeFill="background1" w:themeFillShade="D9"/>
          </w:tcPr>
          <w:p w14:paraId="7C28C117" w14:textId="37FCA912" w:rsidR="002130F8" w:rsidRPr="002130F8" w:rsidRDefault="002130F8" w:rsidP="002130F8">
            <w:pPr>
              <w:tabs>
                <w:tab w:val="left" w:pos="7080"/>
              </w:tabs>
              <w:spacing w:line="360" w:lineRule="auto"/>
              <w:contextualSpacing/>
              <w:jc w:val="center"/>
              <w:rPr>
                <w:rStyle w:val="Hipervnculo"/>
                <w:rFonts w:cs="Arial"/>
                <w:b/>
                <w:bCs/>
                <w:color w:val="auto"/>
                <w:sz w:val="20"/>
                <w:szCs w:val="20"/>
                <w:u w:val="none"/>
                <w:lang w:val="es-ES"/>
              </w:rPr>
            </w:pPr>
            <w:r>
              <w:rPr>
                <w:rStyle w:val="Hipervnculo"/>
                <w:rFonts w:cs="Arial"/>
                <w:b/>
                <w:bCs/>
                <w:color w:val="auto"/>
                <w:sz w:val="20"/>
                <w:szCs w:val="20"/>
                <w:u w:val="none"/>
                <w:lang w:val="es-ES"/>
              </w:rPr>
              <w:t>Número de hojas</w:t>
            </w:r>
          </w:p>
        </w:tc>
        <w:tc>
          <w:tcPr>
            <w:tcW w:w="2974" w:type="dxa"/>
            <w:shd w:val="clear" w:color="auto" w:fill="D9D9D9" w:themeFill="background1" w:themeFillShade="D9"/>
          </w:tcPr>
          <w:p w14:paraId="428486DE" w14:textId="3AE55132" w:rsidR="002130F8" w:rsidRPr="002130F8" w:rsidRDefault="002130F8" w:rsidP="002130F8">
            <w:pPr>
              <w:tabs>
                <w:tab w:val="left" w:pos="7080"/>
              </w:tabs>
              <w:spacing w:line="360" w:lineRule="auto"/>
              <w:contextualSpacing/>
              <w:jc w:val="center"/>
              <w:rPr>
                <w:rStyle w:val="Hipervnculo"/>
                <w:rFonts w:cs="Arial"/>
                <w:b/>
                <w:bCs/>
                <w:color w:val="auto"/>
                <w:sz w:val="20"/>
                <w:szCs w:val="20"/>
                <w:u w:val="none"/>
                <w:lang w:val="es-ES"/>
              </w:rPr>
            </w:pPr>
            <w:r>
              <w:rPr>
                <w:rStyle w:val="Hipervnculo"/>
                <w:rFonts w:cs="Arial"/>
                <w:b/>
                <w:bCs/>
                <w:color w:val="auto"/>
                <w:sz w:val="20"/>
                <w:szCs w:val="20"/>
                <w:u w:val="none"/>
                <w:lang w:val="es-ES"/>
              </w:rPr>
              <w:t>Peso</w:t>
            </w:r>
          </w:p>
        </w:tc>
      </w:tr>
      <w:tr w:rsidR="002130F8" w:rsidRPr="002130F8" w14:paraId="65FE669C" w14:textId="77777777" w:rsidTr="002130F8">
        <w:tc>
          <w:tcPr>
            <w:tcW w:w="2973" w:type="dxa"/>
          </w:tcPr>
          <w:p w14:paraId="5CB1BBB4" w14:textId="28611A43" w:rsidR="002130F8" w:rsidRPr="002130F8" w:rsidRDefault="002130F8" w:rsidP="002130F8">
            <w:pPr>
              <w:tabs>
                <w:tab w:val="left" w:pos="7080"/>
              </w:tabs>
              <w:spacing w:line="360" w:lineRule="auto"/>
              <w:contextualSpacing/>
              <w:jc w:val="center"/>
              <w:rPr>
                <w:rStyle w:val="Hipervnculo"/>
                <w:rFonts w:cs="Arial"/>
                <w:color w:val="auto"/>
                <w:sz w:val="20"/>
                <w:szCs w:val="20"/>
                <w:u w:val="none"/>
                <w:lang w:val="es-ES"/>
              </w:rPr>
            </w:pPr>
            <w:r>
              <w:rPr>
                <w:rStyle w:val="Hipervnculo"/>
                <w:rFonts w:cs="Arial"/>
                <w:color w:val="auto"/>
                <w:sz w:val="20"/>
                <w:szCs w:val="20"/>
                <w:u w:val="none"/>
                <w:lang w:val="es-ES"/>
              </w:rPr>
              <w:t>2022</w:t>
            </w:r>
          </w:p>
        </w:tc>
        <w:tc>
          <w:tcPr>
            <w:tcW w:w="2974" w:type="dxa"/>
          </w:tcPr>
          <w:p w14:paraId="297AD3C4" w14:textId="0C3B01FB" w:rsidR="002130F8" w:rsidRPr="002130F8" w:rsidRDefault="002130F8" w:rsidP="002130F8">
            <w:pPr>
              <w:tabs>
                <w:tab w:val="left" w:pos="7080"/>
              </w:tabs>
              <w:spacing w:line="360" w:lineRule="auto"/>
              <w:contextualSpacing/>
              <w:jc w:val="center"/>
              <w:rPr>
                <w:rStyle w:val="Hipervnculo"/>
                <w:rFonts w:cs="Arial"/>
                <w:color w:val="auto"/>
                <w:sz w:val="20"/>
                <w:szCs w:val="20"/>
                <w:u w:val="none"/>
                <w:lang w:val="es-ES"/>
              </w:rPr>
            </w:pPr>
            <w:r>
              <w:rPr>
                <w:rStyle w:val="Hipervnculo"/>
                <w:rFonts w:cs="Arial"/>
                <w:color w:val="auto"/>
                <w:sz w:val="20"/>
                <w:szCs w:val="20"/>
                <w:u w:val="none"/>
                <w:lang w:val="es-ES"/>
              </w:rPr>
              <w:t>10000</w:t>
            </w:r>
          </w:p>
        </w:tc>
        <w:tc>
          <w:tcPr>
            <w:tcW w:w="2974" w:type="dxa"/>
          </w:tcPr>
          <w:p w14:paraId="681AC4D7" w14:textId="523C8ECD" w:rsidR="002130F8" w:rsidRPr="002130F8" w:rsidRDefault="002130F8" w:rsidP="002130F8">
            <w:pPr>
              <w:tabs>
                <w:tab w:val="left" w:pos="7080"/>
              </w:tabs>
              <w:spacing w:line="360" w:lineRule="auto"/>
              <w:contextualSpacing/>
              <w:jc w:val="center"/>
              <w:rPr>
                <w:rStyle w:val="Hipervnculo"/>
                <w:rFonts w:cs="Arial"/>
                <w:color w:val="auto"/>
                <w:sz w:val="20"/>
                <w:szCs w:val="20"/>
                <w:u w:val="none"/>
                <w:lang w:val="es-ES"/>
              </w:rPr>
            </w:pPr>
            <w:r>
              <w:rPr>
                <w:rStyle w:val="Hipervnculo"/>
                <w:rFonts w:cs="Arial"/>
                <w:color w:val="auto"/>
                <w:sz w:val="20"/>
                <w:szCs w:val="20"/>
                <w:u w:val="none"/>
                <w:lang w:val="es-ES"/>
              </w:rPr>
              <w:t>727 MB</w:t>
            </w:r>
          </w:p>
        </w:tc>
      </w:tr>
      <w:tr w:rsidR="002130F8" w:rsidRPr="002130F8" w14:paraId="64417405" w14:textId="77777777" w:rsidTr="002130F8">
        <w:tc>
          <w:tcPr>
            <w:tcW w:w="2973" w:type="dxa"/>
          </w:tcPr>
          <w:p w14:paraId="6BB36E33" w14:textId="34B861C8" w:rsidR="002130F8" w:rsidRPr="002130F8" w:rsidRDefault="002130F8" w:rsidP="002130F8">
            <w:pPr>
              <w:tabs>
                <w:tab w:val="left" w:pos="7080"/>
              </w:tabs>
              <w:spacing w:line="360" w:lineRule="auto"/>
              <w:contextualSpacing/>
              <w:jc w:val="center"/>
              <w:rPr>
                <w:rStyle w:val="Hipervnculo"/>
                <w:rFonts w:cs="Arial"/>
                <w:color w:val="auto"/>
                <w:sz w:val="20"/>
                <w:szCs w:val="20"/>
                <w:u w:val="none"/>
                <w:lang w:val="es-ES"/>
              </w:rPr>
            </w:pPr>
            <w:r>
              <w:rPr>
                <w:rStyle w:val="Hipervnculo"/>
                <w:rFonts w:cs="Arial"/>
                <w:color w:val="auto"/>
                <w:sz w:val="20"/>
                <w:szCs w:val="20"/>
                <w:u w:val="none"/>
                <w:lang w:val="es-ES"/>
              </w:rPr>
              <w:t>2023</w:t>
            </w:r>
          </w:p>
        </w:tc>
        <w:tc>
          <w:tcPr>
            <w:tcW w:w="2974" w:type="dxa"/>
          </w:tcPr>
          <w:p w14:paraId="5D977A36" w14:textId="73EFC2EA" w:rsidR="002130F8" w:rsidRPr="002130F8" w:rsidRDefault="002130F8" w:rsidP="002130F8">
            <w:pPr>
              <w:tabs>
                <w:tab w:val="left" w:pos="7080"/>
              </w:tabs>
              <w:spacing w:line="360" w:lineRule="auto"/>
              <w:contextualSpacing/>
              <w:jc w:val="center"/>
              <w:rPr>
                <w:rStyle w:val="Hipervnculo"/>
                <w:rFonts w:cs="Arial"/>
                <w:color w:val="auto"/>
                <w:sz w:val="20"/>
                <w:szCs w:val="20"/>
                <w:u w:val="none"/>
                <w:lang w:val="es-ES"/>
              </w:rPr>
            </w:pPr>
            <w:r>
              <w:rPr>
                <w:rStyle w:val="Hipervnculo"/>
                <w:rFonts w:cs="Arial"/>
                <w:color w:val="auto"/>
                <w:sz w:val="20"/>
                <w:szCs w:val="20"/>
                <w:u w:val="none"/>
                <w:lang w:val="es-ES"/>
              </w:rPr>
              <w:t>10500</w:t>
            </w:r>
          </w:p>
        </w:tc>
        <w:tc>
          <w:tcPr>
            <w:tcW w:w="2974" w:type="dxa"/>
          </w:tcPr>
          <w:p w14:paraId="173841D0" w14:textId="107D0C4D" w:rsidR="002130F8" w:rsidRPr="002130F8" w:rsidRDefault="002130F8" w:rsidP="002130F8">
            <w:pPr>
              <w:tabs>
                <w:tab w:val="left" w:pos="7080"/>
              </w:tabs>
              <w:spacing w:line="360" w:lineRule="auto"/>
              <w:contextualSpacing/>
              <w:jc w:val="center"/>
              <w:rPr>
                <w:rStyle w:val="Hipervnculo"/>
                <w:rFonts w:cs="Arial"/>
                <w:color w:val="auto"/>
                <w:sz w:val="20"/>
                <w:szCs w:val="20"/>
                <w:u w:val="none"/>
                <w:lang w:val="es-ES"/>
              </w:rPr>
            </w:pPr>
            <w:r>
              <w:rPr>
                <w:rStyle w:val="Hipervnculo"/>
                <w:rFonts w:cs="Arial"/>
                <w:color w:val="auto"/>
                <w:sz w:val="20"/>
                <w:szCs w:val="20"/>
                <w:u w:val="none"/>
                <w:lang w:val="es-ES"/>
              </w:rPr>
              <w:t>763 MB</w:t>
            </w:r>
          </w:p>
        </w:tc>
      </w:tr>
      <w:tr w:rsidR="002130F8" w:rsidRPr="002130F8" w14:paraId="03B89462" w14:textId="77777777" w:rsidTr="002130F8">
        <w:tc>
          <w:tcPr>
            <w:tcW w:w="2973" w:type="dxa"/>
          </w:tcPr>
          <w:p w14:paraId="3E0CCB25" w14:textId="599A657C" w:rsidR="002130F8" w:rsidRPr="002130F8" w:rsidRDefault="002130F8" w:rsidP="002130F8">
            <w:pPr>
              <w:tabs>
                <w:tab w:val="left" w:pos="7080"/>
              </w:tabs>
              <w:spacing w:line="360" w:lineRule="auto"/>
              <w:contextualSpacing/>
              <w:jc w:val="center"/>
              <w:rPr>
                <w:rStyle w:val="Hipervnculo"/>
                <w:rFonts w:cs="Arial"/>
                <w:color w:val="auto"/>
                <w:sz w:val="20"/>
                <w:szCs w:val="20"/>
                <w:u w:val="none"/>
                <w:lang w:val="es-ES"/>
              </w:rPr>
            </w:pPr>
            <w:r>
              <w:rPr>
                <w:rStyle w:val="Hipervnculo"/>
                <w:rFonts w:cs="Arial"/>
                <w:color w:val="auto"/>
                <w:sz w:val="20"/>
                <w:szCs w:val="20"/>
                <w:u w:val="none"/>
                <w:lang w:val="es-ES"/>
              </w:rPr>
              <w:t>2024</w:t>
            </w:r>
          </w:p>
        </w:tc>
        <w:tc>
          <w:tcPr>
            <w:tcW w:w="2974" w:type="dxa"/>
          </w:tcPr>
          <w:p w14:paraId="0BDA106E" w14:textId="6D96D999" w:rsidR="002130F8" w:rsidRPr="002130F8" w:rsidRDefault="002130F8" w:rsidP="002130F8">
            <w:pPr>
              <w:tabs>
                <w:tab w:val="left" w:pos="7080"/>
              </w:tabs>
              <w:spacing w:line="360" w:lineRule="auto"/>
              <w:contextualSpacing/>
              <w:jc w:val="center"/>
              <w:rPr>
                <w:rStyle w:val="Hipervnculo"/>
                <w:rFonts w:cs="Arial"/>
                <w:color w:val="auto"/>
                <w:sz w:val="20"/>
                <w:szCs w:val="20"/>
                <w:u w:val="none"/>
                <w:lang w:val="es-ES"/>
              </w:rPr>
            </w:pPr>
            <w:r>
              <w:rPr>
                <w:rStyle w:val="Hipervnculo"/>
                <w:rFonts w:cs="Arial"/>
                <w:color w:val="auto"/>
                <w:sz w:val="20"/>
                <w:szCs w:val="20"/>
                <w:u w:val="none"/>
                <w:lang w:val="es-ES"/>
              </w:rPr>
              <w:t>11200</w:t>
            </w:r>
          </w:p>
        </w:tc>
        <w:tc>
          <w:tcPr>
            <w:tcW w:w="2974" w:type="dxa"/>
          </w:tcPr>
          <w:p w14:paraId="47B4F219" w14:textId="0DD89B5A" w:rsidR="002130F8" w:rsidRPr="002130F8" w:rsidRDefault="002130F8" w:rsidP="002130F8">
            <w:pPr>
              <w:tabs>
                <w:tab w:val="left" w:pos="7080"/>
              </w:tabs>
              <w:spacing w:line="360" w:lineRule="auto"/>
              <w:contextualSpacing/>
              <w:jc w:val="center"/>
              <w:rPr>
                <w:rStyle w:val="Hipervnculo"/>
                <w:rFonts w:cs="Arial"/>
                <w:color w:val="auto"/>
                <w:sz w:val="20"/>
                <w:szCs w:val="20"/>
                <w:u w:val="none"/>
                <w:lang w:val="es-ES"/>
              </w:rPr>
            </w:pPr>
            <w:r>
              <w:rPr>
                <w:rStyle w:val="Hipervnculo"/>
                <w:rFonts w:cs="Arial"/>
                <w:color w:val="auto"/>
                <w:sz w:val="20"/>
                <w:szCs w:val="20"/>
                <w:u w:val="none"/>
                <w:lang w:val="es-ES"/>
              </w:rPr>
              <w:t>814 MB</w:t>
            </w:r>
          </w:p>
        </w:tc>
      </w:tr>
      <w:tr w:rsidR="002130F8" w:rsidRPr="002130F8" w14:paraId="62882A58" w14:textId="77777777" w:rsidTr="002130F8">
        <w:tc>
          <w:tcPr>
            <w:tcW w:w="2973" w:type="dxa"/>
          </w:tcPr>
          <w:p w14:paraId="5B212B46" w14:textId="4A8B695B" w:rsidR="002130F8" w:rsidRPr="002130F8" w:rsidRDefault="002130F8" w:rsidP="002130F8">
            <w:pPr>
              <w:tabs>
                <w:tab w:val="left" w:pos="7080"/>
              </w:tabs>
              <w:spacing w:line="360" w:lineRule="auto"/>
              <w:contextualSpacing/>
              <w:jc w:val="center"/>
              <w:rPr>
                <w:rStyle w:val="Hipervnculo"/>
                <w:rFonts w:cs="Arial"/>
                <w:color w:val="auto"/>
                <w:sz w:val="20"/>
                <w:szCs w:val="20"/>
                <w:u w:val="none"/>
                <w:lang w:val="es-ES"/>
              </w:rPr>
            </w:pPr>
            <w:r>
              <w:rPr>
                <w:rStyle w:val="Hipervnculo"/>
                <w:rFonts w:cs="Arial"/>
                <w:color w:val="auto"/>
                <w:sz w:val="20"/>
                <w:szCs w:val="20"/>
                <w:u w:val="none"/>
                <w:lang w:val="es-ES"/>
              </w:rPr>
              <w:t>2025</w:t>
            </w:r>
          </w:p>
        </w:tc>
        <w:tc>
          <w:tcPr>
            <w:tcW w:w="2974" w:type="dxa"/>
          </w:tcPr>
          <w:p w14:paraId="2285F4B3" w14:textId="254B3EF4" w:rsidR="002130F8" w:rsidRPr="002130F8" w:rsidRDefault="002130F8" w:rsidP="002130F8">
            <w:pPr>
              <w:tabs>
                <w:tab w:val="left" w:pos="7080"/>
              </w:tabs>
              <w:spacing w:line="360" w:lineRule="auto"/>
              <w:contextualSpacing/>
              <w:jc w:val="center"/>
              <w:rPr>
                <w:rStyle w:val="Hipervnculo"/>
                <w:rFonts w:cs="Arial"/>
                <w:color w:val="auto"/>
                <w:sz w:val="20"/>
                <w:szCs w:val="20"/>
                <w:u w:val="none"/>
                <w:lang w:val="es-ES"/>
              </w:rPr>
            </w:pPr>
            <w:r>
              <w:rPr>
                <w:rStyle w:val="Hipervnculo"/>
                <w:rFonts w:cs="Arial"/>
                <w:color w:val="auto"/>
                <w:sz w:val="20"/>
                <w:szCs w:val="20"/>
                <w:u w:val="none"/>
                <w:lang w:val="es-ES"/>
              </w:rPr>
              <w:t>12000</w:t>
            </w:r>
          </w:p>
        </w:tc>
        <w:tc>
          <w:tcPr>
            <w:tcW w:w="2974" w:type="dxa"/>
          </w:tcPr>
          <w:p w14:paraId="08092975" w14:textId="19D729C8" w:rsidR="002130F8" w:rsidRPr="002130F8" w:rsidRDefault="002130F8" w:rsidP="002130F8">
            <w:pPr>
              <w:tabs>
                <w:tab w:val="left" w:pos="7080"/>
              </w:tabs>
              <w:spacing w:line="360" w:lineRule="auto"/>
              <w:contextualSpacing/>
              <w:jc w:val="center"/>
              <w:rPr>
                <w:rStyle w:val="Hipervnculo"/>
                <w:rFonts w:cs="Arial"/>
                <w:color w:val="auto"/>
                <w:sz w:val="20"/>
                <w:szCs w:val="20"/>
                <w:u w:val="none"/>
                <w:lang w:val="es-ES"/>
              </w:rPr>
            </w:pPr>
            <w:r>
              <w:rPr>
                <w:rStyle w:val="Hipervnculo"/>
                <w:rFonts w:cs="Arial"/>
                <w:color w:val="auto"/>
                <w:sz w:val="20"/>
                <w:szCs w:val="20"/>
                <w:u w:val="none"/>
                <w:lang w:val="es-ES"/>
              </w:rPr>
              <w:t>872 MB</w:t>
            </w:r>
          </w:p>
        </w:tc>
      </w:tr>
    </w:tbl>
    <w:p w14:paraId="7279BD22" w14:textId="77777777" w:rsidR="002130F8" w:rsidRPr="002130F8" w:rsidRDefault="002130F8" w:rsidP="00CA7740">
      <w:pPr>
        <w:tabs>
          <w:tab w:val="left" w:pos="7080"/>
        </w:tabs>
        <w:spacing w:after="0" w:line="360" w:lineRule="auto"/>
        <w:contextualSpacing/>
        <w:rPr>
          <w:rStyle w:val="Hipervnculo"/>
          <w:rFonts w:cs="Arial"/>
          <w:color w:val="auto"/>
          <w:u w:val="none"/>
          <w:lang w:val="es-ES"/>
        </w:rPr>
      </w:pPr>
    </w:p>
    <w:p w14:paraId="5AC48A48" w14:textId="77777777" w:rsidR="002130F8" w:rsidRDefault="002130F8" w:rsidP="00CA7740">
      <w:pPr>
        <w:tabs>
          <w:tab w:val="left" w:pos="7080"/>
        </w:tabs>
        <w:spacing w:after="0" w:line="360" w:lineRule="auto"/>
        <w:contextualSpacing/>
        <w:rPr>
          <w:rStyle w:val="Hipervnculo"/>
          <w:rFonts w:cs="Arial"/>
          <w:color w:val="auto"/>
          <w:lang w:val="es-ES"/>
        </w:rPr>
      </w:pPr>
    </w:p>
    <w:p w14:paraId="684FB8E9" w14:textId="6C65C5A5" w:rsidR="00DC6DC9" w:rsidRDefault="00DC6DC9" w:rsidP="00CA7740">
      <w:pPr>
        <w:spacing w:after="0" w:line="360" w:lineRule="auto"/>
        <w:contextualSpacing/>
        <w:rPr>
          <w:rFonts w:eastAsia="Calibri" w:cs="Tahoma"/>
          <w:bCs/>
          <w:iCs/>
        </w:rPr>
      </w:pPr>
      <w:r w:rsidRPr="00FF2745">
        <w:rPr>
          <w:rFonts w:eastAsia="Calibri" w:cs="Tahoma"/>
          <w:bCs/>
          <w:iCs/>
        </w:rPr>
        <w:t>Conforme a lo anterior, se logra vislumbrar que la información solicitada, sobrepasaba las capacidades técnicas del Sistema de Acceso a la Información Mexiquense</w:t>
      </w:r>
      <w:r w:rsidRPr="00FF2745">
        <w:rPr>
          <w:rFonts w:eastAsia="Calibri"/>
        </w:rPr>
        <w:t xml:space="preserve"> </w:t>
      </w:r>
      <w:r w:rsidRPr="00FF2745">
        <w:rPr>
          <w:rFonts w:eastAsia="Calibri" w:cs="Tahoma"/>
          <w:bCs/>
          <w:iCs/>
        </w:rPr>
        <w:t xml:space="preserve">(SAIMEX), pues </w:t>
      </w:r>
      <w:r w:rsidR="002130F8">
        <w:rPr>
          <w:rFonts w:eastAsia="Calibri" w:cs="Tahoma"/>
          <w:bCs/>
          <w:iCs/>
        </w:rPr>
        <w:t>tiene un peso aproximado de 3177 MB y 43700 hojas. Situación que fue acreditada mediante la Incidencia registrada a este Instituto.</w:t>
      </w:r>
    </w:p>
    <w:p w14:paraId="1A4F576D" w14:textId="07A5DD0F" w:rsidR="002130F8" w:rsidRDefault="002130F8" w:rsidP="00CA7740">
      <w:pPr>
        <w:spacing w:after="0" w:line="360" w:lineRule="auto"/>
        <w:contextualSpacing/>
        <w:rPr>
          <w:rFonts w:eastAsia="Calibri" w:cs="Tahoma"/>
          <w:bCs/>
          <w:iCs/>
        </w:rPr>
      </w:pPr>
    </w:p>
    <w:p w14:paraId="1DDB5D62" w14:textId="77777777" w:rsidR="00DC6DC9" w:rsidRPr="00FF2745" w:rsidRDefault="00DC6DC9" w:rsidP="00CA7740">
      <w:pPr>
        <w:tabs>
          <w:tab w:val="left" w:pos="4962"/>
        </w:tabs>
        <w:spacing w:after="0" w:line="360" w:lineRule="auto"/>
        <w:contextualSpacing/>
        <w:rPr>
          <w:rFonts w:eastAsia="Calibri" w:cs="Tahoma"/>
          <w:color w:val="000000"/>
          <w:lang w:val="es-ES"/>
        </w:rPr>
      </w:pPr>
      <w:r w:rsidRPr="00FF2745">
        <w:t xml:space="preserve">Conforme a lo anterior, se logra vislumbrar que el Sujeto Obligado </w:t>
      </w:r>
      <w:r w:rsidRPr="00FF2745">
        <w:rPr>
          <w:rFonts w:cs="Arial"/>
        </w:rPr>
        <w:t xml:space="preserve">señaló el impedimento para proporcionar la información, en la modalidad elegida por la parte Recurrente, a saber, el </w:t>
      </w:r>
      <w:r w:rsidRPr="00FF2745">
        <w:rPr>
          <w:rFonts w:cs="Arial"/>
          <w:b/>
          <w:bCs/>
          <w:lang w:val="es-ES"/>
        </w:rPr>
        <w:t>Sistema de Acceso a la Información Mexiquense (SAIMEX);</w:t>
      </w:r>
      <w:r w:rsidRPr="00FF2745">
        <w:rPr>
          <w:rFonts w:cs="Arial"/>
          <w:lang w:val="es-ES"/>
        </w:rPr>
        <w:t xml:space="preserve"> por lo que, resulta procedente el cambio de modalidad.</w:t>
      </w:r>
    </w:p>
    <w:p w14:paraId="039A3632" w14:textId="77777777" w:rsidR="00DC6DC9" w:rsidRPr="00FF2745" w:rsidRDefault="00DC6DC9" w:rsidP="00CA7740">
      <w:pPr>
        <w:spacing w:after="0" w:line="360" w:lineRule="auto"/>
        <w:rPr>
          <w:color w:val="000000"/>
        </w:rPr>
      </w:pPr>
    </w:p>
    <w:p w14:paraId="4E1DDB7A" w14:textId="2B587040" w:rsidR="00DC6DC9" w:rsidRPr="00FF2745" w:rsidRDefault="00DC6DC9" w:rsidP="00CA7740">
      <w:pPr>
        <w:spacing w:after="0" w:line="360" w:lineRule="auto"/>
        <w:rPr>
          <w:color w:val="000000"/>
        </w:rPr>
      </w:pPr>
      <w:r w:rsidRPr="00FF2745">
        <w:rPr>
          <w:color w:val="000000"/>
        </w:rPr>
        <w:t>Ahora bien, el Sujeto Obligado puso a disposición la información en consulta directa, pues en disco compacto, en USB, en copias simples o certificadas, por correo postal certificado, por correo o vínculo electrónico, sobre</w:t>
      </w:r>
      <w:r w:rsidR="00CB38C8">
        <w:rPr>
          <w:color w:val="000000"/>
        </w:rPr>
        <w:t>pasaba sus capacidades técnicas</w:t>
      </w:r>
      <w:r w:rsidRPr="00FF2745">
        <w:rPr>
          <w:color w:val="000000"/>
        </w:rPr>
        <w:t xml:space="preserve">; </w:t>
      </w:r>
      <w:r w:rsidRPr="00FF2745">
        <w:rPr>
          <w:rFonts w:cs="Tahoma"/>
          <w:iCs/>
        </w:rPr>
        <w:t xml:space="preserve">sobre dicha circunstancia, es de señalar que el Organismo Garante Nacional, a través de diversas resoluciones de los Recursos de Inconformidad, entre las cuales se encuentran el RIA 136/20, RIA 140/20, RIA 153/20 RIA 237/20, RIA 257/20, RIA 258/20, entre otras, ha considerado que no resulta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6A79C3D0" w14:textId="77777777" w:rsidR="00DC6DC9" w:rsidRPr="00FF2745" w:rsidRDefault="00DC6DC9" w:rsidP="00CA7740">
      <w:pPr>
        <w:spacing w:after="0" w:line="360" w:lineRule="auto"/>
        <w:rPr>
          <w:rFonts w:cs="Tahoma"/>
          <w:iCs/>
        </w:rPr>
      </w:pPr>
    </w:p>
    <w:p w14:paraId="5C5A035D" w14:textId="77777777" w:rsidR="00DC6DC9" w:rsidRPr="00FF2745" w:rsidRDefault="00DC6DC9" w:rsidP="00CA7740">
      <w:pPr>
        <w:spacing w:after="0" w:line="360" w:lineRule="auto"/>
        <w:ind w:right="-28"/>
        <w:contextualSpacing/>
        <w:rPr>
          <w:rFonts w:cs="Tahoma"/>
          <w:iCs/>
        </w:rPr>
      </w:pPr>
      <w:r w:rsidRPr="00FF2745">
        <w:rPr>
          <w:rFonts w:cs="Tahoma"/>
          <w:iCs/>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043FE9D8" w14:textId="77777777" w:rsidR="00DC6DC9" w:rsidRPr="00FF2745" w:rsidRDefault="00DC6DC9" w:rsidP="00CA7740">
      <w:pPr>
        <w:spacing w:after="0" w:line="360" w:lineRule="auto"/>
        <w:ind w:right="-28"/>
        <w:contextualSpacing/>
        <w:rPr>
          <w:rFonts w:cs="Tahoma"/>
          <w:iCs/>
        </w:rPr>
      </w:pPr>
    </w:p>
    <w:p w14:paraId="22FABBE4" w14:textId="77777777" w:rsidR="00DC6DC9" w:rsidRPr="00FF2745" w:rsidRDefault="00DC6DC9" w:rsidP="00CA7740">
      <w:pPr>
        <w:spacing w:after="0" w:line="360" w:lineRule="auto"/>
        <w:ind w:right="-28"/>
        <w:contextualSpacing/>
        <w:rPr>
          <w:rFonts w:cs="Tahoma"/>
        </w:rPr>
      </w:pPr>
      <w:r w:rsidRPr="00FF2745">
        <w:rPr>
          <w:rFonts w:cs="Tahoma"/>
          <w:iCs/>
        </w:rPr>
        <w:t xml:space="preserve">Lo anterior, toma sentido pues el Vigésimo Quinto de los </w:t>
      </w:r>
      <w:r w:rsidRPr="00FF2745">
        <w:rPr>
          <w:rFonts w:cs="Tahoma"/>
        </w:rPr>
        <w:t>Lineamientos para la operación del Sistema de Acceso a la Información Mexiquense (SAIMEX) y del Sistema de Acceso, Rectificación, Cancelación y Oposición de Datos Personales del Estado de México (SARCOEM), establece que el Sujeto Obligado de encontrarse impedido para otorgar la información a través de la modalidad elegida, deberá ofrecer al particular las siguientes formas:</w:t>
      </w:r>
    </w:p>
    <w:p w14:paraId="0806EB0E" w14:textId="77777777" w:rsidR="00DC6DC9" w:rsidRPr="00FF2745" w:rsidRDefault="00DC6DC9" w:rsidP="00CA7740">
      <w:pPr>
        <w:spacing w:after="0" w:line="360" w:lineRule="auto"/>
        <w:ind w:right="-28"/>
        <w:contextualSpacing/>
        <w:rPr>
          <w:rFonts w:cs="Tahoma"/>
        </w:rPr>
      </w:pPr>
    </w:p>
    <w:p w14:paraId="0C7427AB" w14:textId="77777777" w:rsidR="00DC6DC9" w:rsidRPr="00FF2745" w:rsidRDefault="00DC6DC9" w:rsidP="00CA7740">
      <w:pPr>
        <w:pStyle w:val="Prrafodelista"/>
        <w:numPr>
          <w:ilvl w:val="0"/>
          <w:numId w:val="23"/>
        </w:numPr>
        <w:spacing w:line="360" w:lineRule="auto"/>
        <w:ind w:right="-28"/>
        <w:rPr>
          <w:rFonts w:cs="Tahoma"/>
          <w:iCs/>
          <w:szCs w:val="22"/>
        </w:rPr>
      </w:pPr>
      <w:r w:rsidRPr="00FF2745">
        <w:rPr>
          <w:rFonts w:cs="Tahoma"/>
          <w:iCs/>
          <w:szCs w:val="22"/>
        </w:rPr>
        <w:t>Disco compacto;</w:t>
      </w:r>
    </w:p>
    <w:p w14:paraId="5F228BB5" w14:textId="77777777" w:rsidR="00DC6DC9" w:rsidRPr="00FF2745" w:rsidRDefault="00DC6DC9" w:rsidP="00CA7740">
      <w:pPr>
        <w:pStyle w:val="Prrafodelista"/>
        <w:numPr>
          <w:ilvl w:val="0"/>
          <w:numId w:val="23"/>
        </w:numPr>
        <w:spacing w:line="360" w:lineRule="auto"/>
        <w:ind w:right="-28"/>
        <w:rPr>
          <w:rFonts w:cs="Tahoma"/>
          <w:iCs/>
          <w:szCs w:val="22"/>
        </w:rPr>
      </w:pPr>
      <w:r w:rsidRPr="00FF2745">
        <w:rPr>
          <w:rFonts w:cs="Tahoma"/>
          <w:iCs/>
          <w:szCs w:val="22"/>
        </w:rPr>
        <w:t>Dispositivo de</w:t>
      </w:r>
      <w:r w:rsidRPr="00FF2745">
        <w:rPr>
          <w:szCs w:val="22"/>
        </w:rPr>
        <w:t xml:space="preserve"> almacenamiento aportado por el particular (CD o USB);</w:t>
      </w:r>
    </w:p>
    <w:p w14:paraId="4B568E9F" w14:textId="77777777" w:rsidR="00DC6DC9" w:rsidRPr="00FF2745" w:rsidRDefault="00DC6DC9" w:rsidP="00CA7740">
      <w:pPr>
        <w:pStyle w:val="Prrafodelista"/>
        <w:numPr>
          <w:ilvl w:val="0"/>
          <w:numId w:val="23"/>
        </w:numPr>
        <w:spacing w:line="360" w:lineRule="auto"/>
        <w:ind w:right="-28"/>
        <w:rPr>
          <w:rFonts w:cs="Tahoma"/>
          <w:iCs/>
          <w:szCs w:val="22"/>
        </w:rPr>
      </w:pPr>
      <w:r w:rsidRPr="00FF2745">
        <w:rPr>
          <w:szCs w:val="22"/>
        </w:rPr>
        <w:t>Copias simples o certificadas previo pago de derechos correspondientes, y</w:t>
      </w:r>
    </w:p>
    <w:p w14:paraId="52AA4ADE" w14:textId="77777777" w:rsidR="00DC6DC9" w:rsidRPr="00FF2745" w:rsidRDefault="00DC6DC9" w:rsidP="00CA7740">
      <w:pPr>
        <w:pStyle w:val="Prrafodelista"/>
        <w:numPr>
          <w:ilvl w:val="0"/>
          <w:numId w:val="23"/>
        </w:numPr>
        <w:spacing w:line="360" w:lineRule="auto"/>
        <w:ind w:right="-28"/>
        <w:rPr>
          <w:rFonts w:cs="Tahoma"/>
          <w:iCs/>
          <w:szCs w:val="22"/>
        </w:rPr>
      </w:pPr>
      <w:r w:rsidRPr="00FF2745">
        <w:rPr>
          <w:szCs w:val="22"/>
        </w:rPr>
        <w:t>En su caso, correo electrónico o vínculo electrónico.</w:t>
      </w:r>
    </w:p>
    <w:p w14:paraId="6A071012" w14:textId="77777777" w:rsidR="00DC6DC9" w:rsidRPr="00FF2745" w:rsidRDefault="00DC6DC9" w:rsidP="00CA7740">
      <w:pPr>
        <w:spacing w:after="0" w:line="360" w:lineRule="auto"/>
        <w:ind w:right="-28"/>
        <w:rPr>
          <w:rFonts w:cs="Tahoma"/>
          <w:iCs/>
        </w:rPr>
      </w:pPr>
    </w:p>
    <w:p w14:paraId="2C00722F" w14:textId="7CDBC8C1" w:rsidR="00DC6DC9" w:rsidRPr="00FF2745" w:rsidRDefault="00DC6DC9" w:rsidP="00CA7740">
      <w:pPr>
        <w:spacing w:after="0" w:line="360" w:lineRule="auto"/>
        <w:ind w:right="-28"/>
        <w:rPr>
          <w:rFonts w:cs="Tahoma"/>
          <w:iCs/>
        </w:rPr>
      </w:pPr>
      <w:r w:rsidRPr="00FF2745">
        <w:rPr>
          <w:rFonts w:cs="Tahoma"/>
          <w:iCs/>
        </w:rPr>
        <w:t xml:space="preserve">Además, señala que la entrega de la información de los incisos a, b y c, será en la Unidad de Transparencia </w:t>
      </w:r>
      <w:r w:rsidRPr="00F87470">
        <w:rPr>
          <w:rFonts w:cs="Tahoma"/>
          <w:b/>
          <w:iCs/>
          <w:u w:val="single"/>
        </w:rPr>
        <w:t>o a domicilio</w:t>
      </w:r>
      <w:r w:rsidRPr="00FF2745">
        <w:rPr>
          <w:rFonts w:cs="Tahoma"/>
          <w:iCs/>
        </w:rPr>
        <w:t xml:space="preserve">, por correo </w:t>
      </w:r>
      <w:r w:rsidR="00054542" w:rsidRPr="00FF2745">
        <w:rPr>
          <w:rFonts w:cs="Tahoma"/>
          <w:iCs/>
        </w:rPr>
        <w:t>postal</w:t>
      </w:r>
      <w:r w:rsidRPr="00FF2745">
        <w:rPr>
          <w:rFonts w:cs="Tahoma"/>
          <w:iCs/>
        </w:rPr>
        <w:t xml:space="preserve"> certificado, previo pago de los derechos correspondientes; asimismo, aclara que, si la persona Solicitante proporciona el dispositivo electrónico para la entrega, la reproducción digital se hará sin costo.</w:t>
      </w:r>
    </w:p>
    <w:p w14:paraId="28294147" w14:textId="77777777" w:rsidR="00DC6DC9" w:rsidRPr="00FF2745" w:rsidRDefault="00DC6DC9" w:rsidP="00CA7740">
      <w:pPr>
        <w:spacing w:after="0" w:line="360" w:lineRule="auto"/>
        <w:ind w:right="-28"/>
        <w:contextualSpacing/>
        <w:rPr>
          <w:rFonts w:cs="Tahoma"/>
          <w:iCs/>
        </w:rPr>
      </w:pPr>
    </w:p>
    <w:p w14:paraId="48AD93C8" w14:textId="05F495DD" w:rsidR="002130F8" w:rsidRDefault="00DC6DC9" w:rsidP="00CA7740">
      <w:pPr>
        <w:spacing w:after="0" w:line="360" w:lineRule="auto"/>
        <w:ind w:right="-28"/>
        <w:contextualSpacing/>
        <w:rPr>
          <w:rFonts w:cs="Tahoma"/>
          <w:iCs/>
        </w:rPr>
      </w:pPr>
      <w:r w:rsidRPr="00FF2745">
        <w:rPr>
          <w:rFonts w:cs="Tahoma"/>
          <w:iCs/>
        </w:rPr>
        <w:t xml:space="preserve">Conforme a lo anterior se considera que, si bien es procedente el cambio de modalidad, el Sujeto Obligado fue restrictivo </w:t>
      </w:r>
      <w:r w:rsidR="002130F8">
        <w:rPr>
          <w:rFonts w:cs="Tahoma"/>
          <w:iCs/>
        </w:rPr>
        <w:t>pues señaló que podía mandarla en diversas modalidades, omitió indicarle un teléfono para que se pudiera comunicar para señalar la modalidad por la cual requería la información; además, que indicó que podía ser mediante CD, sin embargo, no indicó si era previo pago de derecho, o bien, de manera gratuita; ni fue claro en señalar que el envió por correo certificado incluía tanto modalidades físicas (copias simples o certificadas) o también digitales.</w:t>
      </w:r>
    </w:p>
    <w:p w14:paraId="35A14638" w14:textId="77777777" w:rsidR="002130F8" w:rsidRDefault="002130F8" w:rsidP="00CA7740">
      <w:pPr>
        <w:spacing w:after="0" w:line="360" w:lineRule="auto"/>
        <w:ind w:right="-28"/>
        <w:contextualSpacing/>
        <w:rPr>
          <w:rFonts w:cs="Tahoma"/>
          <w:iCs/>
        </w:rPr>
      </w:pPr>
    </w:p>
    <w:p w14:paraId="7C08DE60" w14:textId="77777777" w:rsidR="002130F8" w:rsidRDefault="002130F8" w:rsidP="00CA7740">
      <w:pPr>
        <w:spacing w:after="0" w:line="360" w:lineRule="auto"/>
        <w:ind w:right="-28"/>
        <w:contextualSpacing/>
        <w:rPr>
          <w:rFonts w:cs="Tahoma"/>
          <w:iCs/>
        </w:rPr>
      </w:pPr>
    </w:p>
    <w:p w14:paraId="14B4C495" w14:textId="77777777" w:rsidR="00DC6DC9" w:rsidRPr="00FF2745" w:rsidRDefault="00DC6DC9" w:rsidP="00CA7740">
      <w:pPr>
        <w:spacing w:after="0" w:line="360" w:lineRule="auto"/>
        <w:ind w:right="-28"/>
        <w:contextualSpacing/>
      </w:pPr>
    </w:p>
    <w:p w14:paraId="6EB5D872" w14:textId="77777777" w:rsidR="00DC6DC9" w:rsidRPr="00FF2745" w:rsidRDefault="00DC6DC9" w:rsidP="00CA7740">
      <w:pPr>
        <w:spacing w:after="0" w:line="360" w:lineRule="auto"/>
        <w:contextualSpacing/>
        <w:rPr>
          <w:rFonts w:eastAsia="Calibri" w:cs="Tahoma"/>
          <w:iCs/>
          <w:lang w:val="es-ES"/>
        </w:rPr>
      </w:pPr>
      <w:r w:rsidRPr="00FF2745">
        <w:rPr>
          <w:rFonts w:eastAsia="Calibri" w:cs="Tahoma"/>
          <w:lang w:val="es-ES"/>
        </w:rPr>
        <w:t xml:space="preserve">Ahora bien, resulta necesario analizar de manera oficiosa, si la información puede ser adjuntada por correo electrónico; </w:t>
      </w:r>
      <w:r w:rsidRPr="00FF2745">
        <w:rPr>
          <w:rFonts w:eastAsia="Calibri" w:cs="Tahoma"/>
          <w:iCs/>
          <w:lang w:val="es-ES"/>
        </w:rPr>
        <w:t>al respecto, dicho medio es un sistema que permite el intercambio de mensajes entre distintas computadoras interconectadas a través de una red.</w:t>
      </w:r>
    </w:p>
    <w:p w14:paraId="513D8FB7" w14:textId="77777777" w:rsidR="00DC6DC9" w:rsidRPr="00FF2745" w:rsidRDefault="00DC6DC9" w:rsidP="00CA7740">
      <w:pPr>
        <w:spacing w:after="0" w:line="360" w:lineRule="auto"/>
        <w:contextualSpacing/>
        <w:rPr>
          <w:rFonts w:eastAsia="Calibri" w:cs="Tahoma"/>
          <w:iCs/>
          <w:lang w:val="es-ES"/>
        </w:rPr>
      </w:pPr>
    </w:p>
    <w:p w14:paraId="41BF3486" w14:textId="77777777" w:rsidR="00DC6DC9" w:rsidRPr="00FF2745" w:rsidRDefault="00DC6DC9" w:rsidP="00CA7740">
      <w:pPr>
        <w:spacing w:after="0" w:line="360" w:lineRule="auto"/>
        <w:contextualSpacing/>
        <w:rPr>
          <w:rFonts w:eastAsia="Calibri" w:cs="Tahoma"/>
          <w:lang w:val="es-ES"/>
        </w:rPr>
      </w:pPr>
      <w:r w:rsidRPr="00FF2745">
        <w:rPr>
          <w:rFonts w:eastAsia="Calibri" w:cs="Tahoma"/>
          <w:lang w:val="es-ES"/>
        </w:rPr>
        <w:t xml:space="preserve">En ese contexto, </w:t>
      </w:r>
      <w:r w:rsidRPr="00FF2745">
        <w:rPr>
          <w:rFonts w:eastAsia="Calibri" w:cs="Tahoma"/>
          <w:iCs/>
          <w:lang w:val="es-ES"/>
        </w:rPr>
        <w:t xml:space="preserve">existen diferentes plataformas que brindan dicho servicio, sobre el tema, a través de la plataforma Gmail se informa que el peso máximo que soporta un correo electrónico para enviar archivos adjuntos en un mensaje es de veinticinco megabytes (consultado en la liga electrónica </w:t>
      </w:r>
      <w:hyperlink r:id="rId11" w:anchor=":~:text=Tama%C3%B1o%20m%C3%A1ximo%20de%20los%20archivos,Drive%20en%20vez%20de%20adjuntarlo" w:history="1">
        <w:r w:rsidRPr="00FF2745">
          <w:rPr>
            <w:rStyle w:val="Hipervnculo"/>
            <w:rFonts w:eastAsia="Calibri" w:cs="Tahoma"/>
            <w:iCs/>
            <w:lang w:val="es-ES"/>
          </w:rPr>
          <w:t>https://support.google.com/mail/answer/6584?co=GENIE.Platform%3DDesktop&amp;hl=es#:~:text=Tama%C3%B1o%20m%C3%A1ximo%20de%20los%20archivos,Drive%20en%20vez%20de%20adjuntarlo</w:t>
        </w:r>
      </w:hyperlink>
      <w:r w:rsidRPr="00FF2745">
        <w:rPr>
          <w:rFonts w:eastAsia="Calibri" w:cs="Tahoma"/>
          <w:iCs/>
          <w:lang w:val="es-ES"/>
        </w:rPr>
        <w:t>), tal como se muestra continuación:</w:t>
      </w:r>
    </w:p>
    <w:p w14:paraId="5F4ED8BC" w14:textId="77777777" w:rsidR="00DC6DC9" w:rsidRPr="00FF2745" w:rsidRDefault="00DC6DC9" w:rsidP="00CA7740">
      <w:pPr>
        <w:spacing w:after="0" w:line="360" w:lineRule="auto"/>
        <w:contextualSpacing/>
        <w:rPr>
          <w:rFonts w:eastAsia="Calibri" w:cs="Tahoma"/>
          <w:iCs/>
          <w:lang w:val="es-ES"/>
        </w:rPr>
      </w:pPr>
    </w:p>
    <w:p w14:paraId="6EDD9F40" w14:textId="77777777" w:rsidR="00DC6DC9" w:rsidRPr="000F6978" w:rsidRDefault="00DC6DC9" w:rsidP="00CA7740">
      <w:pPr>
        <w:spacing w:after="0" w:line="360" w:lineRule="auto"/>
        <w:ind w:left="567" w:right="567"/>
        <w:contextualSpacing/>
        <w:rPr>
          <w:rFonts w:eastAsia="Calibri" w:cs="Tahoma"/>
          <w:bCs/>
          <w:i/>
          <w:lang w:val="es-ES"/>
        </w:rPr>
      </w:pPr>
      <w:r w:rsidRPr="000F6978">
        <w:rPr>
          <w:rFonts w:eastAsia="Calibri" w:cs="Tahoma"/>
          <w:bCs/>
          <w:i/>
          <w:lang w:val="es-ES"/>
        </w:rPr>
        <w:t>“</w:t>
      </w:r>
      <w:r w:rsidRPr="000F6978">
        <w:rPr>
          <w:rFonts w:eastAsia="Calibri" w:cs="Tahoma"/>
          <w:b/>
          <w:bCs/>
          <w:i/>
          <w:lang w:val="es-ES"/>
        </w:rPr>
        <w:t>Tamaño máximo de los archivos adjuntos</w:t>
      </w:r>
    </w:p>
    <w:p w14:paraId="47335D39" w14:textId="77777777" w:rsidR="00DC6DC9" w:rsidRPr="000F6978" w:rsidRDefault="00DC6DC9" w:rsidP="00CA7740">
      <w:pPr>
        <w:spacing w:after="0" w:line="360" w:lineRule="auto"/>
        <w:ind w:left="567" w:right="567"/>
        <w:contextualSpacing/>
        <w:rPr>
          <w:rFonts w:eastAsia="Calibri" w:cs="Tahoma"/>
          <w:bCs/>
          <w:i/>
          <w:lang w:val="es-ES"/>
        </w:rPr>
      </w:pPr>
      <w:r w:rsidRPr="000F6978">
        <w:rPr>
          <w:rFonts w:eastAsia="Calibri" w:cs="Tahoma"/>
          <w:bCs/>
          <w:i/>
          <w:lang w:val="es-ES"/>
        </w:rPr>
        <w:t>Puedes enviar uno o varios archivos adjuntos en un mismo mensaje, pero en total no pueden superar los 25 MB. Si el archivo tiene más de 25 MB, Gmail añadirá automáticamente un enlace a Google Drive en vez de adjuntarlo.”</w:t>
      </w:r>
    </w:p>
    <w:p w14:paraId="188C4108" w14:textId="77777777" w:rsidR="00DC6DC9" w:rsidRPr="00FF2745" w:rsidRDefault="00DC6DC9" w:rsidP="00CA7740">
      <w:pPr>
        <w:spacing w:after="0" w:line="360" w:lineRule="auto"/>
        <w:contextualSpacing/>
        <w:rPr>
          <w:rFonts w:eastAsia="Calibri" w:cs="Tahoma"/>
        </w:rPr>
      </w:pPr>
    </w:p>
    <w:p w14:paraId="57A783E8" w14:textId="77777777" w:rsidR="00DC6DC9" w:rsidRPr="00FF2745" w:rsidRDefault="00DC6DC9" w:rsidP="00CA7740">
      <w:pPr>
        <w:spacing w:after="0" w:line="360" w:lineRule="auto"/>
        <w:contextualSpacing/>
        <w:rPr>
          <w:rFonts w:eastAsia="Calibri" w:cs="Tahoma"/>
        </w:rPr>
      </w:pPr>
      <w:r w:rsidRPr="00FF2745">
        <w:rPr>
          <w:rFonts w:eastAsia="Calibri" w:cs="Tahoma"/>
        </w:rPr>
        <w:t xml:space="preserve">Como se logra observar, un correo electrónico comúnmente permite únicamente la carga de archivos adjuntos cuyo peso total se traduzca en veinticinco megabytes; por lo que, para proporcionar toda la información solicitada, necesitaría remitir </w:t>
      </w:r>
      <w:r>
        <w:rPr>
          <w:rFonts w:eastAsia="Calibri" w:cs="Tahoma"/>
        </w:rPr>
        <w:t xml:space="preserve">más de mil seiscientos </w:t>
      </w:r>
      <w:r w:rsidRPr="00FF2745">
        <w:rPr>
          <w:rFonts w:eastAsia="Calibri" w:cs="Tahoma"/>
        </w:rPr>
        <w:t>correos, lo cual generaría una carga desproporcional al Sujeto Obligado, que implicaría que tuviera que dejar de realizar sus funciones sustantivas y esenciales para cumplir con sus funciones; por lo que, este Instituto considera improcedente ordenar dicha modalidad.</w:t>
      </w:r>
    </w:p>
    <w:p w14:paraId="507C375E" w14:textId="77777777" w:rsidR="00DC6DC9" w:rsidRPr="00FF2745" w:rsidRDefault="00DC6DC9" w:rsidP="00CA7740">
      <w:pPr>
        <w:spacing w:after="0" w:line="360" w:lineRule="auto"/>
        <w:contextualSpacing/>
      </w:pPr>
    </w:p>
    <w:p w14:paraId="1198E34B" w14:textId="074689B9" w:rsidR="00DC6DC9" w:rsidRPr="00FF2745" w:rsidRDefault="00DC6DC9" w:rsidP="00CA7740">
      <w:pPr>
        <w:tabs>
          <w:tab w:val="left" w:pos="4962"/>
        </w:tabs>
        <w:spacing w:after="0" w:line="360" w:lineRule="auto"/>
        <w:contextualSpacing/>
        <w:rPr>
          <w:rFonts w:cs="Tahoma"/>
        </w:rPr>
      </w:pPr>
      <w:r w:rsidRPr="00FF2745">
        <w:rPr>
          <w:rFonts w:eastAsia="Calibri" w:cs="Tahoma"/>
        </w:rPr>
        <w:t>Conforme a lo anterior, se considera que el Sujeto Obligado deberá poner a disposición del ahora Recurrente, en todas las modalidades</w:t>
      </w:r>
      <w:r w:rsidR="00FC7F00">
        <w:rPr>
          <w:rFonts w:eastAsia="Calibri" w:cs="Tahoma"/>
        </w:rPr>
        <w:t xml:space="preserve"> de manera correcta</w:t>
      </w:r>
      <w:r w:rsidRPr="00FF2745">
        <w:rPr>
          <w:rFonts w:eastAsia="Calibri" w:cs="Tahoma"/>
        </w:rPr>
        <w:t xml:space="preserve"> que permita la documentación; a</w:t>
      </w:r>
      <w:r w:rsidRPr="00FF2745">
        <w:rPr>
          <w:rFonts w:cs="Tahoma"/>
        </w:rPr>
        <w:t>demás, el Sujeto Obligado deberá hacer del conocimiento al Particular que la información estará disponible, por un plazo mínimo de sesenta días naturales, a partir de la fecha en que ponga a disposición del Recurrente la información, en términos del segundo párrafo del artículo 166 de la Ley de Transparencia y Acceso a la Información Pública del Estado de México y Municipios.</w:t>
      </w:r>
    </w:p>
    <w:p w14:paraId="31546314" w14:textId="77777777" w:rsidR="00DC6DC9" w:rsidRPr="00FF2745" w:rsidRDefault="00DC6DC9" w:rsidP="00CA7740">
      <w:pPr>
        <w:spacing w:after="0" w:line="360" w:lineRule="auto"/>
        <w:contextualSpacing/>
        <w:rPr>
          <w:rFonts w:cs="Tahoma"/>
        </w:rPr>
      </w:pPr>
    </w:p>
    <w:p w14:paraId="0D69BDE7" w14:textId="77777777" w:rsidR="00DC6DC9" w:rsidRPr="00880992" w:rsidRDefault="00DC6DC9" w:rsidP="00CA7740">
      <w:pPr>
        <w:spacing w:after="0" w:line="360" w:lineRule="auto"/>
        <w:contextualSpacing/>
        <w:rPr>
          <w:rFonts w:cs="Tahoma"/>
        </w:rPr>
      </w:pPr>
      <w:r w:rsidRPr="00FF2745">
        <w:rPr>
          <w:rFonts w:cs="Tahoma"/>
        </w:rPr>
        <w:t xml:space="preserve">Si dentro del transcurso del término señalado en el párrafo anterior, </w:t>
      </w:r>
      <w:r w:rsidRPr="00FF2745">
        <w:rPr>
          <w:rFonts w:cs="Tahoma"/>
          <w:b/>
        </w:rPr>
        <w:t>el Particular acude por la información,</w:t>
      </w:r>
      <w:r w:rsidRPr="00FF2745">
        <w:rPr>
          <w:rFonts w:cs="Tahoma"/>
        </w:rPr>
        <w:t xml:space="preserve"> el Sujeto Obligado levantará un acta de hechos misma que debe ser remitida a este Instituto, por conducto de la Secretaría Técnica del Pleno, junto con el acuse de recibo de la información del Particular; sin embargo, si una vez fenecido el plazo, no acudiera por los documentos ordenados, el Sujeto Obligado, mediante acuerdo dará por concluida la solicitud y podrá, de ser el caso, realizar la destrucción del material en el que se reprodujo, situación que también deberá informar a este Instituto,</w:t>
      </w:r>
      <w:r>
        <w:rPr>
          <w:rFonts w:cs="Tahoma"/>
        </w:rPr>
        <w:t xml:space="preserve"> por el mismo conducto.</w:t>
      </w:r>
    </w:p>
    <w:p w14:paraId="2CA6ECE8" w14:textId="77777777" w:rsidR="00DC6DC9" w:rsidRDefault="00DC6DC9" w:rsidP="00CA7740">
      <w:pPr>
        <w:spacing w:after="0" w:line="360" w:lineRule="auto"/>
        <w:contextualSpacing/>
        <w:rPr>
          <w:rFonts w:cs="Tahoma"/>
          <w:bCs/>
        </w:rPr>
      </w:pPr>
    </w:p>
    <w:p w14:paraId="774DDB3A" w14:textId="11CF8B19" w:rsidR="005D0D88" w:rsidRPr="00496B03" w:rsidRDefault="005D0D88" w:rsidP="005D0D88">
      <w:pPr>
        <w:spacing w:after="0" w:line="360" w:lineRule="auto"/>
        <w:rPr>
          <w:rFonts w:eastAsia="Times New Roman" w:cs="Times New Roman"/>
          <w:bCs/>
          <w:iCs/>
          <w:color w:val="auto"/>
          <w:lang w:val="es-ES_tradnl" w:eastAsia="es-ES"/>
        </w:rPr>
      </w:pPr>
      <w:r>
        <w:rPr>
          <w:rFonts w:eastAsia="Times New Roman" w:cs="Times New Roman"/>
          <w:bCs/>
          <w:iCs/>
          <w:color w:val="auto"/>
          <w:lang w:val="es-ES_tradnl" w:eastAsia="es-ES"/>
        </w:rPr>
        <w:t>Ahora bien, este Instituto considera que los expedientes pudieran contar con diversos datos personales, tales como:</w:t>
      </w:r>
    </w:p>
    <w:p w14:paraId="00E024DA" w14:textId="77777777" w:rsidR="005D0D88" w:rsidRPr="00496B03" w:rsidRDefault="005D0D88" w:rsidP="005D0D88">
      <w:pPr>
        <w:spacing w:after="0" w:line="360" w:lineRule="auto"/>
        <w:rPr>
          <w:rFonts w:eastAsia="Times New Roman" w:cs="Times New Roman"/>
          <w:bCs/>
          <w:iCs/>
          <w:color w:val="auto"/>
          <w:lang w:val="es-ES_tradnl" w:eastAsia="es-ES"/>
        </w:rPr>
      </w:pPr>
    </w:p>
    <w:p w14:paraId="31F27E83" w14:textId="653C01AF" w:rsidR="005D0D88" w:rsidRPr="00496B03" w:rsidRDefault="005D0D88" w:rsidP="005D0D88">
      <w:pPr>
        <w:numPr>
          <w:ilvl w:val="0"/>
          <w:numId w:val="27"/>
        </w:numPr>
        <w:spacing w:after="0" w:line="360" w:lineRule="auto"/>
        <w:jc w:val="left"/>
        <w:rPr>
          <w:rFonts w:eastAsia="Times New Roman" w:cs="Times New Roman"/>
          <w:color w:val="auto"/>
          <w:lang w:eastAsia="es-ES"/>
        </w:rPr>
      </w:pPr>
      <w:r w:rsidRPr="00496B03">
        <w:rPr>
          <w:rFonts w:eastAsia="Times New Roman" w:cs="Times New Roman"/>
          <w:bCs/>
          <w:iCs/>
          <w:color w:val="auto"/>
          <w:lang w:val="es-ES_tradnl" w:eastAsia="es-ES"/>
        </w:rPr>
        <w:t xml:space="preserve">Nombre </w:t>
      </w:r>
      <w:r>
        <w:rPr>
          <w:rFonts w:eastAsia="Times New Roman" w:cs="Times New Roman"/>
          <w:bCs/>
          <w:iCs/>
          <w:color w:val="auto"/>
          <w:lang w:val="es-ES_tradnl" w:eastAsia="es-ES"/>
        </w:rPr>
        <w:t>de persona física</w:t>
      </w:r>
      <w:r w:rsidRPr="00496B03">
        <w:rPr>
          <w:rFonts w:eastAsia="Times New Roman" w:cs="Tahoma"/>
          <w:color w:val="auto"/>
          <w:lang w:val="es-ES" w:eastAsia="es-ES"/>
        </w:rPr>
        <w:t>;</w:t>
      </w:r>
    </w:p>
    <w:p w14:paraId="3EEC2DB9" w14:textId="77777777" w:rsidR="005D0D88" w:rsidRPr="00496B03" w:rsidRDefault="005D0D88" w:rsidP="005D0D88">
      <w:pPr>
        <w:numPr>
          <w:ilvl w:val="0"/>
          <w:numId w:val="27"/>
        </w:numPr>
        <w:spacing w:after="0" w:line="360" w:lineRule="auto"/>
        <w:jc w:val="left"/>
        <w:rPr>
          <w:rFonts w:eastAsia="Times New Roman" w:cs="Times New Roman"/>
          <w:color w:val="auto"/>
          <w:lang w:eastAsia="es-ES"/>
        </w:rPr>
      </w:pPr>
      <w:r w:rsidRPr="00496B03">
        <w:rPr>
          <w:rFonts w:eastAsia="Times New Roman" w:cs="Times New Roman"/>
          <w:bCs/>
          <w:iCs/>
          <w:color w:val="auto"/>
          <w:lang w:val="es-ES_tradnl" w:eastAsia="es-ES"/>
        </w:rPr>
        <w:t>Ubicación del predio donde se realiza la construcción;</w:t>
      </w:r>
    </w:p>
    <w:p w14:paraId="05A2F827" w14:textId="77777777" w:rsidR="005D0D88" w:rsidRPr="00496B03" w:rsidRDefault="005D0D88" w:rsidP="005D0D88">
      <w:pPr>
        <w:numPr>
          <w:ilvl w:val="0"/>
          <w:numId w:val="27"/>
        </w:numPr>
        <w:spacing w:after="0" w:line="360" w:lineRule="auto"/>
        <w:jc w:val="left"/>
        <w:rPr>
          <w:rFonts w:eastAsia="Times New Roman" w:cs="Times New Roman"/>
          <w:color w:val="auto"/>
          <w:lang w:eastAsia="es-ES"/>
        </w:rPr>
      </w:pPr>
      <w:r>
        <w:rPr>
          <w:rFonts w:eastAsia="Times New Roman" w:cs="Times New Roman"/>
          <w:bCs/>
          <w:iCs/>
          <w:color w:val="auto"/>
          <w:lang w:val="es-ES_tradnl" w:eastAsia="es-ES"/>
        </w:rPr>
        <w:t>Clave catastral, y</w:t>
      </w:r>
    </w:p>
    <w:p w14:paraId="5816952E" w14:textId="77777777" w:rsidR="005D0D88" w:rsidRPr="00496B03" w:rsidRDefault="005D0D88" w:rsidP="005D0D88">
      <w:pPr>
        <w:numPr>
          <w:ilvl w:val="0"/>
          <w:numId w:val="27"/>
        </w:numPr>
        <w:spacing w:after="0" w:line="360" w:lineRule="auto"/>
        <w:jc w:val="left"/>
        <w:rPr>
          <w:rFonts w:eastAsia="Times New Roman" w:cs="Times New Roman"/>
          <w:color w:val="auto"/>
          <w:lang w:eastAsia="es-ES"/>
        </w:rPr>
      </w:pPr>
      <w:r>
        <w:rPr>
          <w:rFonts w:eastAsia="Times New Roman" w:cs="Times New Roman"/>
          <w:bCs/>
          <w:iCs/>
          <w:color w:val="auto"/>
          <w:lang w:val="es-ES_tradnl" w:eastAsia="es-ES"/>
        </w:rPr>
        <w:t>Domicilio particular.</w:t>
      </w:r>
    </w:p>
    <w:p w14:paraId="7565FB92" w14:textId="77777777" w:rsidR="005D0D88" w:rsidRPr="00496B03" w:rsidRDefault="005D0D88" w:rsidP="005D0D88">
      <w:pPr>
        <w:spacing w:after="0" w:line="360" w:lineRule="auto"/>
        <w:ind w:left="360"/>
        <w:jc w:val="left"/>
        <w:rPr>
          <w:rFonts w:eastAsia="Times New Roman" w:cs="Times New Roman"/>
          <w:color w:val="auto"/>
          <w:lang w:eastAsia="es-ES"/>
        </w:rPr>
      </w:pPr>
    </w:p>
    <w:p w14:paraId="0A83EE68" w14:textId="127F8F9B" w:rsidR="005D0D88" w:rsidRPr="00496B03" w:rsidRDefault="005D0D88" w:rsidP="002613CD">
      <w:pPr>
        <w:spacing w:after="0" w:line="360" w:lineRule="auto"/>
        <w:rPr>
          <w:rFonts w:eastAsia="Calibri" w:cs="Tahoma"/>
          <w:bCs/>
          <w:color w:val="auto"/>
        </w:rPr>
      </w:pPr>
      <w:r w:rsidRPr="00496B03">
        <w:rPr>
          <w:rFonts w:eastAsia="Calibri" w:cs="Tahoma"/>
          <w:bCs/>
          <w:color w:val="auto"/>
        </w:rPr>
        <w:t xml:space="preserve">Así, se procede analizar si dichos datos, son confidenciales o públicos; para empezar, cabe mencionar que el artículo el artículo 143, fracción I, de la </w:t>
      </w:r>
      <w:r w:rsidR="002613CD" w:rsidRPr="00496B03">
        <w:rPr>
          <w:rFonts w:eastAsia="Calibri" w:cs="Tahoma"/>
          <w:bCs/>
          <w:color w:val="auto"/>
        </w:rPr>
        <w:t>Ley de Transparencia y Acceso a la Información Pública del Estado de México y Municipios</w:t>
      </w:r>
      <w:r w:rsidRPr="00496B03">
        <w:rPr>
          <w:rFonts w:eastAsia="Calibri" w:cs="Tahoma"/>
          <w:bCs/>
          <w:color w:val="auto"/>
        </w:rPr>
        <w:t>, establece que la información privada y los datos personales, concernientes a una persona física o jurídica colectiva identificada o identificable son confidenciales.</w:t>
      </w:r>
    </w:p>
    <w:p w14:paraId="025DBAD7" w14:textId="77777777" w:rsidR="005D0D88" w:rsidRPr="00496B03" w:rsidRDefault="005D0D88" w:rsidP="005D0D88">
      <w:pPr>
        <w:shd w:val="clear" w:color="auto" w:fill="FFFFFF"/>
        <w:spacing w:after="0" w:line="360" w:lineRule="auto"/>
        <w:rPr>
          <w:rFonts w:eastAsia="Calibri" w:cs="Tahoma"/>
          <w:bCs/>
          <w:color w:val="auto"/>
        </w:rPr>
      </w:pPr>
    </w:p>
    <w:p w14:paraId="60D58047" w14:textId="77777777" w:rsidR="005D0D88" w:rsidRPr="00496B03" w:rsidRDefault="005D0D88" w:rsidP="005D0D88">
      <w:pPr>
        <w:spacing w:after="0" w:line="360" w:lineRule="auto"/>
        <w:rPr>
          <w:rFonts w:eastAsia="Calibri" w:cs="Tahoma"/>
          <w:bCs/>
          <w:color w:val="auto"/>
        </w:rPr>
      </w:pPr>
      <w:r w:rsidRPr="00496B03">
        <w:rPr>
          <w:rFonts w:eastAsia="Calibri" w:cs="Tahoma"/>
          <w:bCs/>
          <w:color w:val="auto"/>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79A70A25" w14:textId="77777777" w:rsidR="005D0D88" w:rsidRPr="00496B03" w:rsidRDefault="005D0D88" w:rsidP="005D0D88">
      <w:pPr>
        <w:spacing w:after="0" w:line="360" w:lineRule="auto"/>
        <w:rPr>
          <w:rFonts w:eastAsia="Calibri" w:cs="Tahoma"/>
          <w:bCs/>
          <w:color w:val="auto"/>
        </w:rPr>
      </w:pPr>
    </w:p>
    <w:p w14:paraId="183D22EF" w14:textId="77777777" w:rsidR="005D0D88" w:rsidRPr="00496B03" w:rsidRDefault="005D0D88" w:rsidP="005D0D88">
      <w:pPr>
        <w:spacing w:after="0" w:line="360" w:lineRule="auto"/>
        <w:rPr>
          <w:rFonts w:eastAsia="Calibri" w:cs="Tahoma"/>
          <w:bCs/>
          <w:color w:val="auto"/>
        </w:rPr>
      </w:pPr>
      <w:r w:rsidRPr="00496B03">
        <w:rPr>
          <w:rFonts w:eastAsia="Calibri" w:cs="Tahoma"/>
          <w:bCs/>
          <w:color w:val="auto"/>
        </w:rPr>
        <w:t>En términos de lo expuesto, la documentación y aquellos datos que se consideren confidenciales, serán una limitante del derecho de acceso a la información, siempre y cuando:</w:t>
      </w:r>
    </w:p>
    <w:p w14:paraId="7C71D71A" w14:textId="77777777" w:rsidR="005D0D88" w:rsidRPr="00496B03" w:rsidRDefault="005D0D88" w:rsidP="005D0D88">
      <w:pPr>
        <w:spacing w:after="0" w:line="360" w:lineRule="auto"/>
        <w:rPr>
          <w:rFonts w:eastAsia="Calibri" w:cs="Tahoma"/>
          <w:bCs/>
          <w:color w:val="auto"/>
        </w:rPr>
      </w:pPr>
    </w:p>
    <w:p w14:paraId="36560E10" w14:textId="77777777" w:rsidR="005D0D88" w:rsidRPr="00496B03" w:rsidRDefault="005D0D88" w:rsidP="005D0D88">
      <w:pPr>
        <w:numPr>
          <w:ilvl w:val="0"/>
          <w:numId w:val="26"/>
        </w:numPr>
        <w:spacing w:after="0" w:line="360" w:lineRule="auto"/>
        <w:contextualSpacing/>
        <w:jc w:val="left"/>
        <w:rPr>
          <w:rFonts w:eastAsia="Calibri" w:cs="Tahoma"/>
          <w:bCs/>
          <w:color w:val="auto"/>
        </w:rPr>
      </w:pPr>
      <w:r w:rsidRPr="00496B03">
        <w:rPr>
          <w:rFonts w:eastAsia="Calibri" w:cs="Tahoma"/>
          <w:bCs/>
          <w:color w:val="auto"/>
        </w:rPr>
        <w:t xml:space="preserve">Se trate de datos personales o información privada; esto es, información concerniente a una persona física o jurídico colectiva y que esta sea identificada o identificable. </w:t>
      </w:r>
    </w:p>
    <w:p w14:paraId="1E663AD4" w14:textId="77777777" w:rsidR="005D0D88" w:rsidRPr="00496B03" w:rsidRDefault="005D0D88" w:rsidP="005D0D88">
      <w:pPr>
        <w:spacing w:after="0" w:line="360" w:lineRule="auto"/>
        <w:rPr>
          <w:rFonts w:eastAsia="Calibri" w:cs="Tahoma"/>
          <w:bCs/>
          <w:color w:val="auto"/>
        </w:rPr>
      </w:pPr>
    </w:p>
    <w:p w14:paraId="52EBA7A3" w14:textId="77777777" w:rsidR="005D0D88" w:rsidRPr="00496B03" w:rsidRDefault="005D0D88" w:rsidP="005D0D88">
      <w:pPr>
        <w:numPr>
          <w:ilvl w:val="0"/>
          <w:numId w:val="26"/>
        </w:numPr>
        <w:spacing w:after="0" w:line="360" w:lineRule="auto"/>
        <w:contextualSpacing/>
        <w:jc w:val="left"/>
        <w:rPr>
          <w:rFonts w:eastAsia="Calibri" w:cs="Tahoma"/>
          <w:bCs/>
          <w:color w:val="auto"/>
        </w:rPr>
      </w:pPr>
      <w:r w:rsidRPr="00496B03">
        <w:rPr>
          <w:rFonts w:eastAsia="Calibri" w:cs="Tahoma"/>
          <w:bCs/>
          <w:color w:val="auto"/>
        </w:rPr>
        <w:t xml:space="preserve">Para la difusión de los datos, se requiera el consentimiento del titular. </w:t>
      </w:r>
    </w:p>
    <w:p w14:paraId="358B0323" w14:textId="77777777" w:rsidR="005D0D88" w:rsidRPr="00496B03" w:rsidRDefault="005D0D88" w:rsidP="005D0D88">
      <w:pPr>
        <w:spacing w:after="0" w:line="360" w:lineRule="auto"/>
        <w:rPr>
          <w:rFonts w:eastAsia="Calibri" w:cs="Tahoma"/>
          <w:bCs/>
          <w:color w:val="auto"/>
        </w:rPr>
      </w:pPr>
    </w:p>
    <w:p w14:paraId="31043746" w14:textId="77777777" w:rsidR="005D0D88" w:rsidRPr="00496B03" w:rsidRDefault="005D0D88" w:rsidP="005D0D88">
      <w:pPr>
        <w:spacing w:after="0" w:line="360" w:lineRule="auto"/>
        <w:rPr>
          <w:rFonts w:eastAsia="Calibri" w:cs="Tahoma"/>
          <w:bCs/>
          <w:color w:val="auto"/>
        </w:rPr>
      </w:pPr>
      <w:r w:rsidRPr="00496B03">
        <w:rPr>
          <w:rFonts w:eastAsia="Calibri" w:cs="Tahoma"/>
          <w:bCs/>
          <w:color w:val="auto"/>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09C93EF1" w14:textId="77777777" w:rsidR="005D0D88" w:rsidRPr="00496B03" w:rsidRDefault="005D0D88" w:rsidP="005D0D88">
      <w:pPr>
        <w:spacing w:after="0" w:line="360" w:lineRule="auto"/>
        <w:rPr>
          <w:rFonts w:eastAsia="Calibri" w:cs="Tahoma"/>
          <w:bCs/>
          <w:color w:val="auto"/>
        </w:rPr>
      </w:pPr>
    </w:p>
    <w:p w14:paraId="0757EAA3" w14:textId="77777777" w:rsidR="005D0D88" w:rsidRPr="00496B03" w:rsidRDefault="005D0D88" w:rsidP="005D0D88">
      <w:pPr>
        <w:spacing w:after="0" w:line="360" w:lineRule="auto"/>
        <w:rPr>
          <w:rFonts w:eastAsia="Calibri" w:cs="Tahoma"/>
          <w:bCs/>
          <w:color w:val="auto"/>
        </w:rPr>
      </w:pPr>
      <w:r w:rsidRPr="00496B03">
        <w:rPr>
          <w:rFonts w:eastAsia="Calibri" w:cs="Tahoma"/>
          <w:bCs/>
          <w:color w:val="auto"/>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52D12ED4" w14:textId="77777777" w:rsidR="005D0D88" w:rsidRPr="00496B03" w:rsidRDefault="005D0D88" w:rsidP="005D0D88">
      <w:pPr>
        <w:spacing w:after="0" w:line="360" w:lineRule="auto"/>
        <w:rPr>
          <w:rFonts w:eastAsia="Calibri" w:cs="Tahoma"/>
          <w:bCs/>
          <w:color w:val="auto"/>
        </w:rPr>
      </w:pPr>
    </w:p>
    <w:p w14:paraId="54EB18F7" w14:textId="2FD873ED" w:rsidR="005D0D88" w:rsidRPr="00496B03" w:rsidRDefault="005D0D88" w:rsidP="005D0D88">
      <w:pPr>
        <w:spacing w:after="0" w:line="360" w:lineRule="auto"/>
        <w:rPr>
          <w:rFonts w:eastAsia="Calibri" w:cs="Tahoma"/>
          <w:bCs/>
          <w:color w:val="auto"/>
        </w:rPr>
      </w:pPr>
      <w:r w:rsidRPr="00496B03">
        <w:rPr>
          <w:rFonts w:eastAsia="Calibri" w:cs="Tahoma"/>
          <w:bCs/>
          <w:color w:val="auto"/>
        </w:rPr>
        <w:t>En este sentido, un dato personal es cualquier información que pueda hacer a una persona física o jurídica colectiva identificada e identificable. Bajo ese contexto, se analizarán si los datos mencionados, deben ser considerados confidenciales, en términos del artículo 143, fracción I, de la Ley de Transparencia y Acceso a la Información Pública del Estado de México y Municipios, o públicos.</w:t>
      </w:r>
    </w:p>
    <w:p w14:paraId="5A29A9B9" w14:textId="77777777" w:rsidR="005D0D88" w:rsidRPr="00496B03" w:rsidRDefault="005D0D88" w:rsidP="005D0D88">
      <w:pPr>
        <w:spacing w:after="0" w:line="360" w:lineRule="auto"/>
        <w:rPr>
          <w:rFonts w:eastAsia="Calibri" w:cs="Tahoma"/>
          <w:bCs/>
          <w:color w:val="auto"/>
        </w:rPr>
      </w:pPr>
    </w:p>
    <w:p w14:paraId="0B6110ED" w14:textId="77777777" w:rsidR="005D0D88" w:rsidRPr="00496B03" w:rsidRDefault="005D0D88" w:rsidP="005D0D88">
      <w:pPr>
        <w:numPr>
          <w:ilvl w:val="0"/>
          <w:numId w:val="25"/>
        </w:numPr>
        <w:spacing w:after="0" w:line="360" w:lineRule="auto"/>
        <w:contextualSpacing/>
        <w:jc w:val="left"/>
        <w:rPr>
          <w:rFonts w:eastAsia="Calibri" w:cs="Tahoma"/>
          <w:b/>
          <w:color w:val="auto"/>
        </w:rPr>
      </w:pPr>
      <w:r w:rsidRPr="00496B03">
        <w:rPr>
          <w:rFonts w:eastAsia="Calibri" w:cs="Tahoma"/>
          <w:b/>
          <w:color w:val="auto"/>
        </w:rPr>
        <w:t>Nombre del propietario</w:t>
      </w:r>
    </w:p>
    <w:p w14:paraId="25D30B19" w14:textId="77777777" w:rsidR="005D0D88" w:rsidRPr="00496B03" w:rsidRDefault="005D0D88" w:rsidP="005D0D88">
      <w:pPr>
        <w:spacing w:after="0" w:line="360" w:lineRule="auto"/>
        <w:rPr>
          <w:rFonts w:eastAsia="Calibri" w:cs="Tahoma"/>
          <w:bCs/>
          <w:color w:val="auto"/>
        </w:rPr>
      </w:pPr>
    </w:p>
    <w:p w14:paraId="2E62F301" w14:textId="77777777" w:rsidR="005D0D88" w:rsidRPr="00496B03" w:rsidRDefault="005D0D88" w:rsidP="005D0D88">
      <w:pPr>
        <w:spacing w:after="0" w:line="360" w:lineRule="auto"/>
        <w:rPr>
          <w:rFonts w:eastAsia="Calibri" w:cs="Tahoma"/>
          <w:b/>
          <w:bCs/>
          <w:color w:val="auto"/>
          <w:lang w:val="es-ES_tradnl"/>
        </w:rPr>
      </w:pPr>
      <w:r w:rsidRPr="00496B03">
        <w:rPr>
          <w:rFonts w:eastAsia="Calibri" w:cs="Tahoma"/>
          <w:bCs/>
          <w:color w:val="auto"/>
        </w:rPr>
        <w:t xml:space="preserve">Al respecto, </w:t>
      </w:r>
      <w:r w:rsidRPr="00496B03">
        <w:rPr>
          <w:rFonts w:eastAsia="Calibri" w:cs="Tahoma"/>
          <w:bCs/>
          <w:color w:val="auto"/>
          <w:lang w:val="es-ES"/>
        </w:rPr>
        <w:t xml:space="preserve">se considera que el nombre se integra </w:t>
      </w:r>
      <w:r w:rsidRPr="00496B03">
        <w:rPr>
          <w:rFonts w:eastAsia="Calibri" w:cs="Tahoma"/>
          <w:bCs/>
          <w:color w:val="auto"/>
          <w:lang w:val="es-ES_tradnl"/>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496B03">
        <w:rPr>
          <w:rFonts w:eastAsia="Calibri" w:cs="Tahoma"/>
          <w:bCs/>
          <w:i/>
          <w:color w:val="auto"/>
          <w:lang w:val="es-ES_tradnl"/>
        </w:rPr>
        <w:t>per se</w:t>
      </w:r>
      <w:r w:rsidRPr="00496B03">
        <w:rPr>
          <w:rFonts w:eastAsia="Calibri" w:cs="Tahoma"/>
          <w:bCs/>
          <w:color w:val="auto"/>
          <w:lang w:val="es-ES_tradnl"/>
        </w:rPr>
        <w:t xml:space="preserve"> es un elemento que hace a una persona física identificada o identificable, por lo que, </w:t>
      </w:r>
      <w:r w:rsidRPr="00496B03">
        <w:rPr>
          <w:rFonts w:eastAsia="Calibri" w:cs="Tahoma"/>
          <w:b/>
          <w:bCs/>
          <w:color w:val="auto"/>
          <w:lang w:val="es-ES_tradnl"/>
        </w:rPr>
        <w:t>se considera un dato personal.</w:t>
      </w:r>
    </w:p>
    <w:p w14:paraId="25112D0E" w14:textId="77777777" w:rsidR="005D0D88" w:rsidRPr="00496B03" w:rsidRDefault="005D0D88" w:rsidP="005D0D88">
      <w:pPr>
        <w:spacing w:after="0" w:line="360" w:lineRule="auto"/>
        <w:rPr>
          <w:rFonts w:eastAsia="Calibri" w:cs="Tahoma"/>
          <w:bCs/>
          <w:color w:val="auto"/>
        </w:rPr>
      </w:pPr>
    </w:p>
    <w:p w14:paraId="1EFA34B3" w14:textId="77777777" w:rsidR="005D0D88" w:rsidRPr="00496B03" w:rsidRDefault="005D0D88" w:rsidP="005D0D88">
      <w:pPr>
        <w:spacing w:after="0" w:line="360" w:lineRule="auto"/>
        <w:rPr>
          <w:rFonts w:eastAsia="Calibri" w:cs="Tahoma"/>
          <w:bCs/>
          <w:color w:val="auto"/>
          <w:lang w:val="es-ES_tradnl"/>
        </w:rPr>
      </w:pPr>
      <w:r w:rsidRPr="00496B03">
        <w:rPr>
          <w:rFonts w:eastAsia="Calibri" w:cs="Tahoma"/>
          <w:bCs/>
          <w:color w:val="auto"/>
          <w:lang w:val="es-ES_tradnl"/>
        </w:rPr>
        <w:t>Sobre el tema, se tiene presente que este Instituto emitió el Criterio Relevante 01/18, de la Segunda Época de este Instituto, que establece que el nombre del titular de una licencia, como en el caso que nos ocupa, es información confidencial, cuando no involucra aprovechamiento de recursos públicos.</w:t>
      </w:r>
    </w:p>
    <w:p w14:paraId="2FF6E8DA" w14:textId="77777777" w:rsidR="005D0D88" w:rsidRPr="00496B03" w:rsidRDefault="005D0D88" w:rsidP="005D0D88">
      <w:pPr>
        <w:spacing w:after="0" w:line="360" w:lineRule="auto"/>
        <w:ind w:left="567" w:right="567"/>
        <w:rPr>
          <w:rFonts w:eastAsia="Calibri" w:cs="Tahoma"/>
          <w:bCs/>
          <w:i/>
          <w:iCs/>
          <w:color w:val="auto"/>
          <w:sz w:val="20"/>
          <w:szCs w:val="20"/>
          <w:lang w:val="es-ES"/>
        </w:rPr>
      </w:pPr>
      <w:r w:rsidRPr="00496B03">
        <w:rPr>
          <w:rFonts w:eastAsia="Calibri" w:cs="Tahoma"/>
          <w:b/>
          <w:bCs/>
          <w:i/>
          <w:iCs/>
          <w:color w:val="auto"/>
          <w:sz w:val="20"/>
          <w:szCs w:val="20"/>
          <w:lang w:val="es-ES"/>
        </w:rPr>
        <w:t>“Nombre del titular de una licencia que no involucre el aprovechamiento de bienes, servicios y/o recursos públicos, constituye un dato personal susceptible de clasificar como confidencial.</w:t>
      </w:r>
      <w:r w:rsidRPr="00496B03">
        <w:rPr>
          <w:rFonts w:eastAsia="Calibri" w:cs="Tahoma"/>
          <w:bCs/>
          <w:i/>
          <w:iCs/>
          <w:color w:val="auto"/>
          <w:sz w:val="20"/>
          <w:szCs w:val="20"/>
          <w:lang w:val="es-ES"/>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2E4FC073" w14:textId="77777777" w:rsidR="005D0D88" w:rsidRPr="00496B03" w:rsidRDefault="005D0D88" w:rsidP="005D0D88">
      <w:pPr>
        <w:spacing w:after="0" w:line="360" w:lineRule="auto"/>
        <w:rPr>
          <w:rFonts w:eastAsia="Calibri" w:cs="Tahoma"/>
          <w:bCs/>
          <w:color w:val="auto"/>
          <w:lang w:val="es-ES"/>
        </w:rPr>
      </w:pPr>
    </w:p>
    <w:p w14:paraId="4496B9AB" w14:textId="77777777" w:rsidR="005D0D88" w:rsidRPr="00496B03" w:rsidRDefault="005D0D88" w:rsidP="005D0D88">
      <w:pPr>
        <w:spacing w:after="0" w:line="360" w:lineRule="auto"/>
        <w:rPr>
          <w:rFonts w:eastAsia="Calibri" w:cs="Tahoma"/>
          <w:bCs/>
          <w:color w:val="auto"/>
          <w:lang w:val="es-ES"/>
        </w:rPr>
      </w:pPr>
      <w:r w:rsidRPr="00496B03">
        <w:rPr>
          <w:rFonts w:eastAsia="Calibri" w:cs="Tahoma"/>
          <w:bCs/>
          <w:color w:val="auto"/>
          <w:lang w:val="es-ES"/>
        </w:rPr>
        <w:t>En el Criterio en cita, se argumenta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14:paraId="655DB04F" w14:textId="77777777" w:rsidR="005D0D88" w:rsidRPr="00496B03" w:rsidRDefault="005D0D88" w:rsidP="005D0D88">
      <w:pPr>
        <w:spacing w:after="0" w:line="360" w:lineRule="auto"/>
        <w:rPr>
          <w:rFonts w:eastAsia="Calibri" w:cs="Tahoma"/>
          <w:bCs/>
          <w:color w:val="auto"/>
        </w:rPr>
      </w:pPr>
    </w:p>
    <w:p w14:paraId="5641A2B6" w14:textId="77777777" w:rsidR="005D0D88" w:rsidRPr="00496B03" w:rsidRDefault="005D0D88" w:rsidP="005D0D88">
      <w:pPr>
        <w:spacing w:after="0" w:line="360" w:lineRule="auto"/>
        <w:rPr>
          <w:rFonts w:eastAsia="Calibri" w:cs="Tahoma"/>
          <w:bCs/>
          <w:color w:val="auto"/>
          <w:lang w:val="es-ES"/>
        </w:rPr>
      </w:pPr>
      <w:r w:rsidRPr="00496B03">
        <w:rPr>
          <w:rFonts w:eastAsia="Calibri" w:cs="Tahoma"/>
          <w:bCs/>
          <w:color w:val="auto"/>
        </w:rPr>
        <w:t xml:space="preserve">No obstante, el artículo 94, fracción I, inciso f) de la Ley de la materia, establece que es información pública de oficio por parte de los Municipios del Estado de México, la referente al otorgamiento de Licencias de Uso de Suelo y de Construcción. Además en los formatos </w:t>
      </w:r>
      <w:r w:rsidRPr="00496B03">
        <w:rPr>
          <w:rFonts w:eastAsia="Calibri" w:cs="Tahoma"/>
          <w:bCs/>
          <w:color w:val="auto"/>
          <w:lang w:val="es-ES"/>
        </w:rPr>
        <w:t>6f LGT_Art_71_Fr_If (Licencias de Uso de Suelo) y 7f LGT_Art_71_Fr_If (Licencias de construcción), de los Lineamientos Generales, establecen lo siguiente:</w:t>
      </w:r>
    </w:p>
    <w:p w14:paraId="2F0BFC0E" w14:textId="77777777" w:rsidR="005D0D88" w:rsidRPr="00496B03" w:rsidRDefault="005D0D88" w:rsidP="005D0D88">
      <w:pPr>
        <w:spacing w:after="0" w:line="360" w:lineRule="auto"/>
        <w:rPr>
          <w:rFonts w:eastAsia="Calibri" w:cs="Tahoma"/>
          <w:bCs/>
          <w:color w:val="auto"/>
          <w:lang w:val="es-ES"/>
        </w:rPr>
      </w:pPr>
    </w:p>
    <w:p w14:paraId="79D17A0D" w14:textId="77777777" w:rsidR="005D0D88" w:rsidRPr="00496B03" w:rsidRDefault="005D0D88" w:rsidP="005D0D88">
      <w:pPr>
        <w:spacing w:after="0" w:line="360" w:lineRule="auto"/>
        <w:rPr>
          <w:rFonts w:eastAsia="Calibri" w:cs="Tahoma"/>
          <w:bCs/>
          <w:color w:val="auto"/>
        </w:rPr>
      </w:pPr>
      <w:r w:rsidRPr="00496B03">
        <w:rPr>
          <w:rFonts w:eastAsia="Calibri" w:cs="Tahoma"/>
          <w:bCs/>
          <w:noProof/>
          <w:color w:val="auto"/>
        </w:rPr>
        <mc:AlternateContent>
          <mc:Choice Requires="wps">
            <w:drawing>
              <wp:anchor distT="0" distB="0" distL="114300" distR="114300" simplePos="0" relativeHeight="251659264" behindDoc="0" locked="0" layoutInCell="1" allowOverlap="1" wp14:anchorId="4B95D41B" wp14:editId="4DF6ECDE">
                <wp:simplePos x="0" y="0"/>
                <wp:positionH relativeFrom="column">
                  <wp:posOffset>3058795</wp:posOffset>
                </wp:positionH>
                <wp:positionV relativeFrom="paragraph">
                  <wp:posOffset>428625</wp:posOffset>
                </wp:positionV>
                <wp:extent cx="1724025" cy="638175"/>
                <wp:effectExtent l="19050" t="19050" r="28575" b="28575"/>
                <wp:wrapNone/>
                <wp:docPr id="47" name="Rectángulo 47"/>
                <wp:cNvGraphicFramePr/>
                <a:graphic xmlns:a="http://schemas.openxmlformats.org/drawingml/2006/main">
                  <a:graphicData uri="http://schemas.microsoft.com/office/word/2010/wordprocessingShape">
                    <wps:wsp>
                      <wps:cNvSpPr/>
                      <wps:spPr>
                        <a:xfrm>
                          <a:off x="0" y="0"/>
                          <a:ext cx="1724025" cy="638175"/>
                        </a:xfrm>
                        <a:prstGeom prst="rect">
                          <a:avLst/>
                        </a:prstGeom>
                        <a:noFill/>
                        <a:ln w="381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1740B927" id="Rectángulo 47" o:spid="_x0000_s1026" style="position:absolute;margin-left:240.85pt;margin-top:33.75pt;width:135.7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" filled="f" strokecolor="windowText" strokeweight="3pt"/>
            </w:pict>
          </mc:Fallback>
        </mc:AlternateContent>
      </w:r>
      <w:r w:rsidRPr="00496B03">
        <w:rPr>
          <w:rFonts w:eastAsia="Calibri" w:cs="Tahoma"/>
          <w:bCs/>
          <w:noProof/>
          <w:color w:val="auto"/>
        </w:rPr>
        <w:drawing>
          <wp:inline distT="0" distB="0" distL="0" distR="0" wp14:anchorId="14E9F16B" wp14:editId="6DDF5781">
            <wp:extent cx="5723890" cy="1318260"/>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3890" cy="1318260"/>
                    </a:xfrm>
                    <a:prstGeom prst="rect">
                      <a:avLst/>
                    </a:prstGeom>
                    <a:noFill/>
                    <a:ln>
                      <a:noFill/>
                    </a:ln>
                  </pic:spPr>
                </pic:pic>
              </a:graphicData>
            </a:graphic>
          </wp:inline>
        </w:drawing>
      </w:r>
    </w:p>
    <w:p w14:paraId="7444442C" w14:textId="77777777" w:rsidR="005D0D88" w:rsidRPr="00496B03" w:rsidRDefault="005D0D88" w:rsidP="005D0D88">
      <w:pPr>
        <w:spacing w:after="0" w:line="360" w:lineRule="auto"/>
        <w:rPr>
          <w:rFonts w:eastAsia="Calibri" w:cs="Tahoma"/>
          <w:bCs/>
          <w:color w:val="auto"/>
        </w:rPr>
      </w:pPr>
      <w:r w:rsidRPr="00496B03">
        <w:rPr>
          <w:rFonts w:eastAsia="Calibri" w:cs="Tahoma"/>
          <w:bCs/>
          <w:noProof/>
          <w:color w:val="auto"/>
        </w:rPr>
        <w:drawing>
          <wp:inline distT="0" distB="0" distL="0" distR="0" wp14:anchorId="2C2CF490" wp14:editId="53AF062A">
            <wp:extent cx="5747385" cy="462915"/>
            <wp:effectExtent l="0" t="0" r="5715"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7385" cy="462915"/>
                    </a:xfrm>
                    <a:prstGeom prst="rect">
                      <a:avLst/>
                    </a:prstGeom>
                    <a:noFill/>
                    <a:ln>
                      <a:noFill/>
                    </a:ln>
                  </pic:spPr>
                </pic:pic>
              </a:graphicData>
            </a:graphic>
          </wp:inline>
        </w:drawing>
      </w:r>
    </w:p>
    <w:p w14:paraId="79F84B22" w14:textId="77777777" w:rsidR="005D0D88" w:rsidRPr="00496B03" w:rsidRDefault="005D0D88" w:rsidP="005D0D88">
      <w:pPr>
        <w:spacing w:after="0" w:line="360" w:lineRule="auto"/>
        <w:rPr>
          <w:rFonts w:eastAsia="Calibri" w:cs="Tahoma"/>
          <w:bCs/>
          <w:color w:val="auto"/>
        </w:rPr>
      </w:pPr>
      <w:r w:rsidRPr="00496B03">
        <w:rPr>
          <w:rFonts w:eastAsia="Calibri" w:cs="Tahoma"/>
          <w:bCs/>
          <w:noProof/>
          <w:color w:val="auto"/>
        </w:rPr>
        <mc:AlternateContent>
          <mc:Choice Requires="wps">
            <w:drawing>
              <wp:anchor distT="0" distB="0" distL="114300" distR="114300" simplePos="0" relativeHeight="251660288" behindDoc="0" locked="0" layoutInCell="1" allowOverlap="1" wp14:anchorId="7C8C4887" wp14:editId="2CC769FE">
                <wp:simplePos x="0" y="0"/>
                <wp:positionH relativeFrom="column">
                  <wp:posOffset>3201670</wp:posOffset>
                </wp:positionH>
                <wp:positionV relativeFrom="paragraph">
                  <wp:posOffset>33020</wp:posOffset>
                </wp:positionV>
                <wp:extent cx="1638300" cy="638175"/>
                <wp:effectExtent l="19050" t="19050" r="19050" b="28575"/>
                <wp:wrapNone/>
                <wp:docPr id="46" name="Rectángulo 46"/>
                <wp:cNvGraphicFramePr/>
                <a:graphic xmlns:a="http://schemas.openxmlformats.org/drawingml/2006/main">
                  <a:graphicData uri="http://schemas.microsoft.com/office/word/2010/wordprocessingShape">
                    <wps:wsp>
                      <wps:cNvSpPr/>
                      <wps:spPr>
                        <a:xfrm>
                          <a:off x="0" y="0"/>
                          <a:ext cx="1638300" cy="638175"/>
                        </a:xfrm>
                        <a:prstGeom prst="rect">
                          <a:avLst/>
                        </a:prstGeom>
                        <a:noFill/>
                        <a:ln w="381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4E4587DB" id="Rectángulo 46" o:spid="_x0000_s1026" style="position:absolute;margin-left:252.1pt;margin-top:2.6pt;width:129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" filled="f" strokecolor="windowText" strokeweight="3pt"/>
            </w:pict>
          </mc:Fallback>
        </mc:AlternateContent>
      </w:r>
      <w:r w:rsidRPr="00496B03">
        <w:rPr>
          <w:rFonts w:eastAsia="Calibri" w:cs="Tahoma"/>
          <w:bCs/>
          <w:noProof/>
          <w:color w:val="auto"/>
        </w:rPr>
        <w:drawing>
          <wp:inline distT="0" distB="0" distL="0" distR="0" wp14:anchorId="7939EDFE" wp14:editId="3E6C165F">
            <wp:extent cx="5723890" cy="902335"/>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3890" cy="902335"/>
                    </a:xfrm>
                    <a:prstGeom prst="rect">
                      <a:avLst/>
                    </a:prstGeom>
                    <a:noFill/>
                    <a:ln>
                      <a:noFill/>
                    </a:ln>
                  </pic:spPr>
                </pic:pic>
              </a:graphicData>
            </a:graphic>
          </wp:inline>
        </w:drawing>
      </w:r>
    </w:p>
    <w:p w14:paraId="456760FF" w14:textId="77777777" w:rsidR="005D0D88" w:rsidRPr="00496B03" w:rsidRDefault="005D0D88" w:rsidP="005D0D88">
      <w:pPr>
        <w:spacing w:after="0" w:line="360" w:lineRule="auto"/>
        <w:rPr>
          <w:rFonts w:eastAsia="Calibri" w:cs="Tahoma"/>
          <w:bCs/>
          <w:color w:val="auto"/>
        </w:rPr>
      </w:pPr>
    </w:p>
    <w:p w14:paraId="2A00E40A" w14:textId="77777777" w:rsidR="005D0D88" w:rsidRPr="00496B03" w:rsidRDefault="005D0D88" w:rsidP="005D0D88">
      <w:pPr>
        <w:spacing w:after="0" w:line="360" w:lineRule="auto"/>
        <w:rPr>
          <w:rFonts w:eastAsia="Calibri" w:cs="Tahoma"/>
          <w:bCs/>
          <w:color w:val="auto"/>
        </w:rPr>
      </w:pPr>
      <w:r w:rsidRPr="00496B03">
        <w:rPr>
          <w:rFonts w:eastAsia="Calibri" w:cs="Tahoma"/>
          <w:bCs/>
          <w:color w:val="auto"/>
        </w:rPr>
        <w:t>Como se logra observar, en los formatos para publicar las obligaciones de transparencia de los sujetos obligados, establecen que para el caso de las Licencias de Uso de Suelo o de Construcción, se debe proporcionar el nombre completo, de la persona física que solicita dichas licencias. Inclusive dicha situación se precisa en los Criterios 33 y 43, relacionados a dichos formatos.</w:t>
      </w:r>
    </w:p>
    <w:p w14:paraId="7F391F75" w14:textId="77777777" w:rsidR="005D0D88" w:rsidRPr="00496B03" w:rsidRDefault="005D0D88" w:rsidP="005D0D88">
      <w:pPr>
        <w:spacing w:after="0" w:line="360" w:lineRule="auto"/>
        <w:rPr>
          <w:rFonts w:eastAsia="Calibri" w:cs="Tahoma"/>
          <w:bCs/>
          <w:color w:val="auto"/>
        </w:rPr>
      </w:pPr>
    </w:p>
    <w:p w14:paraId="4D78C4D0" w14:textId="77777777" w:rsidR="005D0D88" w:rsidRPr="00496B03" w:rsidRDefault="005D0D88" w:rsidP="005D0D88">
      <w:pPr>
        <w:spacing w:after="0" w:line="360" w:lineRule="auto"/>
        <w:rPr>
          <w:rFonts w:eastAsia="Calibri" w:cs="Tahoma"/>
          <w:bCs/>
          <w:color w:val="auto"/>
        </w:rPr>
      </w:pPr>
      <w:r w:rsidRPr="00496B03">
        <w:rPr>
          <w:rFonts w:eastAsia="Calibri" w:cs="Tahoma"/>
          <w:bCs/>
          <w:color w:val="auto"/>
        </w:rPr>
        <w:t>Cabe puntualizar que la multicitadas Licencias, tal como se estableció en párrafos anteriores, se refieren a los documentos que contienen la autorización de la autoridad competente, para que los particulares puedan realizar diversas construcciones o modificaciones en sus predios; esto es, es información generada o que tiene en posesión el Sujeto Obligado.</w:t>
      </w:r>
    </w:p>
    <w:p w14:paraId="2D233C66" w14:textId="77777777" w:rsidR="005D0D88" w:rsidRPr="00496B03" w:rsidRDefault="005D0D88" w:rsidP="005D0D88">
      <w:pPr>
        <w:spacing w:after="0" w:line="360" w:lineRule="auto"/>
        <w:rPr>
          <w:rFonts w:eastAsia="Calibri" w:cs="Tahoma"/>
          <w:bCs/>
          <w:color w:val="auto"/>
        </w:rPr>
      </w:pPr>
    </w:p>
    <w:p w14:paraId="001C319F" w14:textId="77777777" w:rsidR="005D0D88" w:rsidRPr="00496B03" w:rsidRDefault="005D0D88" w:rsidP="005D0D88">
      <w:pPr>
        <w:spacing w:after="0" w:line="360" w:lineRule="auto"/>
        <w:rPr>
          <w:rFonts w:eastAsia="Calibri" w:cs="Tahoma"/>
          <w:bCs/>
          <w:color w:val="auto"/>
          <w:lang w:val="es-ES"/>
        </w:rPr>
      </w:pPr>
      <w:r w:rsidRPr="00496B03">
        <w:rPr>
          <w:rFonts w:eastAsia="Calibri" w:cs="Tahoma"/>
          <w:bCs/>
          <w:color w:val="auto"/>
          <w:lang w:val="es-ES"/>
        </w:rPr>
        <w:t xml:space="preserve">Ante tales circunstancias, se desprende que, en el caso concreto, sobreviene una </w:t>
      </w:r>
      <w:r w:rsidRPr="00496B03">
        <w:rPr>
          <w:rFonts w:eastAsia="Calibri" w:cs="Tahoma"/>
          <w:b/>
          <w:bCs/>
          <w:color w:val="auto"/>
          <w:lang w:val="es-ES"/>
        </w:rPr>
        <w:t>colisión de derechos fundamentales,</w:t>
      </w:r>
      <w:r w:rsidRPr="00496B03">
        <w:rPr>
          <w:rFonts w:eastAsia="Calibri" w:cs="Tahoma"/>
          <w:bCs/>
          <w:color w:val="auto"/>
          <w:lang w:val="es-ES"/>
        </w:rPr>
        <w:t xml:space="preserve"> esto es, por una parte, se tiene el derecho de acceso a la información del recurrente para conocer el nombre de la persona a la cual se le otorgó una licencia para construir en un predio, y por la otra, el derecho a la protección de los nombres de aquellas a quienes obtuvieron una autorización específica, lo cual implica dar a conocer datos personales confidenciales consistentes, en el nombre de personas físicas y este vincularlo en la construcción de alguna obra o proyecto, y el lugar en el que se ubica el predio.</w:t>
      </w:r>
    </w:p>
    <w:p w14:paraId="54A8597B" w14:textId="77777777" w:rsidR="005D0D88" w:rsidRPr="00496B03" w:rsidRDefault="005D0D88" w:rsidP="005D0D88">
      <w:pPr>
        <w:spacing w:after="0" w:line="360" w:lineRule="auto"/>
        <w:rPr>
          <w:rFonts w:eastAsia="Calibri" w:cs="Tahoma"/>
          <w:bCs/>
          <w:color w:val="auto"/>
        </w:rPr>
      </w:pPr>
    </w:p>
    <w:p w14:paraId="597DB0C8" w14:textId="77777777" w:rsidR="005D0D88" w:rsidRPr="00496B03" w:rsidRDefault="005D0D88" w:rsidP="005D0D88">
      <w:pPr>
        <w:spacing w:after="0" w:line="360" w:lineRule="auto"/>
        <w:rPr>
          <w:rFonts w:eastAsia="Calibri" w:cs="Tahoma"/>
          <w:bCs/>
          <w:color w:val="auto"/>
        </w:rPr>
      </w:pPr>
      <w:r w:rsidRPr="00496B03">
        <w:rPr>
          <w:rFonts w:eastAsia="Calibri" w:cs="Tahoma"/>
          <w:bCs/>
          <w:color w:val="auto"/>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14:paraId="45F3BC80" w14:textId="77777777" w:rsidR="005D0D88" w:rsidRPr="00496B03" w:rsidRDefault="005D0D88" w:rsidP="005D0D88">
      <w:pPr>
        <w:spacing w:after="0" w:line="360" w:lineRule="auto"/>
        <w:rPr>
          <w:rFonts w:eastAsia="Calibri" w:cs="Tahoma"/>
          <w:bCs/>
          <w:color w:val="auto"/>
        </w:rPr>
      </w:pPr>
    </w:p>
    <w:p w14:paraId="32935E28" w14:textId="77777777" w:rsidR="005D0D88" w:rsidRPr="00496B03" w:rsidRDefault="005D0D88" w:rsidP="005D0D88">
      <w:pPr>
        <w:spacing w:after="0" w:line="360" w:lineRule="auto"/>
        <w:rPr>
          <w:rFonts w:eastAsia="Calibri" w:cs="Tahoma"/>
          <w:bCs/>
          <w:color w:val="auto"/>
        </w:rPr>
      </w:pPr>
      <w:r w:rsidRPr="00496B03">
        <w:rPr>
          <w:rFonts w:eastAsia="Calibri" w:cs="Tahoma"/>
          <w:bCs/>
          <w:color w:val="auto"/>
        </w:rPr>
        <w:t xml:space="preserve">Por cuanto hace a la colisión entre el derecho a la información y el derecho a la intimidad o a la vida privada, el Poder Judicial de la Federación ha sostenido la </w:t>
      </w:r>
      <w:r w:rsidRPr="00496B03">
        <w:rPr>
          <w:rFonts w:eastAsia="Calibri" w:cs="Tahoma"/>
          <w:b/>
          <w:bCs/>
          <w:color w:val="auto"/>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496B03">
        <w:rPr>
          <w:rFonts w:eastAsia="Calibri" w:cs="Tahoma"/>
          <w:bCs/>
          <w:color w:val="auto"/>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5EB72FDC" w14:textId="77777777" w:rsidR="005D0D88" w:rsidRPr="00496B03" w:rsidRDefault="005D0D88" w:rsidP="005D0D88">
      <w:pPr>
        <w:spacing w:after="0" w:line="360" w:lineRule="auto"/>
        <w:rPr>
          <w:rFonts w:eastAsia="Calibri" w:cs="Tahoma"/>
          <w:bCs/>
          <w:iCs/>
          <w:color w:val="auto"/>
        </w:rPr>
      </w:pPr>
      <w:r w:rsidRPr="00496B03">
        <w:rPr>
          <w:rFonts w:eastAsia="Calibri" w:cs="Tahoma"/>
          <w:bCs/>
          <w:color w:val="auto"/>
        </w:rPr>
        <w:t>En ese mismo sentido y atendiendo a la naturaleza del derecho a la protección de datos personales, por analogía, este debe ceder cuando exista un interés público mayor de acuerdo a las circunstancias del caso.</w:t>
      </w:r>
      <w:r w:rsidRPr="00496B03">
        <w:rPr>
          <w:rFonts w:eastAsia="Calibri" w:cs="Tahoma"/>
          <w:bCs/>
          <w:iCs/>
          <w:color w:val="auto"/>
        </w:rPr>
        <w:t xml:space="preserve"> Señalado lo anterior, resulta necesario realizar una ponderación de los dos intereses jurídicos tutelados que convergen en la controversia que se dirime; para lo cual, el artículo </w:t>
      </w:r>
      <w:r w:rsidRPr="00496B03">
        <w:rPr>
          <w:rFonts w:eastAsia="Calibri" w:cs="Tahoma"/>
          <w:bCs/>
          <w:color w:val="auto"/>
        </w:rPr>
        <w:t>184 de la Ley de Transparencia y Acceso a la Información Pública del Estado de México y Municipios</w:t>
      </w:r>
      <w:r w:rsidRPr="00496B03">
        <w:rPr>
          <w:rFonts w:eastAsia="Calibri" w:cs="Tahoma"/>
          <w:bCs/>
          <w:iCs/>
          <w:color w:val="auto"/>
        </w:rPr>
        <w:t xml:space="preserve"> prevé que cuando exista una colisión de derechos, este Instituto, al resolver el recurso de revisión, debe aplicar una prueba de interés público con base en elementos de idoneidad, necesidad y proporcionalidad. Para estos efectos, se entenderá por: </w:t>
      </w:r>
    </w:p>
    <w:p w14:paraId="34B3E3DD" w14:textId="77777777" w:rsidR="005D0D88" w:rsidRPr="00496B03" w:rsidRDefault="005D0D88" w:rsidP="005D0D88">
      <w:pPr>
        <w:spacing w:after="0" w:line="360" w:lineRule="auto"/>
        <w:rPr>
          <w:rFonts w:eastAsia="Calibri" w:cs="Tahoma"/>
          <w:bCs/>
          <w:iCs/>
          <w:color w:val="auto"/>
        </w:rPr>
      </w:pPr>
    </w:p>
    <w:p w14:paraId="74396010" w14:textId="77777777" w:rsidR="005D0D88" w:rsidRPr="00496B03" w:rsidRDefault="005D0D88" w:rsidP="005D0D88">
      <w:pPr>
        <w:numPr>
          <w:ilvl w:val="0"/>
          <w:numId w:val="28"/>
        </w:numPr>
        <w:spacing w:after="0" w:line="360" w:lineRule="auto"/>
        <w:jc w:val="left"/>
        <w:rPr>
          <w:rFonts w:eastAsia="Calibri" w:cs="Tahoma"/>
          <w:bCs/>
          <w:iCs/>
          <w:color w:val="auto"/>
        </w:rPr>
      </w:pPr>
      <w:r w:rsidRPr="00496B03">
        <w:rPr>
          <w:rFonts w:eastAsia="Calibri" w:cs="Tahoma"/>
          <w:b/>
          <w:bCs/>
          <w:iCs/>
          <w:color w:val="auto"/>
        </w:rPr>
        <w:t>Idoneidad:</w:t>
      </w:r>
      <w:r w:rsidRPr="00496B03">
        <w:rPr>
          <w:rFonts w:eastAsia="Calibri" w:cs="Tahoma"/>
          <w:bCs/>
          <w:iCs/>
          <w:color w:val="auto"/>
        </w:rPr>
        <w:t xml:space="preserve"> La legitimidad del derecho adoptado como preferente, que sea el adecuado para el logro de un fin constitucionalmente válido o apto para conseguir el fin pretendido;</w:t>
      </w:r>
    </w:p>
    <w:p w14:paraId="58272A4A" w14:textId="77777777" w:rsidR="005D0D88" w:rsidRPr="00496B03" w:rsidRDefault="005D0D88" w:rsidP="005D0D88">
      <w:pPr>
        <w:spacing w:after="0" w:line="360" w:lineRule="auto"/>
        <w:rPr>
          <w:rFonts w:eastAsia="Calibri" w:cs="Tahoma"/>
          <w:bCs/>
          <w:iCs/>
          <w:color w:val="auto"/>
        </w:rPr>
      </w:pPr>
    </w:p>
    <w:p w14:paraId="718E490C" w14:textId="77777777" w:rsidR="005D0D88" w:rsidRPr="00496B03" w:rsidRDefault="005D0D88" w:rsidP="005D0D88">
      <w:pPr>
        <w:numPr>
          <w:ilvl w:val="0"/>
          <w:numId w:val="28"/>
        </w:numPr>
        <w:spacing w:after="0" w:line="360" w:lineRule="auto"/>
        <w:jc w:val="left"/>
        <w:rPr>
          <w:rFonts w:eastAsia="Calibri" w:cs="Tahoma"/>
          <w:bCs/>
          <w:iCs/>
          <w:color w:val="auto"/>
        </w:rPr>
      </w:pPr>
      <w:r w:rsidRPr="00496B03">
        <w:rPr>
          <w:rFonts w:eastAsia="Calibri" w:cs="Tahoma"/>
          <w:b/>
          <w:bCs/>
          <w:iCs/>
          <w:color w:val="auto"/>
        </w:rPr>
        <w:t>Necesidad:</w:t>
      </w:r>
      <w:r w:rsidRPr="00496B03">
        <w:rPr>
          <w:rFonts w:eastAsia="Calibri" w:cs="Tahoma"/>
          <w:bCs/>
          <w:iCs/>
          <w:color w:val="auto"/>
        </w:rPr>
        <w:t xml:space="preserve"> La falta de un medio alternativo menos lesivo a la apertura de la información, para satisfacer el interés público, y</w:t>
      </w:r>
    </w:p>
    <w:p w14:paraId="7A954E56" w14:textId="77777777" w:rsidR="005D0D88" w:rsidRPr="00496B03" w:rsidRDefault="005D0D88" w:rsidP="005D0D88">
      <w:pPr>
        <w:spacing w:after="0" w:line="360" w:lineRule="auto"/>
        <w:rPr>
          <w:rFonts w:eastAsia="Calibri" w:cs="Tahoma"/>
          <w:bCs/>
          <w:iCs/>
          <w:color w:val="auto"/>
        </w:rPr>
      </w:pPr>
    </w:p>
    <w:p w14:paraId="4CEB388B" w14:textId="77777777" w:rsidR="005D0D88" w:rsidRPr="00496B03" w:rsidRDefault="005D0D88" w:rsidP="005D0D88">
      <w:pPr>
        <w:numPr>
          <w:ilvl w:val="0"/>
          <w:numId w:val="28"/>
        </w:numPr>
        <w:spacing w:after="0" w:line="360" w:lineRule="auto"/>
        <w:jc w:val="left"/>
        <w:rPr>
          <w:rFonts w:eastAsia="Calibri" w:cs="Tahoma"/>
          <w:bCs/>
          <w:iCs/>
          <w:color w:val="auto"/>
        </w:rPr>
      </w:pPr>
      <w:r w:rsidRPr="00496B03">
        <w:rPr>
          <w:rFonts w:eastAsia="Calibri" w:cs="Tahoma"/>
          <w:b/>
          <w:bCs/>
          <w:iCs/>
          <w:color w:val="auto"/>
        </w:rPr>
        <w:t>Proporcionalidad:</w:t>
      </w:r>
      <w:r w:rsidRPr="00496B03">
        <w:rPr>
          <w:rFonts w:eastAsia="Calibri" w:cs="Tahoma"/>
          <w:bCs/>
          <w:iCs/>
          <w:color w:val="auto"/>
        </w:rPr>
        <w:t xml:space="preserve"> El equilibrio entre perjuicio y beneficio a favor del interés público, a fin de que la decisión tomada represente un beneficio mayor al perjuicio que podría causar a la población.</w:t>
      </w:r>
    </w:p>
    <w:p w14:paraId="76E51DB6" w14:textId="77777777" w:rsidR="005D0D88" w:rsidRPr="00496B03" w:rsidRDefault="005D0D88" w:rsidP="005D0D88">
      <w:pPr>
        <w:spacing w:after="0" w:line="360" w:lineRule="auto"/>
        <w:rPr>
          <w:rFonts w:eastAsia="Calibri" w:cs="Tahoma"/>
          <w:bCs/>
          <w:color w:val="auto"/>
        </w:rPr>
      </w:pPr>
    </w:p>
    <w:p w14:paraId="4EB1BA90" w14:textId="77777777" w:rsidR="005D0D88" w:rsidRPr="00496B03" w:rsidRDefault="005D0D88" w:rsidP="005D0D88">
      <w:pPr>
        <w:spacing w:after="0" w:line="360" w:lineRule="auto"/>
        <w:rPr>
          <w:rFonts w:eastAsia="Calibri" w:cs="Tahoma"/>
          <w:bCs/>
          <w:color w:val="auto"/>
        </w:rPr>
      </w:pPr>
      <w:r w:rsidRPr="00496B03">
        <w:rPr>
          <w:rFonts w:eastAsia="Calibri" w:cs="Tahoma"/>
          <w:bCs/>
          <w:color w:val="auto"/>
        </w:rPr>
        <w:t>En ese orden de ideas, resulta procedente analizar cada uno de los elementos referidos, bajo las consideraciones que se verterán a continuación.</w:t>
      </w:r>
    </w:p>
    <w:p w14:paraId="134F124A" w14:textId="77777777" w:rsidR="005D0D88" w:rsidRPr="00496B03" w:rsidRDefault="005D0D88" w:rsidP="005D0D88">
      <w:pPr>
        <w:spacing w:after="0" w:line="360" w:lineRule="auto"/>
        <w:rPr>
          <w:rFonts w:eastAsia="Calibri" w:cs="Tahoma"/>
          <w:bCs/>
          <w:color w:val="auto"/>
        </w:rPr>
      </w:pPr>
    </w:p>
    <w:p w14:paraId="5B7D4A8B" w14:textId="77777777" w:rsidR="005D0D88" w:rsidRPr="00496B03" w:rsidRDefault="005D0D88" w:rsidP="005D0D88">
      <w:pPr>
        <w:spacing w:after="0" w:line="360" w:lineRule="auto"/>
        <w:rPr>
          <w:rFonts w:eastAsia="Calibri" w:cs="Tahoma"/>
          <w:b/>
          <w:bCs/>
          <w:color w:val="auto"/>
        </w:rPr>
      </w:pPr>
      <w:r w:rsidRPr="00496B03">
        <w:rPr>
          <w:rFonts w:eastAsia="Calibri" w:cs="Tahoma"/>
          <w:b/>
          <w:bCs/>
          <w:iCs/>
          <w:color w:val="auto"/>
        </w:rPr>
        <w:t>a) Idoneidad</w:t>
      </w:r>
      <w:r w:rsidRPr="00496B03">
        <w:rPr>
          <w:rFonts w:eastAsia="Calibri" w:cs="Tahoma"/>
          <w:bCs/>
          <w:color w:val="auto"/>
        </w:rPr>
        <w:t>. En cuanto al primer elemento de ponderación, se debe elegir el principio que será adoptado como preferente, buscando su justificación a partir de la valoración adecuada para satisfacer el fin constitucionalmente válido o pretendido.</w:t>
      </w:r>
    </w:p>
    <w:p w14:paraId="011F856F" w14:textId="1A473140" w:rsidR="005D0D88" w:rsidRPr="00496B03" w:rsidRDefault="005D0D88" w:rsidP="005D0D88">
      <w:pPr>
        <w:spacing w:after="0" w:line="360" w:lineRule="auto"/>
        <w:rPr>
          <w:rFonts w:eastAsia="Calibri" w:cs="Tahoma"/>
          <w:bCs/>
          <w:color w:val="auto"/>
        </w:rPr>
      </w:pPr>
      <w:r w:rsidRPr="00496B03">
        <w:rPr>
          <w:rFonts w:eastAsia="Calibri" w:cs="Tahoma"/>
          <w:bCs/>
          <w:color w:val="auto"/>
        </w:rPr>
        <w:t xml:space="preserve">Al respecto, se considera que debe prevalecer el derecho a la protección de datos personales del titular de dichas licencias, por encima del derecho de acceso a la información, toda vez que en el presente caso, no se advierte que ésta involucre el aprovechamiento de bienes o servicios del Ayuntamiento de </w:t>
      </w:r>
      <w:r w:rsidR="002613CD">
        <w:rPr>
          <w:rFonts w:eastAsia="Calibri" w:cs="Tahoma"/>
          <w:bCs/>
          <w:color w:val="auto"/>
        </w:rPr>
        <w:t>Metepec</w:t>
      </w:r>
      <w:r w:rsidRPr="00496B03">
        <w:rPr>
          <w:rFonts w:eastAsia="Calibri" w:cs="Tahoma"/>
          <w:bCs/>
          <w:color w:val="auto"/>
        </w:rPr>
        <w:t>, o bien, de recursos públicos, pues en el presente caso, las Licencias de Construcción y Uso de Suelo, son para un proyecto privado</w:t>
      </w:r>
      <w:r>
        <w:rPr>
          <w:rFonts w:eastAsia="Calibri" w:cs="Tahoma"/>
          <w:bCs/>
          <w:color w:val="auto"/>
        </w:rPr>
        <w:t xml:space="preserve"> para remodelar un establecimiento</w:t>
      </w:r>
      <w:r w:rsidRPr="00496B03">
        <w:rPr>
          <w:rFonts w:eastAsia="Calibri" w:cs="Tahoma"/>
          <w:bCs/>
          <w:iCs/>
          <w:color w:val="auto"/>
          <w:lang w:val="es-ES"/>
        </w:rPr>
        <w:t>. Lo anterior, toda vez que se realizó una búsqueda de información pública y no se localizó que el Sujeto Obligado, tenga injerencia en dicha construcción.</w:t>
      </w:r>
    </w:p>
    <w:p w14:paraId="314EB6D6" w14:textId="77777777" w:rsidR="005D0D88" w:rsidRPr="00496B03" w:rsidRDefault="005D0D88" w:rsidP="005D0D88">
      <w:pPr>
        <w:spacing w:after="0" w:line="360" w:lineRule="auto"/>
        <w:rPr>
          <w:rFonts w:eastAsia="Calibri" w:cs="Tahoma"/>
          <w:b/>
          <w:bCs/>
          <w:color w:val="auto"/>
        </w:rPr>
      </w:pPr>
    </w:p>
    <w:p w14:paraId="33C8FC79" w14:textId="77777777" w:rsidR="005D0D88" w:rsidRPr="00496B03" w:rsidRDefault="005D0D88" w:rsidP="005D0D88">
      <w:pPr>
        <w:spacing w:after="0" w:line="360" w:lineRule="auto"/>
        <w:rPr>
          <w:rFonts w:eastAsia="Calibri" w:cs="Tahoma"/>
          <w:b/>
          <w:bCs/>
          <w:color w:val="auto"/>
        </w:rPr>
      </w:pPr>
      <w:r w:rsidRPr="00496B03">
        <w:rPr>
          <w:rFonts w:eastAsia="Calibri" w:cs="Tahoma"/>
          <w:bCs/>
          <w:color w:val="auto"/>
        </w:rPr>
        <w:t xml:space="preserve">En ese contexto, cabe traer a colación lo previsto en la tesis aislada número 1a.CCXIV/2009, emitida por la Primera Sala de la Suprema Corte de Justicia de la Nación, publicada en la Gaceta del Semanario Judicial de la Federación, Tomo XXX, de diciembre de 2009, página 277, de la Novena Época, materia constitucional, de la cual se colige que </w:t>
      </w:r>
      <w:r w:rsidRPr="00496B03">
        <w:rPr>
          <w:rFonts w:eastAsia="Calibri" w:cs="Tahoma"/>
          <w:b/>
          <w:bCs/>
          <w:color w:val="auto"/>
        </w:rPr>
        <w:t>las actividades que realicen las personas, dentro del ámbito privado, o dentro de la esfera particular, es información que debe protegerse.</w:t>
      </w:r>
    </w:p>
    <w:p w14:paraId="408A6CEF" w14:textId="77777777" w:rsidR="005D0D88" w:rsidRPr="00496B03" w:rsidRDefault="005D0D88" w:rsidP="005D0D88">
      <w:pPr>
        <w:spacing w:after="0" w:line="360" w:lineRule="auto"/>
        <w:rPr>
          <w:rFonts w:eastAsia="Calibri" w:cs="Tahoma"/>
          <w:b/>
          <w:bCs/>
          <w:color w:val="auto"/>
        </w:rPr>
      </w:pPr>
    </w:p>
    <w:p w14:paraId="1981ED26" w14:textId="77777777" w:rsidR="005D0D88" w:rsidRPr="00496B03" w:rsidRDefault="005D0D88" w:rsidP="005D0D88">
      <w:pPr>
        <w:spacing w:after="0" w:line="360" w:lineRule="auto"/>
        <w:rPr>
          <w:rFonts w:eastAsia="Calibri" w:cs="Tahoma"/>
          <w:bCs/>
          <w:color w:val="auto"/>
        </w:rPr>
      </w:pPr>
      <w:r w:rsidRPr="00496B03">
        <w:rPr>
          <w:rFonts w:eastAsia="Calibri" w:cs="Tahoma"/>
          <w:bCs/>
          <w:color w:val="auto"/>
        </w:rPr>
        <w:t>En el presente caso, entregar el nombre de la persona física identificada, iría en contra del derecho de la vida privada, pues daría cuenta de la decisión personal de la misma; es decir, de un acto de voluntad de dicho individuo para realizar una construcción o modificación a un predio o inmueble que tiene en si posesión o propiedad, lo cual constituye una cuestión de carácter estrictamente íntimo.</w:t>
      </w:r>
    </w:p>
    <w:p w14:paraId="28737E48" w14:textId="77777777" w:rsidR="005D0D88" w:rsidRPr="00496B03" w:rsidRDefault="005D0D88" w:rsidP="005D0D88">
      <w:pPr>
        <w:spacing w:after="0" w:line="360" w:lineRule="auto"/>
        <w:rPr>
          <w:rFonts w:eastAsia="Calibri" w:cs="Tahoma"/>
          <w:b/>
          <w:bCs/>
          <w:color w:val="auto"/>
        </w:rPr>
      </w:pPr>
    </w:p>
    <w:p w14:paraId="71C061D3" w14:textId="77777777" w:rsidR="005D0D88" w:rsidRPr="00496B03" w:rsidRDefault="005D0D88" w:rsidP="005D0D88">
      <w:pPr>
        <w:spacing w:after="0" w:line="360" w:lineRule="auto"/>
        <w:rPr>
          <w:rFonts w:eastAsia="Calibri" w:cs="Tahoma"/>
          <w:bCs/>
          <w:color w:val="auto"/>
        </w:rPr>
      </w:pPr>
      <w:r w:rsidRPr="00496B03">
        <w:rPr>
          <w:rFonts w:eastAsia="Calibri" w:cs="Tahoma"/>
          <w:bCs/>
          <w:color w:val="auto"/>
        </w:rPr>
        <w:t>Por otra parte, si bien las multicitadas licencias son emitidas por el Ayuntamiento de Malinalco, en cumplimiento de sus obligaciones y, por lo tanto, las mismas acreditan el correcto actuar de este; también lo es, que el nombre de la persona física solicitante al ser protegido no afecta la certeza del documento, pues este busca acreditar que en un determinado predio se puede realizar una construcción.</w:t>
      </w:r>
    </w:p>
    <w:p w14:paraId="506EF315" w14:textId="77777777" w:rsidR="005D0D88" w:rsidRPr="00496B03" w:rsidRDefault="005D0D88" w:rsidP="005D0D88">
      <w:pPr>
        <w:spacing w:after="0" w:line="360" w:lineRule="auto"/>
        <w:rPr>
          <w:rFonts w:eastAsia="Calibri" w:cs="Tahoma"/>
          <w:bCs/>
          <w:color w:val="auto"/>
        </w:rPr>
      </w:pPr>
      <w:r w:rsidRPr="00496B03">
        <w:rPr>
          <w:rFonts w:eastAsia="Calibri" w:cs="Tahoma"/>
          <w:bCs/>
          <w:color w:val="auto"/>
        </w:rPr>
        <w:t>Es bajo tales consideraciones, que se determinada que la protección del nombre de las personas físicas solicitante de las Licencias de Uso de Suelo o Construcción debe prevalecer frente al derecho de acceso a la información, pues el mismo no transparenta la gestión pública y la correcta actuación del Sujeto Obligado, pues dicha situación se acredita con el propio documento, sin necesidad el solicitante.</w:t>
      </w:r>
    </w:p>
    <w:p w14:paraId="4B703F6D" w14:textId="77777777" w:rsidR="005D0D88" w:rsidRPr="00496B03" w:rsidRDefault="005D0D88" w:rsidP="005D0D88">
      <w:pPr>
        <w:spacing w:after="0" w:line="360" w:lineRule="auto"/>
        <w:rPr>
          <w:rFonts w:eastAsia="Calibri" w:cs="Tahoma"/>
          <w:bCs/>
          <w:color w:val="auto"/>
        </w:rPr>
      </w:pPr>
    </w:p>
    <w:p w14:paraId="2C3E076C" w14:textId="77777777" w:rsidR="005D0D88" w:rsidRPr="00496B03" w:rsidRDefault="005D0D88" w:rsidP="005D0D88">
      <w:pPr>
        <w:spacing w:after="0" w:line="360" w:lineRule="auto"/>
        <w:rPr>
          <w:rFonts w:eastAsia="Calibri" w:cs="Tahoma"/>
          <w:bCs/>
          <w:color w:val="auto"/>
        </w:rPr>
      </w:pPr>
      <w:r w:rsidRPr="00496B03">
        <w:rPr>
          <w:rFonts w:eastAsia="Calibri" w:cs="Tahoma"/>
          <w:bCs/>
          <w:color w:val="auto"/>
        </w:rPr>
        <w:t>Lo anterior, toma sustento con el hecho que las Licencias de Construcción y Uso, buscan acreditar la autorización de que, en un determinado predio o inmueble, se pueden realizar diversas construcciones o modificaciones; lo cual, se cumpliría en el presente caso, con la entrega de la versión pública de las mismas.</w:t>
      </w:r>
    </w:p>
    <w:p w14:paraId="62AF975E" w14:textId="77777777" w:rsidR="005D0D88" w:rsidRPr="00496B03" w:rsidRDefault="005D0D88" w:rsidP="005D0D88">
      <w:pPr>
        <w:spacing w:after="0" w:line="360" w:lineRule="auto"/>
        <w:rPr>
          <w:rFonts w:eastAsia="Calibri" w:cs="Tahoma"/>
          <w:bCs/>
          <w:color w:val="auto"/>
        </w:rPr>
      </w:pPr>
    </w:p>
    <w:p w14:paraId="054EE8E3" w14:textId="04A8A5B5" w:rsidR="005D0D88" w:rsidRPr="00496B03" w:rsidRDefault="005D0D88" w:rsidP="005D0D88">
      <w:pPr>
        <w:spacing w:after="0" w:line="360" w:lineRule="auto"/>
        <w:rPr>
          <w:rFonts w:eastAsia="Calibri" w:cs="Tahoma"/>
          <w:bCs/>
          <w:color w:val="auto"/>
          <w:lang w:val="es-ES"/>
        </w:rPr>
      </w:pPr>
      <w:r w:rsidRPr="00496B03">
        <w:rPr>
          <w:rFonts w:eastAsia="Calibri" w:cs="Tahoma"/>
          <w:b/>
          <w:bCs/>
          <w:color w:val="auto"/>
          <w:lang w:val="es-ES"/>
        </w:rPr>
        <w:t>b) Necesidad.</w:t>
      </w:r>
      <w:r w:rsidRPr="00496B03">
        <w:rPr>
          <w:rFonts w:eastAsia="Calibri" w:cs="Tahoma"/>
          <w:bCs/>
          <w:color w:val="auto"/>
          <w:lang w:val="es-ES"/>
        </w:rPr>
        <w:t xml:space="preserve"> En el presente caso, no existe forma de que se observen por igual los derechos en conflicto, pues la publicación de los datos personales de la persona física titular de las licencias en comento vulnera si derecho a la protección de </w:t>
      </w:r>
      <w:r w:rsidR="002613CD" w:rsidRPr="00496B03">
        <w:rPr>
          <w:rFonts w:eastAsia="Calibri" w:cs="Tahoma"/>
          <w:bCs/>
          <w:color w:val="auto"/>
          <w:lang w:val="es-ES"/>
        </w:rPr>
        <w:t>estos</w:t>
      </w:r>
      <w:r w:rsidRPr="00496B03">
        <w:rPr>
          <w:rFonts w:eastAsia="Calibri" w:cs="Tahoma"/>
          <w:bCs/>
          <w:color w:val="auto"/>
          <w:lang w:val="es-ES"/>
        </w:rPr>
        <w:t xml:space="preserve"> y a su privacidad.</w:t>
      </w:r>
    </w:p>
    <w:p w14:paraId="3F4909FB" w14:textId="77777777" w:rsidR="005D0D88" w:rsidRPr="00496B03" w:rsidRDefault="005D0D88" w:rsidP="005D0D88">
      <w:pPr>
        <w:spacing w:after="0" w:line="360" w:lineRule="auto"/>
        <w:rPr>
          <w:rFonts w:eastAsia="Calibri" w:cs="Tahoma"/>
          <w:bCs/>
          <w:color w:val="auto"/>
          <w:lang w:val="es-ES"/>
        </w:rPr>
      </w:pPr>
    </w:p>
    <w:p w14:paraId="7010C0E4" w14:textId="77777777" w:rsidR="005D0D88" w:rsidRPr="00496B03" w:rsidRDefault="005D0D88" w:rsidP="005D0D88">
      <w:pPr>
        <w:spacing w:after="0" w:line="360" w:lineRule="auto"/>
        <w:rPr>
          <w:rFonts w:eastAsia="Calibri" w:cs="Tahoma"/>
          <w:bCs/>
          <w:color w:val="auto"/>
          <w:lang w:val="es-ES"/>
        </w:rPr>
      </w:pPr>
      <w:r w:rsidRPr="00496B03">
        <w:rPr>
          <w:rFonts w:eastAsia="Calibri" w:cs="Tahoma"/>
          <w:bCs/>
          <w:color w:val="auto"/>
          <w:lang w:val="es-ES"/>
        </w:rPr>
        <w:t xml:space="preserve">Dicha situación, toma relevancia con el hecho de que vincular el nombre de la persona física, con las licencias, se estaría dando a conocer </w:t>
      </w:r>
      <w:r w:rsidRPr="00496B03">
        <w:rPr>
          <w:rFonts w:eastAsia="Calibri" w:cs="Tahoma"/>
          <w:b/>
          <w:bCs/>
          <w:color w:val="auto"/>
          <w:lang w:val="es-ES"/>
        </w:rPr>
        <w:t>la decisión personal</w:t>
      </w:r>
      <w:r w:rsidRPr="00496B03">
        <w:rPr>
          <w:rFonts w:eastAsia="Calibri" w:cs="Tahoma"/>
          <w:bCs/>
          <w:color w:val="auto"/>
          <w:lang w:val="es-ES"/>
        </w:rPr>
        <w:t xml:space="preserve"> de esta, en realizar o modificar un predio, situación que recae directamente en una cuestión </w:t>
      </w:r>
      <w:r w:rsidRPr="00496B03">
        <w:rPr>
          <w:rFonts w:eastAsia="Calibri" w:cs="Tahoma"/>
          <w:b/>
          <w:bCs/>
          <w:color w:val="auto"/>
          <w:lang w:val="es-ES"/>
        </w:rPr>
        <w:t xml:space="preserve">de su vida privada, </w:t>
      </w:r>
      <w:r w:rsidRPr="00496B03">
        <w:rPr>
          <w:rFonts w:eastAsia="Calibri" w:cs="Tahoma"/>
          <w:bCs/>
          <w:color w:val="auto"/>
          <w:lang w:val="es-ES"/>
        </w:rPr>
        <w:t>que se encuentra protegida por la Constitución Federal y Estatal, así como, las Leyes de Protección de Datos aplicables.</w:t>
      </w:r>
    </w:p>
    <w:p w14:paraId="4DC4DB72" w14:textId="77777777" w:rsidR="005D0D88" w:rsidRPr="00496B03" w:rsidRDefault="005D0D88" w:rsidP="005D0D88">
      <w:pPr>
        <w:spacing w:after="0" w:line="360" w:lineRule="auto"/>
        <w:rPr>
          <w:rFonts w:eastAsia="Calibri" w:cs="Tahoma"/>
          <w:bCs/>
          <w:color w:val="auto"/>
          <w:lang w:val="es-ES"/>
        </w:rPr>
      </w:pPr>
    </w:p>
    <w:p w14:paraId="14237E8E" w14:textId="77777777" w:rsidR="005D0D88" w:rsidRPr="00496B03" w:rsidRDefault="005D0D88" w:rsidP="005D0D88">
      <w:pPr>
        <w:spacing w:after="0" w:line="360" w:lineRule="auto"/>
        <w:rPr>
          <w:rFonts w:eastAsia="Calibri" w:cs="Tahoma"/>
          <w:bCs/>
          <w:color w:val="auto"/>
        </w:rPr>
      </w:pPr>
      <w:r w:rsidRPr="00496B03">
        <w:rPr>
          <w:rFonts w:eastAsia="Calibri" w:cs="Tahoma"/>
          <w:bCs/>
          <w:color w:val="auto"/>
        </w:rPr>
        <w:t>Por lo tanto, se considera menos lesivo proteger el nombre del solicitante de las licencias, pues como se precisó en párrafos anteriores, el documento no pierde su objeto, protegiendo dicho dato, toda vez que radica en la autorización de una construcción en una ubicación específica.</w:t>
      </w:r>
    </w:p>
    <w:p w14:paraId="30BAD4C5" w14:textId="77777777" w:rsidR="005D0D88" w:rsidRPr="00496B03" w:rsidRDefault="005D0D88" w:rsidP="005D0D88">
      <w:pPr>
        <w:spacing w:after="0" w:line="360" w:lineRule="auto"/>
        <w:rPr>
          <w:rFonts w:eastAsia="Calibri" w:cs="Tahoma"/>
          <w:b/>
          <w:bCs/>
          <w:color w:val="auto"/>
        </w:rPr>
      </w:pPr>
    </w:p>
    <w:p w14:paraId="0A81527A" w14:textId="77777777" w:rsidR="005D0D88" w:rsidRPr="00496B03" w:rsidRDefault="005D0D88" w:rsidP="005D0D88">
      <w:pPr>
        <w:spacing w:after="0" w:line="360" w:lineRule="auto"/>
        <w:rPr>
          <w:rFonts w:eastAsia="Calibri" w:cs="Tahoma"/>
          <w:bCs/>
          <w:color w:val="auto"/>
          <w:lang w:val="es-ES"/>
        </w:rPr>
      </w:pPr>
      <w:r w:rsidRPr="00496B03">
        <w:rPr>
          <w:rFonts w:eastAsia="Calibri" w:cs="Tahoma"/>
          <w:b/>
          <w:bCs/>
          <w:color w:val="auto"/>
          <w:lang w:val="es-ES"/>
        </w:rPr>
        <w:t>c) Proporcionalidad en sentido estricto</w:t>
      </w:r>
      <w:r w:rsidRPr="00496B03">
        <w:rPr>
          <w:rFonts w:eastAsia="Calibri" w:cs="Tahoma"/>
          <w:bCs/>
          <w:color w:val="auto"/>
          <w:lang w:val="es-ES"/>
        </w:rPr>
        <w:t>. En el presente caso se considera, que el objeto de las Licencias no se ve afecto, con la protección del nombre del solicítate. Por tanto, la circunstancia que implica mayor beneficio y menos perjuicios es entregar las licencias requeridas, testando, en su caso, el nombre del titular persona física, dejando visible los demás datos, con el fin que el ahora recurrente pueda constatar los términos en los que fueron otorgadas y así colmar la solicitud de información.</w:t>
      </w:r>
    </w:p>
    <w:p w14:paraId="1E45BBAF" w14:textId="77777777" w:rsidR="005D0D88" w:rsidRPr="00496B03" w:rsidRDefault="005D0D88" w:rsidP="005D0D88">
      <w:pPr>
        <w:spacing w:after="0" w:line="360" w:lineRule="auto"/>
        <w:rPr>
          <w:rFonts w:eastAsia="Calibri" w:cs="Tahoma"/>
          <w:bCs/>
          <w:color w:val="auto"/>
          <w:lang w:val="es-ES"/>
        </w:rPr>
      </w:pPr>
    </w:p>
    <w:p w14:paraId="743DE63D" w14:textId="77777777" w:rsidR="005D0D88" w:rsidRPr="00496B03" w:rsidRDefault="005D0D88" w:rsidP="005D0D88">
      <w:pPr>
        <w:spacing w:after="0" w:line="360" w:lineRule="auto"/>
        <w:rPr>
          <w:rFonts w:eastAsia="Calibri" w:cs="Tahoma"/>
          <w:bCs/>
          <w:iCs/>
          <w:color w:val="auto"/>
        </w:rPr>
      </w:pPr>
      <w:r w:rsidRPr="00496B03">
        <w:rPr>
          <w:rFonts w:eastAsia="Calibri" w:cs="Tahoma"/>
          <w:bCs/>
          <w:color w:val="auto"/>
          <w:lang w:val="es-ES"/>
        </w:rPr>
        <w:t xml:space="preserve">Por tales circunstancias, se considera que debe prevalecer la protección de datos personales del solicitante de las licencias, frente al derecho de acceso a la información, pues este no se ve disminuido, ya que se estarían otorgando la versión pública de los documentos que acreditan </w:t>
      </w:r>
      <w:r>
        <w:rPr>
          <w:rFonts w:eastAsia="Calibri" w:cs="Tahoma"/>
          <w:bCs/>
          <w:color w:val="auto"/>
          <w:lang w:val="es-ES"/>
        </w:rPr>
        <w:t>la autorización para realizar una construcción.</w:t>
      </w:r>
    </w:p>
    <w:p w14:paraId="05B69ECF" w14:textId="77777777" w:rsidR="005D0D88" w:rsidRPr="00496B03" w:rsidRDefault="005D0D88" w:rsidP="005D0D88">
      <w:pPr>
        <w:spacing w:after="0" w:line="360" w:lineRule="auto"/>
        <w:rPr>
          <w:rFonts w:eastAsia="Calibri" w:cs="Tahoma"/>
          <w:bCs/>
          <w:iCs/>
          <w:color w:val="auto"/>
        </w:rPr>
      </w:pPr>
    </w:p>
    <w:p w14:paraId="49F72D36" w14:textId="77777777" w:rsidR="005D0D88" w:rsidRPr="00496B03" w:rsidRDefault="005D0D88" w:rsidP="005D0D88">
      <w:pPr>
        <w:spacing w:after="0" w:line="360" w:lineRule="auto"/>
        <w:rPr>
          <w:rFonts w:eastAsia="Calibri" w:cs="Tahoma"/>
          <w:bCs/>
          <w:iCs/>
          <w:color w:val="auto"/>
        </w:rPr>
      </w:pPr>
      <w:r w:rsidRPr="00496B03">
        <w:rPr>
          <w:rFonts w:eastAsia="Calibri" w:cs="Tahoma"/>
          <w:bCs/>
          <w:iCs/>
          <w:color w:val="auto"/>
        </w:rPr>
        <w:t>Por todo lo expuesto, el nombre de la persona física particular propietaria, localizadas en las Licencias de Construcción</w:t>
      </w:r>
      <w:r>
        <w:rPr>
          <w:rFonts w:eastAsia="Calibri" w:cs="Tahoma"/>
          <w:bCs/>
          <w:iCs/>
          <w:color w:val="auto"/>
        </w:rPr>
        <w:t xml:space="preserve"> y Uso de Suelo</w:t>
      </w:r>
      <w:r w:rsidRPr="00496B03">
        <w:rPr>
          <w:rFonts w:eastAsia="Calibri" w:cs="Tahoma"/>
          <w:bCs/>
          <w:iCs/>
          <w:color w:val="auto"/>
        </w:rPr>
        <w:t>, actualizan la causal de clasificación prevista en el artículo 143, fracción I de la Ley de Transparencia y Acceso a la Información Pública del Estado de México y Municipios.</w:t>
      </w:r>
    </w:p>
    <w:p w14:paraId="2A8E4B6F" w14:textId="77777777" w:rsidR="005D0D88" w:rsidRPr="00496B03" w:rsidRDefault="005D0D88" w:rsidP="005D0D88">
      <w:pPr>
        <w:spacing w:after="0" w:line="360" w:lineRule="auto"/>
        <w:rPr>
          <w:rFonts w:eastAsia="Calibri" w:cs="Tahoma"/>
          <w:bCs/>
          <w:iCs/>
          <w:color w:val="auto"/>
        </w:rPr>
      </w:pPr>
    </w:p>
    <w:p w14:paraId="6F3C4F96" w14:textId="77777777" w:rsidR="005D0D88" w:rsidRPr="00496B03" w:rsidRDefault="005D0D88" w:rsidP="005D0D88">
      <w:pPr>
        <w:numPr>
          <w:ilvl w:val="0"/>
          <w:numId w:val="25"/>
        </w:numPr>
        <w:spacing w:after="0" w:line="360" w:lineRule="auto"/>
        <w:jc w:val="left"/>
        <w:rPr>
          <w:rFonts w:eastAsia="Calibri" w:cs="Tahoma"/>
          <w:b/>
          <w:color w:val="auto"/>
        </w:rPr>
      </w:pPr>
      <w:r w:rsidRPr="00496B03">
        <w:rPr>
          <w:rFonts w:eastAsia="Calibri" w:cs="Tahoma"/>
          <w:b/>
          <w:color w:val="auto"/>
        </w:rPr>
        <w:t>Ubicación del predio donde se realiza la construcción.</w:t>
      </w:r>
    </w:p>
    <w:p w14:paraId="77C62287" w14:textId="77777777" w:rsidR="005D0D88" w:rsidRPr="00496B03" w:rsidRDefault="005D0D88" w:rsidP="005D0D88">
      <w:pPr>
        <w:spacing w:after="0" w:line="360" w:lineRule="auto"/>
        <w:ind w:left="720"/>
        <w:rPr>
          <w:rFonts w:eastAsia="Calibri" w:cs="Tahoma"/>
          <w:b/>
          <w:color w:val="auto"/>
        </w:rPr>
      </w:pPr>
    </w:p>
    <w:p w14:paraId="07278A9C" w14:textId="77777777" w:rsidR="005D0D88" w:rsidRPr="00496B03" w:rsidRDefault="005D0D88" w:rsidP="005D0D88">
      <w:pPr>
        <w:spacing w:after="0" w:line="360" w:lineRule="auto"/>
        <w:rPr>
          <w:rFonts w:eastAsia="Calibri" w:cs="Tahoma"/>
          <w:bCs/>
          <w:color w:val="auto"/>
        </w:rPr>
      </w:pPr>
      <w:r w:rsidRPr="00496B03">
        <w:rPr>
          <w:rFonts w:eastAsia="Calibri" w:cs="Tahoma"/>
          <w:bCs/>
          <w:color w:val="auto"/>
        </w:rPr>
        <w:t>Sobre dicho dato, resulta necesario precisar que el domicilio establecido en las licencias y permisos, no corresponde al domicilio particular del titular de dichas autorizaciones, sino que corresponde a aquel donde se realiza una construcción.</w:t>
      </w:r>
    </w:p>
    <w:p w14:paraId="12FD3600" w14:textId="77777777" w:rsidR="005D0D88" w:rsidRPr="00496B03" w:rsidRDefault="005D0D88" w:rsidP="005D0D88">
      <w:pPr>
        <w:spacing w:after="0" w:line="360" w:lineRule="auto"/>
        <w:rPr>
          <w:rFonts w:eastAsia="Calibri" w:cs="Tahoma"/>
          <w:bCs/>
          <w:color w:val="auto"/>
        </w:rPr>
      </w:pPr>
    </w:p>
    <w:p w14:paraId="170D61BD" w14:textId="77777777" w:rsidR="005D0D88" w:rsidRPr="00496B03" w:rsidRDefault="005D0D88" w:rsidP="005D0D88">
      <w:pPr>
        <w:spacing w:after="0" w:line="360" w:lineRule="auto"/>
        <w:rPr>
          <w:rFonts w:eastAsia="Calibri" w:cs="Tahoma"/>
          <w:bCs/>
          <w:color w:val="auto"/>
          <w:lang w:val="es-ES"/>
        </w:rPr>
      </w:pPr>
      <w:r w:rsidRPr="00496B03">
        <w:rPr>
          <w:rFonts w:eastAsia="Calibri" w:cs="Tahoma"/>
          <w:bCs/>
          <w:color w:val="auto"/>
        </w:rPr>
        <w:t xml:space="preserve">Por lo cual, el dato en comento únicamente identifica la ubicación donde se realiza la actividad que la </w:t>
      </w:r>
      <w:r>
        <w:rPr>
          <w:rFonts w:eastAsia="Calibri" w:cs="Tahoma"/>
          <w:bCs/>
          <w:color w:val="auto"/>
        </w:rPr>
        <w:t>Dirección</w:t>
      </w:r>
      <w:r w:rsidRPr="00496B03">
        <w:rPr>
          <w:rFonts w:eastAsia="Calibri" w:cs="Tahoma"/>
          <w:bCs/>
          <w:color w:val="auto"/>
        </w:rPr>
        <w:t xml:space="preserve"> de Desarrollo Urbano autorizó realizar; además, </w:t>
      </w:r>
      <w:r w:rsidRPr="00496B03">
        <w:rPr>
          <w:rFonts w:eastAsia="Calibri" w:cs="Tahoma"/>
          <w:bCs/>
          <w:color w:val="auto"/>
          <w:lang w:val="es-ES"/>
        </w:rPr>
        <w:t>permite acreditar que la ubicación del predio donde se hará una construcción o modificación, corresponde al registrado en el Municipio.</w:t>
      </w:r>
    </w:p>
    <w:p w14:paraId="6A2659EF" w14:textId="77777777" w:rsidR="005D0D88" w:rsidRPr="00940373" w:rsidRDefault="005D0D88" w:rsidP="005D0D88">
      <w:pPr>
        <w:spacing w:after="0" w:line="360" w:lineRule="auto"/>
        <w:rPr>
          <w:rFonts w:eastAsia="Calibri" w:cs="Tahoma"/>
          <w:bCs/>
          <w:color w:val="auto"/>
        </w:rPr>
      </w:pPr>
      <w:r w:rsidRPr="00940373">
        <w:rPr>
          <w:rFonts w:eastAsia="Calibri" w:cs="Tahoma"/>
          <w:bCs/>
          <w:color w:val="auto"/>
        </w:rPr>
        <w:t>Lo anterior, toma relevancia, pues conforme a los formatos 6f LGT_Art_71_Fr_If (Licencias de Uso de Suelo) y 7f LGT_Art_71_Fr_If (Licencias de construcción) de los 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de dichas Licencias, los domicilios de donde se solicita la misma, tal como se muestra continuación:</w:t>
      </w:r>
    </w:p>
    <w:p w14:paraId="5C551EFB" w14:textId="77777777" w:rsidR="005D0D88" w:rsidRPr="00940373" w:rsidRDefault="005D0D88" w:rsidP="005D0D88">
      <w:pPr>
        <w:spacing w:after="0" w:line="276" w:lineRule="auto"/>
        <w:ind w:right="-93"/>
        <w:rPr>
          <w:rFonts w:eastAsia="Calibri" w:cs="Tahoma"/>
          <w:bCs/>
          <w:iCs/>
          <w:color w:val="auto"/>
        </w:rPr>
      </w:pPr>
    </w:p>
    <w:p w14:paraId="4892785F" w14:textId="77777777" w:rsidR="005D0D88" w:rsidRPr="00940373" w:rsidRDefault="005D0D88" w:rsidP="005D0D88">
      <w:pPr>
        <w:spacing w:after="0" w:line="276" w:lineRule="auto"/>
        <w:ind w:right="-93"/>
        <w:rPr>
          <w:rFonts w:eastAsia="Calibri" w:cs="Tahoma"/>
          <w:bCs/>
          <w:color w:val="auto"/>
          <w:lang w:val="es-ES"/>
        </w:rPr>
      </w:pPr>
      <w:r w:rsidRPr="00940373">
        <w:rPr>
          <w:rFonts w:ascii="Times New Roman" w:eastAsia="Times New Roman" w:hAnsi="Times New Roman" w:cs="Times New Roman"/>
          <w:noProof/>
          <w:color w:val="auto"/>
          <w:sz w:val="20"/>
          <w:szCs w:val="20"/>
        </w:rPr>
        <mc:AlternateContent>
          <mc:Choice Requires="wps">
            <w:drawing>
              <wp:anchor distT="0" distB="0" distL="114300" distR="114300" simplePos="0" relativeHeight="251662336" behindDoc="0" locked="0" layoutInCell="1" allowOverlap="1" wp14:anchorId="53A2FFF8" wp14:editId="2F42B58C">
                <wp:simplePos x="0" y="0"/>
                <wp:positionH relativeFrom="margin">
                  <wp:align>center</wp:align>
                </wp:positionH>
                <wp:positionV relativeFrom="paragraph">
                  <wp:posOffset>854075</wp:posOffset>
                </wp:positionV>
                <wp:extent cx="2400300" cy="171450"/>
                <wp:effectExtent l="19050" t="19050" r="19050" b="19050"/>
                <wp:wrapNone/>
                <wp:docPr id="5" name="Rectángulo 5"/>
                <wp:cNvGraphicFramePr/>
                <a:graphic xmlns:a="http://schemas.openxmlformats.org/drawingml/2006/main">
                  <a:graphicData uri="http://schemas.microsoft.com/office/word/2010/wordprocessingShape">
                    <wps:wsp>
                      <wps:cNvSpPr/>
                      <wps:spPr>
                        <a:xfrm>
                          <a:off x="0" y="0"/>
                          <a:ext cx="2400300" cy="17145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25BE0B2F" id="Rectángulo 5" o:spid="_x0000_s1026" style="position:absolute;margin-left:0;margin-top:67.25pt;width:189pt;height:13.5pt;z-index:25166233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" filled="f" strokecolor="windowText" strokeweight="2.25pt">
                <w10:wrap anchorx="margin"/>
              </v:rect>
            </w:pict>
          </mc:Fallback>
        </mc:AlternateContent>
      </w:r>
      <w:r w:rsidRPr="00940373">
        <w:rPr>
          <w:rFonts w:ascii="Times New Roman" w:eastAsia="Times New Roman" w:hAnsi="Times New Roman" w:cs="Times New Roman"/>
          <w:noProof/>
          <w:color w:val="auto"/>
          <w:sz w:val="20"/>
          <w:szCs w:val="20"/>
        </w:rPr>
        <mc:AlternateContent>
          <mc:Choice Requires="wps">
            <w:drawing>
              <wp:anchor distT="0" distB="0" distL="114300" distR="114300" simplePos="0" relativeHeight="251661312" behindDoc="0" locked="0" layoutInCell="1" allowOverlap="1" wp14:anchorId="2D3B7747" wp14:editId="5D5BBA34">
                <wp:simplePos x="0" y="0"/>
                <wp:positionH relativeFrom="column">
                  <wp:posOffset>1658620</wp:posOffset>
                </wp:positionH>
                <wp:positionV relativeFrom="paragraph">
                  <wp:posOffset>44450</wp:posOffset>
                </wp:positionV>
                <wp:extent cx="2400300" cy="171450"/>
                <wp:effectExtent l="19050" t="19050" r="19050" b="19050"/>
                <wp:wrapNone/>
                <wp:docPr id="4" name="Rectángulo 4"/>
                <wp:cNvGraphicFramePr/>
                <a:graphic xmlns:a="http://schemas.openxmlformats.org/drawingml/2006/main">
                  <a:graphicData uri="http://schemas.microsoft.com/office/word/2010/wordprocessingShape">
                    <wps:wsp>
                      <wps:cNvSpPr/>
                      <wps:spPr>
                        <a:xfrm>
                          <a:off x="0" y="0"/>
                          <a:ext cx="2400300" cy="17145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65D5D7A9" id="Rectángulo 4" o:spid="_x0000_s1026" style="position:absolute;margin-left:130.6pt;margin-top:3.5pt;width:189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" filled="f" strokecolor="windowText" strokeweight="2.25pt"/>
            </w:pict>
          </mc:Fallback>
        </mc:AlternateContent>
      </w:r>
      <w:r w:rsidRPr="00940373">
        <w:rPr>
          <w:rFonts w:ascii="Times New Roman" w:eastAsia="Times New Roman" w:hAnsi="Times New Roman" w:cs="Times New Roman"/>
          <w:noProof/>
          <w:color w:val="auto"/>
          <w:sz w:val="20"/>
          <w:szCs w:val="20"/>
        </w:rPr>
        <w:drawing>
          <wp:inline distT="0" distB="0" distL="0" distR="0" wp14:anchorId="23034DCF" wp14:editId="50CCCDC6">
            <wp:extent cx="5686425" cy="1447800"/>
            <wp:effectExtent l="0" t="0" r="9525" b="0"/>
            <wp:docPr id="751003309" name="Imagen 751003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86425" cy="1447800"/>
                    </a:xfrm>
                    <a:prstGeom prst="rect">
                      <a:avLst/>
                    </a:prstGeom>
                  </pic:spPr>
                </pic:pic>
              </a:graphicData>
            </a:graphic>
          </wp:inline>
        </w:drawing>
      </w:r>
    </w:p>
    <w:p w14:paraId="3620B1A6" w14:textId="77777777" w:rsidR="005D0D88" w:rsidRPr="00940373" w:rsidRDefault="005D0D88" w:rsidP="005D0D88">
      <w:pPr>
        <w:spacing w:after="0" w:line="276" w:lineRule="auto"/>
        <w:ind w:right="-93"/>
        <w:rPr>
          <w:rFonts w:eastAsia="Calibri" w:cs="Tahoma"/>
          <w:bCs/>
          <w:color w:val="auto"/>
          <w:lang w:val="es-ES"/>
        </w:rPr>
      </w:pPr>
      <w:r w:rsidRPr="00940373">
        <w:rPr>
          <w:rFonts w:ascii="Times New Roman" w:eastAsia="Times New Roman" w:hAnsi="Times New Roman" w:cs="Times New Roman"/>
          <w:noProof/>
          <w:color w:val="auto"/>
          <w:sz w:val="20"/>
          <w:szCs w:val="20"/>
        </w:rPr>
        <mc:AlternateContent>
          <mc:Choice Requires="wps">
            <w:drawing>
              <wp:anchor distT="0" distB="0" distL="114300" distR="114300" simplePos="0" relativeHeight="251663360" behindDoc="0" locked="0" layoutInCell="1" allowOverlap="1" wp14:anchorId="5BFEFB05" wp14:editId="5FF0E3B4">
                <wp:simplePos x="0" y="0"/>
                <wp:positionH relativeFrom="margin">
                  <wp:posOffset>1623695</wp:posOffset>
                </wp:positionH>
                <wp:positionV relativeFrom="paragraph">
                  <wp:posOffset>28575</wp:posOffset>
                </wp:positionV>
                <wp:extent cx="2400300" cy="171450"/>
                <wp:effectExtent l="19050" t="19050" r="19050" b="19050"/>
                <wp:wrapNone/>
                <wp:docPr id="6" name="Rectángulo 6"/>
                <wp:cNvGraphicFramePr/>
                <a:graphic xmlns:a="http://schemas.openxmlformats.org/drawingml/2006/main">
                  <a:graphicData uri="http://schemas.microsoft.com/office/word/2010/wordprocessingShape">
                    <wps:wsp>
                      <wps:cNvSpPr/>
                      <wps:spPr>
                        <a:xfrm>
                          <a:off x="0" y="0"/>
                          <a:ext cx="2400300" cy="17145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60B0DE6D" id="Rectángulo 6" o:spid="_x0000_s1026" style="position:absolute;margin-left:127.85pt;margin-top:2.25pt;width:189pt;height:13.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" filled="f" strokecolor="windowText" strokeweight="2.25pt">
                <w10:wrap anchorx="margin"/>
              </v:rect>
            </w:pict>
          </mc:Fallback>
        </mc:AlternateContent>
      </w:r>
      <w:r w:rsidRPr="00940373">
        <w:rPr>
          <w:rFonts w:ascii="Times New Roman" w:eastAsia="Times New Roman" w:hAnsi="Times New Roman" w:cs="Times New Roman"/>
          <w:noProof/>
          <w:color w:val="auto"/>
          <w:sz w:val="20"/>
          <w:szCs w:val="20"/>
        </w:rPr>
        <w:drawing>
          <wp:inline distT="0" distB="0" distL="0" distR="0" wp14:anchorId="375C5804" wp14:editId="6CA9734F">
            <wp:extent cx="5705475" cy="685800"/>
            <wp:effectExtent l="0" t="0" r="9525" b="0"/>
            <wp:docPr id="573032319" name="Imagen 573032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47445"/>
                    <a:stretch/>
                  </pic:blipFill>
                  <pic:spPr bwMode="auto">
                    <a:xfrm>
                      <a:off x="0" y="0"/>
                      <a:ext cx="5705475" cy="685800"/>
                    </a:xfrm>
                    <a:prstGeom prst="rect">
                      <a:avLst/>
                    </a:prstGeom>
                    <a:ln>
                      <a:noFill/>
                    </a:ln>
                    <a:extLst>
                      <a:ext uri="{53640926-AAD7-44D8-BBD7-CCE9431645EC}">
                        <a14:shadowObscured xmlns:a14="http://schemas.microsoft.com/office/drawing/2010/main"/>
                      </a:ext>
                    </a:extLst>
                  </pic:spPr>
                </pic:pic>
              </a:graphicData>
            </a:graphic>
          </wp:inline>
        </w:drawing>
      </w:r>
    </w:p>
    <w:p w14:paraId="1F4BFEAE" w14:textId="77777777" w:rsidR="005D0D88" w:rsidRPr="00940373" w:rsidRDefault="005D0D88" w:rsidP="005D0D88">
      <w:pPr>
        <w:spacing w:after="0" w:line="276" w:lineRule="auto"/>
        <w:ind w:right="-93"/>
        <w:rPr>
          <w:rFonts w:eastAsia="Calibri" w:cs="Tahoma"/>
          <w:bCs/>
          <w:color w:val="auto"/>
          <w:lang w:val="es-ES"/>
        </w:rPr>
      </w:pPr>
    </w:p>
    <w:p w14:paraId="417616BA" w14:textId="77777777" w:rsidR="005D0D88" w:rsidRPr="00940373" w:rsidRDefault="005D0D88" w:rsidP="005D0D88">
      <w:pPr>
        <w:spacing w:after="0" w:line="276" w:lineRule="auto"/>
        <w:ind w:right="-93"/>
        <w:rPr>
          <w:rFonts w:eastAsia="Calibri" w:cs="Tahoma"/>
          <w:bCs/>
          <w:color w:val="auto"/>
          <w:highlight w:val="yellow"/>
          <w:lang w:val="es-ES"/>
        </w:rPr>
      </w:pPr>
      <w:r w:rsidRPr="00940373">
        <w:rPr>
          <w:rFonts w:ascii="Times New Roman" w:eastAsia="Times New Roman" w:hAnsi="Times New Roman" w:cs="Times New Roman"/>
          <w:noProof/>
          <w:color w:val="auto"/>
          <w:sz w:val="20"/>
          <w:szCs w:val="20"/>
        </w:rPr>
        <mc:AlternateContent>
          <mc:Choice Requires="wps">
            <w:drawing>
              <wp:anchor distT="0" distB="0" distL="114300" distR="114300" simplePos="0" relativeHeight="251664384" behindDoc="0" locked="0" layoutInCell="1" allowOverlap="1" wp14:anchorId="3BB98015" wp14:editId="56736C23">
                <wp:simplePos x="0" y="0"/>
                <wp:positionH relativeFrom="margin">
                  <wp:posOffset>1601470</wp:posOffset>
                </wp:positionH>
                <wp:positionV relativeFrom="paragraph">
                  <wp:posOffset>93980</wp:posOffset>
                </wp:positionV>
                <wp:extent cx="2400300" cy="171450"/>
                <wp:effectExtent l="19050" t="19050" r="19050" b="19050"/>
                <wp:wrapNone/>
                <wp:docPr id="7" name="Rectángulo 7"/>
                <wp:cNvGraphicFramePr/>
                <a:graphic xmlns:a="http://schemas.openxmlformats.org/drawingml/2006/main">
                  <a:graphicData uri="http://schemas.microsoft.com/office/word/2010/wordprocessingShape">
                    <wps:wsp>
                      <wps:cNvSpPr/>
                      <wps:spPr>
                        <a:xfrm>
                          <a:off x="0" y="0"/>
                          <a:ext cx="2400300" cy="17145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40505945" id="Rectángulo 7" o:spid="_x0000_s1026" style="position:absolute;margin-left:126.1pt;margin-top:7.4pt;width:189pt;height:13.5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" filled="f" strokecolor="windowText" strokeweight="2.25pt">
                <w10:wrap anchorx="margin"/>
              </v:rect>
            </w:pict>
          </mc:Fallback>
        </mc:AlternateContent>
      </w:r>
      <w:r w:rsidRPr="00940373">
        <w:rPr>
          <w:rFonts w:ascii="Times New Roman" w:eastAsia="Times New Roman" w:hAnsi="Times New Roman" w:cs="Times New Roman"/>
          <w:noProof/>
          <w:color w:val="auto"/>
          <w:sz w:val="20"/>
          <w:szCs w:val="20"/>
        </w:rPr>
        <w:drawing>
          <wp:inline distT="0" distB="0" distL="0" distR="0" wp14:anchorId="250851A2" wp14:editId="4B30824D">
            <wp:extent cx="5705475" cy="647700"/>
            <wp:effectExtent l="0" t="0" r="9525" b="0"/>
            <wp:docPr id="514104825" name="Imagen 514104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51079"/>
                    <a:stretch/>
                  </pic:blipFill>
                  <pic:spPr bwMode="auto">
                    <a:xfrm>
                      <a:off x="0" y="0"/>
                      <a:ext cx="5705475" cy="647700"/>
                    </a:xfrm>
                    <a:prstGeom prst="rect">
                      <a:avLst/>
                    </a:prstGeom>
                    <a:ln>
                      <a:noFill/>
                    </a:ln>
                    <a:extLst>
                      <a:ext uri="{53640926-AAD7-44D8-BBD7-CCE9431645EC}">
                        <a14:shadowObscured xmlns:a14="http://schemas.microsoft.com/office/drawing/2010/main"/>
                      </a:ext>
                    </a:extLst>
                  </pic:spPr>
                </pic:pic>
              </a:graphicData>
            </a:graphic>
          </wp:inline>
        </w:drawing>
      </w:r>
    </w:p>
    <w:p w14:paraId="6A52BC47" w14:textId="77777777" w:rsidR="005D0D88" w:rsidRPr="00496B03" w:rsidRDefault="005D0D88" w:rsidP="005D0D88">
      <w:pPr>
        <w:spacing w:after="0" w:line="360" w:lineRule="auto"/>
        <w:rPr>
          <w:rFonts w:eastAsia="Calibri" w:cs="Tahoma"/>
          <w:bCs/>
          <w:color w:val="auto"/>
        </w:rPr>
      </w:pPr>
    </w:p>
    <w:p w14:paraId="030DE06A" w14:textId="77777777" w:rsidR="005D0D88" w:rsidRPr="00496B03" w:rsidRDefault="005D0D88" w:rsidP="005D0D88">
      <w:pPr>
        <w:spacing w:after="0" w:line="360" w:lineRule="auto"/>
        <w:rPr>
          <w:rFonts w:eastAsia="Calibri" w:cs="Tahoma"/>
          <w:bCs/>
          <w:color w:val="auto"/>
        </w:rPr>
      </w:pPr>
      <w:r w:rsidRPr="00496B03">
        <w:rPr>
          <w:rFonts w:eastAsia="Calibri" w:cs="Tahoma"/>
          <w:bCs/>
          <w:color w:val="auto"/>
        </w:rPr>
        <w:t>De tales circunstancias, dicho dato guarda la naturaleza de pública, pues permite identificar, que la ubicación de la construcción, corresponde con la licencia o permiso y que está debidamente registrada ante la autoridad Municipal; por lo que se trata de un dato de acceso a público; por lo que, no resulta procedente, la clasificación, en términos del artículo 143, fracción I de la Ley de Transparencia y Acceso a la Información Pública del Estado de México y Municipios.</w:t>
      </w:r>
    </w:p>
    <w:p w14:paraId="770035D4" w14:textId="77777777" w:rsidR="005D0D88" w:rsidRPr="00496B03" w:rsidRDefault="005D0D88" w:rsidP="005D0D88">
      <w:pPr>
        <w:numPr>
          <w:ilvl w:val="0"/>
          <w:numId w:val="25"/>
        </w:numPr>
        <w:spacing w:after="0" w:line="360" w:lineRule="auto"/>
        <w:jc w:val="left"/>
        <w:rPr>
          <w:rFonts w:eastAsia="Calibri" w:cs="Tahoma"/>
          <w:b/>
          <w:color w:val="auto"/>
        </w:rPr>
      </w:pPr>
      <w:r w:rsidRPr="00496B03">
        <w:rPr>
          <w:rFonts w:eastAsia="Calibri" w:cs="Tahoma"/>
          <w:b/>
          <w:color w:val="auto"/>
        </w:rPr>
        <w:t>Domicilio Particular.</w:t>
      </w:r>
    </w:p>
    <w:p w14:paraId="5E1E1068" w14:textId="77777777" w:rsidR="005D0D88" w:rsidRPr="00496B03" w:rsidRDefault="005D0D88" w:rsidP="005D0D88">
      <w:pPr>
        <w:spacing w:after="0" w:line="360" w:lineRule="auto"/>
        <w:rPr>
          <w:rFonts w:eastAsia="Calibri" w:cs="Tahoma"/>
          <w:bCs/>
          <w:color w:val="auto"/>
        </w:rPr>
      </w:pPr>
    </w:p>
    <w:p w14:paraId="1098202A" w14:textId="77777777" w:rsidR="005D0D88" w:rsidRPr="00940373" w:rsidRDefault="005D0D88" w:rsidP="005D0D88">
      <w:pPr>
        <w:spacing w:after="0" w:line="360" w:lineRule="auto"/>
        <w:rPr>
          <w:rFonts w:eastAsia="Calibri" w:cs="Tahoma"/>
          <w:bCs/>
          <w:color w:val="auto"/>
        </w:rPr>
      </w:pPr>
      <w:r w:rsidRPr="00940373">
        <w:rPr>
          <w:rFonts w:eastAsia="Calibri" w:cs="Tahoma"/>
          <w:bCs/>
          <w:color w:val="auto"/>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3716A4CE" w14:textId="77777777" w:rsidR="005D0D88" w:rsidRPr="00940373" w:rsidRDefault="005D0D88" w:rsidP="005D0D88">
      <w:pPr>
        <w:spacing w:after="0" w:line="360" w:lineRule="auto"/>
        <w:rPr>
          <w:rFonts w:eastAsia="Calibri" w:cs="Tahoma"/>
          <w:bCs/>
          <w:color w:val="auto"/>
        </w:rPr>
      </w:pPr>
    </w:p>
    <w:p w14:paraId="7ABD397D" w14:textId="77777777" w:rsidR="005D0D88" w:rsidRPr="00940373" w:rsidRDefault="005D0D88" w:rsidP="005D0D88">
      <w:pPr>
        <w:spacing w:after="0" w:line="360" w:lineRule="auto"/>
        <w:rPr>
          <w:rFonts w:eastAsia="Calibri" w:cs="Tahoma"/>
          <w:bCs/>
          <w:color w:val="auto"/>
        </w:rPr>
      </w:pPr>
      <w:r w:rsidRPr="00940373">
        <w:rPr>
          <w:rFonts w:eastAsia="Calibri" w:cs="Tahoma"/>
          <w:bCs/>
          <w:color w:val="auto"/>
        </w:rPr>
        <w:t>De la misma manera, lo establece el artículo 29 del Código Civil Federal, al precisar que el domicilio de personas físicas, es el lugar donde residen habitualmente, el lugar del centro principal de sus negocios, donde residan o el lugar donde se encuentren.</w:t>
      </w:r>
    </w:p>
    <w:p w14:paraId="48537BA0" w14:textId="77777777" w:rsidR="005D0D88" w:rsidRPr="00940373" w:rsidRDefault="005D0D88" w:rsidP="005D0D88">
      <w:pPr>
        <w:spacing w:after="0" w:line="360" w:lineRule="auto"/>
        <w:rPr>
          <w:rFonts w:eastAsia="Calibri" w:cs="Tahoma"/>
          <w:bCs/>
          <w:color w:val="auto"/>
        </w:rPr>
      </w:pPr>
    </w:p>
    <w:p w14:paraId="45BA95B2" w14:textId="77777777" w:rsidR="005D0D88" w:rsidRPr="00940373" w:rsidRDefault="005D0D88" w:rsidP="005D0D88">
      <w:pPr>
        <w:spacing w:after="0" w:line="360" w:lineRule="auto"/>
        <w:rPr>
          <w:rFonts w:eastAsia="Calibri" w:cs="Tahoma"/>
          <w:bCs/>
          <w:color w:val="auto"/>
        </w:rPr>
      </w:pPr>
      <w:r w:rsidRPr="00940373">
        <w:rPr>
          <w:rFonts w:eastAsia="Calibri" w:cs="Tahoma"/>
          <w:bCs/>
          <w:color w:val="auto"/>
        </w:rPr>
        <w:t>Como se observa,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14:paraId="220DAF13" w14:textId="77777777" w:rsidR="005D0D88" w:rsidRPr="00940373" w:rsidRDefault="005D0D88" w:rsidP="005D0D88">
      <w:pPr>
        <w:spacing w:after="0" w:line="360" w:lineRule="auto"/>
        <w:rPr>
          <w:rFonts w:eastAsia="Calibri" w:cs="Tahoma"/>
          <w:bCs/>
          <w:color w:val="auto"/>
        </w:rPr>
      </w:pPr>
    </w:p>
    <w:p w14:paraId="19534082" w14:textId="77777777" w:rsidR="005D0D88" w:rsidRPr="00496B03" w:rsidRDefault="005D0D88" w:rsidP="005D0D88">
      <w:pPr>
        <w:numPr>
          <w:ilvl w:val="0"/>
          <w:numId w:val="24"/>
        </w:numPr>
        <w:spacing w:after="0" w:line="360" w:lineRule="auto"/>
        <w:ind w:right="-93"/>
        <w:contextualSpacing/>
        <w:jc w:val="left"/>
        <w:rPr>
          <w:rFonts w:eastAsia="Times New Roman" w:cs="Times New Roman"/>
          <w:b/>
          <w:color w:val="auto"/>
          <w:sz w:val="24"/>
          <w:lang w:val="es-ES_tradnl" w:eastAsia="es-ES"/>
        </w:rPr>
      </w:pPr>
      <w:r w:rsidRPr="00496B03">
        <w:rPr>
          <w:rFonts w:eastAsia="Times New Roman" w:cs="Times New Roman"/>
          <w:b/>
          <w:color w:val="auto"/>
          <w:sz w:val="24"/>
          <w:lang w:val="es-ES_tradnl" w:eastAsia="es-ES"/>
        </w:rPr>
        <w:t xml:space="preserve">Clave catastral </w:t>
      </w:r>
    </w:p>
    <w:p w14:paraId="29DE8CC0" w14:textId="77777777" w:rsidR="005D0D88" w:rsidRPr="00496B03" w:rsidRDefault="005D0D88" w:rsidP="005D0D88">
      <w:pPr>
        <w:spacing w:after="0" w:line="360" w:lineRule="auto"/>
        <w:ind w:right="-93"/>
        <w:rPr>
          <w:rFonts w:eastAsia="Times New Roman" w:cs="Times New Roman"/>
          <w:b/>
          <w:color w:val="auto"/>
          <w:sz w:val="20"/>
          <w:lang w:eastAsia="es-ES"/>
        </w:rPr>
      </w:pPr>
    </w:p>
    <w:p w14:paraId="59CA6D34" w14:textId="77777777" w:rsidR="005D0D88" w:rsidRPr="00496B03" w:rsidRDefault="005D0D88" w:rsidP="005D0D88">
      <w:pPr>
        <w:spacing w:after="0" w:line="360" w:lineRule="auto"/>
        <w:ind w:right="-93"/>
        <w:rPr>
          <w:rFonts w:eastAsia="Calibri" w:cs="Tahoma"/>
          <w:bCs/>
          <w:color w:val="auto"/>
          <w:lang w:val="es-ES"/>
        </w:rPr>
      </w:pPr>
      <w:r w:rsidRPr="00496B03">
        <w:rPr>
          <w:rFonts w:eastAsia="Calibri" w:cs="Tahoma"/>
          <w:bCs/>
          <w:color w:val="auto"/>
          <w:lang w:val="es-ES"/>
        </w:rPr>
        <w:t>Por cuanto hace a la clave catastral; el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14:paraId="45CC3A5C" w14:textId="77777777" w:rsidR="005D0D88" w:rsidRPr="00496B03" w:rsidRDefault="005D0D88" w:rsidP="005D0D88">
      <w:pPr>
        <w:spacing w:after="0" w:line="360" w:lineRule="auto"/>
        <w:ind w:right="-93"/>
        <w:rPr>
          <w:rFonts w:eastAsia="Calibri" w:cs="Tahoma"/>
          <w:bCs/>
          <w:color w:val="auto"/>
          <w:lang w:val="es-ES"/>
        </w:rPr>
      </w:pPr>
    </w:p>
    <w:p w14:paraId="46E7A66D" w14:textId="77777777" w:rsidR="005D0D88" w:rsidRPr="00496B03" w:rsidRDefault="005D0D88" w:rsidP="005D0D88">
      <w:pPr>
        <w:spacing w:after="0" w:line="360" w:lineRule="auto"/>
        <w:ind w:right="-93"/>
        <w:rPr>
          <w:rFonts w:eastAsia="Calibri" w:cs="Tahoma"/>
          <w:bCs/>
          <w:color w:val="auto"/>
          <w:lang w:val="es-ES"/>
        </w:rPr>
      </w:pPr>
      <w:r w:rsidRPr="00496B03">
        <w:rPr>
          <w:rFonts w:eastAsia="Calibri" w:cs="Tahoma"/>
          <w:bCs/>
          <w:color w:val="auto"/>
          <w:lang w:val="es-ES"/>
        </w:rPr>
        <w:t>El diccionario de Datos catastrales Escala 1:1000 del Instituto Nacional de Estadística y Geografía (INEGI), contempla en su glosario la definición de clave catastral, la cual, es la siguiente:</w:t>
      </w:r>
    </w:p>
    <w:p w14:paraId="3FE8769E" w14:textId="77777777" w:rsidR="005D0D88" w:rsidRPr="00496B03" w:rsidRDefault="005D0D88" w:rsidP="005D0D88">
      <w:pPr>
        <w:spacing w:after="0" w:line="360" w:lineRule="auto"/>
        <w:ind w:right="-93"/>
        <w:rPr>
          <w:rFonts w:eastAsia="Calibri" w:cs="Tahoma"/>
          <w:bCs/>
          <w:color w:val="auto"/>
          <w:lang w:val="es-ES"/>
        </w:rPr>
      </w:pPr>
    </w:p>
    <w:p w14:paraId="541B6F21" w14:textId="77777777" w:rsidR="005D0D88" w:rsidRPr="00496B03" w:rsidRDefault="005D0D88" w:rsidP="005D0D88">
      <w:pPr>
        <w:spacing w:after="0" w:line="360" w:lineRule="auto"/>
        <w:ind w:left="567" w:right="539"/>
        <w:rPr>
          <w:rFonts w:eastAsia="Calibri" w:cs="Tahoma"/>
          <w:bCs/>
          <w:i/>
          <w:color w:val="auto"/>
          <w:sz w:val="20"/>
          <w:lang w:val="es-ES"/>
        </w:rPr>
      </w:pPr>
      <w:r w:rsidRPr="00496B03">
        <w:rPr>
          <w:rFonts w:eastAsia="Calibri" w:cs="Tahoma"/>
          <w:bCs/>
          <w:i/>
          <w:color w:val="auto"/>
          <w:sz w:val="20"/>
          <w:lang w:val="es-ES"/>
        </w:rPr>
        <w:t>“</w:t>
      </w:r>
      <w:r w:rsidRPr="00496B03">
        <w:rPr>
          <w:rFonts w:eastAsia="Calibri" w:cs="Tahoma"/>
          <w:b/>
          <w:bCs/>
          <w:i/>
          <w:color w:val="auto"/>
          <w:sz w:val="20"/>
          <w:lang w:val="es-ES"/>
        </w:rPr>
        <w:t xml:space="preserve">Clave catastral: </w:t>
      </w:r>
      <w:r w:rsidRPr="00496B03">
        <w:rPr>
          <w:rFonts w:eastAsia="Calibri" w:cs="Tahoma"/>
          <w:bCs/>
          <w:i/>
          <w:color w:val="auto"/>
          <w:sz w:val="20"/>
          <w:lang w:val="es-ES"/>
        </w:rPr>
        <w:t>El código que identifica al predio de forma única para su localización geográfica, mismo que es asignado a cada uno de ellos en el momento de su inscripción en el padrón catastral por las Unidades del estado con atribuciones catastrales”</w:t>
      </w:r>
    </w:p>
    <w:p w14:paraId="3B8315C3" w14:textId="77777777" w:rsidR="005D0D88" w:rsidRPr="00496B03" w:rsidRDefault="005D0D88" w:rsidP="005D0D88">
      <w:pPr>
        <w:spacing w:after="0" w:line="360" w:lineRule="auto"/>
        <w:ind w:right="-93"/>
        <w:rPr>
          <w:rFonts w:eastAsia="Calibri" w:cs="Tahoma"/>
          <w:bCs/>
          <w:color w:val="auto"/>
          <w:lang w:val="es-ES"/>
        </w:rPr>
      </w:pPr>
    </w:p>
    <w:p w14:paraId="2EE6AC56" w14:textId="77777777" w:rsidR="005D0D88" w:rsidRPr="00496B03" w:rsidRDefault="005D0D88" w:rsidP="005D0D88">
      <w:pPr>
        <w:spacing w:after="0" w:line="360" w:lineRule="auto"/>
        <w:ind w:right="-93"/>
        <w:rPr>
          <w:rFonts w:eastAsia="Calibri" w:cs="Tahoma"/>
          <w:bCs/>
          <w:color w:val="auto"/>
          <w:lang w:val="es-ES"/>
        </w:rPr>
      </w:pPr>
      <w:r w:rsidRPr="00496B03">
        <w:rPr>
          <w:rFonts w:eastAsia="Calibri" w:cs="Tahoma"/>
          <w:bCs/>
          <w:color w:val="auto"/>
          <w:lang w:val="es-ES"/>
        </w:rPr>
        <w:t>Así mismo, dicho diccionario estipula dos tipos de Claves catastrales, siendo estas la Estándar y la Original, cuyo diccionario de datos catastrales Escala 1:1000 del INEGI, las define como</w:t>
      </w:r>
    </w:p>
    <w:p w14:paraId="626E388E" w14:textId="77777777" w:rsidR="005D0D88" w:rsidRPr="00496B03" w:rsidRDefault="005D0D88" w:rsidP="005D0D88">
      <w:pPr>
        <w:spacing w:after="0" w:line="360" w:lineRule="auto"/>
        <w:ind w:right="-93"/>
        <w:rPr>
          <w:rFonts w:eastAsia="Calibri" w:cs="Tahoma"/>
          <w:bCs/>
          <w:color w:val="auto"/>
          <w:lang w:val="es-ES"/>
        </w:rPr>
      </w:pPr>
    </w:p>
    <w:p w14:paraId="397C8D35" w14:textId="77777777" w:rsidR="005D0D88" w:rsidRPr="00496B03" w:rsidRDefault="005D0D88" w:rsidP="005D0D88">
      <w:pPr>
        <w:spacing w:after="0" w:line="360" w:lineRule="auto"/>
        <w:ind w:left="567" w:right="539"/>
        <w:rPr>
          <w:rFonts w:eastAsia="Calibri" w:cs="Tahoma"/>
          <w:bCs/>
          <w:i/>
          <w:color w:val="auto"/>
          <w:sz w:val="20"/>
          <w:lang w:val="es-ES"/>
        </w:rPr>
      </w:pPr>
      <w:r w:rsidRPr="00496B03">
        <w:rPr>
          <w:rFonts w:eastAsia="Calibri" w:cs="Tahoma"/>
          <w:bCs/>
          <w:i/>
          <w:color w:val="auto"/>
          <w:sz w:val="20"/>
          <w:lang w:val="es-ES"/>
        </w:rPr>
        <w:t>“</w:t>
      </w:r>
      <w:r w:rsidRPr="00496B03">
        <w:rPr>
          <w:rFonts w:eastAsia="Calibri" w:cs="Tahoma"/>
          <w:b/>
          <w:bCs/>
          <w:i/>
          <w:color w:val="auto"/>
          <w:sz w:val="20"/>
          <w:lang w:val="es-ES"/>
        </w:rPr>
        <w:t xml:space="preserve">CLAVE CATASTRAL ESTÁNDAR: </w:t>
      </w:r>
      <w:r w:rsidRPr="00496B03">
        <w:rPr>
          <w:rFonts w:eastAsia="Calibri" w:cs="Tahoma"/>
          <w:bCs/>
          <w:i/>
          <w:color w:val="auto"/>
          <w:sz w:val="20"/>
          <w:lang w:val="es-ES"/>
        </w:rPr>
        <w:t>Código de 31 caracteres conformado por elementos administrativos y que identifica al objeto espacial en forma única para su localización, compuesto por: Estado (2) + Región Catastral (3) + Municipio (3) + Zona Catastral (2) + Localidad (4) + Sector Catastral (3) + Manzana(3) + Predio (5) +  Condominio: edificio (2) y unidad (4).</w:t>
      </w:r>
    </w:p>
    <w:p w14:paraId="7A41FA20" w14:textId="77777777" w:rsidR="005D0D88" w:rsidRPr="00496B03" w:rsidRDefault="005D0D88" w:rsidP="005D0D88">
      <w:pPr>
        <w:spacing w:after="0" w:line="360" w:lineRule="auto"/>
        <w:ind w:left="567" w:right="539"/>
        <w:rPr>
          <w:rFonts w:eastAsia="Calibri" w:cs="Tahoma"/>
          <w:bCs/>
          <w:i/>
          <w:color w:val="auto"/>
          <w:sz w:val="20"/>
          <w:lang w:val="es-ES"/>
        </w:rPr>
      </w:pPr>
    </w:p>
    <w:p w14:paraId="50258F97" w14:textId="77777777" w:rsidR="005D0D88" w:rsidRPr="00496B03" w:rsidRDefault="005D0D88" w:rsidP="005D0D88">
      <w:pPr>
        <w:spacing w:after="0" w:line="360" w:lineRule="auto"/>
        <w:ind w:left="567" w:right="539"/>
        <w:rPr>
          <w:rFonts w:eastAsia="Calibri" w:cs="Tahoma"/>
          <w:b/>
          <w:bCs/>
          <w:i/>
          <w:color w:val="auto"/>
          <w:sz w:val="20"/>
          <w:lang w:val="es-ES"/>
        </w:rPr>
      </w:pPr>
      <w:r w:rsidRPr="00496B03">
        <w:rPr>
          <w:rFonts w:eastAsia="Calibri" w:cs="Tahoma"/>
          <w:b/>
          <w:bCs/>
          <w:i/>
          <w:color w:val="auto"/>
          <w:sz w:val="20"/>
          <w:lang w:val="es-ES"/>
        </w:rPr>
        <w:t xml:space="preserve">CLAVE CATASTRAL ORIGINAL: </w:t>
      </w:r>
      <w:r w:rsidRPr="00496B03">
        <w:rPr>
          <w:rFonts w:eastAsia="Calibri" w:cs="Tahoma"/>
          <w:bCs/>
          <w:i/>
          <w:color w:val="auto"/>
          <w:sz w:val="20"/>
          <w:lang w:val="es-ES"/>
        </w:rPr>
        <w:t>Código que identifica al objeto espacial el cual es asignado, por el Catastro Estatal, Municipal o por el registro Agrario Nacional”</w:t>
      </w:r>
      <w:r w:rsidRPr="00496B03">
        <w:rPr>
          <w:rFonts w:eastAsia="Calibri" w:cs="Tahoma"/>
          <w:b/>
          <w:bCs/>
          <w:i/>
          <w:color w:val="auto"/>
          <w:sz w:val="20"/>
          <w:lang w:val="es-ES"/>
        </w:rPr>
        <w:t xml:space="preserve"> </w:t>
      </w:r>
    </w:p>
    <w:p w14:paraId="4C027855" w14:textId="77777777" w:rsidR="005D0D88" w:rsidRPr="00496B03" w:rsidRDefault="005D0D88" w:rsidP="005D0D88">
      <w:pPr>
        <w:spacing w:after="0" w:line="360" w:lineRule="auto"/>
        <w:ind w:right="-93"/>
        <w:rPr>
          <w:rFonts w:eastAsia="Calibri" w:cs="Tahoma"/>
          <w:bCs/>
          <w:color w:val="auto"/>
          <w:lang w:val="es-ES"/>
        </w:rPr>
      </w:pPr>
    </w:p>
    <w:p w14:paraId="15CF44F9" w14:textId="77777777" w:rsidR="005D0D88" w:rsidRPr="00496B03" w:rsidRDefault="005D0D88" w:rsidP="005D0D88">
      <w:pPr>
        <w:spacing w:after="0" w:line="360" w:lineRule="auto"/>
        <w:ind w:right="-93"/>
        <w:rPr>
          <w:rFonts w:eastAsia="Calibri" w:cs="Tahoma"/>
          <w:b/>
          <w:bCs/>
          <w:color w:val="auto"/>
          <w:lang w:val="es-ES"/>
        </w:rPr>
      </w:pPr>
      <w:r w:rsidRPr="00496B03">
        <w:rPr>
          <w:rFonts w:eastAsia="Calibri" w:cs="Tahoma"/>
          <w:bCs/>
          <w:color w:val="auto"/>
          <w:lang w:val="es-ES"/>
        </w:rPr>
        <w:t xml:space="preserve">Conforme a lo anterior, se advierte que el dato en comento, hace referencia a un predio determinado, que lo hace identificable mediante su localización geográfica e inscripción al padrón catastral de cada entidad federativa, por lo que pudiera revelar información inherente al patrimonio del propietario de dicho predio o inmueble, por lo que de igual manera </w:t>
      </w:r>
      <w:r w:rsidRPr="00496B03">
        <w:rPr>
          <w:rFonts w:eastAsia="Calibri" w:cs="Tahoma"/>
          <w:b/>
          <w:bCs/>
          <w:color w:val="auto"/>
          <w:lang w:val="es-ES"/>
        </w:rPr>
        <w:t>procede a clasificar dicho dato como confidencial.</w:t>
      </w:r>
    </w:p>
    <w:p w14:paraId="55A53A81" w14:textId="77777777" w:rsidR="005D0D88" w:rsidRDefault="005D0D88" w:rsidP="00CA7740">
      <w:pPr>
        <w:spacing w:after="0" w:line="360" w:lineRule="auto"/>
        <w:contextualSpacing/>
        <w:rPr>
          <w:rFonts w:cs="Tahoma"/>
          <w:bCs/>
        </w:rPr>
      </w:pPr>
    </w:p>
    <w:p w14:paraId="6CA442DA" w14:textId="17699628" w:rsidR="00DC6DC9" w:rsidRDefault="002613CD" w:rsidP="00CA7740">
      <w:pPr>
        <w:spacing w:after="0" w:line="360" w:lineRule="auto"/>
        <w:rPr>
          <w:rFonts w:eastAsia="Calibri" w:cs="Tahoma"/>
          <w:bCs/>
          <w:iCs/>
          <w:color w:val="000000"/>
          <w:lang w:val="es-ES"/>
        </w:rPr>
      </w:pPr>
      <w:r>
        <w:rPr>
          <w:rFonts w:eastAsia="Calibri" w:cs="Tahoma"/>
          <w:bCs/>
          <w:iCs/>
          <w:color w:val="000000"/>
        </w:rPr>
        <w:t xml:space="preserve">Así, este Instituto considera que el Sujeto Obligado </w:t>
      </w:r>
      <w:r w:rsidR="00DC6DC9" w:rsidRPr="00FF2745">
        <w:rPr>
          <w:rFonts w:eastAsia="Calibri" w:cs="Tahoma"/>
          <w:bCs/>
          <w:iCs/>
          <w:color w:val="000000"/>
          <w:lang w:val="es-ES_tradnl"/>
        </w:rPr>
        <w:t>deberá elaborar la versión pública respectiva; a</w:t>
      </w:r>
      <w:r w:rsidR="00DC6DC9" w:rsidRPr="00FF2745">
        <w:rPr>
          <w:rFonts w:eastAsia="Calibri" w:cs="Tahoma"/>
          <w:bCs/>
          <w:iCs/>
          <w:color w:val="000000"/>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w:t>
      </w:r>
      <w:r w:rsidR="00E20BE5">
        <w:rPr>
          <w:rFonts w:eastAsia="Calibri" w:cs="Tahoma"/>
          <w:bCs/>
          <w:iCs/>
          <w:color w:val="000000"/>
          <w:lang w:val="es-ES"/>
        </w:rPr>
        <w:t>o y motivando su clasificación.</w:t>
      </w:r>
    </w:p>
    <w:p w14:paraId="62DC416D" w14:textId="77777777" w:rsidR="002130F8" w:rsidRPr="00FF2745" w:rsidRDefault="002130F8" w:rsidP="00CA7740">
      <w:pPr>
        <w:spacing w:after="0" w:line="360" w:lineRule="auto"/>
        <w:rPr>
          <w:rFonts w:eastAsia="Calibri" w:cs="Tahoma"/>
          <w:bCs/>
          <w:iCs/>
          <w:color w:val="000000"/>
          <w:lang w:val="es-ES"/>
        </w:rPr>
      </w:pPr>
    </w:p>
    <w:p w14:paraId="74A5A312" w14:textId="0262E968" w:rsidR="00DC6DC9" w:rsidRPr="00FF2745" w:rsidRDefault="002613CD" w:rsidP="00CA7740">
      <w:pPr>
        <w:spacing w:after="0" w:line="360" w:lineRule="auto"/>
        <w:rPr>
          <w:rFonts w:cs="Tahoma"/>
          <w:bCs/>
          <w:iCs/>
          <w:lang w:val="es-ES"/>
        </w:rPr>
      </w:pPr>
      <w:r>
        <w:rPr>
          <w:rFonts w:cs="Tahoma"/>
          <w:bCs/>
          <w:iCs/>
          <w:lang w:val="es-ES"/>
        </w:rPr>
        <w:t>Además, se considera que pueden existir documentos clasificados en su totalidad, como lo es la identificación oficial, documentos que acreditan la propiedad de un inmueble, constancia de situación fiscal, planos entre otros, por lo que,</w:t>
      </w:r>
      <w:r w:rsidR="00DC6DC9" w:rsidRPr="00FF2745">
        <w:rPr>
          <w:rFonts w:cs="Tahoma"/>
          <w:bCs/>
          <w:iCs/>
          <w:lang w:val="es-ES"/>
        </w:rPr>
        <w:t xml:space="preserve"> el Sujeto Obligado deberá seguir el procedimiento establecido en el artículo 168 de dicho ordenamiento jurídico; esto es, emitir el Acuerdo, por parte del Comité de Transparencia, donde confirme la clasificación de los datos</w:t>
      </w:r>
      <w:r>
        <w:rPr>
          <w:rFonts w:cs="Tahoma"/>
          <w:bCs/>
          <w:iCs/>
          <w:lang w:val="es-ES"/>
        </w:rPr>
        <w:t xml:space="preserve"> o documentos</w:t>
      </w:r>
      <w:r w:rsidR="00DC6DC9" w:rsidRPr="00FF2745">
        <w:rPr>
          <w:rFonts w:cs="Tahoma"/>
          <w:bCs/>
          <w:iCs/>
          <w:lang w:val="es-ES"/>
        </w:rPr>
        <w:t>, fundando y motivando la clasificación.</w:t>
      </w:r>
    </w:p>
    <w:p w14:paraId="61B9B9E4" w14:textId="77777777" w:rsidR="004A7E8F" w:rsidRDefault="004A7E8F" w:rsidP="00CA7740">
      <w:pPr>
        <w:spacing w:after="0" w:line="360" w:lineRule="auto"/>
        <w:rPr>
          <w:color w:val="FF0000"/>
        </w:rPr>
      </w:pPr>
    </w:p>
    <w:p w14:paraId="269E772A" w14:textId="77777777" w:rsidR="00023BBD" w:rsidRPr="004B0B23" w:rsidRDefault="00023BBD" w:rsidP="00CA7740">
      <w:pPr>
        <w:pStyle w:val="Ttulo2"/>
        <w:spacing w:before="0" w:after="0" w:line="360" w:lineRule="auto"/>
        <w:rPr>
          <w:color w:val="auto"/>
          <w:sz w:val="22"/>
          <w:szCs w:val="22"/>
        </w:rPr>
      </w:pPr>
      <w:bookmarkStart w:id="29" w:name="_Toc198156991"/>
      <w:bookmarkStart w:id="30" w:name="_Toc223618931"/>
      <w:r w:rsidRPr="004B0B23">
        <w:rPr>
          <w:color w:val="auto"/>
          <w:sz w:val="22"/>
          <w:szCs w:val="22"/>
        </w:rPr>
        <w:t>SEXTO. Decisión</w:t>
      </w:r>
      <w:bookmarkEnd w:id="29"/>
      <w:bookmarkEnd w:id="30"/>
    </w:p>
    <w:p w14:paraId="284E5323" w14:textId="77777777" w:rsidR="00023BBD" w:rsidRPr="00B2261F" w:rsidRDefault="00023BBD" w:rsidP="00CA7740">
      <w:pPr>
        <w:spacing w:after="0" w:line="360" w:lineRule="auto"/>
        <w:contextualSpacing/>
        <w:rPr>
          <w:rFonts w:eastAsia="Calibri" w:cs="Tahoma"/>
          <w:b/>
          <w:color w:val="FF0000"/>
        </w:rPr>
      </w:pPr>
    </w:p>
    <w:p w14:paraId="5B09EF77" w14:textId="31C87E02" w:rsidR="00B03A57" w:rsidRPr="004B0B23" w:rsidRDefault="00B03A57" w:rsidP="00CA7740">
      <w:pPr>
        <w:spacing w:after="0" w:line="360" w:lineRule="auto"/>
        <w:rPr>
          <w:rFonts w:cs="Tahoma"/>
          <w:color w:val="auto"/>
        </w:rPr>
      </w:pPr>
      <w:r w:rsidRPr="004B0B23">
        <w:rPr>
          <w:rFonts w:cs="Tahoma"/>
          <w:color w:val="auto"/>
        </w:rPr>
        <w:t xml:space="preserve">Con fundamento en el artículo 186, fracción III, de la Ley de Transparencia y Acceso a la Información Pública del Estado de México y Municipios, este Instituto considera procedente </w:t>
      </w:r>
      <w:r w:rsidR="00F87470">
        <w:rPr>
          <w:b/>
          <w:bCs/>
          <w:color w:val="auto"/>
        </w:rPr>
        <w:t>MODIFICAR</w:t>
      </w:r>
      <w:r w:rsidRPr="004B0B23">
        <w:rPr>
          <w:rFonts w:cs="Tahoma"/>
          <w:color w:val="auto"/>
        </w:rPr>
        <w:t xml:space="preserve"> la respuesta otorgada por el Sujeto Obligado a la solicitud de información </w:t>
      </w:r>
      <w:r w:rsidR="00F87470" w:rsidRPr="00F87470">
        <w:rPr>
          <w:rFonts w:cs="Tahoma"/>
          <w:color w:val="auto"/>
        </w:rPr>
        <w:t>00316/METEPEC/IP/2025</w:t>
      </w:r>
      <w:r w:rsidRPr="004B0B23">
        <w:rPr>
          <w:rFonts w:cs="Tahoma"/>
          <w:color w:val="auto"/>
        </w:rPr>
        <w:t>, a efecto de que entregue</w:t>
      </w:r>
      <w:r w:rsidR="002A6495" w:rsidRPr="004B0B23">
        <w:rPr>
          <w:rFonts w:cs="Tahoma"/>
          <w:color w:val="auto"/>
        </w:rPr>
        <w:t xml:space="preserve"> </w:t>
      </w:r>
      <w:r w:rsidRPr="004B0B23">
        <w:rPr>
          <w:rFonts w:cs="Tahoma"/>
          <w:color w:val="auto"/>
        </w:rPr>
        <w:t xml:space="preserve">la información </w:t>
      </w:r>
      <w:r w:rsidR="002D7CDE" w:rsidRPr="004B0B23">
        <w:rPr>
          <w:rFonts w:cs="Tahoma"/>
          <w:color w:val="auto"/>
        </w:rPr>
        <w:t>solicitada.</w:t>
      </w:r>
    </w:p>
    <w:p w14:paraId="3F85143D" w14:textId="77777777" w:rsidR="004B0B23" w:rsidRPr="00B2261F" w:rsidRDefault="004B0B23" w:rsidP="00CA7740">
      <w:pPr>
        <w:spacing w:after="0" w:line="360" w:lineRule="auto"/>
        <w:rPr>
          <w:rFonts w:cs="Tahoma"/>
          <w:color w:val="FF0000"/>
        </w:rPr>
      </w:pPr>
    </w:p>
    <w:p w14:paraId="7DE94745" w14:textId="243A0B20" w:rsidR="00023BBD" w:rsidRDefault="00023BBD" w:rsidP="00CA7740">
      <w:pPr>
        <w:spacing w:after="0" w:line="360" w:lineRule="auto"/>
        <w:contextualSpacing/>
        <w:rPr>
          <w:rFonts w:eastAsia="Calibri" w:cs="Tahoma"/>
          <w:b/>
          <w:bCs/>
          <w:color w:val="auto"/>
        </w:rPr>
      </w:pPr>
      <w:r w:rsidRPr="004B0B23">
        <w:rPr>
          <w:rFonts w:eastAsia="Calibri" w:cs="Tahoma"/>
          <w:b/>
          <w:bCs/>
          <w:color w:val="auto"/>
        </w:rPr>
        <w:t>Términos de la Resolución para conocimiento del Particular</w:t>
      </w:r>
    </w:p>
    <w:p w14:paraId="17A88BF2" w14:textId="77777777" w:rsidR="004A7E8F" w:rsidRPr="004B0B23" w:rsidRDefault="004A7E8F" w:rsidP="00CA7740">
      <w:pPr>
        <w:spacing w:after="0" w:line="360" w:lineRule="auto"/>
        <w:contextualSpacing/>
        <w:rPr>
          <w:rFonts w:eastAsia="Calibri" w:cs="Tahoma"/>
          <w:b/>
          <w:bCs/>
          <w:color w:val="auto"/>
        </w:rPr>
      </w:pPr>
    </w:p>
    <w:p w14:paraId="61C50A55" w14:textId="64CA012C" w:rsidR="00023BBD" w:rsidRPr="002361FE" w:rsidRDefault="00023BBD" w:rsidP="00CA7740">
      <w:pPr>
        <w:spacing w:after="0" w:line="360" w:lineRule="auto"/>
        <w:rPr>
          <w:color w:val="auto"/>
        </w:rPr>
      </w:pPr>
      <w:r w:rsidRPr="004B0B23">
        <w:rPr>
          <w:color w:val="auto"/>
        </w:rPr>
        <w:t xml:space="preserve">Se le hace del conocimiento a la persona Recurrente que, en el presente asunto, se le da la razón, pues </w:t>
      </w:r>
      <w:r w:rsidR="00B03A57" w:rsidRPr="004B0B23">
        <w:rPr>
          <w:color w:val="auto"/>
        </w:rPr>
        <w:t xml:space="preserve">si bien </w:t>
      </w:r>
      <w:r w:rsidR="00992901" w:rsidRPr="004B0B23">
        <w:rPr>
          <w:color w:val="auto"/>
        </w:rPr>
        <w:t>el Sujeto Obligado</w:t>
      </w:r>
      <w:r w:rsidR="00B03A57" w:rsidRPr="00B2261F">
        <w:rPr>
          <w:color w:val="FF0000"/>
        </w:rPr>
        <w:t xml:space="preserve"> </w:t>
      </w:r>
      <w:r w:rsidR="005A0A9C">
        <w:t xml:space="preserve">no </w:t>
      </w:r>
      <w:r w:rsidR="00970F71">
        <w:t>fundamento</w:t>
      </w:r>
      <w:r w:rsidR="005A0A9C">
        <w:t xml:space="preserve"> correctamente</w:t>
      </w:r>
      <w:r w:rsidR="00E610A8">
        <w:t xml:space="preserve"> su cambio de modalidad</w:t>
      </w:r>
      <w:r w:rsidR="002361FE">
        <w:t xml:space="preserve">, </w:t>
      </w:r>
      <w:r w:rsidR="00970F71">
        <w:t xml:space="preserve">es decir brindo las modalidades disponibles pero omitió hacerlo de manera correcta </w:t>
      </w:r>
      <w:r w:rsidR="002361FE">
        <w:t>por lo que, deberá hacer entrega de la información.</w:t>
      </w:r>
      <w:r w:rsidR="003C462B">
        <w:t xml:space="preserve"> L</w:t>
      </w:r>
      <w:r w:rsidRPr="002361FE">
        <w:rPr>
          <w:color w:val="auto"/>
        </w:rPr>
        <w:t>a labor del Instituto, es apoyar a la población a acceder a la información pública y garantizar la protección de sus datos personales.</w:t>
      </w:r>
    </w:p>
    <w:p w14:paraId="14208C7A" w14:textId="77777777" w:rsidR="004B27E7" w:rsidRPr="002361FE" w:rsidRDefault="004B27E7" w:rsidP="00CA7740">
      <w:pPr>
        <w:spacing w:after="0" w:line="360" w:lineRule="auto"/>
        <w:rPr>
          <w:color w:val="auto"/>
        </w:rPr>
      </w:pPr>
    </w:p>
    <w:p w14:paraId="2915D3C0" w14:textId="2028159D" w:rsidR="00023BBD" w:rsidRPr="002361FE" w:rsidRDefault="00023BBD" w:rsidP="00CA7740">
      <w:pPr>
        <w:spacing w:after="0" w:line="360" w:lineRule="auto"/>
        <w:contextualSpacing/>
        <w:rPr>
          <w:rFonts w:eastAsia="Calibri"/>
          <w:color w:val="auto"/>
        </w:rPr>
      </w:pPr>
      <w:r w:rsidRPr="002361FE">
        <w:rPr>
          <w:rFonts w:eastAsia="Calibri"/>
          <w:color w:val="auto"/>
        </w:rPr>
        <w:t>Por lo expuesto y fundado, este Pleno:</w:t>
      </w:r>
    </w:p>
    <w:p w14:paraId="16F96F26" w14:textId="77777777" w:rsidR="00A44059" w:rsidRPr="002361FE" w:rsidRDefault="00A44059" w:rsidP="00CA7740">
      <w:pPr>
        <w:spacing w:after="0" w:line="360" w:lineRule="auto"/>
        <w:contextualSpacing/>
        <w:rPr>
          <w:rFonts w:eastAsia="Calibri"/>
          <w:color w:val="auto"/>
        </w:rPr>
      </w:pPr>
    </w:p>
    <w:p w14:paraId="456932CF" w14:textId="77777777" w:rsidR="00023BBD" w:rsidRPr="002361FE" w:rsidRDefault="00023BBD" w:rsidP="00CA7740">
      <w:pPr>
        <w:pStyle w:val="Ttulo1"/>
        <w:spacing w:before="0" w:after="0" w:line="360" w:lineRule="auto"/>
        <w:jc w:val="center"/>
        <w:rPr>
          <w:color w:val="auto"/>
          <w:sz w:val="22"/>
          <w:szCs w:val="22"/>
        </w:rPr>
      </w:pPr>
      <w:bookmarkStart w:id="31" w:name="_Toc198156992"/>
      <w:bookmarkStart w:id="32" w:name="_Toc223618932"/>
      <w:r w:rsidRPr="002361FE">
        <w:rPr>
          <w:color w:val="auto"/>
          <w:sz w:val="22"/>
          <w:szCs w:val="22"/>
        </w:rPr>
        <w:t>R E S U E L V E</w:t>
      </w:r>
      <w:bookmarkEnd w:id="31"/>
      <w:bookmarkEnd w:id="32"/>
    </w:p>
    <w:p w14:paraId="5CA20C9A" w14:textId="77777777" w:rsidR="00A37912" w:rsidRPr="00B2261F" w:rsidRDefault="00A37912" w:rsidP="00CA7740">
      <w:pPr>
        <w:spacing w:after="0" w:line="360" w:lineRule="auto"/>
        <w:contextualSpacing/>
        <w:rPr>
          <w:rFonts w:eastAsia="Calibri"/>
          <w:b/>
          <w:bCs/>
          <w:color w:val="FF0000"/>
        </w:rPr>
      </w:pPr>
    </w:p>
    <w:p w14:paraId="743E93C0" w14:textId="58D3B279" w:rsidR="00B03A57" w:rsidRPr="002361FE" w:rsidRDefault="00B03A57" w:rsidP="00CA7740">
      <w:pPr>
        <w:spacing w:after="0" w:line="360" w:lineRule="auto"/>
        <w:rPr>
          <w:color w:val="auto"/>
        </w:rPr>
      </w:pPr>
      <w:r w:rsidRPr="002361FE">
        <w:rPr>
          <w:b/>
          <w:color w:val="auto"/>
        </w:rPr>
        <w:t xml:space="preserve">PRIMERO. </w:t>
      </w:r>
      <w:r w:rsidRPr="002361FE">
        <w:rPr>
          <w:color w:val="auto"/>
        </w:rPr>
        <w:t xml:space="preserve">Se </w:t>
      </w:r>
      <w:r w:rsidR="00970F71">
        <w:rPr>
          <w:b/>
          <w:color w:val="auto"/>
        </w:rPr>
        <w:t>MODIFICA</w:t>
      </w:r>
      <w:r w:rsidRPr="002361FE">
        <w:rPr>
          <w:b/>
          <w:color w:val="auto"/>
        </w:rPr>
        <w:t xml:space="preserve"> </w:t>
      </w:r>
      <w:r w:rsidRPr="002361FE">
        <w:rPr>
          <w:color w:val="auto"/>
        </w:rPr>
        <w:t>la respuesta entregada por el</w:t>
      </w:r>
      <w:r w:rsidR="002361FE" w:rsidRPr="002361FE">
        <w:rPr>
          <w:color w:val="auto"/>
        </w:rPr>
        <w:t xml:space="preserve"> </w:t>
      </w:r>
      <w:r w:rsidR="00970F71">
        <w:t>Ayuntamiento de Metepec</w:t>
      </w:r>
      <w:r w:rsidRPr="002361FE">
        <w:rPr>
          <w:color w:val="auto"/>
        </w:rPr>
        <w:t>, a la solicitud de información</w:t>
      </w:r>
      <w:r w:rsidR="003F2C8E" w:rsidRPr="002361FE">
        <w:rPr>
          <w:color w:val="auto"/>
        </w:rPr>
        <w:t xml:space="preserve"> </w:t>
      </w:r>
      <w:r w:rsidR="00970F71" w:rsidRPr="00970F71">
        <w:rPr>
          <w:rFonts w:cs="Tahoma"/>
          <w:color w:val="auto"/>
        </w:rPr>
        <w:t>00316/METEPEC/IP/2025</w:t>
      </w:r>
      <w:r w:rsidRPr="002361FE">
        <w:rPr>
          <w:color w:val="auto"/>
        </w:rPr>
        <w:t xml:space="preserve"> por resultar </w:t>
      </w:r>
      <w:r w:rsidRPr="002361FE">
        <w:rPr>
          <w:b/>
          <w:bCs/>
          <w:color w:val="auto"/>
        </w:rPr>
        <w:t>FUNDADAS</w:t>
      </w:r>
      <w:r w:rsidRPr="002361FE">
        <w:rPr>
          <w:b/>
          <w:color w:val="auto"/>
        </w:rPr>
        <w:t xml:space="preserve"> </w:t>
      </w:r>
      <w:r w:rsidRPr="002361FE">
        <w:rPr>
          <w:color w:val="auto"/>
        </w:rPr>
        <w:t>las razones o motivos de inconformidad hechos valer por la persona Recurrente, en términos de los considerandos QUINTO y SEXTO de la presente Resolución.</w:t>
      </w:r>
    </w:p>
    <w:p w14:paraId="1AA3BB99" w14:textId="77777777" w:rsidR="007B4DAD" w:rsidRPr="00B2261F" w:rsidRDefault="007B4DAD" w:rsidP="00CA7740">
      <w:pPr>
        <w:spacing w:after="0" w:line="360" w:lineRule="auto"/>
        <w:rPr>
          <w:color w:val="FF0000"/>
        </w:rPr>
      </w:pPr>
    </w:p>
    <w:p w14:paraId="306AC6E4" w14:textId="458170F9" w:rsidR="00326DD8" w:rsidRDefault="00B46AF4" w:rsidP="00CA7740">
      <w:pPr>
        <w:spacing w:after="0" w:line="360" w:lineRule="auto"/>
        <w:contextualSpacing/>
        <w:rPr>
          <w:rFonts w:eastAsia="Calibri" w:cs="Tahoma"/>
          <w:bCs/>
          <w:iCs/>
          <w:color w:val="000000"/>
        </w:rPr>
      </w:pPr>
      <w:r>
        <w:rPr>
          <w:rFonts w:eastAsia="Calibri" w:cs="Tahoma"/>
          <w:b/>
          <w:iCs/>
          <w:color w:val="000000"/>
        </w:rPr>
        <w:t xml:space="preserve">SEGUNDO. </w:t>
      </w:r>
      <w:r w:rsidR="00326DD8" w:rsidRPr="00F67C05">
        <w:rPr>
          <w:rFonts w:eastAsia="Calibri" w:cs="Tahoma"/>
          <w:b/>
          <w:iCs/>
          <w:color w:val="000000"/>
        </w:rPr>
        <w:t xml:space="preserve">Se ORDENA </w:t>
      </w:r>
      <w:r w:rsidR="00326DD8" w:rsidRPr="00F67C05">
        <w:rPr>
          <w:rFonts w:eastAsia="Calibri" w:cs="Tahoma"/>
          <w:bCs/>
          <w:iCs/>
          <w:color w:val="000000"/>
        </w:rPr>
        <w:t>al Sujeto Obligado, a efecto de que</w:t>
      </w:r>
      <w:r w:rsidR="00326DD8" w:rsidRPr="00B806BE">
        <w:rPr>
          <w:rFonts w:eastAsia="Calibri" w:cs="Tahoma"/>
          <w:bCs/>
          <w:iCs/>
          <w:color w:val="000000"/>
        </w:rPr>
        <w:t xml:space="preserve">, ponga a disposición, en todas las modalidades </w:t>
      </w:r>
      <w:r w:rsidR="002613CD">
        <w:rPr>
          <w:rFonts w:eastAsia="Calibri" w:cs="Tahoma"/>
          <w:bCs/>
          <w:iCs/>
          <w:color w:val="000000"/>
        </w:rPr>
        <w:t>que</w:t>
      </w:r>
      <w:r w:rsidR="00326DD8" w:rsidRPr="00B806BE">
        <w:rPr>
          <w:rFonts w:eastAsia="Calibri" w:cs="Tahoma"/>
          <w:bCs/>
          <w:iCs/>
          <w:color w:val="000000"/>
        </w:rPr>
        <w:t xml:space="preserve"> permita la documentación, tales como, disco compacto, dispositivo de almacenamiento, consulta directa, copias simples o certificadas, con posibilidad de entrega en la Unidad de Transparencia o a domicilio por correo certificado, previo pago de los derechos correspondientes, en su caso, en versión pública</w:t>
      </w:r>
      <w:r w:rsidR="002613CD">
        <w:rPr>
          <w:rFonts w:eastAsia="Calibri" w:cs="Tahoma"/>
          <w:bCs/>
          <w:iCs/>
          <w:color w:val="000000"/>
        </w:rPr>
        <w:t>,</w:t>
      </w:r>
      <w:r w:rsidR="00326DD8">
        <w:rPr>
          <w:rFonts w:eastAsia="Calibri" w:cs="Tahoma"/>
          <w:bCs/>
          <w:iCs/>
          <w:color w:val="000000"/>
        </w:rPr>
        <w:t xml:space="preserve"> </w:t>
      </w:r>
      <w:r w:rsidR="00326DD8" w:rsidRPr="00B806BE">
        <w:rPr>
          <w:rFonts w:eastAsia="Calibri" w:cs="Tahoma"/>
          <w:bCs/>
          <w:iCs/>
          <w:color w:val="000000"/>
        </w:rPr>
        <w:t>lo siguiente</w:t>
      </w:r>
      <w:r w:rsidR="00326DD8">
        <w:rPr>
          <w:rFonts w:eastAsia="Calibri" w:cs="Tahoma"/>
          <w:bCs/>
          <w:iCs/>
          <w:color w:val="000000"/>
        </w:rPr>
        <w:t>:</w:t>
      </w:r>
    </w:p>
    <w:p w14:paraId="05803582" w14:textId="77777777" w:rsidR="000D39C1" w:rsidRDefault="000D39C1" w:rsidP="00CA7740">
      <w:pPr>
        <w:spacing w:after="0" w:line="360" w:lineRule="auto"/>
        <w:rPr>
          <w:rFonts w:cs="Tahoma"/>
          <w:color w:val="auto"/>
        </w:rPr>
      </w:pPr>
    </w:p>
    <w:p w14:paraId="22916EBB" w14:textId="14E4FE09" w:rsidR="000D39C1" w:rsidRDefault="002613CD" w:rsidP="00CA7740">
      <w:pPr>
        <w:pStyle w:val="Prrafodelista"/>
        <w:numPr>
          <w:ilvl w:val="0"/>
          <w:numId w:val="9"/>
        </w:numPr>
        <w:spacing w:line="360" w:lineRule="auto"/>
        <w:rPr>
          <w:rFonts w:cs="Tahoma"/>
          <w:color w:val="auto"/>
        </w:rPr>
      </w:pPr>
      <w:r>
        <w:rPr>
          <w:rFonts w:cs="Tahoma"/>
          <w:color w:val="auto"/>
        </w:rPr>
        <w:t>Los E</w:t>
      </w:r>
      <w:r w:rsidR="00970F71">
        <w:rPr>
          <w:rFonts w:cs="Tahoma"/>
          <w:color w:val="auto"/>
        </w:rPr>
        <w:t>xpediente</w:t>
      </w:r>
      <w:r>
        <w:rPr>
          <w:rFonts w:cs="Tahoma"/>
          <w:color w:val="auto"/>
        </w:rPr>
        <w:t xml:space="preserve">s </w:t>
      </w:r>
      <w:r w:rsidR="00970F71">
        <w:rPr>
          <w:rFonts w:cs="Tahoma"/>
          <w:color w:val="auto"/>
        </w:rPr>
        <w:t>Técnico</w:t>
      </w:r>
      <w:r>
        <w:rPr>
          <w:rFonts w:cs="Tahoma"/>
          <w:color w:val="auto"/>
        </w:rPr>
        <w:t>s</w:t>
      </w:r>
      <w:r w:rsidR="00970F71">
        <w:rPr>
          <w:rFonts w:cs="Tahoma"/>
          <w:color w:val="auto"/>
        </w:rPr>
        <w:t xml:space="preserve"> </w:t>
      </w:r>
      <w:r>
        <w:rPr>
          <w:rFonts w:cs="Tahoma"/>
          <w:color w:val="auto"/>
        </w:rPr>
        <w:t>de</w:t>
      </w:r>
      <w:r w:rsidR="00970F71">
        <w:rPr>
          <w:rFonts w:cs="Tahoma"/>
          <w:color w:val="auto"/>
        </w:rPr>
        <w:t xml:space="preserve"> los Cambios de Uso de Suelo </w:t>
      </w:r>
      <w:r>
        <w:rPr>
          <w:rFonts w:cs="Tahoma"/>
          <w:color w:val="auto"/>
        </w:rPr>
        <w:t>referidos en el</w:t>
      </w:r>
      <w:r w:rsidR="00970F71">
        <w:rPr>
          <w:rFonts w:cs="Tahoma"/>
          <w:color w:val="auto"/>
        </w:rPr>
        <w:t xml:space="preserve"> </w:t>
      </w:r>
      <w:r>
        <w:rPr>
          <w:rFonts w:cs="Tahoma"/>
          <w:color w:val="auto"/>
        </w:rPr>
        <w:t>d</w:t>
      </w:r>
      <w:r w:rsidR="00970F71">
        <w:rPr>
          <w:rFonts w:cs="Tahoma"/>
          <w:color w:val="auto"/>
        </w:rPr>
        <w:t>esahogo del Requerimiento de Información Adicional</w:t>
      </w:r>
      <w:r>
        <w:rPr>
          <w:rFonts w:cs="Tahoma"/>
          <w:color w:val="auto"/>
        </w:rPr>
        <w:t>.</w:t>
      </w:r>
    </w:p>
    <w:p w14:paraId="5C8A8D5D" w14:textId="77777777" w:rsidR="005A0A9C" w:rsidRPr="000D39C1" w:rsidRDefault="005A0A9C" w:rsidP="00CA7740">
      <w:pPr>
        <w:spacing w:after="0" w:line="360" w:lineRule="auto"/>
        <w:jc w:val="left"/>
        <w:rPr>
          <w:bCs/>
          <w:iCs/>
          <w:color w:val="auto"/>
          <w:szCs w:val="20"/>
          <w:lang w:val="es-ES"/>
        </w:rPr>
      </w:pPr>
    </w:p>
    <w:p w14:paraId="5061FED0" w14:textId="69F58E7C" w:rsidR="002D7CDE" w:rsidRDefault="002D7CDE" w:rsidP="00CA7740">
      <w:pPr>
        <w:spacing w:after="0" w:line="360" w:lineRule="auto"/>
        <w:rPr>
          <w:color w:val="auto"/>
        </w:rPr>
      </w:pPr>
      <w:r w:rsidRPr="002361FE">
        <w:rPr>
          <w:color w:val="auto"/>
        </w:rPr>
        <w:t xml:space="preserve">Además, deberá proporcionar el Acuerdo de Clasificación donde el Comité de Transparencia, confirme la eliminación de los datos </w:t>
      </w:r>
      <w:r w:rsidR="00FB4BCE" w:rsidRPr="002361FE">
        <w:rPr>
          <w:color w:val="auto"/>
        </w:rPr>
        <w:t>o información</w:t>
      </w:r>
      <w:r w:rsidRPr="002361FE">
        <w:rPr>
          <w:color w:val="auto"/>
        </w:rPr>
        <w:t>, en la versión pública</w:t>
      </w:r>
      <w:r w:rsidR="002613CD">
        <w:rPr>
          <w:color w:val="auto"/>
        </w:rPr>
        <w:t>, o bien la clasificación de documentos en su totalidad</w:t>
      </w:r>
      <w:r w:rsidRPr="002361FE">
        <w:rPr>
          <w:color w:val="auto"/>
        </w:rPr>
        <w:t>, de conformidad con los artículos 49, fracciones II y VIII, 132, fracción II y 143, fracción I, de la Ley de Transparencia y Acceso a la Información Pública del Estado de México y Municipios.</w:t>
      </w:r>
    </w:p>
    <w:p w14:paraId="6F035EC1" w14:textId="77777777" w:rsidR="00A932B6" w:rsidRDefault="00A932B6" w:rsidP="00A932B6">
      <w:pPr>
        <w:spacing w:after="0" w:line="360" w:lineRule="auto"/>
        <w:rPr>
          <w:color w:val="auto"/>
        </w:rPr>
      </w:pPr>
      <w:r w:rsidRPr="00A84426">
        <w:rPr>
          <w:color w:val="auto"/>
        </w:rPr>
        <w:t>Para tal situación, el Sujeto Obligado, a través del Sistema de Acceso a la Información Mexiquense (SAIMEX), deberá indicar el procedimiento que tendrá que seguir el Particular, para acceder a la documentación, es decir, el domicilio de la Unidad de Transparencia, así como los días y horarios de atención, junto con el nombre del servidor público que le atenderá, el procedimiento de pago y el costo, en caso de proceder, de conformidad con el Vigésimo Sexto de los Lineamientos para la operación del Sistema de Acceso a la Información Mexiquense (SAIMEX) y del Sistema de Acceso, Rectificación, Cancelación y Oposición de Datos Personales del Estado de México (SARCOEM). Además, deberá señalarle que podrá acceder de manera gratuita a la información en las oficinas del Sujeto Obligado, si proporciona el medio de almacenamiento.</w:t>
      </w:r>
    </w:p>
    <w:p w14:paraId="16261081" w14:textId="77777777" w:rsidR="00A932B6" w:rsidRPr="002361FE" w:rsidRDefault="00A932B6" w:rsidP="00CA7740">
      <w:pPr>
        <w:spacing w:after="0" w:line="360" w:lineRule="auto"/>
        <w:rPr>
          <w:rFonts w:cs="Tahoma"/>
          <w:color w:val="auto"/>
        </w:rPr>
      </w:pPr>
    </w:p>
    <w:p w14:paraId="56C81919" w14:textId="77777777" w:rsidR="00B03A57" w:rsidRPr="002361FE" w:rsidRDefault="00B03A57" w:rsidP="00CA7740">
      <w:pPr>
        <w:spacing w:after="0" w:line="360" w:lineRule="auto"/>
        <w:ind w:right="-28"/>
        <w:rPr>
          <w:b/>
          <w:color w:val="auto"/>
        </w:rPr>
      </w:pPr>
      <w:r w:rsidRPr="002361FE">
        <w:rPr>
          <w:b/>
          <w:color w:val="auto"/>
        </w:rPr>
        <w:t xml:space="preserve">TERCERO. NOTIFÍQUESE POR SAIMEX </w:t>
      </w:r>
      <w:r w:rsidRPr="002361FE">
        <w:rPr>
          <w:color w:val="auto"/>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5577BDA8" w14:textId="77777777" w:rsidR="00B03A57" w:rsidRPr="002361FE" w:rsidRDefault="00B03A57" w:rsidP="00CA7740">
      <w:pPr>
        <w:spacing w:after="0" w:line="360" w:lineRule="auto"/>
        <w:ind w:right="-28"/>
        <w:rPr>
          <w:color w:val="auto"/>
        </w:rPr>
      </w:pPr>
    </w:p>
    <w:p w14:paraId="6DB3AD3F" w14:textId="77777777" w:rsidR="00B03A57" w:rsidRPr="002361FE" w:rsidRDefault="00B03A57" w:rsidP="00CA7740">
      <w:pPr>
        <w:spacing w:after="0" w:line="360" w:lineRule="auto"/>
        <w:rPr>
          <w:color w:val="auto"/>
        </w:rPr>
      </w:pPr>
      <w:r w:rsidRPr="002361FE">
        <w:rPr>
          <w:color w:val="auto"/>
        </w:rPr>
        <w:t>De conformidad con el artículo 198 de la Ley de la materia, de considerarlo procedente, el Sujeto Obligado de manera fundada y motivada, podrá solicitar una ampliación de plazo para el cumplimiento de la presente resolución.</w:t>
      </w:r>
    </w:p>
    <w:p w14:paraId="210A3436" w14:textId="77777777" w:rsidR="00B03A57" w:rsidRPr="002361FE" w:rsidRDefault="00B03A57" w:rsidP="00CA7740">
      <w:pPr>
        <w:spacing w:after="0" w:line="360" w:lineRule="auto"/>
        <w:rPr>
          <w:color w:val="auto"/>
        </w:rPr>
      </w:pPr>
    </w:p>
    <w:p w14:paraId="1F81CBDE" w14:textId="77777777" w:rsidR="00B03A57" w:rsidRPr="002361FE" w:rsidRDefault="00B03A57" w:rsidP="00CA7740">
      <w:pPr>
        <w:spacing w:after="0" w:line="360" w:lineRule="auto"/>
        <w:contextualSpacing/>
        <w:rPr>
          <w:color w:val="auto"/>
        </w:rPr>
      </w:pPr>
      <w:r w:rsidRPr="002361FE">
        <w:rPr>
          <w:b/>
          <w:bCs/>
          <w:color w:val="auto"/>
        </w:rPr>
        <w:t xml:space="preserve">CUARTO. </w:t>
      </w:r>
      <w:r w:rsidRPr="002361FE">
        <w:rPr>
          <w:b/>
          <w:color w:val="auto"/>
        </w:rPr>
        <w:t>NOTIFÍQUESE POR SAIMEX</w:t>
      </w:r>
      <w:r w:rsidRPr="002361FE">
        <w:rPr>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79B01C67" w14:textId="77777777" w:rsidR="00B03A57" w:rsidRPr="002361FE" w:rsidRDefault="00B03A57" w:rsidP="00CA7740">
      <w:pPr>
        <w:spacing w:after="0" w:line="360" w:lineRule="auto"/>
        <w:contextualSpacing/>
        <w:rPr>
          <w:rFonts w:cs="Tahoma"/>
          <w:b/>
          <w:bCs/>
          <w:color w:val="auto"/>
        </w:rPr>
      </w:pPr>
    </w:p>
    <w:p w14:paraId="1A555613" w14:textId="1BEB17FB" w:rsidR="00023BBD" w:rsidRDefault="00023BBD" w:rsidP="00CA7740">
      <w:pPr>
        <w:spacing w:after="0" w:line="360" w:lineRule="auto"/>
        <w:contextualSpacing/>
        <w:rPr>
          <w:rFonts w:cs="Tahoma"/>
          <w:b/>
          <w:bCs/>
          <w:color w:val="auto"/>
        </w:rPr>
      </w:pPr>
      <w:r w:rsidRPr="002361FE">
        <w:rPr>
          <w:rFonts w:eastAsia="Calibri" w:cs="Tahoma"/>
          <w:bCs/>
          <w:color w:val="auto"/>
        </w:rPr>
        <w:t>ASÍ LO RESUELVE, POR </w:t>
      </w:r>
      <w:r w:rsidRPr="002361FE">
        <w:rPr>
          <w:rFonts w:eastAsia="Calibri" w:cs="Tahoma"/>
          <w:b/>
          <w:bCs/>
          <w:color w:val="auto"/>
        </w:rPr>
        <w:t>UNANIMIDAD</w:t>
      </w:r>
      <w:r w:rsidRPr="002361FE">
        <w:rPr>
          <w:rFonts w:eastAsia="Calibri" w:cs="Tahoma"/>
          <w:bCs/>
          <w:color w:val="auto"/>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26DD8">
        <w:rPr>
          <w:rFonts w:eastAsia="Calibri" w:cs="Tahoma"/>
          <w:bCs/>
          <w:color w:val="auto"/>
        </w:rPr>
        <w:t>OCTAVA</w:t>
      </w:r>
      <w:r w:rsidR="00B03A57" w:rsidRPr="002361FE">
        <w:rPr>
          <w:rFonts w:eastAsia="Calibri" w:cs="Tahoma"/>
          <w:bCs/>
          <w:color w:val="auto"/>
        </w:rPr>
        <w:t xml:space="preserve"> </w:t>
      </w:r>
      <w:r w:rsidRPr="002361FE">
        <w:rPr>
          <w:rFonts w:eastAsia="Calibri" w:cs="Tahoma"/>
          <w:bCs/>
          <w:color w:val="auto"/>
        </w:rPr>
        <w:t xml:space="preserve">SESIÓN ORDINARIA, CELEBRADA EL </w:t>
      </w:r>
      <w:r w:rsidR="00326DD8">
        <w:rPr>
          <w:rFonts w:eastAsia="Calibri" w:cs="Tahoma"/>
          <w:bCs/>
          <w:color w:val="auto"/>
        </w:rPr>
        <w:t>CINCO DE MARZO</w:t>
      </w:r>
      <w:r w:rsidR="00596618">
        <w:rPr>
          <w:rFonts w:eastAsia="Calibri" w:cs="Tahoma"/>
          <w:bCs/>
          <w:color w:val="auto"/>
        </w:rPr>
        <w:t xml:space="preserve"> DE DOS MIL VEINTISÉ</w:t>
      </w:r>
      <w:r w:rsidR="004A7E8F">
        <w:rPr>
          <w:rFonts w:eastAsia="Calibri" w:cs="Tahoma"/>
          <w:bCs/>
          <w:color w:val="auto"/>
        </w:rPr>
        <w:t>IS</w:t>
      </w:r>
      <w:r w:rsidRPr="002361FE">
        <w:rPr>
          <w:rFonts w:eastAsia="Calibri" w:cs="Tahoma"/>
          <w:bCs/>
          <w:color w:val="auto"/>
        </w:rPr>
        <w:t>, ANTE EL SECRETARIO TÉCNICO DEL PLENO, ALEXIS TAPIA RAMÍREZ.</w:t>
      </w:r>
    </w:p>
    <w:p w14:paraId="72186A79" w14:textId="77777777" w:rsidR="006C4CE5" w:rsidRDefault="006C4CE5" w:rsidP="00CA7740">
      <w:pPr>
        <w:spacing w:after="0" w:line="360" w:lineRule="auto"/>
        <w:contextualSpacing/>
        <w:rPr>
          <w:rFonts w:cs="Tahoma"/>
          <w:b/>
          <w:bCs/>
          <w:color w:val="auto"/>
        </w:rPr>
      </w:pPr>
    </w:p>
    <w:p w14:paraId="2DB987C3" w14:textId="77777777" w:rsidR="006C4CE5" w:rsidRDefault="006C4CE5" w:rsidP="00CA7740">
      <w:pPr>
        <w:spacing w:after="0" w:line="360" w:lineRule="auto"/>
        <w:contextualSpacing/>
        <w:rPr>
          <w:rFonts w:cs="Tahoma"/>
          <w:b/>
          <w:bCs/>
          <w:color w:val="auto"/>
        </w:rPr>
      </w:pPr>
    </w:p>
    <w:p w14:paraId="419A1B95" w14:textId="77777777" w:rsidR="006C4CE5" w:rsidRPr="006C4CE5" w:rsidRDefault="006C4CE5" w:rsidP="00CA7740">
      <w:pPr>
        <w:spacing w:after="0" w:line="360" w:lineRule="auto"/>
        <w:contextualSpacing/>
        <w:rPr>
          <w:rFonts w:cs="Tahoma"/>
          <w:b/>
          <w:bCs/>
          <w:color w:val="auto"/>
        </w:rPr>
      </w:pPr>
    </w:p>
    <w:p w14:paraId="2DB71CAF" w14:textId="49BEE08C" w:rsidR="001D4F21" w:rsidRPr="002361FE" w:rsidRDefault="001D4F21" w:rsidP="00CA7740">
      <w:pPr>
        <w:spacing w:after="0" w:line="360" w:lineRule="auto"/>
        <w:rPr>
          <w:color w:val="auto"/>
        </w:rPr>
      </w:pPr>
    </w:p>
    <w:p w14:paraId="38B4EF2E" w14:textId="77777777" w:rsidR="001D4F21" w:rsidRPr="002361FE" w:rsidRDefault="001D4F21" w:rsidP="00CA7740">
      <w:pPr>
        <w:spacing w:after="0" w:line="360" w:lineRule="auto"/>
        <w:rPr>
          <w:color w:val="auto"/>
        </w:rPr>
      </w:pPr>
    </w:p>
    <w:p w14:paraId="4201A0A0" w14:textId="77777777" w:rsidR="00E864E9" w:rsidRPr="002361FE" w:rsidRDefault="00E864E9" w:rsidP="00CA7740">
      <w:pPr>
        <w:tabs>
          <w:tab w:val="right" w:pos="8931"/>
        </w:tabs>
        <w:spacing w:after="0" w:line="360" w:lineRule="auto"/>
        <w:rPr>
          <w:color w:val="auto"/>
        </w:rPr>
      </w:pPr>
    </w:p>
    <w:p w14:paraId="543728D1" w14:textId="77777777" w:rsidR="00E864E9" w:rsidRPr="002361FE" w:rsidRDefault="00E864E9" w:rsidP="00CA7740">
      <w:pPr>
        <w:tabs>
          <w:tab w:val="right" w:pos="8931"/>
        </w:tabs>
        <w:spacing w:after="0" w:line="360" w:lineRule="auto"/>
        <w:rPr>
          <w:color w:val="auto"/>
        </w:rPr>
      </w:pPr>
    </w:p>
    <w:p w14:paraId="0E4439D0" w14:textId="5248D3C9" w:rsidR="007B58B9" w:rsidRPr="00B2261F" w:rsidRDefault="007B58B9" w:rsidP="00CA7740">
      <w:pPr>
        <w:spacing w:after="0" w:line="360" w:lineRule="auto"/>
        <w:rPr>
          <w:color w:val="FF0000"/>
        </w:rPr>
      </w:pPr>
    </w:p>
    <w:p w14:paraId="26916C77" w14:textId="77777777" w:rsidR="00A37EDE" w:rsidRPr="00B2261F" w:rsidRDefault="00A37EDE" w:rsidP="00CA7740">
      <w:pPr>
        <w:spacing w:after="0" w:line="360" w:lineRule="auto"/>
        <w:rPr>
          <w:color w:val="FF0000"/>
        </w:rPr>
      </w:pPr>
    </w:p>
    <w:p w14:paraId="6C800ACF" w14:textId="77777777" w:rsidR="00C457EF" w:rsidRPr="00B2261F" w:rsidRDefault="00C457EF" w:rsidP="00CA7740">
      <w:pPr>
        <w:spacing w:after="0" w:line="360" w:lineRule="auto"/>
        <w:rPr>
          <w:color w:val="FF0000"/>
        </w:rPr>
      </w:pPr>
    </w:p>
    <w:p w14:paraId="30D60B56" w14:textId="77777777" w:rsidR="00C457EF" w:rsidRPr="00B2261F" w:rsidRDefault="00C457EF" w:rsidP="00CA7740">
      <w:pPr>
        <w:spacing w:after="0" w:line="360" w:lineRule="auto"/>
        <w:rPr>
          <w:color w:val="FF0000"/>
        </w:rPr>
      </w:pPr>
    </w:p>
    <w:p w14:paraId="5657FDD0" w14:textId="77777777" w:rsidR="00C457EF" w:rsidRPr="00B2261F" w:rsidRDefault="00C457EF" w:rsidP="00CA7740">
      <w:pPr>
        <w:spacing w:after="0" w:line="360" w:lineRule="auto"/>
        <w:rPr>
          <w:color w:val="FF0000"/>
        </w:rPr>
      </w:pPr>
    </w:p>
    <w:p w14:paraId="06C51672" w14:textId="77777777" w:rsidR="00C457EF" w:rsidRPr="00B2261F" w:rsidRDefault="00C457EF" w:rsidP="00CA7740">
      <w:pPr>
        <w:spacing w:after="0" w:line="360" w:lineRule="auto"/>
        <w:rPr>
          <w:color w:val="FF0000"/>
        </w:rPr>
      </w:pPr>
    </w:p>
    <w:p w14:paraId="1F44ECA1" w14:textId="77777777" w:rsidR="00C457EF" w:rsidRPr="00B2261F" w:rsidRDefault="00C457EF" w:rsidP="00CA7740">
      <w:pPr>
        <w:spacing w:after="0" w:line="360" w:lineRule="auto"/>
        <w:rPr>
          <w:color w:val="FF0000"/>
        </w:rPr>
      </w:pPr>
    </w:p>
    <w:p w14:paraId="733D9CE4" w14:textId="77777777" w:rsidR="00C457EF" w:rsidRPr="00B2261F" w:rsidRDefault="00C457EF" w:rsidP="00CA7740">
      <w:pPr>
        <w:spacing w:after="0" w:line="360" w:lineRule="auto"/>
        <w:rPr>
          <w:color w:val="FF0000"/>
        </w:rPr>
      </w:pPr>
    </w:p>
    <w:p w14:paraId="53D3E59F" w14:textId="77777777" w:rsidR="00C457EF" w:rsidRPr="00B2261F" w:rsidRDefault="00C457EF" w:rsidP="00CA7740">
      <w:pPr>
        <w:spacing w:after="0" w:line="360" w:lineRule="auto"/>
        <w:rPr>
          <w:color w:val="FF0000"/>
        </w:rPr>
      </w:pPr>
    </w:p>
    <w:p w14:paraId="0494B722" w14:textId="77777777" w:rsidR="00C457EF" w:rsidRPr="00B2261F" w:rsidRDefault="00C457EF" w:rsidP="00CA7740">
      <w:pPr>
        <w:spacing w:after="0" w:line="360" w:lineRule="auto"/>
        <w:rPr>
          <w:color w:val="FF0000"/>
        </w:rPr>
      </w:pPr>
    </w:p>
    <w:p w14:paraId="7F0C198D" w14:textId="77777777" w:rsidR="00C457EF" w:rsidRPr="00B2261F" w:rsidRDefault="00C457EF" w:rsidP="00CA7740">
      <w:pPr>
        <w:spacing w:after="0" w:line="360" w:lineRule="auto"/>
        <w:rPr>
          <w:color w:val="FF0000"/>
        </w:rPr>
      </w:pPr>
    </w:p>
    <w:p w14:paraId="5E54FA39" w14:textId="77777777" w:rsidR="00C457EF" w:rsidRPr="00B2261F" w:rsidRDefault="00C457EF" w:rsidP="00CA7740">
      <w:pPr>
        <w:spacing w:after="0" w:line="360" w:lineRule="auto"/>
        <w:rPr>
          <w:color w:val="FF0000"/>
        </w:rPr>
      </w:pPr>
    </w:p>
    <w:p w14:paraId="71A4CF0E" w14:textId="77777777" w:rsidR="00C457EF" w:rsidRPr="00B2261F" w:rsidRDefault="00C457EF" w:rsidP="00CA7740">
      <w:pPr>
        <w:spacing w:after="0" w:line="360" w:lineRule="auto"/>
        <w:rPr>
          <w:color w:val="FF0000"/>
        </w:rPr>
      </w:pPr>
    </w:p>
    <w:p w14:paraId="04139530" w14:textId="77777777" w:rsidR="00C457EF" w:rsidRPr="00B2261F" w:rsidRDefault="00C457EF" w:rsidP="00CA7740">
      <w:pPr>
        <w:spacing w:after="0" w:line="360" w:lineRule="auto"/>
        <w:rPr>
          <w:color w:val="FF0000"/>
        </w:rPr>
      </w:pPr>
    </w:p>
    <w:p w14:paraId="382CD8FC" w14:textId="77777777" w:rsidR="00C457EF" w:rsidRPr="00B2261F" w:rsidRDefault="00C457EF" w:rsidP="00CA7740">
      <w:pPr>
        <w:spacing w:after="0" w:line="360" w:lineRule="auto"/>
        <w:rPr>
          <w:color w:val="FF0000"/>
        </w:rPr>
      </w:pPr>
    </w:p>
    <w:p w14:paraId="5AFF30BA" w14:textId="77777777" w:rsidR="00C457EF" w:rsidRPr="00B2261F" w:rsidRDefault="00C457EF" w:rsidP="00CA7740">
      <w:pPr>
        <w:spacing w:after="0" w:line="360" w:lineRule="auto"/>
        <w:rPr>
          <w:color w:val="FF0000"/>
        </w:rPr>
      </w:pPr>
    </w:p>
    <w:p w14:paraId="4B0C09A4" w14:textId="77777777" w:rsidR="00C457EF" w:rsidRPr="00B2261F" w:rsidRDefault="00C457EF" w:rsidP="00CA7740">
      <w:pPr>
        <w:spacing w:after="0" w:line="360" w:lineRule="auto"/>
        <w:rPr>
          <w:color w:val="FF0000"/>
        </w:rPr>
      </w:pPr>
    </w:p>
    <w:sectPr w:rsidR="00C457EF" w:rsidRPr="00B2261F" w:rsidSect="000B49C4">
      <w:headerReference w:type="even" r:id="rId17"/>
      <w:headerReference w:type="default" r:id="rId18"/>
      <w:footerReference w:type="even" r:id="rId19"/>
      <w:footerReference w:type="default" r:id="rId20"/>
      <w:headerReference w:type="first" r:id="rId21"/>
      <w:footerReference w:type="first" r:id="rId22"/>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4DBAC" w14:textId="77777777" w:rsidR="00655188" w:rsidRDefault="00655188">
      <w:pPr>
        <w:spacing w:after="0" w:line="240" w:lineRule="auto"/>
      </w:pPr>
      <w:r>
        <w:separator/>
      </w:r>
    </w:p>
  </w:endnote>
  <w:endnote w:type="continuationSeparator" w:id="0">
    <w:p w14:paraId="7D7F9E47" w14:textId="77777777" w:rsidR="00655188" w:rsidRDefault="00655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DC6DC9" w:rsidRDefault="00DC6DC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C3D5C">
      <w:rPr>
        <w:b/>
        <w:noProof/>
        <w:color w:val="000000"/>
        <w:sz w:val="24"/>
        <w:szCs w:val="24"/>
      </w:rPr>
      <w:t>39</w:t>
    </w:r>
    <w:r>
      <w:rPr>
        <w:b/>
        <w:color w:val="000000"/>
        <w:sz w:val="24"/>
        <w:szCs w:val="24"/>
      </w:rPr>
      <w:fldChar w:fldCharType="end"/>
    </w:r>
  </w:p>
  <w:p w14:paraId="7EB9860B" w14:textId="77777777" w:rsidR="00DC6DC9" w:rsidRDefault="00DC6DC9">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DC6DC9" w:rsidRDefault="00DC6DC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57A60">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57A60">
      <w:rPr>
        <w:b/>
        <w:noProof/>
        <w:color w:val="000000"/>
        <w:sz w:val="24"/>
        <w:szCs w:val="24"/>
      </w:rPr>
      <w:t>39</w:t>
    </w:r>
    <w:r>
      <w:rPr>
        <w:b/>
        <w:color w:val="000000"/>
        <w:sz w:val="24"/>
        <w:szCs w:val="24"/>
      </w:rPr>
      <w:fldChar w:fldCharType="end"/>
    </w:r>
  </w:p>
  <w:p w14:paraId="0D7FA8D9" w14:textId="77777777" w:rsidR="00DC6DC9" w:rsidRDefault="00DC6DC9">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DC6DC9" w:rsidRDefault="00DC6DC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5518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55188">
      <w:rPr>
        <w:b/>
        <w:noProof/>
        <w:color w:val="000000"/>
        <w:sz w:val="24"/>
        <w:szCs w:val="24"/>
      </w:rPr>
      <w:t>1</w:t>
    </w:r>
    <w:r>
      <w:rPr>
        <w:b/>
        <w:color w:val="000000"/>
        <w:sz w:val="24"/>
        <w:szCs w:val="24"/>
      </w:rPr>
      <w:fldChar w:fldCharType="end"/>
    </w:r>
  </w:p>
  <w:p w14:paraId="6796AF5F" w14:textId="77777777" w:rsidR="00DC6DC9" w:rsidRDefault="00DC6DC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E47C5" w14:textId="77777777" w:rsidR="00655188" w:rsidRDefault="00655188">
      <w:pPr>
        <w:spacing w:after="0" w:line="240" w:lineRule="auto"/>
      </w:pPr>
      <w:r>
        <w:separator/>
      </w:r>
    </w:p>
  </w:footnote>
  <w:footnote w:type="continuationSeparator" w:id="0">
    <w:p w14:paraId="36B28936" w14:textId="77777777" w:rsidR="00655188" w:rsidRDefault="006551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DC6DC9" w:rsidRDefault="00DC6DC9">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DC6DC9" w14:paraId="10C29E94" w14:textId="77777777">
      <w:trPr>
        <w:trHeight w:val="132"/>
      </w:trPr>
      <w:tc>
        <w:tcPr>
          <w:tcW w:w="2691" w:type="dxa"/>
        </w:tcPr>
        <w:p w14:paraId="7D85A4B8" w14:textId="77777777" w:rsidR="00DC6DC9" w:rsidRDefault="00DC6DC9">
          <w:pPr>
            <w:tabs>
              <w:tab w:val="right" w:pos="8838"/>
            </w:tabs>
            <w:ind w:right="-105"/>
            <w:rPr>
              <w:b/>
            </w:rPr>
          </w:pPr>
          <w:r>
            <w:rPr>
              <w:b/>
            </w:rPr>
            <w:t>Recurso de Revisión:</w:t>
          </w:r>
        </w:p>
      </w:tc>
      <w:tc>
        <w:tcPr>
          <w:tcW w:w="3405" w:type="dxa"/>
        </w:tcPr>
        <w:p w14:paraId="0B0D1A9D" w14:textId="77777777" w:rsidR="00DC6DC9" w:rsidRDefault="00DC6DC9">
          <w:pPr>
            <w:tabs>
              <w:tab w:val="right" w:pos="8838"/>
            </w:tabs>
            <w:ind w:left="-28" w:right="-32"/>
          </w:pPr>
          <w:r>
            <w:t>03846/INFOEM/IP/RR/2020</w:t>
          </w:r>
        </w:p>
      </w:tc>
    </w:tr>
    <w:tr w:rsidR="00DC6DC9" w14:paraId="2F47AC72" w14:textId="77777777">
      <w:trPr>
        <w:trHeight w:val="261"/>
      </w:trPr>
      <w:tc>
        <w:tcPr>
          <w:tcW w:w="2691" w:type="dxa"/>
        </w:tcPr>
        <w:p w14:paraId="154A4752" w14:textId="77777777" w:rsidR="00DC6DC9" w:rsidRDefault="00DC6DC9">
          <w:pPr>
            <w:tabs>
              <w:tab w:val="right" w:pos="8838"/>
            </w:tabs>
            <w:ind w:right="-105"/>
            <w:rPr>
              <w:b/>
            </w:rPr>
          </w:pPr>
          <w:r>
            <w:rPr>
              <w:b/>
            </w:rPr>
            <w:t>Sujeto Obligado:</w:t>
          </w:r>
        </w:p>
      </w:tc>
      <w:tc>
        <w:tcPr>
          <w:tcW w:w="3405" w:type="dxa"/>
        </w:tcPr>
        <w:p w14:paraId="5D9EC711" w14:textId="77777777" w:rsidR="00DC6DC9" w:rsidRDefault="00DC6DC9">
          <w:pPr>
            <w:tabs>
              <w:tab w:val="right" w:pos="8838"/>
            </w:tabs>
            <w:ind w:right="-32"/>
          </w:pPr>
          <w:r>
            <w:t>Ayuntamiento de Temascalcingo</w:t>
          </w:r>
        </w:p>
      </w:tc>
    </w:tr>
    <w:tr w:rsidR="00DC6DC9" w14:paraId="11FBB450" w14:textId="77777777">
      <w:trPr>
        <w:trHeight w:val="261"/>
      </w:trPr>
      <w:tc>
        <w:tcPr>
          <w:tcW w:w="2691" w:type="dxa"/>
        </w:tcPr>
        <w:p w14:paraId="6BAF6003" w14:textId="77777777" w:rsidR="00DC6DC9" w:rsidRDefault="00DC6DC9">
          <w:pPr>
            <w:tabs>
              <w:tab w:val="right" w:pos="8838"/>
            </w:tabs>
            <w:ind w:right="-105"/>
            <w:rPr>
              <w:b/>
            </w:rPr>
          </w:pPr>
          <w:r>
            <w:rPr>
              <w:b/>
            </w:rPr>
            <w:t>Comisionado Ponente:</w:t>
          </w:r>
        </w:p>
      </w:tc>
      <w:tc>
        <w:tcPr>
          <w:tcW w:w="3405" w:type="dxa"/>
        </w:tcPr>
        <w:p w14:paraId="420341AF" w14:textId="77777777" w:rsidR="00DC6DC9" w:rsidRDefault="00DC6DC9">
          <w:pPr>
            <w:tabs>
              <w:tab w:val="right" w:pos="8838"/>
            </w:tabs>
            <w:ind w:right="-32"/>
            <w:rPr>
              <w:b/>
            </w:rPr>
          </w:pPr>
          <w:r>
            <w:t>Luis Gustavo Parra Noriega</w:t>
          </w:r>
        </w:p>
      </w:tc>
    </w:tr>
  </w:tbl>
  <w:p w14:paraId="00411D75" w14:textId="77777777" w:rsidR="00DC6DC9" w:rsidRDefault="00655188">
    <w:pPr>
      <w:pBdr>
        <w:top w:val="nil"/>
        <w:left w:val="nil"/>
        <w:bottom w:val="nil"/>
        <w:right w:val="nil"/>
        <w:between w:val="nil"/>
      </w:pBdr>
      <w:tabs>
        <w:tab w:val="center" w:pos="4419"/>
        <w:tab w:val="right" w:pos="8838"/>
      </w:tabs>
      <w:spacing w:after="0" w:line="240" w:lineRule="auto"/>
      <w:rPr>
        <w:color w:val="000000"/>
      </w:rPr>
    </w:pPr>
    <w:r>
      <w:rPr>
        <w:color w:val="000000"/>
      </w:rPr>
      <w:pict w14:anchorId="191CFC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DC6DC9" w:rsidRDefault="00655188">
    <w:pPr>
      <w:widowControl w:val="0"/>
      <w:pBdr>
        <w:top w:val="nil"/>
        <w:left w:val="nil"/>
        <w:bottom w:val="nil"/>
        <w:right w:val="nil"/>
        <w:between w:val="nil"/>
      </w:pBdr>
      <w:spacing w:after="0" w:line="276" w:lineRule="auto"/>
      <w:jc w:val="left"/>
    </w:pPr>
    <w:r>
      <w:rPr>
        <w:color w:val="000000"/>
      </w:rPr>
      <w:pict w14:anchorId="7589C8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3" w:type="dxa"/>
      <w:tblInd w:w="3686" w:type="dxa"/>
      <w:tblBorders>
        <w:top w:val="nil"/>
        <w:left w:val="nil"/>
        <w:bottom w:val="nil"/>
        <w:right w:val="nil"/>
        <w:insideH w:val="nil"/>
        <w:insideV w:val="nil"/>
      </w:tblBorders>
      <w:tblLayout w:type="fixed"/>
      <w:tblLook w:val="0400" w:firstRow="0" w:lastRow="0" w:firstColumn="0" w:lastColumn="0" w:noHBand="0" w:noVBand="1"/>
    </w:tblPr>
    <w:tblGrid>
      <w:gridCol w:w="2268"/>
      <w:gridCol w:w="4395"/>
    </w:tblGrid>
    <w:tr w:rsidR="00DC6DC9" w14:paraId="40D5D5A3" w14:textId="77777777" w:rsidTr="00CA7740">
      <w:trPr>
        <w:trHeight w:val="138"/>
      </w:trPr>
      <w:tc>
        <w:tcPr>
          <w:tcW w:w="2268" w:type="dxa"/>
          <w:vAlign w:val="center"/>
        </w:tcPr>
        <w:p w14:paraId="43377EBE" w14:textId="77777777" w:rsidR="00DC6DC9" w:rsidRDefault="00DC6DC9" w:rsidP="008C266D">
          <w:pPr>
            <w:tabs>
              <w:tab w:val="right" w:pos="8838"/>
            </w:tabs>
            <w:ind w:left="-108" w:right="-105"/>
            <w:jc w:val="left"/>
            <w:rPr>
              <w:b/>
            </w:rPr>
          </w:pPr>
        </w:p>
        <w:p w14:paraId="1DB5C8D0" w14:textId="7E98B3D2" w:rsidR="00DC6DC9" w:rsidRDefault="00DC6DC9" w:rsidP="008C266D">
          <w:pPr>
            <w:tabs>
              <w:tab w:val="right" w:pos="8838"/>
            </w:tabs>
            <w:ind w:left="-108" w:right="-105"/>
            <w:jc w:val="left"/>
            <w:rPr>
              <w:b/>
            </w:rPr>
          </w:pPr>
          <w:r>
            <w:rPr>
              <w:b/>
            </w:rPr>
            <w:t>Recurso de Revisión:</w:t>
          </w:r>
        </w:p>
      </w:tc>
      <w:tc>
        <w:tcPr>
          <w:tcW w:w="4395" w:type="dxa"/>
        </w:tcPr>
        <w:p w14:paraId="5BCC69C4" w14:textId="77777777" w:rsidR="00DC6DC9" w:rsidRPr="00EF0C39" w:rsidRDefault="00DC6DC9" w:rsidP="008C266D">
          <w:pPr>
            <w:tabs>
              <w:tab w:val="right" w:pos="8838"/>
            </w:tabs>
            <w:ind w:right="57"/>
          </w:pPr>
        </w:p>
        <w:p w14:paraId="61E59D71" w14:textId="53898333" w:rsidR="00DC6DC9" w:rsidRPr="00EF0C39" w:rsidRDefault="00DC6DC9" w:rsidP="008C266D">
          <w:pPr>
            <w:tabs>
              <w:tab w:val="right" w:pos="8838"/>
            </w:tabs>
            <w:ind w:right="57"/>
          </w:pPr>
          <w:r>
            <w:t>11141/INFOEM/IP/RR/2025</w:t>
          </w:r>
        </w:p>
      </w:tc>
    </w:tr>
    <w:tr w:rsidR="00DC6DC9" w14:paraId="7A281F30" w14:textId="77777777" w:rsidTr="00CA7740">
      <w:trPr>
        <w:trHeight w:val="273"/>
      </w:trPr>
      <w:tc>
        <w:tcPr>
          <w:tcW w:w="2268" w:type="dxa"/>
        </w:tcPr>
        <w:p w14:paraId="6671A308" w14:textId="77777777" w:rsidR="00DC6DC9" w:rsidRDefault="00DC6DC9" w:rsidP="008C266D">
          <w:pPr>
            <w:tabs>
              <w:tab w:val="right" w:pos="8838"/>
            </w:tabs>
            <w:ind w:left="-108" w:right="-105"/>
            <w:rPr>
              <w:b/>
            </w:rPr>
          </w:pPr>
          <w:r>
            <w:rPr>
              <w:b/>
            </w:rPr>
            <w:t>Sujeto Obligado:</w:t>
          </w:r>
        </w:p>
      </w:tc>
      <w:tc>
        <w:tcPr>
          <w:tcW w:w="4395" w:type="dxa"/>
        </w:tcPr>
        <w:p w14:paraId="30885B6D" w14:textId="68E9EFCA" w:rsidR="00DC6DC9" w:rsidRPr="00EF0C39" w:rsidRDefault="00DC6DC9" w:rsidP="00530177">
          <w:pPr>
            <w:tabs>
              <w:tab w:val="right" w:pos="8838"/>
            </w:tabs>
            <w:ind w:right="175"/>
          </w:pPr>
          <w:r>
            <w:t>Ayuntamiento de Metepec</w:t>
          </w:r>
        </w:p>
      </w:tc>
    </w:tr>
    <w:tr w:rsidR="00DC6DC9" w14:paraId="00C22F2F" w14:textId="77777777" w:rsidTr="00CA7740">
      <w:trPr>
        <w:trHeight w:val="273"/>
      </w:trPr>
      <w:tc>
        <w:tcPr>
          <w:tcW w:w="2268" w:type="dxa"/>
        </w:tcPr>
        <w:p w14:paraId="70417649" w14:textId="77777777" w:rsidR="00DC6DC9" w:rsidRDefault="00DC6DC9" w:rsidP="008C266D">
          <w:pPr>
            <w:tabs>
              <w:tab w:val="right" w:pos="8838"/>
            </w:tabs>
            <w:ind w:left="-108" w:right="-105"/>
            <w:rPr>
              <w:b/>
            </w:rPr>
          </w:pPr>
          <w:r>
            <w:rPr>
              <w:b/>
            </w:rPr>
            <w:t>Comisionado Ponente:</w:t>
          </w:r>
        </w:p>
      </w:tc>
      <w:tc>
        <w:tcPr>
          <w:tcW w:w="4395" w:type="dxa"/>
        </w:tcPr>
        <w:p w14:paraId="5E6EB38B" w14:textId="77777777" w:rsidR="00DC6DC9" w:rsidRPr="00EF0C39" w:rsidRDefault="00DC6DC9" w:rsidP="008C266D">
          <w:pPr>
            <w:tabs>
              <w:tab w:val="right" w:pos="8838"/>
            </w:tabs>
            <w:ind w:right="-170"/>
          </w:pPr>
          <w:r w:rsidRPr="00EF0C39">
            <w:t>Luis Gustavo Parra Noriega</w:t>
          </w:r>
        </w:p>
        <w:p w14:paraId="1A63C67B" w14:textId="77777777" w:rsidR="00DC6DC9" w:rsidRPr="00754528" w:rsidRDefault="00DC6DC9" w:rsidP="008C266D">
          <w:pPr>
            <w:tabs>
              <w:tab w:val="right" w:pos="8838"/>
            </w:tabs>
            <w:ind w:right="-170"/>
            <w:rPr>
              <w:b/>
              <w:sz w:val="13"/>
              <w:szCs w:val="13"/>
            </w:rPr>
          </w:pPr>
        </w:p>
      </w:tc>
    </w:tr>
  </w:tbl>
  <w:p w14:paraId="3498D107" w14:textId="7E17876C" w:rsidR="00DC6DC9" w:rsidRDefault="00DC6DC9"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3A6A4493" w:rsidR="00DC6DC9" w:rsidRDefault="00DC6DC9">
    <w:pPr>
      <w:widowControl w:val="0"/>
      <w:pBdr>
        <w:top w:val="nil"/>
        <w:left w:val="nil"/>
        <w:bottom w:val="nil"/>
        <w:right w:val="nil"/>
        <w:between w:val="nil"/>
      </w:pBdr>
      <w:spacing w:after="0" w:line="276" w:lineRule="auto"/>
      <w:jc w:val="left"/>
      <w:rPr>
        <w:color w:val="000000"/>
      </w:rPr>
    </w:pPr>
  </w:p>
  <w:tbl>
    <w:tblPr>
      <w:tblStyle w:val="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DC6DC9" w14:paraId="6B3232BD" w14:textId="77777777" w:rsidTr="00A932B6">
      <w:trPr>
        <w:trHeight w:val="132"/>
      </w:trPr>
      <w:tc>
        <w:tcPr>
          <w:tcW w:w="2551" w:type="dxa"/>
        </w:tcPr>
        <w:p w14:paraId="38F16E2F" w14:textId="77777777" w:rsidR="00DC6DC9" w:rsidRDefault="00DC6DC9">
          <w:pPr>
            <w:tabs>
              <w:tab w:val="right" w:pos="8838"/>
            </w:tabs>
            <w:ind w:right="-105"/>
            <w:rPr>
              <w:b/>
            </w:rPr>
          </w:pPr>
          <w:r>
            <w:rPr>
              <w:b/>
            </w:rPr>
            <w:t>Recurso de Revisión:</w:t>
          </w:r>
        </w:p>
      </w:tc>
      <w:tc>
        <w:tcPr>
          <w:tcW w:w="4253" w:type="dxa"/>
        </w:tcPr>
        <w:p w14:paraId="211CDC0A" w14:textId="13F68F21" w:rsidR="00DC6DC9" w:rsidRPr="00026C6B" w:rsidRDefault="00DC6DC9" w:rsidP="005671F8">
          <w:r>
            <w:t>11141/INFOEM/IP/RR/2025</w:t>
          </w:r>
        </w:p>
      </w:tc>
    </w:tr>
    <w:tr w:rsidR="00DC6DC9" w14:paraId="6AA3CC58" w14:textId="77777777" w:rsidTr="00A932B6">
      <w:trPr>
        <w:trHeight w:val="132"/>
      </w:trPr>
      <w:tc>
        <w:tcPr>
          <w:tcW w:w="2551" w:type="dxa"/>
          <w:shd w:val="clear" w:color="auto" w:fill="auto"/>
        </w:tcPr>
        <w:p w14:paraId="7FD164F5" w14:textId="77777777" w:rsidR="00DC6DC9" w:rsidRDefault="00DC6DC9">
          <w:pPr>
            <w:tabs>
              <w:tab w:val="left" w:pos="1875"/>
            </w:tabs>
            <w:ind w:right="-105"/>
            <w:rPr>
              <w:b/>
            </w:rPr>
          </w:pPr>
          <w:r>
            <w:rPr>
              <w:b/>
            </w:rPr>
            <w:t>Recurrente:</w:t>
          </w:r>
          <w:r>
            <w:rPr>
              <w:b/>
            </w:rPr>
            <w:tab/>
          </w:r>
        </w:p>
      </w:tc>
      <w:tc>
        <w:tcPr>
          <w:tcW w:w="4253" w:type="dxa"/>
          <w:shd w:val="clear" w:color="auto" w:fill="auto"/>
        </w:tcPr>
        <w:p w14:paraId="1F1B0537" w14:textId="6E1F1A21" w:rsidR="00DC6DC9" w:rsidRPr="00EF0C39" w:rsidRDefault="00457A60" w:rsidP="00530177">
          <w:r w:rsidRPr="00457A60">
            <w:rPr>
              <w:highlight w:val="black"/>
            </w:rPr>
            <w:t>XXXXXXXXXXX</w:t>
          </w:r>
        </w:p>
      </w:tc>
    </w:tr>
    <w:tr w:rsidR="00DC6DC9" w14:paraId="5113CAA6" w14:textId="77777777" w:rsidTr="00A932B6">
      <w:trPr>
        <w:trHeight w:val="261"/>
      </w:trPr>
      <w:tc>
        <w:tcPr>
          <w:tcW w:w="2551" w:type="dxa"/>
        </w:tcPr>
        <w:p w14:paraId="28E3431B" w14:textId="30EC7C18" w:rsidR="00DC6DC9" w:rsidRDefault="00DC6DC9">
          <w:pPr>
            <w:tabs>
              <w:tab w:val="right" w:pos="8838"/>
            </w:tabs>
            <w:ind w:right="-105"/>
            <w:rPr>
              <w:b/>
            </w:rPr>
          </w:pPr>
          <w:r>
            <w:rPr>
              <w:b/>
            </w:rPr>
            <w:t>Sujeto Obligado:</w:t>
          </w:r>
        </w:p>
      </w:tc>
      <w:tc>
        <w:tcPr>
          <w:tcW w:w="4253" w:type="dxa"/>
        </w:tcPr>
        <w:p w14:paraId="3192354E" w14:textId="0105608B" w:rsidR="00DC6DC9" w:rsidRPr="00026C6B" w:rsidRDefault="00DC6DC9" w:rsidP="00530177">
          <w:r>
            <w:t>Ayuntamiento de Metepec</w:t>
          </w:r>
        </w:p>
      </w:tc>
    </w:tr>
    <w:tr w:rsidR="00DC6DC9" w14:paraId="5D4C2A35" w14:textId="77777777" w:rsidTr="00A932B6">
      <w:trPr>
        <w:trHeight w:val="261"/>
      </w:trPr>
      <w:tc>
        <w:tcPr>
          <w:tcW w:w="2551" w:type="dxa"/>
        </w:tcPr>
        <w:p w14:paraId="7F522FEC" w14:textId="77777777" w:rsidR="00DC6DC9" w:rsidRDefault="00DC6DC9">
          <w:pPr>
            <w:tabs>
              <w:tab w:val="right" w:pos="8838"/>
            </w:tabs>
            <w:ind w:right="-105"/>
            <w:rPr>
              <w:b/>
            </w:rPr>
          </w:pPr>
          <w:r>
            <w:rPr>
              <w:b/>
            </w:rPr>
            <w:t>Comisionado Ponente:</w:t>
          </w:r>
        </w:p>
      </w:tc>
      <w:tc>
        <w:tcPr>
          <w:tcW w:w="4253" w:type="dxa"/>
        </w:tcPr>
        <w:p w14:paraId="0F0566F9" w14:textId="77777777" w:rsidR="00DC6DC9" w:rsidRPr="00EF0C39" w:rsidRDefault="00DC6DC9" w:rsidP="00C46A25">
          <w:pPr>
            <w:tabs>
              <w:tab w:val="right" w:pos="8838"/>
            </w:tabs>
            <w:ind w:right="-32"/>
            <w:rPr>
              <w:b/>
            </w:rPr>
          </w:pPr>
          <w:r w:rsidRPr="00EF0C39">
            <w:t>Luis Gustavo Parra Noriega</w:t>
          </w:r>
        </w:p>
      </w:tc>
    </w:tr>
  </w:tbl>
  <w:p w14:paraId="4DFC2598" w14:textId="77777777" w:rsidR="00DC6DC9" w:rsidRDefault="00655188">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9952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74DC6"/>
    <w:multiLevelType w:val="hybridMultilevel"/>
    <w:tmpl w:val="F5CC52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68060B"/>
    <w:multiLevelType w:val="hybridMultilevel"/>
    <w:tmpl w:val="20DCFD6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204F2B83"/>
    <w:multiLevelType w:val="hybridMultilevel"/>
    <w:tmpl w:val="1C80AF08"/>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F2D0CBB"/>
    <w:multiLevelType w:val="hybridMultilevel"/>
    <w:tmpl w:val="1C7E7F2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32BA52E2"/>
    <w:multiLevelType w:val="multilevel"/>
    <w:tmpl w:val="ABC8B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3912197E"/>
    <w:multiLevelType w:val="hybridMultilevel"/>
    <w:tmpl w:val="4296D3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DC040D1"/>
    <w:multiLevelType w:val="hybridMultilevel"/>
    <w:tmpl w:val="7436B6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43972916"/>
    <w:multiLevelType w:val="hybridMultilevel"/>
    <w:tmpl w:val="181EA8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A65CB2"/>
    <w:multiLevelType w:val="multilevel"/>
    <w:tmpl w:val="C1E85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8E67331"/>
    <w:multiLevelType w:val="multilevel"/>
    <w:tmpl w:val="C506FBE0"/>
    <w:lvl w:ilvl="0">
      <w:start w:val="1"/>
      <w:numFmt w:val="upperRoman"/>
      <w:lvlText w:val="%1."/>
      <w:lvlJc w:val="left"/>
      <w:pPr>
        <w:ind w:left="360" w:hanging="360"/>
      </w:pPr>
      <w:rPr>
        <w:rFonts w:ascii="Arial Narrow" w:eastAsiaTheme="minorEastAsia" w:hAnsi="Arial Narrow"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EFD18CA"/>
    <w:multiLevelType w:val="hybridMultilevel"/>
    <w:tmpl w:val="4E84722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4F7B6FA6"/>
    <w:multiLevelType w:val="hybridMultilevel"/>
    <w:tmpl w:val="C09CA8AC"/>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4" w15:restartNumberingAfterBreak="0">
    <w:nsid w:val="5BC13FEF"/>
    <w:multiLevelType w:val="hybridMultilevel"/>
    <w:tmpl w:val="F14E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EB769F4"/>
    <w:multiLevelType w:val="hybridMultilevel"/>
    <w:tmpl w:val="F224D99A"/>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6" w15:restartNumberingAfterBreak="0">
    <w:nsid w:val="62812C12"/>
    <w:multiLevelType w:val="hybridMultilevel"/>
    <w:tmpl w:val="DBDE7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5681494"/>
    <w:multiLevelType w:val="hybridMultilevel"/>
    <w:tmpl w:val="0D98BFD8"/>
    <w:lvl w:ilvl="0" w:tplc="EF820AE2">
      <w:start w:val="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A465246"/>
    <w:multiLevelType w:val="hybridMultilevel"/>
    <w:tmpl w:val="26422DB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D830F1D"/>
    <w:multiLevelType w:val="hybridMultilevel"/>
    <w:tmpl w:val="7EEEF0B4"/>
    <w:lvl w:ilvl="0" w:tplc="D9BC94D4">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73096AA9"/>
    <w:multiLevelType w:val="hybridMultilevel"/>
    <w:tmpl w:val="2118E54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53C625D"/>
    <w:multiLevelType w:val="hybridMultilevel"/>
    <w:tmpl w:val="9B684C8C"/>
    <w:lvl w:ilvl="0" w:tplc="080A000F">
      <w:start w:val="1"/>
      <w:numFmt w:val="decimal"/>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2" w15:restartNumberingAfterBreak="0">
    <w:nsid w:val="75C310F9"/>
    <w:multiLevelType w:val="hybridMultilevel"/>
    <w:tmpl w:val="F79A87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D12D8B"/>
    <w:multiLevelType w:val="hybridMultilevel"/>
    <w:tmpl w:val="B6BAB70E"/>
    <w:lvl w:ilvl="0" w:tplc="D9BC94D4">
      <w:start w:val="2"/>
      <w:numFmt w:val="bullet"/>
      <w:lvlText w:val="-"/>
      <w:lvlJc w:val="left"/>
      <w:pPr>
        <w:ind w:left="776" w:hanging="360"/>
      </w:pPr>
      <w:rPr>
        <w:rFonts w:ascii="Palatino Linotype" w:eastAsia="Palatino Linotype" w:hAnsi="Palatino Linotype" w:cs="Palatino Linotype"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24" w15:restartNumberingAfterBreak="0">
    <w:nsid w:val="779152CD"/>
    <w:multiLevelType w:val="hybridMultilevel"/>
    <w:tmpl w:val="7B5AAB1E"/>
    <w:lvl w:ilvl="0" w:tplc="EF820AE2">
      <w:start w:val="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79D412C2"/>
    <w:multiLevelType w:val="hybridMultilevel"/>
    <w:tmpl w:val="6D5285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A2E0A45"/>
    <w:multiLevelType w:val="hybridMultilevel"/>
    <w:tmpl w:val="714E2AC2"/>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9"/>
  </w:num>
  <w:num w:numId="2">
    <w:abstractNumId w:val="25"/>
  </w:num>
  <w:num w:numId="3">
    <w:abstractNumId w:val="19"/>
  </w:num>
  <w:num w:numId="4">
    <w:abstractNumId w:val="23"/>
  </w:num>
  <w:num w:numId="5">
    <w:abstractNumId w:val="0"/>
  </w:num>
  <w:num w:numId="6">
    <w:abstractNumId w:val="4"/>
  </w:num>
  <w:num w:numId="7">
    <w:abstractNumId w:val="10"/>
  </w:num>
  <w:num w:numId="8">
    <w:abstractNumId w:val="14"/>
  </w:num>
  <w:num w:numId="9">
    <w:abstractNumId w:val="15"/>
  </w:num>
  <w:num w:numId="10">
    <w:abstractNumId w:val="16"/>
  </w:num>
  <w:num w:numId="11">
    <w:abstractNumId w:val="18"/>
  </w:num>
  <w:num w:numId="12">
    <w:abstractNumId w:val="12"/>
  </w:num>
  <w:num w:numId="13">
    <w:abstractNumId w:val="27"/>
  </w:num>
  <w:num w:numId="14">
    <w:abstractNumId w:val="2"/>
  </w:num>
  <w:num w:numId="15">
    <w:abstractNumId w:val="22"/>
  </w:num>
  <w:num w:numId="16">
    <w:abstractNumId w:val="11"/>
  </w:num>
  <w:num w:numId="17">
    <w:abstractNumId w:val="17"/>
  </w:num>
  <w:num w:numId="18">
    <w:abstractNumId w:val="20"/>
  </w:num>
  <w:num w:numId="19">
    <w:abstractNumId w:val="24"/>
  </w:num>
  <w:num w:numId="20">
    <w:abstractNumId w:val="1"/>
  </w:num>
  <w:num w:numId="21">
    <w:abstractNumId w:val="21"/>
  </w:num>
  <w:num w:numId="22">
    <w:abstractNumId w:val="6"/>
  </w:num>
  <w:num w:numId="23">
    <w:abstractNumId w:val="13"/>
  </w:num>
  <w:num w:numId="24">
    <w:abstractNumId w:val="7"/>
  </w:num>
  <w:num w:numId="25">
    <w:abstractNumId w:val="26"/>
  </w:num>
  <w:num w:numId="26">
    <w:abstractNumId w:val="3"/>
  </w:num>
  <w:num w:numId="27">
    <w:abstractNumId w:val="8"/>
  </w:num>
  <w:num w:numId="2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3081"/>
    <w:rsid w:val="00004E81"/>
    <w:rsid w:val="000053EA"/>
    <w:rsid w:val="0000637C"/>
    <w:rsid w:val="00006A45"/>
    <w:rsid w:val="00010AA5"/>
    <w:rsid w:val="0001108B"/>
    <w:rsid w:val="00011477"/>
    <w:rsid w:val="00011608"/>
    <w:rsid w:val="00014169"/>
    <w:rsid w:val="00014EE2"/>
    <w:rsid w:val="00016290"/>
    <w:rsid w:val="000201B0"/>
    <w:rsid w:val="00020A2C"/>
    <w:rsid w:val="00021BE0"/>
    <w:rsid w:val="00023BBD"/>
    <w:rsid w:val="0002588C"/>
    <w:rsid w:val="00026B5A"/>
    <w:rsid w:val="00026C6B"/>
    <w:rsid w:val="0003084A"/>
    <w:rsid w:val="000316C2"/>
    <w:rsid w:val="00033026"/>
    <w:rsid w:val="0003318A"/>
    <w:rsid w:val="00033683"/>
    <w:rsid w:val="00033F2C"/>
    <w:rsid w:val="0003782D"/>
    <w:rsid w:val="0004134C"/>
    <w:rsid w:val="000417D0"/>
    <w:rsid w:val="000426D2"/>
    <w:rsid w:val="00043930"/>
    <w:rsid w:val="0004588A"/>
    <w:rsid w:val="00050159"/>
    <w:rsid w:val="00050E2E"/>
    <w:rsid w:val="00054542"/>
    <w:rsid w:val="00054B38"/>
    <w:rsid w:val="000602BA"/>
    <w:rsid w:val="00061123"/>
    <w:rsid w:val="000709AA"/>
    <w:rsid w:val="0007338A"/>
    <w:rsid w:val="000735F0"/>
    <w:rsid w:val="00075996"/>
    <w:rsid w:val="00075A71"/>
    <w:rsid w:val="00075CAF"/>
    <w:rsid w:val="00081D01"/>
    <w:rsid w:val="0008200A"/>
    <w:rsid w:val="0008295C"/>
    <w:rsid w:val="00082B5B"/>
    <w:rsid w:val="00083169"/>
    <w:rsid w:val="000866B0"/>
    <w:rsid w:val="00087074"/>
    <w:rsid w:val="00087EDB"/>
    <w:rsid w:val="0009167E"/>
    <w:rsid w:val="00092501"/>
    <w:rsid w:val="00092F85"/>
    <w:rsid w:val="00093CF1"/>
    <w:rsid w:val="000946F3"/>
    <w:rsid w:val="00094F3F"/>
    <w:rsid w:val="00095FB6"/>
    <w:rsid w:val="00096A18"/>
    <w:rsid w:val="00096C21"/>
    <w:rsid w:val="00096CFE"/>
    <w:rsid w:val="00097C52"/>
    <w:rsid w:val="000A0F62"/>
    <w:rsid w:val="000A10A6"/>
    <w:rsid w:val="000A2EA2"/>
    <w:rsid w:val="000A3910"/>
    <w:rsid w:val="000A5B44"/>
    <w:rsid w:val="000A706F"/>
    <w:rsid w:val="000B2470"/>
    <w:rsid w:val="000B3514"/>
    <w:rsid w:val="000B3C56"/>
    <w:rsid w:val="000B4503"/>
    <w:rsid w:val="000B49C4"/>
    <w:rsid w:val="000C0CBE"/>
    <w:rsid w:val="000C10A2"/>
    <w:rsid w:val="000C2831"/>
    <w:rsid w:val="000C4A35"/>
    <w:rsid w:val="000C567D"/>
    <w:rsid w:val="000C7D5D"/>
    <w:rsid w:val="000D04D2"/>
    <w:rsid w:val="000D1EFD"/>
    <w:rsid w:val="000D257F"/>
    <w:rsid w:val="000D39C1"/>
    <w:rsid w:val="000D3AD3"/>
    <w:rsid w:val="000D46ED"/>
    <w:rsid w:val="000D6774"/>
    <w:rsid w:val="000D7457"/>
    <w:rsid w:val="000E3169"/>
    <w:rsid w:val="000E420D"/>
    <w:rsid w:val="000E5E55"/>
    <w:rsid w:val="000F1CED"/>
    <w:rsid w:val="000F3B49"/>
    <w:rsid w:val="000F4583"/>
    <w:rsid w:val="000F4AC1"/>
    <w:rsid w:val="000F562C"/>
    <w:rsid w:val="000F6219"/>
    <w:rsid w:val="000F6E36"/>
    <w:rsid w:val="00103836"/>
    <w:rsid w:val="001055EA"/>
    <w:rsid w:val="001061B1"/>
    <w:rsid w:val="001065C6"/>
    <w:rsid w:val="00107B20"/>
    <w:rsid w:val="0011010D"/>
    <w:rsid w:val="001135C1"/>
    <w:rsid w:val="001150A1"/>
    <w:rsid w:val="00115992"/>
    <w:rsid w:val="00116C35"/>
    <w:rsid w:val="00122ED0"/>
    <w:rsid w:val="00122FBD"/>
    <w:rsid w:val="001232E3"/>
    <w:rsid w:val="00123FD7"/>
    <w:rsid w:val="00124AF7"/>
    <w:rsid w:val="00125905"/>
    <w:rsid w:val="00125F26"/>
    <w:rsid w:val="0012618B"/>
    <w:rsid w:val="00126AD3"/>
    <w:rsid w:val="001325F3"/>
    <w:rsid w:val="00132F29"/>
    <w:rsid w:val="00134465"/>
    <w:rsid w:val="001347CE"/>
    <w:rsid w:val="001418BD"/>
    <w:rsid w:val="00141BAD"/>
    <w:rsid w:val="00142492"/>
    <w:rsid w:val="001425CB"/>
    <w:rsid w:val="00142830"/>
    <w:rsid w:val="001434E7"/>
    <w:rsid w:val="00145736"/>
    <w:rsid w:val="00146A11"/>
    <w:rsid w:val="001479C0"/>
    <w:rsid w:val="00147F25"/>
    <w:rsid w:val="001502AB"/>
    <w:rsid w:val="001507E8"/>
    <w:rsid w:val="0015215C"/>
    <w:rsid w:val="00153139"/>
    <w:rsid w:val="00154208"/>
    <w:rsid w:val="0015453C"/>
    <w:rsid w:val="001548D6"/>
    <w:rsid w:val="001558BD"/>
    <w:rsid w:val="00155BD1"/>
    <w:rsid w:val="001566D4"/>
    <w:rsid w:val="001578F5"/>
    <w:rsid w:val="0016373E"/>
    <w:rsid w:val="00163D9F"/>
    <w:rsid w:val="00164F5C"/>
    <w:rsid w:val="00165AB2"/>
    <w:rsid w:val="00166452"/>
    <w:rsid w:val="00166907"/>
    <w:rsid w:val="00166A42"/>
    <w:rsid w:val="00170ACC"/>
    <w:rsid w:val="001710C6"/>
    <w:rsid w:val="001710E2"/>
    <w:rsid w:val="0017245F"/>
    <w:rsid w:val="00174A6C"/>
    <w:rsid w:val="00175910"/>
    <w:rsid w:val="001768EB"/>
    <w:rsid w:val="00180BCA"/>
    <w:rsid w:val="0018152F"/>
    <w:rsid w:val="00181D59"/>
    <w:rsid w:val="00184025"/>
    <w:rsid w:val="00184ED6"/>
    <w:rsid w:val="00187215"/>
    <w:rsid w:val="00192C48"/>
    <w:rsid w:val="00195EC3"/>
    <w:rsid w:val="00196026"/>
    <w:rsid w:val="0019787E"/>
    <w:rsid w:val="001A0321"/>
    <w:rsid w:val="001A2062"/>
    <w:rsid w:val="001A31A2"/>
    <w:rsid w:val="001A5B6F"/>
    <w:rsid w:val="001A6C0E"/>
    <w:rsid w:val="001B2090"/>
    <w:rsid w:val="001B34AA"/>
    <w:rsid w:val="001B7EFB"/>
    <w:rsid w:val="001C4E41"/>
    <w:rsid w:val="001C638A"/>
    <w:rsid w:val="001D1635"/>
    <w:rsid w:val="001D24CD"/>
    <w:rsid w:val="001D304F"/>
    <w:rsid w:val="001D3FB9"/>
    <w:rsid w:val="001D4F21"/>
    <w:rsid w:val="001D5DBE"/>
    <w:rsid w:val="001D7D0E"/>
    <w:rsid w:val="001E4231"/>
    <w:rsid w:val="001E4284"/>
    <w:rsid w:val="001E4ECA"/>
    <w:rsid w:val="001E6077"/>
    <w:rsid w:val="001F285F"/>
    <w:rsid w:val="001F6E7A"/>
    <w:rsid w:val="001F6FD5"/>
    <w:rsid w:val="002025F4"/>
    <w:rsid w:val="00203F8C"/>
    <w:rsid w:val="00204DE3"/>
    <w:rsid w:val="0020727C"/>
    <w:rsid w:val="00211CD8"/>
    <w:rsid w:val="002130F8"/>
    <w:rsid w:val="00214BAB"/>
    <w:rsid w:val="002217AE"/>
    <w:rsid w:val="00222652"/>
    <w:rsid w:val="00223487"/>
    <w:rsid w:val="002238B8"/>
    <w:rsid w:val="00227456"/>
    <w:rsid w:val="00230985"/>
    <w:rsid w:val="00230B8F"/>
    <w:rsid w:val="002325C9"/>
    <w:rsid w:val="002361FE"/>
    <w:rsid w:val="002422B8"/>
    <w:rsid w:val="00243764"/>
    <w:rsid w:val="002475DE"/>
    <w:rsid w:val="00250B87"/>
    <w:rsid w:val="00251665"/>
    <w:rsid w:val="00252910"/>
    <w:rsid w:val="002529AD"/>
    <w:rsid w:val="00252A2A"/>
    <w:rsid w:val="00253448"/>
    <w:rsid w:val="00253A9C"/>
    <w:rsid w:val="0025520C"/>
    <w:rsid w:val="0025724A"/>
    <w:rsid w:val="00257C2B"/>
    <w:rsid w:val="002613CD"/>
    <w:rsid w:val="0026163E"/>
    <w:rsid w:val="00261B92"/>
    <w:rsid w:val="00261CB4"/>
    <w:rsid w:val="00261DF6"/>
    <w:rsid w:val="002621D4"/>
    <w:rsid w:val="0026345D"/>
    <w:rsid w:val="00265B2F"/>
    <w:rsid w:val="00266E26"/>
    <w:rsid w:val="00267457"/>
    <w:rsid w:val="00267F8C"/>
    <w:rsid w:val="00271E85"/>
    <w:rsid w:val="00273A4E"/>
    <w:rsid w:val="00274745"/>
    <w:rsid w:val="00275184"/>
    <w:rsid w:val="00280625"/>
    <w:rsid w:val="00280CF8"/>
    <w:rsid w:val="00282176"/>
    <w:rsid w:val="002822A3"/>
    <w:rsid w:val="002862CA"/>
    <w:rsid w:val="002870D5"/>
    <w:rsid w:val="00287374"/>
    <w:rsid w:val="0029130B"/>
    <w:rsid w:val="00291318"/>
    <w:rsid w:val="0029310D"/>
    <w:rsid w:val="00293A22"/>
    <w:rsid w:val="00294300"/>
    <w:rsid w:val="00294C03"/>
    <w:rsid w:val="00295482"/>
    <w:rsid w:val="0029784D"/>
    <w:rsid w:val="002A02CD"/>
    <w:rsid w:val="002A0C92"/>
    <w:rsid w:val="002A2731"/>
    <w:rsid w:val="002A376A"/>
    <w:rsid w:val="002A3A8E"/>
    <w:rsid w:val="002A5DEB"/>
    <w:rsid w:val="002A6495"/>
    <w:rsid w:val="002B065D"/>
    <w:rsid w:val="002B17F0"/>
    <w:rsid w:val="002B2A1D"/>
    <w:rsid w:val="002B2FEA"/>
    <w:rsid w:val="002B5A2D"/>
    <w:rsid w:val="002B772B"/>
    <w:rsid w:val="002C0C3A"/>
    <w:rsid w:val="002C1B55"/>
    <w:rsid w:val="002C4A39"/>
    <w:rsid w:val="002C516D"/>
    <w:rsid w:val="002C531D"/>
    <w:rsid w:val="002C7C43"/>
    <w:rsid w:val="002D2107"/>
    <w:rsid w:val="002D2619"/>
    <w:rsid w:val="002D2A77"/>
    <w:rsid w:val="002D2BA9"/>
    <w:rsid w:val="002D6439"/>
    <w:rsid w:val="002D7CDE"/>
    <w:rsid w:val="002E2627"/>
    <w:rsid w:val="002E34B7"/>
    <w:rsid w:val="002E363F"/>
    <w:rsid w:val="002E47B1"/>
    <w:rsid w:val="002E5C60"/>
    <w:rsid w:val="002E6125"/>
    <w:rsid w:val="002F0526"/>
    <w:rsid w:val="002F08A1"/>
    <w:rsid w:val="002F12B4"/>
    <w:rsid w:val="002F389A"/>
    <w:rsid w:val="002F44A5"/>
    <w:rsid w:val="002F5845"/>
    <w:rsid w:val="002F5AA8"/>
    <w:rsid w:val="002F5CFB"/>
    <w:rsid w:val="002F72B7"/>
    <w:rsid w:val="0030116D"/>
    <w:rsid w:val="00302BCB"/>
    <w:rsid w:val="003037BC"/>
    <w:rsid w:val="00303A1B"/>
    <w:rsid w:val="00303BA0"/>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26DD8"/>
    <w:rsid w:val="00330566"/>
    <w:rsid w:val="00330942"/>
    <w:rsid w:val="00333468"/>
    <w:rsid w:val="0033408C"/>
    <w:rsid w:val="003344EB"/>
    <w:rsid w:val="0033681E"/>
    <w:rsid w:val="00336E20"/>
    <w:rsid w:val="00341669"/>
    <w:rsid w:val="00342465"/>
    <w:rsid w:val="00345E3B"/>
    <w:rsid w:val="00353296"/>
    <w:rsid w:val="0035368D"/>
    <w:rsid w:val="00354255"/>
    <w:rsid w:val="00354A13"/>
    <w:rsid w:val="00355D05"/>
    <w:rsid w:val="00356E1B"/>
    <w:rsid w:val="003602C9"/>
    <w:rsid w:val="0036042F"/>
    <w:rsid w:val="00360B94"/>
    <w:rsid w:val="00362C73"/>
    <w:rsid w:val="00362F24"/>
    <w:rsid w:val="003663BF"/>
    <w:rsid w:val="00366BB8"/>
    <w:rsid w:val="0037148A"/>
    <w:rsid w:val="00371D4E"/>
    <w:rsid w:val="003754BB"/>
    <w:rsid w:val="00376AEF"/>
    <w:rsid w:val="00381132"/>
    <w:rsid w:val="003814AE"/>
    <w:rsid w:val="0038398F"/>
    <w:rsid w:val="00384E94"/>
    <w:rsid w:val="00385FC1"/>
    <w:rsid w:val="003876F1"/>
    <w:rsid w:val="00390A24"/>
    <w:rsid w:val="00391317"/>
    <w:rsid w:val="0039615C"/>
    <w:rsid w:val="003A208C"/>
    <w:rsid w:val="003A2B31"/>
    <w:rsid w:val="003A47C4"/>
    <w:rsid w:val="003A4CF8"/>
    <w:rsid w:val="003A4EEC"/>
    <w:rsid w:val="003A6890"/>
    <w:rsid w:val="003B0AAF"/>
    <w:rsid w:val="003B29DB"/>
    <w:rsid w:val="003B3C6F"/>
    <w:rsid w:val="003B5A66"/>
    <w:rsid w:val="003B6F0C"/>
    <w:rsid w:val="003C13CD"/>
    <w:rsid w:val="003C28F2"/>
    <w:rsid w:val="003C462B"/>
    <w:rsid w:val="003C7338"/>
    <w:rsid w:val="003D0D51"/>
    <w:rsid w:val="003D1DC8"/>
    <w:rsid w:val="003D25DC"/>
    <w:rsid w:val="003D35DB"/>
    <w:rsid w:val="003D6C3F"/>
    <w:rsid w:val="003E1C9F"/>
    <w:rsid w:val="003E20C8"/>
    <w:rsid w:val="003E33FE"/>
    <w:rsid w:val="003E540A"/>
    <w:rsid w:val="003E738B"/>
    <w:rsid w:val="003F0A87"/>
    <w:rsid w:val="003F1D74"/>
    <w:rsid w:val="003F2BF4"/>
    <w:rsid w:val="003F2C8E"/>
    <w:rsid w:val="003F4C6D"/>
    <w:rsid w:val="003F5F91"/>
    <w:rsid w:val="003F6C55"/>
    <w:rsid w:val="0040001F"/>
    <w:rsid w:val="0040104F"/>
    <w:rsid w:val="0041096D"/>
    <w:rsid w:val="00417AAE"/>
    <w:rsid w:val="00417F3A"/>
    <w:rsid w:val="00420209"/>
    <w:rsid w:val="004214D5"/>
    <w:rsid w:val="00422311"/>
    <w:rsid w:val="00427D72"/>
    <w:rsid w:val="00430712"/>
    <w:rsid w:val="004326F9"/>
    <w:rsid w:val="004344E3"/>
    <w:rsid w:val="00434B43"/>
    <w:rsid w:val="004352C6"/>
    <w:rsid w:val="00436F80"/>
    <w:rsid w:val="00437832"/>
    <w:rsid w:val="0044017B"/>
    <w:rsid w:val="00442432"/>
    <w:rsid w:val="0044320C"/>
    <w:rsid w:val="0044451C"/>
    <w:rsid w:val="00446CA3"/>
    <w:rsid w:val="004479B9"/>
    <w:rsid w:val="0045046D"/>
    <w:rsid w:val="004532D6"/>
    <w:rsid w:val="00455EA5"/>
    <w:rsid w:val="00456B23"/>
    <w:rsid w:val="00457A60"/>
    <w:rsid w:val="00461DF2"/>
    <w:rsid w:val="004649E0"/>
    <w:rsid w:val="00467659"/>
    <w:rsid w:val="00471E99"/>
    <w:rsid w:val="004721AA"/>
    <w:rsid w:val="00473151"/>
    <w:rsid w:val="00473CBF"/>
    <w:rsid w:val="00474793"/>
    <w:rsid w:val="00475E62"/>
    <w:rsid w:val="00481F23"/>
    <w:rsid w:val="00483320"/>
    <w:rsid w:val="00484E27"/>
    <w:rsid w:val="0049788F"/>
    <w:rsid w:val="004A0F0F"/>
    <w:rsid w:val="004A10E6"/>
    <w:rsid w:val="004A7E8F"/>
    <w:rsid w:val="004B0B23"/>
    <w:rsid w:val="004B0C65"/>
    <w:rsid w:val="004B27E7"/>
    <w:rsid w:val="004B33EF"/>
    <w:rsid w:val="004B58D3"/>
    <w:rsid w:val="004B7343"/>
    <w:rsid w:val="004B73FB"/>
    <w:rsid w:val="004B79A3"/>
    <w:rsid w:val="004C21E6"/>
    <w:rsid w:val="004C3D5C"/>
    <w:rsid w:val="004C426B"/>
    <w:rsid w:val="004C465F"/>
    <w:rsid w:val="004C56AA"/>
    <w:rsid w:val="004C6321"/>
    <w:rsid w:val="004D1D8F"/>
    <w:rsid w:val="004D243B"/>
    <w:rsid w:val="004D4A56"/>
    <w:rsid w:val="004D63D9"/>
    <w:rsid w:val="004E0AD6"/>
    <w:rsid w:val="004E22FF"/>
    <w:rsid w:val="004E3063"/>
    <w:rsid w:val="004E47CC"/>
    <w:rsid w:val="004F0490"/>
    <w:rsid w:val="004F2CA0"/>
    <w:rsid w:val="004F56D3"/>
    <w:rsid w:val="004F59FB"/>
    <w:rsid w:val="004F76F4"/>
    <w:rsid w:val="004F7F19"/>
    <w:rsid w:val="00500B4F"/>
    <w:rsid w:val="005018D0"/>
    <w:rsid w:val="00503363"/>
    <w:rsid w:val="00506126"/>
    <w:rsid w:val="0051107B"/>
    <w:rsid w:val="00511BE4"/>
    <w:rsid w:val="00511E76"/>
    <w:rsid w:val="00512046"/>
    <w:rsid w:val="00512879"/>
    <w:rsid w:val="00513016"/>
    <w:rsid w:val="0051497B"/>
    <w:rsid w:val="00515399"/>
    <w:rsid w:val="00521F1D"/>
    <w:rsid w:val="00521F47"/>
    <w:rsid w:val="00522A47"/>
    <w:rsid w:val="00523008"/>
    <w:rsid w:val="00524283"/>
    <w:rsid w:val="00525A14"/>
    <w:rsid w:val="00525B28"/>
    <w:rsid w:val="00526EC4"/>
    <w:rsid w:val="0052732A"/>
    <w:rsid w:val="00527563"/>
    <w:rsid w:val="00530177"/>
    <w:rsid w:val="005302BB"/>
    <w:rsid w:val="00530B10"/>
    <w:rsid w:val="0053198B"/>
    <w:rsid w:val="00531A8A"/>
    <w:rsid w:val="00535A8D"/>
    <w:rsid w:val="00536D42"/>
    <w:rsid w:val="00537C32"/>
    <w:rsid w:val="00545D04"/>
    <w:rsid w:val="00546485"/>
    <w:rsid w:val="00550174"/>
    <w:rsid w:val="00550C0B"/>
    <w:rsid w:val="00550D62"/>
    <w:rsid w:val="005520E3"/>
    <w:rsid w:val="00552C67"/>
    <w:rsid w:val="005569DD"/>
    <w:rsid w:val="00562D89"/>
    <w:rsid w:val="0056443F"/>
    <w:rsid w:val="005671F8"/>
    <w:rsid w:val="005723B8"/>
    <w:rsid w:val="00572946"/>
    <w:rsid w:val="005732F8"/>
    <w:rsid w:val="00580345"/>
    <w:rsid w:val="005816DE"/>
    <w:rsid w:val="00582FC0"/>
    <w:rsid w:val="0058492B"/>
    <w:rsid w:val="00585C29"/>
    <w:rsid w:val="0058767A"/>
    <w:rsid w:val="00590FB7"/>
    <w:rsid w:val="005914EE"/>
    <w:rsid w:val="00596618"/>
    <w:rsid w:val="005A0A77"/>
    <w:rsid w:val="005A0A9C"/>
    <w:rsid w:val="005A39F4"/>
    <w:rsid w:val="005A79D9"/>
    <w:rsid w:val="005A7C36"/>
    <w:rsid w:val="005B21C9"/>
    <w:rsid w:val="005B6BFA"/>
    <w:rsid w:val="005B7795"/>
    <w:rsid w:val="005C03D2"/>
    <w:rsid w:val="005C20B7"/>
    <w:rsid w:val="005C23C7"/>
    <w:rsid w:val="005C3BAC"/>
    <w:rsid w:val="005C4598"/>
    <w:rsid w:val="005C4CCD"/>
    <w:rsid w:val="005C6174"/>
    <w:rsid w:val="005C690F"/>
    <w:rsid w:val="005C6E2D"/>
    <w:rsid w:val="005C757F"/>
    <w:rsid w:val="005D0D88"/>
    <w:rsid w:val="005D1E83"/>
    <w:rsid w:val="005D2071"/>
    <w:rsid w:val="005D22D8"/>
    <w:rsid w:val="005D31EC"/>
    <w:rsid w:val="005D38F1"/>
    <w:rsid w:val="005D4959"/>
    <w:rsid w:val="005D53B0"/>
    <w:rsid w:val="005D73EF"/>
    <w:rsid w:val="005E16CC"/>
    <w:rsid w:val="005E717C"/>
    <w:rsid w:val="005F199D"/>
    <w:rsid w:val="005F36FE"/>
    <w:rsid w:val="005F38B6"/>
    <w:rsid w:val="005F4738"/>
    <w:rsid w:val="005F4B93"/>
    <w:rsid w:val="005F5006"/>
    <w:rsid w:val="005F5498"/>
    <w:rsid w:val="005F773E"/>
    <w:rsid w:val="005F785A"/>
    <w:rsid w:val="00600A20"/>
    <w:rsid w:val="006025BA"/>
    <w:rsid w:val="00602E5C"/>
    <w:rsid w:val="006033D0"/>
    <w:rsid w:val="006037C1"/>
    <w:rsid w:val="00603940"/>
    <w:rsid w:val="006059DA"/>
    <w:rsid w:val="00606B1A"/>
    <w:rsid w:val="0061069B"/>
    <w:rsid w:val="006207EF"/>
    <w:rsid w:val="00621F2D"/>
    <w:rsid w:val="00622401"/>
    <w:rsid w:val="00622CFB"/>
    <w:rsid w:val="006241B8"/>
    <w:rsid w:val="006242F2"/>
    <w:rsid w:val="00624488"/>
    <w:rsid w:val="006245B4"/>
    <w:rsid w:val="006271E6"/>
    <w:rsid w:val="006272E2"/>
    <w:rsid w:val="00627513"/>
    <w:rsid w:val="00631035"/>
    <w:rsid w:val="00631EA9"/>
    <w:rsid w:val="006328FE"/>
    <w:rsid w:val="00632F61"/>
    <w:rsid w:val="00635A27"/>
    <w:rsid w:val="00637B1E"/>
    <w:rsid w:val="0064067B"/>
    <w:rsid w:val="006408E9"/>
    <w:rsid w:val="006409F3"/>
    <w:rsid w:val="006418B3"/>
    <w:rsid w:val="006430B1"/>
    <w:rsid w:val="00644832"/>
    <w:rsid w:val="00644B2E"/>
    <w:rsid w:val="0065190E"/>
    <w:rsid w:val="00654DE3"/>
    <w:rsid w:val="00655188"/>
    <w:rsid w:val="00655B7F"/>
    <w:rsid w:val="00655E6B"/>
    <w:rsid w:val="00656357"/>
    <w:rsid w:val="006573B9"/>
    <w:rsid w:val="00660AAD"/>
    <w:rsid w:val="00661603"/>
    <w:rsid w:val="0066178F"/>
    <w:rsid w:val="00661B94"/>
    <w:rsid w:val="00662C70"/>
    <w:rsid w:val="00662D89"/>
    <w:rsid w:val="0066640F"/>
    <w:rsid w:val="006664D4"/>
    <w:rsid w:val="00667473"/>
    <w:rsid w:val="00667F81"/>
    <w:rsid w:val="00670EAA"/>
    <w:rsid w:val="006715A0"/>
    <w:rsid w:val="00671B38"/>
    <w:rsid w:val="00671BB1"/>
    <w:rsid w:val="006731C7"/>
    <w:rsid w:val="00673306"/>
    <w:rsid w:val="00674DAF"/>
    <w:rsid w:val="00674E18"/>
    <w:rsid w:val="00680F20"/>
    <w:rsid w:val="00684E69"/>
    <w:rsid w:val="006861C3"/>
    <w:rsid w:val="00687917"/>
    <w:rsid w:val="00687BCB"/>
    <w:rsid w:val="00690202"/>
    <w:rsid w:val="0069037C"/>
    <w:rsid w:val="00692763"/>
    <w:rsid w:val="00692CEE"/>
    <w:rsid w:val="00694971"/>
    <w:rsid w:val="0069657C"/>
    <w:rsid w:val="006A0CDD"/>
    <w:rsid w:val="006B083B"/>
    <w:rsid w:val="006B3839"/>
    <w:rsid w:val="006B4C0B"/>
    <w:rsid w:val="006C0BD7"/>
    <w:rsid w:val="006C1573"/>
    <w:rsid w:val="006C25E4"/>
    <w:rsid w:val="006C3470"/>
    <w:rsid w:val="006C43E9"/>
    <w:rsid w:val="006C4CE5"/>
    <w:rsid w:val="006C6EBC"/>
    <w:rsid w:val="006C7CD1"/>
    <w:rsid w:val="006C7E76"/>
    <w:rsid w:val="006D16BD"/>
    <w:rsid w:val="006D1CE7"/>
    <w:rsid w:val="006D2366"/>
    <w:rsid w:val="006D2960"/>
    <w:rsid w:val="006D49E4"/>
    <w:rsid w:val="006D4ADC"/>
    <w:rsid w:val="006D65A5"/>
    <w:rsid w:val="006D6790"/>
    <w:rsid w:val="006D7FDA"/>
    <w:rsid w:val="006E1B5C"/>
    <w:rsid w:val="006E33C5"/>
    <w:rsid w:val="006E72D4"/>
    <w:rsid w:val="006E7C4E"/>
    <w:rsid w:val="006E7CFC"/>
    <w:rsid w:val="006F134A"/>
    <w:rsid w:val="006F1838"/>
    <w:rsid w:val="006F272D"/>
    <w:rsid w:val="006F2A1D"/>
    <w:rsid w:val="006F4CC9"/>
    <w:rsid w:val="006F62BB"/>
    <w:rsid w:val="006F6A6E"/>
    <w:rsid w:val="006F79F1"/>
    <w:rsid w:val="006F7CBF"/>
    <w:rsid w:val="007001B2"/>
    <w:rsid w:val="00702D5F"/>
    <w:rsid w:val="00702D92"/>
    <w:rsid w:val="007041F9"/>
    <w:rsid w:val="00704B14"/>
    <w:rsid w:val="00705FBB"/>
    <w:rsid w:val="0070680E"/>
    <w:rsid w:val="00707ECD"/>
    <w:rsid w:val="0071036C"/>
    <w:rsid w:val="00710675"/>
    <w:rsid w:val="00712ED6"/>
    <w:rsid w:val="00716DFD"/>
    <w:rsid w:val="00717D87"/>
    <w:rsid w:val="007228F7"/>
    <w:rsid w:val="00722AD1"/>
    <w:rsid w:val="007248C4"/>
    <w:rsid w:val="007279D2"/>
    <w:rsid w:val="0073003B"/>
    <w:rsid w:val="00730D6D"/>
    <w:rsid w:val="00731FB9"/>
    <w:rsid w:val="007325C9"/>
    <w:rsid w:val="007331D2"/>
    <w:rsid w:val="00735B3E"/>
    <w:rsid w:val="00741DC7"/>
    <w:rsid w:val="007428C7"/>
    <w:rsid w:val="00743915"/>
    <w:rsid w:val="0074523A"/>
    <w:rsid w:val="00747CDF"/>
    <w:rsid w:val="00751A94"/>
    <w:rsid w:val="00754528"/>
    <w:rsid w:val="00754B31"/>
    <w:rsid w:val="00757B0A"/>
    <w:rsid w:val="00761F4A"/>
    <w:rsid w:val="00762A7C"/>
    <w:rsid w:val="00764BBE"/>
    <w:rsid w:val="00766007"/>
    <w:rsid w:val="0076657F"/>
    <w:rsid w:val="007709FF"/>
    <w:rsid w:val="00770BF5"/>
    <w:rsid w:val="00770DC0"/>
    <w:rsid w:val="00770E69"/>
    <w:rsid w:val="00771614"/>
    <w:rsid w:val="007723F6"/>
    <w:rsid w:val="00775391"/>
    <w:rsid w:val="0077760E"/>
    <w:rsid w:val="00781F61"/>
    <w:rsid w:val="007823A6"/>
    <w:rsid w:val="0078286D"/>
    <w:rsid w:val="00782D16"/>
    <w:rsid w:val="00783335"/>
    <w:rsid w:val="00784CEA"/>
    <w:rsid w:val="00792220"/>
    <w:rsid w:val="00792309"/>
    <w:rsid w:val="00796030"/>
    <w:rsid w:val="007962A6"/>
    <w:rsid w:val="00796712"/>
    <w:rsid w:val="007A097D"/>
    <w:rsid w:val="007A0BC3"/>
    <w:rsid w:val="007A1ACB"/>
    <w:rsid w:val="007A2872"/>
    <w:rsid w:val="007A2DEA"/>
    <w:rsid w:val="007A3334"/>
    <w:rsid w:val="007A540E"/>
    <w:rsid w:val="007A6A27"/>
    <w:rsid w:val="007A6E8C"/>
    <w:rsid w:val="007B0293"/>
    <w:rsid w:val="007B3313"/>
    <w:rsid w:val="007B38A7"/>
    <w:rsid w:val="007B4143"/>
    <w:rsid w:val="007B4717"/>
    <w:rsid w:val="007B4DAD"/>
    <w:rsid w:val="007B4E28"/>
    <w:rsid w:val="007B58B9"/>
    <w:rsid w:val="007B5B46"/>
    <w:rsid w:val="007B5CE4"/>
    <w:rsid w:val="007B65AB"/>
    <w:rsid w:val="007B6891"/>
    <w:rsid w:val="007B6F45"/>
    <w:rsid w:val="007C02D1"/>
    <w:rsid w:val="007C3883"/>
    <w:rsid w:val="007C636E"/>
    <w:rsid w:val="007C73F4"/>
    <w:rsid w:val="007C76F2"/>
    <w:rsid w:val="007C7BAF"/>
    <w:rsid w:val="007D04B8"/>
    <w:rsid w:val="007D086D"/>
    <w:rsid w:val="007D354B"/>
    <w:rsid w:val="007D40C0"/>
    <w:rsid w:val="007D6307"/>
    <w:rsid w:val="007E0603"/>
    <w:rsid w:val="007E172B"/>
    <w:rsid w:val="007E1EF5"/>
    <w:rsid w:val="007E25E4"/>
    <w:rsid w:val="007E3180"/>
    <w:rsid w:val="007E62D4"/>
    <w:rsid w:val="007E64DE"/>
    <w:rsid w:val="007E6532"/>
    <w:rsid w:val="007E65E1"/>
    <w:rsid w:val="007E79A0"/>
    <w:rsid w:val="007E7B3F"/>
    <w:rsid w:val="007F04A3"/>
    <w:rsid w:val="007F1D63"/>
    <w:rsid w:val="007F3967"/>
    <w:rsid w:val="007F4407"/>
    <w:rsid w:val="007F6273"/>
    <w:rsid w:val="007F75BA"/>
    <w:rsid w:val="00800641"/>
    <w:rsid w:val="008027F2"/>
    <w:rsid w:val="00803119"/>
    <w:rsid w:val="00803884"/>
    <w:rsid w:val="00803F31"/>
    <w:rsid w:val="00805FC6"/>
    <w:rsid w:val="0081186D"/>
    <w:rsid w:val="00812FF1"/>
    <w:rsid w:val="0081756A"/>
    <w:rsid w:val="008201FA"/>
    <w:rsid w:val="008234EA"/>
    <w:rsid w:val="008251FB"/>
    <w:rsid w:val="008256E2"/>
    <w:rsid w:val="00826071"/>
    <w:rsid w:val="00826DC4"/>
    <w:rsid w:val="00826E84"/>
    <w:rsid w:val="00830986"/>
    <w:rsid w:val="00836749"/>
    <w:rsid w:val="008416D9"/>
    <w:rsid w:val="008441D0"/>
    <w:rsid w:val="00844BF7"/>
    <w:rsid w:val="008473B9"/>
    <w:rsid w:val="00850BF6"/>
    <w:rsid w:val="00853060"/>
    <w:rsid w:val="00853828"/>
    <w:rsid w:val="00853A05"/>
    <w:rsid w:val="00853AA3"/>
    <w:rsid w:val="008546E5"/>
    <w:rsid w:val="0085490B"/>
    <w:rsid w:val="00861374"/>
    <w:rsid w:val="008614CC"/>
    <w:rsid w:val="0086265B"/>
    <w:rsid w:val="0086309F"/>
    <w:rsid w:val="008638A5"/>
    <w:rsid w:val="00864C7E"/>
    <w:rsid w:val="008659CE"/>
    <w:rsid w:val="008758D4"/>
    <w:rsid w:val="00877B42"/>
    <w:rsid w:val="00880C05"/>
    <w:rsid w:val="00880C7E"/>
    <w:rsid w:val="00881288"/>
    <w:rsid w:val="0088400C"/>
    <w:rsid w:val="00884148"/>
    <w:rsid w:val="00884812"/>
    <w:rsid w:val="00884B61"/>
    <w:rsid w:val="008870EB"/>
    <w:rsid w:val="008932E1"/>
    <w:rsid w:val="00893474"/>
    <w:rsid w:val="008956AA"/>
    <w:rsid w:val="00897A05"/>
    <w:rsid w:val="008A1159"/>
    <w:rsid w:val="008A1573"/>
    <w:rsid w:val="008A233A"/>
    <w:rsid w:val="008A460F"/>
    <w:rsid w:val="008A60AE"/>
    <w:rsid w:val="008A64DD"/>
    <w:rsid w:val="008B21BC"/>
    <w:rsid w:val="008B270A"/>
    <w:rsid w:val="008B2A21"/>
    <w:rsid w:val="008B6B4C"/>
    <w:rsid w:val="008B7D4E"/>
    <w:rsid w:val="008C12D8"/>
    <w:rsid w:val="008C1F18"/>
    <w:rsid w:val="008C266D"/>
    <w:rsid w:val="008C37E8"/>
    <w:rsid w:val="008C40B1"/>
    <w:rsid w:val="008D2477"/>
    <w:rsid w:val="008D278C"/>
    <w:rsid w:val="008D28E1"/>
    <w:rsid w:val="008D3B3F"/>
    <w:rsid w:val="008D43A8"/>
    <w:rsid w:val="008D46FC"/>
    <w:rsid w:val="008D58F4"/>
    <w:rsid w:val="008D7C22"/>
    <w:rsid w:val="008E0D53"/>
    <w:rsid w:val="008E0DC4"/>
    <w:rsid w:val="008E298E"/>
    <w:rsid w:val="008E5E71"/>
    <w:rsid w:val="008E7959"/>
    <w:rsid w:val="008F0749"/>
    <w:rsid w:val="008F4E82"/>
    <w:rsid w:val="008F5A51"/>
    <w:rsid w:val="008F5C58"/>
    <w:rsid w:val="008F6B1C"/>
    <w:rsid w:val="009001E8"/>
    <w:rsid w:val="009008DC"/>
    <w:rsid w:val="00900916"/>
    <w:rsid w:val="009019A8"/>
    <w:rsid w:val="00902925"/>
    <w:rsid w:val="0090431D"/>
    <w:rsid w:val="009048A7"/>
    <w:rsid w:val="00905638"/>
    <w:rsid w:val="00910872"/>
    <w:rsid w:val="0091204C"/>
    <w:rsid w:val="00913AC7"/>
    <w:rsid w:val="00915E1E"/>
    <w:rsid w:val="00916347"/>
    <w:rsid w:val="00920066"/>
    <w:rsid w:val="00922F61"/>
    <w:rsid w:val="009231D6"/>
    <w:rsid w:val="00926758"/>
    <w:rsid w:val="00927131"/>
    <w:rsid w:val="00930FCC"/>
    <w:rsid w:val="009319F4"/>
    <w:rsid w:val="00932125"/>
    <w:rsid w:val="00933E27"/>
    <w:rsid w:val="00933F08"/>
    <w:rsid w:val="00934D26"/>
    <w:rsid w:val="00937325"/>
    <w:rsid w:val="00937C87"/>
    <w:rsid w:val="00940831"/>
    <w:rsid w:val="00940E97"/>
    <w:rsid w:val="00943435"/>
    <w:rsid w:val="009448BC"/>
    <w:rsid w:val="00945CB8"/>
    <w:rsid w:val="009502F9"/>
    <w:rsid w:val="00950D76"/>
    <w:rsid w:val="00950ED4"/>
    <w:rsid w:val="0095477E"/>
    <w:rsid w:val="0095571A"/>
    <w:rsid w:val="00956E0E"/>
    <w:rsid w:val="00957EED"/>
    <w:rsid w:val="00960DEA"/>
    <w:rsid w:val="00960E46"/>
    <w:rsid w:val="00962084"/>
    <w:rsid w:val="00962C51"/>
    <w:rsid w:val="00963E6F"/>
    <w:rsid w:val="009643D0"/>
    <w:rsid w:val="00965741"/>
    <w:rsid w:val="00966BF0"/>
    <w:rsid w:val="00970F71"/>
    <w:rsid w:val="00972243"/>
    <w:rsid w:val="009739BA"/>
    <w:rsid w:val="00974325"/>
    <w:rsid w:val="0097583D"/>
    <w:rsid w:val="00977989"/>
    <w:rsid w:val="00983208"/>
    <w:rsid w:val="00983A37"/>
    <w:rsid w:val="00983F77"/>
    <w:rsid w:val="00986D91"/>
    <w:rsid w:val="0098781A"/>
    <w:rsid w:val="00992530"/>
    <w:rsid w:val="00992901"/>
    <w:rsid w:val="009948FA"/>
    <w:rsid w:val="00996BDA"/>
    <w:rsid w:val="009973CB"/>
    <w:rsid w:val="009A312A"/>
    <w:rsid w:val="009A5516"/>
    <w:rsid w:val="009A5A8E"/>
    <w:rsid w:val="009B0BB2"/>
    <w:rsid w:val="009B1B0E"/>
    <w:rsid w:val="009B2DAB"/>
    <w:rsid w:val="009B3CF8"/>
    <w:rsid w:val="009B614F"/>
    <w:rsid w:val="009B7450"/>
    <w:rsid w:val="009C04AF"/>
    <w:rsid w:val="009C11B4"/>
    <w:rsid w:val="009C1F1B"/>
    <w:rsid w:val="009C313F"/>
    <w:rsid w:val="009C3818"/>
    <w:rsid w:val="009C3A1D"/>
    <w:rsid w:val="009C3C89"/>
    <w:rsid w:val="009C43A3"/>
    <w:rsid w:val="009C6467"/>
    <w:rsid w:val="009C76A0"/>
    <w:rsid w:val="009D07C4"/>
    <w:rsid w:val="009D222D"/>
    <w:rsid w:val="009D41AB"/>
    <w:rsid w:val="009D4333"/>
    <w:rsid w:val="009D443C"/>
    <w:rsid w:val="009D4BA7"/>
    <w:rsid w:val="009D53C8"/>
    <w:rsid w:val="009D7D07"/>
    <w:rsid w:val="009E03A4"/>
    <w:rsid w:val="009E0F24"/>
    <w:rsid w:val="009E263E"/>
    <w:rsid w:val="009E29E8"/>
    <w:rsid w:val="009E2E2A"/>
    <w:rsid w:val="009E4128"/>
    <w:rsid w:val="009E4A04"/>
    <w:rsid w:val="009F3790"/>
    <w:rsid w:val="009F39DF"/>
    <w:rsid w:val="009F5BF6"/>
    <w:rsid w:val="009F6813"/>
    <w:rsid w:val="00A03F8F"/>
    <w:rsid w:val="00A042BC"/>
    <w:rsid w:val="00A045F2"/>
    <w:rsid w:val="00A071E9"/>
    <w:rsid w:val="00A1369B"/>
    <w:rsid w:val="00A15402"/>
    <w:rsid w:val="00A16D8E"/>
    <w:rsid w:val="00A20875"/>
    <w:rsid w:val="00A244C7"/>
    <w:rsid w:val="00A33F9B"/>
    <w:rsid w:val="00A361DB"/>
    <w:rsid w:val="00A363DD"/>
    <w:rsid w:val="00A36DDE"/>
    <w:rsid w:val="00A36E65"/>
    <w:rsid w:val="00A37912"/>
    <w:rsid w:val="00A37EDE"/>
    <w:rsid w:val="00A41A9E"/>
    <w:rsid w:val="00A42002"/>
    <w:rsid w:val="00A43BA2"/>
    <w:rsid w:val="00A44059"/>
    <w:rsid w:val="00A45EE8"/>
    <w:rsid w:val="00A462A9"/>
    <w:rsid w:val="00A51D86"/>
    <w:rsid w:val="00A52408"/>
    <w:rsid w:val="00A5277B"/>
    <w:rsid w:val="00A533C4"/>
    <w:rsid w:val="00A538A9"/>
    <w:rsid w:val="00A53E25"/>
    <w:rsid w:val="00A54AEE"/>
    <w:rsid w:val="00A55E82"/>
    <w:rsid w:val="00A56228"/>
    <w:rsid w:val="00A60433"/>
    <w:rsid w:val="00A60BDF"/>
    <w:rsid w:val="00A620E2"/>
    <w:rsid w:val="00A63444"/>
    <w:rsid w:val="00A63E30"/>
    <w:rsid w:val="00A6488A"/>
    <w:rsid w:val="00A660B5"/>
    <w:rsid w:val="00A718B9"/>
    <w:rsid w:val="00A731ED"/>
    <w:rsid w:val="00A73E9A"/>
    <w:rsid w:val="00A7487F"/>
    <w:rsid w:val="00A753B3"/>
    <w:rsid w:val="00A75C5D"/>
    <w:rsid w:val="00A805B7"/>
    <w:rsid w:val="00A8342D"/>
    <w:rsid w:val="00A84426"/>
    <w:rsid w:val="00A84E9B"/>
    <w:rsid w:val="00A85D07"/>
    <w:rsid w:val="00A915DD"/>
    <w:rsid w:val="00A9286C"/>
    <w:rsid w:val="00A932B6"/>
    <w:rsid w:val="00A93910"/>
    <w:rsid w:val="00A94490"/>
    <w:rsid w:val="00A95E07"/>
    <w:rsid w:val="00A960F7"/>
    <w:rsid w:val="00AA21E0"/>
    <w:rsid w:val="00AA345B"/>
    <w:rsid w:val="00AA407B"/>
    <w:rsid w:val="00AA5377"/>
    <w:rsid w:val="00AA556D"/>
    <w:rsid w:val="00AA6BA1"/>
    <w:rsid w:val="00AB0BA1"/>
    <w:rsid w:val="00AB1C9F"/>
    <w:rsid w:val="00AB2371"/>
    <w:rsid w:val="00AB328F"/>
    <w:rsid w:val="00AB4AC2"/>
    <w:rsid w:val="00AB4F34"/>
    <w:rsid w:val="00AB51A8"/>
    <w:rsid w:val="00AB560F"/>
    <w:rsid w:val="00AC0AE0"/>
    <w:rsid w:val="00AC4346"/>
    <w:rsid w:val="00AC45E1"/>
    <w:rsid w:val="00AC4EC9"/>
    <w:rsid w:val="00AC5D01"/>
    <w:rsid w:val="00AC70CA"/>
    <w:rsid w:val="00AC7111"/>
    <w:rsid w:val="00AD0E35"/>
    <w:rsid w:val="00AD3E0D"/>
    <w:rsid w:val="00AD468B"/>
    <w:rsid w:val="00AD4F7B"/>
    <w:rsid w:val="00AD7954"/>
    <w:rsid w:val="00AE23FB"/>
    <w:rsid w:val="00AE256C"/>
    <w:rsid w:val="00AE3566"/>
    <w:rsid w:val="00AE4A26"/>
    <w:rsid w:val="00AE5058"/>
    <w:rsid w:val="00AF4BF2"/>
    <w:rsid w:val="00AF4DA4"/>
    <w:rsid w:val="00AF592A"/>
    <w:rsid w:val="00AF7546"/>
    <w:rsid w:val="00B00C4E"/>
    <w:rsid w:val="00B02796"/>
    <w:rsid w:val="00B02A3F"/>
    <w:rsid w:val="00B03235"/>
    <w:rsid w:val="00B03A57"/>
    <w:rsid w:val="00B0408D"/>
    <w:rsid w:val="00B04A35"/>
    <w:rsid w:val="00B04BE1"/>
    <w:rsid w:val="00B050D9"/>
    <w:rsid w:val="00B123FB"/>
    <w:rsid w:val="00B1247F"/>
    <w:rsid w:val="00B153FA"/>
    <w:rsid w:val="00B2261F"/>
    <w:rsid w:val="00B22A17"/>
    <w:rsid w:val="00B22B9F"/>
    <w:rsid w:val="00B22F78"/>
    <w:rsid w:val="00B239C4"/>
    <w:rsid w:val="00B27131"/>
    <w:rsid w:val="00B27951"/>
    <w:rsid w:val="00B31892"/>
    <w:rsid w:val="00B31F6B"/>
    <w:rsid w:val="00B32689"/>
    <w:rsid w:val="00B331EC"/>
    <w:rsid w:val="00B35F83"/>
    <w:rsid w:val="00B36A30"/>
    <w:rsid w:val="00B42F31"/>
    <w:rsid w:val="00B43D92"/>
    <w:rsid w:val="00B4408C"/>
    <w:rsid w:val="00B44E9A"/>
    <w:rsid w:val="00B46AF4"/>
    <w:rsid w:val="00B51050"/>
    <w:rsid w:val="00B52CAD"/>
    <w:rsid w:val="00B53EAF"/>
    <w:rsid w:val="00B554D6"/>
    <w:rsid w:val="00B60AF8"/>
    <w:rsid w:val="00B60BB0"/>
    <w:rsid w:val="00B6162A"/>
    <w:rsid w:val="00B6454E"/>
    <w:rsid w:val="00B65BCA"/>
    <w:rsid w:val="00B6639B"/>
    <w:rsid w:val="00B66F84"/>
    <w:rsid w:val="00B675A3"/>
    <w:rsid w:val="00B67947"/>
    <w:rsid w:val="00B67B18"/>
    <w:rsid w:val="00B7570D"/>
    <w:rsid w:val="00B83EFD"/>
    <w:rsid w:val="00B83FAF"/>
    <w:rsid w:val="00B84F6E"/>
    <w:rsid w:val="00B855F5"/>
    <w:rsid w:val="00B9500B"/>
    <w:rsid w:val="00B970C0"/>
    <w:rsid w:val="00BA1D80"/>
    <w:rsid w:val="00BA4E6F"/>
    <w:rsid w:val="00BA56A8"/>
    <w:rsid w:val="00BA784F"/>
    <w:rsid w:val="00BA7A1E"/>
    <w:rsid w:val="00BB0283"/>
    <w:rsid w:val="00BB4FD9"/>
    <w:rsid w:val="00BB5711"/>
    <w:rsid w:val="00BB5722"/>
    <w:rsid w:val="00BB6693"/>
    <w:rsid w:val="00BB6BB6"/>
    <w:rsid w:val="00BB6CD0"/>
    <w:rsid w:val="00BC02E9"/>
    <w:rsid w:val="00BC13CF"/>
    <w:rsid w:val="00BC17E4"/>
    <w:rsid w:val="00BC18E1"/>
    <w:rsid w:val="00BC275B"/>
    <w:rsid w:val="00BC3EC5"/>
    <w:rsid w:val="00BC46B6"/>
    <w:rsid w:val="00BC5546"/>
    <w:rsid w:val="00BC739E"/>
    <w:rsid w:val="00BD069E"/>
    <w:rsid w:val="00BD2771"/>
    <w:rsid w:val="00BD35AA"/>
    <w:rsid w:val="00BD3C78"/>
    <w:rsid w:val="00BD6505"/>
    <w:rsid w:val="00BE57BB"/>
    <w:rsid w:val="00BE7092"/>
    <w:rsid w:val="00BE7118"/>
    <w:rsid w:val="00BE7ED3"/>
    <w:rsid w:val="00BF0C25"/>
    <w:rsid w:val="00BF5AD6"/>
    <w:rsid w:val="00BF7869"/>
    <w:rsid w:val="00BF7E10"/>
    <w:rsid w:val="00C0060B"/>
    <w:rsid w:val="00C02D6D"/>
    <w:rsid w:val="00C02F4E"/>
    <w:rsid w:val="00C06004"/>
    <w:rsid w:val="00C06389"/>
    <w:rsid w:val="00C07289"/>
    <w:rsid w:val="00C11279"/>
    <w:rsid w:val="00C11959"/>
    <w:rsid w:val="00C11A18"/>
    <w:rsid w:val="00C11C30"/>
    <w:rsid w:val="00C12B98"/>
    <w:rsid w:val="00C13A67"/>
    <w:rsid w:val="00C13CD5"/>
    <w:rsid w:val="00C157A7"/>
    <w:rsid w:val="00C20EB4"/>
    <w:rsid w:val="00C218B8"/>
    <w:rsid w:val="00C2361A"/>
    <w:rsid w:val="00C26633"/>
    <w:rsid w:val="00C27D4F"/>
    <w:rsid w:val="00C335A8"/>
    <w:rsid w:val="00C3407B"/>
    <w:rsid w:val="00C34810"/>
    <w:rsid w:val="00C362E2"/>
    <w:rsid w:val="00C37635"/>
    <w:rsid w:val="00C4052B"/>
    <w:rsid w:val="00C409B6"/>
    <w:rsid w:val="00C40CD5"/>
    <w:rsid w:val="00C40DD3"/>
    <w:rsid w:val="00C42A8E"/>
    <w:rsid w:val="00C42EF8"/>
    <w:rsid w:val="00C44308"/>
    <w:rsid w:val="00C457EF"/>
    <w:rsid w:val="00C4637B"/>
    <w:rsid w:val="00C46A25"/>
    <w:rsid w:val="00C47E88"/>
    <w:rsid w:val="00C500A8"/>
    <w:rsid w:val="00C50D58"/>
    <w:rsid w:val="00C51B7F"/>
    <w:rsid w:val="00C5235E"/>
    <w:rsid w:val="00C529B0"/>
    <w:rsid w:val="00C53D9F"/>
    <w:rsid w:val="00C540CA"/>
    <w:rsid w:val="00C556AB"/>
    <w:rsid w:val="00C560B8"/>
    <w:rsid w:val="00C56B62"/>
    <w:rsid w:val="00C60D14"/>
    <w:rsid w:val="00C64E46"/>
    <w:rsid w:val="00C650CF"/>
    <w:rsid w:val="00C65690"/>
    <w:rsid w:val="00C65E52"/>
    <w:rsid w:val="00C66E3C"/>
    <w:rsid w:val="00C66F2D"/>
    <w:rsid w:val="00C67C95"/>
    <w:rsid w:val="00C67CE6"/>
    <w:rsid w:val="00C70344"/>
    <w:rsid w:val="00C7208B"/>
    <w:rsid w:val="00C737F2"/>
    <w:rsid w:val="00C74467"/>
    <w:rsid w:val="00C75DFF"/>
    <w:rsid w:val="00C77D00"/>
    <w:rsid w:val="00C8054F"/>
    <w:rsid w:val="00C8082A"/>
    <w:rsid w:val="00C8214A"/>
    <w:rsid w:val="00C825E5"/>
    <w:rsid w:val="00C8345C"/>
    <w:rsid w:val="00C849B4"/>
    <w:rsid w:val="00C85CD7"/>
    <w:rsid w:val="00C91A6F"/>
    <w:rsid w:val="00C91E33"/>
    <w:rsid w:val="00C930C8"/>
    <w:rsid w:val="00C956AF"/>
    <w:rsid w:val="00C96A34"/>
    <w:rsid w:val="00CA4355"/>
    <w:rsid w:val="00CA45CB"/>
    <w:rsid w:val="00CA4C3A"/>
    <w:rsid w:val="00CA4D6A"/>
    <w:rsid w:val="00CA4E57"/>
    <w:rsid w:val="00CA7740"/>
    <w:rsid w:val="00CA7AA6"/>
    <w:rsid w:val="00CA7ADA"/>
    <w:rsid w:val="00CA7C07"/>
    <w:rsid w:val="00CA7F1D"/>
    <w:rsid w:val="00CB29F6"/>
    <w:rsid w:val="00CB38C8"/>
    <w:rsid w:val="00CB5C38"/>
    <w:rsid w:val="00CB7075"/>
    <w:rsid w:val="00CC076A"/>
    <w:rsid w:val="00CC1C87"/>
    <w:rsid w:val="00CC1F8C"/>
    <w:rsid w:val="00CC22CD"/>
    <w:rsid w:val="00CC2546"/>
    <w:rsid w:val="00CC29B3"/>
    <w:rsid w:val="00CC2EA8"/>
    <w:rsid w:val="00CC5500"/>
    <w:rsid w:val="00CC6E48"/>
    <w:rsid w:val="00CD4DE8"/>
    <w:rsid w:val="00CD5841"/>
    <w:rsid w:val="00CD5A8F"/>
    <w:rsid w:val="00CD611D"/>
    <w:rsid w:val="00CD6238"/>
    <w:rsid w:val="00CD6617"/>
    <w:rsid w:val="00CD6876"/>
    <w:rsid w:val="00CD6D28"/>
    <w:rsid w:val="00CE0F1F"/>
    <w:rsid w:val="00CE2494"/>
    <w:rsid w:val="00CE2973"/>
    <w:rsid w:val="00CE4073"/>
    <w:rsid w:val="00CE719D"/>
    <w:rsid w:val="00CE724E"/>
    <w:rsid w:val="00CE7470"/>
    <w:rsid w:val="00CE7DD9"/>
    <w:rsid w:val="00CE7F68"/>
    <w:rsid w:val="00CF23A0"/>
    <w:rsid w:val="00CF2DFA"/>
    <w:rsid w:val="00CF4EFF"/>
    <w:rsid w:val="00CF505D"/>
    <w:rsid w:val="00CF55B7"/>
    <w:rsid w:val="00CF6B54"/>
    <w:rsid w:val="00CF723E"/>
    <w:rsid w:val="00D02831"/>
    <w:rsid w:val="00D02C8D"/>
    <w:rsid w:val="00D04C47"/>
    <w:rsid w:val="00D069F8"/>
    <w:rsid w:val="00D07E4B"/>
    <w:rsid w:val="00D13CEA"/>
    <w:rsid w:val="00D13F20"/>
    <w:rsid w:val="00D144B1"/>
    <w:rsid w:val="00D15014"/>
    <w:rsid w:val="00D15AA1"/>
    <w:rsid w:val="00D164BC"/>
    <w:rsid w:val="00D203E4"/>
    <w:rsid w:val="00D23481"/>
    <w:rsid w:val="00D25C63"/>
    <w:rsid w:val="00D279F0"/>
    <w:rsid w:val="00D318B6"/>
    <w:rsid w:val="00D3496C"/>
    <w:rsid w:val="00D363C5"/>
    <w:rsid w:val="00D36A13"/>
    <w:rsid w:val="00D36A9F"/>
    <w:rsid w:val="00D42E23"/>
    <w:rsid w:val="00D466A8"/>
    <w:rsid w:val="00D46E14"/>
    <w:rsid w:val="00D51004"/>
    <w:rsid w:val="00D52EC1"/>
    <w:rsid w:val="00D579E6"/>
    <w:rsid w:val="00D61FAA"/>
    <w:rsid w:val="00D61FF9"/>
    <w:rsid w:val="00D62480"/>
    <w:rsid w:val="00D629E3"/>
    <w:rsid w:val="00D64273"/>
    <w:rsid w:val="00D64C4F"/>
    <w:rsid w:val="00D66DDB"/>
    <w:rsid w:val="00D70766"/>
    <w:rsid w:val="00D7252C"/>
    <w:rsid w:val="00D7768F"/>
    <w:rsid w:val="00D77D03"/>
    <w:rsid w:val="00D802D0"/>
    <w:rsid w:val="00D81272"/>
    <w:rsid w:val="00D82691"/>
    <w:rsid w:val="00D837B0"/>
    <w:rsid w:val="00D83FBA"/>
    <w:rsid w:val="00D906B2"/>
    <w:rsid w:val="00D91F3E"/>
    <w:rsid w:val="00D92325"/>
    <w:rsid w:val="00D95A1B"/>
    <w:rsid w:val="00D97592"/>
    <w:rsid w:val="00DA1EA0"/>
    <w:rsid w:val="00DA2E83"/>
    <w:rsid w:val="00DA3868"/>
    <w:rsid w:val="00DA3A68"/>
    <w:rsid w:val="00DA4D90"/>
    <w:rsid w:val="00DA4E7C"/>
    <w:rsid w:val="00DA781A"/>
    <w:rsid w:val="00DA7990"/>
    <w:rsid w:val="00DB277C"/>
    <w:rsid w:val="00DB3FB8"/>
    <w:rsid w:val="00DB5A7F"/>
    <w:rsid w:val="00DB7DC5"/>
    <w:rsid w:val="00DC0C32"/>
    <w:rsid w:val="00DC175C"/>
    <w:rsid w:val="00DC4565"/>
    <w:rsid w:val="00DC69D9"/>
    <w:rsid w:val="00DC6DC9"/>
    <w:rsid w:val="00DC7159"/>
    <w:rsid w:val="00DC7C06"/>
    <w:rsid w:val="00DC7E08"/>
    <w:rsid w:val="00DD0CD5"/>
    <w:rsid w:val="00DD1932"/>
    <w:rsid w:val="00DD2423"/>
    <w:rsid w:val="00DD4191"/>
    <w:rsid w:val="00DD732B"/>
    <w:rsid w:val="00DE00CB"/>
    <w:rsid w:val="00DE02CA"/>
    <w:rsid w:val="00DE224D"/>
    <w:rsid w:val="00DE41C5"/>
    <w:rsid w:val="00DF10DE"/>
    <w:rsid w:val="00DF13A9"/>
    <w:rsid w:val="00DF143A"/>
    <w:rsid w:val="00DF43D9"/>
    <w:rsid w:val="00DF7F84"/>
    <w:rsid w:val="00E022A1"/>
    <w:rsid w:val="00E0245B"/>
    <w:rsid w:val="00E02A52"/>
    <w:rsid w:val="00E03423"/>
    <w:rsid w:val="00E0447A"/>
    <w:rsid w:val="00E052B8"/>
    <w:rsid w:val="00E10780"/>
    <w:rsid w:val="00E12804"/>
    <w:rsid w:val="00E134FA"/>
    <w:rsid w:val="00E14764"/>
    <w:rsid w:val="00E1488B"/>
    <w:rsid w:val="00E14979"/>
    <w:rsid w:val="00E15091"/>
    <w:rsid w:val="00E2070E"/>
    <w:rsid w:val="00E20BE5"/>
    <w:rsid w:val="00E22006"/>
    <w:rsid w:val="00E22393"/>
    <w:rsid w:val="00E22EA8"/>
    <w:rsid w:val="00E23058"/>
    <w:rsid w:val="00E23B8B"/>
    <w:rsid w:val="00E25D40"/>
    <w:rsid w:val="00E264B7"/>
    <w:rsid w:val="00E319EF"/>
    <w:rsid w:val="00E31CB8"/>
    <w:rsid w:val="00E332FF"/>
    <w:rsid w:val="00E354BF"/>
    <w:rsid w:val="00E361ED"/>
    <w:rsid w:val="00E372D8"/>
    <w:rsid w:val="00E40395"/>
    <w:rsid w:val="00E406C0"/>
    <w:rsid w:val="00E40CA6"/>
    <w:rsid w:val="00E41747"/>
    <w:rsid w:val="00E44D06"/>
    <w:rsid w:val="00E46240"/>
    <w:rsid w:val="00E466C2"/>
    <w:rsid w:val="00E4766E"/>
    <w:rsid w:val="00E51420"/>
    <w:rsid w:val="00E54144"/>
    <w:rsid w:val="00E547F7"/>
    <w:rsid w:val="00E57404"/>
    <w:rsid w:val="00E57A6E"/>
    <w:rsid w:val="00E610A8"/>
    <w:rsid w:val="00E64726"/>
    <w:rsid w:val="00E64BEF"/>
    <w:rsid w:val="00E64E18"/>
    <w:rsid w:val="00E66BEB"/>
    <w:rsid w:val="00E676E1"/>
    <w:rsid w:val="00E71771"/>
    <w:rsid w:val="00E73985"/>
    <w:rsid w:val="00E7452D"/>
    <w:rsid w:val="00E74CB0"/>
    <w:rsid w:val="00E76EE9"/>
    <w:rsid w:val="00E81B7C"/>
    <w:rsid w:val="00E81ED6"/>
    <w:rsid w:val="00E824C7"/>
    <w:rsid w:val="00E84B66"/>
    <w:rsid w:val="00E85AC5"/>
    <w:rsid w:val="00E864E9"/>
    <w:rsid w:val="00E909E3"/>
    <w:rsid w:val="00E91D41"/>
    <w:rsid w:val="00E9742F"/>
    <w:rsid w:val="00EA30BE"/>
    <w:rsid w:val="00EA372C"/>
    <w:rsid w:val="00EB020F"/>
    <w:rsid w:val="00EB33A4"/>
    <w:rsid w:val="00EB6216"/>
    <w:rsid w:val="00EB6CF0"/>
    <w:rsid w:val="00EC0F23"/>
    <w:rsid w:val="00EC1274"/>
    <w:rsid w:val="00EC263E"/>
    <w:rsid w:val="00EC285A"/>
    <w:rsid w:val="00EC3027"/>
    <w:rsid w:val="00EC3047"/>
    <w:rsid w:val="00EC4067"/>
    <w:rsid w:val="00EC4F2E"/>
    <w:rsid w:val="00EC5C68"/>
    <w:rsid w:val="00EC6576"/>
    <w:rsid w:val="00ED1C5B"/>
    <w:rsid w:val="00ED3627"/>
    <w:rsid w:val="00ED37B8"/>
    <w:rsid w:val="00ED3C94"/>
    <w:rsid w:val="00ED5B5F"/>
    <w:rsid w:val="00ED67BB"/>
    <w:rsid w:val="00EE1B70"/>
    <w:rsid w:val="00EE2207"/>
    <w:rsid w:val="00EE3EC4"/>
    <w:rsid w:val="00EE53C1"/>
    <w:rsid w:val="00EF0C39"/>
    <w:rsid w:val="00EF36E1"/>
    <w:rsid w:val="00EF6C8B"/>
    <w:rsid w:val="00F028A5"/>
    <w:rsid w:val="00F02ACE"/>
    <w:rsid w:val="00F03463"/>
    <w:rsid w:val="00F03E2D"/>
    <w:rsid w:val="00F05082"/>
    <w:rsid w:val="00F05B7A"/>
    <w:rsid w:val="00F0686E"/>
    <w:rsid w:val="00F06AF6"/>
    <w:rsid w:val="00F104DF"/>
    <w:rsid w:val="00F130B6"/>
    <w:rsid w:val="00F1474C"/>
    <w:rsid w:val="00F14814"/>
    <w:rsid w:val="00F16F36"/>
    <w:rsid w:val="00F20567"/>
    <w:rsid w:val="00F20810"/>
    <w:rsid w:val="00F215CA"/>
    <w:rsid w:val="00F21BA6"/>
    <w:rsid w:val="00F24AD2"/>
    <w:rsid w:val="00F26C65"/>
    <w:rsid w:val="00F2760D"/>
    <w:rsid w:val="00F316B5"/>
    <w:rsid w:val="00F40343"/>
    <w:rsid w:val="00F42088"/>
    <w:rsid w:val="00F43789"/>
    <w:rsid w:val="00F50072"/>
    <w:rsid w:val="00F507C6"/>
    <w:rsid w:val="00F51CCB"/>
    <w:rsid w:val="00F51D19"/>
    <w:rsid w:val="00F530A8"/>
    <w:rsid w:val="00F550A0"/>
    <w:rsid w:val="00F56168"/>
    <w:rsid w:val="00F60022"/>
    <w:rsid w:val="00F6097F"/>
    <w:rsid w:val="00F62018"/>
    <w:rsid w:val="00F62D1B"/>
    <w:rsid w:val="00F62E83"/>
    <w:rsid w:val="00F65096"/>
    <w:rsid w:val="00F65725"/>
    <w:rsid w:val="00F65D8D"/>
    <w:rsid w:val="00F70A24"/>
    <w:rsid w:val="00F71565"/>
    <w:rsid w:val="00F71ECC"/>
    <w:rsid w:val="00F7237E"/>
    <w:rsid w:val="00F73D29"/>
    <w:rsid w:val="00F80790"/>
    <w:rsid w:val="00F87470"/>
    <w:rsid w:val="00F8788F"/>
    <w:rsid w:val="00F87926"/>
    <w:rsid w:val="00F908B7"/>
    <w:rsid w:val="00F91851"/>
    <w:rsid w:val="00F933B4"/>
    <w:rsid w:val="00F936DE"/>
    <w:rsid w:val="00F93CEA"/>
    <w:rsid w:val="00F93F64"/>
    <w:rsid w:val="00F955F5"/>
    <w:rsid w:val="00FA03D1"/>
    <w:rsid w:val="00FA0B83"/>
    <w:rsid w:val="00FA2ED3"/>
    <w:rsid w:val="00FA3A0C"/>
    <w:rsid w:val="00FA3EA6"/>
    <w:rsid w:val="00FA694F"/>
    <w:rsid w:val="00FA6B8E"/>
    <w:rsid w:val="00FB0D59"/>
    <w:rsid w:val="00FB1BAA"/>
    <w:rsid w:val="00FB1BCD"/>
    <w:rsid w:val="00FB1D33"/>
    <w:rsid w:val="00FB3ABA"/>
    <w:rsid w:val="00FB4BCE"/>
    <w:rsid w:val="00FB61C1"/>
    <w:rsid w:val="00FB7C3A"/>
    <w:rsid w:val="00FC01D5"/>
    <w:rsid w:val="00FC2034"/>
    <w:rsid w:val="00FC387F"/>
    <w:rsid w:val="00FC6F1F"/>
    <w:rsid w:val="00FC6F27"/>
    <w:rsid w:val="00FC7F00"/>
    <w:rsid w:val="00FD175C"/>
    <w:rsid w:val="00FD34DC"/>
    <w:rsid w:val="00FD5141"/>
    <w:rsid w:val="00FD5CCF"/>
    <w:rsid w:val="00FD667D"/>
    <w:rsid w:val="00FE58DC"/>
    <w:rsid w:val="00FE609B"/>
    <w:rsid w:val="00FE62B8"/>
    <w:rsid w:val="00FE74A8"/>
    <w:rsid w:val="00FF3AD4"/>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E9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6A34"/>
    <w:rPr>
      <w:color w:val="605E5C"/>
      <w:shd w:val="clear" w:color="auto" w:fill="E1DFDD"/>
    </w:rPr>
  </w:style>
  <w:style w:type="character" w:customStyle="1" w:styleId="Mencinsinresolver5">
    <w:name w:val="Mención sin resolver5"/>
    <w:basedOn w:val="Fuentedeprrafopredeter"/>
    <w:uiPriority w:val="99"/>
    <w:semiHidden/>
    <w:unhideWhenUsed/>
    <w:rsid w:val="0065190E"/>
    <w:rPr>
      <w:color w:val="605E5C"/>
      <w:shd w:val="clear" w:color="auto" w:fill="E1DFDD"/>
    </w:rPr>
  </w:style>
  <w:style w:type="character" w:customStyle="1" w:styleId="Mencinsinresolver6">
    <w:name w:val="Mención sin resolver6"/>
    <w:basedOn w:val="Fuentedeprrafopredeter"/>
    <w:uiPriority w:val="99"/>
    <w:semiHidden/>
    <w:unhideWhenUsed/>
    <w:rsid w:val="00EE2207"/>
    <w:rPr>
      <w:color w:val="605E5C"/>
      <w:shd w:val="clear" w:color="auto" w:fill="E1DFDD"/>
    </w:rPr>
  </w:style>
  <w:style w:type="paragraph" w:styleId="Sinespaciado">
    <w:name w:val="No Spacing"/>
    <w:link w:val="SinespaciadoCar"/>
    <w:uiPriority w:val="1"/>
    <w:qFormat/>
    <w:rsid w:val="00932125"/>
    <w:pPr>
      <w:spacing w:after="0" w:line="240" w:lineRule="auto"/>
      <w:jc w:val="left"/>
    </w:pPr>
    <w:rPr>
      <w:rFonts w:asciiTheme="minorHAnsi" w:eastAsiaTheme="minorHAnsi" w:hAnsiTheme="minorHAnsi" w:cstheme="minorBidi"/>
    </w:rPr>
  </w:style>
  <w:style w:type="character" w:customStyle="1" w:styleId="SinespaciadoCar">
    <w:name w:val="Sin espaciado Car"/>
    <w:basedOn w:val="Fuentedeprrafopredeter"/>
    <w:link w:val="Sinespaciado"/>
    <w:uiPriority w:val="1"/>
    <w:rsid w:val="00932125"/>
    <w:rPr>
      <w:rFonts w:asciiTheme="minorHAnsi" w:eastAsiaTheme="minorHAnsi" w:hAnsiTheme="minorHAnsi" w:cstheme="minorBidi"/>
    </w:rPr>
  </w:style>
  <w:style w:type="paragraph" w:customStyle="1" w:styleId="xgmail-msonormal">
    <w:name w:val="x_gmail-msonormal"/>
    <w:basedOn w:val="Normal"/>
    <w:rsid w:val="005D0D88"/>
    <w:pPr>
      <w:spacing w:before="100" w:beforeAutospacing="1" w:after="100" w:afterAutospacing="1" w:line="240" w:lineRule="auto"/>
      <w:jc w:val="left"/>
    </w:pPr>
    <w:rPr>
      <w:rFonts w:ascii="Times New Roman" w:eastAsia="Times New Roman" w:hAnsi="Times New Roman" w:cs="Times New Roman"/>
      <w:color w:val="auto"/>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190383342">
      <w:bodyDiv w:val="1"/>
      <w:marLeft w:val="0"/>
      <w:marRight w:val="0"/>
      <w:marTop w:val="0"/>
      <w:marBottom w:val="0"/>
      <w:divBdr>
        <w:top w:val="none" w:sz="0" w:space="0" w:color="auto"/>
        <w:left w:val="none" w:sz="0" w:space="0" w:color="auto"/>
        <w:bottom w:val="none" w:sz="0" w:space="0" w:color="auto"/>
        <w:right w:val="none" w:sz="0" w:space="0" w:color="auto"/>
      </w:divBdr>
      <w:divsChild>
        <w:div w:id="962541679">
          <w:marLeft w:val="0"/>
          <w:marRight w:val="0"/>
          <w:marTop w:val="0"/>
          <w:marBottom w:val="0"/>
          <w:divBdr>
            <w:top w:val="none" w:sz="0" w:space="0" w:color="auto"/>
            <w:left w:val="none" w:sz="0" w:space="0" w:color="auto"/>
            <w:bottom w:val="none" w:sz="0" w:space="0" w:color="auto"/>
            <w:right w:val="none" w:sz="0" w:space="0" w:color="auto"/>
          </w:divBdr>
          <w:divsChild>
            <w:div w:id="661010901">
              <w:marLeft w:val="0"/>
              <w:marRight w:val="0"/>
              <w:marTop w:val="0"/>
              <w:marBottom w:val="0"/>
              <w:divBdr>
                <w:top w:val="none" w:sz="0" w:space="0" w:color="auto"/>
                <w:left w:val="none" w:sz="0" w:space="0" w:color="auto"/>
                <w:bottom w:val="none" w:sz="0" w:space="0" w:color="auto"/>
                <w:right w:val="none" w:sz="0" w:space="0" w:color="auto"/>
              </w:divBdr>
              <w:divsChild>
                <w:div w:id="14387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15592593">
      <w:bodyDiv w:val="1"/>
      <w:marLeft w:val="0"/>
      <w:marRight w:val="0"/>
      <w:marTop w:val="0"/>
      <w:marBottom w:val="0"/>
      <w:divBdr>
        <w:top w:val="none" w:sz="0" w:space="0" w:color="auto"/>
        <w:left w:val="none" w:sz="0" w:space="0" w:color="auto"/>
        <w:bottom w:val="none" w:sz="0" w:space="0" w:color="auto"/>
        <w:right w:val="none" w:sz="0" w:space="0" w:color="auto"/>
      </w:divBdr>
      <w:divsChild>
        <w:div w:id="1528758853">
          <w:marLeft w:val="0"/>
          <w:marRight w:val="0"/>
          <w:marTop w:val="0"/>
          <w:marBottom w:val="0"/>
          <w:divBdr>
            <w:top w:val="none" w:sz="0" w:space="0" w:color="auto"/>
            <w:left w:val="none" w:sz="0" w:space="0" w:color="auto"/>
            <w:bottom w:val="none" w:sz="0" w:space="0" w:color="auto"/>
            <w:right w:val="none" w:sz="0" w:space="0" w:color="auto"/>
          </w:divBdr>
          <w:divsChild>
            <w:div w:id="1177694991">
              <w:marLeft w:val="0"/>
              <w:marRight w:val="0"/>
              <w:marTop w:val="0"/>
              <w:marBottom w:val="0"/>
              <w:divBdr>
                <w:top w:val="none" w:sz="0" w:space="0" w:color="auto"/>
                <w:left w:val="none" w:sz="0" w:space="0" w:color="auto"/>
                <w:bottom w:val="none" w:sz="0" w:space="0" w:color="auto"/>
                <w:right w:val="none" w:sz="0" w:space="0" w:color="auto"/>
              </w:divBdr>
              <w:divsChild>
                <w:div w:id="10255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485897786">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266627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53477920">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927229708">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249386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51123267">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74270436">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18759555">
      <w:bodyDiv w:val="1"/>
      <w:marLeft w:val="0"/>
      <w:marRight w:val="0"/>
      <w:marTop w:val="0"/>
      <w:marBottom w:val="0"/>
      <w:divBdr>
        <w:top w:val="none" w:sz="0" w:space="0" w:color="auto"/>
        <w:left w:val="none" w:sz="0" w:space="0" w:color="auto"/>
        <w:bottom w:val="none" w:sz="0" w:space="0" w:color="auto"/>
        <w:right w:val="none" w:sz="0" w:space="0" w:color="auto"/>
      </w:divBdr>
    </w:div>
    <w:div w:id="1662155954">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60055448">
      <w:bodyDiv w:val="1"/>
      <w:marLeft w:val="0"/>
      <w:marRight w:val="0"/>
      <w:marTop w:val="0"/>
      <w:marBottom w:val="0"/>
      <w:divBdr>
        <w:top w:val="none" w:sz="0" w:space="0" w:color="auto"/>
        <w:left w:val="none" w:sz="0" w:space="0" w:color="auto"/>
        <w:bottom w:val="none" w:sz="0" w:space="0" w:color="auto"/>
        <w:right w:val="none" w:sz="0" w:space="0" w:color="auto"/>
      </w:divBdr>
      <w:divsChild>
        <w:div w:id="482817814">
          <w:marLeft w:val="0"/>
          <w:marRight w:val="0"/>
          <w:marTop w:val="0"/>
          <w:marBottom w:val="0"/>
          <w:divBdr>
            <w:top w:val="none" w:sz="0" w:space="0" w:color="auto"/>
            <w:left w:val="none" w:sz="0" w:space="0" w:color="auto"/>
            <w:bottom w:val="none" w:sz="0" w:space="0" w:color="auto"/>
            <w:right w:val="none" w:sz="0" w:space="0" w:color="auto"/>
          </w:divBdr>
          <w:divsChild>
            <w:div w:id="1341732909">
              <w:marLeft w:val="0"/>
              <w:marRight w:val="0"/>
              <w:marTop w:val="0"/>
              <w:marBottom w:val="0"/>
              <w:divBdr>
                <w:top w:val="none" w:sz="0" w:space="0" w:color="auto"/>
                <w:left w:val="none" w:sz="0" w:space="0" w:color="auto"/>
                <w:bottom w:val="none" w:sz="0" w:space="0" w:color="auto"/>
                <w:right w:val="none" w:sz="0" w:space="0" w:color="auto"/>
              </w:divBdr>
              <w:divsChild>
                <w:div w:id="12243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79844931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82865945">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pport.google.com/mail/answer/6584?co=GENIE.Platform%3DDesktop&amp;hl=e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nelson.correa@infoem.org.mx" TargetMode="External"/><Relationship Id="rId14" Type="http://schemas.openxmlformats.org/officeDocument/2006/relationships/image" Target="media/image4.pn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B64B266-7A7A-4604-AE70-941CA8E35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9778</Words>
  <Characters>53785</Characters>
  <Application>Microsoft Office Word</Application>
  <DocSecurity>0</DocSecurity>
  <Lines>448</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2026-03-06T19:09:00Z</cp:lastPrinted>
  <dcterms:created xsi:type="dcterms:W3CDTF">2026-03-06T19:09:00Z</dcterms:created>
  <dcterms:modified xsi:type="dcterms:W3CDTF">2026-04-09T22:55:00Z</dcterms:modified>
</cp:coreProperties>
</file>