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553A3"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CC134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cinco de febrero de dos mil veintiséis. </w:t>
      </w:r>
    </w:p>
    <w:p w14:paraId="26F64F1C" w14:textId="5CD0D3F4"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VISTO</w:t>
      </w:r>
      <w:r w:rsidRPr="00CC134D">
        <w:rPr>
          <w:rFonts w:ascii="Palatino Linotype" w:eastAsia="Palatino Linotype" w:hAnsi="Palatino Linotype" w:cs="Palatino Linotype"/>
          <w:sz w:val="22"/>
          <w:szCs w:val="22"/>
        </w:rPr>
        <w:t xml:space="preserve"> el expediente formado con motivo del recurso de revisión </w:t>
      </w:r>
      <w:r w:rsidRPr="00CC134D">
        <w:rPr>
          <w:rFonts w:ascii="Palatino Linotype" w:eastAsia="Palatino Linotype" w:hAnsi="Palatino Linotype" w:cs="Palatino Linotype"/>
          <w:b/>
          <w:bCs/>
          <w:sz w:val="22"/>
          <w:szCs w:val="22"/>
        </w:rPr>
        <w:t>09054/INFOEM/IP/RR/2025</w:t>
      </w:r>
      <w:r w:rsidRPr="00CC134D">
        <w:rPr>
          <w:rFonts w:ascii="Palatino Linotype" w:eastAsia="Palatino Linotype" w:hAnsi="Palatino Linotype" w:cs="Palatino Linotype"/>
          <w:sz w:val="22"/>
          <w:szCs w:val="22"/>
        </w:rPr>
        <w:t>, interpuesto por</w:t>
      </w:r>
      <w:r w:rsidRPr="00CC134D">
        <w:rPr>
          <w:rFonts w:ascii="Palatino Linotype" w:eastAsia="Palatino Linotype" w:hAnsi="Palatino Linotype" w:cs="Palatino Linotype"/>
          <w:b/>
          <w:bCs/>
          <w:sz w:val="22"/>
          <w:szCs w:val="22"/>
        </w:rPr>
        <w:t xml:space="preserve"> </w:t>
      </w:r>
      <w:r w:rsidR="00841C49">
        <w:rPr>
          <w:rFonts w:ascii="Palatino Linotype" w:eastAsia="Palatino Linotype" w:hAnsi="Palatino Linotype" w:cs="Palatino Linotype"/>
          <w:b/>
          <w:bCs/>
          <w:sz w:val="22"/>
          <w:szCs w:val="22"/>
        </w:rPr>
        <w:t>XXXX XXXXX</w:t>
      </w:r>
      <w:r w:rsidRPr="00CC134D">
        <w:rPr>
          <w:rFonts w:ascii="Palatino Linotype" w:eastAsia="Palatino Linotype" w:hAnsi="Palatino Linotype" w:cs="Palatino Linotype"/>
          <w:b/>
          <w:bCs/>
          <w:sz w:val="22"/>
          <w:szCs w:val="22"/>
        </w:rPr>
        <w:t>,</w:t>
      </w:r>
      <w:r w:rsidRPr="00CC134D">
        <w:rPr>
          <w:rFonts w:ascii="Palatino Linotype" w:eastAsia="Palatino Linotype" w:hAnsi="Palatino Linotype" w:cs="Palatino Linotype"/>
          <w:sz w:val="22"/>
          <w:szCs w:val="22"/>
        </w:rPr>
        <w:t xml:space="preserve"> en lo sucesivo</w:t>
      </w:r>
      <w:r w:rsidRPr="00CC134D">
        <w:rPr>
          <w:rFonts w:ascii="Palatino Linotype" w:eastAsia="Palatino Linotype" w:hAnsi="Palatino Linotype" w:cs="Palatino Linotype"/>
          <w:b/>
          <w:bCs/>
          <w:sz w:val="22"/>
          <w:szCs w:val="22"/>
        </w:rPr>
        <w:t xml:space="preserve"> </w:t>
      </w:r>
      <w:r w:rsidRPr="00CC134D">
        <w:rPr>
          <w:rFonts w:ascii="Palatino Linotype" w:eastAsia="Palatino Linotype" w:hAnsi="Palatino Linotype" w:cs="Palatino Linotype"/>
          <w:sz w:val="22"/>
          <w:szCs w:val="22"/>
        </w:rPr>
        <w:t xml:space="preserve">la parte </w:t>
      </w:r>
      <w:r w:rsidRPr="00CC134D">
        <w:rPr>
          <w:rFonts w:ascii="Palatino Linotype" w:eastAsia="Palatino Linotype" w:hAnsi="Palatino Linotype" w:cs="Palatino Linotype"/>
          <w:b/>
          <w:bCs/>
          <w:sz w:val="22"/>
          <w:szCs w:val="22"/>
        </w:rPr>
        <w:t>Recurrente,</w:t>
      </w:r>
      <w:r w:rsidRPr="00CC134D">
        <w:rPr>
          <w:rFonts w:ascii="Palatino Linotype" w:eastAsia="Palatino Linotype" w:hAnsi="Palatino Linotype" w:cs="Palatino Linotype"/>
          <w:sz w:val="22"/>
          <w:szCs w:val="22"/>
        </w:rPr>
        <w:t xml:space="preserve"> en contra de la respuesta a la solicitud de información con número de folio</w:t>
      </w:r>
      <w:r w:rsidRPr="00CC134D">
        <w:rPr>
          <w:rFonts w:ascii="Palatino Linotype" w:eastAsia="Palatino Linotype" w:hAnsi="Palatino Linotype" w:cs="Palatino Linotype"/>
          <w:b/>
          <w:bCs/>
          <w:sz w:val="22"/>
          <w:szCs w:val="22"/>
        </w:rPr>
        <w:t xml:space="preserve"> 00500/FGJ/IP/2025, </w:t>
      </w:r>
      <w:r w:rsidRPr="00CC134D">
        <w:rPr>
          <w:rFonts w:ascii="Palatino Linotype" w:eastAsia="Palatino Linotype" w:hAnsi="Palatino Linotype" w:cs="Palatino Linotype"/>
          <w:sz w:val="22"/>
          <w:szCs w:val="22"/>
        </w:rPr>
        <w:t xml:space="preserve">por parte de la </w:t>
      </w:r>
      <w:r w:rsidRPr="00CC134D">
        <w:rPr>
          <w:rFonts w:ascii="Palatino Linotype" w:eastAsia="Palatino Linotype" w:hAnsi="Palatino Linotype" w:cs="Palatino Linotype"/>
          <w:b/>
          <w:bCs/>
          <w:sz w:val="22"/>
          <w:szCs w:val="22"/>
        </w:rPr>
        <w:t xml:space="preserve">Fiscalía General de Justicia del Estado de México, </w:t>
      </w:r>
      <w:r w:rsidRPr="00CC134D">
        <w:rPr>
          <w:rFonts w:ascii="Palatino Linotype" w:eastAsia="Palatino Linotype" w:hAnsi="Palatino Linotype" w:cs="Palatino Linotype"/>
          <w:sz w:val="22"/>
          <w:szCs w:val="22"/>
        </w:rPr>
        <w:t xml:space="preserve">en lo sucesivo 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 xml:space="preserve">se procede a dictar la presente resolución con base en los siguientes: </w:t>
      </w:r>
    </w:p>
    <w:p w14:paraId="5245B62B" w14:textId="77777777" w:rsidR="005A1613" w:rsidRPr="00CC134D" w:rsidRDefault="00DE7120">
      <w:pPr>
        <w:spacing w:before="240" w:after="240" w:line="360" w:lineRule="auto"/>
        <w:jc w:val="center"/>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b/>
          <w:bCs/>
          <w:sz w:val="22"/>
          <w:szCs w:val="22"/>
        </w:rPr>
        <w:t>I. A N T E C E D E N T E S</w:t>
      </w:r>
    </w:p>
    <w:p w14:paraId="576A7705"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1. Solicitud de acceso a la información.</w:t>
      </w:r>
      <w:r w:rsidRPr="00CC134D">
        <w:rPr>
          <w:rFonts w:ascii="Palatino Linotype" w:eastAsia="Palatino Linotype" w:hAnsi="Palatino Linotype" w:cs="Palatino Linotype"/>
          <w:sz w:val="22"/>
          <w:szCs w:val="22"/>
        </w:rPr>
        <w:t xml:space="preserve"> El </w:t>
      </w:r>
      <w:r w:rsidRPr="00CC134D">
        <w:rPr>
          <w:rFonts w:ascii="Palatino Linotype" w:eastAsia="Palatino Linotype" w:hAnsi="Palatino Linotype" w:cs="Palatino Linotype"/>
          <w:b/>
          <w:bCs/>
          <w:sz w:val="22"/>
          <w:szCs w:val="22"/>
        </w:rPr>
        <w:t>nueve de junio de dos mil veinticinco,</w:t>
      </w:r>
      <w:r w:rsidRPr="00CC134D">
        <w:rPr>
          <w:rFonts w:ascii="Palatino Linotype" w:eastAsia="Palatino Linotype" w:hAnsi="Palatino Linotype" w:cs="Palatino Linotype"/>
          <w:sz w:val="22"/>
          <w:szCs w:val="22"/>
        </w:rPr>
        <w:t xml:space="preserve"> la parte </w:t>
      </w:r>
      <w:r w:rsidRPr="00CC134D">
        <w:rPr>
          <w:rFonts w:ascii="Palatino Linotype" w:eastAsia="Palatino Linotype" w:hAnsi="Palatino Linotype" w:cs="Palatino Linotype"/>
          <w:b/>
          <w:bCs/>
          <w:sz w:val="22"/>
          <w:szCs w:val="22"/>
        </w:rPr>
        <w:t xml:space="preserve">Recurrente </w:t>
      </w:r>
      <w:r w:rsidRPr="00CC134D">
        <w:rPr>
          <w:rFonts w:ascii="Palatino Linotype" w:eastAsia="Palatino Linotype" w:hAnsi="Palatino Linotype" w:cs="Palatino Linotype"/>
          <w:sz w:val="22"/>
          <w:szCs w:val="22"/>
        </w:rPr>
        <w:t xml:space="preserve">presentó la solicitud de acceso a la información pública ante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a través del Sistema de Acceso a la Información Mexiquense, en lo subsecuente el </w:t>
      </w:r>
      <w:r w:rsidRPr="00CC134D">
        <w:rPr>
          <w:rFonts w:ascii="Palatino Linotype" w:eastAsia="Palatino Linotype" w:hAnsi="Palatino Linotype" w:cs="Palatino Linotype"/>
          <w:b/>
          <w:bCs/>
          <w:sz w:val="22"/>
          <w:szCs w:val="22"/>
        </w:rPr>
        <w:t>SAIMEX,</w:t>
      </w:r>
      <w:r w:rsidRPr="00CC134D">
        <w:rPr>
          <w:rFonts w:ascii="Palatino Linotype" w:eastAsia="Palatino Linotype" w:hAnsi="Palatino Linotype" w:cs="Palatino Linotype"/>
          <w:sz w:val="22"/>
          <w:szCs w:val="22"/>
        </w:rPr>
        <w:t xml:space="preserve"> mediante la cual requirió lo siguiente:</w:t>
      </w:r>
    </w:p>
    <w:p w14:paraId="2A64EE22" w14:textId="77777777" w:rsidR="005A1613" w:rsidRPr="00CC134D" w:rsidRDefault="00DE7120">
      <w:pPr>
        <w:spacing w:before="120" w:after="120"/>
        <w:ind w:left="851" w:right="902"/>
        <w:jc w:val="both"/>
        <w:rPr>
          <w:rFonts w:ascii="Palatino Linotype" w:eastAsia="Palatino Linotype" w:hAnsi="Palatino Linotype" w:cs="Palatino Linotype"/>
          <w:b/>
          <w:bCs/>
          <w:i/>
          <w:iCs/>
          <w:sz w:val="22"/>
          <w:szCs w:val="22"/>
        </w:rPr>
      </w:pPr>
      <w:bookmarkStart w:id="1" w:name="_heading=h.mn9zncrv1bzx" w:colFirst="0" w:colLast="0"/>
      <w:bookmarkEnd w:id="1"/>
      <w:r w:rsidRPr="00CC134D">
        <w:rPr>
          <w:rFonts w:ascii="Palatino Linotype" w:eastAsia="Palatino Linotype" w:hAnsi="Palatino Linotype" w:cs="Palatino Linotype"/>
          <w:i/>
          <w:iCs/>
          <w:sz w:val="22"/>
          <w:szCs w:val="22"/>
        </w:rPr>
        <w:t xml:space="preserve"> “Solicito versión pública del expediente de la averiguación previa </w:t>
      </w:r>
      <w:r w:rsidRPr="00CC134D">
        <w:rPr>
          <w:rFonts w:ascii="Palatino Linotype" w:eastAsia="Palatino Linotype" w:hAnsi="Palatino Linotype" w:cs="Palatino Linotype"/>
          <w:b/>
          <w:bCs/>
          <w:i/>
          <w:iCs/>
          <w:sz w:val="22"/>
          <w:szCs w:val="22"/>
        </w:rPr>
        <w:t>TEX/II/3289/2006</w:t>
      </w:r>
      <w:r w:rsidRPr="00CC134D">
        <w:rPr>
          <w:rFonts w:ascii="Palatino Linotype" w:eastAsia="Palatino Linotype" w:hAnsi="Palatino Linotype" w:cs="Palatino Linotype"/>
          <w:i/>
          <w:iCs/>
          <w:sz w:val="22"/>
          <w:szCs w:val="22"/>
        </w:rPr>
        <w:t xml:space="preserve"> y sus acumuladas </w:t>
      </w:r>
      <w:r w:rsidRPr="00CC134D">
        <w:rPr>
          <w:rFonts w:ascii="Palatino Linotype" w:eastAsia="Palatino Linotype" w:hAnsi="Palatino Linotype" w:cs="Palatino Linotype"/>
          <w:b/>
          <w:bCs/>
          <w:i/>
          <w:iCs/>
          <w:sz w:val="22"/>
          <w:szCs w:val="22"/>
        </w:rPr>
        <w:t>ZUM/III/1966/2006</w:t>
      </w:r>
      <w:r w:rsidRPr="00CC134D">
        <w:rPr>
          <w:rFonts w:ascii="Palatino Linotype" w:eastAsia="Palatino Linotype" w:hAnsi="Palatino Linotype" w:cs="Palatino Linotype"/>
          <w:i/>
          <w:iCs/>
          <w:sz w:val="22"/>
          <w:szCs w:val="22"/>
        </w:rPr>
        <w:t xml:space="preserve"> y </w:t>
      </w:r>
      <w:r w:rsidRPr="00CC134D">
        <w:rPr>
          <w:rFonts w:ascii="Palatino Linotype" w:eastAsia="Palatino Linotype" w:hAnsi="Palatino Linotype" w:cs="Palatino Linotype"/>
          <w:b/>
          <w:bCs/>
          <w:i/>
          <w:iCs/>
          <w:sz w:val="22"/>
          <w:szCs w:val="22"/>
        </w:rPr>
        <w:t>EM/II/13490/2006</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abiertas en diciembre de 2006 por el hallazgo de restos humanos</w:t>
      </w:r>
      <w:r w:rsidRPr="00CC134D">
        <w:rPr>
          <w:rFonts w:ascii="Palatino Linotype" w:eastAsia="Palatino Linotype" w:hAnsi="Palatino Linotype" w:cs="Palatino Linotype"/>
          <w:i/>
          <w:iCs/>
          <w:sz w:val="22"/>
          <w:szCs w:val="22"/>
        </w:rPr>
        <w:t>. Como referencia para su localización, la indagatoria y sus acumuladas se instruyó en el segundo turno de la agencia modelo en Texcoco de la Mora.</w:t>
      </w:r>
      <w:r w:rsidRPr="00CC134D">
        <w:rPr>
          <w:rFonts w:ascii="Palatino Linotype" w:eastAsia="Palatino Linotype" w:hAnsi="Palatino Linotype" w:cs="Palatino Linotype"/>
          <w:b/>
          <w:bCs/>
          <w:i/>
          <w:iCs/>
          <w:sz w:val="22"/>
          <w:szCs w:val="22"/>
        </w:rPr>
        <w:t>”</w:t>
      </w:r>
      <w:r w:rsidRPr="00CC134D">
        <w:rPr>
          <w:rFonts w:ascii="Palatino Linotype" w:eastAsia="Palatino Linotype" w:hAnsi="Palatino Linotype" w:cs="Palatino Linotype"/>
          <w:i/>
          <w:iCs/>
          <w:sz w:val="22"/>
          <w:szCs w:val="22"/>
        </w:rPr>
        <w:t xml:space="preserve"> (sic) </w:t>
      </w:r>
    </w:p>
    <w:p w14:paraId="7D1056BB"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Modalidad de Entrega:</w:t>
      </w:r>
      <w:r w:rsidRPr="00CC134D">
        <w:rPr>
          <w:rFonts w:ascii="Palatino Linotype" w:eastAsia="Palatino Linotype" w:hAnsi="Palatino Linotype" w:cs="Palatino Linotype"/>
          <w:sz w:val="22"/>
          <w:szCs w:val="22"/>
        </w:rPr>
        <w:t xml:space="preserve"> a través de copias simples (con costo)</w:t>
      </w:r>
      <w:r w:rsidRPr="00CC134D">
        <w:rPr>
          <w:rFonts w:ascii="Palatino Linotype" w:eastAsia="Palatino Linotype" w:hAnsi="Palatino Linotype" w:cs="Palatino Linotype"/>
          <w:b/>
          <w:bCs/>
          <w:sz w:val="22"/>
          <w:szCs w:val="22"/>
        </w:rPr>
        <w:t>.</w:t>
      </w:r>
    </w:p>
    <w:p w14:paraId="76DC2F9A" w14:textId="77777777" w:rsidR="005A1613" w:rsidRPr="00CC134D" w:rsidRDefault="00DE7120">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CC134D">
        <w:rPr>
          <w:rFonts w:ascii="Palatino Linotype" w:eastAsia="Palatino Linotype" w:hAnsi="Palatino Linotype" w:cs="Palatino Linotype"/>
          <w:b/>
          <w:bCs/>
          <w:sz w:val="22"/>
          <w:szCs w:val="22"/>
        </w:rPr>
        <w:t xml:space="preserve">2. Prórroga. </w:t>
      </w:r>
      <w:r w:rsidRPr="00CC134D">
        <w:rPr>
          <w:rFonts w:ascii="Palatino Linotype" w:eastAsia="Palatino Linotype" w:hAnsi="Palatino Linotype" w:cs="Palatino Linotype"/>
          <w:sz w:val="22"/>
          <w:szCs w:val="22"/>
        </w:rPr>
        <w:t xml:space="preserve">El </w:t>
      </w:r>
      <w:r w:rsidRPr="00CC134D">
        <w:rPr>
          <w:rFonts w:ascii="Palatino Linotype" w:eastAsia="Palatino Linotype" w:hAnsi="Palatino Linotype" w:cs="Palatino Linotype"/>
          <w:b/>
          <w:bCs/>
          <w:sz w:val="22"/>
          <w:szCs w:val="22"/>
        </w:rPr>
        <w:t xml:space="preserve">treinta de junio de dos mil veinticinco, </w:t>
      </w:r>
      <w:r w:rsidRPr="00CC134D">
        <w:rPr>
          <w:rFonts w:ascii="Palatino Linotype" w:eastAsia="Palatino Linotype" w:hAnsi="Palatino Linotype" w:cs="Palatino Linotype"/>
          <w:sz w:val="22"/>
          <w:szCs w:val="22"/>
        </w:rPr>
        <w:t xml:space="preserve">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notificó a la persona solicitante la prórroga para dar respuesta a la solicitud</w:t>
      </w:r>
      <w:r w:rsidRPr="00CC134D">
        <w:rPr>
          <w:rFonts w:ascii="Palatino Linotype" w:eastAsia="Palatino Linotype" w:hAnsi="Palatino Linotype" w:cs="Palatino Linotype"/>
          <w:b/>
          <w:bCs/>
          <w:sz w:val="22"/>
          <w:szCs w:val="22"/>
        </w:rPr>
        <w:t>,</w:t>
      </w:r>
      <w:r w:rsidRPr="00CC134D">
        <w:rPr>
          <w:rFonts w:ascii="Palatino Linotype" w:eastAsia="Palatino Linotype" w:hAnsi="Palatino Linotype" w:cs="Palatino Linotype"/>
          <w:sz w:val="22"/>
          <w:szCs w:val="22"/>
        </w:rPr>
        <w:t xml:space="preserve"> medularmente en los siguientes términos:</w:t>
      </w:r>
    </w:p>
    <w:p w14:paraId="781B27E5" w14:textId="77777777" w:rsidR="005A1613" w:rsidRPr="00CC134D" w:rsidRDefault="00DE7120">
      <w:pPr>
        <w:spacing w:before="240" w:after="24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4D66D42" w14:textId="77777777" w:rsidR="005A1613" w:rsidRPr="00CC134D" w:rsidRDefault="00DE7120">
      <w:pPr>
        <w:spacing w:before="240" w:after="24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SE SOLICITA AMPLIACIÓN DE PLAZO.” (sic)</w:t>
      </w:r>
    </w:p>
    <w:p w14:paraId="712A5A8F"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anexó el documento que contiene la Notificación de la ampliación de plazo de respuesta para la solicitud 00500/FGJ/IP/2025, a solicitud de la Fiscalía Regional Texcoco, al encontrarse en procedo de la búsqueda exhaustiva en sus archivos de la información que dé respuesta a lo requerido.</w:t>
      </w:r>
    </w:p>
    <w:p w14:paraId="00E11B23"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Como refiere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ya que la ampliación del plazo para dar respuesta no fue aprobada por el Comité de Transparencia.</w:t>
      </w:r>
    </w:p>
    <w:p w14:paraId="56DAB281" w14:textId="77777777" w:rsidR="005A1613" w:rsidRPr="00CC134D" w:rsidRDefault="00DE7120">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3. Respuesta. </w:t>
      </w:r>
      <w:r w:rsidRPr="00CC134D">
        <w:rPr>
          <w:rFonts w:ascii="Palatino Linotype" w:eastAsia="Palatino Linotype" w:hAnsi="Palatino Linotype" w:cs="Palatino Linotype"/>
          <w:sz w:val="22"/>
          <w:szCs w:val="22"/>
        </w:rPr>
        <w:t xml:space="preserve">El </w:t>
      </w:r>
      <w:r w:rsidRPr="00CC134D">
        <w:rPr>
          <w:rFonts w:ascii="Palatino Linotype" w:eastAsia="Palatino Linotype" w:hAnsi="Palatino Linotype" w:cs="Palatino Linotype"/>
          <w:b/>
          <w:bCs/>
          <w:sz w:val="22"/>
          <w:szCs w:val="22"/>
        </w:rPr>
        <w:t>siete de julio de dos mil veinticinco,</w:t>
      </w:r>
      <w:r w:rsidRPr="00CC134D">
        <w:rPr>
          <w:rFonts w:ascii="Palatino Linotype" w:eastAsia="Palatino Linotype" w:hAnsi="Palatino Linotype" w:cs="Palatino Linotype"/>
          <w:sz w:val="22"/>
          <w:szCs w:val="22"/>
        </w:rPr>
        <w:t xml:space="preserve"> 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1EFEDFD3" w14:textId="77777777" w:rsidR="005A1613" w:rsidRPr="00CC134D" w:rsidRDefault="00DE7120">
      <w:pPr>
        <w:spacing w:before="240" w:after="24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“…SE ANEXA RESPUESTA Asimismo, se hace de conocimiento que de conformidad con el artículo 178 de la Ley de la materia, podrá inconformarse de la respuesta otorgada, por sí mismo o a través de su representante, de manera directa o por medios electrónicos, a través del recurso de revisión, presentado ante el INFOEM o esta Unidad de Transparencia, dentro de los quince días hábiles, siguientes a la fecha de la notificación de presente respuesta.....” (sic)</w:t>
      </w:r>
    </w:p>
    <w:p w14:paraId="32DD623E"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lastRenderedPageBreak/>
        <w:t xml:space="preserve">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adjuntó el oficio número 1977/MAIP/FGJ/2025, mediante el cual la persona titular de la Unidad de Transparencia refirió que con los datos proporcionados en su solicitud, se realizó una búsqueda exhaustiva y razonable dentro de los archivos de las Agencias del Ministerio Público y los Centros de Justicia de las fiscalías regionales de Nezahualcóyotl, Texcoco y Ecatepec, sin embargo, estas informaron que no se encontró registro alguno de información relacionada con lo solicitado.</w:t>
      </w:r>
    </w:p>
    <w:p w14:paraId="720EAE06"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4. Interposición del recurso de revisión. </w:t>
      </w:r>
      <w:r w:rsidRPr="00CC134D">
        <w:rPr>
          <w:rFonts w:ascii="Palatino Linotype" w:eastAsia="Palatino Linotype" w:hAnsi="Palatino Linotype" w:cs="Palatino Linotype"/>
          <w:sz w:val="22"/>
          <w:szCs w:val="22"/>
        </w:rPr>
        <w:t xml:space="preserve">Inconforme con los términos de la respuesta emitida por parte del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el </w:t>
      </w:r>
      <w:r w:rsidRPr="00CC134D">
        <w:rPr>
          <w:rFonts w:ascii="Palatino Linotype" w:eastAsia="Palatino Linotype" w:hAnsi="Palatino Linotype" w:cs="Palatino Linotype"/>
          <w:b/>
          <w:bCs/>
          <w:sz w:val="22"/>
          <w:szCs w:val="22"/>
        </w:rPr>
        <w:t>veinticuatro de julio de dos mil veinticinco,</w:t>
      </w:r>
      <w:r w:rsidRPr="00CC134D">
        <w:rPr>
          <w:rFonts w:ascii="Palatino Linotype" w:eastAsia="Palatino Linotype" w:hAnsi="Palatino Linotype" w:cs="Palatino Linotype"/>
          <w:sz w:val="22"/>
          <w:szCs w:val="22"/>
        </w:rPr>
        <w:t xml:space="preserve"> la parte </w:t>
      </w:r>
      <w:r w:rsidRPr="00CC134D">
        <w:rPr>
          <w:rFonts w:ascii="Palatino Linotype" w:eastAsia="Palatino Linotype" w:hAnsi="Palatino Linotype" w:cs="Palatino Linotype"/>
          <w:b/>
          <w:bCs/>
          <w:sz w:val="22"/>
          <w:szCs w:val="22"/>
        </w:rPr>
        <w:t>Recurrente</w:t>
      </w:r>
      <w:r w:rsidRPr="00CC134D">
        <w:rPr>
          <w:rFonts w:ascii="Palatino Linotype" w:eastAsia="Palatino Linotype" w:hAnsi="Palatino Linotype" w:cs="Palatino Linotype"/>
          <w:sz w:val="22"/>
          <w:szCs w:val="22"/>
        </w:rPr>
        <w:t xml:space="preserve"> interpuso el recurso de revisión a través de </w:t>
      </w:r>
      <w:r w:rsidRPr="00CC134D">
        <w:rPr>
          <w:rFonts w:ascii="Palatino Linotype" w:eastAsia="Palatino Linotype" w:hAnsi="Palatino Linotype" w:cs="Palatino Linotype"/>
          <w:b/>
          <w:bCs/>
          <w:sz w:val="22"/>
          <w:szCs w:val="22"/>
        </w:rPr>
        <w:t xml:space="preserve">SAIMEX, </w:t>
      </w:r>
      <w:r w:rsidRPr="00CC134D">
        <w:rPr>
          <w:rFonts w:ascii="Palatino Linotype" w:eastAsia="Palatino Linotype" w:hAnsi="Palatino Linotype" w:cs="Palatino Linotype"/>
          <w:sz w:val="22"/>
          <w:szCs w:val="22"/>
        </w:rPr>
        <w:t xml:space="preserve">sin embargo, al corresponder a un día inhábil se tuvo por presentada el día </w:t>
      </w:r>
      <w:r w:rsidRPr="00CC134D">
        <w:rPr>
          <w:rFonts w:ascii="Palatino Linotype" w:eastAsia="Palatino Linotype" w:hAnsi="Palatino Linotype" w:cs="Palatino Linotype"/>
          <w:b/>
          <w:bCs/>
          <w:sz w:val="22"/>
          <w:szCs w:val="22"/>
        </w:rPr>
        <w:t xml:space="preserve">cuatro de agosto de dos mil veinticinco, </w:t>
      </w:r>
      <w:r w:rsidRPr="00CC134D">
        <w:rPr>
          <w:rFonts w:ascii="Palatino Linotype" w:eastAsia="Palatino Linotype" w:hAnsi="Palatino Linotype" w:cs="Palatino Linotype"/>
          <w:sz w:val="22"/>
          <w:szCs w:val="22"/>
        </w:rPr>
        <w:t>en donde se manifestó de la siguiente manera:</w:t>
      </w:r>
    </w:p>
    <w:p w14:paraId="383723A7" w14:textId="77777777" w:rsidR="005A1613" w:rsidRPr="00CC134D" w:rsidRDefault="00DE7120">
      <w:pPr>
        <w:spacing w:before="240" w:after="240" w:line="360" w:lineRule="auto"/>
        <w:ind w:right="51"/>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b/>
          <w:bCs/>
          <w:sz w:val="22"/>
          <w:szCs w:val="22"/>
        </w:rPr>
        <w:t xml:space="preserve">Acto impugnado: </w:t>
      </w:r>
    </w:p>
    <w:p w14:paraId="365F80BB" w14:textId="77777777" w:rsidR="005A1613" w:rsidRPr="00CC134D" w:rsidRDefault="00DE7120">
      <w:pPr>
        <w:tabs>
          <w:tab w:val="left" w:pos="2745"/>
        </w:tabs>
        <w:spacing w:before="240" w:after="24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“La Fiscalía General de Justicia del Estado de México respondió que "no se encontró registro alguno de información relacionada con lo solicitado" a pesar de que proporcioné datos concretos como lo son el número de tres averiguaciones previas. </w:t>
      </w:r>
      <w:r w:rsidRPr="00CC134D">
        <w:rPr>
          <w:rFonts w:ascii="Palatino Linotype" w:eastAsia="Palatino Linotype" w:hAnsi="Palatino Linotype" w:cs="Palatino Linotype"/>
          <w:b/>
          <w:bCs/>
          <w:i/>
          <w:iCs/>
          <w:sz w:val="22"/>
          <w:szCs w:val="22"/>
        </w:rPr>
        <w:t>Estos números de averiguaciones previas existen y la prueba de que existen es que aparecen en actuaciones de una averiguación previa abierta por el Ministerio Público de Chimalhuacán</w:t>
      </w:r>
      <w:r w:rsidRPr="00CC134D">
        <w:rPr>
          <w:rFonts w:ascii="Palatino Linotype" w:eastAsia="Palatino Linotype" w:hAnsi="Palatino Linotype" w:cs="Palatino Linotype"/>
          <w:i/>
          <w:iCs/>
          <w:sz w:val="22"/>
          <w:szCs w:val="22"/>
        </w:rPr>
        <w:t xml:space="preserve"> el </w:t>
      </w:r>
      <w:r w:rsidRPr="00CC134D">
        <w:rPr>
          <w:rFonts w:ascii="Palatino Linotype" w:eastAsia="Palatino Linotype" w:hAnsi="Palatino Linotype" w:cs="Palatino Linotype"/>
          <w:b/>
          <w:bCs/>
          <w:i/>
          <w:iCs/>
          <w:sz w:val="22"/>
          <w:szCs w:val="22"/>
        </w:rPr>
        <w:t>30 de abril de 2004</w:t>
      </w:r>
      <w:r w:rsidRPr="00CC134D">
        <w:rPr>
          <w:rFonts w:ascii="Palatino Linotype" w:eastAsia="Palatino Linotype" w:hAnsi="Palatino Linotype" w:cs="Palatino Linotype"/>
          <w:i/>
          <w:iCs/>
          <w:sz w:val="22"/>
          <w:szCs w:val="22"/>
        </w:rPr>
        <w:t xml:space="preserve"> y de otra averiguación previa desahogada por autoridades ministeriales de la </w:t>
      </w:r>
      <w:r w:rsidRPr="00CC134D">
        <w:rPr>
          <w:rFonts w:ascii="Palatino Linotype" w:eastAsia="Palatino Linotype" w:hAnsi="Palatino Linotype" w:cs="Palatino Linotype"/>
          <w:b/>
          <w:bCs/>
          <w:i/>
          <w:iCs/>
          <w:sz w:val="22"/>
          <w:szCs w:val="22"/>
        </w:rPr>
        <w:t>Ciudad de México en 2007</w:t>
      </w:r>
      <w:r w:rsidRPr="00CC134D">
        <w:rPr>
          <w:rFonts w:ascii="Palatino Linotype" w:eastAsia="Palatino Linotype" w:hAnsi="Palatino Linotype" w:cs="Palatino Linotype"/>
          <w:i/>
          <w:iCs/>
          <w:sz w:val="22"/>
          <w:szCs w:val="22"/>
        </w:rPr>
        <w:t>. En su respuesta, la Fiscalía General de Justicia del Estado de México no demuestra ni sustenta haber realizado una búsqueda exhaustiva de la información solicitada entre sus diferentes áreas, pues, por ejemplo, no realizó la búsqueda en sus Fiscalías Especializadas de Homicidios a pesar de que claramente señalé en mi petición que la indagatoria se abrió por el hallazgo de restos humanos. Por lo anterior, solicito que la Fiscalía realice una búsqueda exhaustiva para cumplir con la solicitud de información o en su defecto explique y detalle las razones por las que no podría proporcionar laa copia en versión pública solicitada.” (sic)</w:t>
      </w:r>
    </w:p>
    <w:p w14:paraId="08DA4F38" w14:textId="77777777" w:rsidR="005A1613" w:rsidRPr="00CC134D" w:rsidRDefault="005A1613">
      <w:pPr>
        <w:spacing w:line="360" w:lineRule="auto"/>
        <w:jc w:val="both"/>
        <w:rPr>
          <w:rFonts w:ascii="Palatino Linotype" w:eastAsia="Palatino Linotype" w:hAnsi="Palatino Linotype" w:cs="Palatino Linotype"/>
          <w:b/>
          <w:bCs/>
          <w:sz w:val="22"/>
          <w:szCs w:val="22"/>
        </w:rPr>
      </w:pPr>
    </w:p>
    <w:p w14:paraId="3A1DBD2F" w14:textId="77777777" w:rsidR="005A1613" w:rsidRPr="00CC134D" w:rsidRDefault="005A1613">
      <w:pPr>
        <w:spacing w:line="360" w:lineRule="auto"/>
        <w:jc w:val="both"/>
        <w:rPr>
          <w:rFonts w:ascii="Palatino Linotype" w:eastAsia="Palatino Linotype" w:hAnsi="Palatino Linotype" w:cs="Palatino Linotype"/>
          <w:b/>
          <w:bCs/>
          <w:sz w:val="22"/>
          <w:szCs w:val="22"/>
        </w:rPr>
      </w:pPr>
    </w:p>
    <w:p w14:paraId="21EF8380" w14:textId="77777777" w:rsidR="005A1613" w:rsidRPr="00CC134D" w:rsidRDefault="00DE7120">
      <w:pPr>
        <w:spacing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Y, Razones o motivos de inconformidad</w:t>
      </w:r>
      <w:r w:rsidRPr="00CC134D">
        <w:rPr>
          <w:rFonts w:ascii="Palatino Linotype" w:eastAsia="Palatino Linotype" w:hAnsi="Palatino Linotype" w:cs="Palatino Linotype"/>
          <w:sz w:val="22"/>
          <w:szCs w:val="22"/>
        </w:rPr>
        <w:t>:</w:t>
      </w:r>
    </w:p>
    <w:p w14:paraId="7C948DA7" w14:textId="77777777" w:rsidR="005A1613" w:rsidRPr="00CC134D" w:rsidRDefault="00DE7120">
      <w:pPr>
        <w:tabs>
          <w:tab w:val="left" w:pos="2745"/>
        </w:tabs>
        <w:spacing w:before="240" w:after="24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“El ente obligado respondió que no encontró la información solicitada a pesar de que existen múltiples pruebas públicas de que la información existe y ademas no demostró haber realizado una búsqueda exhaustiva.” (sic)</w:t>
      </w:r>
    </w:p>
    <w:p w14:paraId="6A0B3CCC"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5. Turno. </w:t>
      </w:r>
      <w:r w:rsidRPr="00CC134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C134D">
        <w:rPr>
          <w:rFonts w:ascii="Palatino Linotype" w:eastAsia="Palatino Linotype" w:hAnsi="Palatino Linotype" w:cs="Palatino Linotype"/>
          <w:b/>
          <w:bCs/>
          <w:sz w:val="22"/>
          <w:szCs w:val="22"/>
        </w:rPr>
        <w:t xml:space="preserve">Guadalupe Ramírez Peña, </w:t>
      </w:r>
      <w:r w:rsidRPr="00CC134D">
        <w:rPr>
          <w:rFonts w:ascii="Palatino Linotype" w:eastAsia="Palatino Linotype" w:hAnsi="Palatino Linotype" w:cs="Palatino Linotype"/>
          <w:sz w:val="22"/>
          <w:szCs w:val="22"/>
        </w:rPr>
        <w:t>a efecto de que analizara sobre su admisión o su desechamiento.</w:t>
      </w:r>
    </w:p>
    <w:p w14:paraId="4C284523" w14:textId="77777777" w:rsidR="005A1613" w:rsidRPr="00CC134D" w:rsidRDefault="00DE7120">
      <w:pPr>
        <w:spacing w:before="240" w:after="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b/>
          <w:bCs/>
          <w:sz w:val="22"/>
          <w:szCs w:val="22"/>
        </w:rPr>
        <w:t>6. Admisión del Recurso de revisión.</w:t>
      </w:r>
      <w:r w:rsidRPr="00CC134D">
        <w:rPr>
          <w:rFonts w:ascii="Palatino Linotype" w:eastAsia="Palatino Linotype" w:hAnsi="Palatino Linotype" w:cs="Palatino Linotype"/>
          <w:sz w:val="22"/>
          <w:szCs w:val="22"/>
        </w:rPr>
        <w:t xml:space="preserve"> El</w:t>
      </w:r>
      <w:r w:rsidRPr="00CC134D">
        <w:rPr>
          <w:rFonts w:ascii="Palatino Linotype" w:eastAsia="Palatino Linotype" w:hAnsi="Palatino Linotype" w:cs="Palatino Linotype"/>
          <w:b/>
          <w:bCs/>
          <w:sz w:val="22"/>
          <w:szCs w:val="22"/>
        </w:rPr>
        <w:t xml:space="preserve"> ocho de agosto de dos mil veinticinco, </w:t>
      </w:r>
      <w:r w:rsidRPr="00CC134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presentara su informe justificado.</w:t>
      </w:r>
    </w:p>
    <w:p w14:paraId="3FF12030"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7. Manifestaciones</w:t>
      </w:r>
      <w:r w:rsidRPr="00CC134D">
        <w:rPr>
          <w:rFonts w:ascii="Palatino Linotype" w:eastAsia="Palatino Linotype" w:hAnsi="Palatino Linotype" w:cs="Palatino Linotype"/>
          <w:sz w:val="22"/>
          <w:szCs w:val="22"/>
        </w:rPr>
        <w:t xml:space="preserve">. El </w:t>
      </w:r>
      <w:r w:rsidRPr="00CC134D">
        <w:rPr>
          <w:rFonts w:ascii="Palatino Linotype" w:eastAsia="Palatino Linotype" w:hAnsi="Palatino Linotype" w:cs="Palatino Linotype"/>
          <w:b/>
          <w:bCs/>
          <w:sz w:val="22"/>
          <w:szCs w:val="22"/>
        </w:rPr>
        <w:t xml:space="preserve">diecinueve de agosto de dos mil veinticinco, </w:t>
      </w:r>
      <w:r w:rsidRPr="00CC134D">
        <w:rPr>
          <w:rFonts w:ascii="Palatino Linotype" w:eastAsia="Palatino Linotype" w:hAnsi="Palatino Linotype" w:cs="Palatino Linotype"/>
          <w:sz w:val="22"/>
          <w:szCs w:val="22"/>
        </w:rPr>
        <w:t xml:space="preserve">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remitió, a través del SAIMEX, su informe justificado, mediante el cual ratificó la respuesta proporcionada en primera instancia, asimismo, en atención a los motivos de inconformidad alegados por la parte </w:t>
      </w:r>
      <w:r w:rsidRPr="00CC134D">
        <w:rPr>
          <w:rFonts w:ascii="Palatino Linotype" w:eastAsia="Palatino Linotype" w:hAnsi="Palatino Linotype" w:cs="Palatino Linotype"/>
          <w:b/>
          <w:bCs/>
          <w:sz w:val="22"/>
          <w:szCs w:val="22"/>
        </w:rPr>
        <w:t>Recurrente</w:t>
      </w:r>
      <w:r w:rsidRPr="00CC134D">
        <w:rPr>
          <w:rFonts w:ascii="Palatino Linotype" w:eastAsia="Palatino Linotype" w:hAnsi="Palatino Linotype" w:cs="Palatino Linotype"/>
          <w:sz w:val="22"/>
          <w:szCs w:val="22"/>
        </w:rPr>
        <w:t>, precisó que se solicitó nuevamente a las áreas competentes que atendieron la solicitud, así como a aquellas que pudieran contar con algún registro o antecedente de lo requerido, que realizarán una búsqueda exhaustiva de la información para dar atención al Recurso de Revisión.</w:t>
      </w:r>
    </w:p>
    <w:p w14:paraId="206CAE6D"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este sentido, la Fiscalía Regional de Ecatepec, la Coordinación General de Litigación, la Fiscalía Especializada de Homicidio del Valle de México, la Fiscalía Especializada de Homicidio Zona Oriente, la Fiscalía Especializada de Homicidio del Valle de Toluca y la Dirección General de Tecnologías de la Información y Comunicaciones, derivado de la búsqueda exhaustiva y razonable en los archivos a su cargo, indicaron en lo medular que no se encontró registro de las averiguaciones previas solicitadas, ni se localizaron antecedentes relacionados con dichas averiguaciones.</w:t>
      </w:r>
    </w:p>
    <w:p w14:paraId="046C4F09" w14:textId="77777777" w:rsidR="005A1613" w:rsidRPr="00CC134D" w:rsidRDefault="00DE7120">
      <w:pPr>
        <w:spacing w:before="240" w:after="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sz w:val="22"/>
          <w:szCs w:val="22"/>
        </w:rPr>
        <w:t xml:space="preserve">Asimismo, toda vez que la parte </w:t>
      </w:r>
      <w:r w:rsidRPr="00CC134D">
        <w:rPr>
          <w:rFonts w:ascii="Palatino Linotype" w:eastAsia="Palatino Linotype" w:hAnsi="Palatino Linotype" w:cs="Palatino Linotype"/>
          <w:b/>
          <w:bCs/>
          <w:sz w:val="22"/>
          <w:szCs w:val="22"/>
        </w:rPr>
        <w:t xml:space="preserve">Recurrente </w:t>
      </w:r>
      <w:r w:rsidRPr="00CC134D">
        <w:rPr>
          <w:rFonts w:ascii="Palatino Linotype" w:eastAsia="Palatino Linotype" w:hAnsi="Palatino Linotype" w:cs="Palatino Linotype"/>
          <w:sz w:val="22"/>
          <w:szCs w:val="22"/>
        </w:rPr>
        <w:t>afirma la existencia de los documentos de su interés, se le hizo la invitación para que acuda a la Fiscalía Regional de Ecatepec y Fiscalía Regional de Texcoco, instancias en las que, previo trámite de ley, pudiera cotejar y en su caso, rectificar los números de averiguaciones previas que requiere o incluso, proporcionar mayores elementos que permitan buscar o localizar los documentos respectivos, reiterando que con los datos proporcionados no se localizó registro alguno.</w:t>
      </w:r>
    </w:p>
    <w:p w14:paraId="4A20D207"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68263480" w14:textId="77777777" w:rsidR="005A1613" w:rsidRPr="00CC134D" w:rsidRDefault="00DE7120">
      <w:pPr>
        <w:spacing w:before="240" w:after="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b/>
          <w:bCs/>
          <w:sz w:val="22"/>
          <w:szCs w:val="22"/>
        </w:rPr>
        <w:t>8. Ampliación del término para resolver</w:t>
      </w:r>
      <w:r w:rsidRPr="00CC134D">
        <w:rPr>
          <w:rFonts w:ascii="Palatino Linotype" w:eastAsia="Palatino Linotype" w:hAnsi="Palatino Linotype" w:cs="Palatino Linotype"/>
          <w:sz w:val="22"/>
          <w:szCs w:val="22"/>
        </w:rPr>
        <w:t xml:space="preserve">. El </w:t>
      </w:r>
      <w:r w:rsidRPr="00CC134D">
        <w:rPr>
          <w:rFonts w:ascii="Palatino Linotype" w:eastAsia="Palatino Linotype" w:hAnsi="Palatino Linotype" w:cs="Palatino Linotype"/>
          <w:b/>
          <w:bCs/>
          <w:sz w:val="22"/>
          <w:szCs w:val="22"/>
        </w:rPr>
        <w:t>veintiuno de enero de dos mil veintiséis</w:t>
      </w:r>
      <w:r w:rsidRPr="00CC134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1CB90A2A"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1C7A3CF"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2E3F8AA"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C78200"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6D32E97" w14:textId="77777777" w:rsidR="005A1613" w:rsidRPr="00CC134D" w:rsidRDefault="00DE7120">
      <w:pPr>
        <w:spacing w:before="240" w:after="240" w:line="360" w:lineRule="auto"/>
        <w:jc w:val="both"/>
        <w:rPr>
          <w:rFonts w:ascii="Palatino Linotype" w:eastAsia="Palatino Linotype" w:hAnsi="Palatino Linotype" w:cs="Palatino Linotype"/>
          <w:strike/>
          <w:sz w:val="22"/>
          <w:szCs w:val="22"/>
        </w:rPr>
      </w:pPr>
      <w:r w:rsidRPr="00CC134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EAF229C" w14:textId="77777777" w:rsidR="005A1613" w:rsidRPr="00CC134D" w:rsidRDefault="00DE712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FCF86A6" w14:textId="77777777" w:rsidR="005A1613" w:rsidRPr="00CC134D" w:rsidRDefault="00DE712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Actividad Procesal del interesado. Acciones u omisiones del interesado.</w:t>
      </w:r>
    </w:p>
    <w:p w14:paraId="076D6F31" w14:textId="77777777" w:rsidR="005A1613" w:rsidRPr="00CC134D" w:rsidRDefault="00DE712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0C4F5909" w14:textId="77777777" w:rsidR="005A1613" w:rsidRPr="00CC134D" w:rsidRDefault="00DE7120">
      <w:pPr>
        <w:tabs>
          <w:tab w:val="left" w:pos="567"/>
        </w:tabs>
        <w:spacing w:before="240" w:after="240" w:line="360" w:lineRule="auto"/>
        <w:ind w:left="284"/>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5B176484"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780946" w14:textId="77777777" w:rsidR="005A1613" w:rsidRPr="00CC134D" w:rsidRDefault="00DE7120">
      <w:pPr>
        <w:spacing w:before="240" w:after="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CC134D">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CC134D">
        <w:rPr>
          <w:rFonts w:ascii="Palatino Linotype" w:eastAsia="Palatino Linotype" w:hAnsi="Palatino Linotype" w:cs="Palatino Linotype"/>
          <w:sz w:val="22"/>
          <w:szCs w:val="22"/>
        </w:rPr>
        <w:t>, visible en la Gaceta del Seminario Judicial de la Federación con el registro digital 205635.</w:t>
      </w:r>
    </w:p>
    <w:p w14:paraId="37089CCB"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73F3D5"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B5E1548" w14:textId="77777777" w:rsidR="005A1613" w:rsidRPr="00CC134D" w:rsidRDefault="00DE7120">
      <w:pPr>
        <w:spacing w:before="120" w:after="120"/>
        <w:ind w:left="851" w:right="902"/>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sz w:val="22"/>
          <w:szCs w:val="22"/>
        </w:rPr>
        <w:t xml:space="preserve"> consultable en el Seminario Judicial de la Federación y su gaceta, con el registro digital 2002351.</w:t>
      </w:r>
    </w:p>
    <w:p w14:paraId="4363625E" w14:textId="77777777" w:rsidR="005A1613" w:rsidRPr="00CC134D" w:rsidRDefault="00DE7120">
      <w:pPr>
        <w:spacing w:before="120" w:after="120"/>
        <w:ind w:left="851" w:right="902"/>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sz w:val="22"/>
          <w:szCs w:val="22"/>
        </w:rPr>
        <w:t>, visible en el Seminario Judicial de la Federación y su gaceta, con el registro digital 2002350.</w:t>
      </w:r>
    </w:p>
    <w:p w14:paraId="56C1899D" w14:textId="77777777" w:rsidR="005A1613" w:rsidRPr="00CC134D" w:rsidRDefault="00DE7120">
      <w:pPr>
        <w:widowControl w:val="0"/>
        <w:spacing w:before="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9C9213A"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9. Cierre de instrucción. </w:t>
      </w:r>
      <w:r w:rsidRPr="00CC134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mediante acuerdo del </w:t>
      </w:r>
      <w:r w:rsidRPr="00CC134D">
        <w:rPr>
          <w:rFonts w:ascii="Palatino Linotype" w:eastAsia="Palatino Linotype" w:hAnsi="Palatino Linotype" w:cs="Palatino Linotype"/>
          <w:b/>
          <w:bCs/>
          <w:sz w:val="22"/>
          <w:szCs w:val="22"/>
        </w:rPr>
        <w:t>veintinueve de enero de dos mil veintiséis</w:t>
      </w:r>
      <w:r w:rsidRPr="00CC134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w:t>
      </w:r>
    </w:p>
    <w:p w14:paraId="140C9C11"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2CC0487" w14:textId="77777777" w:rsidR="005A1613" w:rsidRPr="00CC134D" w:rsidRDefault="00DE7120">
      <w:pPr>
        <w:widowControl w:val="0"/>
        <w:spacing w:before="240" w:after="240" w:line="360" w:lineRule="auto"/>
        <w:jc w:val="center"/>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b/>
          <w:bCs/>
          <w:sz w:val="22"/>
          <w:szCs w:val="22"/>
        </w:rPr>
        <w:t>II. C O N S I D E R A N D O S</w:t>
      </w:r>
    </w:p>
    <w:p w14:paraId="27D68C68"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Primero. Competencia.</w:t>
      </w:r>
      <w:r w:rsidRPr="00CC134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CD531B1"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Segundo. Oportunidad y Procedibilidad del Recurso de Revisión</w:t>
      </w:r>
      <w:r w:rsidRPr="00CC134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9E0512E"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 xml:space="preserve">remitió la respuesta a la solicitud de información el día </w:t>
      </w:r>
      <w:r w:rsidRPr="00CC134D">
        <w:rPr>
          <w:rFonts w:ascii="Palatino Linotype" w:eastAsia="Palatino Linotype" w:hAnsi="Palatino Linotype" w:cs="Palatino Linotype"/>
          <w:b/>
          <w:bCs/>
          <w:sz w:val="22"/>
          <w:szCs w:val="22"/>
        </w:rPr>
        <w:t xml:space="preserve">siete de julio de dos mil veinticinco, </w:t>
      </w:r>
      <w:r w:rsidRPr="00CC134D">
        <w:rPr>
          <w:rFonts w:ascii="Palatino Linotype" w:eastAsia="Palatino Linotype" w:hAnsi="Palatino Linotype" w:cs="Palatino Linotype"/>
          <w:sz w:val="22"/>
          <w:szCs w:val="22"/>
        </w:rPr>
        <w:t xml:space="preserve">mientras que el recurso de revisión interpuesto por la parte </w:t>
      </w:r>
      <w:r w:rsidRPr="00CC134D">
        <w:rPr>
          <w:rFonts w:ascii="Palatino Linotype" w:eastAsia="Palatino Linotype" w:hAnsi="Palatino Linotype" w:cs="Palatino Linotype"/>
          <w:b/>
          <w:bCs/>
          <w:sz w:val="22"/>
          <w:szCs w:val="22"/>
        </w:rPr>
        <w:t xml:space="preserve">Recurrente, </w:t>
      </w:r>
      <w:r w:rsidRPr="00CC134D">
        <w:rPr>
          <w:rFonts w:ascii="Palatino Linotype" w:eastAsia="Palatino Linotype" w:hAnsi="Palatino Linotype" w:cs="Palatino Linotype"/>
          <w:sz w:val="22"/>
          <w:szCs w:val="22"/>
        </w:rPr>
        <w:t>se tuvo por presentado el día</w:t>
      </w:r>
      <w:r w:rsidRPr="00CC134D">
        <w:rPr>
          <w:rFonts w:ascii="Palatino Linotype" w:eastAsia="Palatino Linotype" w:hAnsi="Palatino Linotype" w:cs="Palatino Linotype"/>
          <w:b/>
          <w:bCs/>
          <w:sz w:val="22"/>
          <w:szCs w:val="22"/>
        </w:rPr>
        <w:t xml:space="preserve"> cuatro de agosto de dos mil veinticinco, </w:t>
      </w:r>
      <w:r w:rsidRPr="00CC134D">
        <w:rPr>
          <w:rFonts w:ascii="Palatino Linotype" w:eastAsia="Palatino Linotype" w:hAnsi="Palatino Linotype" w:cs="Palatino Linotype"/>
          <w:sz w:val="22"/>
          <w:szCs w:val="22"/>
        </w:rPr>
        <w:t>esto es, al noveno día hábil posterior a aquel en el que tuvo conocimiento de la respuesta impugnada. En este sentido, se concluye que el presente recurso de revisión se encuentra dentro de los márgenes temporales previstos en las disposiciones legales referidas.</w:t>
      </w:r>
    </w:p>
    <w:p w14:paraId="3D97318B" w14:textId="77777777" w:rsidR="005A1613" w:rsidRPr="00CC134D" w:rsidRDefault="00DE7120">
      <w:pPr>
        <w:spacing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Además, por cuanto hace a la procedibilidad del recurso de revisión, es de suma importancia señalar que la parte</w:t>
      </w:r>
      <w:r w:rsidRPr="00CC134D">
        <w:rPr>
          <w:rFonts w:ascii="Palatino Linotype" w:eastAsia="Palatino Linotype" w:hAnsi="Palatino Linotype" w:cs="Palatino Linotype"/>
          <w:b/>
          <w:bCs/>
          <w:sz w:val="22"/>
          <w:szCs w:val="22"/>
        </w:rPr>
        <w:t xml:space="preserve"> Recurrente</w:t>
      </w:r>
      <w:r w:rsidRPr="00CC134D">
        <w:rPr>
          <w:rFonts w:ascii="Palatino Linotype" w:eastAsia="Palatino Linotype" w:hAnsi="Palatino Linotype" w:cs="Palatino Linotype"/>
          <w:sz w:val="22"/>
          <w:szCs w:val="22"/>
        </w:rPr>
        <w:t xml:space="preserve">, no señaló </w:t>
      </w:r>
      <w:r w:rsidRPr="00CC134D">
        <w:rPr>
          <w:rFonts w:ascii="Palatino Linotype" w:eastAsia="Palatino Linotype" w:hAnsi="Palatino Linotype" w:cs="Palatino Linotype"/>
          <w:b/>
          <w:bCs/>
          <w:sz w:val="22"/>
          <w:szCs w:val="22"/>
        </w:rPr>
        <w:t>nombre completo,</w:t>
      </w:r>
      <w:r w:rsidRPr="00CC134D">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C54878C"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Las solicitudes anónimas</w:t>
      </w:r>
      <w:r w:rsidRPr="00CC134D">
        <w:rPr>
          <w:rFonts w:ascii="Palatino Linotype" w:eastAsia="Palatino Linotype" w:hAnsi="Palatino Linotype" w:cs="Palatino Linotype"/>
          <w:i/>
          <w:iCs/>
          <w:sz w:val="22"/>
          <w:szCs w:val="22"/>
        </w:rPr>
        <w:t xml:space="preserve">, con </w:t>
      </w:r>
      <w:r w:rsidRPr="00CC134D">
        <w:rPr>
          <w:rFonts w:ascii="Palatino Linotype" w:eastAsia="Palatino Linotype" w:hAnsi="Palatino Linotype" w:cs="Palatino Linotype"/>
          <w:b/>
          <w:bCs/>
          <w:i/>
          <w:iCs/>
          <w:sz w:val="22"/>
          <w:szCs w:val="22"/>
        </w:rPr>
        <w:t>nombre incompleto</w:t>
      </w:r>
      <w:r w:rsidRPr="00CC134D">
        <w:rPr>
          <w:rFonts w:ascii="Palatino Linotype" w:eastAsia="Palatino Linotype" w:hAnsi="Palatino Linotype" w:cs="Palatino Linotype"/>
          <w:i/>
          <w:iCs/>
          <w:sz w:val="22"/>
          <w:szCs w:val="22"/>
        </w:rPr>
        <w:t xml:space="preserve"> o </w:t>
      </w:r>
      <w:r w:rsidRPr="00CC134D">
        <w:rPr>
          <w:rFonts w:ascii="Palatino Linotype" w:eastAsia="Palatino Linotype" w:hAnsi="Palatino Linotype" w:cs="Palatino Linotype"/>
          <w:b/>
          <w:bCs/>
          <w:i/>
          <w:iCs/>
          <w:sz w:val="22"/>
          <w:szCs w:val="22"/>
        </w:rPr>
        <w:t>seudónimo</w:t>
      </w:r>
      <w:r w:rsidRPr="00CC134D">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01E0EED7" w14:textId="77777777" w:rsidR="005A1613" w:rsidRPr="00CC134D" w:rsidRDefault="00DE7120">
      <w:pPr>
        <w:spacing w:before="240" w:after="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CC134D">
        <w:rPr>
          <w:rFonts w:ascii="Palatino Linotype" w:eastAsia="Palatino Linotype" w:hAnsi="Palatino Linotype" w:cs="Palatino Linotype"/>
          <w:b/>
          <w:bCs/>
          <w:sz w:val="22"/>
          <w:szCs w:val="22"/>
        </w:rPr>
        <w:t xml:space="preserve"> SAIMEX.</w:t>
      </w:r>
    </w:p>
    <w:p w14:paraId="2D374DA7"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CC134D">
        <w:rPr>
          <w:rFonts w:ascii="Palatino Linotype" w:eastAsia="Palatino Linotype" w:hAnsi="Palatino Linotype" w:cs="Palatino Linotype"/>
          <w:b/>
          <w:bCs/>
          <w:sz w:val="22"/>
          <w:szCs w:val="22"/>
        </w:rPr>
        <w:t>Recurrente</w:t>
      </w:r>
      <w:r w:rsidRPr="00CC134D">
        <w:rPr>
          <w:rFonts w:ascii="Palatino Linotype" w:eastAsia="Palatino Linotype" w:hAnsi="Palatino Linotype" w:cs="Palatino Linotype"/>
          <w:sz w:val="22"/>
          <w:szCs w:val="22"/>
        </w:rPr>
        <w:t xml:space="preserve"> en sus motivos de inconformidad, de acuerdo al artículo 179, fracción III del ordenamiento legal citado, que a la letra dice: </w:t>
      </w:r>
    </w:p>
    <w:p w14:paraId="3DAAC534" w14:textId="77777777" w:rsidR="005A1613" w:rsidRPr="00CC134D" w:rsidRDefault="00DE7120">
      <w:pPr>
        <w:tabs>
          <w:tab w:val="left" w:pos="7938"/>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179.</w:t>
      </w:r>
      <w:r w:rsidRPr="00CC134D">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5B5C3BF3" w14:textId="77777777" w:rsidR="005A1613" w:rsidRPr="00CC134D" w:rsidRDefault="00DE7120">
      <w:pPr>
        <w:tabs>
          <w:tab w:val="left" w:pos="7938"/>
        </w:tabs>
        <w:spacing w:before="120" w:after="120"/>
        <w:ind w:left="851" w:right="902"/>
        <w:jc w:val="both"/>
        <w:rPr>
          <w:rFonts w:ascii="Palatino Linotype" w:eastAsia="Palatino Linotype" w:hAnsi="Palatino Linotype" w:cs="Palatino Linotype"/>
          <w:b/>
          <w:bCs/>
          <w:i/>
          <w:iCs/>
          <w:sz w:val="22"/>
          <w:szCs w:val="22"/>
        </w:rPr>
      </w:pPr>
      <w:r w:rsidRPr="00CC134D">
        <w:rPr>
          <w:rFonts w:ascii="Palatino Linotype" w:eastAsia="Palatino Linotype" w:hAnsi="Palatino Linotype" w:cs="Palatino Linotype"/>
          <w:b/>
          <w:bCs/>
          <w:i/>
          <w:iCs/>
          <w:sz w:val="22"/>
          <w:szCs w:val="22"/>
        </w:rPr>
        <w:t>...</w:t>
      </w:r>
    </w:p>
    <w:p w14:paraId="7C74ADDE" w14:textId="77777777" w:rsidR="005A1613" w:rsidRPr="00CC134D" w:rsidRDefault="00DE7120">
      <w:pPr>
        <w:tabs>
          <w:tab w:val="left" w:pos="7938"/>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La declaración de inexistencia de la información;”</w:t>
      </w:r>
    </w:p>
    <w:p w14:paraId="233F20A0" w14:textId="77777777" w:rsidR="005A1613" w:rsidRPr="00CC134D" w:rsidRDefault="00DE7120">
      <w:pPr>
        <w:spacing w:before="240" w:after="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b/>
          <w:bCs/>
          <w:sz w:val="22"/>
          <w:szCs w:val="22"/>
        </w:rPr>
        <w:t xml:space="preserve">Tercero. Materia de la revisión. </w:t>
      </w:r>
      <w:r w:rsidRPr="00CC134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C134D">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CC134D">
        <w:rPr>
          <w:rFonts w:ascii="Palatino Linotype" w:eastAsia="Palatino Linotype" w:hAnsi="Palatino Linotype" w:cs="Palatino Linotype"/>
          <w:sz w:val="22"/>
          <w:szCs w:val="22"/>
        </w:rPr>
        <w:t xml:space="preserve">de la parte </w:t>
      </w:r>
      <w:r w:rsidRPr="00CC134D">
        <w:rPr>
          <w:rFonts w:ascii="Palatino Linotype" w:eastAsia="Palatino Linotype" w:hAnsi="Palatino Linotype" w:cs="Palatino Linotype"/>
          <w:b/>
          <w:bCs/>
          <w:sz w:val="22"/>
          <w:szCs w:val="22"/>
        </w:rPr>
        <w:t>Recurrente</w:t>
      </w:r>
      <w:r w:rsidRPr="00CC134D">
        <w:rPr>
          <w:rFonts w:ascii="Palatino Linotype" w:eastAsia="Palatino Linotype" w:hAnsi="Palatino Linotype" w:cs="Palatino Linotype"/>
          <w:sz w:val="22"/>
          <w:szCs w:val="22"/>
        </w:rPr>
        <w:t>, o en su defecto, en caso de ser procedente, ordenar la entrega de información.</w:t>
      </w:r>
    </w:p>
    <w:p w14:paraId="47D36115"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Cuarto. Estudio del asunto. </w:t>
      </w:r>
      <w:r w:rsidRPr="00CC134D">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3403CFF"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4</w:t>
      </w:r>
      <w:r w:rsidRPr="00CC134D">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270B85D"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CC134D">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5D8453"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CC134D">
        <w:rPr>
          <w:rFonts w:ascii="Palatino Linotype" w:eastAsia="Palatino Linotype" w:hAnsi="Palatino Linotype" w:cs="Palatino Linotype"/>
          <w:i/>
          <w:iCs/>
          <w:sz w:val="22"/>
          <w:szCs w:val="22"/>
        </w:rPr>
        <w:t>.”</w:t>
      </w:r>
    </w:p>
    <w:p w14:paraId="73AA5B5C"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7FD83F"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“Artículo 12.-</w:t>
      </w:r>
      <w:r w:rsidRPr="00CC134D">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6897E497"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262970CA" w14:textId="77777777" w:rsidR="005A1613" w:rsidRPr="00CC134D" w:rsidRDefault="00DE7120">
      <w:pPr>
        <w:spacing w:before="240" w:after="240" w:line="360" w:lineRule="auto"/>
        <w:ind w:right="-93"/>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ED8B97F" w14:textId="77777777" w:rsidR="005A1613" w:rsidRPr="00CC134D" w:rsidRDefault="00DE7120">
      <w:pPr>
        <w:spacing w:before="240" w:after="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CC134D">
        <w:rPr>
          <w:rFonts w:ascii="Palatino Linotype" w:eastAsia="Palatino Linotype" w:hAnsi="Palatino Linotype" w:cs="Palatino Linotype"/>
          <w:b/>
          <w:bCs/>
          <w:sz w:val="22"/>
          <w:szCs w:val="22"/>
        </w:rPr>
        <w:t xml:space="preserve"> </w:t>
      </w:r>
    </w:p>
    <w:p w14:paraId="7B50F4E1" w14:textId="77777777" w:rsidR="005A1613" w:rsidRPr="00CC134D" w:rsidRDefault="00DE7120">
      <w:pPr>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CC134D">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BCF6155" w14:textId="77777777" w:rsidR="005A1613" w:rsidRPr="00CC134D" w:rsidRDefault="00DE7120">
      <w:pPr>
        <w:spacing w:before="120" w:after="12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DD5F4FD" w14:textId="77777777" w:rsidR="005A1613" w:rsidRPr="00CC134D" w:rsidRDefault="00DE7120">
      <w:pPr>
        <w:spacing w:before="120" w:after="12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424522B" w14:textId="77777777" w:rsidR="005A1613" w:rsidRPr="00CC134D" w:rsidRDefault="00DE7120">
      <w:pPr>
        <w:tabs>
          <w:tab w:val="left" w:pos="993"/>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 xml:space="preserve">Artículo 3. </w:t>
      </w:r>
      <w:r w:rsidRPr="00CC134D">
        <w:rPr>
          <w:rFonts w:ascii="Palatino Linotype" w:eastAsia="Palatino Linotype" w:hAnsi="Palatino Linotype" w:cs="Palatino Linotype"/>
          <w:i/>
          <w:iCs/>
          <w:sz w:val="22"/>
          <w:szCs w:val="22"/>
        </w:rPr>
        <w:t>Para los efectos de la presente Ley se entenderá por:</w:t>
      </w:r>
    </w:p>
    <w:p w14:paraId="607127AB" w14:textId="77777777" w:rsidR="005A1613" w:rsidRPr="00CC134D" w:rsidRDefault="00DE7120">
      <w:pPr>
        <w:tabs>
          <w:tab w:val="left" w:pos="993"/>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700BA21C" w14:textId="77777777" w:rsidR="005A1613" w:rsidRPr="00CC134D" w:rsidRDefault="00DE7120">
      <w:pPr>
        <w:tabs>
          <w:tab w:val="left" w:pos="993"/>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XI. Documento:</w:t>
      </w:r>
      <w:r w:rsidRPr="00CC134D">
        <w:rPr>
          <w:rFonts w:ascii="Palatino Linotype" w:eastAsia="Palatino Linotype" w:hAnsi="Palatino Linotype" w:cs="Palatino Linotype"/>
          <w:i/>
          <w:iCs/>
          <w:sz w:val="22"/>
          <w:szCs w:val="22"/>
        </w:rPr>
        <w:t xml:space="preserve"> Los expedientes, reportes, estudios, actas</w:t>
      </w:r>
      <w:r w:rsidRPr="00CC134D">
        <w:rPr>
          <w:rFonts w:ascii="Palatino Linotype" w:eastAsia="Palatino Linotype" w:hAnsi="Palatino Linotype" w:cs="Palatino Linotype"/>
          <w:b/>
          <w:bCs/>
          <w:i/>
          <w:iCs/>
          <w:sz w:val="22"/>
          <w:szCs w:val="22"/>
        </w:rPr>
        <w:t>,</w:t>
      </w:r>
      <w:r w:rsidRPr="00CC134D">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95707F5"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D8F82D"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sz w:val="22"/>
          <w:szCs w:val="22"/>
        </w:rPr>
        <w:t>“</w:t>
      </w:r>
      <w:r w:rsidRPr="00CC134D">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CC134D">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B5BCB4"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714FDA9"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7B54260A"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66445254"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661754BA"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81A5936"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5DD26D7"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CC134D">
        <w:rPr>
          <w:rFonts w:ascii="Palatino Linotype" w:eastAsia="Palatino Linotype" w:hAnsi="Palatino Linotype" w:cs="Palatino Linotype"/>
          <w:b/>
          <w:bCs/>
          <w:sz w:val="22"/>
          <w:szCs w:val="22"/>
        </w:rPr>
        <w:t>Recurrente</w:t>
      </w:r>
      <w:r w:rsidRPr="00CC134D">
        <w:rPr>
          <w:rFonts w:ascii="Palatino Linotype" w:eastAsia="Palatino Linotype" w:hAnsi="Palatino Linotype" w:cs="Palatino Linotype"/>
          <w:sz w:val="22"/>
          <w:szCs w:val="22"/>
        </w:rPr>
        <w:t xml:space="preserve"> requirió al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le proporcione, información consistente en lo siguiente:</w:t>
      </w:r>
    </w:p>
    <w:p w14:paraId="6027BEC0" w14:textId="77777777" w:rsidR="005A1613" w:rsidRPr="00CC134D" w:rsidRDefault="00DE7120">
      <w:pPr>
        <w:tabs>
          <w:tab w:val="left" w:pos="2775"/>
        </w:tabs>
        <w:spacing w:before="240" w:after="240" w:line="360" w:lineRule="auto"/>
        <w:ind w:left="284"/>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1. El expediente de la averiguación previa TEX/II/3289/2006 y sus acumuladas ZUM/III/1966/2006 y EM/II/13490/2006 abiertas en diciembre de 2006 por el hallazgo de restos humanos. </w:t>
      </w:r>
    </w:p>
    <w:p w14:paraId="6FCDB1E0"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Asimismo, para la localización de la información precisó que la indagatoria y sus acumuladas se instruyeron en el segundo turno de la agencia modelo en Texcoco de la Mora.</w:t>
      </w:r>
    </w:p>
    <w:p w14:paraId="412DCE51" w14:textId="77777777" w:rsidR="005A1613" w:rsidRPr="00CC134D" w:rsidRDefault="00DE7120">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1550E1A7"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5AED908B"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66CF0C45"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3016A2DC" w14:textId="77777777" w:rsidR="005A1613" w:rsidRPr="00CC134D" w:rsidRDefault="00DE7120">
      <w:pPr>
        <w:spacing w:before="280" w:after="28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En el caso particular, es de recordar que la Unidad de Transparencia turnó la solicitud a las Agencias del Ministerio Público y los Centros de Justicia de las </w:t>
      </w:r>
      <w:r w:rsidRPr="00CC134D">
        <w:rPr>
          <w:rFonts w:ascii="Palatino Linotype" w:eastAsia="Palatino Linotype" w:hAnsi="Palatino Linotype" w:cs="Palatino Linotype"/>
          <w:b/>
          <w:bCs/>
          <w:sz w:val="22"/>
          <w:szCs w:val="22"/>
        </w:rPr>
        <w:t>Fiscalías Regionales</w:t>
      </w:r>
      <w:r w:rsidRPr="00CC134D">
        <w:rPr>
          <w:rFonts w:ascii="Palatino Linotype" w:eastAsia="Palatino Linotype" w:hAnsi="Palatino Linotype" w:cs="Palatino Linotype"/>
          <w:sz w:val="22"/>
          <w:szCs w:val="22"/>
        </w:rPr>
        <w:t xml:space="preserve"> de Nezahualcóyotl, </w:t>
      </w:r>
      <w:r w:rsidRPr="00CC134D">
        <w:rPr>
          <w:rFonts w:ascii="Palatino Linotype" w:eastAsia="Palatino Linotype" w:hAnsi="Palatino Linotype" w:cs="Palatino Linotype"/>
          <w:b/>
          <w:bCs/>
          <w:sz w:val="22"/>
          <w:szCs w:val="22"/>
        </w:rPr>
        <w:t>Texcoco</w:t>
      </w:r>
      <w:r w:rsidRPr="00CC134D">
        <w:rPr>
          <w:rFonts w:ascii="Palatino Linotype" w:eastAsia="Palatino Linotype" w:hAnsi="Palatino Linotype" w:cs="Palatino Linotype"/>
          <w:sz w:val="22"/>
          <w:szCs w:val="22"/>
        </w:rPr>
        <w:t xml:space="preserve"> y Ecatepec, como la dependencia competente para contar con la información que es del interés de la persona solicitante, las cuales informaron que de la búsqueda exhaustiva y razonable dentro de los archivos a su cargo, </w:t>
      </w:r>
      <w:r w:rsidRPr="00CC134D">
        <w:rPr>
          <w:rFonts w:ascii="Palatino Linotype" w:eastAsia="Palatino Linotype" w:hAnsi="Palatino Linotype" w:cs="Palatino Linotype"/>
          <w:b/>
          <w:bCs/>
          <w:sz w:val="22"/>
          <w:szCs w:val="22"/>
          <w:u w:val="single"/>
        </w:rPr>
        <w:t>no se encontró registro alguno de información relacionada con lo solicitado.</w:t>
      </w:r>
    </w:p>
    <w:p w14:paraId="6F72AC0F"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En esta tesitura, una vez conocida la respuesta emitida por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la parte</w:t>
      </w:r>
      <w:r w:rsidRPr="00CC134D">
        <w:rPr>
          <w:rFonts w:ascii="Palatino Linotype" w:eastAsia="Palatino Linotype" w:hAnsi="Palatino Linotype" w:cs="Palatino Linotype"/>
          <w:b/>
          <w:bCs/>
          <w:sz w:val="22"/>
          <w:szCs w:val="22"/>
        </w:rPr>
        <w:t xml:space="preserve"> Recurrente</w:t>
      </w:r>
      <w:r w:rsidRPr="00CC134D">
        <w:rPr>
          <w:rFonts w:ascii="Palatino Linotype" w:eastAsia="Palatino Linotype" w:hAnsi="Palatino Linotype" w:cs="Palatino Linotype"/>
          <w:sz w:val="22"/>
          <w:szCs w:val="22"/>
        </w:rPr>
        <w:t>, al no estar conforme con los términos de la misma, interpuso el recurso de revisión que nos ocupa, inconformándose medularmente por la inexistencia de la información, puntualizando que a su parecer no se había realizado la búsqueda exhaustiva de la información en todas las áreas competentes, como lo son las Fiscalías Especializadas de Homicidios a pesar de haberse señalado que la indagatoria se abrió por hallazgo de restos humanos.</w:t>
      </w:r>
    </w:p>
    <w:p w14:paraId="1D3FA8FF"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Ahora bien, en la etapa de manifestaciones, tomando en consideración los motivos de inconformidad alegados por la parte </w:t>
      </w:r>
      <w:r w:rsidRPr="00CC134D">
        <w:rPr>
          <w:rFonts w:ascii="Palatino Linotype" w:eastAsia="Palatino Linotype" w:hAnsi="Palatino Linotype" w:cs="Palatino Linotype"/>
          <w:b/>
          <w:bCs/>
          <w:sz w:val="22"/>
          <w:szCs w:val="22"/>
        </w:rPr>
        <w:t xml:space="preserve">Recurrente, </w:t>
      </w:r>
      <w:r w:rsidRPr="00CC134D">
        <w:rPr>
          <w:rFonts w:ascii="Palatino Linotype" w:eastAsia="Palatino Linotype" w:hAnsi="Palatino Linotype" w:cs="Palatino Linotype"/>
          <w:sz w:val="22"/>
          <w:szCs w:val="22"/>
        </w:rPr>
        <w:t xml:space="preserve">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solicitó nuevamente a las áreas competentes que atendieron la solicitud, así como a aquellas que pudieran contar con algún registro o antecedente de lo requerido, que realizarán una búsqueda exhaustiva de la información para dar atención al recurso de revisión, las cuales se pronunciaron en los siguientes términos:</w:t>
      </w:r>
    </w:p>
    <w:p w14:paraId="2E4307B1" w14:textId="77777777" w:rsidR="005A1613" w:rsidRPr="00CC134D" w:rsidRDefault="00DE7120">
      <w:pPr>
        <w:spacing w:before="240" w:after="240" w:line="360" w:lineRule="auto"/>
        <w:ind w:left="284"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Agencias del Ministerio Público</w:t>
      </w:r>
      <w:r w:rsidRPr="00CC134D">
        <w:rPr>
          <w:rFonts w:ascii="Palatino Linotype" w:eastAsia="Palatino Linotype" w:hAnsi="Palatino Linotype" w:cs="Palatino Linotype"/>
          <w:sz w:val="22"/>
          <w:szCs w:val="22"/>
        </w:rPr>
        <w:t xml:space="preserve"> y </w:t>
      </w:r>
      <w:r w:rsidRPr="00CC134D">
        <w:rPr>
          <w:rFonts w:ascii="Palatino Linotype" w:eastAsia="Palatino Linotype" w:hAnsi="Palatino Linotype" w:cs="Palatino Linotype"/>
          <w:b/>
          <w:bCs/>
          <w:sz w:val="22"/>
          <w:szCs w:val="22"/>
        </w:rPr>
        <w:t>Fiscalías Regionales</w:t>
      </w:r>
      <w:r w:rsidRPr="00CC134D">
        <w:rPr>
          <w:rFonts w:ascii="Palatino Linotype" w:eastAsia="Palatino Linotype" w:hAnsi="Palatino Linotype" w:cs="Palatino Linotype"/>
          <w:sz w:val="22"/>
          <w:szCs w:val="22"/>
        </w:rPr>
        <w:t xml:space="preserve"> de Nezahualcóyotl, </w:t>
      </w:r>
      <w:r w:rsidRPr="00CC134D">
        <w:rPr>
          <w:rFonts w:ascii="Palatino Linotype" w:eastAsia="Palatino Linotype" w:hAnsi="Palatino Linotype" w:cs="Palatino Linotype"/>
          <w:b/>
          <w:bCs/>
          <w:sz w:val="22"/>
          <w:szCs w:val="22"/>
        </w:rPr>
        <w:t>Texcoco</w:t>
      </w:r>
      <w:r w:rsidRPr="00CC134D">
        <w:rPr>
          <w:rFonts w:ascii="Palatino Linotype" w:eastAsia="Palatino Linotype" w:hAnsi="Palatino Linotype" w:cs="Palatino Linotype"/>
          <w:sz w:val="22"/>
          <w:szCs w:val="22"/>
        </w:rPr>
        <w:t>, ratificaron su respuesta.</w:t>
      </w:r>
    </w:p>
    <w:p w14:paraId="5C8AEEF6" w14:textId="77777777" w:rsidR="005A1613" w:rsidRPr="00CC134D" w:rsidRDefault="00DE7120">
      <w:pPr>
        <w:spacing w:before="240" w:after="240" w:line="360" w:lineRule="auto"/>
        <w:ind w:left="284"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Fiscalía Regional de Ecatepec</w:t>
      </w:r>
      <w:r w:rsidRPr="00CC134D">
        <w:rPr>
          <w:rFonts w:ascii="Palatino Linotype" w:eastAsia="Palatino Linotype" w:hAnsi="Palatino Linotype" w:cs="Palatino Linotype"/>
          <w:sz w:val="22"/>
          <w:szCs w:val="22"/>
        </w:rPr>
        <w:t xml:space="preserve">: "Al respecto y con fundamento en lo dispuesto por los artículos I, 7 fracciones I, II, III, IV, V, VI, VII y VIII de la Ley de la Fiscalía General de Justicia del Estado de México; artículos 14, 15 fracción VI, VII, IX y X de la Ley Orgánica de la Fiscalía General de Justicia del Estado de México y de acuerdo a la información rendida por los Encargados de las Unidades de Investigación C-l Ecatepec y C-2 San Agustín, </w:t>
      </w:r>
      <w:r w:rsidRPr="00CC134D">
        <w:rPr>
          <w:rFonts w:ascii="Palatino Linotype" w:eastAsia="Palatino Linotype" w:hAnsi="Palatino Linotype" w:cs="Palatino Linotype"/>
          <w:b/>
          <w:bCs/>
          <w:sz w:val="22"/>
          <w:szCs w:val="22"/>
        </w:rPr>
        <w:t>no se detectó la radicación de las Averiguaciones Previas</w:t>
      </w: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TEX/II/3289/2006</w:t>
      </w:r>
      <w:r w:rsidRPr="00CC134D">
        <w:rPr>
          <w:rFonts w:ascii="Palatino Linotype" w:eastAsia="Palatino Linotype" w:hAnsi="Palatino Linotype" w:cs="Palatino Linotype"/>
          <w:sz w:val="22"/>
          <w:szCs w:val="22"/>
        </w:rPr>
        <w:t xml:space="preserve"> y sus acumuladas </w:t>
      </w:r>
      <w:r w:rsidRPr="00CC134D">
        <w:rPr>
          <w:rFonts w:ascii="Palatino Linotype" w:eastAsia="Palatino Linotype" w:hAnsi="Palatino Linotype" w:cs="Palatino Linotype"/>
          <w:b/>
          <w:bCs/>
          <w:sz w:val="22"/>
          <w:szCs w:val="22"/>
        </w:rPr>
        <w:t>ZUM/II/1966/2006 y EM/I/13490/2006."</w:t>
      </w:r>
    </w:p>
    <w:p w14:paraId="58FE2F27" w14:textId="77777777" w:rsidR="005A1613" w:rsidRPr="00CC134D" w:rsidRDefault="00DE7120">
      <w:pPr>
        <w:spacing w:before="240" w:after="240" w:line="360" w:lineRule="auto"/>
        <w:ind w:left="284"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Coordinación General de Litigación</w:t>
      </w:r>
      <w:r w:rsidRPr="00CC134D">
        <w:rPr>
          <w:rFonts w:ascii="Palatino Linotype" w:eastAsia="Palatino Linotype" w:hAnsi="Palatino Linotype" w:cs="Palatino Linotype"/>
          <w:sz w:val="22"/>
          <w:szCs w:val="22"/>
        </w:rPr>
        <w:t xml:space="preserve">: "Se realizó una búsqueda exhaustiva en las bases de datos con las que cuenta esta Coordinación General y </w:t>
      </w:r>
      <w:r w:rsidRPr="00CC134D">
        <w:rPr>
          <w:rFonts w:ascii="Palatino Linotype" w:eastAsia="Palatino Linotype" w:hAnsi="Palatino Linotype" w:cs="Palatino Linotype"/>
          <w:b/>
          <w:bCs/>
          <w:sz w:val="22"/>
          <w:szCs w:val="22"/>
        </w:rPr>
        <w:t>no se encontró registro de las averiguaciones previas solicitadas</w:t>
      </w:r>
      <w:r w:rsidRPr="00CC134D">
        <w:rPr>
          <w:rFonts w:ascii="Palatino Linotype" w:eastAsia="Palatino Linotype" w:hAnsi="Palatino Linotype" w:cs="Palatino Linotype"/>
          <w:sz w:val="22"/>
          <w:szCs w:val="22"/>
        </w:rPr>
        <w:t>."</w:t>
      </w:r>
    </w:p>
    <w:p w14:paraId="2A63D891" w14:textId="77777777" w:rsidR="005A1613" w:rsidRPr="00CC134D" w:rsidRDefault="00DE7120">
      <w:pPr>
        <w:spacing w:before="240" w:after="240" w:line="360" w:lineRule="auto"/>
        <w:ind w:left="284"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u w:val="single"/>
        </w:rPr>
        <w:t>Fiscalía Especializada de Homicidio del Valle de México</w:t>
      </w:r>
      <w:r w:rsidRPr="00CC134D">
        <w:rPr>
          <w:rFonts w:ascii="Palatino Linotype" w:eastAsia="Palatino Linotype" w:hAnsi="Palatino Linotype" w:cs="Palatino Linotype"/>
          <w:sz w:val="22"/>
          <w:szCs w:val="22"/>
        </w:rPr>
        <w:t xml:space="preserve">: "En atención a lo solicitado, se hace de su cocimiento, que una vez revisadas las bases de datos que obran en esta Fiscalía, </w:t>
      </w:r>
      <w:r w:rsidRPr="00CC134D">
        <w:rPr>
          <w:rFonts w:ascii="Palatino Linotype" w:eastAsia="Palatino Linotype" w:hAnsi="Palatino Linotype" w:cs="Palatino Linotype"/>
          <w:b/>
          <w:bCs/>
          <w:sz w:val="22"/>
          <w:szCs w:val="22"/>
        </w:rPr>
        <w:t>NO se cuenta con antecedente alguno de que dichas Averiguaciones previas hayan sido radicadas</w:t>
      </w:r>
      <w:r w:rsidRPr="00CC134D">
        <w:rPr>
          <w:rFonts w:ascii="Palatino Linotype" w:eastAsia="Palatino Linotype" w:hAnsi="Palatino Linotype" w:cs="Palatino Linotype"/>
          <w:sz w:val="22"/>
          <w:szCs w:val="22"/>
        </w:rPr>
        <w:t>.</w:t>
      </w:r>
    </w:p>
    <w:p w14:paraId="5377EDA5" w14:textId="77777777" w:rsidR="005A1613" w:rsidRPr="00CC134D" w:rsidRDefault="00DE7120">
      <w:pPr>
        <w:spacing w:before="240" w:after="240" w:line="360" w:lineRule="auto"/>
        <w:ind w:left="284"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Fiscalía Especializada de Homicidio Zona Oriente</w:t>
      </w:r>
      <w:r w:rsidRPr="00CC134D">
        <w:rPr>
          <w:rFonts w:ascii="Palatino Linotype" w:eastAsia="Palatino Linotype" w:hAnsi="Palatino Linotype" w:cs="Palatino Linotype"/>
          <w:sz w:val="22"/>
          <w:szCs w:val="22"/>
        </w:rPr>
        <w:t xml:space="preserve">: "Se realizó una búsqueda exhaustiva y minuciosa en los archivos físicos y digitales con los que cuenta esta Fiscalía, y </w:t>
      </w:r>
      <w:r w:rsidRPr="00CC134D">
        <w:rPr>
          <w:rFonts w:ascii="Palatino Linotype" w:eastAsia="Palatino Linotype" w:hAnsi="Palatino Linotype" w:cs="Palatino Linotype"/>
          <w:b/>
          <w:bCs/>
          <w:sz w:val="22"/>
          <w:szCs w:val="22"/>
        </w:rPr>
        <w:t>NO SE ENCONTRÓ registro de las averiguaciones previas citadas con antelación</w:t>
      </w:r>
      <w:r w:rsidRPr="00CC134D">
        <w:rPr>
          <w:rFonts w:ascii="Palatino Linotype" w:eastAsia="Palatino Linotype" w:hAnsi="Palatino Linotype" w:cs="Palatino Linotype"/>
          <w:sz w:val="22"/>
          <w:szCs w:val="22"/>
        </w:rPr>
        <w:t>.</w:t>
      </w:r>
    </w:p>
    <w:p w14:paraId="3AE4AAE8" w14:textId="77777777" w:rsidR="005A1613" w:rsidRPr="00CC134D" w:rsidRDefault="00DE7120">
      <w:pPr>
        <w:spacing w:before="240" w:after="240" w:line="360" w:lineRule="auto"/>
        <w:ind w:left="284"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No se omite mencionar que, esta unidad administrativa fue creada en el año 2017, en términos del acuerdo número 12/2017, por el que se crea la Fiscalía Especializada de Homicidios Zona Oriente de la Fiscalía General de Justicia del Estado de México"</w:t>
      </w:r>
    </w:p>
    <w:p w14:paraId="717D698F" w14:textId="77777777" w:rsidR="005A1613" w:rsidRPr="00CC134D" w:rsidRDefault="00DE7120">
      <w:pPr>
        <w:spacing w:before="240" w:after="240" w:line="360" w:lineRule="auto"/>
        <w:ind w:left="284"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Fiscalía Especializada de Homicidio del Valle de Toluca</w:t>
      </w:r>
      <w:r w:rsidRPr="00CC134D">
        <w:rPr>
          <w:rFonts w:ascii="Palatino Linotype" w:eastAsia="Palatino Linotype" w:hAnsi="Palatino Linotype" w:cs="Palatino Linotype"/>
          <w:sz w:val="22"/>
          <w:szCs w:val="22"/>
        </w:rPr>
        <w:t xml:space="preserve">: "Se informa que, una vez realizada una búsqueda dentro de los archivos que obran en esta Fiscalía Especializada de Homicidio, </w:t>
      </w:r>
      <w:r w:rsidRPr="00CC134D">
        <w:rPr>
          <w:rFonts w:ascii="Palatino Linotype" w:eastAsia="Palatino Linotype" w:hAnsi="Palatino Linotype" w:cs="Palatino Linotype"/>
          <w:b/>
          <w:bCs/>
          <w:sz w:val="22"/>
          <w:szCs w:val="22"/>
        </w:rPr>
        <w:t>no se localizó dato alguno relacionado con las indagatorias mencionadas</w:t>
      </w:r>
      <w:r w:rsidRPr="00CC134D">
        <w:rPr>
          <w:rFonts w:ascii="Palatino Linotype" w:eastAsia="Palatino Linotype" w:hAnsi="Palatino Linotype" w:cs="Palatino Linotype"/>
          <w:sz w:val="22"/>
          <w:szCs w:val="22"/>
        </w:rPr>
        <w:t xml:space="preserve"> en líneas anteriores, lo anterior con fundamento en el artículo 12 de la Ley de Transparencia y Acceso a la Información Pública, vigente en el Estado de México, en el que se establece que: "Los sujetos obligados sólo proporcionarán la información pública que se les requiera y obre en sus archivos. No estarán obligados a procesarla, resumirla, efectuar cálculos o practicar investigaciones"</w:t>
      </w:r>
    </w:p>
    <w:p w14:paraId="734786A3" w14:textId="77777777" w:rsidR="005A1613" w:rsidRPr="00CC134D" w:rsidRDefault="00DE7120">
      <w:pPr>
        <w:spacing w:before="240" w:after="240" w:line="360" w:lineRule="auto"/>
        <w:ind w:left="284"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Dirección General de Tecnologías de la Información y Comunicaciones:</w:t>
      </w:r>
      <w:r w:rsidRPr="00CC134D">
        <w:rPr>
          <w:rFonts w:ascii="Palatino Linotype" w:eastAsia="Palatino Linotype" w:hAnsi="Palatino Linotype" w:cs="Palatino Linotype"/>
          <w:sz w:val="22"/>
          <w:szCs w:val="22"/>
        </w:rPr>
        <w:t xml:space="preserve"> "Se informa que, se realizó la búsqueda en las bases de datos de los Sistemas con Carpetas de Investigación y Averiguaciones Previas, </w:t>
      </w:r>
      <w:r w:rsidRPr="00CC134D">
        <w:rPr>
          <w:rFonts w:ascii="Palatino Linotype" w:eastAsia="Palatino Linotype" w:hAnsi="Palatino Linotype" w:cs="Palatino Linotype"/>
          <w:b/>
          <w:bCs/>
          <w:sz w:val="22"/>
          <w:szCs w:val="22"/>
        </w:rPr>
        <w:t>NO encontrando información alguna,</w:t>
      </w:r>
      <w:r w:rsidRPr="00CC134D">
        <w:rPr>
          <w:rFonts w:ascii="Palatino Linotype" w:eastAsia="Palatino Linotype" w:hAnsi="Palatino Linotype" w:cs="Palatino Linotype"/>
          <w:sz w:val="22"/>
          <w:szCs w:val="22"/>
        </w:rPr>
        <w:t xml:space="preserve"> relacionada con los expedientes solicitados."</w:t>
      </w:r>
    </w:p>
    <w:p w14:paraId="1A050671" w14:textId="77777777" w:rsidR="005A1613" w:rsidRPr="00CC134D" w:rsidRDefault="00DE7120">
      <w:pPr>
        <w:spacing w:before="240" w:after="240" w:line="360" w:lineRule="auto"/>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sz w:val="22"/>
          <w:szCs w:val="22"/>
        </w:rPr>
        <w:t xml:space="preserve">Asimismo, toda vez que la parte </w:t>
      </w:r>
      <w:r w:rsidRPr="00CC134D">
        <w:rPr>
          <w:rFonts w:ascii="Palatino Linotype" w:eastAsia="Palatino Linotype" w:hAnsi="Palatino Linotype" w:cs="Palatino Linotype"/>
          <w:b/>
          <w:bCs/>
          <w:sz w:val="22"/>
          <w:szCs w:val="22"/>
        </w:rPr>
        <w:t xml:space="preserve">Recurrente </w:t>
      </w:r>
      <w:r w:rsidRPr="00CC134D">
        <w:rPr>
          <w:rFonts w:ascii="Palatino Linotype" w:eastAsia="Palatino Linotype" w:hAnsi="Palatino Linotype" w:cs="Palatino Linotype"/>
          <w:sz w:val="22"/>
          <w:szCs w:val="22"/>
        </w:rPr>
        <w:t>afirma la existencia de los documentos de su interés, se le hizo la invitación para que acuda a la Fiscalía Regional de Ecatepec y Fiscalía Regional de Texcoco, instancias en las que, previo trámite de ley, pudiera cotejar y en su caso, rectificar los números de averiguaciones previas que requiere o incluso, proporcionar mayores elementos que permitan buscar o localizar los documentos respectivos, reiterando que con los datos proporcionados no se localizó registro alguno.</w:t>
      </w:r>
    </w:p>
    <w:p w14:paraId="4DD4CDD4"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Como se advierte que 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 xml:space="preserve">reiteró que de la búsqueda exhaustiva realizada por las áreas que pudieran contar con la información requerida por el particular o algún antecedente de ello, no se localizó registro alguno de las averiguaciones previas referidas en la solicitud, incluso, se buscó en los sistemas informáticos en los que obran registros de averiguaciones, sin localizar folio coincidente con los de interés de la parte </w:t>
      </w:r>
      <w:r w:rsidRPr="00CC134D">
        <w:rPr>
          <w:rFonts w:ascii="Palatino Linotype" w:eastAsia="Palatino Linotype" w:hAnsi="Palatino Linotype" w:cs="Palatino Linotype"/>
          <w:b/>
          <w:bCs/>
          <w:sz w:val="22"/>
          <w:szCs w:val="22"/>
        </w:rPr>
        <w:t>Recurrente</w:t>
      </w:r>
      <w:r w:rsidRPr="00CC134D">
        <w:rPr>
          <w:rFonts w:ascii="Palatino Linotype" w:eastAsia="Palatino Linotype" w:hAnsi="Palatino Linotype" w:cs="Palatino Linotype"/>
          <w:sz w:val="22"/>
          <w:szCs w:val="22"/>
        </w:rPr>
        <w:t>, tal como lo informó la Dirección General de Tecnologías de la Información y Comunicaciones, al cual, de conformidad con el articulo vigésimo cuarto del ACUERDO NÚMERO 09/2020, POR EL QUE SE CREAN DIVERSAS UNIDADES ADMINISTRATIVAS DE LA FISCALÍA GENERAL DE JUSTICIA DEL ESTADO DE MÉXICO Y SE ESTABLECEN SUS FUNCIONES, publicado en el Periódico Oficial Gaceta del Gobierno del Estado de México, el once de junio de dos mil veinte, conoce de los sistemas informáticos institucionales, coordina y controlar la clasificación y resguardo de los archivos documentales y electrónicos de la Fiscalía General, áreas que cuentan con competencia para conocer de la información que es del interés de la persona solicitante.</w:t>
      </w:r>
    </w:p>
    <w:p w14:paraId="77E9215E"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Atento a lo anterior, se precisa que lo manifestado por las personas servidoras públicas habilitadas de las Agencias del Ministerio Público y los Centros de Justicia de las Fiscalías Regionales de Nezahualcóyotl, Texcoco y Ecatepec, la Coordinación General de Litigación, la Fiscalía Especializada de Homicidio del Valle de México, la Fiscalía Especializada de Homicidio Zona Oriente, la Fiscalía Especializada de Homicidio del Valle de Toluca y la Dirección General de Tecnologías de la Información y Comunicaciones, como las áreas que pudieran conocer de la información que es del interés de la persona solicitante se constituye en una expresión en sentido negativo, esto es, niegan la existencia de información alguna relacionada con las averiguaciones con los números de folio proporcionados en virtud de no haberse localizado en los archivos a su cargo registros o antecedentes de radicación de dichas averiguaciones. </w:t>
      </w:r>
    </w:p>
    <w:p w14:paraId="45B20DCE"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Entonces, si se considera el hecho negativo, resulta obvio que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no puede tener en sus archivos información que satisfaga el requerimiento de información, ya que no puede probarse por ser lógica y materialmente imposible. </w:t>
      </w:r>
    </w:p>
    <w:p w14:paraId="5AC87F03"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Sirve de sustento la siguiente Tesis</w:t>
      </w:r>
      <w:r w:rsidRPr="00CC134D">
        <w:rPr>
          <w:rFonts w:ascii="Palatino Linotype" w:eastAsia="Palatino Linotype" w:hAnsi="Palatino Linotype" w:cs="Palatino Linotype"/>
          <w:sz w:val="22"/>
          <w:szCs w:val="22"/>
          <w:vertAlign w:val="superscript"/>
        </w:rPr>
        <w:footnoteReference w:id="1"/>
      </w:r>
      <w:r w:rsidRPr="00CC134D">
        <w:rPr>
          <w:rFonts w:ascii="Palatino Linotype" w:eastAsia="Palatino Linotype" w:hAnsi="Palatino Linotype" w:cs="Palatino Linotype"/>
          <w:sz w:val="22"/>
          <w:szCs w:val="22"/>
        </w:rPr>
        <w:t xml:space="preserve"> emitida por la Segunda Sala de la Suprema Corte de la Nación, que es del tenor literal siguiente:</w:t>
      </w:r>
    </w:p>
    <w:p w14:paraId="58BD7480" w14:textId="77777777" w:rsidR="005A1613" w:rsidRPr="00CC134D" w:rsidRDefault="00DE7120">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i/>
          <w:iCs/>
          <w:sz w:val="22"/>
          <w:szCs w:val="22"/>
        </w:rPr>
        <w:t xml:space="preserve">“HECHOS NEGATIVOS, NO SON SUSCEPTIBLES DE DEMOSTRACIÓN. </w:t>
      </w:r>
      <w:r w:rsidRPr="00CC134D">
        <w:rPr>
          <w:rFonts w:ascii="Palatino Linotype" w:eastAsia="Palatino Linotype" w:hAnsi="Palatino Linotype" w:cs="Palatino Linotype"/>
          <w:i/>
          <w:iCs/>
          <w:sz w:val="22"/>
          <w:szCs w:val="22"/>
        </w:rPr>
        <w:t>Tratándose de un hecho negativo, el Juez no tiene por que invocar prueba alguna de la que se desprenda, ya que es bien sabido que esta clase de hechos no son susceptibles de demostración.”</w:t>
      </w:r>
    </w:p>
    <w:p w14:paraId="772B273E" w14:textId="77777777" w:rsidR="005A1613" w:rsidRPr="00CC134D" w:rsidRDefault="00DE7120">
      <w:pPr>
        <w:spacing w:before="240" w:after="240" w:line="360" w:lineRule="auto"/>
        <w:ind w:right="18"/>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De tal manera que basta con la aseveración por parte del servidor público habilitado respeto de la inexistencia de la información en el área a su cargo;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14:paraId="4D8D6012" w14:textId="77777777" w:rsidR="005A1613" w:rsidRPr="00CC134D" w:rsidRDefault="00DE7120">
      <w:pPr>
        <w:spacing w:before="240" w:after="240" w:line="360" w:lineRule="auto"/>
        <w:ind w:right="18"/>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43AB77C4" w14:textId="77777777" w:rsidR="005A1613" w:rsidRPr="00CC134D" w:rsidRDefault="00DE7120">
      <w:pPr>
        <w:spacing w:before="240" w:after="360" w:line="360" w:lineRule="auto"/>
        <w:ind w:right="18"/>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No obstante, si bien este Pleno considera necesario dejar claro que no está facultado para manifestarse sobre la veracidad de la información proporcionada, conforme lo prevé el artículo 36 de la Ley de Transparencia y Acceso a la Información Pública del Estado de México y Municipios, debe decirse que no puede tenerse por satisfecho el Derecho de acceso de la persona solicitante, en virtud de que la respuesta proporcionada por las personas servidoras públicas, si bien acredita la inexistencia de la información en el archivo de trámite, </w:t>
      </w:r>
      <w:r w:rsidRPr="00CC134D">
        <w:rPr>
          <w:rFonts w:ascii="Palatino Linotype" w:eastAsia="Palatino Linotype" w:hAnsi="Palatino Linotype" w:cs="Palatino Linotype"/>
          <w:b/>
          <w:bCs/>
          <w:sz w:val="22"/>
          <w:szCs w:val="22"/>
        </w:rPr>
        <w:t xml:space="preserve">no brinda certeza sobre la búsqueda exhaustiva y razonable de la información en el </w:t>
      </w:r>
      <w:r w:rsidRPr="00CC134D">
        <w:rPr>
          <w:rFonts w:ascii="Palatino Linotype" w:eastAsia="Palatino Linotype" w:hAnsi="Palatino Linotype" w:cs="Palatino Linotype"/>
          <w:b/>
          <w:bCs/>
          <w:sz w:val="22"/>
          <w:szCs w:val="22"/>
          <w:u w:val="single"/>
        </w:rPr>
        <w:t>archivo de concentración o en el archivo histórico</w:t>
      </w:r>
      <w:r w:rsidRPr="00CC134D">
        <w:rPr>
          <w:rFonts w:ascii="Palatino Linotype" w:eastAsia="Palatino Linotype" w:hAnsi="Palatino Linotype" w:cs="Palatino Linotype"/>
          <w:sz w:val="22"/>
          <w:szCs w:val="22"/>
        </w:rPr>
        <w:t xml:space="preserve"> del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 xml:space="preserve">ello en función del ejercicio en el cual se generó la información, lo cual se traduce en que </w:t>
      </w:r>
      <w:r w:rsidRPr="00CC134D">
        <w:rPr>
          <w:rFonts w:ascii="Palatino Linotype" w:eastAsia="Palatino Linotype" w:hAnsi="Palatino Linotype" w:cs="Palatino Linotype"/>
          <w:b/>
          <w:bCs/>
          <w:sz w:val="22"/>
          <w:szCs w:val="22"/>
          <w:u w:val="single"/>
        </w:rPr>
        <w:t>no se agotó el procedimiento de búsqueda</w:t>
      </w:r>
      <w:r w:rsidRPr="00CC134D">
        <w:rPr>
          <w:rFonts w:ascii="Palatino Linotype" w:eastAsia="Palatino Linotype" w:hAnsi="Palatino Linotype" w:cs="Palatino Linotype"/>
          <w:sz w:val="22"/>
          <w:szCs w:val="22"/>
        </w:rPr>
        <w:t>, el cual se constituye como la garantía primaria del derecho humano de acceso a la información pública, que se rige por los principios de simplicidad, rapidez, gratuidad del procedimiento, auxilio y orientación a las personas solicitantes con el fin de otorgar la protección más amplia de éste derecho.</w:t>
      </w:r>
    </w:p>
    <w:p w14:paraId="241E8341"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Para mayor claridad, es importante mencionar que hasta el treinta de octubre de dos mil veinticuatro, la Visitaduría General tuvo a su cargo a la Unidad de Archivos y Reserva, fecha en la cual se creó la Unidad Coordinadora de Archivos, como consta en el ACUERDO NÚMERO 14/2024 POR EL QUE SE CREA LA UNIDAD COORDINADORA DE ARCHIVOS Y SE INTEGRA EL GRUPO INTERDISCIPLINARIO, PARA LA IMPLEMENTACIÓN DEL SISTEMA INSTITUCIONAL DE ARCHIVOS DE LA FISCALÍA GENERAL DE JUSTICIA DEL ESTADO DE MÉXICO, publicado en el Periódico Oficial Gaceta del Gobierno del Estado de México, el cual, en su TRANSITORIO CUARTO, dispone que, los recursos humanos, materiales y tecnológicos con los que operaba, pasarían a la Unidad Coordinadora de Archivos, como se lee en seguida para mejor referencia:</w:t>
      </w:r>
    </w:p>
    <w:p w14:paraId="419E216A" w14:textId="77777777" w:rsidR="005A1613" w:rsidRPr="00CC134D" w:rsidRDefault="00DE7120">
      <w:pPr>
        <w:spacing w:before="240" w:after="240" w:line="360" w:lineRule="auto"/>
        <w:ind w:right="51"/>
        <w:jc w:val="center"/>
        <w:rPr>
          <w:rFonts w:ascii="Palatino Linotype" w:eastAsia="Palatino Linotype" w:hAnsi="Palatino Linotype" w:cs="Palatino Linotype"/>
          <w:sz w:val="22"/>
          <w:szCs w:val="22"/>
        </w:rPr>
      </w:pPr>
      <w:r w:rsidRPr="00CC134D">
        <w:rPr>
          <w:rFonts w:ascii="Palatino Linotype" w:eastAsia="Palatino Linotype" w:hAnsi="Palatino Linotype" w:cs="Palatino Linotype"/>
          <w:noProof/>
          <w:sz w:val="22"/>
          <w:szCs w:val="22"/>
        </w:rPr>
        <w:drawing>
          <wp:inline distT="0" distB="0" distL="0" distR="0" wp14:anchorId="669EBFEF" wp14:editId="73362018">
            <wp:extent cx="4860000" cy="491609"/>
            <wp:effectExtent l="0" t="0" r="0" b="0"/>
            <wp:docPr id="20832964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60000" cy="491609"/>
                    </a:xfrm>
                    <a:prstGeom prst="rect">
                      <a:avLst/>
                    </a:prstGeom>
                    <a:ln/>
                  </pic:spPr>
                </pic:pic>
              </a:graphicData>
            </a:graphic>
          </wp:inline>
        </w:drawing>
      </w:r>
    </w:p>
    <w:p w14:paraId="6A74C050"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este sentido, se colige que la</w:t>
      </w:r>
      <w:r w:rsidRPr="00CC134D">
        <w:rPr>
          <w:rFonts w:ascii="Palatino Linotype" w:eastAsia="Palatino Linotype" w:hAnsi="Palatino Linotype" w:cs="Palatino Linotype"/>
          <w:b/>
          <w:bCs/>
          <w:sz w:val="22"/>
          <w:szCs w:val="22"/>
        </w:rPr>
        <w:t xml:space="preserve"> Unidad Coordinadora de Archivos</w:t>
      </w: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es la unidad administrativa responsable del Archivo de la Fiscalía General de Justicia del Estado de México</w:t>
      </w:r>
      <w:r w:rsidRPr="00CC134D">
        <w:rPr>
          <w:rFonts w:ascii="Palatino Linotype" w:eastAsia="Palatino Linotype" w:hAnsi="Palatino Linotype" w:cs="Palatino Linotype"/>
          <w:sz w:val="22"/>
          <w:szCs w:val="22"/>
        </w:rPr>
        <w:t>, y por tanto de aplicar las disposiciones contenidas en la Ley General de Archivos, la Ley de Archivos y Administración de Documentos del Estado de México, los Lineamientos para la Administración de Documentos en el Estado de México y demás normatividad en materia de administración archivística, cuyo objeto primordial es establecer los principios, métodos y procedimientos orientados a lograr una eficiente planeación, organización, dirección, control y funcionamiento de los archivos o de la producción, circulación, conservación, uso, selección y destino final de los documentos.</w:t>
      </w:r>
    </w:p>
    <w:p w14:paraId="1C02B0FB"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Por otro lado, dado que la materia de la solicitud consiste en averiguaciones previas iniciadas en el año 2006, es oportuno partir de lo establecido en la Ley de Documentos Administrativos e Históricos del Estado de México, publicada en el Periódico Oficial “Gaceta del Gobierno” del Estado de México, el veinticuatro de marzo de mil novecientos ochenta y seis</w:t>
      </w:r>
      <w:r w:rsidRPr="00CC134D">
        <w:rPr>
          <w:rFonts w:ascii="Palatino Linotype" w:eastAsia="Palatino Linotype" w:hAnsi="Palatino Linotype" w:cs="Palatino Linotype"/>
          <w:sz w:val="22"/>
          <w:szCs w:val="22"/>
          <w:vertAlign w:val="superscript"/>
        </w:rPr>
        <w:footnoteReference w:id="2"/>
      </w:r>
      <w:r w:rsidRPr="00CC134D">
        <w:rPr>
          <w:rFonts w:ascii="Palatino Linotype" w:eastAsia="Palatino Linotype" w:hAnsi="Palatino Linotype" w:cs="Palatino Linotype"/>
          <w:sz w:val="22"/>
          <w:szCs w:val="22"/>
        </w:rPr>
        <w:t xml:space="preserve">, la cual disponía en sus artículos 4 y 8, que todos los documentos que realicen los servidores públicos, debía ser depositada en los archivos de trámite correspondiente, y para el caso, de que se trate de documentos administrativos de importancia, los mismos serían conservados por 20 años, además de que </w:t>
      </w:r>
      <w:r w:rsidRPr="00CC134D">
        <w:rPr>
          <w:rFonts w:ascii="Palatino Linotype" w:eastAsia="Palatino Linotype" w:hAnsi="Palatino Linotype" w:cs="Palatino Linotype"/>
          <w:b/>
          <w:bCs/>
          <w:sz w:val="22"/>
          <w:szCs w:val="22"/>
          <w:u w:val="single"/>
        </w:rPr>
        <w:t>ningún documento podía ser destruido, a menos que por escrito lo determine la instancia facultada para ello</w:t>
      </w:r>
      <w:r w:rsidRPr="00CC134D">
        <w:rPr>
          <w:rFonts w:ascii="Palatino Linotype" w:eastAsia="Palatino Linotype" w:hAnsi="Palatino Linotype" w:cs="Palatino Linotype"/>
          <w:sz w:val="22"/>
          <w:szCs w:val="22"/>
        </w:rPr>
        <w:t>.</w:t>
      </w:r>
    </w:p>
    <w:p w14:paraId="2E4C4096"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Asimismo, el artículo 5 de la referida Ley, imponía al servidor público encargado de recibir documentos, la obligación de registrar el acto de su recepción, indicando el destino que debía darse a cada uno.</w:t>
      </w:r>
    </w:p>
    <w:p w14:paraId="3E568532"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Mientras que el artículo 7 del ordenamiento en cita, disponía que en los casos de extravío, pérdida, robo o destrucción de un documento físico o electrónico, el servidor público responsable de su custodia y conservación, debía proceder a su recuperación o reconstitución, si ello fuere posible, dando cuenta inmediata a su superior jerárquico de dicho extravío, pérdida, robo o destrucción, y en caso de robo, debía denunciar inmediatamente a las autoridades competentes, para realizar la investigación.</w:t>
      </w:r>
    </w:p>
    <w:p w14:paraId="1840ACAD"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Asimismo, el Dictamen 1618 por el que se establecen las normas, políticas y procedimientos para la selección de documentos preliminar y final, de los acervos de trámite concluido existentes en las unidades administrativas de los Poderes del Estado y municipios, expedidos por la Comisión Dictaminadora de Depuración de Documentos, publicada en el Periódico Oficial “Gaceta del Gobierno” del Estado de México, el quince de octubre de mil novecientos noventa y ocho</w:t>
      </w:r>
      <w:r w:rsidRPr="00CC134D">
        <w:rPr>
          <w:rFonts w:ascii="Palatino Linotype" w:eastAsia="Palatino Linotype" w:hAnsi="Palatino Linotype" w:cs="Palatino Linotype"/>
          <w:sz w:val="22"/>
          <w:szCs w:val="22"/>
          <w:vertAlign w:val="superscript"/>
        </w:rPr>
        <w:footnoteReference w:id="3"/>
      </w:r>
      <w:r w:rsidRPr="00CC134D">
        <w:rPr>
          <w:rFonts w:ascii="Palatino Linotype" w:eastAsia="Palatino Linotype" w:hAnsi="Palatino Linotype" w:cs="Palatino Linotype"/>
          <w:sz w:val="22"/>
          <w:szCs w:val="22"/>
        </w:rPr>
        <w:t xml:space="preserve">, en correlación con la Ley de Documentos Administrativos e Históricos del Estado de México, la cual señala que la selección y la depuración de acervos se determina por las necesidades administrativas de cada oficina pública y por los valores primarios y secundarios que contengan los propios documentos; y </w:t>
      </w:r>
      <w:r w:rsidRPr="00CC134D">
        <w:rPr>
          <w:rFonts w:ascii="Palatino Linotype" w:eastAsia="Palatino Linotype" w:hAnsi="Palatino Linotype" w:cs="Palatino Linotype"/>
          <w:b/>
          <w:bCs/>
          <w:sz w:val="22"/>
          <w:szCs w:val="22"/>
        </w:rPr>
        <w:t xml:space="preserve">que ningún documento podrá ser destruido a menos que, por escrito, </w:t>
      </w:r>
      <w:r w:rsidRPr="00CC134D">
        <w:rPr>
          <w:rFonts w:ascii="Palatino Linotype" w:eastAsia="Palatino Linotype" w:hAnsi="Palatino Linotype" w:cs="Palatino Linotype"/>
          <w:b/>
          <w:bCs/>
          <w:sz w:val="22"/>
          <w:szCs w:val="22"/>
          <w:u w:val="single"/>
        </w:rPr>
        <w:t>lo determine la Comisión Dictaminadora de Depuración de Documentos,</w:t>
      </w:r>
      <w:r w:rsidRPr="00CC134D">
        <w:rPr>
          <w:rFonts w:ascii="Palatino Linotype" w:eastAsia="Palatino Linotype" w:hAnsi="Palatino Linotype" w:cs="Palatino Linotype"/>
          <w:sz w:val="22"/>
          <w:szCs w:val="22"/>
        </w:rPr>
        <w:t xml:space="preserve"> con el propósito de propiciar la adecuada administración del patrimonio documental mexiquense, dispone lo siguiente en su parte conducente:</w:t>
      </w:r>
    </w:p>
    <w:p w14:paraId="042D36B4"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“SEGUNDO.</w:t>
      </w:r>
      <w:r w:rsidRPr="00CC134D">
        <w:rPr>
          <w:rFonts w:ascii="Palatino Linotype" w:eastAsia="Palatino Linotype" w:hAnsi="Palatino Linotype" w:cs="Palatino Linotype"/>
          <w:i/>
          <w:iCs/>
          <w:sz w:val="22"/>
          <w:szCs w:val="22"/>
        </w:rPr>
        <w:t xml:space="preserve"> Para efectos de este dictamen se entenderá por:</w:t>
      </w:r>
    </w:p>
    <w:p w14:paraId="5598404D"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Archivo de Gestión</w:t>
      </w:r>
      <w:r w:rsidRPr="00CC134D">
        <w:rPr>
          <w:rFonts w:ascii="Palatino Linotype" w:eastAsia="Palatino Linotype" w:hAnsi="Palatino Linotype" w:cs="Palatino Linotype"/>
          <w:i/>
          <w:iCs/>
          <w:sz w:val="22"/>
          <w:szCs w:val="22"/>
        </w:rPr>
        <w:t xml:space="preserve">: al conjunto de expedientes de asuntos en trámite y cuya consulta es frecuente y necesaria para una adecuada toma de decisiones y el despacho de tos asuntos encargados a una unidad administrativa. </w:t>
      </w:r>
    </w:p>
    <w:p w14:paraId="4CE7AA8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b).- Archivo de Concentración</w:t>
      </w:r>
      <w:r w:rsidRPr="00CC134D">
        <w:rPr>
          <w:rFonts w:ascii="Palatino Linotype" w:eastAsia="Palatino Linotype" w:hAnsi="Palatino Linotype" w:cs="Palatino Linotype"/>
          <w:i/>
          <w:iCs/>
          <w:sz w:val="22"/>
          <w:szCs w:val="22"/>
        </w:rPr>
        <w:t xml:space="preserve">: al grupo de expedientes de asuntos concluidos y cuya consulta es esporádica, los cuales han sido transferidos por un archivo de gestión para su conservación precaucional mientras vence su vida administrativa. </w:t>
      </w:r>
    </w:p>
    <w:p w14:paraId="6E86E898"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c).- Archivo Histórico</w:t>
      </w:r>
      <w:r w:rsidRPr="00CC134D">
        <w:rPr>
          <w:rFonts w:ascii="Palatino Linotype" w:eastAsia="Palatino Linotype" w:hAnsi="Palatino Linotype" w:cs="Palatino Linotype"/>
          <w:i/>
          <w:iCs/>
          <w:sz w:val="22"/>
          <w:szCs w:val="22"/>
        </w:rPr>
        <w:t xml:space="preserve">: al total de expedientes que han concluido su vida administrativa y que han sido seleccionados por el valor de la información que contienen, para su conservación permanente. </w:t>
      </w:r>
    </w:p>
    <w:p w14:paraId="4895F559"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d).- Calendario de caducidades</w:t>
      </w:r>
      <w:r w:rsidRPr="00CC134D">
        <w:rPr>
          <w:rFonts w:ascii="Palatino Linotype" w:eastAsia="Palatino Linotype" w:hAnsi="Palatino Linotype" w:cs="Palatino Linotype"/>
          <w:i/>
          <w:iCs/>
          <w:sz w:val="22"/>
          <w:szCs w:val="22"/>
        </w:rPr>
        <w:t xml:space="preserve">: a la lista de expedientes o de tipos documentales en la cual se indica el período semiactivo de éstos; es decir, el tiempo que han de ser conservados en el archivo de concentración. </w:t>
      </w:r>
    </w:p>
    <w:p w14:paraId="3BF220FD"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e).- Selección documental preliminar:</w:t>
      </w:r>
      <w:r w:rsidRPr="00CC134D">
        <w:rPr>
          <w:rFonts w:ascii="Palatino Linotype" w:eastAsia="Palatino Linotype" w:hAnsi="Palatino Linotype" w:cs="Palatino Linotype"/>
          <w:i/>
          <w:iCs/>
          <w:sz w:val="22"/>
          <w:szCs w:val="22"/>
        </w:rPr>
        <w:t xml:space="preserve"> a la técnica que permite identificar, separar y eliminar los documentos duplicados y/o de nulo valor administrativo, de los expedientes de trámite concluido existentes en los archivos de gestión, antes de realizar su transferencia a un archivo de concentración. </w:t>
      </w:r>
    </w:p>
    <w:p w14:paraId="52E85297"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f).- Selección documental final:</w:t>
      </w:r>
      <w:r w:rsidRPr="00CC134D">
        <w:rPr>
          <w:rFonts w:ascii="Palatino Linotype" w:eastAsia="Palatino Linotype" w:hAnsi="Palatino Linotype" w:cs="Palatino Linotype"/>
          <w:i/>
          <w:iCs/>
          <w:sz w:val="22"/>
          <w:szCs w:val="22"/>
        </w:rPr>
        <w:t xml:space="preserve"> a la técnica que permite identificar y separar dentro de un conjunto de documentos, los que deben conservarse por el valor de su información de aquéllos que deben eliminarse por su irrelevancia, una vez concluido su tiempo de conservación precaucional.</w:t>
      </w:r>
    </w:p>
    <w:p w14:paraId="35B54C0A"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g).- Tipo documental</w:t>
      </w:r>
      <w:r w:rsidRPr="00CC134D">
        <w:rPr>
          <w:rFonts w:ascii="Palatino Linotype" w:eastAsia="Palatino Linotype" w:hAnsi="Palatino Linotype" w:cs="Palatino Linotype"/>
          <w:i/>
          <w:iCs/>
          <w:sz w:val="22"/>
          <w:szCs w:val="22"/>
        </w:rPr>
        <w:t>: al documento con un soporte material y con unos mismos caracteres externos, producto de actuaciones únicas o secuenciales normalmente reguladas por una norma de procedimiento, derivado del ejercicio de una función y realizadas por un determinado órgano administrativo o persona con competencia para ello.</w:t>
      </w:r>
    </w:p>
    <w:p w14:paraId="0732E5AA"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46A16FEB"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QUINTO</w:t>
      </w:r>
      <w:r w:rsidRPr="00CC134D">
        <w:rPr>
          <w:rFonts w:ascii="Palatino Linotype" w:eastAsia="Palatino Linotype" w:hAnsi="Palatino Linotype" w:cs="Palatino Linotype"/>
          <w:i/>
          <w:iCs/>
          <w:sz w:val="22"/>
          <w:szCs w:val="22"/>
        </w:rPr>
        <w:t>. Los documentos de trámite concluido existentes en los archivos de gestión o concentración de los Poderes del Estado y municipios deben conservarse o eliminarse, según proceda, de acuerdo con lo estipulado en este dictamen y en la normatividad establecida por la Comisión Dictaminadora de Depuración de Documentos.</w:t>
      </w:r>
    </w:p>
    <w:p w14:paraId="3A4F56F3"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CC134D">
        <w:rPr>
          <w:rFonts w:ascii="Palatino Linotype" w:eastAsia="Palatino Linotype" w:hAnsi="Palatino Linotype" w:cs="Palatino Linotype"/>
          <w:b/>
          <w:bCs/>
          <w:i/>
          <w:iCs/>
          <w:sz w:val="22"/>
          <w:szCs w:val="22"/>
        </w:rPr>
        <w:t xml:space="preserve">SEXTO. </w:t>
      </w:r>
      <w:r w:rsidRPr="00CC134D">
        <w:rPr>
          <w:rFonts w:ascii="Palatino Linotype" w:eastAsia="Palatino Linotype" w:hAnsi="Palatino Linotype" w:cs="Palatino Linotype"/>
          <w:i/>
          <w:iCs/>
          <w:sz w:val="22"/>
          <w:szCs w:val="22"/>
        </w:rPr>
        <w:t xml:space="preserve">El </w:t>
      </w:r>
      <w:r w:rsidRPr="00CC134D">
        <w:rPr>
          <w:rFonts w:ascii="Palatino Linotype" w:eastAsia="Palatino Linotype" w:hAnsi="Palatino Linotype" w:cs="Palatino Linotype"/>
          <w:b/>
          <w:bCs/>
          <w:i/>
          <w:iCs/>
          <w:sz w:val="22"/>
          <w:szCs w:val="22"/>
        </w:rPr>
        <w:t>proceso de selección documental preliminar</w:t>
      </w:r>
      <w:r w:rsidRPr="00CC134D">
        <w:rPr>
          <w:rFonts w:ascii="Palatino Linotype" w:eastAsia="Palatino Linotype" w:hAnsi="Palatino Linotype" w:cs="Palatino Linotype"/>
          <w:i/>
          <w:iCs/>
          <w:sz w:val="22"/>
          <w:szCs w:val="22"/>
        </w:rPr>
        <w:t xml:space="preserve"> sólo se empleará, conforme a lo señalado en el presente dictamen, en los documentos de trámite concluido existentes en los archivos de gestión, como paso previo a su transferencia a un archivo de concentración, y bajo ninguna circunstancia se autorizará su aplicación en los documentos cuyo trámite aún no haya terminado. Su utilización en los archivos de concentración se efectuará siempre y cuando ésta no se hubiera hecho en los archivos de gestión.</w:t>
      </w:r>
    </w:p>
    <w:p w14:paraId="10C7742F"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SÉPTIMO.</w:t>
      </w:r>
      <w:r w:rsidRPr="00CC134D">
        <w:rPr>
          <w:rFonts w:ascii="Palatino Linotype" w:eastAsia="Palatino Linotype" w:hAnsi="Palatino Linotype" w:cs="Palatino Linotype"/>
          <w:i/>
          <w:iCs/>
          <w:sz w:val="22"/>
          <w:szCs w:val="22"/>
        </w:rPr>
        <w:t xml:space="preserve"> El </w:t>
      </w:r>
      <w:r w:rsidRPr="00CC134D">
        <w:rPr>
          <w:rFonts w:ascii="Palatino Linotype" w:eastAsia="Palatino Linotype" w:hAnsi="Palatino Linotype" w:cs="Palatino Linotype"/>
          <w:b/>
          <w:bCs/>
          <w:i/>
          <w:iCs/>
          <w:sz w:val="22"/>
          <w:szCs w:val="22"/>
        </w:rPr>
        <w:t>proceso de selección documental final</w:t>
      </w:r>
      <w:r w:rsidRPr="00CC134D">
        <w:rPr>
          <w:rFonts w:ascii="Palatino Linotype" w:eastAsia="Palatino Linotype" w:hAnsi="Palatino Linotype" w:cs="Palatino Linotype"/>
          <w:i/>
          <w:iCs/>
          <w:sz w:val="22"/>
          <w:szCs w:val="22"/>
        </w:rPr>
        <w:t xml:space="preserve"> se aplicará exclusivamente a los documentos de trámite concluido existentes en los archivos de concentración, una vez que haya terminado su tiempo de conservación precaucional y de conformidad con lo señalado en el presente dictamen y en los Catálogos de Disposición Documental. En el caso de los archivos históricos, sólo se permitirá la realización del proceso de selección final en aquellos expedientes que no lo recibieron en el archivo de concentración y cuyos documentos hayan sido generados con posterioridad a 1940.</w:t>
      </w:r>
    </w:p>
    <w:p w14:paraId="4EC0E2A0"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58C2ECC4"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DÉCIMO.</w:t>
      </w:r>
      <w:r w:rsidRPr="00CC134D">
        <w:rPr>
          <w:rFonts w:ascii="Palatino Linotype" w:eastAsia="Palatino Linotype" w:hAnsi="Palatino Linotype" w:cs="Palatino Linotype"/>
          <w:i/>
          <w:iCs/>
          <w:sz w:val="22"/>
          <w:szCs w:val="22"/>
        </w:rPr>
        <w:t xml:space="preserve"> Los documentos que hayan sido extraídos de los expedientes, como resultado de los procesos de selección preliminar y final aplicados, no podrán eliminarse sin la aprobación de la Comisión Dictaminadora de Depuración de Documentos, que es la única instancia facultada por Ley para otorgar los permisos al respecto.</w:t>
      </w:r>
    </w:p>
    <w:p w14:paraId="4901F079"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CC134D">
        <w:rPr>
          <w:rFonts w:ascii="Palatino Linotype" w:eastAsia="Palatino Linotype" w:hAnsi="Palatino Linotype" w:cs="Palatino Linotype"/>
          <w:b/>
          <w:bCs/>
          <w:i/>
          <w:iCs/>
          <w:sz w:val="22"/>
          <w:szCs w:val="22"/>
        </w:rPr>
        <w:t>DÉCIMO PRIMERO</w:t>
      </w:r>
      <w:r w:rsidRPr="00CC134D">
        <w:rPr>
          <w:rFonts w:ascii="Palatino Linotype" w:eastAsia="Palatino Linotype" w:hAnsi="Palatino Linotype" w:cs="Palatino Linotype"/>
          <w:i/>
          <w:iCs/>
          <w:sz w:val="22"/>
          <w:szCs w:val="22"/>
        </w:rPr>
        <w:t xml:space="preserve">. Al concluir el proceso de selección preliminar o final aplicado a los documentos, </w:t>
      </w:r>
      <w:r w:rsidRPr="00CC134D">
        <w:rPr>
          <w:rFonts w:ascii="Palatino Linotype" w:eastAsia="Palatino Linotype" w:hAnsi="Palatino Linotype" w:cs="Palatino Linotype"/>
          <w:b/>
          <w:bCs/>
          <w:i/>
          <w:iCs/>
          <w:sz w:val="22"/>
          <w:szCs w:val="22"/>
        </w:rPr>
        <w:t>se solicitará por escrito a la Comisión Dictaminadora la supervisión correspondiente</w:t>
      </w:r>
      <w:r w:rsidRPr="00CC134D">
        <w:rPr>
          <w:rFonts w:ascii="Palatino Linotype" w:eastAsia="Palatino Linotype" w:hAnsi="Palatino Linotype" w:cs="Palatino Linotype"/>
          <w:i/>
          <w:iCs/>
          <w:sz w:val="22"/>
          <w:szCs w:val="22"/>
        </w:rPr>
        <w:t xml:space="preserve">, para que, si así procede, </w:t>
      </w:r>
      <w:r w:rsidRPr="00CC134D">
        <w:rPr>
          <w:rFonts w:ascii="Palatino Linotype" w:eastAsia="Palatino Linotype" w:hAnsi="Palatino Linotype" w:cs="Palatino Linotype"/>
          <w:b/>
          <w:bCs/>
          <w:i/>
          <w:iCs/>
          <w:sz w:val="22"/>
          <w:szCs w:val="22"/>
        </w:rPr>
        <w:t>permita la eliminación de los documentos mediante el Acta respectiva.</w:t>
      </w:r>
    </w:p>
    <w:p w14:paraId="6A73208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DÉCIMO SEGUNDO. </w:t>
      </w:r>
      <w:r w:rsidRPr="00CC134D">
        <w:rPr>
          <w:rFonts w:ascii="Palatino Linotype" w:eastAsia="Palatino Linotype" w:hAnsi="Palatino Linotype" w:cs="Palatino Linotype"/>
          <w:i/>
          <w:iCs/>
          <w:sz w:val="22"/>
          <w:szCs w:val="22"/>
        </w:rPr>
        <w:t>El levantamiento del Acta de autorización para la eliminación de los documentos seleccionados, corresponde única y exclusivamente a los integrantes de la Comisión Dictaminadora de Depuración de Documentos.</w:t>
      </w:r>
    </w:p>
    <w:p w14:paraId="5DB4D62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DÉCIMO TERCERO.</w:t>
      </w:r>
      <w:r w:rsidRPr="00CC134D">
        <w:rPr>
          <w:rFonts w:ascii="Palatino Linotype" w:eastAsia="Palatino Linotype" w:hAnsi="Palatino Linotype" w:cs="Palatino Linotype"/>
          <w:i/>
          <w:iCs/>
          <w:sz w:val="22"/>
          <w:szCs w:val="22"/>
        </w:rPr>
        <w:t xml:space="preserve"> Aprobada la eliminación de los documentos, la unidad administrativa notificará a la Comisión Dictaminadora de Depuración de Documentos, la fecha y el lugar en el que se· llevará a cabo la destrucción física de los mismos, con el propósito de que uno de sus integrantes verifique que únicamente se elimine la documentación autorizada y proceda a levantar el acta de testificación de destrucción respectiva.</w:t>
      </w:r>
    </w:p>
    <w:p w14:paraId="7D898071"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DÉCIMO CUARTO.</w:t>
      </w:r>
      <w:r w:rsidRPr="00CC134D">
        <w:rPr>
          <w:rFonts w:ascii="Palatino Linotype" w:eastAsia="Palatino Linotype" w:hAnsi="Palatino Linotype" w:cs="Palatino Linotype"/>
          <w:i/>
          <w:iCs/>
          <w:sz w:val="22"/>
          <w:szCs w:val="22"/>
        </w:rPr>
        <w:t xml:space="preserve"> Para la realización de la selección documental preliminar de los expedientes de trámite concluido, las unidades administrativas de los Poderes del Estado y municipios observarán el siguiente procedimiento: </w:t>
      </w:r>
    </w:p>
    <w:p w14:paraId="1F11782C"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a).- Se deberán mantener los expedientes íntegros un año, contado a partir de la fecha de conclusión del trámite para el que fueron creados, antes de aplicar el proceso de selección documental preliminar.</w:t>
      </w:r>
    </w:p>
    <w:p w14:paraId="7C3BF30B"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b).- Se conservarán todos los documentos originales y copias al carbón. Fotostáticas, de microfilme o de cualquier otra índole, generados por la unidad administrativa y que obren en los expedientes, sin importar si éstos son manuscritos. mecanoescritos o informáticos, excepto aquéllos que se encuentren duplicados. </w:t>
      </w:r>
    </w:p>
    <w:p w14:paraId="22E7DCA4"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e).- Si en el expediente no existe el documento original y sólo se localizan de él copias al carbón, fotostáticas, de microfilme o de cualquier otra clase, se preferirá para su conservación aquélla que contenga la firma autógrafa del titular de la unidad administrativa que lo generó; </w:t>
      </w:r>
    </w:p>
    <w:p w14:paraId="34084BE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d).- Cuando en los expedientes existan dos o más copias al carbón, fotostáticas, de microfilme o de cualquier otra naturaleza del mismo documento, sólo se deberá conservar un ejemplar en el expediente, procurando que éste sea el más legible y mejor conservado.</w:t>
      </w:r>
    </w:p>
    <w:p w14:paraId="3D55C6D2"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e).- Se separaran de los expedientes todos aquellos documentos cancelados o carentes de la firma autógrafa o facsimilar del servidor público que los generó, no importando que éstos sean originales o copias, exceptuando de ello a los manuales, proyectos, estudios, programas, investigaciones, informes de actividades, presupuestos, planos, estadísticas y en general cualquier documento no convencional. </w:t>
      </w:r>
    </w:p>
    <w:p w14:paraId="1EB94C92"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f). Se extraerán todos los borradores de escritos localizados en los expedientes, sin importar su presentación o contenido, en virtud de que éstos no son hechos para cumplir un trámite, sino sólo para preparar el texto, la diagramación y demás características de un documento. </w:t>
      </w:r>
    </w:p>
    <w:p w14:paraId="45BB2E31"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g).- Deberán ser separados del expediente las "tarjetas informativas", "tarjetas de recordatorios". "tarjetas de recados" y en general aquellos tipos documentales informales, cuya finalidad es la de recordar o dar a conocer actividades o sucesos temporales.</w:t>
      </w:r>
    </w:p>
    <w:p w14:paraId="38E7EDA3"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h).- Se extraerán aquellos documentos cuyo propósito sea el de notificar algún acontecimiento luctuoso, festivo o cívico, como por ejemplo: esquelas, tarjetas navideñas, felicitaciones, invitaciones. etc., conservando de éstas últimas un ejemplar de las emitidas con motivo de la realización de eventos realizados por la institución generadora de la documentación. </w:t>
      </w:r>
    </w:p>
    <w:p w14:paraId="349445E8"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i).- Se separarán de los expedientes aquellos documentos que tienen un uso temporal definido, tales como solicitudes de audiencia. recados telefónicos, registros de llamadas telefónicas, tarjetas de presentación y controles de envió de fax, entre otros.</w:t>
      </w:r>
    </w:p>
    <w:p w14:paraId="374A97E5"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j).- Las formas valoradas que se encuentran en blanco y sean ya obsoletas por concluir su temporalidad administrativa, deberán ser extraídas de los expedientes donde se localicen, y para su eliminación física se recabará la autorización del Órgano de Control Interno de la Dependencia o Ayuntamiento al que pertenezca la unidad administrativa que esté realizando el proceso de selección documental, el cual levantará un acta administrativa interna que avale su destrucción. </w:t>
      </w:r>
    </w:p>
    <w:p w14:paraId="43B1F206"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k).- los formatos en blanco que por algún motivo hayan quedado obsoletos, podrán extraerse de los expedientes donde se localicen. ya que técnicamente no son considerados como documentos al carecer de información. </w:t>
      </w:r>
    </w:p>
    <w:p w14:paraId="1C9EB51C"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1).- Las publicaciones oficiales, los estudios inéditos, los documentos bibliohemerográficos, audiovisuales, gráficos, no convencionales o de cualquier otra naturaleza, que se localicen en el acervo documental sometido al proceso de selección preliminar y que no formen parte de los asuntos contenidos en los expedientes, deberán ser separados, organizados, identificados e inventariados, para proceder a su transferencia a la unidad documental que corresponda. En el caso de existir duplicados de las publicaciones oficiales y de documentos bibliográficos o cuyos contenidos ya hubieran quedado obsoletos, deberán ser donados a bibliotecas o instituciones culturales del Estado, conservando dos ejemplares de cada uno de ellos en el acervo motivo del proceso de selección, a efecto de enviarlos al archivo de concentración, en donde se conservarán permanentemente. </w:t>
      </w:r>
    </w:p>
    <w:p w14:paraId="0F96C05A"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m).- Concluido el proceso de selección documental preliminar, el titular de la unidad administrativa a la que pertenece el archivo de gestión, solicitará por escrito a la Comisión Dictaminadora de Depuración de Documentos la revisión técnica de éste, con el propósito de que se le autorice la eliminación de los documentos extraídos de los expedientes.</w:t>
      </w:r>
    </w:p>
    <w:p w14:paraId="255DF39F"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DÉCIMO QUINTO. </w:t>
      </w:r>
      <w:r w:rsidRPr="00CC134D">
        <w:rPr>
          <w:rFonts w:ascii="Palatino Linotype" w:eastAsia="Palatino Linotype" w:hAnsi="Palatino Linotype" w:cs="Palatino Linotype"/>
          <w:i/>
          <w:iCs/>
          <w:sz w:val="22"/>
          <w:szCs w:val="22"/>
        </w:rPr>
        <w:t>Para Ja aplicación del proceso de selección documental final de los expedientes de asuntos concluidos, los archivos de concentración de los Poderes del Estado y municipios observarán lo señalado en los dictámenes emitidos por la Comisión Dictaminadora de Depuración de Documentos, en los Catálogos de Disposición Documental y en el siguiente procedimiento:</w:t>
      </w:r>
    </w:p>
    <w:p w14:paraId="2057D3B6"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a).- La selección documental final sólo se podrá aplicar en los archivos de concentración y, en su caso, en los archivos históricos. </w:t>
      </w:r>
    </w:p>
    <w:p w14:paraId="6461A264"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b).- Los archivos de concentración respetarán, invariablemente, los plazos de conservación precaucional fijados por los archivos de gestión al transferir sus expedientes, los cuales deberán estar estipulados en el inventario de remisión correspondiente. Dicho término no excederá de cinco años, excepto cuando se trate de documentos con valor jurídico, contable o fiscal, para los cuales se tomarán en cuenta los períodos de conservación o prescripción que se establezcan en la legislación vigente. Los archivos de gestión no podrán fijar un plazo de conservación indefinido o permanente a los expedientes transferidos a los archivos de concentración; ésta es una facultad exclusiva, por Ley, de la Comisión Dictaminadora de Depuración de Documentos. </w:t>
      </w:r>
    </w:p>
    <w:p w14:paraId="109FB5CA"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c).- Bajo ninguna circunstancia podrá someterse la documentación existente en los archivos de concentración al proceso de selección documental final, antes de que hubieran fenecido los plazos de conservación precaucional fijados por la unidad administrativa que generó y transfirió la documentación. </w:t>
      </w:r>
    </w:p>
    <w:p w14:paraId="5A0DC998"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d).- Es obligación del titular o responsable del archivo de concentración, elaborar y actualizar periódicamente el calendario de caducidades, con el propósito de llevar un control eficiente de las fechas de vencimiento de los plazos de conservación del acervo documental. </w:t>
      </w:r>
    </w:p>
    <w:p w14:paraId="5DFBA36F"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e).- Concluido el período de conservación precaucional, el titular o responsable del archivo de concentración deberá notificar al titular de la unidad administrativa a la que pertenece el archivo de gestión, sobre la realización del proceso de selección de los expedientes transferidos. Las unidades administrativas que hayan trasladado sus expedientes a los archivos de concentración, podrán objetar la aplicación del proceso de selección cuando no se respeten los plazos de conservación estipulados en el inventario de remisión, o en aquellos casos en donde con o sin pleno conocimiento de los valores secundarios que posea la documentación, por parte del personal de archivo de concentración, se pretenda proceder a su eliminación. Cualquier controversia surgida entre los archivos de gestión y los archivos de concentración, en materia de selección documental, será notificada a la Comisión Dictaminadora de Depuración de Documentos, quien resolverá lo conducente. </w:t>
      </w:r>
    </w:p>
    <w:p w14:paraId="19B9C3A6"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f).- En el caso de existir dentro del archivo de concentración expedientes carentes de inventarío y por consiguiente de señalamiento del tiempo de conservación precaucional, el titular o responsable del archivo deberá solicitar el apoyo de la Comisión Dictaminadora de Depuración de Documentos, para que ésta determine la factibilidad de realización del proceso de selección documental final. </w:t>
      </w:r>
    </w:p>
    <w:p w14:paraId="0693877B"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g).- Los proyectos, estudios, manuales, programas, investigaciones, presupuestos, planos, estadísticas, y en general cualquier documento elaborado como resultado del análisis de documentos primarios, se conservarán sin importar su presentación, y sólo cuando éstos hayan sido editados podrán eliminarse los originales, duplicados y copias que de ellos se tengan. </w:t>
      </w:r>
    </w:p>
    <w:p w14:paraId="64C13ACB"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h).- Se extraerán de los expedientes las copias al carbón. fotostáticas, de microfilme o de cualquier otra índole; excepto las generadas por la unidad administrativa a la cual pertenecen los documentos sometidos al proceso de selección final, con las que se integran los minutarios o sirven como acuse de recibo. </w:t>
      </w:r>
    </w:p>
    <w:p w14:paraId="63F97807"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i).- La aplicación del proceso de selección documental final a los expedientes del personal al servicio del Estado o de los municipios, quedará restringido a los pertenecientes a los fallecidos, jubilados o que hayan sido dados de baja definitiva de su empleo y sin posibilidad de reingresar al sector público. </w:t>
      </w:r>
    </w:p>
    <w:p w14:paraId="747E8F2A"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j).- Los documentos que integran los expedientes clínicos de los trabajadores al servicio del Estado y de los municipios, sólo podrán someterse al proceso de selección documental final cuando los servidores públicos hayan sido separados en forma definitiva de su empleo o fallecido.</w:t>
      </w:r>
    </w:p>
    <w:p w14:paraId="36472A4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k).- La aplicación de los criterios establecidos en los dictámenes de valoración y en los Catálogos de Disposición Documental emitidos por la Comisión Dictaminadora de Depuración de Documentos, queda restringida a los expedientes de tramite concluido existentes en los archivos de concentración, y sólo de manera especial, cuando la propia Comisión Dictaminadora así lo juzgue conveniente, se podrán utilizar en los archivos de gestión. </w:t>
      </w:r>
    </w:p>
    <w:p w14:paraId="632EC97A"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1).- Los tipos documentales que ya han sido valorados y dictaminados por la Comisión, pero que por reformas administrativas hayan sufrido alguna modificación en lo referente a su formato y no en cuanto a su finalidad, no requerirán de la elaboración de un nuevo dictamen. </w:t>
      </w:r>
    </w:p>
    <w:p w14:paraId="14F430A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m).- Cuando en el acervo existan tipos documentales que hubieran sido valorados y dictaminados, pero que por reformas a la legislación se amplíe o disminuya el tiempo de prescripción de la acción que les dio origen, la unidad administrativa interesada deberá solicitar a la Comisión Dictaminadora de Depuración de Documentos la modificación del dictamen correspondiente. </w:t>
      </w:r>
    </w:p>
    <w:p w14:paraId="76FC3124"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n).- Los documentos que por descuido o negligencia del titular o responsable del archivo se encuentren en malas condiciones físicas, no podrán ser eliminados hasta en tanto la Comisión Dictaminadora de Depuración de Documentos determine lo conducente.</w:t>
      </w:r>
    </w:p>
    <w:p w14:paraId="43F6192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o).- Al realizar el proceso de selección documental final, sólo se deberán extraer de los expedientes aquellos tipos documentales cuyo dictamen de valoración así lo determine, dejando en el expediente aquéllos que hayan sido dictaminados como conservables por el valor de su información, para su posterior transferencia al archivo histórico.</w:t>
      </w:r>
    </w:p>
    <w:p w14:paraId="5330D127"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p).- Si al momento de realizar el proceso de selección final se localizan en los expedientes tipos documentales que no han sido valorados y dictaminados por la Comisión Dictaminadora de Depuración de Documentos, éstos deberán permanecer en el expediente en tanto se hace la solicitud a la Comisión para su valoración y la emisión del dictamen respectivo. </w:t>
      </w:r>
    </w:p>
    <w:p w14:paraId="12D49E09"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q).- Concluido el proceso de selección documental final, el titular o responsable del archivo de concentración solicitará por escrito a la Comisión Dictaminadora de Depuración de Documentos la revisión técnica de éste, con el propósito de que autorice la eliminación de aquellos documentos dados de baja, anexando para tal efecto un inventario y/o relación en donde se especifiquen los siguientes datos: nombre de cada uno de los tipos documentales; dictamen aplicado; período (años extremos) de cada tipo documental; y cantidad de cada uno. Asimismo, deberá remitir un ejemplar de cada tipo documental considerado como destruible.</w:t>
      </w:r>
    </w:p>
    <w:p w14:paraId="01BF8315"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r).- La unidad administrativa integrará un expediente en donde obre el acta de autorización de eliminación de documentos emitida por la Comisión Dictaminadora de Depuración de Documentos, así como un ejemplar de cada uno de los documentos eliminados, el cual deberá de conservarse permanentemente en la propia unidad administrativa.</w:t>
      </w:r>
    </w:p>
    <w:p w14:paraId="2B147ED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CC134D">
        <w:rPr>
          <w:rFonts w:ascii="Palatino Linotype" w:eastAsia="Palatino Linotype" w:hAnsi="Palatino Linotype" w:cs="Palatino Linotype"/>
          <w:b/>
          <w:bCs/>
          <w:i/>
          <w:iCs/>
          <w:sz w:val="22"/>
          <w:szCs w:val="22"/>
        </w:rPr>
        <w:t xml:space="preserve">DÉCIMO SEXTO. </w:t>
      </w:r>
      <w:r w:rsidRPr="00CC134D">
        <w:rPr>
          <w:rFonts w:ascii="Palatino Linotype" w:eastAsia="Palatino Linotype" w:hAnsi="Palatino Linotype" w:cs="Palatino Linotype"/>
          <w:i/>
          <w:iCs/>
          <w:sz w:val="22"/>
          <w:szCs w:val="22"/>
        </w:rPr>
        <w:t>Los titulares o responsables de las unidades administrativas de los Poderes del Estado y municipios no podrán, bajo ninguna circunstancia, eliminar los documentos extraídos de los expedientes como resultado del proceso de selección documental preliminar o final realizado, si éstos aún no han sido revisados por la Comisión Dictaminadora de Depuración de Documentos.”</w:t>
      </w:r>
    </w:p>
    <w:p w14:paraId="4C53D401"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Como logra advertirse, en el Dictamen 1618 establece la metodología bajo la cual se llevarían a cabo los procesos de selección documental preliminar y final, de los acervos documentales de trámite concluido existentes en los archivos de los Poderes del Estado y municipios, cuyas disposiciones eran de observancia obligatoria para todas y cada una de las unidades administrativas de los Poderes del Estado y municipios, en lo concerniente a la selección preliminar y final de sus acervos documentales de trámite concluido, reiterando que los documentos transferidos al archivo de concentración e histórico, no podían eliminarse sin la autorización de la Comisión Dictaminadora de Depuración de Documentos, la cual era solicitada por escrito por conducto del titular de la Unidad Administrativa a la que perteneciere el archivo correspondiente.</w:t>
      </w:r>
    </w:p>
    <w:p w14:paraId="46F91489"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Lo anterior fue tomado en consideración por la Secretaría Técnica del Comité Técnico de Documentación del Sistema Estatal de Documentación y la Comisión Dictaminadora de Depuración de Documentos, para la emisión de los Lineamientos para la Administración de Documentos en el Estado de México, y los Lineamientos para la Valoración, Selección y Baja de los Documentos, Expedientes y Series de Trámite Concluido en los Archivos del Estado de México, publicados el quince de mayo de dos mil quince, en el Periódico Oficial “Gaceta del Gobierno” del Estado de México.</w:t>
      </w:r>
    </w:p>
    <w:p w14:paraId="5C95B45E"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este tenor, los diversos 36, 37, 61, 63, 64, 68 y 74 de los Lineamientos para la Administración de Documentos en el Estado de México, emitidos por el Comité Técnico del Sistema Estatal de Documentación, disponen lo siguiente:</w:t>
      </w:r>
    </w:p>
    <w:p w14:paraId="763569DD"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 xml:space="preserve">Artículo 36. </w:t>
      </w:r>
      <w:r w:rsidRPr="00CC134D">
        <w:rPr>
          <w:rFonts w:ascii="Palatino Linotype" w:eastAsia="Palatino Linotype" w:hAnsi="Palatino Linotype" w:cs="Palatino Linotype"/>
          <w:i/>
          <w:iCs/>
          <w:sz w:val="22"/>
          <w:szCs w:val="22"/>
        </w:rPr>
        <w:t>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Tramite, concentración e históricos se mantengan organizados y disponibles para permitir y facilitar un acceso expedito a la documentación que resguarden.</w:t>
      </w:r>
    </w:p>
    <w:p w14:paraId="7A2B3CD1"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Artículo 37. </w:t>
      </w:r>
      <w:r w:rsidRPr="00CC134D">
        <w:rPr>
          <w:rFonts w:ascii="Palatino Linotype" w:eastAsia="Palatino Linotype" w:hAnsi="Palatino Linotype" w:cs="Palatino Linotype"/>
          <w:i/>
          <w:iCs/>
          <w:sz w:val="22"/>
          <w:szCs w:val="22"/>
        </w:rPr>
        <w:t>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14:paraId="67C90FBD"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Artículo 61.</w:t>
      </w:r>
      <w:r w:rsidRPr="00CC134D">
        <w:rPr>
          <w:rFonts w:ascii="Palatino Linotype" w:eastAsia="Palatino Linotype" w:hAnsi="Palatino Linotype" w:cs="Palatino Linotype"/>
          <w:i/>
          <w:iCs/>
          <w:sz w:val="22"/>
          <w:szCs w:val="22"/>
        </w:rPr>
        <w:t xml:space="preserve"> El ciclo de vida de los documentos de Archivo se corresponderá con las siguientes frases:</w:t>
      </w:r>
    </w:p>
    <w:p w14:paraId="276DC291"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I. Frase Activa. Etapa en la que los documentos están en un periodo de tramitación y se utiliza constantemente por parte de la Unidad Administrativa que los generó o recibió, y se ubican en el Archivo de Trámite;</w:t>
      </w:r>
    </w:p>
    <w:p w14:paraId="38CE06A6"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II. Fase Semiactiva. Periodo en el que los documentos, una vez concluido su trámite, mantienen un valor administrativo pero ya no son de uso frecuente por parte de la Unidad Administrativa que los generó o recibió y se resguardan en el Archivo de Concentración; y</w:t>
      </w:r>
    </w:p>
    <w:p w14:paraId="52E1DD34"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III. Fase Inactiva. Etapa en la que los documentos, una vez fenecido su valor primario, se consideran de utilidad para el desarrollo de la investigación y por lo cual se conservan de manera permanente en el Archivo Histórico.</w:t>
      </w:r>
    </w:p>
    <w:p w14:paraId="3DEFF7FF"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Artículo 63. </w:t>
      </w:r>
      <w:r w:rsidRPr="00CC134D">
        <w:rPr>
          <w:rFonts w:ascii="Palatino Linotype" w:eastAsia="Palatino Linotype" w:hAnsi="Palatino Linotype" w:cs="Palatino Linotype"/>
          <w:i/>
          <w:iCs/>
          <w:sz w:val="22"/>
          <w:szCs w:val="22"/>
        </w:rPr>
        <w:t>Atendiendo al ciclo de vida de los documentos, los Archivos integrantes del Sistema se clasifican en:</w:t>
      </w:r>
    </w:p>
    <w:p w14:paraId="3A09BEE3"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I. </w:t>
      </w:r>
      <w:r w:rsidRPr="00CC134D">
        <w:rPr>
          <w:rFonts w:ascii="Palatino Linotype" w:eastAsia="Palatino Linotype" w:hAnsi="Palatino Linotype" w:cs="Palatino Linotype"/>
          <w:i/>
          <w:iCs/>
          <w:sz w:val="22"/>
          <w:szCs w:val="22"/>
        </w:rPr>
        <w:t>Archivos de Trasmite o de Oficina;</w:t>
      </w:r>
    </w:p>
    <w:p w14:paraId="22ECEEB9"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xml:space="preserve"> Archivos de Concentración o Generales; y</w:t>
      </w:r>
    </w:p>
    <w:p w14:paraId="768EE407"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xml:space="preserve"> Archivos Históricos.</w:t>
      </w:r>
    </w:p>
    <w:p w14:paraId="62CEE2EB"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Artículo 64. </w:t>
      </w:r>
      <w:r w:rsidRPr="00CC134D">
        <w:rPr>
          <w:rFonts w:ascii="Palatino Linotype" w:eastAsia="Palatino Linotype" w:hAnsi="Palatino Linotype" w:cs="Palatino Linotype"/>
          <w:i/>
          <w:iCs/>
          <w:sz w:val="22"/>
          <w:szCs w:val="22"/>
        </w:rPr>
        <w:t>En cada Unidad Administrativa de los Sujetos Obligados se integrará un Archivo de Tramite, que será la unidad archivística responsable de la gestión de los documentos de uso cotidiano y necesario para el ejercicio de las atribuciones del órgano productor.</w:t>
      </w:r>
    </w:p>
    <w:p w14:paraId="35E42D4F"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Artículo 68. </w:t>
      </w:r>
      <w:r w:rsidRPr="00CC134D">
        <w:rPr>
          <w:rFonts w:ascii="Palatino Linotype" w:eastAsia="Palatino Linotype" w:hAnsi="Palatino Linotype" w:cs="Palatino Linotype"/>
          <w:i/>
          <w:iCs/>
          <w:sz w:val="22"/>
          <w:szCs w:val="22"/>
        </w:rPr>
        <w:t>Los Sujetos Obligados integraran un Archivo de Concentración que será la unidad archivística responsable de la gestión de los documentos de uso esporádico que deben mantenerse por razones administrativas, legales, fiscales o contables.</w:t>
      </w:r>
    </w:p>
    <w:p w14:paraId="0DAB04AC"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El responsable del archivo de concentración deberá contar con conocimientos y experiencia mínima de tres años en archivista y será nombrado, en el caso del Poder ejecutivo, por el titular de la Unidad Administrativa a la cual se encuentre adscrito, o por el titular de la entidad u órgano que determinen las instancias distintas al Poder Ejecutivo.</w:t>
      </w:r>
    </w:p>
    <w:p w14:paraId="74DEED35"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Artículo 74. </w:t>
      </w:r>
      <w:r w:rsidRPr="00CC134D">
        <w:rPr>
          <w:rFonts w:ascii="Palatino Linotype" w:eastAsia="Palatino Linotype" w:hAnsi="Palatino Linotype" w:cs="Palatino Linotype"/>
          <w:i/>
          <w:iCs/>
          <w:sz w:val="22"/>
          <w:szCs w:val="22"/>
        </w:rPr>
        <w:t>El Archivo Histórico se constituirá como fuente de acceso público, encargado de divulgar la memoria documental Institucional, estimular el uso y aprovechamiento social de la documentación, y difundir su acervo e instrumentos de consulta.”</w:t>
      </w:r>
    </w:p>
    <w:p w14:paraId="273F0956"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Ordenamiento legal del que se advierte, que los sujetos obligados serán responsables de controlar sus archivos con el propósito de salvaguardar y preservar los documentos que faciliten la gestión administrativa y la </w:t>
      </w:r>
      <w:r w:rsidRPr="00CC134D">
        <w:rPr>
          <w:rFonts w:ascii="Palatino Linotype" w:eastAsia="Palatino Linotype" w:hAnsi="Palatino Linotype" w:cs="Palatino Linotype"/>
          <w:b/>
          <w:bCs/>
          <w:sz w:val="22"/>
          <w:szCs w:val="22"/>
        </w:rPr>
        <w:t xml:space="preserve">rendición de cuentas, </w:t>
      </w:r>
      <w:r w:rsidRPr="00CC134D">
        <w:rPr>
          <w:rFonts w:ascii="Palatino Linotype" w:eastAsia="Palatino Linotype" w:hAnsi="Palatino Linotype" w:cs="Palatino Linotype"/>
          <w:sz w:val="22"/>
          <w:szCs w:val="22"/>
        </w:rPr>
        <w:t>garantizando siempre el acceso a ellos, de ahí, que deban implementar procesos básicos de gestión de documentos según el tipo de vida de los documentos. No obstante que los documentos resguardados deberán ordenarse lógica y cronológicamente bajo expedientes relacionados entre sí por un mismo asunto, materia, actividad o trámite</w:t>
      </w:r>
      <w:r w:rsidRPr="00CC134D">
        <w:rPr>
          <w:rFonts w:ascii="Palatino Linotype" w:eastAsia="Palatino Linotype" w:hAnsi="Palatino Linotype" w:cs="Palatino Linotype"/>
          <w:sz w:val="22"/>
          <w:szCs w:val="22"/>
          <w:vertAlign w:val="superscript"/>
        </w:rPr>
        <w:footnoteReference w:id="4"/>
      </w:r>
      <w:r w:rsidRPr="00CC134D">
        <w:rPr>
          <w:rFonts w:ascii="Palatino Linotype" w:eastAsia="Palatino Linotype" w:hAnsi="Palatino Linotype" w:cs="Palatino Linotype"/>
          <w:sz w:val="22"/>
          <w:szCs w:val="22"/>
        </w:rPr>
        <w:t>.</w:t>
      </w:r>
    </w:p>
    <w:p w14:paraId="3855DE1E"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relación directa con lo anterior, las fracciones V, VI y VIII del artículo 4 de los Lineamientos para la Valoración, Selección y Baja de los Documentos, Expedientes y Series de Trámite Concluido en los Archivos del Estado de México, definen para efectos y aplicación de los mismos, lo que se entiende por Archivo de Tramite, Concentración e Histórico, bajo símiles conceptos a los señalados en los Lineamientos para la Administración de Documentos, además de regular lo relativo a la transferencia de los expedientes concluidos, indicando que las unidades Administrativas deberán señalar en el inventario correspondiente los plazos de conservación precaucional en el Archivo de concentración, atendiendo al marco legal o administrativo bajo el cual se produjeron o recibieron los documentos, según se puede leer enseguida:</w:t>
      </w:r>
    </w:p>
    <w:p w14:paraId="5136EF60"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“Artículo 20.</w:t>
      </w:r>
      <w:r w:rsidRPr="00CC134D">
        <w:rPr>
          <w:rFonts w:ascii="Palatino Linotype" w:eastAsia="Palatino Linotype" w:hAnsi="Palatino Linotype" w:cs="Palatino Linotype"/>
          <w:i/>
          <w:iCs/>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438A24D8"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El periodo señalado se computará a partir del día siguiente a la fecha del documento con el cual se dé por concluido el asunto por el que los expedientes fueron creados.</w:t>
      </w:r>
    </w:p>
    <w:p w14:paraId="25B44CAF"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10EEA3BA"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Artículo 27.- </w:t>
      </w:r>
      <w:r w:rsidRPr="00CC134D">
        <w:rPr>
          <w:rFonts w:ascii="Palatino Linotype" w:eastAsia="Palatino Linotype" w:hAnsi="Palatino Linotype" w:cs="Palatino Linotype"/>
          <w:i/>
          <w:iCs/>
          <w:sz w:val="22"/>
          <w:szCs w:val="22"/>
        </w:rPr>
        <w:t>Las unidades Administrativas al realizar la transferencia de los expedientes de tramite concluido, señalaran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periodos:</w:t>
      </w:r>
    </w:p>
    <w:p w14:paraId="2E0BDB5B" w14:textId="77777777" w:rsidR="005A1613" w:rsidRPr="00CC134D" w:rsidRDefault="00DE7120">
      <w:pPr>
        <w:spacing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w:t>
      </w: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 xml:space="preserve"> </w:t>
      </w:r>
      <w:r w:rsidRPr="00CC134D">
        <w:rPr>
          <w:rFonts w:ascii="Palatino Linotype" w:eastAsia="Palatino Linotype" w:hAnsi="Palatino Linotype" w:cs="Palatino Linotype"/>
          <w:i/>
          <w:iCs/>
          <w:sz w:val="22"/>
          <w:szCs w:val="22"/>
        </w:rPr>
        <w:t>6 años para expedientes con información administrativa;</w:t>
      </w:r>
    </w:p>
    <w:p w14:paraId="17EB0229" w14:textId="77777777" w:rsidR="005A1613" w:rsidRPr="00CC134D" w:rsidRDefault="00DE7120">
      <w:pPr>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6 años como mínimo para expedientes con información fiscal y presupuestal contable;</w:t>
      </w:r>
    </w:p>
    <w:p w14:paraId="2DBE990A" w14:textId="77777777" w:rsidR="005A1613" w:rsidRPr="00CC134D" w:rsidRDefault="00DE7120">
      <w:pPr>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xml:space="preserve"> 12 años como mínimo para expedientes con información jurídico-legal, obra pública y activo fijo; y</w:t>
      </w:r>
    </w:p>
    <w:p w14:paraId="0401ECAD" w14:textId="77777777" w:rsidR="005A1613" w:rsidRPr="00CC134D" w:rsidRDefault="00DE7120">
      <w:pPr>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IV</w:t>
      </w:r>
      <w:r w:rsidRPr="00CC134D">
        <w:rPr>
          <w:rFonts w:ascii="Palatino Linotype" w:eastAsia="Palatino Linotype" w:hAnsi="Palatino Linotype" w:cs="Palatino Linotype"/>
          <w:i/>
          <w:iCs/>
          <w:sz w:val="22"/>
          <w:szCs w:val="22"/>
        </w:rPr>
        <w:t>. Cuando en la legislación se establezcan periodos de conservación mayores a los señalados en las fracciones I, II y III, se considerarán los estipulados en dicha legislación para efectos de realización del proceso de selección final.</w:t>
      </w:r>
    </w:p>
    <w:p w14:paraId="58E16CBB" w14:textId="77777777" w:rsidR="005A1613" w:rsidRPr="00CC134D" w:rsidRDefault="00DE7120">
      <w:pPr>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V</w:t>
      </w:r>
      <w:r w:rsidRPr="00CC134D">
        <w:rPr>
          <w:rFonts w:ascii="Palatino Linotype" w:eastAsia="Palatino Linotype" w:hAnsi="Palatino Linotype" w:cs="Palatino Linotype"/>
          <w:i/>
          <w:iCs/>
          <w:sz w:val="22"/>
          <w:szCs w:val="22"/>
        </w:rPr>
        <w:t>. Cuando las unidades Administrativas no indiquen el plazo de conservación precaucional de sus expedientes en el Inventario correspondiente, los Archivos de Concentración podrán rechazar la transferencia de los expedientes.”</w:t>
      </w:r>
    </w:p>
    <w:p w14:paraId="5B153180"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CC134D">
        <w:rPr>
          <w:rFonts w:ascii="Palatino Linotype" w:eastAsia="Palatino Linotype" w:hAnsi="Palatino Linotype" w:cs="Palatino Linotype"/>
          <w:b/>
          <w:bCs/>
          <w:sz w:val="22"/>
          <w:szCs w:val="22"/>
        </w:rPr>
        <w:t>allí por seis años cuando los expedientes contengan información administrativa; y una vez que concluye dicho periodo, los documentos pueden causar baja documental</w:t>
      </w:r>
      <w:r w:rsidRPr="00CC134D">
        <w:rPr>
          <w:rFonts w:ascii="Palatino Linotype" w:eastAsia="Palatino Linotype" w:hAnsi="Palatino Linotype" w:cs="Palatino Linotype"/>
          <w:sz w:val="22"/>
          <w:szCs w:val="22"/>
        </w:rPr>
        <w:t xml:space="preserve"> o bien, formar parte del Archivo Histórico.</w:t>
      </w:r>
    </w:p>
    <w:p w14:paraId="5718E719"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No obstante, que aquellos documentos que al concluir su proceso de selección final y se determine su conservación permanente por el valor secundario, permanecerán en el Archivo de Concentración por un periodo de 20 años a partir de la fecha de conclusión de plazo de conservación precaucional, empero que la Comisión determine conservarlos permanentemente, no podrán ser destruidos aún y cuando hayan sido reproducidos o almacenados en cualquier otro medio o soporte</w:t>
      </w:r>
      <w:r w:rsidRPr="00CC134D">
        <w:rPr>
          <w:rFonts w:ascii="Palatino Linotype" w:eastAsia="Palatino Linotype" w:hAnsi="Palatino Linotype" w:cs="Palatino Linotype"/>
          <w:sz w:val="22"/>
          <w:szCs w:val="22"/>
          <w:vertAlign w:val="superscript"/>
        </w:rPr>
        <w:footnoteReference w:id="5"/>
      </w:r>
      <w:r w:rsidRPr="00CC134D">
        <w:rPr>
          <w:rFonts w:ascii="Palatino Linotype" w:eastAsia="Palatino Linotype" w:hAnsi="Palatino Linotype" w:cs="Palatino Linotype"/>
          <w:sz w:val="22"/>
          <w:szCs w:val="22"/>
        </w:rPr>
        <w:t>.</w:t>
      </w:r>
    </w:p>
    <w:p w14:paraId="71667DA0" w14:textId="77777777" w:rsidR="005A1613" w:rsidRPr="00CC134D" w:rsidRDefault="00DE7120">
      <w:pPr>
        <w:spacing w:before="240" w:after="240" w:line="360" w:lineRule="auto"/>
        <w:ind w:right="49"/>
        <w:jc w:val="both"/>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sz w:val="22"/>
          <w:szCs w:val="22"/>
        </w:rPr>
        <w:t>Así, los Lineamientos para la Administración de Documentos establecen en sus preceptos legales 26 y 27, que la Comisión Dictaminadora de Depuración de Documentos, es el órgano encargado de la valoración, selección y autorización de la baja de documentos y series documentales existentes en los archivos de las Unidades Administrativas de los sujetos obligados, cuando han cumplido con el objeto para el cual fueron creados, debiendo formular dictámenes de valoración en los que se determine el destino final de los tipos y series documentales que hayan cumplido los plazos de conservación correspondientes y en su momento autorizar mediante acuerdo la baja de aquellos documentos que hayan sido dictaminados como destruibles, al tiempo que deberá elaborar, actualizar y difundir el Catálogo de Disposición Documental y Supervisar su correcta aplicación.</w:t>
      </w:r>
    </w:p>
    <w:p w14:paraId="03EE5146"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De igual forma, los Lineamientos para la Valoración, Selección y Baja de los Documentos, disponen que ningún documento podrá ser destruido, excepto aquellos autorizados por la Comisión mediante el procedimiento de baja correspondiente, en términos de la Ley de Documentos y demás normatividad emitida en la materia, que deberá constar en el Acta Administrativa correspondiente</w:t>
      </w:r>
      <w:r w:rsidRPr="00CC134D">
        <w:rPr>
          <w:rFonts w:ascii="Palatino Linotype" w:eastAsia="Palatino Linotype" w:hAnsi="Palatino Linotype" w:cs="Palatino Linotype"/>
          <w:sz w:val="22"/>
          <w:szCs w:val="22"/>
          <w:vertAlign w:val="superscript"/>
        </w:rPr>
        <w:footnoteReference w:id="6"/>
      </w:r>
      <w:r w:rsidRPr="00CC134D">
        <w:rPr>
          <w:rFonts w:ascii="Palatino Linotype" w:eastAsia="Palatino Linotype" w:hAnsi="Palatino Linotype" w:cs="Palatino Linotype"/>
          <w:sz w:val="22"/>
          <w:szCs w:val="22"/>
        </w:rPr>
        <w:t>.</w:t>
      </w:r>
    </w:p>
    <w:p w14:paraId="68B09E81"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Asimismo, es conveniente señalar los siguientes conceptos de acuerdo a los Lineamientos para la Organización y Conservación de Archivos, emitidos por el Sistema Nacional de Transparencia, Acceso a la Información Pública y Protección de Datos Personales</w:t>
      </w:r>
      <w:r w:rsidRPr="00CC134D">
        <w:rPr>
          <w:rFonts w:ascii="Palatino Linotype" w:eastAsia="Palatino Linotype" w:hAnsi="Palatino Linotype" w:cs="Palatino Linotype"/>
          <w:sz w:val="22"/>
          <w:szCs w:val="22"/>
          <w:vertAlign w:val="superscript"/>
        </w:rPr>
        <w:footnoteReference w:id="7"/>
      </w:r>
      <w:r w:rsidRPr="00CC134D">
        <w:rPr>
          <w:rFonts w:ascii="Palatino Linotype" w:eastAsia="Palatino Linotype" w:hAnsi="Palatino Linotype" w:cs="Palatino Linotype"/>
          <w:sz w:val="22"/>
          <w:szCs w:val="22"/>
        </w:rPr>
        <w:t xml:space="preserve">, cuyo objeto es “establecer las políticas y criterios para la sistematización y digitalización, así como para </w:t>
      </w:r>
      <w:r w:rsidRPr="00CC134D">
        <w:rPr>
          <w:rFonts w:ascii="Palatino Linotype" w:eastAsia="Palatino Linotype" w:hAnsi="Palatino Linotype" w:cs="Palatino Linotype"/>
          <w:b/>
          <w:bCs/>
          <w:sz w:val="22"/>
          <w:szCs w:val="22"/>
        </w:rPr>
        <w:t>la custodia y conservación de los archivos</w:t>
      </w:r>
      <w:r w:rsidRPr="00CC134D">
        <w:rPr>
          <w:rFonts w:ascii="Palatino Linotype" w:eastAsia="Palatino Linotype" w:hAnsi="Palatino Linotype" w:cs="Palatino Linotype"/>
          <w:sz w:val="22"/>
          <w:szCs w:val="22"/>
        </w:rPr>
        <w:t xml:space="preserve"> en posesión de los sujetos obligados, con la finalidad de garantizar la disponibilidad, la localización eficiente de la información generada, obtenida, adquirida, transformada y contar con sistemas de información, ágiles y eficientes”, al tenor de lo siguiente:</w:t>
      </w:r>
    </w:p>
    <w:p w14:paraId="5ABD9DEB" w14:textId="77777777" w:rsidR="005A1613" w:rsidRPr="00CC134D" w:rsidRDefault="00DE7120">
      <w:pPr>
        <w:tabs>
          <w:tab w:val="left" w:pos="7938"/>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Cuarto.</w:t>
      </w:r>
    </w:p>
    <w:p w14:paraId="37601F28"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7D9812C0"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 Archivo</w:t>
      </w:r>
      <w:r w:rsidRPr="00CC134D">
        <w:rPr>
          <w:rFonts w:ascii="Palatino Linotype" w:eastAsia="Palatino Linotype" w:hAnsi="Palatino Linotype" w:cs="Palatino Linotype"/>
          <w:i/>
          <w:iCs/>
          <w:sz w:val="22"/>
          <w:szCs w:val="22"/>
        </w:rPr>
        <w:t>: El conjunto orgánico de documentos en cualquier soporte, que son producidos o recibidos por los sujetos obligados o los particulares en el ejercicio de sus atribuciones o en el desarrollo de sus actividades;</w:t>
      </w:r>
    </w:p>
    <w:p w14:paraId="4E144C0E"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 Archivo de concentración</w:t>
      </w:r>
      <w:r w:rsidRPr="00CC134D">
        <w:rPr>
          <w:rFonts w:ascii="Palatino Linotype" w:eastAsia="Palatino Linotype" w:hAnsi="Palatino Linotype" w:cs="Palatino Linotype"/>
          <w:i/>
          <w:iCs/>
          <w:sz w:val="22"/>
          <w:szCs w:val="22"/>
        </w:rPr>
        <w:t>: La unidad de la administración de documentos cuya consulta es esporádica y que permanecen en ella hasta su transferencia secundaria o baja documental;</w:t>
      </w:r>
    </w:p>
    <w:p w14:paraId="7BB69C1C"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IV. Archivo histórico</w:t>
      </w:r>
      <w:r w:rsidRPr="00CC134D">
        <w:rPr>
          <w:rFonts w:ascii="Palatino Linotype" w:eastAsia="Palatino Linotype" w:hAnsi="Palatino Linotype" w:cs="Palatino Linotype"/>
          <w:i/>
          <w:iCs/>
          <w:sz w:val="22"/>
          <w:szCs w:val="22"/>
        </w:rPr>
        <w:t>. La unidad responsable de la administración de los documentos de conservación permanente y que son fuente de acceso público;</w:t>
      </w:r>
    </w:p>
    <w:p w14:paraId="278FD503"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V. Archivo de trámite</w:t>
      </w:r>
      <w:r w:rsidRPr="00CC134D">
        <w:rPr>
          <w:rFonts w:ascii="Palatino Linotype" w:eastAsia="Palatino Linotype" w:hAnsi="Palatino Linotype" w:cs="Palatino Linotype"/>
          <w:i/>
          <w:iCs/>
          <w:sz w:val="22"/>
          <w:szCs w:val="22"/>
        </w:rPr>
        <w:t>: La unidad responsable de la administración de documentos de uso cotidiano y necesario para el ejercicio de las atribuciones de una unidad administrativa, los cuales permanecen en ella hasta su transferencia primaria;</w:t>
      </w:r>
    </w:p>
    <w:p w14:paraId="53EB8ADD"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VIII. Baja documental</w:t>
      </w:r>
      <w:r w:rsidRPr="00CC134D">
        <w:rPr>
          <w:rFonts w:ascii="Palatino Linotype" w:eastAsia="Palatino Linotype" w:hAnsi="Palatino Linotype" w:cs="Palatino Linotype"/>
          <w:i/>
          <w:iCs/>
          <w:sz w:val="22"/>
          <w:szCs w:val="22"/>
        </w:rPr>
        <w:t>. La eliminación de aquella documentación que haya prescrito en sus valores administrativos, legales, fiscales, contables, y que no contenga valores históricos;</w:t>
      </w:r>
    </w:p>
    <w:p w14:paraId="0E3B11A9"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0B213DEA"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 Ciclo vital del documento</w:t>
      </w:r>
      <w:r w:rsidRPr="00CC134D">
        <w:rPr>
          <w:rFonts w:ascii="Palatino Linotype" w:eastAsia="Palatino Linotype" w:hAnsi="Palatino Linotype" w:cs="Palatino Linotype"/>
          <w:i/>
          <w:iCs/>
          <w:sz w:val="22"/>
          <w:szCs w:val="22"/>
        </w:rPr>
        <w:t>: La etapas de los documentos desde su producción o recepción hasta su baja o transferencia a un archivo histórico;</w:t>
      </w:r>
    </w:p>
    <w:p w14:paraId="1550F25B"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5D6E5750" w14:textId="77777777" w:rsidR="005A1613" w:rsidRPr="00CC134D" w:rsidRDefault="00DE7120">
      <w:pPr>
        <w:tabs>
          <w:tab w:val="left" w:pos="7938"/>
        </w:tabs>
        <w:spacing w:before="120" w:after="120"/>
        <w:ind w:left="1134"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XLVIII. Transferencia documental</w:t>
      </w:r>
      <w:r w:rsidRPr="00CC134D">
        <w:rPr>
          <w:rFonts w:ascii="Palatino Linotype" w:eastAsia="Palatino Linotype" w:hAnsi="Palatino Linotype" w:cs="Palatino Linotype"/>
          <w:i/>
          <w:iCs/>
          <w:sz w:val="22"/>
          <w:szCs w:val="22"/>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6D187220"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5DDF1C33"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Además, no se debe perder de vista que para efectuar la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5349C3FE"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En ese sentido, tenemos que los documentos requeridos toda vez que datan desde el año </w:t>
      </w:r>
      <w:r w:rsidRPr="00CC134D">
        <w:rPr>
          <w:rFonts w:ascii="Palatino Linotype" w:eastAsia="Palatino Linotype" w:hAnsi="Palatino Linotype" w:cs="Palatino Linotype"/>
          <w:b/>
          <w:bCs/>
          <w:sz w:val="22"/>
          <w:szCs w:val="22"/>
          <w:u w:val="single"/>
        </w:rPr>
        <w:t>dos mil seis,</w:t>
      </w:r>
      <w:r w:rsidRPr="00CC134D">
        <w:rPr>
          <w:rFonts w:ascii="Palatino Linotype" w:eastAsia="Palatino Linotype" w:hAnsi="Palatino Linotype" w:cs="Palatino Linotype"/>
          <w:sz w:val="22"/>
          <w:szCs w:val="22"/>
        </w:rPr>
        <w:t xml:space="preserve"> pudieran encontrarse en el supuesto de que agotaron su vida útil y/o no se consideraron de importancia para formar parte del Archivo Histórico, </w:t>
      </w:r>
      <w:r w:rsidRPr="00CC134D">
        <w:rPr>
          <w:rFonts w:ascii="Palatino Linotype" w:eastAsia="Palatino Linotype" w:hAnsi="Palatino Linotype" w:cs="Palatino Linotype"/>
          <w:b/>
          <w:bCs/>
          <w:sz w:val="22"/>
          <w:szCs w:val="22"/>
          <w:u w:val="single"/>
        </w:rPr>
        <w:t>pudiendo haber causado baja.</w:t>
      </w:r>
      <w:r w:rsidRPr="00CC134D">
        <w:rPr>
          <w:rFonts w:ascii="Palatino Linotype" w:eastAsia="Palatino Linotype" w:hAnsi="Palatino Linotype" w:cs="Palatino Linotype"/>
          <w:sz w:val="22"/>
          <w:szCs w:val="22"/>
        </w:rPr>
        <w:t> </w:t>
      </w:r>
    </w:p>
    <w:p w14:paraId="4FF0BD97"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Como sustento a lo anterior, es dable hacer referencia al plazo de conservación de las averiguaciones previas, establecido en el Catálogo de Disposición Documental de la Fiscalía General de Justicia del Estado de México, localizado en el portal de Información Pública de Oficio Mexiquense, IPOMEX, publicado por 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en cumplimiento a la obligación de transparencia prevista en la fracción XLIX del artículo 92 de la Ley de Transparencia y Acceso a la Información Pública del Estado de México y Municipios:</w:t>
      </w:r>
    </w:p>
    <w:p w14:paraId="61A62D49"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noProof/>
          <w:sz w:val="22"/>
          <w:szCs w:val="22"/>
        </w:rPr>
        <w:drawing>
          <wp:inline distT="0" distB="0" distL="0" distR="0" wp14:anchorId="7E7A249D" wp14:editId="2EDB8A74">
            <wp:extent cx="5612130" cy="2181860"/>
            <wp:effectExtent l="0" t="0" r="0" b="0"/>
            <wp:docPr id="20832964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2181860"/>
                    </a:xfrm>
                    <a:prstGeom prst="rect">
                      <a:avLst/>
                    </a:prstGeom>
                    <a:ln/>
                  </pic:spPr>
                </pic:pic>
              </a:graphicData>
            </a:graphic>
          </wp:inline>
        </w:drawing>
      </w:r>
    </w:p>
    <w:p w14:paraId="3F2424C8"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Como se advierte, el plazo de conservación que se determinó para las averiguaciones previas relacionadas con el delito de homicidio, era de seis años, una vez cerrado el expediente correspondiente, de los cuales, dos años permanecía en el archivo de trámite, a partir de que se hubiera cerrado, y posteriormente, cuatro años en el archivo de conservación a partir de su transferencia, no obstante, no debe perderse de vista que aquellos asuntos considerados relevantes para el patrimonio documental del estado, no son susceptibles de eliminarse, por lo que deben conservarse en el archivo histórico. </w:t>
      </w:r>
    </w:p>
    <w:p w14:paraId="68A3EFA2" w14:textId="77777777" w:rsidR="005A1613" w:rsidRPr="00CC134D" w:rsidRDefault="00DE712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No obstante, cabe mencionar que el hecho de que un documento hubiera cumplido su ciclo vital acorde con las disposiciones analizadas de manera previa, no colma el derecho de acceso a la información de los ciudadanos; es decir, el simple pronunciamiento de las autoridades respecto a la baja documental o el hacer entrega al ciudadano del acta de baja como justificación de la negativa de la información, no es suficiente para satisfacer el ejercicio del derecho de acceso.</w:t>
      </w:r>
    </w:p>
    <w:p w14:paraId="742D1807"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Atento a lo anterior, si derivado de la búsqueda que se efectúe,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no llegara a localizar información en el periodo que se requiere, se deberá acreditar el destino de la misma, es decir; se deberá precisar si esta se envió a su archivo histórico o se procedió a su baja permanente, asimismo, deberá señalar las circunstancias de modo, tiempo y lugar que precedieron a la inexistencia de la información, con la finalidad de otorgar certeza jurídica a la persona solicitante.</w:t>
      </w:r>
    </w:p>
    <w:p w14:paraId="00FFC041"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Sirve de apoyo a lo anterior por analogía el Criterio 14-09 que emitió el Instituto Nacional de Transparencia, Acceso a la Información y Protección de Datos Personales que a la letra dice:</w:t>
      </w:r>
    </w:p>
    <w:p w14:paraId="6E7F2CE4" w14:textId="77777777" w:rsidR="005A1613" w:rsidRPr="00CC134D" w:rsidRDefault="00DE7120">
      <w:pPr>
        <w:spacing w:before="240" w:after="240"/>
        <w:ind w:left="850" w:right="90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i/>
          <w:iCs/>
          <w:sz w:val="22"/>
          <w:szCs w:val="22"/>
        </w:rPr>
        <w:t>“Baja documental</w:t>
      </w:r>
      <w:r w:rsidRPr="00CC134D">
        <w:rPr>
          <w:rFonts w:ascii="Palatino Linotype" w:eastAsia="Palatino Linotype" w:hAnsi="Palatino Linotype" w:cs="Palatino Linotype"/>
          <w:i/>
          <w:iCs/>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CC134D">
        <w:rPr>
          <w:rFonts w:ascii="Palatino Linotype" w:eastAsia="Palatino Linotype" w:hAnsi="Palatino Linotype" w:cs="Palatino Linotype"/>
          <w:b/>
          <w:bCs/>
          <w:i/>
          <w:iCs/>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CC134D">
        <w:rPr>
          <w:rFonts w:ascii="Palatino Linotype" w:eastAsia="Palatino Linotype" w:hAnsi="Palatino Linotype" w:cs="Palatino Linotype"/>
          <w:i/>
          <w:iCs/>
          <w:sz w:val="22"/>
          <w:szCs w:val="22"/>
        </w:rPr>
        <w:t xml:space="preserve"> en todos aquellos casos en los que la normatividad en materia archivística prevea que la misma debe existir.”(Sic)</w:t>
      </w:r>
    </w:p>
    <w:p w14:paraId="1FEA1846"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tal caso la declaratoria formal de la inexistencia a la que se hace referencia deberá realizarse en términos de lo que señala el artículo 19, tercer párrafo, 49, fracciones II y XIII; 169 y 170 de la Ley de Transparencia y Acceso a la Información Pública del Estado de México y Municipios, que se leen como sigue:</w:t>
      </w:r>
    </w:p>
    <w:p w14:paraId="72B1F497"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19.</w:t>
      </w:r>
      <w:r w:rsidRPr="00CC134D">
        <w:rPr>
          <w:rFonts w:ascii="Palatino Linotype" w:eastAsia="Palatino Linotype" w:hAnsi="Palatino Linotype" w:cs="Palatino Linotype"/>
          <w:i/>
          <w:iCs/>
          <w:sz w:val="22"/>
          <w:szCs w:val="22"/>
        </w:rPr>
        <w:t xml:space="preserve"> (…)</w:t>
      </w:r>
    </w:p>
    <w:p w14:paraId="300149C8"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Si el sujeto obligado, en el ejercicio de sus atribuciones, debía generar, poseer o administrar la información, pero ésta no se encuentra, el Comité de transparencia deberá emitir un acuerdo de inexistencia</w:t>
      </w:r>
      <w:r w:rsidRPr="00CC134D">
        <w:rPr>
          <w:rFonts w:ascii="Palatino Linotype" w:eastAsia="Palatino Linotype" w:hAnsi="Palatino Linotype" w:cs="Palatino Linotype"/>
          <w:i/>
          <w:iCs/>
          <w:sz w:val="22"/>
          <w:szCs w:val="22"/>
        </w:rPr>
        <w:t>, debidamente fundado y motivado, en el que detalle las razones del por qué no obra en sus archivos.”</w:t>
      </w:r>
    </w:p>
    <w:p w14:paraId="3C783A20"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49.</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Los Comités de Transparencia</w:t>
      </w:r>
      <w:r w:rsidRPr="00CC134D">
        <w:rPr>
          <w:rFonts w:ascii="Palatino Linotype" w:eastAsia="Palatino Linotype" w:hAnsi="Palatino Linotype" w:cs="Palatino Linotype"/>
          <w:i/>
          <w:iCs/>
          <w:sz w:val="22"/>
          <w:szCs w:val="22"/>
        </w:rPr>
        <w:t xml:space="preserve"> tendrán las siguientes </w:t>
      </w:r>
      <w:r w:rsidRPr="00CC134D">
        <w:rPr>
          <w:rFonts w:ascii="Palatino Linotype" w:eastAsia="Palatino Linotype" w:hAnsi="Palatino Linotype" w:cs="Palatino Linotype"/>
          <w:b/>
          <w:bCs/>
          <w:i/>
          <w:iCs/>
          <w:sz w:val="22"/>
          <w:szCs w:val="22"/>
        </w:rPr>
        <w:t>atribuciones</w:t>
      </w:r>
      <w:r w:rsidRPr="00CC134D">
        <w:rPr>
          <w:rFonts w:ascii="Palatino Linotype" w:eastAsia="Palatino Linotype" w:hAnsi="Palatino Linotype" w:cs="Palatino Linotype"/>
          <w:i/>
          <w:iCs/>
          <w:sz w:val="22"/>
          <w:szCs w:val="22"/>
        </w:rPr>
        <w:t>:</w:t>
      </w:r>
    </w:p>
    <w:p w14:paraId="6B5AA781"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Confirmar, modificar o revocar las determinaciones que en materia de</w:t>
      </w:r>
      <w:r w:rsidRPr="00CC134D">
        <w:rPr>
          <w:rFonts w:ascii="Palatino Linotype" w:eastAsia="Palatino Linotype" w:hAnsi="Palatino Linotype" w:cs="Palatino Linotype"/>
          <w:i/>
          <w:iCs/>
          <w:sz w:val="22"/>
          <w:szCs w:val="22"/>
        </w:rPr>
        <w:t xml:space="preserve"> ampliación del plazo de respuesta, clasificación de la información y </w:t>
      </w:r>
      <w:r w:rsidRPr="00CC134D">
        <w:rPr>
          <w:rFonts w:ascii="Palatino Linotype" w:eastAsia="Palatino Linotype" w:hAnsi="Palatino Linotype" w:cs="Palatino Linotype"/>
          <w:b/>
          <w:bCs/>
          <w:i/>
          <w:iCs/>
          <w:sz w:val="22"/>
          <w:szCs w:val="22"/>
        </w:rPr>
        <w:t>declaración de inexistencia</w:t>
      </w:r>
      <w:r w:rsidRPr="00CC134D">
        <w:rPr>
          <w:rFonts w:ascii="Palatino Linotype" w:eastAsia="Palatino Linotype" w:hAnsi="Palatino Linotype" w:cs="Palatino Linotype"/>
          <w:i/>
          <w:iCs/>
          <w:sz w:val="22"/>
          <w:szCs w:val="22"/>
        </w:rPr>
        <w:t xml:space="preserve"> o de incompetencia realicen los titulares de las áreas de los sujetos obligados;</w:t>
      </w:r>
    </w:p>
    <w:p w14:paraId="0FD8DD74"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XIII.</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Dictaminar las declaratorias de inexistencia de la información</w:t>
      </w:r>
      <w:r w:rsidRPr="00CC134D">
        <w:rPr>
          <w:rFonts w:ascii="Palatino Linotype" w:eastAsia="Palatino Linotype" w:hAnsi="Palatino Linotype" w:cs="Palatino Linotype"/>
          <w:i/>
          <w:iCs/>
          <w:sz w:val="22"/>
          <w:szCs w:val="22"/>
        </w:rPr>
        <w:t xml:space="preserve"> que les remitan las unidades administrativas y resolver en consecuencia…”</w:t>
      </w:r>
    </w:p>
    <w:p w14:paraId="0DB459AD"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169</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Cuando la información no se encuentre en los archivos del sujeto obligado, el Comité de Transparencia</w:t>
      </w:r>
      <w:r w:rsidRPr="00CC134D">
        <w:rPr>
          <w:rFonts w:ascii="Palatino Linotype" w:eastAsia="Palatino Linotype" w:hAnsi="Palatino Linotype" w:cs="Palatino Linotype"/>
          <w:i/>
          <w:iCs/>
          <w:sz w:val="22"/>
          <w:szCs w:val="22"/>
        </w:rPr>
        <w:t xml:space="preserve">: </w:t>
      </w:r>
    </w:p>
    <w:p w14:paraId="5AE0ED9B"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w:t>
      </w:r>
      <w:r w:rsidRPr="00CC134D">
        <w:rPr>
          <w:rFonts w:ascii="Palatino Linotype" w:eastAsia="Palatino Linotype" w:hAnsi="Palatino Linotype" w:cs="Palatino Linotype"/>
          <w:i/>
          <w:iCs/>
          <w:sz w:val="22"/>
          <w:szCs w:val="22"/>
        </w:rPr>
        <w:t xml:space="preserve"> Analizará el caso y tomará las medidas necesarias para localizar la información; </w:t>
      </w:r>
    </w:p>
    <w:p w14:paraId="02083026"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Expedirá una resolución que confirme la inexistencia del documento</w:t>
      </w:r>
      <w:r w:rsidRPr="00CC134D">
        <w:rPr>
          <w:rFonts w:ascii="Palatino Linotype" w:eastAsia="Palatino Linotype" w:hAnsi="Palatino Linotype" w:cs="Palatino Linotype"/>
          <w:i/>
          <w:iCs/>
          <w:sz w:val="22"/>
          <w:szCs w:val="22"/>
        </w:rPr>
        <w:t xml:space="preserve">; </w:t>
      </w:r>
    </w:p>
    <w:p w14:paraId="0F2BD74F"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FEF9957"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IV. </w:t>
      </w:r>
      <w:r w:rsidRPr="00CC134D">
        <w:rPr>
          <w:rFonts w:ascii="Palatino Linotype" w:eastAsia="Palatino Linotype" w:hAnsi="Palatino Linotype" w:cs="Palatino Linotype"/>
          <w:i/>
          <w:iCs/>
          <w:sz w:val="22"/>
          <w:szCs w:val="22"/>
        </w:rPr>
        <w:t xml:space="preserve">Notificará al órgano interno de control o equivalente del sujeto obligado quien, en su caso, deberá iniciar el procedimiento de responsabilidad administrativa que corresponda. </w:t>
      </w:r>
    </w:p>
    <w:p w14:paraId="45DA6C75"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La Unidad de Transparencia deberá notificarlo al solicitante por escrito, en un plazo que no exceda de quince días hábiles contados a partir del día siguiente a la presentación de la solicitud. </w:t>
      </w:r>
    </w:p>
    <w:p w14:paraId="677F93C7"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Este plazo podrá ampliarse hasta por otros siete días hábiles, siempre que existan razones para ello, debiendo notificarse por escrito al solicitante.”</w:t>
      </w:r>
    </w:p>
    <w:p w14:paraId="245519E1"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170.</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La resolución del Comité de Transparencia que confirme la inexistencia de la información solicitada contendrá los elementos mínimos</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que permitan al solicitante tener la certeza de que se utilizó un criterio de búsqueda exhaustivo</w:t>
      </w:r>
      <w:r w:rsidRPr="00CC134D">
        <w:rPr>
          <w:rFonts w:ascii="Palatino Linotype" w:eastAsia="Palatino Linotype" w:hAnsi="Palatino Linotype" w:cs="Palatino Linotype"/>
          <w:i/>
          <w:iCs/>
          <w:sz w:val="22"/>
          <w:szCs w:val="22"/>
        </w:rPr>
        <w:t>, además de señalar las circunstancias de tiempo, modo y lugar que generaron la existencia en cuestión y señalará al servidor público responsable de contar con la misma.”</w:t>
      </w:r>
    </w:p>
    <w:p w14:paraId="6FCE8562"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Lo anterior, como se precisa, resulta necesario ya que el Acuerdo de Inexistencia emitido por el Comité de Transparencia, da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 si los documentos solicitados habían causado baja documental.</w:t>
      </w:r>
    </w:p>
    <w:p w14:paraId="60DFE6BA"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Asimismo, resulta aplicable el Criterio reiterado número 08/19 emitido por Acuerdo del Pleno del Instituto de Transparencia y Acceso a la Información Pública del Estado de México y Municipios, que precisa:</w:t>
      </w:r>
    </w:p>
    <w:p w14:paraId="08A35D98"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INEXISTENCIA DE LA INFORMACIÓN. SUPUESTOS PARA EMITIR LA RESOLUCIÓN DE LA</w:t>
      </w:r>
      <w:r w:rsidRPr="00CC134D">
        <w:rPr>
          <w:rFonts w:ascii="Palatino Linotype" w:eastAsia="Palatino Linotype" w:hAnsi="Palatino Linotype" w:cs="Palatino Linotype"/>
          <w:i/>
          <w:iCs/>
          <w:sz w:val="22"/>
          <w:szCs w:val="22"/>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E4A3288"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7F8192F3"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Bajo los argumentos, planteados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deberá instruir la búsqueda exhaustiva y razonable de la información ordenada en sus archivos, atendiendo a la temporalidad de la que se ordena la información en términos del artículo 162 de la Ley de la Materia, procediendo a la entrega de la misma en versión pública de conformidad con el considerando siguiente, y, de ser el caso que no se localice deberá emitir la declaratoria de inexistencia correspondiente, en los términos descritos con anterioridad.</w:t>
      </w:r>
    </w:p>
    <w:p w14:paraId="28EF64BF"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No obstante, tomando en consideración que 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refiere que con los datos proporcionados por la persona solicitante no se localizó registro alguno, y toda vez que la persona solicitante indicó que la averiguación previa TEX/II/3289/2006  y sus acumuladas se instruyeron en el segundo turno de la Agencia Modelo en Texcoco de la Mora, es oportuno señalar que de conformidad con el Acuerdo número 007/2006 del Procurador General de Justicia del Estado de México, por el que se crea la Agencia del Ministerio Público que se denomina “Modelo”, en la Subprocuraduría Regional de Texcoco, Estado de México, se fija su competencia y se señalan los Lineamientos de Operación, publicado en el Periódico Oficial “Gaceta del Gobierno” del Estado de México el siete de febrero de dos mil veintiséis, mismo que entró en vigor al día siguiente de su publicación, la Agencia Modelo con residencia en Texcoco quedó adscrita al Jefe de Departamento de Averiguaciones Previas de Texcoco, y la numeración y nomenclatura utilizada para identificar las actas de averiguaciones previas que se iniciaron e integraron en la Agencia del Ministerio Público se forman con las siglas TEX/AMOD/ seguidas del número consecutivo del turno que corresponda, de la averiguación previa y del año de inicio, separadas por una diagonal, como se lee en el Lineamiento Séptimo, a saber:</w:t>
      </w:r>
    </w:p>
    <w:p w14:paraId="02F8BF98"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noProof/>
          <w:sz w:val="22"/>
          <w:szCs w:val="22"/>
        </w:rPr>
        <w:drawing>
          <wp:inline distT="0" distB="0" distL="0" distR="0" wp14:anchorId="375B61E0" wp14:editId="47C6B121">
            <wp:extent cx="5612130" cy="535305"/>
            <wp:effectExtent l="0" t="0" r="0" b="0"/>
            <wp:docPr id="20832964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535305"/>
                    </a:xfrm>
                    <a:prstGeom prst="rect">
                      <a:avLst/>
                    </a:prstGeom>
                    <a:ln/>
                  </pic:spPr>
                </pic:pic>
              </a:graphicData>
            </a:graphic>
          </wp:inline>
        </w:drawing>
      </w:r>
      <w:r w:rsidRPr="00CC134D">
        <w:rPr>
          <w:noProof/>
        </w:rPr>
        <mc:AlternateContent>
          <mc:Choice Requires="wps">
            <w:drawing>
              <wp:anchor distT="0" distB="0" distL="114300" distR="114300" simplePos="0" relativeHeight="251658240" behindDoc="0" locked="0" layoutInCell="1" hidden="0" allowOverlap="1" wp14:anchorId="2C862844" wp14:editId="31C3740C">
                <wp:simplePos x="0" y="0"/>
                <wp:positionH relativeFrom="column">
                  <wp:posOffset>1395842</wp:posOffset>
                </wp:positionH>
                <wp:positionV relativeFrom="paragraph">
                  <wp:posOffset>485601</wp:posOffset>
                </wp:positionV>
                <wp:extent cx="0" cy="25400"/>
                <wp:effectExtent l="0" t="0" r="0" b="0"/>
                <wp:wrapNone/>
                <wp:docPr id="2083296422" name="Conector recto de flecha 2083296422"/>
                <wp:cNvGraphicFramePr/>
                <a:graphic xmlns:a="http://schemas.openxmlformats.org/drawingml/2006/main">
                  <a:graphicData uri="http://schemas.microsoft.com/office/word/2010/wordprocessingShape">
                    <wps:wsp>
                      <wps:cNvCnPr/>
                      <wps:spPr>
                        <a:xfrm>
                          <a:off x="4682121" y="3780000"/>
                          <a:ext cx="1327759"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1395842</wp:posOffset>
                </wp:positionH>
                <wp:positionV relativeFrom="paragraph">
                  <wp:posOffset>485601</wp:posOffset>
                </wp:positionV>
                <wp:extent cx="0" cy="25400"/>
                <wp:effectExtent b="0" l="0" r="0" t="0"/>
                <wp:wrapNone/>
                <wp:docPr id="208329642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1BDAD348"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los mismos términos, el Lineamiento Séptimo del Acuerdo número 003/2006 del Procurador General de Justicia del Estado de México, por el que se crea la Agencia del Ministerio Público que se denomina “Modelo”, en la Subprocuraduría Regional de Ecatepec, Estado de México, se fija su competencia y se señalan los Lineamientos de Operación, establecían la numeración y nomenclatura de la Agencia Modelo adscrita a la Jefatura del Departamento de Averiguaciones Previas de San Agustín, Ecatepec, misma que dependía del Subprocurador Regional de Justicia en Ecatepec de Morelos, en los siguientes términos:</w:t>
      </w:r>
    </w:p>
    <w:p w14:paraId="34E83951"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noProof/>
          <w:sz w:val="22"/>
          <w:szCs w:val="22"/>
        </w:rPr>
        <w:drawing>
          <wp:inline distT="0" distB="0" distL="0" distR="0" wp14:anchorId="3247C4CE" wp14:editId="0655E184">
            <wp:extent cx="5612130" cy="510540"/>
            <wp:effectExtent l="0" t="0" r="0" b="0"/>
            <wp:docPr id="20832964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510540"/>
                    </a:xfrm>
                    <a:prstGeom prst="rect">
                      <a:avLst/>
                    </a:prstGeom>
                    <a:ln/>
                  </pic:spPr>
                </pic:pic>
              </a:graphicData>
            </a:graphic>
          </wp:inline>
        </w:drawing>
      </w:r>
      <w:r w:rsidRPr="00CC134D">
        <w:rPr>
          <w:rFonts w:ascii="Palatino Linotype" w:eastAsia="Palatino Linotype" w:hAnsi="Palatino Linotype" w:cs="Palatino Linotype"/>
          <w:sz w:val="22"/>
          <w:szCs w:val="22"/>
        </w:rPr>
        <w:t xml:space="preserve"> </w:t>
      </w:r>
      <w:r w:rsidRPr="00CC134D">
        <w:rPr>
          <w:noProof/>
        </w:rPr>
        <mc:AlternateContent>
          <mc:Choice Requires="wps">
            <w:drawing>
              <wp:anchor distT="0" distB="0" distL="114300" distR="114300" simplePos="0" relativeHeight="251659264" behindDoc="0" locked="0" layoutInCell="1" hidden="0" allowOverlap="1" wp14:anchorId="27B92DCA" wp14:editId="061E7800">
                <wp:simplePos x="0" y="0"/>
                <wp:positionH relativeFrom="column">
                  <wp:posOffset>1342033</wp:posOffset>
                </wp:positionH>
                <wp:positionV relativeFrom="paragraph">
                  <wp:posOffset>499109</wp:posOffset>
                </wp:positionV>
                <wp:extent cx="0" cy="25400"/>
                <wp:effectExtent l="0" t="0" r="0" b="0"/>
                <wp:wrapNone/>
                <wp:docPr id="2083296423" name="Conector recto de flecha 2083296423"/>
                <wp:cNvGraphicFramePr/>
                <a:graphic xmlns:a="http://schemas.openxmlformats.org/drawingml/2006/main">
                  <a:graphicData uri="http://schemas.microsoft.com/office/word/2010/wordprocessingShape">
                    <wps:wsp>
                      <wps:cNvCnPr/>
                      <wps:spPr>
                        <a:xfrm>
                          <a:off x="4682121" y="3780000"/>
                          <a:ext cx="1327759"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1342033</wp:posOffset>
                </wp:positionH>
                <wp:positionV relativeFrom="paragraph">
                  <wp:posOffset>499109</wp:posOffset>
                </wp:positionV>
                <wp:extent cx="0" cy="25400"/>
                <wp:effectExtent b="0" l="0" r="0" t="0"/>
                <wp:wrapNone/>
                <wp:docPr id="208329642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4BEB9FD5"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tal contexto, si derivado de la búsqueda que se ordena no se llegaran a localizar los expedientes de las averiguaciones previas referidas en la solicitud, por no haberse generado bajo la numeración y nomenclatura proporcionada, bastará con que ,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95F8C31" w14:textId="77777777" w:rsidR="005A1613" w:rsidRPr="00CC134D" w:rsidRDefault="005A1613">
      <w:pPr>
        <w:spacing w:before="240" w:after="240" w:line="360" w:lineRule="auto"/>
        <w:jc w:val="both"/>
        <w:rPr>
          <w:rFonts w:ascii="Palatino Linotype" w:eastAsia="Palatino Linotype" w:hAnsi="Palatino Linotype" w:cs="Palatino Linotype"/>
          <w:sz w:val="22"/>
          <w:szCs w:val="22"/>
        </w:rPr>
      </w:pPr>
    </w:p>
    <w:p w14:paraId="5191F729"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19</w:t>
      </w:r>
      <w:r w:rsidRPr="00CC134D">
        <w:rPr>
          <w:rFonts w:ascii="Palatino Linotype" w:eastAsia="Palatino Linotype" w:hAnsi="Palatino Linotype" w:cs="Palatino Linotype"/>
          <w:i/>
          <w:iCs/>
          <w:sz w:val="22"/>
          <w:szCs w:val="22"/>
        </w:rPr>
        <w:t>…</w:t>
      </w:r>
    </w:p>
    <w:p w14:paraId="67C3C50C"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En los casos en que ciertas facultades, competencias o funciones no se hayan ejercido, se debe motivar la respuesta en función de las causas que motiven tal circunstancia.”</w:t>
      </w:r>
    </w:p>
    <w:p w14:paraId="5C6B3F70"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w:t>
      </w:r>
      <w:r w:rsidRPr="00CC134D">
        <w:rPr>
          <w:rFonts w:ascii="Palatino Linotype" w:eastAsia="Palatino Linotype" w:hAnsi="Palatino Linotype" w:cs="Palatino Linotype"/>
          <w:sz w:val="22"/>
          <w:szCs w:val="22"/>
          <w:vertAlign w:val="superscript"/>
        </w:rPr>
        <w:footnoteReference w:id="8"/>
      </w:r>
      <w:r w:rsidRPr="00CC134D">
        <w:rPr>
          <w:rFonts w:ascii="Palatino Linotype" w:eastAsia="Palatino Linotype" w:hAnsi="Palatino Linotype" w:cs="Palatino Linotype"/>
          <w:sz w:val="22"/>
          <w:szCs w:val="22"/>
        </w:rPr>
        <w:t xml:space="preserve"> de la Ley de Transparencia y Acceso a la Información Pública del Estado de México y Municipios.</w:t>
      </w:r>
    </w:p>
    <w:p w14:paraId="196DA2FA" w14:textId="77777777" w:rsidR="005A1613" w:rsidRPr="00CC134D" w:rsidRDefault="00DE7120">
      <w:pPr>
        <w:spacing w:before="240" w:after="240" w:line="360" w:lineRule="auto"/>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sz w:val="22"/>
          <w:szCs w:val="22"/>
        </w:rPr>
        <w:t>No obstante, se dejan a salvo los derechos de la persona solicitante para que en caso de que lo considere conveniente a sus intereses, pueda presentar una nueva solicitud precisando la numeración y nomenclatura correcta de las averiguaciones precias a las cuales pretende acceder.</w:t>
      </w:r>
    </w:p>
    <w:p w14:paraId="1E120AE4"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De lo hasta aquí expuesto, se concluye que los motivos de inconformidad de la parte </w:t>
      </w:r>
      <w:r w:rsidRPr="00CC134D">
        <w:rPr>
          <w:rFonts w:ascii="Palatino Linotype" w:eastAsia="Palatino Linotype" w:hAnsi="Palatino Linotype" w:cs="Palatino Linotype"/>
          <w:b/>
          <w:bCs/>
          <w:sz w:val="22"/>
          <w:szCs w:val="22"/>
        </w:rPr>
        <w:t xml:space="preserve">Recurrente </w:t>
      </w:r>
      <w:r w:rsidRPr="00CC134D">
        <w:rPr>
          <w:rFonts w:ascii="Palatino Linotype" w:eastAsia="Palatino Linotype" w:hAnsi="Palatino Linotype" w:cs="Palatino Linotype"/>
          <w:sz w:val="22"/>
          <w:szCs w:val="22"/>
        </w:rPr>
        <w:t xml:space="preserve">devienen parcialmente fundados, siendo procedente </w:t>
      </w:r>
      <w:r w:rsidRPr="00CC134D">
        <w:rPr>
          <w:rFonts w:ascii="Palatino Linotype" w:eastAsia="Palatino Linotype" w:hAnsi="Palatino Linotype" w:cs="Palatino Linotype"/>
          <w:i/>
          <w:iCs/>
          <w:sz w:val="22"/>
          <w:szCs w:val="22"/>
        </w:rPr>
        <w:t xml:space="preserve">Revocar </w:t>
      </w:r>
      <w:r w:rsidRPr="00CC134D">
        <w:rPr>
          <w:rFonts w:ascii="Palatino Linotype" w:eastAsia="Palatino Linotype" w:hAnsi="Palatino Linotype" w:cs="Palatino Linotype"/>
          <w:sz w:val="22"/>
          <w:szCs w:val="22"/>
        </w:rPr>
        <w:t xml:space="preserve">la respuesta proporcionada por el </w:t>
      </w:r>
      <w:r w:rsidRPr="00CC134D">
        <w:rPr>
          <w:rFonts w:ascii="Palatino Linotype" w:eastAsia="Palatino Linotype" w:hAnsi="Palatino Linotype" w:cs="Palatino Linotype"/>
          <w:b/>
          <w:bCs/>
          <w:sz w:val="22"/>
          <w:szCs w:val="22"/>
        </w:rPr>
        <w:t xml:space="preserve">Sujeto Obligado </w:t>
      </w:r>
      <w:r w:rsidRPr="00CC134D">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35389DE7"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Quinto. Versión Pública. </w:t>
      </w:r>
      <w:r w:rsidRPr="00CC134D">
        <w:rPr>
          <w:rFonts w:ascii="Palatino Linotype" w:eastAsia="Palatino Linotype" w:hAnsi="Palatino Linotype" w:cs="Palatino Linotype"/>
          <w:sz w:val="22"/>
          <w:szCs w:val="22"/>
        </w:rPr>
        <w:t>Como fue debidamente apuntado,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80E6EEC"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CC242EE"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38E6D38"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0A00BF22"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sz w:val="22"/>
          <w:szCs w:val="22"/>
        </w:rPr>
        <w:t> </w:t>
      </w: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3.</w:t>
      </w:r>
      <w:r w:rsidRPr="00CC134D">
        <w:rPr>
          <w:rFonts w:ascii="Palatino Linotype" w:eastAsia="Palatino Linotype" w:hAnsi="Palatino Linotype" w:cs="Palatino Linotype"/>
          <w:i/>
          <w:iCs/>
          <w:sz w:val="22"/>
          <w:szCs w:val="22"/>
        </w:rPr>
        <w:t xml:space="preserve"> Para los efectos de la presente Ley se entenderá por:</w:t>
      </w:r>
    </w:p>
    <w:p w14:paraId="59B14142"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00216CE1"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IX. Datos personales</w:t>
      </w:r>
      <w:r w:rsidRPr="00CC134D">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1D5A966F"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3749D7A0"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XX. Información clasificada</w:t>
      </w:r>
      <w:r w:rsidRPr="00CC134D">
        <w:rPr>
          <w:rFonts w:ascii="Palatino Linotype" w:eastAsia="Palatino Linotype" w:hAnsi="Palatino Linotype" w:cs="Palatino Linotype"/>
          <w:i/>
          <w:iCs/>
          <w:sz w:val="22"/>
          <w:szCs w:val="22"/>
        </w:rPr>
        <w:t>: Aquella considerada por la presente Ley como reservada o confidencial;</w:t>
      </w:r>
    </w:p>
    <w:p w14:paraId="26E1D8F0"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XXI. Información confidencial</w:t>
      </w:r>
      <w:r w:rsidRPr="00CC134D">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14C316D"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2310EBF4"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XXXII. Protección de Datos Personales</w:t>
      </w:r>
      <w:r w:rsidRPr="00CC134D">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5B38C2CF"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2B9670DE" w14:textId="77777777" w:rsidR="005A1613" w:rsidRPr="00CC134D" w:rsidRDefault="00DE7120">
      <w:pPr>
        <w:tabs>
          <w:tab w:val="left" w:pos="1276"/>
        </w:tabs>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XLV. Versión pública</w:t>
      </w:r>
      <w:r w:rsidRPr="00CC134D">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4574BD2E"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Artículo 6</w:t>
      </w:r>
      <w:r w:rsidRPr="00CC134D">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A8A60F5"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19B66947"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Artículo 91.</w:t>
      </w:r>
      <w:r w:rsidRPr="00CC134D">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CC134D">
        <w:rPr>
          <w:rFonts w:ascii="Palatino Linotype" w:eastAsia="Palatino Linotype" w:hAnsi="Palatino Linotype" w:cs="Palatino Linotype"/>
          <w:i/>
          <w:iCs/>
          <w:sz w:val="22"/>
          <w:szCs w:val="22"/>
        </w:rPr>
        <w:br/>
        <w:t>…</w:t>
      </w:r>
    </w:p>
    <w:p w14:paraId="05F18D35"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Artículo 132.</w:t>
      </w:r>
      <w:r w:rsidRPr="00CC134D">
        <w:rPr>
          <w:rFonts w:ascii="Palatino Linotype" w:eastAsia="Palatino Linotype" w:hAnsi="Palatino Linotype" w:cs="Palatino Linotype"/>
          <w:i/>
          <w:iCs/>
          <w:sz w:val="22"/>
          <w:szCs w:val="22"/>
        </w:rPr>
        <w:t xml:space="preserve"> La clasificación de la información se llevará a cabo en el momento en que:</w:t>
      </w:r>
    </w:p>
    <w:p w14:paraId="1EC2D783"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w:t>
      </w:r>
      <w:r w:rsidRPr="00CC134D">
        <w:rPr>
          <w:rFonts w:ascii="Palatino Linotype" w:eastAsia="Palatino Linotype" w:hAnsi="Palatino Linotype" w:cs="Palatino Linotype"/>
          <w:i/>
          <w:iCs/>
          <w:sz w:val="22"/>
          <w:szCs w:val="22"/>
        </w:rPr>
        <w:t>. Se reciba una solicitud de acceso a la información;</w:t>
      </w:r>
    </w:p>
    <w:p w14:paraId="33D28B57"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xml:space="preserve"> Se determine mediante resolución de autoridad competente; o</w:t>
      </w:r>
    </w:p>
    <w:p w14:paraId="2F385EC6"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2098A76D"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w:t>
      </w:r>
    </w:p>
    <w:p w14:paraId="1B5BBDBE"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Artículo 137.</w:t>
      </w:r>
      <w:r w:rsidRPr="00CC134D">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98ADDE5"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Artículo 143.</w:t>
      </w:r>
      <w:r w:rsidRPr="00CC134D">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4F6F52B0"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w:t>
      </w:r>
      <w:r w:rsidRPr="00CC134D">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7CC40220" w14:textId="77777777" w:rsidR="005A1613" w:rsidRPr="00CC134D" w:rsidRDefault="00DE7120">
      <w:pPr>
        <w:spacing w:before="240" w:after="240" w:line="360" w:lineRule="auto"/>
        <w:ind w:right="50"/>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6927DD0" w14:textId="77777777" w:rsidR="005A1613" w:rsidRPr="00CC134D" w:rsidRDefault="00DE7120">
      <w:pPr>
        <w:spacing w:before="240" w:after="240" w:line="360" w:lineRule="auto"/>
        <w:ind w:right="50"/>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CF15587" w14:textId="77777777" w:rsidR="005A1613" w:rsidRPr="00CC134D" w:rsidRDefault="00DE7120">
      <w:pPr>
        <w:spacing w:before="240" w:after="240" w:line="360" w:lineRule="auto"/>
        <w:ind w:right="50"/>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16AE207"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“Artículo 49.</w:t>
      </w:r>
      <w:r w:rsidRPr="00CC134D">
        <w:rPr>
          <w:rFonts w:ascii="Palatino Linotype" w:eastAsia="Palatino Linotype" w:hAnsi="Palatino Linotype" w:cs="Palatino Linotype"/>
          <w:i/>
          <w:iCs/>
          <w:sz w:val="22"/>
          <w:szCs w:val="22"/>
        </w:rPr>
        <w:t xml:space="preserve"> </w:t>
      </w:r>
      <w:r w:rsidRPr="00CC134D">
        <w:rPr>
          <w:rFonts w:ascii="Palatino Linotype" w:eastAsia="Palatino Linotype" w:hAnsi="Palatino Linotype" w:cs="Palatino Linotype"/>
          <w:b/>
          <w:bCs/>
          <w:i/>
          <w:iCs/>
          <w:sz w:val="22"/>
          <w:szCs w:val="22"/>
        </w:rPr>
        <w:t>Los Comités de Transparencia</w:t>
      </w:r>
      <w:r w:rsidRPr="00CC134D">
        <w:rPr>
          <w:rFonts w:ascii="Palatino Linotype" w:eastAsia="Palatino Linotype" w:hAnsi="Palatino Linotype" w:cs="Palatino Linotype"/>
          <w:i/>
          <w:iCs/>
          <w:sz w:val="22"/>
          <w:szCs w:val="22"/>
        </w:rPr>
        <w:t xml:space="preserve"> tendrán las siguientes atribuciones:</w:t>
      </w:r>
    </w:p>
    <w:p w14:paraId="4C6DF30B"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VIII. Aprobar, modificar o revocar la clasificación de la información</w:t>
      </w:r>
      <w:r w:rsidRPr="00CC134D">
        <w:rPr>
          <w:rFonts w:ascii="Palatino Linotype" w:eastAsia="Palatino Linotype" w:hAnsi="Palatino Linotype" w:cs="Palatino Linotype"/>
          <w:i/>
          <w:iCs/>
          <w:sz w:val="22"/>
          <w:szCs w:val="22"/>
        </w:rPr>
        <w:t>…”</w:t>
      </w:r>
    </w:p>
    <w:p w14:paraId="3111D84B"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53.</w:t>
      </w:r>
      <w:r w:rsidRPr="00CC134D">
        <w:rPr>
          <w:rFonts w:ascii="Palatino Linotype" w:eastAsia="Palatino Linotype" w:hAnsi="Palatino Linotype" w:cs="Palatino Linotype"/>
          <w:i/>
          <w:iCs/>
          <w:sz w:val="22"/>
          <w:szCs w:val="22"/>
        </w:rPr>
        <w:t xml:space="preserve"> Las </w:t>
      </w:r>
      <w:r w:rsidRPr="00CC134D">
        <w:rPr>
          <w:rFonts w:ascii="Palatino Linotype" w:eastAsia="Palatino Linotype" w:hAnsi="Palatino Linotype" w:cs="Palatino Linotype"/>
          <w:b/>
          <w:bCs/>
          <w:i/>
          <w:iCs/>
          <w:sz w:val="22"/>
          <w:szCs w:val="22"/>
        </w:rPr>
        <w:t>Unidades de Transparencia</w:t>
      </w:r>
      <w:r w:rsidRPr="00CC134D">
        <w:rPr>
          <w:rFonts w:ascii="Palatino Linotype" w:eastAsia="Palatino Linotype" w:hAnsi="Palatino Linotype" w:cs="Palatino Linotype"/>
          <w:i/>
          <w:iCs/>
          <w:sz w:val="22"/>
          <w:szCs w:val="22"/>
        </w:rPr>
        <w:t xml:space="preserve"> tendrán las siguientes </w:t>
      </w:r>
      <w:r w:rsidRPr="00CC134D">
        <w:rPr>
          <w:rFonts w:ascii="Palatino Linotype" w:eastAsia="Palatino Linotype" w:hAnsi="Palatino Linotype" w:cs="Palatino Linotype"/>
          <w:b/>
          <w:bCs/>
          <w:i/>
          <w:iCs/>
          <w:sz w:val="22"/>
          <w:szCs w:val="22"/>
        </w:rPr>
        <w:t>funciones</w:t>
      </w:r>
      <w:r w:rsidRPr="00CC134D">
        <w:rPr>
          <w:rFonts w:ascii="Palatino Linotype" w:eastAsia="Palatino Linotype" w:hAnsi="Palatino Linotype" w:cs="Palatino Linotype"/>
          <w:i/>
          <w:iCs/>
          <w:sz w:val="22"/>
          <w:szCs w:val="22"/>
        </w:rPr>
        <w:t>:</w:t>
      </w:r>
    </w:p>
    <w:p w14:paraId="14A39349"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X. Presentar ante el Comité, el proyecto de clasificación de información</w:t>
      </w:r>
      <w:r w:rsidRPr="00CC134D">
        <w:rPr>
          <w:rFonts w:ascii="Palatino Linotype" w:eastAsia="Palatino Linotype" w:hAnsi="Palatino Linotype" w:cs="Palatino Linotype"/>
          <w:i/>
          <w:iCs/>
          <w:sz w:val="22"/>
          <w:szCs w:val="22"/>
        </w:rPr>
        <w:t xml:space="preserve">…” </w:t>
      </w:r>
    </w:p>
    <w:p w14:paraId="6256096C"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“Artículo 59.</w:t>
      </w:r>
      <w:r w:rsidRPr="00CC134D">
        <w:rPr>
          <w:rFonts w:ascii="Palatino Linotype" w:eastAsia="Palatino Linotype" w:hAnsi="Palatino Linotype" w:cs="Palatino Linotype"/>
          <w:i/>
          <w:iCs/>
          <w:sz w:val="22"/>
          <w:szCs w:val="22"/>
        </w:rPr>
        <w:t xml:space="preserve"> Los </w:t>
      </w:r>
      <w:r w:rsidRPr="00CC134D">
        <w:rPr>
          <w:rFonts w:ascii="Palatino Linotype" w:eastAsia="Palatino Linotype" w:hAnsi="Palatino Linotype" w:cs="Palatino Linotype"/>
          <w:b/>
          <w:bCs/>
          <w:i/>
          <w:iCs/>
          <w:sz w:val="22"/>
          <w:szCs w:val="22"/>
        </w:rPr>
        <w:t>servidores públicos habilitados</w:t>
      </w:r>
      <w:r w:rsidRPr="00CC134D">
        <w:rPr>
          <w:rFonts w:ascii="Palatino Linotype" w:eastAsia="Palatino Linotype" w:hAnsi="Palatino Linotype" w:cs="Palatino Linotype"/>
          <w:i/>
          <w:iCs/>
          <w:sz w:val="22"/>
          <w:szCs w:val="22"/>
        </w:rPr>
        <w:t xml:space="preserve"> tendrán las </w:t>
      </w:r>
      <w:r w:rsidRPr="00CC134D">
        <w:rPr>
          <w:rFonts w:ascii="Palatino Linotype" w:eastAsia="Palatino Linotype" w:hAnsi="Palatino Linotype" w:cs="Palatino Linotype"/>
          <w:b/>
          <w:bCs/>
          <w:i/>
          <w:iCs/>
          <w:sz w:val="22"/>
          <w:szCs w:val="22"/>
        </w:rPr>
        <w:t>funciones</w:t>
      </w:r>
      <w:r w:rsidRPr="00CC134D">
        <w:rPr>
          <w:rFonts w:ascii="Palatino Linotype" w:eastAsia="Palatino Linotype" w:hAnsi="Palatino Linotype" w:cs="Palatino Linotype"/>
          <w:i/>
          <w:iCs/>
          <w:sz w:val="22"/>
          <w:szCs w:val="22"/>
        </w:rPr>
        <w:t xml:space="preserve"> siguientes:</w:t>
      </w:r>
    </w:p>
    <w:p w14:paraId="19B44D07"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CC134D">
        <w:rPr>
          <w:rFonts w:ascii="Palatino Linotype" w:eastAsia="Palatino Linotype" w:hAnsi="Palatino Linotype" w:cs="Palatino Linotype"/>
          <w:i/>
          <w:iCs/>
          <w:sz w:val="22"/>
          <w:szCs w:val="22"/>
        </w:rPr>
        <w:t>, la cual tendrá los fundamentos y argumentos en que se basa dicha propuesta…”</w:t>
      </w:r>
    </w:p>
    <w:p w14:paraId="34FBC263"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95D1653"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 su vez, en el caso de información de carácter confidencial, se debe atender a lo que señala el artículo 149 de la Ley de Transparencia Local vigente, que se lee como sigue:</w:t>
      </w:r>
    </w:p>
    <w:p w14:paraId="432E3722"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Artículo 149.</w:t>
      </w:r>
      <w:r w:rsidRPr="00CC134D">
        <w:rPr>
          <w:rFonts w:ascii="Palatino Linotype" w:eastAsia="Palatino Linotype" w:hAnsi="Palatino Linotype" w:cs="Palatino Linotype"/>
          <w:i/>
          <w:iCs/>
          <w:sz w:val="22"/>
          <w:szCs w:val="22"/>
        </w:rPr>
        <w:t xml:space="preserve"> El </w:t>
      </w:r>
      <w:r w:rsidRPr="00CC134D">
        <w:rPr>
          <w:rFonts w:ascii="Palatino Linotype" w:eastAsia="Palatino Linotype" w:hAnsi="Palatino Linotype" w:cs="Palatino Linotype"/>
          <w:b/>
          <w:bCs/>
          <w:i/>
          <w:iCs/>
          <w:sz w:val="22"/>
          <w:szCs w:val="22"/>
        </w:rPr>
        <w:t>acuerdo que clasifique la información como confidencial</w:t>
      </w:r>
      <w:r w:rsidRPr="00CC134D">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5F05EA0B" w14:textId="77777777" w:rsidR="005A1613" w:rsidRPr="00CC134D" w:rsidRDefault="00DE7120">
      <w:pP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Es decir,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0F087E9" w14:textId="77777777" w:rsidR="005A1613" w:rsidRPr="00CC134D" w:rsidRDefault="00DE712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Asimismo, respecto a las formalidades que de</w:t>
      </w:r>
      <w:bookmarkStart w:id="3" w:name="_GoBack"/>
      <w:bookmarkEnd w:id="3"/>
      <w:r w:rsidRPr="00CC134D">
        <w:rPr>
          <w:rFonts w:ascii="Palatino Linotype" w:eastAsia="Palatino Linotype" w:hAnsi="Palatino Linotype" w:cs="Palatino Linotype"/>
          <w:sz w:val="22"/>
          <w:szCs w:val="22"/>
        </w:rPr>
        <w:t xml:space="preserve">berá llevar el acuerdo de clasificación que deberá emitir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69A95F1"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 “Quincuagésimo. </w:t>
      </w:r>
      <w:r w:rsidRPr="00CC134D">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376FD0C"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Quincuagésimo primero. </w:t>
      </w:r>
      <w:r w:rsidRPr="00CC134D">
        <w:rPr>
          <w:rFonts w:ascii="Palatino Linotype" w:eastAsia="Palatino Linotype" w:hAnsi="Palatino Linotype" w:cs="Palatino Linotype"/>
          <w:i/>
          <w:iCs/>
          <w:sz w:val="22"/>
          <w:szCs w:val="22"/>
        </w:rPr>
        <w:t xml:space="preserve">Toda acta del Comité de Transparencia deberá contener: </w:t>
      </w:r>
    </w:p>
    <w:p w14:paraId="56D660B4"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w:t>
      </w:r>
      <w:r w:rsidRPr="00CC134D">
        <w:rPr>
          <w:rFonts w:ascii="Palatino Linotype" w:eastAsia="Palatino Linotype" w:hAnsi="Palatino Linotype" w:cs="Palatino Linotype"/>
          <w:i/>
          <w:iCs/>
          <w:sz w:val="22"/>
          <w:szCs w:val="22"/>
        </w:rPr>
        <w:t xml:space="preserve"> El número de sesión y fecha; </w:t>
      </w:r>
    </w:p>
    <w:p w14:paraId="7948C971"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xml:space="preserve">. El nombre del área que solicitó la clasificación de información; </w:t>
      </w:r>
    </w:p>
    <w:p w14:paraId="7864F9B8"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xml:space="preserve">. La fundamentación legal y motivación correspondiente; </w:t>
      </w:r>
    </w:p>
    <w:p w14:paraId="54CD09D8"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IV</w:t>
      </w:r>
      <w:r w:rsidRPr="00CC134D">
        <w:rPr>
          <w:rFonts w:ascii="Palatino Linotype" w:eastAsia="Palatino Linotype" w:hAnsi="Palatino Linotype" w:cs="Palatino Linotype"/>
          <w:i/>
          <w:iCs/>
          <w:sz w:val="22"/>
          <w:szCs w:val="22"/>
        </w:rPr>
        <w:t xml:space="preserve">. La resolución o resoluciones aprobadas; y </w:t>
      </w:r>
    </w:p>
    <w:p w14:paraId="58FF8300"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V</w:t>
      </w:r>
      <w:r w:rsidRPr="00CC134D">
        <w:rPr>
          <w:rFonts w:ascii="Palatino Linotype" w:eastAsia="Palatino Linotype" w:hAnsi="Palatino Linotype" w:cs="Palatino Linotype"/>
          <w:i/>
          <w:iCs/>
          <w:sz w:val="22"/>
          <w:szCs w:val="22"/>
        </w:rPr>
        <w:t xml:space="preserve">. La rúbrica o firma digital de cada integrante del Comité de Transparencia. </w:t>
      </w:r>
    </w:p>
    <w:p w14:paraId="5D51878A"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1BC9B298"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w:t>
      </w:r>
      <w:r w:rsidRPr="00CC134D">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23D5358E"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Descripción de las partes o secciones reservadas, en caso de clasificación parcial</w:t>
      </w:r>
      <w:r w:rsidRPr="00CC134D">
        <w:rPr>
          <w:rFonts w:ascii="Palatino Linotype" w:eastAsia="Palatino Linotype" w:hAnsi="Palatino Linotype" w:cs="Palatino Linotype"/>
          <w:b/>
          <w:bCs/>
          <w:i/>
          <w:iCs/>
          <w:sz w:val="22"/>
          <w:szCs w:val="22"/>
        </w:rPr>
        <w:t xml:space="preserve">; </w:t>
      </w:r>
    </w:p>
    <w:p w14:paraId="4574553D"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xml:space="preserve"> El periodo por el que mantendrá su clasificación y fecha de expiración; y </w:t>
      </w:r>
    </w:p>
    <w:p w14:paraId="1AF6D809"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IV.</w:t>
      </w:r>
      <w:r w:rsidRPr="00CC134D">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0ACA80B4"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15B82C0C" w14:textId="77777777" w:rsidR="005A1613" w:rsidRPr="00CC134D" w:rsidRDefault="00DE7120">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57E73BE"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6F2B2061"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r w:rsidRPr="00CC134D">
        <w:rPr>
          <w:rFonts w:ascii="Palatino Linotype" w:eastAsia="Palatino Linotype" w:hAnsi="Palatino Linotype" w:cs="Palatino Linotype"/>
          <w:b/>
          <w:bCs/>
          <w:i/>
          <w:iCs/>
          <w:sz w:val="22"/>
          <w:szCs w:val="22"/>
        </w:rPr>
        <w:t>Quincuagésimo segundo</w:t>
      </w:r>
      <w:r w:rsidRPr="00CC134D">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48619B4"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079500F6"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w:t>
      </w:r>
      <w:r w:rsidRPr="00CC134D">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7A52866D"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4AFBF21E"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xml:space="preserve"> Señalar las personas o instancias autorizadas a acceder a la información clasificada.</w:t>
      </w:r>
    </w:p>
    <w:p w14:paraId="3E843FBE" w14:textId="77777777" w:rsidR="005A1613" w:rsidRPr="00CC134D" w:rsidRDefault="00DE7120">
      <w:pP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28E2381" w14:textId="77777777" w:rsidR="005A1613" w:rsidRPr="00CC134D" w:rsidRDefault="00DE7120">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w:t>
      </w:r>
    </w:p>
    <w:p w14:paraId="51F4F0A4" w14:textId="77777777" w:rsidR="005A1613" w:rsidRPr="00CC134D" w:rsidRDefault="00DE7120">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CC134D">
        <w:rPr>
          <w:rFonts w:ascii="Palatino Linotype" w:eastAsia="Palatino Linotype" w:hAnsi="Palatino Linotype" w:cs="Palatino Linotype"/>
          <w:b/>
          <w:bCs/>
          <w:i/>
          <w:iCs/>
          <w:sz w:val="22"/>
          <w:szCs w:val="22"/>
        </w:rPr>
        <w:t xml:space="preserve">Quincuagésimo cuarto. </w:t>
      </w:r>
      <w:r w:rsidRPr="00CC134D">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C134D">
        <w:rPr>
          <w:rFonts w:ascii="Palatino Linotype" w:eastAsia="Palatino Linotype" w:hAnsi="Palatino Linotype" w:cs="Palatino Linotype"/>
          <w:b/>
          <w:bCs/>
          <w:i/>
          <w:iCs/>
          <w:sz w:val="22"/>
          <w:szCs w:val="22"/>
        </w:rPr>
        <w:t xml:space="preserve"> </w:t>
      </w:r>
    </w:p>
    <w:p w14:paraId="3CC0A942"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 xml:space="preserve">Quincuagésimo quinto. </w:t>
      </w:r>
      <w:r w:rsidRPr="00CC134D">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62A0F1C" w14:textId="77777777" w:rsidR="005A1613" w:rsidRPr="00CC134D" w:rsidRDefault="00DE7120">
      <w:pPr>
        <w:spacing w:before="120" w:after="120"/>
        <w:ind w:left="851" w:right="902"/>
        <w:jc w:val="both"/>
        <w:rPr>
          <w:rFonts w:ascii="Palatino Linotype" w:eastAsia="Palatino Linotype" w:hAnsi="Palatino Linotype" w:cs="Palatino Linotype"/>
          <w:b/>
          <w:bCs/>
          <w:i/>
          <w:iCs/>
          <w:sz w:val="22"/>
          <w:szCs w:val="22"/>
        </w:rPr>
      </w:pPr>
      <w:r w:rsidRPr="00CC134D">
        <w:rPr>
          <w:rFonts w:ascii="Palatino Linotype" w:eastAsia="Palatino Linotype" w:hAnsi="Palatino Linotype" w:cs="Palatino Linotype"/>
          <w:b/>
          <w:bCs/>
          <w:i/>
          <w:iCs/>
          <w:sz w:val="22"/>
          <w:szCs w:val="22"/>
        </w:rPr>
        <w:t>...</w:t>
      </w:r>
    </w:p>
    <w:p w14:paraId="56927F9C"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Quincuagésimo séptimo</w:t>
      </w:r>
      <w:r w:rsidRPr="00CC134D">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4D3666BA"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w:t>
      </w:r>
      <w:r w:rsidRPr="00CC134D">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3B0FCC5B"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w:t>
      </w:r>
      <w:r w:rsidRPr="00CC134D">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81F9047"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III</w:t>
      </w:r>
      <w:r w:rsidRPr="00CC134D">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DEEF01A"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727DD608" w14:textId="77777777" w:rsidR="005A1613" w:rsidRPr="00CC134D" w:rsidRDefault="00DE7120">
      <w:pPr>
        <w:spacing w:before="120" w:after="120"/>
        <w:ind w:left="851" w:right="902"/>
        <w:jc w:val="both"/>
        <w:rPr>
          <w:rFonts w:ascii="Palatino Linotype" w:eastAsia="Palatino Linotype" w:hAnsi="Palatino Linotype" w:cs="Palatino Linotype"/>
          <w:i/>
          <w:iCs/>
          <w:sz w:val="22"/>
          <w:szCs w:val="22"/>
        </w:rPr>
      </w:pPr>
      <w:r w:rsidRPr="00CC134D">
        <w:rPr>
          <w:rFonts w:ascii="Palatino Linotype" w:eastAsia="Palatino Linotype" w:hAnsi="Palatino Linotype" w:cs="Palatino Linotype"/>
          <w:b/>
          <w:bCs/>
          <w:i/>
          <w:iCs/>
          <w:sz w:val="22"/>
          <w:szCs w:val="22"/>
        </w:rPr>
        <w:t>Quincuagésimo octavo</w:t>
      </w:r>
      <w:r w:rsidRPr="00CC134D">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088E0C6"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Así, con fundamento en lo prescrito en los artículos 5 párrafos cuadragésimo cuarto y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E23ED1C" w14:textId="77777777" w:rsidR="005A1613" w:rsidRPr="00CC134D" w:rsidRDefault="00DE7120">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CC134D">
        <w:rPr>
          <w:rFonts w:ascii="Palatino Linotype" w:eastAsia="Palatino Linotype" w:hAnsi="Palatino Linotype" w:cs="Palatino Linotype"/>
          <w:b/>
          <w:bCs/>
          <w:sz w:val="22"/>
          <w:szCs w:val="22"/>
        </w:rPr>
        <w:t>III. R E S U E L V E</w:t>
      </w:r>
    </w:p>
    <w:p w14:paraId="434C3B90"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Primero. </w:t>
      </w:r>
      <w:r w:rsidRPr="00CC134D">
        <w:rPr>
          <w:rFonts w:ascii="Palatino Linotype" w:eastAsia="Palatino Linotype" w:hAnsi="Palatino Linotype" w:cs="Palatino Linotype"/>
          <w:sz w:val="22"/>
          <w:szCs w:val="22"/>
        </w:rPr>
        <w:t>Resultan</w:t>
      </w:r>
      <w:r w:rsidRPr="00CC134D">
        <w:rPr>
          <w:rFonts w:ascii="Palatino Linotype" w:eastAsia="Palatino Linotype" w:hAnsi="Palatino Linotype" w:cs="Palatino Linotype"/>
          <w:b/>
          <w:bCs/>
          <w:sz w:val="22"/>
          <w:szCs w:val="22"/>
        </w:rPr>
        <w:t xml:space="preserve"> parcialmente fundadas</w:t>
      </w:r>
      <w:r w:rsidRPr="00CC134D">
        <w:rPr>
          <w:rFonts w:ascii="Palatino Linotype" w:eastAsia="Palatino Linotype" w:hAnsi="Palatino Linotype" w:cs="Palatino Linotype"/>
          <w:sz w:val="22"/>
          <w:szCs w:val="22"/>
        </w:rPr>
        <w:t xml:space="preserve"> las razones o motivos de inconformidad hechos valer por la parte</w:t>
      </w:r>
      <w:r w:rsidRPr="00CC134D">
        <w:rPr>
          <w:rFonts w:ascii="Palatino Linotype" w:eastAsia="Palatino Linotype" w:hAnsi="Palatino Linotype" w:cs="Palatino Linotype"/>
          <w:b/>
          <w:bCs/>
          <w:sz w:val="22"/>
          <w:szCs w:val="22"/>
        </w:rPr>
        <w:t xml:space="preserve"> Recurrente</w:t>
      </w:r>
      <w:r w:rsidRPr="00CC134D">
        <w:rPr>
          <w:rFonts w:ascii="Palatino Linotype" w:eastAsia="Palatino Linotype" w:hAnsi="Palatino Linotype" w:cs="Palatino Linotype"/>
          <w:sz w:val="22"/>
          <w:szCs w:val="22"/>
        </w:rPr>
        <w:t xml:space="preserve"> en el recurso de revisión </w:t>
      </w:r>
      <w:r w:rsidRPr="00CC134D">
        <w:rPr>
          <w:rFonts w:ascii="Palatino Linotype" w:eastAsia="Palatino Linotype" w:hAnsi="Palatino Linotype" w:cs="Palatino Linotype"/>
          <w:b/>
          <w:bCs/>
          <w:sz w:val="22"/>
          <w:szCs w:val="22"/>
        </w:rPr>
        <w:t>09054/INFOEM/IP/RR/2025</w:t>
      </w:r>
      <w:r w:rsidRPr="00CC134D">
        <w:rPr>
          <w:rFonts w:ascii="Palatino Linotype" w:eastAsia="Palatino Linotype" w:hAnsi="Palatino Linotype" w:cs="Palatino Linotype"/>
          <w:sz w:val="22"/>
          <w:szCs w:val="22"/>
        </w:rPr>
        <w:t xml:space="preserve">; por lo que, en términos del </w:t>
      </w:r>
      <w:r w:rsidRPr="00CC134D">
        <w:rPr>
          <w:rFonts w:ascii="Palatino Linotype" w:eastAsia="Palatino Linotype" w:hAnsi="Palatino Linotype" w:cs="Palatino Linotype"/>
          <w:b/>
          <w:bCs/>
          <w:sz w:val="22"/>
          <w:szCs w:val="22"/>
        </w:rPr>
        <w:t>Considerando</w:t>
      </w:r>
      <w:r w:rsidRPr="00CC134D">
        <w:rPr>
          <w:rFonts w:ascii="Palatino Linotype" w:eastAsia="Palatino Linotype" w:hAnsi="Palatino Linotype" w:cs="Palatino Linotype"/>
          <w:sz w:val="22"/>
          <w:szCs w:val="22"/>
        </w:rPr>
        <w:t xml:space="preserve"> </w:t>
      </w:r>
      <w:r w:rsidRPr="00CC134D">
        <w:rPr>
          <w:rFonts w:ascii="Palatino Linotype" w:eastAsia="Palatino Linotype" w:hAnsi="Palatino Linotype" w:cs="Palatino Linotype"/>
          <w:b/>
          <w:bCs/>
          <w:sz w:val="22"/>
          <w:szCs w:val="22"/>
        </w:rPr>
        <w:t xml:space="preserve">Cuarto </w:t>
      </w:r>
      <w:r w:rsidRPr="00CC134D">
        <w:rPr>
          <w:rFonts w:ascii="Palatino Linotype" w:eastAsia="Palatino Linotype" w:hAnsi="Palatino Linotype" w:cs="Palatino Linotype"/>
          <w:sz w:val="22"/>
          <w:szCs w:val="22"/>
        </w:rPr>
        <w:t xml:space="preserve">de esta resolución, se </w:t>
      </w:r>
      <w:r w:rsidRPr="00CC134D">
        <w:rPr>
          <w:rFonts w:ascii="Palatino Linotype" w:eastAsia="Palatino Linotype" w:hAnsi="Palatino Linotype" w:cs="Palatino Linotype"/>
          <w:b/>
          <w:bCs/>
          <w:sz w:val="22"/>
          <w:szCs w:val="22"/>
        </w:rPr>
        <w:t xml:space="preserve">Revoca </w:t>
      </w:r>
      <w:r w:rsidRPr="00CC134D">
        <w:rPr>
          <w:rFonts w:ascii="Palatino Linotype" w:eastAsia="Palatino Linotype" w:hAnsi="Palatino Linotype" w:cs="Palatino Linotype"/>
          <w:sz w:val="22"/>
          <w:szCs w:val="22"/>
        </w:rPr>
        <w:t xml:space="preserve">la respuesta emitida por el </w:t>
      </w:r>
      <w:r w:rsidRPr="00CC134D">
        <w:rPr>
          <w:rFonts w:ascii="Palatino Linotype" w:eastAsia="Palatino Linotype" w:hAnsi="Palatino Linotype" w:cs="Palatino Linotype"/>
          <w:b/>
          <w:bCs/>
          <w:sz w:val="22"/>
          <w:szCs w:val="22"/>
        </w:rPr>
        <w:t xml:space="preserve">Sujeto Obligado. </w:t>
      </w:r>
    </w:p>
    <w:p w14:paraId="5E95EED5" w14:textId="77777777" w:rsidR="005A1613" w:rsidRPr="00CC134D" w:rsidRDefault="00DE7120">
      <w:pPr>
        <w:spacing w:before="240" w:after="240" w:line="360" w:lineRule="auto"/>
        <w:ind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Segundo. </w:t>
      </w:r>
      <w:r w:rsidRPr="00CC134D">
        <w:rPr>
          <w:rFonts w:ascii="Palatino Linotype" w:eastAsia="Palatino Linotype" w:hAnsi="Palatino Linotype" w:cs="Palatino Linotype"/>
          <w:sz w:val="22"/>
          <w:szCs w:val="22"/>
        </w:rPr>
        <w:t xml:space="preserve">Se </w:t>
      </w:r>
      <w:r w:rsidRPr="00CC134D">
        <w:rPr>
          <w:rFonts w:ascii="Palatino Linotype" w:eastAsia="Palatino Linotype" w:hAnsi="Palatino Linotype" w:cs="Palatino Linotype"/>
          <w:b/>
          <w:bCs/>
          <w:sz w:val="22"/>
          <w:szCs w:val="22"/>
        </w:rPr>
        <w:t>Ordena</w:t>
      </w:r>
      <w:r w:rsidRPr="00CC134D">
        <w:rPr>
          <w:rFonts w:ascii="Palatino Linotype" w:eastAsia="Palatino Linotype" w:hAnsi="Palatino Linotype" w:cs="Palatino Linotype"/>
          <w:sz w:val="22"/>
          <w:szCs w:val="22"/>
        </w:rPr>
        <w:t xml:space="preserve"> al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en términos de los Considerandos </w:t>
      </w:r>
      <w:r w:rsidRPr="00CC134D">
        <w:rPr>
          <w:rFonts w:ascii="Palatino Linotype" w:eastAsia="Palatino Linotype" w:hAnsi="Palatino Linotype" w:cs="Palatino Linotype"/>
          <w:b/>
          <w:bCs/>
          <w:sz w:val="22"/>
          <w:szCs w:val="22"/>
        </w:rPr>
        <w:t xml:space="preserve">Cuarto </w:t>
      </w:r>
      <w:r w:rsidRPr="00CC134D">
        <w:rPr>
          <w:rFonts w:ascii="Palatino Linotype" w:eastAsia="Palatino Linotype" w:hAnsi="Palatino Linotype" w:cs="Palatino Linotype"/>
          <w:sz w:val="22"/>
          <w:szCs w:val="22"/>
        </w:rPr>
        <w:t xml:space="preserve">y </w:t>
      </w:r>
      <w:r w:rsidRPr="00CC134D">
        <w:rPr>
          <w:rFonts w:ascii="Palatino Linotype" w:eastAsia="Palatino Linotype" w:hAnsi="Palatino Linotype" w:cs="Palatino Linotype"/>
          <w:b/>
          <w:bCs/>
          <w:sz w:val="22"/>
          <w:szCs w:val="22"/>
        </w:rPr>
        <w:t xml:space="preserve">Quinto </w:t>
      </w:r>
      <w:r w:rsidRPr="00CC134D">
        <w:rPr>
          <w:rFonts w:ascii="Palatino Linotype" w:eastAsia="Palatino Linotype" w:hAnsi="Palatino Linotype" w:cs="Palatino Linotype"/>
          <w:sz w:val="22"/>
          <w:szCs w:val="22"/>
        </w:rPr>
        <w:t xml:space="preserve">de esta resolución, haga entrega, vía </w:t>
      </w:r>
      <w:r w:rsidRPr="00CC134D">
        <w:rPr>
          <w:rFonts w:ascii="Palatino Linotype" w:eastAsia="Palatino Linotype" w:hAnsi="Palatino Linotype" w:cs="Palatino Linotype"/>
          <w:b/>
          <w:bCs/>
          <w:sz w:val="22"/>
          <w:szCs w:val="22"/>
        </w:rPr>
        <w:t>SAIMEX</w:t>
      </w:r>
      <w:r w:rsidRPr="00CC134D">
        <w:rPr>
          <w:rFonts w:ascii="Palatino Linotype" w:eastAsia="Palatino Linotype" w:hAnsi="Palatino Linotype" w:cs="Palatino Linotype"/>
          <w:sz w:val="22"/>
          <w:szCs w:val="22"/>
        </w:rPr>
        <w:t>, previa búsqueda exhaustiva y razonable, en versión pública de lo siguiente:</w:t>
      </w:r>
    </w:p>
    <w:p w14:paraId="38F85452" w14:textId="77777777" w:rsidR="005A1613" w:rsidRPr="00CC134D" w:rsidRDefault="00DE7120">
      <w:pPr>
        <w:spacing w:before="240" w:after="240" w:line="360" w:lineRule="auto"/>
        <w:ind w:left="284" w:right="49"/>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1. Expediente de la averiguación previa TEX/II/3289/2006 y sus acumuladas ZUM/III/1966/2006 y EM/II/13490/2006.</w:t>
      </w:r>
    </w:p>
    <w:p w14:paraId="29C799B1" w14:textId="77777777" w:rsidR="005A1613" w:rsidRPr="00CC134D" w:rsidRDefault="00DE7120">
      <w:pPr>
        <w:spacing w:before="240" w:after="240"/>
        <w:ind w:left="284" w:right="49"/>
        <w:jc w:val="both"/>
        <w:rPr>
          <w:rFonts w:ascii="Palatino Linotype" w:eastAsia="Palatino Linotype" w:hAnsi="Palatino Linotype" w:cs="Palatino Linotype"/>
          <w:i/>
          <w:iCs/>
          <w:sz w:val="20"/>
          <w:szCs w:val="20"/>
        </w:rPr>
      </w:pPr>
      <w:r w:rsidRPr="00CC134D">
        <w:rPr>
          <w:rFonts w:ascii="Palatino Linotype" w:eastAsia="Palatino Linotype" w:hAnsi="Palatino Linotype" w:cs="Palatino Linotype"/>
          <w:i/>
          <w:iCs/>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695FF536" w14:textId="77777777" w:rsidR="005A1613" w:rsidRPr="00CC134D" w:rsidRDefault="00DE7120">
      <w:pPr>
        <w:spacing w:before="240" w:after="240"/>
        <w:ind w:left="284" w:right="49"/>
        <w:jc w:val="both"/>
        <w:rPr>
          <w:rFonts w:ascii="Palatino Linotype" w:eastAsia="Palatino Linotype" w:hAnsi="Palatino Linotype" w:cs="Palatino Linotype"/>
          <w:i/>
          <w:iCs/>
          <w:sz w:val="20"/>
          <w:szCs w:val="20"/>
        </w:rPr>
      </w:pPr>
      <w:r w:rsidRPr="00CC134D">
        <w:rPr>
          <w:rFonts w:ascii="Palatino Linotype" w:eastAsia="Palatino Linotype" w:hAnsi="Palatino Linotype" w:cs="Palatino Linotype"/>
          <w:i/>
          <w:iCs/>
          <w:sz w:val="20"/>
          <w:szCs w:val="20"/>
        </w:rPr>
        <w:t xml:space="preserve">Para el caso de que la información ordenada se haya generado, y por cualquier circunstancia ya no obre en los archivos el </w:t>
      </w:r>
      <w:r w:rsidRPr="00CC134D">
        <w:rPr>
          <w:rFonts w:ascii="Palatino Linotype" w:eastAsia="Palatino Linotype" w:hAnsi="Palatino Linotype" w:cs="Palatino Linotype"/>
          <w:b/>
          <w:bCs/>
          <w:i/>
          <w:iCs/>
          <w:sz w:val="20"/>
          <w:szCs w:val="20"/>
        </w:rPr>
        <w:t>Sujeto Obligado</w:t>
      </w:r>
      <w:r w:rsidRPr="00CC134D">
        <w:rPr>
          <w:rFonts w:ascii="Palatino Linotype" w:eastAsia="Palatino Linotype" w:hAnsi="Palatino Linotype" w:cs="Palatino Linotype"/>
          <w:i/>
          <w:iCs/>
          <w:sz w:val="20"/>
          <w:szCs w:val="20"/>
        </w:rPr>
        <w:t>, deberá emitir el Acuerdo de Inexistencia, en términos de los artículos 169 y 170 de la Ley de Transparencia y Acceso a la Información Pública del Estado de México y Municipios.</w:t>
      </w:r>
    </w:p>
    <w:p w14:paraId="214F179F" w14:textId="77777777" w:rsidR="005A1613" w:rsidRPr="00CC134D" w:rsidRDefault="00DE7120">
      <w:pPr>
        <w:spacing w:before="240" w:after="240"/>
        <w:ind w:left="284" w:right="51"/>
        <w:jc w:val="both"/>
        <w:rPr>
          <w:rFonts w:ascii="Palatino Linotype" w:eastAsia="Palatino Linotype" w:hAnsi="Palatino Linotype" w:cs="Palatino Linotype"/>
          <w:i/>
          <w:iCs/>
          <w:sz w:val="20"/>
          <w:szCs w:val="20"/>
        </w:rPr>
      </w:pPr>
      <w:r w:rsidRPr="00CC134D">
        <w:rPr>
          <w:rFonts w:ascii="Palatino Linotype" w:eastAsia="Palatino Linotype" w:hAnsi="Palatino Linotype" w:cs="Palatino Linotype"/>
          <w:i/>
          <w:iCs/>
          <w:sz w:val="20"/>
          <w:szCs w:val="20"/>
        </w:rPr>
        <w:t xml:space="preserve">En el supuesto que la información ordenada, no obre en los archivos del </w:t>
      </w:r>
      <w:r w:rsidRPr="00CC134D">
        <w:rPr>
          <w:rFonts w:ascii="Palatino Linotype" w:eastAsia="Palatino Linotype" w:hAnsi="Palatino Linotype" w:cs="Palatino Linotype"/>
          <w:b/>
          <w:bCs/>
          <w:i/>
          <w:iCs/>
          <w:sz w:val="20"/>
          <w:szCs w:val="20"/>
        </w:rPr>
        <w:t xml:space="preserve">Sujeto Obligado, </w:t>
      </w:r>
      <w:r w:rsidRPr="00CC134D">
        <w:rPr>
          <w:rFonts w:ascii="Palatino Linotype" w:eastAsia="Palatino Linotype" w:hAnsi="Palatino Linotype" w:cs="Palatino Linotype"/>
          <w:i/>
          <w:iCs/>
          <w:sz w:val="20"/>
          <w:szCs w:val="20"/>
        </w:rPr>
        <w:t xml:space="preserve">por no haberse generado bajo la numeración y nomenclatura referidas, bastará con que así se haga del conocimiento de la parte </w:t>
      </w:r>
      <w:r w:rsidRPr="00CC134D">
        <w:rPr>
          <w:rFonts w:ascii="Palatino Linotype" w:eastAsia="Palatino Linotype" w:hAnsi="Palatino Linotype" w:cs="Palatino Linotype"/>
          <w:b/>
          <w:bCs/>
          <w:i/>
          <w:iCs/>
          <w:sz w:val="20"/>
          <w:szCs w:val="20"/>
        </w:rPr>
        <w:t>Recurrente</w:t>
      </w:r>
      <w:r w:rsidRPr="00CC134D">
        <w:rPr>
          <w:rFonts w:ascii="Palatino Linotype" w:eastAsia="Palatino Linotype" w:hAnsi="Palatino Linotype" w:cs="Palatino Linotype"/>
          <w:i/>
          <w:iCs/>
          <w:sz w:val="20"/>
          <w:szCs w:val="20"/>
        </w:rPr>
        <w:t>, en términos del artículo 19, párrafo segundo de la Ley de Transparencia y Acceso a la Información Pública del Estado de México y Municipios</w:t>
      </w:r>
    </w:p>
    <w:p w14:paraId="724A0407"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b/>
          <w:bCs/>
          <w:sz w:val="22"/>
          <w:szCs w:val="22"/>
        </w:rPr>
        <w:t xml:space="preserve">Tercero. Notifíquese, </w:t>
      </w:r>
      <w:r w:rsidRPr="00CC134D">
        <w:rPr>
          <w:rFonts w:ascii="Palatino Linotype" w:eastAsia="Palatino Linotype" w:hAnsi="Palatino Linotype" w:cs="Palatino Linotype"/>
          <w:sz w:val="22"/>
          <w:szCs w:val="22"/>
        </w:rPr>
        <w:t xml:space="preserve">vía </w:t>
      </w:r>
      <w:r w:rsidRPr="00CC134D">
        <w:rPr>
          <w:rFonts w:ascii="Palatino Linotype" w:eastAsia="Palatino Linotype" w:hAnsi="Palatino Linotype" w:cs="Palatino Linotype"/>
          <w:b/>
          <w:bCs/>
          <w:sz w:val="22"/>
          <w:szCs w:val="22"/>
        </w:rPr>
        <w:t>SAIMEX</w:t>
      </w:r>
      <w:r w:rsidRPr="00CC134D">
        <w:rPr>
          <w:rFonts w:ascii="Palatino Linotype" w:eastAsia="Palatino Linotype" w:hAnsi="Palatino Linotype" w:cs="Palatino Linotype"/>
          <w:sz w:val="22"/>
          <w:szCs w:val="22"/>
        </w:rPr>
        <w:t xml:space="preserve">, al Titular de la Unidad de Transparencia del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897582"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r w:rsidRPr="00CC134D">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CC134D">
        <w:rPr>
          <w:rFonts w:ascii="Palatino Linotype" w:eastAsia="Palatino Linotype" w:hAnsi="Palatino Linotype" w:cs="Palatino Linotype"/>
          <w:b/>
          <w:bCs/>
          <w:sz w:val="22"/>
          <w:szCs w:val="22"/>
        </w:rPr>
        <w:t>Sujeto Obligado</w:t>
      </w:r>
      <w:r w:rsidRPr="00CC134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06DC488" w14:textId="77777777" w:rsidR="005A1613" w:rsidRPr="00CC134D" w:rsidRDefault="00DE7120">
      <w:pPr>
        <w:spacing w:before="240" w:after="240" w:line="360" w:lineRule="auto"/>
        <w:jc w:val="both"/>
        <w:rPr>
          <w:rFonts w:ascii="Palatino Linotype" w:eastAsia="Palatino Linotype" w:hAnsi="Palatino Linotype" w:cs="Palatino Linotype"/>
          <w:sz w:val="22"/>
          <w:szCs w:val="22"/>
        </w:rPr>
      </w:pPr>
      <w:bookmarkStart w:id="4" w:name="_heading=h.17dp8vu" w:colFirst="0" w:colLast="0"/>
      <w:bookmarkEnd w:id="4"/>
      <w:r w:rsidRPr="00CC134D">
        <w:rPr>
          <w:rFonts w:ascii="Palatino Linotype" w:eastAsia="Palatino Linotype" w:hAnsi="Palatino Linotype" w:cs="Palatino Linotype"/>
          <w:b/>
          <w:bCs/>
          <w:sz w:val="22"/>
          <w:szCs w:val="22"/>
        </w:rPr>
        <w:t xml:space="preserve">Cuarto.  Notifíquese, </w:t>
      </w:r>
      <w:r w:rsidRPr="00CC134D">
        <w:rPr>
          <w:rFonts w:ascii="Palatino Linotype" w:eastAsia="Palatino Linotype" w:hAnsi="Palatino Linotype" w:cs="Palatino Linotype"/>
          <w:sz w:val="22"/>
          <w:szCs w:val="22"/>
        </w:rPr>
        <w:t xml:space="preserve">vía </w:t>
      </w:r>
      <w:r w:rsidRPr="00CC134D">
        <w:rPr>
          <w:rFonts w:ascii="Palatino Linotype" w:eastAsia="Palatino Linotype" w:hAnsi="Palatino Linotype" w:cs="Palatino Linotype"/>
          <w:b/>
          <w:bCs/>
          <w:sz w:val="22"/>
          <w:szCs w:val="22"/>
        </w:rPr>
        <w:t>SAIMEX</w:t>
      </w:r>
      <w:r w:rsidRPr="00CC134D">
        <w:rPr>
          <w:rFonts w:ascii="Palatino Linotype" w:eastAsia="Palatino Linotype" w:hAnsi="Palatino Linotype" w:cs="Palatino Linotype"/>
          <w:sz w:val="22"/>
          <w:szCs w:val="22"/>
        </w:rPr>
        <w:t xml:space="preserve">, a la parte </w:t>
      </w:r>
      <w:r w:rsidRPr="00CC134D">
        <w:rPr>
          <w:rFonts w:ascii="Palatino Linotype" w:eastAsia="Palatino Linotype" w:hAnsi="Palatino Linotype" w:cs="Palatino Linotype"/>
          <w:b/>
          <w:bCs/>
          <w:sz w:val="22"/>
          <w:szCs w:val="22"/>
        </w:rPr>
        <w:t>Recurrente</w:t>
      </w:r>
      <w:r w:rsidRPr="00CC134D">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E197A1B" w14:textId="77777777" w:rsidR="005A1613" w:rsidRPr="006E7853" w:rsidRDefault="00DE7120">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5" w:name="_heading=h.lnxbz9" w:colFirst="0" w:colLast="0"/>
      <w:bookmarkEnd w:id="5"/>
      <w:r w:rsidRPr="00CC134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14:paraId="626E62CE"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3FD1628F"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5EBEED1A"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5D9AE086"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19A46BF8"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53CEC32A"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3E21F355"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3780CBE3"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631A8C4B" w14:textId="77777777" w:rsidR="005A1613" w:rsidRPr="006E7853" w:rsidRDefault="005A1613">
      <w:pPr>
        <w:spacing w:line="360" w:lineRule="auto"/>
        <w:jc w:val="both"/>
        <w:rPr>
          <w:rFonts w:ascii="Palatino Linotype" w:eastAsia="Palatino Linotype" w:hAnsi="Palatino Linotype" w:cs="Palatino Linotype"/>
          <w:sz w:val="22"/>
          <w:szCs w:val="22"/>
        </w:rPr>
      </w:pPr>
    </w:p>
    <w:p w14:paraId="0C85085E" w14:textId="77777777" w:rsidR="005A1613" w:rsidRPr="006E7853" w:rsidRDefault="005A1613">
      <w:pPr>
        <w:spacing w:line="360" w:lineRule="auto"/>
        <w:jc w:val="both"/>
        <w:rPr>
          <w:rFonts w:ascii="Palatino Linotype" w:eastAsia="Palatino Linotype" w:hAnsi="Palatino Linotype" w:cs="Palatino Linotype"/>
          <w:sz w:val="22"/>
          <w:szCs w:val="22"/>
        </w:rPr>
      </w:pPr>
      <w:bookmarkStart w:id="6" w:name="_heading=h.ysuzmw6hnmko" w:colFirst="0" w:colLast="0"/>
      <w:bookmarkEnd w:id="6"/>
    </w:p>
    <w:sectPr w:rsidR="005A1613" w:rsidRPr="006E7853">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0669B" w14:textId="77777777" w:rsidR="00B459A3" w:rsidRDefault="00B459A3">
      <w:r>
        <w:separator/>
      </w:r>
    </w:p>
  </w:endnote>
  <w:endnote w:type="continuationSeparator" w:id="0">
    <w:p w14:paraId="3D4A8B93" w14:textId="77777777" w:rsidR="00B459A3" w:rsidRDefault="00B45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3FA83C-3277-4A6F-88D9-7410303023F4}"/>
    <w:embedBold r:id="rId2" w:fontKey="{A464BC83-5877-401F-AB53-7537EB790962}"/>
  </w:font>
  <w:font w:name="Cambria">
    <w:panose1 w:val="02040503050406030204"/>
    <w:charset w:val="00"/>
    <w:family w:val="roman"/>
    <w:pitch w:val="variable"/>
    <w:sig w:usb0="E00006FF" w:usb1="420024FF" w:usb2="02000000" w:usb3="00000000" w:csb0="0000019F" w:csb1="00000000"/>
    <w:embedRegular r:id="rId3" w:fontKey="{A8C551B2-3164-41CC-9265-726D643CD3D7}"/>
    <w:embedBold r:id="rId4" w:fontKey="{46019CD1-6402-4A6C-B9FC-93BDAE139E85}"/>
    <w:embedBoldItalic r:id="rId5" w:fontKey="{1CE1AFD8-E038-4F8F-A9E8-7C1C8126FF15}"/>
  </w:font>
  <w:font w:name="Georgia">
    <w:panose1 w:val="02040502050405020303"/>
    <w:charset w:val="00"/>
    <w:family w:val="roman"/>
    <w:pitch w:val="variable"/>
    <w:sig w:usb0="00000287" w:usb1="00000000" w:usb2="00000000" w:usb3="00000000" w:csb0="0000009F" w:csb1="00000000"/>
    <w:embedItalic r:id="rId6" w:fontKey="{C022111F-EB26-4AF4-8E02-3AAF216DFE08}"/>
  </w:font>
  <w:font w:name="Palatino Linotype">
    <w:panose1 w:val="02040502050505030304"/>
    <w:charset w:val="00"/>
    <w:family w:val="roman"/>
    <w:pitch w:val="variable"/>
    <w:sig w:usb0="E0000287" w:usb1="40000013" w:usb2="00000000" w:usb3="00000000" w:csb0="0000019F" w:csb1="00000000"/>
    <w:embedRegular r:id="rId7" w:fontKey="{833B8419-AD9E-4716-A507-9D0CBABBF624}"/>
    <w:embedBold r:id="rId8" w:fontKey="{6CF89D91-00F9-41C8-95C8-101DABDD960F}"/>
    <w:embedItalic r:id="rId9" w:fontKey="{32F98A86-DB79-4EC4-8EDB-2FBE9B280CFD}"/>
    <w:embedBoldItalic r:id="rId10" w:fontKey="{235C2A45-1029-460A-975A-E4D05505540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0B465" w14:textId="3F1F70FF" w:rsidR="005A1613" w:rsidRDefault="00DE712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41C49">
      <w:rPr>
        <w:rFonts w:ascii="Palatino Linotype" w:eastAsia="Palatino Linotype" w:hAnsi="Palatino Linotype" w:cs="Palatino Linotype"/>
        <w:b/>
        <w:bCs/>
        <w:noProof/>
        <w:color w:val="000000"/>
        <w:sz w:val="20"/>
        <w:szCs w:val="20"/>
      </w:rPr>
      <w:t>54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41C49">
      <w:rPr>
        <w:rFonts w:ascii="Palatino Linotype" w:eastAsia="Palatino Linotype" w:hAnsi="Palatino Linotype" w:cs="Palatino Linotype"/>
        <w:b/>
        <w:bCs/>
        <w:noProof/>
        <w:color w:val="000000"/>
        <w:sz w:val="20"/>
        <w:szCs w:val="20"/>
      </w:rPr>
      <w:t>55</w:t>
    </w:r>
    <w:r>
      <w:rPr>
        <w:rFonts w:ascii="Palatino Linotype" w:eastAsia="Palatino Linotype" w:hAnsi="Palatino Linotype" w:cs="Palatino Linotype"/>
        <w:b/>
        <w:bCs/>
        <w:color w:val="000000"/>
        <w:sz w:val="20"/>
        <w:szCs w:val="20"/>
      </w:rPr>
      <w:fldChar w:fldCharType="end"/>
    </w:r>
  </w:p>
  <w:p w14:paraId="1B5545A2" w14:textId="77777777" w:rsidR="005A1613" w:rsidRDefault="005A161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3EAA1" w14:textId="276143F2" w:rsidR="005A1613" w:rsidRDefault="00DE712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41C4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41C49">
      <w:rPr>
        <w:rFonts w:ascii="Palatino Linotype" w:eastAsia="Palatino Linotype" w:hAnsi="Palatino Linotype" w:cs="Palatino Linotype"/>
        <w:b/>
        <w:bCs/>
        <w:noProof/>
        <w:color w:val="000000"/>
        <w:sz w:val="20"/>
        <w:szCs w:val="20"/>
      </w:rPr>
      <w:t>55</w:t>
    </w:r>
    <w:r>
      <w:rPr>
        <w:rFonts w:ascii="Palatino Linotype" w:eastAsia="Palatino Linotype" w:hAnsi="Palatino Linotype" w:cs="Palatino Linotype"/>
        <w:b/>
        <w:bCs/>
        <w:color w:val="000000"/>
        <w:sz w:val="20"/>
        <w:szCs w:val="20"/>
      </w:rPr>
      <w:fldChar w:fldCharType="end"/>
    </w:r>
  </w:p>
  <w:p w14:paraId="2A1CE3FA" w14:textId="77777777" w:rsidR="005A1613" w:rsidRDefault="00DE7120">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0EC44E2E" wp14:editId="1BF7FA41">
          <wp:simplePos x="0" y="0"/>
          <wp:positionH relativeFrom="column">
            <wp:posOffset>-1098549</wp:posOffset>
          </wp:positionH>
          <wp:positionV relativeFrom="paragraph">
            <wp:posOffset>600710</wp:posOffset>
          </wp:positionV>
          <wp:extent cx="7809865" cy="10165715"/>
          <wp:effectExtent l="0" t="0" r="0" b="0"/>
          <wp:wrapNone/>
          <wp:docPr id="20832964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F55D1" w14:textId="77777777" w:rsidR="00B459A3" w:rsidRDefault="00B459A3">
      <w:r>
        <w:separator/>
      </w:r>
    </w:p>
  </w:footnote>
  <w:footnote w:type="continuationSeparator" w:id="0">
    <w:p w14:paraId="7BBFD6C3" w14:textId="77777777" w:rsidR="00B459A3" w:rsidRDefault="00B459A3">
      <w:r>
        <w:continuationSeparator/>
      </w:r>
    </w:p>
  </w:footnote>
  <w:footnote w:id="1">
    <w:p w14:paraId="1348444A"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2">
    <w:p w14:paraId="567098F5"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Vigente hasta el veinticinco de noviembre de dos mil veintiuno, de conformidad con los Transitorios Primero y Segundo del DECRETO NÚMERO 214 POR EL QUE SE EXPIDE LA LEY DE ARCHIVOS Y ADMINISTRACIÓN DE DOCUMENTOS DEL ESTADO DE MÉXICO Y MUNICIPIOS, publicado en el Periódico Oficial “Gaceta del Gobierno” el veintiséis de noviembre de veinte.</w:t>
      </w:r>
    </w:p>
  </w:footnote>
  <w:footnote w:id="3">
    <w:p w14:paraId="38A8D32F"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Vigente hasta el cuatro e diciembre de dos mil trece, de conformidad con los Transitorios Primero y Segundo de los LINEAMIENTOS POR LOS QUE SE ESTABLECEN LAS POLÍTICAS Y CRITERIOS PARA REALIZAR LA SELECCIÓN DE LOS DOCUMENTOS Y EXPEDIENTES DE TRÁMITE CONCLUIDO EXISTENTES EN LOS ARCHIVOS DE LAS UNIDADES ADMINISTRATIVAS DE LOS PODERES DEL ESTADO Y DE LOS MUNICIPIOS, expedidos por la Comisión Dictaminadora de Depuración de Documentos, con fundamento en lo dispuesto en el inciso c) del artículo 31 de la Ley de Documentos Administrativos e Históricos del Estado de México, publicados en el Periódico Oficial “Gaceta del Gobierno” el cuatro de diciembre de dos mil trece.</w:t>
      </w:r>
    </w:p>
    <w:p w14:paraId="3FBA864B" w14:textId="77777777" w:rsidR="005A1613" w:rsidRDefault="005A1613">
      <w:pPr>
        <w:pBdr>
          <w:top w:val="nil"/>
          <w:left w:val="nil"/>
          <w:bottom w:val="nil"/>
          <w:right w:val="nil"/>
          <w:between w:val="nil"/>
        </w:pBdr>
        <w:jc w:val="both"/>
        <w:rPr>
          <w:rFonts w:ascii="Palatino Linotype" w:eastAsia="Palatino Linotype" w:hAnsi="Palatino Linotype" w:cs="Palatino Linotype"/>
          <w:color w:val="000000"/>
          <w:sz w:val="16"/>
          <w:szCs w:val="16"/>
        </w:rPr>
      </w:pPr>
    </w:p>
  </w:footnote>
  <w:footnote w:id="4">
    <w:p w14:paraId="71BECB60"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iCs/>
          <w:color w:val="000000"/>
          <w:sz w:val="16"/>
          <w:szCs w:val="16"/>
        </w:rPr>
        <w:t xml:space="preserve">Cfr. </w:t>
      </w:r>
      <w:r>
        <w:rPr>
          <w:rFonts w:ascii="Palatino Linotype" w:eastAsia="Palatino Linotype" w:hAnsi="Palatino Linotype" w:cs="Palatino Linotype"/>
          <w:color w:val="000000"/>
          <w:sz w:val="16"/>
          <w:szCs w:val="16"/>
        </w:rPr>
        <w:t xml:space="preserve">Artículo 54 de los </w:t>
      </w:r>
      <w:r>
        <w:rPr>
          <w:rFonts w:ascii="Palatino Linotype" w:eastAsia="Palatino Linotype" w:hAnsi="Palatino Linotype" w:cs="Palatino Linotype"/>
          <w:color w:val="2F2F2F"/>
          <w:sz w:val="16"/>
          <w:szCs w:val="16"/>
          <w:highlight w:val="white"/>
        </w:rPr>
        <w:t>Lineamientos para la Administración de Documentos en el Estado de México.</w:t>
      </w:r>
    </w:p>
  </w:footnote>
  <w:footnote w:id="5">
    <w:p w14:paraId="3F8D23CD"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iCs/>
          <w:color w:val="000000"/>
          <w:sz w:val="16"/>
          <w:szCs w:val="16"/>
        </w:rPr>
        <w:t xml:space="preserve">Cfr. </w:t>
      </w:r>
      <w:r>
        <w:rPr>
          <w:rFonts w:ascii="Palatino Linotype" w:eastAsia="Palatino Linotype" w:hAnsi="Palatino Linotype" w:cs="Palatino Linotype"/>
          <w:color w:val="000000"/>
          <w:sz w:val="16"/>
          <w:szCs w:val="16"/>
        </w:rPr>
        <w:t>Artículo 32 de los Lineamientos para la valoración, selección y baja de los documentos, expedientes y series de trámite concluido en los Archivos del Estado de México</w:t>
      </w:r>
    </w:p>
  </w:footnote>
  <w:footnote w:id="6">
    <w:p w14:paraId="24A3481D"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iCs/>
          <w:color w:val="000000"/>
          <w:sz w:val="16"/>
          <w:szCs w:val="16"/>
        </w:rPr>
        <w:t xml:space="preserve">Cfr. </w:t>
      </w:r>
      <w:r>
        <w:rPr>
          <w:rFonts w:ascii="Palatino Linotype" w:eastAsia="Palatino Linotype" w:hAnsi="Palatino Linotype" w:cs="Palatino Linotype"/>
          <w:color w:val="000000"/>
          <w:sz w:val="16"/>
          <w:szCs w:val="16"/>
        </w:rPr>
        <w:t>Artículos 4 fracciones II y III, 7, 10, 11, 16 y 18 Ibídem.</w:t>
      </w:r>
    </w:p>
  </w:footnote>
  <w:footnote w:id="7">
    <w:p w14:paraId="271255CE"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https://www.dof.gob.mx/nota_detalle.php?codigo=5436056&amp;fecha=04/05/2016#gsc.tab=0</w:t>
      </w:r>
    </w:p>
  </w:footnote>
  <w:footnote w:id="8">
    <w:p w14:paraId="05728E71"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16CF26EC" w14:textId="77777777" w:rsidR="005A1613" w:rsidRDefault="00DE712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35AF3" w14:textId="77777777" w:rsidR="005A1613" w:rsidRDefault="005A1613">
    <w:pPr>
      <w:rPr>
        <w:rFonts w:ascii="Cambria" w:eastAsia="Cambria" w:hAnsi="Cambria" w:cs="Cambria"/>
        <w:color w:val="000000"/>
      </w:rPr>
    </w:pPr>
  </w:p>
  <w:tbl>
    <w:tblPr>
      <w:tblStyle w:val="af8"/>
      <w:tblW w:w="6520" w:type="dxa"/>
      <w:tblInd w:w="3261" w:type="dxa"/>
      <w:tblLayout w:type="fixed"/>
      <w:tblLook w:val="0400" w:firstRow="0" w:lastRow="0" w:firstColumn="0" w:lastColumn="0" w:noHBand="0" w:noVBand="1"/>
    </w:tblPr>
    <w:tblGrid>
      <w:gridCol w:w="2489"/>
      <w:gridCol w:w="4031"/>
    </w:tblGrid>
    <w:tr w:rsidR="005A1613" w14:paraId="629564B1" w14:textId="77777777">
      <w:tc>
        <w:tcPr>
          <w:tcW w:w="2489" w:type="dxa"/>
        </w:tcPr>
        <w:p w14:paraId="64C51416" w14:textId="77777777" w:rsidR="005A1613" w:rsidRDefault="00DE712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031" w:type="dxa"/>
          <w:vAlign w:val="center"/>
        </w:tcPr>
        <w:p w14:paraId="77A07AD6" w14:textId="77777777" w:rsidR="005A1613" w:rsidRDefault="00DE7120">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09054/INFOEM/IP/RR/2025</w:t>
          </w:r>
        </w:p>
      </w:tc>
    </w:tr>
    <w:tr w:rsidR="005A1613" w14:paraId="40E4CB3F" w14:textId="77777777">
      <w:trPr>
        <w:trHeight w:val="228"/>
      </w:trPr>
      <w:tc>
        <w:tcPr>
          <w:tcW w:w="2489" w:type="dxa"/>
          <w:vAlign w:val="center"/>
        </w:tcPr>
        <w:p w14:paraId="1844CB5F" w14:textId="77777777" w:rsidR="005A1613" w:rsidRDefault="00DE712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031" w:type="dxa"/>
          <w:vAlign w:val="center"/>
        </w:tcPr>
        <w:p w14:paraId="223AB2A9" w14:textId="77777777" w:rsidR="005A1613" w:rsidRDefault="00DE7120">
          <w:pPr>
            <w:ind w:left="-45" w:right="116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Fiscalía General de Justicia del Estado de México</w:t>
          </w:r>
        </w:p>
      </w:tc>
    </w:tr>
    <w:tr w:rsidR="005A1613" w14:paraId="098E2F55" w14:textId="77777777">
      <w:tc>
        <w:tcPr>
          <w:tcW w:w="2489" w:type="dxa"/>
          <w:vAlign w:val="center"/>
        </w:tcPr>
        <w:p w14:paraId="2455FF2A" w14:textId="77777777" w:rsidR="005A1613" w:rsidRDefault="00DE7120">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031" w:type="dxa"/>
          <w:vAlign w:val="center"/>
        </w:tcPr>
        <w:p w14:paraId="122AA87B" w14:textId="77777777" w:rsidR="005A1613" w:rsidRDefault="00DE7120">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EBA8FA5" w14:textId="77777777" w:rsidR="005A1613" w:rsidRDefault="00DE712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B40E8" w14:textId="77777777" w:rsidR="005A1613" w:rsidRDefault="00DE712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14:anchorId="0739F758" wp14:editId="55D2B05A">
          <wp:simplePos x="0" y="0"/>
          <wp:positionH relativeFrom="column">
            <wp:posOffset>-1079487</wp:posOffset>
          </wp:positionH>
          <wp:positionV relativeFrom="paragraph">
            <wp:posOffset>-328916</wp:posOffset>
          </wp:positionV>
          <wp:extent cx="7809865" cy="10165715"/>
          <wp:effectExtent l="0" t="0" r="0" b="0"/>
          <wp:wrapNone/>
          <wp:docPr id="20832964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6520" w:type="dxa"/>
      <w:tblInd w:w="3261" w:type="dxa"/>
      <w:tblLayout w:type="fixed"/>
      <w:tblLook w:val="0400" w:firstRow="0" w:lastRow="0" w:firstColumn="0" w:lastColumn="0" w:noHBand="0" w:noVBand="1"/>
    </w:tblPr>
    <w:tblGrid>
      <w:gridCol w:w="2551"/>
      <w:gridCol w:w="3969"/>
    </w:tblGrid>
    <w:tr w:rsidR="005A1613" w14:paraId="7B525F7F" w14:textId="77777777">
      <w:tc>
        <w:tcPr>
          <w:tcW w:w="2551" w:type="dxa"/>
          <w:vAlign w:val="center"/>
        </w:tcPr>
        <w:p w14:paraId="6255E576" w14:textId="77777777" w:rsidR="005A1613" w:rsidRDefault="00DE712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969" w:type="dxa"/>
          <w:vAlign w:val="center"/>
        </w:tcPr>
        <w:p w14:paraId="1450D043" w14:textId="77777777" w:rsidR="005A1613" w:rsidRDefault="00DE7120">
          <w:pPr>
            <w:tabs>
              <w:tab w:val="left" w:pos="3153"/>
            </w:tabs>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09054/INFOEM/IP/RR/2025</w:t>
          </w:r>
        </w:p>
      </w:tc>
    </w:tr>
    <w:tr w:rsidR="005A1613" w14:paraId="0536B848" w14:textId="77777777">
      <w:trPr>
        <w:trHeight w:val="130"/>
      </w:trPr>
      <w:tc>
        <w:tcPr>
          <w:tcW w:w="2551" w:type="dxa"/>
          <w:vAlign w:val="center"/>
        </w:tcPr>
        <w:p w14:paraId="22267E14" w14:textId="77777777" w:rsidR="005A1613" w:rsidRDefault="00DE712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969" w:type="dxa"/>
          <w:vAlign w:val="center"/>
        </w:tcPr>
        <w:p w14:paraId="39BF9152" w14:textId="748E006E" w:rsidR="005A1613" w:rsidRDefault="00841C49">
          <w:pPr>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 XXXXX </w:t>
          </w:r>
        </w:p>
      </w:tc>
    </w:tr>
    <w:tr w:rsidR="005A1613" w14:paraId="140E44D9" w14:textId="77777777">
      <w:trPr>
        <w:trHeight w:val="228"/>
      </w:trPr>
      <w:tc>
        <w:tcPr>
          <w:tcW w:w="2551" w:type="dxa"/>
          <w:vAlign w:val="center"/>
        </w:tcPr>
        <w:p w14:paraId="1F484C31" w14:textId="77777777" w:rsidR="005A1613" w:rsidRDefault="00DE712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969" w:type="dxa"/>
          <w:vAlign w:val="center"/>
        </w:tcPr>
        <w:p w14:paraId="339FC9D2" w14:textId="77777777" w:rsidR="005A1613" w:rsidRDefault="00DE7120">
          <w:pPr>
            <w:ind w:left="-45" w:right="101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Fiscalía General de Justicia del Estado de México</w:t>
          </w:r>
        </w:p>
      </w:tc>
    </w:tr>
    <w:tr w:rsidR="005A1613" w14:paraId="25FD45C6" w14:textId="77777777">
      <w:tc>
        <w:tcPr>
          <w:tcW w:w="2551" w:type="dxa"/>
          <w:vAlign w:val="center"/>
        </w:tcPr>
        <w:p w14:paraId="0273FE38" w14:textId="77777777" w:rsidR="005A1613" w:rsidRDefault="00DE712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969" w:type="dxa"/>
          <w:vAlign w:val="center"/>
        </w:tcPr>
        <w:p w14:paraId="36EC6577" w14:textId="77777777" w:rsidR="005A1613" w:rsidRDefault="00DE7120">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06A889D" w14:textId="77777777" w:rsidR="005A1613" w:rsidRDefault="005A1613">
    <w:pPr>
      <w:pBdr>
        <w:top w:val="nil"/>
        <w:left w:val="nil"/>
        <w:bottom w:val="nil"/>
        <w:right w:val="nil"/>
        <w:between w:val="nil"/>
      </w:pBdr>
      <w:tabs>
        <w:tab w:val="center" w:pos="4252"/>
        <w:tab w:val="right" w:pos="8504"/>
      </w:tabs>
      <w:rPr>
        <w:rFonts w:ascii="Cambria" w:eastAsia="Cambria" w:hAnsi="Cambria" w:cs="Cambria"/>
        <w:color w:val="000000"/>
      </w:rPr>
    </w:pPr>
  </w:p>
  <w:p w14:paraId="12078DAF" w14:textId="77777777" w:rsidR="005A1613" w:rsidRDefault="005A161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6E7967"/>
    <w:multiLevelType w:val="multilevel"/>
    <w:tmpl w:val="5516C7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613"/>
    <w:rsid w:val="005A1613"/>
    <w:rsid w:val="006E7853"/>
    <w:rsid w:val="00841C49"/>
    <w:rsid w:val="00B459A3"/>
    <w:rsid w:val="00CC134D"/>
    <w:rsid w:val="00DE7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2E97"/>
  <w15:docId w15:val="{62AA63A9-5DFC-4548-A6AB-25C5CD61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9D6572"/>
    <w:rPr>
      <w:color w:val="800080"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6681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66814"/>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66814"/>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QIjWQDTquD1G8nXDoKGfnJUWQ==">CgMxLjAyCWguMWZvYjl0ZTIOaC5tbjl6bmNydjFiengyCWguM2R5NnZrbTIJaC4xN2RwOHZ1MghoLmxueGJ6OTIOaC55c3V6bXc2aG5ta284AHIhMWtsOEQ2MU1BREthTjdIbXdPQmZBZklJcDNJRS1hY2Ji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16328</Words>
  <Characters>89805</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2026-02-09T16:35:00Z</cp:lastPrinted>
  <dcterms:created xsi:type="dcterms:W3CDTF">2026-03-24T17:33:00Z</dcterms:created>
  <dcterms:modified xsi:type="dcterms:W3CDTF">2026-03-24T17:33:00Z</dcterms:modified>
</cp:coreProperties>
</file>