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7E3" w:rsidRDefault="007D67E3">
      <w:pPr>
        <w:widowControl w:val="0"/>
        <w:pBdr>
          <w:top w:val="nil"/>
          <w:left w:val="nil"/>
          <w:bottom w:val="nil"/>
          <w:right w:val="nil"/>
          <w:between w:val="nil"/>
        </w:pBdr>
        <w:spacing w:line="276" w:lineRule="auto"/>
      </w:pPr>
    </w:p>
    <w:p w:rsidR="007D67E3" w:rsidRDefault="007D67E3">
      <w:pPr>
        <w:widowControl w:val="0"/>
        <w:pBdr>
          <w:top w:val="nil"/>
          <w:left w:val="nil"/>
          <w:bottom w:val="nil"/>
          <w:right w:val="nil"/>
          <w:between w:val="nil"/>
        </w:pBdr>
        <w:spacing w:line="360" w:lineRule="auto"/>
      </w:pPr>
    </w:p>
    <w:p w:rsidR="007D67E3" w:rsidRDefault="007D67E3">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bookmarkStart w:id="0" w:name="_heading=h.868p2eu4u30v" w:colFirst="0" w:colLast="0"/>
      <w:bookmarkEnd w:id="0"/>
    </w:p>
    <w:p w:rsidR="007D67E3" w:rsidRDefault="008D7E22">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13241/INFOEM/IP/RR/2025</w:t>
      </w:r>
    </w:p>
    <w:p w:rsidR="007D67E3" w:rsidRDefault="007D67E3">
      <w:pPr>
        <w:keepNext/>
        <w:keepLines/>
        <w:pBdr>
          <w:top w:val="nil"/>
          <w:left w:val="nil"/>
          <w:bottom w:val="nil"/>
          <w:right w:val="nil"/>
          <w:between w:val="nil"/>
        </w:pBdr>
        <w:spacing w:line="360" w:lineRule="auto"/>
        <w:rPr>
          <w:rFonts w:ascii="Palatino Linotype" w:eastAsia="Palatino Linotype" w:hAnsi="Palatino Linotype" w:cs="Palatino Linotype"/>
          <w:color w:val="000000"/>
          <w:sz w:val="22"/>
          <w:szCs w:val="22"/>
        </w:rPr>
      </w:pPr>
    </w:p>
    <w:sdt>
      <w:sdtPr>
        <w:rPr>
          <w:sz w:val="20"/>
          <w:szCs w:val="20"/>
          <w:lang w:val="es-ES"/>
        </w:rPr>
        <w:id w:val="1709222462"/>
        <w:docPartObj>
          <w:docPartGallery w:val="Table of Contents"/>
          <w:docPartUnique/>
        </w:docPartObj>
      </w:sdtPr>
      <w:sdtEndPr>
        <w:rPr>
          <w:b/>
          <w:bCs/>
        </w:rPr>
      </w:sdtEndPr>
      <w:sdtContent>
        <w:p w:rsidR="00D61D8D" w:rsidRPr="007A41AF" w:rsidRDefault="00D61D8D">
          <w:pPr>
            <w:pStyle w:val="TtulodeTDC"/>
          </w:pPr>
        </w:p>
        <w:p w:rsidR="007A41AF" w:rsidRPr="007A41AF" w:rsidRDefault="00D61D8D">
          <w:pPr>
            <w:pStyle w:val="TDC1"/>
            <w:tabs>
              <w:tab w:val="right" w:leader="dot" w:pos="8828"/>
            </w:tabs>
            <w:rPr>
              <w:rFonts w:cstheme="minorBidi"/>
              <w:noProof/>
            </w:rPr>
          </w:pPr>
          <w:r w:rsidRPr="007A41AF">
            <w:rPr>
              <w:bCs/>
              <w:lang w:val="es-ES"/>
            </w:rPr>
            <w:fldChar w:fldCharType="begin"/>
          </w:r>
          <w:r w:rsidRPr="007A41AF">
            <w:rPr>
              <w:bCs/>
              <w:lang w:val="es-ES"/>
            </w:rPr>
            <w:instrText xml:space="preserve"> TOC \o "1-3" \h \z \u </w:instrText>
          </w:r>
          <w:r w:rsidRPr="007A41AF">
            <w:rPr>
              <w:bCs/>
              <w:lang w:val="es-ES"/>
            </w:rPr>
            <w:fldChar w:fldCharType="separate"/>
          </w:r>
          <w:hyperlink w:anchor="_Toc219391196" w:history="1">
            <w:r w:rsidR="007A41AF" w:rsidRPr="007A41AF">
              <w:rPr>
                <w:rStyle w:val="Hipervnculo"/>
                <w:rFonts w:ascii="Palatino Linotype" w:eastAsia="Palatino Linotype" w:hAnsi="Palatino Linotype" w:cs="Palatino Linotype"/>
                <w:bCs/>
                <w:noProof/>
              </w:rPr>
              <w:t>A N T E C E D E N T E S</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_Toc219391196 \h </w:instrText>
            </w:r>
            <w:r w:rsidR="007A41AF" w:rsidRPr="007A41AF">
              <w:rPr>
                <w:noProof/>
                <w:webHidden/>
              </w:rPr>
            </w:r>
            <w:r w:rsidR="007A41AF" w:rsidRPr="007A41AF">
              <w:rPr>
                <w:noProof/>
                <w:webHidden/>
              </w:rPr>
              <w:fldChar w:fldCharType="separate"/>
            </w:r>
            <w:r w:rsidR="00626677">
              <w:rPr>
                <w:noProof/>
                <w:webHidden/>
              </w:rPr>
              <w:t>2</w:t>
            </w:r>
            <w:r w:rsidR="007A41AF" w:rsidRPr="007A41AF">
              <w:rPr>
                <w:noProof/>
                <w:webHidden/>
              </w:rPr>
              <w:fldChar w:fldCharType="end"/>
            </w:r>
          </w:hyperlink>
        </w:p>
        <w:p w:rsidR="007A41AF" w:rsidRPr="007A41AF" w:rsidRDefault="00C97EC7">
          <w:pPr>
            <w:pStyle w:val="TDC2"/>
            <w:rPr>
              <w:rFonts w:cstheme="minorBidi"/>
              <w:noProof/>
            </w:rPr>
          </w:pPr>
          <w:hyperlink w:anchor="_Toc219391197" w:history="1">
            <w:r w:rsidR="007A41AF" w:rsidRPr="007A41AF">
              <w:rPr>
                <w:rStyle w:val="Hipervnculo"/>
                <w:rFonts w:ascii="Palatino Linotype" w:eastAsia="Palatino Linotype" w:hAnsi="Palatino Linotype" w:cs="Palatino Linotype"/>
                <w:bCs/>
                <w:noProof/>
              </w:rPr>
              <w:t>I. Presentación de la solicitud de información</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_Toc219391197 \h </w:instrText>
            </w:r>
            <w:r w:rsidR="007A41AF" w:rsidRPr="007A41AF">
              <w:rPr>
                <w:noProof/>
                <w:webHidden/>
              </w:rPr>
            </w:r>
            <w:r w:rsidR="007A41AF" w:rsidRPr="007A41AF">
              <w:rPr>
                <w:noProof/>
                <w:webHidden/>
              </w:rPr>
              <w:fldChar w:fldCharType="separate"/>
            </w:r>
            <w:r w:rsidR="00626677">
              <w:rPr>
                <w:noProof/>
                <w:webHidden/>
              </w:rPr>
              <w:t>2</w:t>
            </w:r>
            <w:r w:rsidR="007A41AF" w:rsidRPr="007A41AF">
              <w:rPr>
                <w:noProof/>
                <w:webHidden/>
              </w:rPr>
              <w:fldChar w:fldCharType="end"/>
            </w:r>
          </w:hyperlink>
        </w:p>
        <w:p w:rsidR="007A41AF" w:rsidRPr="007A41AF" w:rsidRDefault="00C97EC7">
          <w:pPr>
            <w:pStyle w:val="TDC2"/>
            <w:rPr>
              <w:rFonts w:cstheme="minorBidi"/>
              <w:noProof/>
            </w:rPr>
          </w:pPr>
          <w:hyperlink w:anchor="_Toc219391198" w:history="1">
            <w:r w:rsidR="007A41AF" w:rsidRPr="007A41AF">
              <w:rPr>
                <w:rStyle w:val="Hipervnculo"/>
                <w:rFonts w:ascii="Palatino Linotype" w:eastAsia="Palatino Linotype" w:hAnsi="Palatino Linotype" w:cs="Palatino Linotype"/>
                <w:bCs/>
                <w:noProof/>
              </w:rPr>
              <w:t>II. Respuesta del Sujeto Obligado</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_Toc219391198 \h </w:instrText>
            </w:r>
            <w:r w:rsidR="007A41AF" w:rsidRPr="007A41AF">
              <w:rPr>
                <w:noProof/>
                <w:webHidden/>
              </w:rPr>
            </w:r>
            <w:r w:rsidR="007A41AF" w:rsidRPr="007A41AF">
              <w:rPr>
                <w:noProof/>
                <w:webHidden/>
              </w:rPr>
              <w:fldChar w:fldCharType="separate"/>
            </w:r>
            <w:r w:rsidR="00626677">
              <w:rPr>
                <w:noProof/>
                <w:webHidden/>
              </w:rPr>
              <w:t>2</w:t>
            </w:r>
            <w:r w:rsidR="007A41AF" w:rsidRPr="007A41AF">
              <w:rPr>
                <w:noProof/>
                <w:webHidden/>
              </w:rPr>
              <w:fldChar w:fldCharType="end"/>
            </w:r>
          </w:hyperlink>
        </w:p>
        <w:p w:rsidR="007A41AF" w:rsidRPr="007A41AF" w:rsidRDefault="00C97EC7">
          <w:pPr>
            <w:pStyle w:val="TDC2"/>
            <w:rPr>
              <w:rFonts w:cstheme="minorBidi"/>
              <w:noProof/>
            </w:rPr>
          </w:pPr>
          <w:hyperlink w:anchor="_Toc219391199" w:history="1">
            <w:r w:rsidR="007A41AF" w:rsidRPr="007A41AF">
              <w:rPr>
                <w:rStyle w:val="Hipervnculo"/>
                <w:rFonts w:ascii="Palatino Linotype" w:eastAsia="Palatino Linotype" w:hAnsi="Palatino Linotype" w:cs="Palatino Linotype"/>
                <w:bCs/>
                <w:noProof/>
              </w:rPr>
              <w:t>III. Interposición del Recurso de Revisión</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_Toc219391199 \h </w:instrText>
            </w:r>
            <w:r w:rsidR="007A41AF" w:rsidRPr="007A41AF">
              <w:rPr>
                <w:noProof/>
                <w:webHidden/>
              </w:rPr>
            </w:r>
            <w:r w:rsidR="007A41AF" w:rsidRPr="007A41AF">
              <w:rPr>
                <w:noProof/>
                <w:webHidden/>
              </w:rPr>
              <w:fldChar w:fldCharType="separate"/>
            </w:r>
            <w:r w:rsidR="00626677">
              <w:rPr>
                <w:noProof/>
                <w:webHidden/>
              </w:rPr>
              <w:t>3</w:t>
            </w:r>
            <w:r w:rsidR="007A41AF" w:rsidRPr="007A41AF">
              <w:rPr>
                <w:noProof/>
                <w:webHidden/>
              </w:rPr>
              <w:fldChar w:fldCharType="end"/>
            </w:r>
          </w:hyperlink>
        </w:p>
        <w:p w:rsidR="007A41AF" w:rsidRPr="007A41AF" w:rsidRDefault="00C97EC7">
          <w:pPr>
            <w:pStyle w:val="TDC2"/>
            <w:rPr>
              <w:rFonts w:cstheme="minorBidi"/>
              <w:noProof/>
            </w:rPr>
          </w:pPr>
          <w:hyperlink w:anchor="_Toc219391200" w:history="1">
            <w:r w:rsidR="007A41AF" w:rsidRPr="007A41AF">
              <w:rPr>
                <w:rStyle w:val="Hipervnculo"/>
                <w:rFonts w:ascii="Palatino Linotype" w:eastAsia="Palatino Linotype" w:hAnsi="Palatino Linotype" w:cs="Palatino Linotype"/>
                <w:bCs/>
                <w:noProof/>
              </w:rPr>
              <w:t>IV. Trámite del Recurso de Revisión ante este Instituto</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_Toc219391200 \h </w:instrText>
            </w:r>
            <w:r w:rsidR="007A41AF" w:rsidRPr="007A41AF">
              <w:rPr>
                <w:noProof/>
                <w:webHidden/>
              </w:rPr>
            </w:r>
            <w:r w:rsidR="007A41AF" w:rsidRPr="007A41AF">
              <w:rPr>
                <w:noProof/>
                <w:webHidden/>
              </w:rPr>
              <w:fldChar w:fldCharType="separate"/>
            </w:r>
            <w:r w:rsidR="00626677">
              <w:rPr>
                <w:noProof/>
                <w:webHidden/>
              </w:rPr>
              <w:t>4</w:t>
            </w:r>
            <w:r w:rsidR="007A41AF" w:rsidRPr="007A41AF">
              <w:rPr>
                <w:noProof/>
                <w:webHidden/>
              </w:rPr>
              <w:fldChar w:fldCharType="end"/>
            </w:r>
          </w:hyperlink>
        </w:p>
        <w:p w:rsidR="007A41AF" w:rsidRPr="007A41AF" w:rsidRDefault="00C97EC7">
          <w:pPr>
            <w:pStyle w:val="TDC1"/>
            <w:tabs>
              <w:tab w:val="right" w:leader="dot" w:pos="8828"/>
            </w:tabs>
            <w:rPr>
              <w:rFonts w:cstheme="minorBidi"/>
              <w:noProof/>
            </w:rPr>
          </w:pPr>
          <w:hyperlink w:anchor="_Toc219391201" w:history="1">
            <w:r w:rsidR="007A41AF" w:rsidRPr="007A41AF">
              <w:rPr>
                <w:rStyle w:val="Hipervnculo"/>
                <w:rFonts w:ascii="Palatino Linotype" w:eastAsia="Palatino Linotype" w:hAnsi="Palatino Linotype" w:cs="Palatino Linotype"/>
                <w:bCs/>
                <w:noProof/>
              </w:rPr>
              <w:t>C O N S I D E R A N D O S</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_Toc219391201 \h </w:instrText>
            </w:r>
            <w:r w:rsidR="007A41AF" w:rsidRPr="007A41AF">
              <w:rPr>
                <w:noProof/>
                <w:webHidden/>
              </w:rPr>
            </w:r>
            <w:r w:rsidR="007A41AF" w:rsidRPr="007A41AF">
              <w:rPr>
                <w:noProof/>
                <w:webHidden/>
              </w:rPr>
              <w:fldChar w:fldCharType="separate"/>
            </w:r>
            <w:r w:rsidR="00626677">
              <w:rPr>
                <w:noProof/>
                <w:webHidden/>
              </w:rPr>
              <w:t>6</w:t>
            </w:r>
            <w:r w:rsidR="007A41AF" w:rsidRPr="007A41AF">
              <w:rPr>
                <w:noProof/>
                <w:webHidden/>
              </w:rPr>
              <w:fldChar w:fldCharType="end"/>
            </w:r>
          </w:hyperlink>
        </w:p>
        <w:p w:rsidR="007A41AF" w:rsidRPr="007A41AF" w:rsidRDefault="00C97EC7">
          <w:pPr>
            <w:pStyle w:val="TDC2"/>
            <w:rPr>
              <w:rFonts w:cstheme="minorBidi"/>
              <w:noProof/>
            </w:rPr>
          </w:pPr>
          <w:hyperlink w:anchor="_Toc219391202" w:history="1">
            <w:r w:rsidR="007A41AF" w:rsidRPr="007A41AF">
              <w:rPr>
                <w:rStyle w:val="Hipervnculo"/>
                <w:rFonts w:ascii="Palatino Linotype" w:eastAsia="Palatino Linotype" w:hAnsi="Palatino Linotype" w:cs="Palatino Linotype"/>
                <w:bCs/>
                <w:noProof/>
              </w:rPr>
              <w:t>PRIMERO. Competencia</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_Toc219391202 \h </w:instrText>
            </w:r>
            <w:r w:rsidR="007A41AF" w:rsidRPr="007A41AF">
              <w:rPr>
                <w:noProof/>
                <w:webHidden/>
              </w:rPr>
            </w:r>
            <w:r w:rsidR="007A41AF" w:rsidRPr="007A41AF">
              <w:rPr>
                <w:noProof/>
                <w:webHidden/>
              </w:rPr>
              <w:fldChar w:fldCharType="separate"/>
            </w:r>
            <w:r w:rsidR="00626677">
              <w:rPr>
                <w:noProof/>
                <w:webHidden/>
              </w:rPr>
              <w:t>6</w:t>
            </w:r>
            <w:r w:rsidR="007A41AF" w:rsidRPr="007A41AF">
              <w:rPr>
                <w:noProof/>
                <w:webHidden/>
              </w:rPr>
              <w:fldChar w:fldCharType="end"/>
            </w:r>
          </w:hyperlink>
        </w:p>
        <w:p w:rsidR="007A41AF" w:rsidRPr="007A41AF" w:rsidRDefault="00C97EC7">
          <w:pPr>
            <w:pStyle w:val="TDC2"/>
            <w:rPr>
              <w:rFonts w:cstheme="minorBidi"/>
              <w:noProof/>
            </w:rPr>
          </w:pPr>
          <w:hyperlink w:anchor="_Toc219391203" w:history="1">
            <w:r w:rsidR="007A41AF" w:rsidRPr="007A41AF">
              <w:rPr>
                <w:rStyle w:val="Hipervnculo"/>
                <w:rFonts w:ascii="Palatino Linotype" w:eastAsia="Palatino Linotype" w:hAnsi="Palatino Linotype" w:cs="Palatino Linotype"/>
                <w:bCs/>
                <w:noProof/>
              </w:rPr>
              <w:t>SEGUNDO. Causales de improcedencia y sobreseimiento</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_Toc219391203 \h </w:instrText>
            </w:r>
            <w:r w:rsidR="007A41AF" w:rsidRPr="007A41AF">
              <w:rPr>
                <w:noProof/>
                <w:webHidden/>
              </w:rPr>
            </w:r>
            <w:r w:rsidR="007A41AF" w:rsidRPr="007A41AF">
              <w:rPr>
                <w:noProof/>
                <w:webHidden/>
              </w:rPr>
              <w:fldChar w:fldCharType="separate"/>
            </w:r>
            <w:r w:rsidR="00626677">
              <w:rPr>
                <w:noProof/>
                <w:webHidden/>
              </w:rPr>
              <w:t>6</w:t>
            </w:r>
            <w:r w:rsidR="007A41AF" w:rsidRPr="007A41AF">
              <w:rPr>
                <w:noProof/>
                <w:webHidden/>
              </w:rPr>
              <w:fldChar w:fldCharType="end"/>
            </w:r>
          </w:hyperlink>
        </w:p>
        <w:p w:rsidR="007A41AF" w:rsidRPr="007A41AF" w:rsidRDefault="00C97EC7">
          <w:pPr>
            <w:pStyle w:val="TDC2"/>
            <w:rPr>
              <w:rFonts w:cstheme="minorBidi"/>
              <w:noProof/>
            </w:rPr>
          </w:pPr>
          <w:hyperlink w:anchor="_Toc219391204" w:history="1">
            <w:r w:rsidR="007A41AF" w:rsidRPr="007A41AF">
              <w:rPr>
                <w:rStyle w:val="Hipervnculo"/>
                <w:rFonts w:ascii="Palatino Linotype" w:eastAsia="Palatino Linotype" w:hAnsi="Palatino Linotype" w:cs="Palatino Linotype"/>
                <w:bCs/>
                <w:noProof/>
              </w:rPr>
              <w:t>TERCERO. Determinación de la Controversia</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_Toc219391204 \h </w:instrText>
            </w:r>
            <w:r w:rsidR="007A41AF" w:rsidRPr="007A41AF">
              <w:rPr>
                <w:noProof/>
                <w:webHidden/>
              </w:rPr>
            </w:r>
            <w:r w:rsidR="007A41AF" w:rsidRPr="007A41AF">
              <w:rPr>
                <w:noProof/>
                <w:webHidden/>
              </w:rPr>
              <w:fldChar w:fldCharType="separate"/>
            </w:r>
            <w:r w:rsidR="00626677">
              <w:rPr>
                <w:noProof/>
                <w:webHidden/>
              </w:rPr>
              <w:t>8</w:t>
            </w:r>
            <w:r w:rsidR="007A41AF" w:rsidRPr="007A41AF">
              <w:rPr>
                <w:noProof/>
                <w:webHidden/>
              </w:rPr>
              <w:fldChar w:fldCharType="end"/>
            </w:r>
          </w:hyperlink>
        </w:p>
        <w:p w:rsidR="007A41AF" w:rsidRPr="007A41AF" w:rsidRDefault="00C97EC7">
          <w:pPr>
            <w:pStyle w:val="TDC2"/>
            <w:rPr>
              <w:rFonts w:cstheme="minorBidi"/>
              <w:noProof/>
            </w:rPr>
          </w:pPr>
          <w:hyperlink w:anchor="_Toc219391205" w:history="1">
            <w:r w:rsidR="007A41AF" w:rsidRPr="007A41AF">
              <w:rPr>
                <w:rStyle w:val="Hipervnculo"/>
                <w:rFonts w:ascii="Palatino Linotype" w:eastAsia="Palatino Linotype" w:hAnsi="Palatino Linotype" w:cs="Palatino Linotype"/>
                <w:bCs/>
                <w:noProof/>
              </w:rPr>
              <w:t>CUARTO. Marco normativo aplicable en materia de transparencia y acceso a la información pública</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_Toc219391205 \h </w:instrText>
            </w:r>
            <w:r w:rsidR="007A41AF" w:rsidRPr="007A41AF">
              <w:rPr>
                <w:noProof/>
                <w:webHidden/>
              </w:rPr>
            </w:r>
            <w:r w:rsidR="007A41AF" w:rsidRPr="007A41AF">
              <w:rPr>
                <w:noProof/>
                <w:webHidden/>
              </w:rPr>
              <w:fldChar w:fldCharType="separate"/>
            </w:r>
            <w:r w:rsidR="00626677">
              <w:rPr>
                <w:noProof/>
                <w:webHidden/>
              </w:rPr>
              <w:t>9</w:t>
            </w:r>
            <w:r w:rsidR="007A41AF" w:rsidRPr="007A41AF">
              <w:rPr>
                <w:noProof/>
                <w:webHidden/>
              </w:rPr>
              <w:fldChar w:fldCharType="end"/>
            </w:r>
          </w:hyperlink>
        </w:p>
        <w:p w:rsidR="007A41AF" w:rsidRPr="007A41AF" w:rsidRDefault="00C97EC7">
          <w:pPr>
            <w:pStyle w:val="TDC2"/>
            <w:rPr>
              <w:rFonts w:cstheme="minorBidi"/>
              <w:noProof/>
            </w:rPr>
          </w:pPr>
          <w:hyperlink w:anchor="_Toc219391206" w:history="1">
            <w:r w:rsidR="007A41AF" w:rsidRPr="007A41AF">
              <w:rPr>
                <w:rStyle w:val="Hipervnculo"/>
                <w:rFonts w:ascii="Palatino Linotype" w:eastAsia="Palatino Linotype" w:hAnsi="Palatino Linotype" w:cs="Palatino Linotype"/>
                <w:bCs/>
                <w:noProof/>
              </w:rPr>
              <w:t>QUINTO. Estudio de Fondo</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_Toc219391206 \h </w:instrText>
            </w:r>
            <w:r w:rsidR="007A41AF" w:rsidRPr="007A41AF">
              <w:rPr>
                <w:noProof/>
                <w:webHidden/>
              </w:rPr>
            </w:r>
            <w:r w:rsidR="007A41AF" w:rsidRPr="007A41AF">
              <w:rPr>
                <w:noProof/>
                <w:webHidden/>
              </w:rPr>
              <w:fldChar w:fldCharType="separate"/>
            </w:r>
            <w:r w:rsidR="00626677">
              <w:rPr>
                <w:noProof/>
                <w:webHidden/>
              </w:rPr>
              <w:t>10</w:t>
            </w:r>
            <w:r w:rsidR="007A41AF" w:rsidRPr="007A41AF">
              <w:rPr>
                <w:noProof/>
                <w:webHidden/>
              </w:rPr>
              <w:fldChar w:fldCharType="end"/>
            </w:r>
          </w:hyperlink>
        </w:p>
        <w:p w:rsidR="007A41AF" w:rsidRPr="007A41AF" w:rsidRDefault="00C97EC7">
          <w:pPr>
            <w:pStyle w:val="TDC2"/>
            <w:rPr>
              <w:rFonts w:cstheme="minorBidi"/>
              <w:noProof/>
            </w:rPr>
          </w:pPr>
          <w:hyperlink w:anchor="_Toc219391207" w:history="1">
            <w:r w:rsidR="007A41AF" w:rsidRPr="007A41AF">
              <w:rPr>
                <w:rStyle w:val="Hipervnculo"/>
                <w:rFonts w:ascii="Palatino Linotype" w:eastAsia="Palatino Linotype" w:hAnsi="Palatino Linotype" w:cs="Palatino Linotype"/>
                <w:bCs/>
                <w:noProof/>
              </w:rPr>
              <w:t>SEXTO. Decisión</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_Toc219391207 \h </w:instrText>
            </w:r>
            <w:r w:rsidR="007A41AF" w:rsidRPr="007A41AF">
              <w:rPr>
                <w:noProof/>
                <w:webHidden/>
              </w:rPr>
            </w:r>
            <w:r w:rsidR="007A41AF" w:rsidRPr="007A41AF">
              <w:rPr>
                <w:noProof/>
                <w:webHidden/>
              </w:rPr>
              <w:fldChar w:fldCharType="separate"/>
            </w:r>
            <w:r w:rsidR="00626677">
              <w:rPr>
                <w:noProof/>
                <w:webHidden/>
              </w:rPr>
              <w:t>24</w:t>
            </w:r>
            <w:r w:rsidR="007A41AF" w:rsidRPr="007A41AF">
              <w:rPr>
                <w:noProof/>
                <w:webHidden/>
              </w:rPr>
              <w:fldChar w:fldCharType="end"/>
            </w:r>
          </w:hyperlink>
        </w:p>
        <w:p w:rsidR="007A41AF" w:rsidRPr="007A41AF" w:rsidRDefault="00C97EC7">
          <w:pPr>
            <w:pStyle w:val="TDC1"/>
            <w:tabs>
              <w:tab w:val="right" w:leader="dot" w:pos="8828"/>
            </w:tabs>
            <w:rPr>
              <w:rFonts w:cstheme="minorBidi"/>
              <w:noProof/>
            </w:rPr>
          </w:pPr>
          <w:hyperlink w:anchor="_Toc219391208" w:history="1">
            <w:r w:rsidR="007A41AF" w:rsidRPr="007A41AF">
              <w:rPr>
                <w:rStyle w:val="Hipervnculo"/>
                <w:rFonts w:ascii="Palatino Linotype" w:eastAsia="Palatino Linotype" w:hAnsi="Palatino Linotype" w:cs="Palatino Linotype"/>
                <w:bCs/>
                <w:noProof/>
              </w:rPr>
              <w:t>R E S U E L V E</w:t>
            </w:r>
            <w:r w:rsidR="007A41AF" w:rsidRPr="007A41AF">
              <w:rPr>
                <w:noProof/>
                <w:webHidden/>
              </w:rPr>
              <w:tab/>
            </w:r>
            <w:r w:rsidR="007A41AF" w:rsidRPr="007A41AF">
              <w:rPr>
                <w:noProof/>
                <w:webHidden/>
              </w:rPr>
              <w:fldChar w:fldCharType="begin"/>
            </w:r>
            <w:r w:rsidR="007A41AF" w:rsidRPr="007A41AF">
              <w:rPr>
                <w:noProof/>
                <w:webHidden/>
              </w:rPr>
              <w:instrText xml:space="preserve"> PAGEREF _Toc219391208 \h </w:instrText>
            </w:r>
            <w:r w:rsidR="007A41AF" w:rsidRPr="007A41AF">
              <w:rPr>
                <w:noProof/>
                <w:webHidden/>
              </w:rPr>
            </w:r>
            <w:r w:rsidR="007A41AF" w:rsidRPr="007A41AF">
              <w:rPr>
                <w:noProof/>
                <w:webHidden/>
              </w:rPr>
              <w:fldChar w:fldCharType="separate"/>
            </w:r>
            <w:r w:rsidR="00626677">
              <w:rPr>
                <w:noProof/>
                <w:webHidden/>
              </w:rPr>
              <w:t>25</w:t>
            </w:r>
            <w:r w:rsidR="007A41AF" w:rsidRPr="007A41AF">
              <w:rPr>
                <w:noProof/>
                <w:webHidden/>
              </w:rPr>
              <w:fldChar w:fldCharType="end"/>
            </w:r>
          </w:hyperlink>
        </w:p>
        <w:p w:rsidR="00D61D8D" w:rsidRDefault="00D61D8D">
          <w:r w:rsidRPr="007A41AF">
            <w:rPr>
              <w:bCs/>
              <w:lang w:val="es-ES"/>
            </w:rPr>
            <w:fldChar w:fldCharType="end"/>
          </w:r>
        </w:p>
      </w:sdtContent>
    </w:sdt>
    <w:p w:rsidR="007D67E3" w:rsidRDefault="007D67E3">
      <w:pPr>
        <w:spacing w:line="360" w:lineRule="auto"/>
        <w:jc w:val="both"/>
      </w:pPr>
    </w:p>
    <w:p w:rsidR="00D61D8D" w:rsidRDefault="00D61D8D">
      <w:pPr>
        <w:spacing w:line="360" w:lineRule="auto"/>
        <w:jc w:val="both"/>
      </w:pPr>
    </w:p>
    <w:p w:rsidR="00D61D8D" w:rsidRDefault="00D61D8D">
      <w:pPr>
        <w:spacing w:line="360" w:lineRule="auto"/>
        <w:jc w:val="both"/>
      </w:pPr>
    </w:p>
    <w:p w:rsidR="00D61D8D" w:rsidRDefault="00D61D8D">
      <w:pPr>
        <w:spacing w:line="360" w:lineRule="auto"/>
        <w:jc w:val="both"/>
      </w:pPr>
    </w:p>
    <w:p w:rsidR="00D61D8D" w:rsidRDefault="00D61D8D">
      <w:pPr>
        <w:spacing w:line="360" w:lineRule="auto"/>
        <w:jc w:val="both"/>
      </w:pPr>
    </w:p>
    <w:p w:rsidR="00D61D8D" w:rsidRDefault="00D61D8D">
      <w:pPr>
        <w:spacing w:line="360" w:lineRule="auto"/>
        <w:jc w:val="both"/>
      </w:pPr>
    </w:p>
    <w:p w:rsidR="00D61D8D" w:rsidRDefault="00D61D8D">
      <w:pPr>
        <w:spacing w:line="360" w:lineRule="auto"/>
        <w:jc w:val="both"/>
      </w:pPr>
    </w:p>
    <w:p w:rsidR="00D61D8D" w:rsidRDefault="00D61D8D">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del catorce de enero de dos mil veintiséis.</w:t>
      </w:r>
    </w:p>
    <w:p w:rsidR="007D67E3" w:rsidRDefault="007D67E3">
      <w:pPr>
        <w:spacing w:line="360" w:lineRule="auto"/>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color w:val="0D0D0D"/>
          <w:sz w:val="22"/>
          <w:szCs w:val="22"/>
        </w:rPr>
        <w:t xml:space="preserve">VISTO </w:t>
      </w:r>
      <w:r>
        <w:rPr>
          <w:rFonts w:ascii="Palatino Linotype" w:eastAsia="Palatino Linotype" w:hAnsi="Palatino Linotype" w:cs="Palatino Linotype"/>
          <w:color w:val="0D0D0D"/>
          <w:sz w:val="22"/>
          <w:szCs w:val="22"/>
        </w:rPr>
        <w:t xml:space="preserve">el expediente conformado con motivo del Recurso de Revisión </w:t>
      </w:r>
      <w:r w:rsidRPr="00DC15FB">
        <w:rPr>
          <w:rFonts w:ascii="Palatino Linotype" w:eastAsia="Palatino Linotype" w:hAnsi="Palatino Linotype" w:cs="Palatino Linotype"/>
          <w:b/>
          <w:sz w:val="22"/>
          <w:szCs w:val="22"/>
        </w:rPr>
        <w:t>13241/INFOEM/IP/RR/202</w:t>
      </w:r>
      <w:r>
        <w:rPr>
          <w:rFonts w:ascii="Palatino Linotype" w:eastAsia="Palatino Linotype" w:hAnsi="Palatino Linotype" w:cs="Palatino Linotype"/>
          <w:sz w:val="22"/>
          <w:szCs w:val="22"/>
        </w:rPr>
        <w:t xml:space="preserve">5, </w:t>
      </w:r>
      <w:r>
        <w:rPr>
          <w:rFonts w:ascii="Palatino Linotype" w:eastAsia="Palatino Linotype" w:hAnsi="Palatino Linotype" w:cs="Palatino Linotype"/>
          <w:color w:val="0D0D0D"/>
          <w:sz w:val="22"/>
          <w:szCs w:val="22"/>
        </w:rPr>
        <w:t xml:space="preserve">interpuesto por </w:t>
      </w:r>
      <w:r w:rsidR="00FC29C3" w:rsidRPr="00FC29C3">
        <w:rPr>
          <w:rFonts w:ascii="Palatino Linotype" w:eastAsia="Palatino Linotype" w:hAnsi="Palatino Linotype" w:cs="Palatino Linotype"/>
          <w:sz w:val="22"/>
          <w:szCs w:val="22"/>
          <w:highlight w:val="black"/>
        </w:rPr>
        <w:t>XXXXXXXX</w:t>
      </w:r>
      <w:r>
        <w:rPr>
          <w:rFonts w:ascii="Palatino Linotype" w:eastAsia="Palatino Linotype" w:hAnsi="Palatino Linotype" w:cs="Palatino Linotype"/>
          <w:color w:val="0D0D0D"/>
          <w:sz w:val="22"/>
          <w:szCs w:val="22"/>
        </w:rPr>
        <w:t xml:space="preserve">, en lo sucesivo </w:t>
      </w:r>
      <w:r>
        <w:rPr>
          <w:rFonts w:ascii="Palatino Linotype" w:eastAsia="Palatino Linotype" w:hAnsi="Palatino Linotype" w:cs="Palatino Linotype"/>
          <w:sz w:val="22"/>
          <w:szCs w:val="22"/>
        </w:rPr>
        <w:t xml:space="preserve">la </w:t>
      </w:r>
      <w:r>
        <w:rPr>
          <w:rFonts w:ascii="Palatino Linotype" w:eastAsia="Palatino Linotype" w:hAnsi="Palatino Linotype" w:cs="Palatino Linotype"/>
          <w:color w:val="0D0D0D"/>
          <w:sz w:val="22"/>
          <w:szCs w:val="22"/>
        </w:rPr>
        <w:t xml:space="preserve">Recurrente o Particular, en contra de la respuesta del Sujeto Obligado, </w:t>
      </w:r>
      <w:r w:rsidRPr="00DC15FB">
        <w:rPr>
          <w:rFonts w:ascii="Palatino Linotype" w:eastAsia="Palatino Linotype" w:hAnsi="Palatino Linotype" w:cs="Palatino Linotype"/>
          <w:b/>
          <w:sz w:val="22"/>
          <w:szCs w:val="22"/>
        </w:rPr>
        <w:t>Secretaría del Trabajo</w:t>
      </w:r>
      <w:r w:rsidRPr="00DC15FB">
        <w:rPr>
          <w:rFonts w:ascii="Palatino Linotype" w:eastAsia="Palatino Linotype" w:hAnsi="Palatino Linotype" w:cs="Palatino Linotype"/>
          <w:b/>
          <w:color w:val="0D0D0D"/>
          <w:sz w:val="22"/>
          <w:szCs w:val="22"/>
        </w:rPr>
        <w:t>,</w:t>
      </w:r>
      <w:r>
        <w:rPr>
          <w:rFonts w:ascii="Palatino Linotype" w:eastAsia="Palatino Linotype" w:hAnsi="Palatino Linotype" w:cs="Palatino Linotype"/>
          <w:color w:val="0D0D0D"/>
          <w:sz w:val="22"/>
          <w:szCs w:val="22"/>
        </w:rPr>
        <w:t xml:space="preserve"> a la solicitud de acceso a la información pública </w:t>
      </w:r>
      <w:r>
        <w:rPr>
          <w:rFonts w:ascii="Palatino Linotype" w:eastAsia="Palatino Linotype" w:hAnsi="Palatino Linotype" w:cs="Palatino Linotype"/>
          <w:sz w:val="22"/>
          <w:szCs w:val="22"/>
        </w:rPr>
        <w:t>00146/ST/IP/2025</w:t>
      </w:r>
      <w:r>
        <w:rPr>
          <w:rFonts w:ascii="Palatino Linotype" w:eastAsia="Palatino Linotype" w:hAnsi="Palatino Linotype" w:cs="Palatino Linotype"/>
          <w:color w:val="0D0D0D"/>
          <w:sz w:val="22"/>
          <w:szCs w:val="22"/>
        </w:rPr>
        <w:t>, se emite la presente Resolución, con base en los Antecedentes y C</w:t>
      </w:r>
      <w:r>
        <w:rPr>
          <w:rFonts w:ascii="Palatino Linotype" w:eastAsia="Palatino Linotype" w:hAnsi="Palatino Linotype" w:cs="Palatino Linotype"/>
          <w:sz w:val="22"/>
          <w:szCs w:val="22"/>
        </w:rPr>
        <w:t>on</w:t>
      </w:r>
      <w:bookmarkStart w:id="1" w:name="_GoBack"/>
      <w:bookmarkEnd w:id="1"/>
      <w:r>
        <w:rPr>
          <w:rFonts w:ascii="Palatino Linotype" w:eastAsia="Palatino Linotype" w:hAnsi="Palatino Linotype" w:cs="Palatino Linotype"/>
          <w:sz w:val="22"/>
          <w:szCs w:val="22"/>
        </w:rPr>
        <w:t>siderandos que a continuación se exponen:</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pStyle w:val="Ttulo1"/>
        <w:spacing w:before="0" w:after="0" w:line="360" w:lineRule="auto"/>
        <w:jc w:val="center"/>
        <w:rPr>
          <w:rFonts w:ascii="Palatino Linotype" w:eastAsia="Palatino Linotype" w:hAnsi="Palatino Linotype" w:cs="Palatino Linotype"/>
          <w:b/>
          <w:bCs/>
          <w:color w:val="000000"/>
          <w:sz w:val="22"/>
          <w:szCs w:val="22"/>
        </w:rPr>
      </w:pPr>
      <w:bookmarkStart w:id="2" w:name="_heading=h.klj46ekwd05z" w:colFirst="0" w:colLast="0"/>
      <w:bookmarkStart w:id="3" w:name="_Toc219391196"/>
      <w:bookmarkEnd w:id="2"/>
      <w:r>
        <w:rPr>
          <w:rFonts w:ascii="Palatino Linotype" w:eastAsia="Palatino Linotype" w:hAnsi="Palatino Linotype" w:cs="Palatino Linotype"/>
          <w:b/>
          <w:bCs/>
          <w:color w:val="000000"/>
          <w:sz w:val="22"/>
          <w:szCs w:val="22"/>
        </w:rPr>
        <w:t>A N T E C E D E N T E S</w:t>
      </w:r>
      <w:bookmarkEnd w:id="3"/>
    </w:p>
    <w:p w:rsidR="007D67E3" w:rsidRDefault="007D67E3">
      <w:pPr>
        <w:spacing w:line="360" w:lineRule="auto"/>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4" w:name="_heading=h.2bisjf45cxk" w:colFirst="0" w:colLast="0"/>
      <w:bookmarkStart w:id="5" w:name="_Toc219391197"/>
      <w:bookmarkEnd w:id="4"/>
      <w:r>
        <w:rPr>
          <w:rFonts w:ascii="Palatino Linotype" w:eastAsia="Palatino Linotype" w:hAnsi="Palatino Linotype" w:cs="Palatino Linotype"/>
          <w:b/>
          <w:bCs/>
          <w:color w:val="000000"/>
          <w:sz w:val="22"/>
          <w:szCs w:val="22"/>
        </w:rPr>
        <w:t>I. Presentación de la solicitud de información</w:t>
      </w:r>
      <w:bookmarkEnd w:id="5"/>
    </w:p>
    <w:p w:rsidR="007D67E3" w:rsidRDefault="007D67E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7D67E3" w:rsidRDefault="008D7E22">
      <w:pPr>
        <w:tabs>
          <w:tab w:val="left" w:pos="5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fecha seis de noviembre de dos mil veinticinco, el Particular presentó una solicitud de acceso a la información pública, a través del SAIMEX, ante la Secretaría del Trabajo, mediante la cual requirió lo siguiente:</w:t>
      </w:r>
    </w:p>
    <w:p w:rsidR="007D67E3" w:rsidRDefault="007D67E3">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b/>
          <w:bCs/>
          <w:color w:val="000000"/>
        </w:rPr>
      </w:pPr>
    </w:p>
    <w:p w:rsidR="007D67E3" w:rsidRDefault="008D7E22">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rsidR="007D67E3" w:rsidRDefault="008D7E22">
      <w:pPr>
        <w:spacing w:line="360" w:lineRule="auto"/>
        <w:ind w:left="567" w:right="567"/>
        <w:jc w:val="both"/>
        <w:rPr>
          <w:rFonts w:ascii="Palatino Linotype" w:eastAsia="Palatino Linotype" w:hAnsi="Palatino Linotype" w:cs="Palatino Linotype"/>
          <w:i/>
          <w:iCs/>
        </w:rPr>
      </w:pPr>
      <w:proofErr w:type="gramStart"/>
      <w:r>
        <w:rPr>
          <w:rFonts w:ascii="Palatino Linotype" w:eastAsia="Palatino Linotype" w:hAnsi="Palatino Linotype" w:cs="Palatino Linotype"/>
          <w:i/>
          <w:iCs/>
        </w:rPr>
        <w:t>recibos</w:t>
      </w:r>
      <w:proofErr w:type="gramEnd"/>
      <w:r>
        <w:rPr>
          <w:rFonts w:ascii="Palatino Linotype" w:eastAsia="Palatino Linotype" w:hAnsi="Palatino Linotype" w:cs="Palatino Linotype"/>
          <w:i/>
          <w:iCs/>
        </w:rPr>
        <w:t xml:space="preserve"> de nómina de la primera quincena de octubre.” (Sic).</w:t>
      </w:r>
    </w:p>
    <w:p w:rsidR="007D67E3" w:rsidRDefault="008D7E2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color w:val="000000"/>
        </w:rPr>
        <w:tab/>
      </w:r>
    </w:p>
    <w:p w:rsidR="007D67E3" w:rsidRDefault="008D7E22">
      <w:pPr>
        <w:tabs>
          <w:tab w:val="left" w:pos="4667"/>
        </w:tabs>
        <w:spacing w:line="360" w:lineRule="auto"/>
        <w:ind w:left="567" w:right="567"/>
        <w:jc w:val="both"/>
        <w:rPr>
          <w:rFonts w:ascii="Palatino Linotype" w:eastAsia="Palatino Linotype" w:hAnsi="Palatino Linotype" w:cs="Palatino Linotype"/>
          <w:i/>
          <w:iCs/>
        </w:rPr>
      </w:pPr>
      <w:bookmarkStart w:id="6" w:name="_heading=h.kxv932q4x3f6" w:colFirst="0" w:colLast="0"/>
      <w:bookmarkEnd w:id="6"/>
      <w:r>
        <w:rPr>
          <w:rFonts w:ascii="Palatino Linotype" w:eastAsia="Palatino Linotype" w:hAnsi="Palatino Linotype" w:cs="Palatino Linotype"/>
          <w:b/>
          <w:bCs/>
          <w:i/>
          <w:iCs/>
        </w:rPr>
        <w:t xml:space="preserve">Modalidad de Entrega: </w:t>
      </w:r>
      <w:r>
        <w:rPr>
          <w:rFonts w:ascii="Palatino Linotype" w:eastAsia="Palatino Linotype" w:hAnsi="Palatino Linotype" w:cs="Palatino Linotype"/>
          <w:i/>
          <w:iCs/>
        </w:rPr>
        <w:t>A través del SAIMEX.</w:t>
      </w:r>
    </w:p>
    <w:p w:rsidR="007D67E3" w:rsidRDefault="007D67E3">
      <w:pPr>
        <w:tabs>
          <w:tab w:val="left" w:pos="4667"/>
        </w:tabs>
        <w:spacing w:line="360" w:lineRule="auto"/>
        <w:ind w:left="567" w:right="567"/>
        <w:jc w:val="both"/>
        <w:rPr>
          <w:rFonts w:ascii="Palatino Linotype" w:eastAsia="Palatino Linotype" w:hAnsi="Palatino Linotype" w:cs="Palatino Linotype"/>
          <w:i/>
          <w:iCs/>
        </w:rPr>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7" w:name="_heading=h.tql3hm881x7r" w:colFirst="0" w:colLast="0"/>
      <w:bookmarkStart w:id="8" w:name="_Toc219391198"/>
      <w:bookmarkEnd w:id="7"/>
      <w:r>
        <w:rPr>
          <w:rFonts w:ascii="Palatino Linotype" w:eastAsia="Palatino Linotype" w:hAnsi="Palatino Linotype" w:cs="Palatino Linotype"/>
          <w:b/>
          <w:bCs/>
          <w:color w:val="000000"/>
          <w:sz w:val="22"/>
          <w:szCs w:val="22"/>
        </w:rPr>
        <w:t>II. Respuesta del Sujeto Obligado</w:t>
      </w:r>
      <w:bookmarkEnd w:id="8"/>
    </w:p>
    <w:p w:rsidR="007D67E3" w:rsidRDefault="008D7E22">
      <w:pPr>
        <w:tabs>
          <w:tab w:val="left" w:pos="4667"/>
        </w:tabs>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7D67E3" w:rsidRDefault="008D7E22">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 fecha veinte de noviembre de dos mil veinticinco, el Sujeto Obligado dio respuesta a la solicitud de acceso a la información a través del Sistema de Acceso a la Información Mexiquense (SAIMEX), a través de la digitalización de los documentos siguientes:</w:t>
      </w:r>
    </w:p>
    <w:p w:rsidR="007D67E3" w:rsidRDefault="007D67E3">
      <w:pPr>
        <w:tabs>
          <w:tab w:val="left" w:pos="4667"/>
        </w:tabs>
        <w:spacing w:line="360" w:lineRule="auto"/>
        <w:jc w:val="both"/>
        <w:rPr>
          <w:rFonts w:ascii="Palatino Linotype" w:eastAsia="Palatino Linotype" w:hAnsi="Palatino Linotype" w:cs="Palatino Linotype"/>
          <w:sz w:val="22"/>
          <w:szCs w:val="22"/>
        </w:rPr>
      </w:pPr>
    </w:p>
    <w:p w:rsidR="007D67E3" w:rsidRDefault="008D7E22">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 Oficio número 2090000080000000S/913/2025 de fecha de su presentación, suscrito por el Titular de la Unidad de Transparencia, dirigido al Solicitante, por medio del cual manifiesta que daba contestación a la solicitud.</w:t>
      </w:r>
    </w:p>
    <w:p w:rsidR="007D67E3" w:rsidRDefault="007D67E3">
      <w:pPr>
        <w:tabs>
          <w:tab w:val="left" w:pos="4667"/>
        </w:tabs>
        <w:spacing w:line="360" w:lineRule="auto"/>
        <w:jc w:val="both"/>
        <w:rPr>
          <w:rFonts w:ascii="Palatino Linotype" w:eastAsia="Palatino Linotype" w:hAnsi="Palatino Linotype" w:cs="Palatino Linotype"/>
          <w:sz w:val="22"/>
          <w:szCs w:val="22"/>
        </w:rPr>
      </w:pPr>
    </w:p>
    <w:p w:rsidR="007D67E3" w:rsidRDefault="008D7E22">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 Oficio número 20900004000S/0885/2025, del dieciocho de noviembre de la presente anualidad, suscrito por la Habilitada de la Subdirección de Organización y Personal, dirigido al Titular de la Unidad de Transparencia, a través del cual manifiesta y expone lo siguiente:</w:t>
      </w:r>
    </w:p>
    <w:p w:rsidR="007D67E3" w:rsidRDefault="007D67E3">
      <w:pPr>
        <w:tabs>
          <w:tab w:val="left" w:pos="4667"/>
        </w:tabs>
        <w:spacing w:line="360" w:lineRule="auto"/>
        <w:jc w:val="both"/>
        <w:rPr>
          <w:rFonts w:ascii="Palatino Linotype" w:eastAsia="Palatino Linotype" w:hAnsi="Palatino Linotype" w:cs="Palatino Linotype"/>
          <w:sz w:val="22"/>
          <w:szCs w:val="22"/>
        </w:rPr>
      </w:pPr>
    </w:p>
    <w:p w:rsidR="007D67E3" w:rsidRDefault="008D7E2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7D67E3" w:rsidRDefault="008D7E2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…me permito comentar que después de realizar una consulta en los archivos y bases de datos bajo resguardo de la subdirección, no se localizó la información solicitada, lo anterior derivado de que el pago de nómina es un documento personal y confidencial que únicamente tiene acceso a cada persona servidora pública a través de su usuario y contraseña propio, lo anterior en términos del procedimiento 081 “pago de nómina a servidores públicos”</w:t>
      </w:r>
    </w:p>
    <w:p w:rsidR="007D67E3" w:rsidRDefault="008D7E22">
      <w:pPr>
        <w:tabs>
          <w:tab w:val="left" w:pos="4667"/>
        </w:tabs>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7D67E3" w:rsidRDefault="007D67E3">
      <w:pPr>
        <w:tabs>
          <w:tab w:val="left" w:pos="4667"/>
        </w:tabs>
        <w:spacing w:line="360" w:lineRule="auto"/>
        <w:ind w:left="567" w:right="567"/>
        <w:jc w:val="both"/>
        <w:rPr>
          <w:rFonts w:ascii="Palatino Linotype" w:eastAsia="Palatino Linotype" w:hAnsi="Palatino Linotype" w:cs="Palatino Linotype"/>
          <w:i/>
          <w:iCs/>
        </w:rPr>
      </w:pPr>
    </w:p>
    <w:p w:rsidR="007D67E3" w:rsidRDefault="008D7E22">
      <w:pPr>
        <w:tabs>
          <w:tab w:val="left" w:pos="4667"/>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iii) Adjunta el documento denominado Procedimiento 081 “Pago de Nómina a Servidores Públicos”.</w:t>
      </w:r>
    </w:p>
    <w:p w:rsidR="007D67E3" w:rsidRDefault="007D67E3">
      <w:pPr>
        <w:tabs>
          <w:tab w:val="left" w:pos="4667"/>
        </w:tabs>
        <w:spacing w:line="360" w:lineRule="auto"/>
        <w:jc w:val="both"/>
        <w:rPr>
          <w:rFonts w:ascii="Palatino Linotype" w:eastAsia="Palatino Linotype" w:hAnsi="Palatino Linotype" w:cs="Palatino Linotype"/>
          <w:sz w:val="22"/>
          <w:szCs w:val="22"/>
        </w:rPr>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9" w:name="_heading=h.6djfp87gui6" w:colFirst="0" w:colLast="0"/>
      <w:bookmarkStart w:id="10" w:name="_Toc219391199"/>
      <w:bookmarkEnd w:id="9"/>
      <w:r>
        <w:rPr>
          <w:rFonts w:ascii="Palatino Linotype" w:eastAsia="Palatino Linotype" w:hAnsi="Palatino Linotype" w:cs="Palatino Linotype"/>
          <w:b/>
          <w:bCs/>
          <w:color w:val="000000"/>
          <w:sz w:val="22"/>
          <w:szCs w:val="22"/>
        </w:rPr>
        <w:t>III. Interposición del Recurso de Revisión</w:t>
      </w:r>
      <w:bookmarkEnd w:id="10"/>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Con fecha veinticuatro de noviembre de dos mil veinticinco, se recibió en este Instituto, a través del SAIMEX, el Recurso de Revisión interpuesto por la parte Recurrente, en contra de la respuesta de la Secretaria del Trabajo, en los siguientes términos:</w:t>
      </w: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rsidR="007D67E3" w:rsidRDefault="008D7E2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“"no me dieron la </w:t>
      </w:r>
      <w:proofErr w:type="spellStart"/>
      <w:r>
        <w:rPr>
          <w:rFonts w:ascii="Palatino Linotype" w:eastAsia="Palatino Linotype" w:hAnsi="Palatino Linotype" w:cs="Palatino Linotype"/>
          <w:i/>
          <w:iCs/>
        </w:rPr>
        <w:t>informacion</w:t>
      </w:r>
      <w:proofErr w:type="spellEnd"/>
      <w:r>
        <w:rPr>
          <w:rFonts w:ascii="Palatino Linotype" w:eastAsia="Palatino Linotype" w:hAnsi="Palatino Linotype" w:cs="Palatino Linotype"/>
          <w:i/>
          <w:iCs/>
        </w:rPr>
        <w:t xml:space="preserve"> solicitada</w:t>
      </w: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(Sic)</w:t>
      </w:r>
    </w:p>
    <w:p w:rsidR="007D67E3" w:rsidRDefault="007D67E3">
      <w:pPr>
        <w:spacing w:line="360" w:lineRule="auto"/>
        <w:ind w:left="567" w:right="567"/>
        <w:jc w:val="both"/>
        <w:rPr>
          <w:rFonts w:ascii="Palatino Linotype" w:eastAsia="Palatino Linotype" w:hAnsi="Palatino Linotype" w:cs="Palatino Linotype"/>
          <w:i/>
          <w:iCs/>
        </w:rPr>
      </w:pPr>
    </w:p>
    <w:p w:rsidR="007D67E3" w:rsidRDefault="008D7E22">
      <w:pPr>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7D67E3" w:rsidRDefault="008D7E22">
      <w:pPr>
        <w:spacing w:line="360" w:lineRule="auto"/>
        <w:ind w:left="567"/>
        <w:jc w:val="both"/>
        <w:rPr>
          <w:rFonts w:ascii="Palatino Linotype" w:eastAsia="Palatino Linotype" w:hAnsi="Palatino Linotype" w:cs="Palatino Linotype"/>
          <w:i/>
          <w:iCs/>
        </w:rPr>
      </w:pPr>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xml:space="preserve">no me entregaron todo lo que solicite, no me dieron los recibos de </w:t>
      </w:r>
      <w:proofErr w:type="spellStart"/>
      <w:r>
        <w:rPr>
          <w:rFonts w:ascii="Palatino Linotype" w:eastAsia="Palatino Linotype" w:hAnsi="Palatino Linotype" w:cs="Palatino Linotype"/>
          <w:i/>
          <w:iCs/>
        </w:rPr>
        <w:t>nomina</w:t>
      </w:r>
      <w:proofErr w:type="spellEnd"/>
      <w:r>
        <w:rPr>
          <w:rFonts w:ascii="Palatino Linotype" w:eastAsia="Palatino Linotype" w:hAnsi="Palatino Linotype" w:cs="Palatino Linotype"/>
          <w:i/>
          <w:iCs/>
          <w:color w:val="000000"/>
        </w:rPr>
        <w:t>.</w:t>
      </w:r>
      <w:r>
        <w:rPr>
          <w:rFonts w:ascii="Palatino Linotype" w:eastAsia="Palatino Linotype" w:hAnsi="Palatino Linotype" w:cs="Palatino Linotype"/>
          <w:i/>
          <w:iCs/>
        </w:rPr>
        <w:t>” (Sic)</w:t>
      </w:r>
    </w:p>
    <w:p w:rsidR="007D67E3" w:rsidRDefault="007D67E3">
      <w:pPr>
        <w:spacing w:line="360" w:lineRule="auto"/>
        <w:ind w:right="567"/>
        <w:jc w:val="both"/>
        <w:rPr>
          <w:rFonts w:ascii="Palatino Linotype" w:eastAsia="Palatino Linotype" w:hAnsi="Palatino Linotype" w:cs="Palatino Linotype"/>
          <w:i/>
          <w:iCs/>
        </w:rPr>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11" w:name="_heading=h.f4w71nsq2bv8" w:colFirst="0" w:colLast="0"/>
      <w:bookmarkStart w:id="12" w:name="_Toc219391200"/>
      <w:bookmarkEnd w:id="11"/>
      <w:r>
        <w:rPr>
          <w:rFonts w:ascii="Palatino Linotype" w:eastAsia="Palatino Linotype" w:hAnsi="Palatino Linotype" w:cs="Palatino Linotype"/>
          <w:b/>
          <w:bCs/>
          <w:color w:val="000000"/>
          <w:sz w:val="22"/>
          <w:szCs w:val="22"/>
        </w:rPr>
        <w:t>IV. Trámite del Recurso de Revisión ante este Instituto</w:t>
      </w:r>
      <w:bookmarkEnd w:id="12"/>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veinticuatro de noviembre de dos mil veinticinco, el SAIMEX, asignó el número de expediente </w:t>
      </w:r>
      <w:r>
        <w:rPr>
          <w:rFonts w:ascii="Palatino Linotype" w:eastAsia="Palatino Linotype" w:hAnsi="Palatino Linotype" w:cs="Palatino Linotype"/>
          <w:b/>
          <w:bCs/>
          <w:sz w:val="22"/>
          <w:szCs w:val="22"/>
        </w:rPr>
        <w:t>13241/INFOEM/IP/RR/2025</w:t>
      </w:r>
      <w:r>
        <w:rPr>
          <w:rFonts w:ascii="Palatino Linotype" w:eastAsia="Palatino Linotype" w:hAnsi="Palatino Linotype" w:cs="Palatino Linotype"/>
          <w:sz w:val="22"/>
          <w:szCs w:val="22"/>
        </w:rPr>
        <w:t xml:space="preserve"> al medio de impugnación que nos ocupa, con base en el sistema aprobado por el Pleno de este Organismo Garante y lo turnó al Comisionado </w:t>
      </w:r>
      <w:r>
        <w:rPr>
          <w:rFonts w:ascii="Palatino Linotype" w:eastAsia="Palatino Linotype" w:hAnsi="Palatino Linotype" w:cs="Palatino Linotype"/>
          <w:b/>
          <w:bCs/>
          <w:sz w:val="22"/>
          <w:szCs w:val="22"/>
        </w:rPr>
        <w:t>Luis Gustavo Parra Noriega</w:t>
      </w:r>
      <w:r>
        <w:rPr>
          <w:rFonts w:ascii="Palatino Linotype" w:eastAsia="Palatino Linotype" w:hAnsi="Palatino Linotype" w:cs="Palatino Linotype"/>
          <w:sz w:val="22"/>
          <w:szCs w:val="22"/>
        </w:rPr>
        <w:t>, para los efectos del artículo 185, fracción I, de la Ley de Transparencia y Acceso a la Información Pública del Estado de México y Municipios.</w:t>
      </w: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veintiocho de noviembre 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lastRenderedPageBreak/>
        <w:t xml:space="preserve">c) Informe Justificado. </w:t>
      </w:r>
      <w:r>
        <w:rPr>
          <w:rFonts w:ascii="Palatino Linotype" w:eastAsia="Palatino Linotype" w:hAnsi="Palatino Linotype" w:cs="Palatino Linotype"/>
          <w:sz w:val="22"/>
          <w:szCs w:val="22"/>
        </w:rPr>
        <w:t>El nueve de diciembre de dos mil veinticinco, se recibió, a través del SAIMEX, el informe justificado</w:t>
      </w:r>
      <w:r>
        <w:rPr>
          <w:rFonts w:ascii="Palatino Linotype" w:eastAsia="Palatino Linotype" w:hAnsi="Palatino Linotype" w:cs="Palatino Linotype"/>
          <w:color w:val="0D0D0D"/>
          <w:sz w:val="22"/>
          <w:szCs w:val="22"/>
        </w:rPr>
        <w:t xml:space="preserve"> dentro del cual ratifica su respuesta inicial y </w:t>
      </w:r>
      <w:r>
        <w:rPr>
          <w:rFonts w:ascii="Palatino Linotype" w:eastAsia="Palatino Linotype" w:hAnsi="Palatino Linotype" w:cs="Palatino Linotype"/>
          <w:sz w:val="22"/>
          <w:szCs w:val="22"/>
        </w:rPr>
        <w:t>por medio de la digitalización del oficio sin número de fecha de su presentación, suscrito por el Titular de la Unidad de Transparencia, dirigido a los Comisionados, través del cual manifiesta y expone esencialmente lo siguiente:</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“…De igual manera, esta Unidad de Transparencia de la Secretaria del Trabajo, en cumplimiento a las obligaciones comunes se hace del conocimiento que en la plataforma IPOMEX 4.0 se encuentra publicado el directorio de todo el personal adscrito a la Secretaria del Trabajo, y las remuneraciones que perciben cada uno y se podrán consultar en las siguientes direcciones URL:</w:t>
      </w:r>
    </w:p>
    <w:p w:rsidR="007D67E3" w:rsidRDefault="007D67E3">
      <w:pPr>
        <w:spacing w:line="360" w:lineRule="auto"/>
        <w:ind w:left="567" w:right="567"/>
        <w:jc w:val="both"/>
        <w:rPr>
          <w:rFonts w:ascii="Palatino Linotype" w:eastAsia="Palatino Linotype" w:hAnsi="Palatino Linotype" w:cs="Palatino Linotype"/>
          <w:i/>
          <w:iCs/>
        </w:rPr>
      </w:pPr>
    </w:p>
    <w:p w:rsidR="007D67E3" w:rsidRDefault="008D7E2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Directorio de los Servidores públicos.</w:t>
      </w:r>
    </w:p>
    <w:p w:rsidR="007D67E3" w:rsidRDefault="00C97EC7">
      <w:pPr>
        <w:numPr>
          <w:ilvl w:val="0"/>
          <w:numId w:val="2"/>
        </w:num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hyperlink r:id="rId9" w:anchor="/info-fraccion/10/0">
        <w:r w:rsidR="008D7E22">
          <w:rPr>
            <w:rFonts w:ascii="Palatino Linotype" w:eastAsia="Palatino Linotype" w:hAnsi="Palatino Linotype" w:cs="Palatino Linotype"/>
            <w:i/>
            <w:iCs/>
            <w:color w:val="0563C1"/>
            <w:u w:val="single"/>
          </w:rPr>
          <w:t>https://ipomex.org.mx/ipomex/#/info-fraccion/10/0</w:t>
        </w:r>
      </w:hyperlink>
      <w:r w:rsidR="008D7E22">
        <w:rPr>
          <w:rFonts w:ascii="Palatino Linotype" w:eastAsia="Palatino Linotype" w:hAnsi="Palatino Linotype" w:cs="Palatino Linotype"/>
          <w:i/>
          <w:iCs/>
          <w:color w:val="000000"/>
        </w:rPr>
        <w:t>? y</w:t>
      </w:r>
    </w:p>
    <w:p w:rsidR="007D67E3" w:rsidRDefault="008D7E2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Remuneraciones</w:t>
      </w:r>
    </w:p>
    <w:p w:rsidR="007D67E3" w:rsidRDefault="00C97EC7">
      <w:pPr>
        <w:numPr>
          <w:ilvl w:val="0"/>
          <w:numId w:val="2"/>
        </w:numPr>
        <w:pBdr>
          <w:top w:val="nil"/>
          <w:left w:val="nil"/>
          <w:bottom w:val="nil"/>
          <w:right w:val="nil"/>
          <w:between w:val="nil"/>
        </w:pBdr>
        <w:spacing w:line="360" w:lineRule="auto"/>
        <w:ind w:right="567"/>
        <w:jc w:val="both"/>
        <w:rPr>
          <w:rFonts w:ascii="Palatino Linotype" w:eastAsia="Palatino Linotype" w:hAnsi="Palatino Linotype" w:cs="Palatino Linotype"/>
          <w:i/>
          <w:iCs/>
          <w:color w:val="000000"/>
        </w:rPr>
      </w:pPr>
      <w:hyperlink r:id="rId10" w:anchor="/info-fraccion/11/0">
        <w:r w:rsidR="008D7E22">
          <w:rPr>
            <w:rFonts w:ascii="Palatino Linotype" w:eastAsia="Palatino Linotype" w:hAnsi="Palatino Linotype" w:cs="Palatino Linotype"/>
            <w:i/>
            <w:iCs/>
            <w:color w:val="0563C1"/>
            <w:u w:val="single"/>
          </w:rPr>
          <w:t>https://ipomex.org.mx/ipomex/#/info-fraccion/11/0</w:t>
        </w:r>
      </w:hyperlink>
      <w:proofErr w:type="gramStart"/>
      <w:r w:rsidR="008D7E22">
        <w:rPr>
          <w:rFonts w:ascii="Palatino Linotype" w:eastAsia="Palatino Linotype" w:hAnsi="Palatino Linotype" w:cs="Palatino Linotype"/>
          <w:i/>
          <w:iCs/>
          <w:color w:val="000000"/>
        </w:rPr>
        <w:t>?</w:t>
      </w:r>
      <w:proofErr w:type="gramEnd"/>
      <w:r w:rsidR="008D7E22">
        <w:rPr>
          <w:rFonts w:ascii="Palatino Linotype" w:eastAsia="Palatino Linotype" w:hAnsi="Palatino Linotype" w:cs="Palatino Linotype"/>
          <w:i/>
          <w:iCs/>
          <w:color w:val="000000"/>
        </w:rPr>
        <w:t xml:space="preserve"> </w:t>
      </w:r>
    </w:p>
    <w:p w:rsidR="007D67E3" w:rsidRDefault="008D7E22">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w:t>
      </w:r>
    </w:p>
    <w:p w:rsidR="007D67E3" w:rsidRDefault="007D67E3">
      <w:pPr>
        <w:spacing w:line="360" w:lineRule="auto"/>
        <w:jc w:val="both"/>
        <w:rPr>
          <w:rFonts w:ascii="Palatino Linotype" w:eastAsia="Palatino Linotype" w:hAnsi="Palatino Linotype" w:cs="Palatino Linotype"/>
          <w:sz w:val="22"/>
          <w:szCs w:val="22"/>
        </w:rPr>
      </w:pPr>
      <w:bookmarkStart w:id="13" w:name="_heading=h.7fdrmzv8qwxb" w:colFirst="0" w:colLast="0"/>
      <w:bookmarkEnd w:id="13"/>
    </w:p>
    <w:p w:rsidR="007D67E3" w:rsidRDefault="008D7E22">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sz w:val="22"/>
          <w:szCs w:val="22"/>
        </w:rPr>
        <w:t xml:space="preserve">d) Vista del informe justificado. </w:t>
      </w:r>
      <w:r>
        <w:rPr>
          <w:rFonts w:ascii="Palatino Linotype" w:eastAsia="Palatino Linotype" w:hAnsi="Palatino Linotype" w:cs="Palatino Linotype"/>
          <w:sz w:val="22"/>
          <w:szCs w:val="22"/>
        </w:rPr>
        <w:t>El dieciocho de diciembre de dos mil veinticinco, se dictó acuerdo mediante el cual se puso a la vista del Particular, el Informe Justificado entregado por el Sujeto Obligado, el cual fue notificado, a través del SAIMEX, el mismo día.</w:t>
      </w:r>
      <w:r>
        <w:rPr>
          <w:rFonts w:ascii="Palatino Linotype" w:eastAsia="Palatino Linotype" w:hAnsi="Palatino Linotype" w:cs="Palatino Linotype"/>
          <w:b/>
          <w:bCs/>
          <w:sz w:val="22"/>
          <w:szCs w:val="22"/>
        </w:rPr>
        <w:t xml:space="preserve"> Cabe mencionar que el Recurrente fue omiso en emitir alguna manifestación o alegato.</w:t>
      </w: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e) Cierre de instrucción.</w:t>
      </w:r>
      <w:r>
        <w:rPr>
          <w:rFonts w:ascii="Palatino Linotype" w:eastAsia="Palatino Linotype" w:hAnsi="Palatino Linotype" w:cs="Palatino Linotype"/>
          <w:sz w:val="22"/>
          <w:szCs w:val="22"/>
        </w:rPr>
        <w:t xml:space="preserve"> El quince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w:t>
      </w:r>
      <w:r>
        <w:rPr>
          <w:rFonts w:ascii="Palatino Linotype" w:eastAsia="Palatino Linotype" w:hAnsi="Palatino Linotype" w:cs="Palatino Linotype"/>
          <w:sz w:val="22"/>
          <w:szCs w:val="22"/>
        </w:rPr>
        <w:lastRenderedPageBreak/>
        <w:t>Información Pública del Estado de México y Municipios, acto que fue notificado a las partes, mediante el SAIMEX, el mismo día.</w:t>
      </w: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pStyle w:val="Ttulo1"/>
        <w:spacing w:before="0" w:after="0" w:line="360" w:lineRule="auto"/>
        <w:jc w:val="center"/>
        <w:rPr>
          <w:rFonts w:ascii="Palatino Linotype" w:eastAsia="Palatino Linotype" w:hAnsi="Palatino Linotype" w:cs="Palatino Linotype"/>
          <w:b/>
          <w:bCs/>
          <w:color w:val="000000"/>
          <w:sz w:val="22"/>
          <w:szCs w:val="22"/>
        </w:rPr>
      </w:pPr>
      <w:bookmarkStart w:id="14" w:name="_heading=h.71aodgc6tte" w:colFirst="0" w:colLast="0"/>
      <w:bookmarkStart w:id="15" w:name="_Toc219391201"/>
      <w:bookmarkEnd w:id="14"/>
      <w:r>
        <w:rPr>
          <w:rFonts w:ascii="Palatino Linotype" w:eastAsia="Palatino Linotype" w:hAnsi="Palatino Linotype" w:cs="Palatino Linotype"/>
          <w:b/>
          <w:bCs/>
          <w:color w:val="000000"/>
          <w:sz w:val="22"/>
          <w:szCs w:val="22"/>
        </w:rPr>
        <w:t>C O N S I D E R A N D O S</w:t>
      </w:r>
      <w:bookmarkEnd w:id="15"/>
    </w:p>
    <w:p w:rsidR="007D67E3" w:rsidRDefault="007D67E3">
      <w:pPr>
        <w:rPr>
          <w:sz w:val="22"/>
          <w:szCs w:val="22"/>
        </w:rPr>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16" w:name="_heading=h.r7dzyo2tavnd" w:colFirst="0" w:colLast="0"/>
      <w:bookmarkStart w:id="17" w:name="_Toc219391202"/>
      <w:bookmarkEnd w:id="16"/>
      <w:r>
        <w:rPr>
          <w:rFonts w:ascii="Palatino Linotype" w:eastAsia="Palatino Linotype" w:hAnsi="Palatino Linotype" w:cs="Palatino Linotype"/>
          <w:b/>
          <w:bCs/>
          <w:color w:val="000000"/>
          <w:sz w:val="22"/>
          <w:szCs w:val="22"/>
        </w:rPr>
        <w:t>PRIMERO. Competencia</w:t>
      </w:r>
      <w:bookmarkEnd w:id="17"/>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7D67E3" w:rsidRDefault="007D67E3">
      <w:pPr>
        <w:pStyle w:val="Ttulo2"/>
        <w:spacing w:before="0" w:after="0" w:line="360" w:lineRule="auto"/>
        <w:rPr>
          <w:rFonts w:ascii="Palatino Linotype" w:eastAsia="Palatino Linotype" w:hAnsi="Palatino Linotype" w:cs="Palatino Linotype"/>
          <w:b/>
          <w:bCs/>
          <w:color w:val="000000"/>
          <w:sz w:val="22"/>
          <w:szCs w:val="22"/>
        </w:rPr>
      </w:pPr>
      <w:bookmarkStart w:id="18" w:name="_heading=h.1ie47h5hwc92" w:colFirst="0" w:colLast="0"/>
      <w:bookmarkEnd w:id="18"/>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19" w:name="_Toc219391203"/>
      <w:r>
        <w:rPr>
          <w:rFonts w:ascii="Palatino Linotype" w:eastAsia="Palatino Linotype" w:hAnsi="Palatino Linotype" w:cs="Palatino Linotype"/>
          <w:b/>
          <w:bCs/>
          <w:color w:val="000000"/>
          <w:sz w:val="22"/>
          <w:szCs w:val="22"/>
        </w:rPr>
        <w:t>SEGUNDO. Causales de improcedencia y sobreseimiento</w:t>
      </w:r>
      <w:bookmarkEnd w:id="19"/>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 xml:space="preserve">De las constancias que forma parte del Recurso de Revisión que se analiza, se advierte que previo al estudio del fondo de la </w:t>
      </w:r>
      <w:proofErr w:type="spellStart"/>
      <w:r>
        <w:rPr>
          <w:rFonts w:ascii="Palatino Linotype" w:eastAsia="Palatino Linotype" w:hAnsi="Palatino Linotype" w:cs="Palatino Linotype"/>
          <w:i/>
          <w:iCs/>
          <w:sz w:val="22"/>
          <w:szCs w:val="22"/>
        </w:rPr>
        <w:t>litis</w:t>
      </w:r>
      <w:proofErr w:type="spellEnd"/>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7D67E3" w:rsidRDefault="007D67E3">
      <w:pPr>
        <w:spacing w:line="360" w:lineRule="auto"/>
        <w:jc w:val="both"/>
        <w:rPr>
          <w:rFonts w:ascii="Palatino Linotype" w:eastAsia="Palatino Linotype" w:hAnsi="Palatino Linotype" w:cs="Palatino Linotype"/>
          <w:b/>
          <w:bCs/>
          <w:color w:val="000000"/>
          <w:sz w:val="22"/>
          <w:szCs w:val="22"/>
        </w:rPr>
      </w:pPr>
    </w:p>
    <w:p w:rsidR="007D67E3" w:rsidRDefault="008D7E2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Asimismo, se actualiza la causal de procedencia del Recurso de Revisión establecida en el artículo 179, fracción I, de la Ley de Transparencia y Acceso a la Información Pública del Estado de México y Municipios, referente a la negativa de la información.</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Causales de sobreseimiento</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7D67E3" w:rsidRDefault="007D67E3">
      <w:pPr>
        <w:tabs>
          <w:tab w:val="left" w:pos="4962"/>
        </w:tabs>
        <w:spacing w:line="360" w:lineRule="auto"/>
        <w:jc w:val="both"/>
        <w:rPr>
          <w:rFonts w:ascii="Palatino Linotype" w:eastAsia="Palatino Linotype" w:hAnsi="Palatino Linotype" w:cs="Palatino Linotype"/>
          <w:sz w:val="22"/>
          <w:szCs w:val="22"/>
        </w:rPr>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20" w:name="_heading=h.7w4tagcmbh9a" w:colFirst="0" w:colLast="0"/>
      <w:bookmarkStart w:id="21" w:name="_Toc219391204"/>
      <w:bookmarkEnd w:id="20"/>
      <w:r>
        <w:rPr>
          <w:rFonts w:ascii="Palatino Linotype" w:eastAsia="Palatino Linotype" w:hAnsi="Palatino Linotype" w:cs="Palatino Linotype"/>
          <w:b/>
          <w:bCs/>
          <w:color w:val="000000"/>
          <w:sz w:val="22"/>
          <w:szCs w:val="22"/>
        </w:rPr>
        <w:t>TERCERO. Determinación de la Controversia</w:t>
      </w:r>
      <w:bookmarkEnd w:id="21"/>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bookmarkStart w:id="22" w:name="_heading=h.an1321r34f0" w:colFirst="0" w:colLast="0"/>
      <w:bookmarkEnd w:id="22"/>
      <w:r>
        <w:rPr>
          <w:rFonts w:ascii="Palatino Linotype" w:eastAsia="Palatino Linotype" w:hAnsi="Palatino Linotype" w:cs="Palatino Linotype"/>
          <w:sz w:val="22"/>
          <w:szCs w:val="22"/>
        </w:rPr>
        <w:t>Una vez realizado el estudio de las constancias que integran el expediente en que se actúa, se desprende que el Particular requirió los recibos de nómina de todo el personal adscrito a la Secretaría del Trabajo, correspondientes a la primera quincena de octubre de dos mil veinticinco.</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En respuesta, el Sujeto Obligado a través de la Subdirección de Organización y Personal, señaló que </w:t>
      </w:r>
      <w:r>
        <w:rPr>
          <w:rFonts w:ascii="Palatino Linotype" w:eastAsia="Palatino Linotype" w:hAnsi="Palatino Linotype" w:cs="Palatino Linotype"/>
          <w:color w:val="000000"/>
          <w:sz w:val="22"/>
          <w:szCs w:val="22"/>
        </w:rPr>
        <w:t xml:space="preserve">refirió que las documentales, son generadas por cada servidor público, por lo </w:t>
      </w:r>
      <w:r>
        <w:rPr>
          <w:rFonts w:ascii="Palatino Linotype" w:eastAsia="Palatino Linotype" w:hAnsi="Palatino Linotype" w:cs="Palatino Linotype"/>
          <w:color w:val="000000"/>
          <w:sz w:val="22"/>
          <w:szCs w:val="22"/>
        </w:rPr>
        <w:lastRenderedPageBreak/>
        <w:t>tanto en los archivos de la Secretaría no obra documental alguna susceptible de relacionar con su pretensión, en el entendido que cada servidor público cuenta con usuario y contraseña único para ingresar al sistema, aun</w:t>
      </w:r>
      <w:r>
        <w:rPr>
          <w:rFonts w:ascii="Palatino Linotype" w:eastAsia="Palatino Linotype" w:hAnsi="Palatino Linotype" w:cs="Palatino Linotype"/>
          <w:sz w:val="22"/>
          <w:szCs w:val="22"/>
        </w:rPr>
        <w:t>ado a que adjunto dicho procedimiento que realiza el servidor público para acceder a dicha documental</w:t>
      </w:r>
      <w:r>
        <w:rPr>
          <w:rFonts w:ascii="Palatino Linotype" w:eastAsia="Palatino Linotype" w:hAnsi="Palatino Linotype" w:cs="Palatino Linotype"/>
          <w:color w:val="000000"/>
          <w:sz w:val="22"/>
          <w:szCs w:val="22"/>
        </w:rPr>
        <w:t xml:space="preserve">; ante dicha circunstancia, el Particular se inconformó de la negativa de la información, lo cual actualiza la causal de procedencia prevista en la fracción I, del artículo 179 de la Ley de Transparencia y Acceso a la Información Pública del Estado de México y Municipios. </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las cosas, admitido y notificado el recurso de revisión a las partes el Sujeto Obligado a través de la unidad administrativa competente adjunto dos links en formato cerrado, para visualizar las remuneraciones y directorio en IPOMEX 4.0 de la Secretaría del Trabajo.</w:t>
      </w:r>
    </w:p>
    <w:p w:rsidR="007D67E3" w:rsidRDefault="007D67E3">
      <w:pPr>
        <w:spacing w:line="360" w:lineRule="auto"/>
        <w:jc w:val="both"/>
        <w:rPr>
          <w:rFonts w:ascii="Palatino Linotype" w:eastAsia="Palatino Linotype" w:hAnsi="Palatino Linotype" w:cs="Palatino Linotype"/>
          <w:sz w:val="22"/>
          <w:szCs w:val="22"/>
        </w:rPr>
      </w:pPr>
      <w:bookmarkStart w:id="23" w:name="_heading=h.5hrkwrbn09ux" w:colFirst="0" w:colLast="0"/>
      <w:bookmarkEnd w:id="23"/>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Lo anterior, se desprende de las documentales que obran en el expediente de referencia, materia de la presente resolución, consistentes en la solicitud de acceso a la información, la respuesta, el escrito </w:t>
      </w:r>
      <w:proofErr w:type="spellStart"/>
      <w:r>
        <w:rPr>
          <w:rFonts w:ascii="Palatino Linotype" w:eastAsia="Palatino Linotype" w:hAnsi="Palatino Linotype" w:cs="Palatino Linotype"/>
          <w:sz w:val="22"/>
          <w:szCs w:val="22"/>
        </w:rPr>
        <w:t>recursal</w:t>
      </w:r>
      <w:proofErr w:type="spellEnd"/>
      <w:r>
        <w:rPr>
          <w:rFonts w:ascii="Palatino Linotype" w:eastAsia="Palatino Linotype" w:hAnsi="Palatino Linotype" w:cs="Palatino Linotype"/>
          <w:sz w:val="22"/>
          <w:szCs w:val="22"/>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pStyle w:val="Ttulo2"/>
        <w:spacing w:before="0" w:after="0" w:line="360" w:lineRule="auto"/>
        <w:jc w:val="both"/>
        <w:rPr>
          <w:rFonts w:ascii="Palatino Linotype" w:eastAsia="Palatino Linotype" w:hAnsi="Palatino Linotype" w:cs="Palatino Linotype"/>
          <w:b/>
          <w:bCs/>
          <w:color w:val="000000"/>
          <w:sz w:val="22"/>
          <w:szCs w:val="22"/>
        </w:rPr>
      </w:pPr>
      <w:bookmarkStart w:id="24" w:name="_heading=h.3pxgw29e6wv5" w:colFirst="0" w:colLast="0"/>
      <w:bookmarkStart w:id="25" w:name="_Toc219391205"/>
      <w:bookmarkEnd w:id="24"/>
      <w:r>
        <w:rPr>
          <w:rFonts w:ascii="Palatino Linotype" w:eastAsia="Palatino Linotype" w:hAnsi="Palatino Linotype" w:cs="Palatino Linotype"/>
          <w:b/>
          <w:bCs/>
          <w:color w:val="000000"/>
          <w:sz w:val="22"/>
          <w:szCs w:val="22"/>
        </w:rPr>
        <w:t>CUARTO. Marco normativo aplicable en materia de transparencia y acceso a la información pública</w:t>
      </w:r>
      <w:bookmarkEnd w:id="25"/>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su parte, la Ley de Transparencia y Acceso a la Información Pública del Estado de México y Municipios (Reglamentaria del artículo 5° de la Constitución Local), establece lo siguiente:</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26" w:name="_heading=h.x18oaafkh2ja" w:colFirst="0" w:colLast="0"/>
      <w:bookmarkStart w:id="27" w:name="_Toc219391206"/>
      <w:bookmarkEnd w:id="26"/>
      <w:r>
        <w:rPr>
          <w:rFonts w:ascii="Palatino Linotype" w:eastAsia="Palatino Linotype" w:hAnsi="Palatino Linotype" w:cs="Palatino Linotype"/>
          <w:b/>
          <w:bCs/>
          <w:color w:val="000000"/>
          <w:sz w:val="22"/>
          <w:szCs w:val="22"/>
        </w:rPr>
        <w:t>QUINTO. Estudio de Fondo</w:t>
      </w:r>
      <w:bookmarkEnd w:id="27"/>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Expuestas las posturas de las partes, se procede a realizar el análisis del agravio hecho valer por el ahora Recurrente, concerniente a la negativa de la información, por lo que, en principio, resulta necesario contextualizar la solicitud de información.</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tema, el 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w:t>
      </w:r>
    </w:p>
    <w:p w:rsidR="007D67E3" w:rsidRDefault="007D67E3">
      <w:pPr>
        <w:spacing w:line="360" w:lineRule="auto"/>
        <w:ind w:right="-28"/>
        <w:jc w:val="both"/>
        <w:rPr>
          <w:rFonts w:ascii="Palatino Linotype" w:eastAsia="Palatino Linotype" w:hAnsi="Palatino Linotype" w:cs="Palatino Linotype"/>
          <w:sz w:val="22"/>
          <w:szCs w:val="22"/>
        </w:rPr>
      </w:pP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el artículo 4°, fracción VI, de la Ley del Trabajo de los servidores públicos del Estado y Municipios, precisa que son </w:t>
      </w:r>
      <w:r>
        <w:rPr>
          <w:rFonts w:ascii="Palatino Linotype" w:eastAsia="Palatino Linotype" w:hAnsi="Palatino Linotype" w:cs="Palatino Linotype"/>
          <w:b/>
          <w:bCs/>
          <w:sz w:val="22"/>
          <w:szCs w:val="22"/>
        </w:rPr>
        <w:t>servidores públicos</w:t>
      </w:r>
      <w:r>
        <w:rPr>
          <w:rFonts w:ascii="Palatino Linotype" w:eastAsia="Palatino Linotype" w:hAnsi="Palatino Linotype" w:cs="Palatino Linotype"/>
          <w:sz w:val="22"/>
          <w:szCs w:val="22"/>
        </w:rPr>
        <w:t>, todas las personas físicas que preste a una institución pública un trabajo personal subordinado, mediante el pago de un sueldo.</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7D67E3" w:rsidRDefault="008D7E22">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En ese orden de ideas, el Glosario localizado en la página de Transparencia Presupuestaria de la Secretaría de Hacienda y Crédito Público (</w:t>
      </w:r>
      <w:hyperlink r:id="rId11">
        <w:r>
          <w:rPr>
            <w:rFonts w:ascii="Palatino Linotype" w:eastAsia="Palatino Linotype" w:hAnsi="Palatino Linotype" w:cs="Palatino Linotype"/>
            <w:color w:val="0563C1"/>
            <w:sz w:val="22"/>
            <w:szCs w:val="22"/>
            <w:u w:val="single"/>
          </w:rPr>
          <w:t>http://www.transparenciapresupuestaria.gob.mx/es/PTP/Glosario</w:t>
        </w:r>
      </w:hyperlink>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establece que la nómina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spacing w:line="360" w:lineRule="auto"/>
        <w:ind w:righ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De la misma manera, el Glosario de términos más usuales en la Administración Pública Federal, emitido por la Secretaría de Hacienda y Crédito Público (</w:t>
      </w:r>
      <w:hyperlink r:id="rId12">
        <w:r>
          <w:rPr>
            <w:rFonts w:ascii="Palatino Linotype" w:eastAsia="Palatino Linotype" w:hAnsi="Palatino Linotype" w:cs="Palatino Linotype"/>
            <w:color w:val="0563C1"/>
            <w:sz w:val="22"/>
            <w:szCs w:val="22"/>
            <w:u w:val="single"/>
          </w:rPr>
          <w:t>http://www.apartados.hacienda.gob.mx/contabilidad/documentos/informe_cuenta/1998/cuenta_publica/Glosario/n.htm</w:t>
        </w:r>
      </w:hyperlink>
      <w:r>
        <w:rPr>
          <w:rFonts w:ascii="Palatino Linotype" w:eastAsia="Palatino Linotype" w:hAnsi="Palatino Linotype" w:cs="Palatino Linotype"/>
          <w:sz w:val="22"/>
          <w:szCs w:val="22"/>
        </w:rPr>
        <w:t xml:space="preserve">, establece que la </w:t>
      </w:r>
      <w:r>
        <w:rPr>
          <w:rFonts w:ascii="Palatino Linotype" w:eastAsia="Palatino Linotype" w:hAnsi="Palatino Linotype" w:cs="Palatino Linotype"/>
          <w:b/>
          <w:bCs/>
          <w:sz w:val="22"/>
          <w:szCs w:val="22"/>
        </w:rPr>
        <w:t>nómina es un listado general de los trabajadores de una institución, en el cual se asientan las percepciones brutas, deducciones y alcance neto de las mismas.</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puede advertir que la nómina se puede referir a lo siguiente:</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Relación de trabajadores con las percepciones monetarias de cada uno.</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Recibo individual que contiene las prestaciones y deducciones de un trabajador.</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numPr>
          <w:ilvl w:val="0"/>
          <w:numId w:val="1"/>
        </w:num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Listado general de los servidores públicos de una institución o dependencia, en el cual se asientan las percepciones brutas, deducciones y alcance neto de las mismas.</w:t>
      </w:r>
    </w:p>
    <w:p w:rsidR="007D67E3" w:rsidRDefault="007D67E3">
      <w:pPr>
        <w:spacing w:line="360" w:lineRule="auto"/>
        <w:ind w:right="-28"/>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Asimismo, respecto de los recibos de nómina, la Ley del Trabajo de los Servidores Públicos del Estado y Municipios, en su artículo 220 K, fracciones II y IV, establece los documentos </w:t>
      </w:r>
      <w:r>
        <w:rPr>
          <w:rFonts w:ascii="Palatino Linotype" w:eastAsia="Palatino Linotype" w:hAnsi="Palatino Linotype" w:cs="Palatino Linotype"/>
          <w:sz w:val="22"/>
          <w:szCs w:val="22"/>
        </w:rPr>
        <w:lastRenderedPageBreak/>
        <w:t xml:space="preserve">que tiene la obligación de conservar el Sujeto Obligado, entre los que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“RECIBOS DE PAGO 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w:t>
      </w:r>
      <w:r>
        <w:rPr>
          <w:rFonts w:ascii="Palatino Linotype" w:eastAsia="Palatino Linotype" w:hAnsi="Palatino Linotype" w:cs="Palatino Linotype"/>
          <w:i/>
          <w:iCs/>
        </w:rPr>
        <w:t xml:space="preserve"> 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widowControl w:val="0"/>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la tesis transcrita, se desprende que en materia burocrática los recibos de pago acreditan los conceptos y montos que en ellos se insertan, y constituyen prueba para demostrar las percepciones y montos que reciben los servidores públicos.</w:t>
      </w:r>
    </w:p>
    <w:p w:rsidR="007D67E3" w:rsidRDefault="007D67E3">
      <w:pPr>
        <w:spacing w:line="360" w:lineRule="auto"/>
        <w:ind w:right="-28"/>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vislumbrar que la pretensión del ahora Recurrente, es obtener los recibos de nómina de todo el personal adscrito a la Secretaría del Trabajo, correspondientes a la primera quincena de octubre de dos mil veinticinco.</w:t>
      </w:r>
    </w:p>
    <w:p w:rsidR="007D67E3" w:rsidRDefault="007D67E3">
      <w:pPr>
        <w:spacing w:line="360" w:lineRule="auto"/>
        <w:ind w:right="-28"/>
        <w:jc w:val="both"/>
        <w:rPr>
          <w:rFonts w:ascii="Palatino Linotype" w:eastAsia="Palatino Linotype" w:hAnsi="Palatino Linotype" w:cs="Palatino Linotype"/>
          <w:sz w:val="22"/>
          <w:szCs w:val="22"/>
        </w:rPr>
      </w:pP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Establecida dicha circunstancia, se procede analizar la respuesta entregada, para lo cual, es de señalar que la Subdirección de Organización y Personal, fue el área que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Dicho lo anterior, es necesario traer al estudio el numeral 20900002000400S , </w:t>
      </w:r>
      <w:r>
        <w:rPr>
          <w:rFonts w:ascii="Palatino Linotype" w:eastAsia="Palatino Linotype" w:hAnsi="Palatino Linotype" w:cs="Palatino Linotype"/>
          <w:b/>
          <w:bCs/>
          <w:sz w:val="22"/>
          <w:szCs w:val="22"/>
        </w:rPr>
        <w:t>Subdirección de Organización y Personal</w:t>
      </w:r>
      <w:r>
        <w:rPr>
          <w:rFonts w:ascii="Palatino Linotype" w:eastAsia="Palatino Linotype" w:hAnsi="Palatino Linotype" w:cs="Palatino Linotype"/>
          <w:sz w:val="22"/>
          <w:szCs w:val="22"/>
        </w:rPr>
        <w:t xml:space="preserve">, del Manual de Organización de la Secretaría del Trabajo de dos mil veinticinco, en el que se establece  que  se encargará de gestionar y controlar el pago de sueldos, estímulos, indemnizaciones, laudos, finiquitos, viáticos, deducciones, descuentos y otras  prestaciones establecidas, de conformidad con la normatividad aplicable y de igual modo controlar y supervisar las actividades en materia de desarrollo y </w:t>
      </w:r>
      <w:r>
        <w:rPr>
          <w:rFonts w:ascii="Palatino Linotype" w:eastAsia="Palatino Linotype" w:hAnsi="Palatino Linotype" w:cs="Palatino Linotype"/>
          <w:sz w:val="22"/>
          <w:szCs w:val="22"/>
        </w:rPr>
        <w:lastRenderedPageBreak/>
        <w:t>administración de personal de la Secretaría, así como los programas de organización y acciones de modernización administrativa.</w:t>
      </w:r>
    </w:p>
    <w:p w:rsidR="007D67E3" w:rsidRDefault="007D67E3">
      <w:pPr>
        <w:spacing w:line="360" w:lineRule="auto"/>
        <w:ind w:right="-28"/>
        <w:jc w:val="both"/>
        <w:rPr>
          <w:rFonts w:ascii="Palatino Linotype" w:eastAsia="Palatino Linotype" w:hAnsi="Palatino Linotype" w:cs="Palatino Linotype"/>
          <w:sz w:val="22"/>
          <w:szCs w:val="22"/>
        </w:rPr>
      </w:pPr>
    </w:p>
    <w:p w:rsidR="007D67E3" w:rsidRDefault="008D7E22">
      <w:pPr>
        <w:spacing w:line="360" w:lineRule="auto"/>
        <w:ind w:righ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la Subdirección de Recursos Financieros en el numeral 20900002000300S </w:t>
      </w:r>
      <w:r>
        <w:rPr>
          <w:rFonts w:ascii="Palatino Linotype" w:eastAsia="Palatino Linotype" w:hAnsi="Palatino Linotype" w:cs="Palatino Linotype"/>
          <w:b/>
          <w:bCs/>
          <w:sz w:val="22"/>
          <w:szCs w:val="22"/>
        </w:rPr>
        <w:t xml:space="preserve">Subdirección de Recursos Financieros </w:t>
      </w:r>
      <w:r>
        <w:rPr>
          <w:rFonts w:ascii="Palatino Linotype" w:eastAsia="Palatino Linotype" w:hAnsi="Palatino Linotype" w:cs="Palatino Linotype"/>
          <w:sz w:val="22"/>
          <w:szCs w:val="22"/>
        </w:rPr>
        <w:t>del Manual de Organización de la Secretaria del Trabajo, se encargará de realizar la dispersión y pagos relacionados con la nómina del personal eventual, previa validación de la Subdirección de Organización y Personal.</w:t>
      </w:r>
    </w:p>
    <w:p w:rsidR="007D67E3" w:rsidRDefault="007D67E3">
      <w:pPr>
        <w:spacing w:line="360" w:lineRule="auto"/>
        <w:ind w:right="-28"/>
        <w:jc w:val="both"/>
        <w:rPr>
          <w:rFonts w:ascii="Palatino Linotype" w:eastAsia="Palatino Linotype" w:hAnsi="Palatino Linotype" w:cs="Palatino Linotype"/>
          <w:sz w:val="22"/>
          <w:szCs w:val="22"/>
        </w:rPr>
      </w:pPr>
    </w:p>
    <w:p w:rsidR="007D67E3" w:rsidRDefault="008D7E22">
      <w:pP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sz w:val="22"/>
          <w:szCs w:val="22"/>
        </w:rPr>
        <w:t xml:space="preserve">Así, </w:t>
      </w:r>
      <w:r>
        <w:rPr>
          <w:rFonts w:ascii="Palatino Linotype" w:eastAsia="Palatino Linotype" w:hAnsi="Palatino Linotype" w:cs="Palatino Linotype"/>
          <w:color w:val="000000"/>
          <w:sz w:val="22"/>
          <w:szCs w:val="22"/>
        </w:rPr>
        <w:t>se logra colegir que el Sujeto Obligado no cumplió con el procedimiento de búsqueda establecido en el artículo 162 de la Ley de Transparencia y Acceso a la Información Pública del Estado de México y Municipios, pues omitió turnar el requerimiento de información a la subdirección de Recursos Financieros, área que también es competente para conocer de lo peticionado</w:t>
      </w:r>
      <w:r>
        <w:rPr>
          <w:rFonts w:ascii="Palatino Linotype" w:eastAsia="Palatino Linotype" w:hAnsi="Palatino Linotype" w:cs="Palatino Linotype"/>
          <w:sz w:val="22"/>
          <w:szCs w:val="22"/>
        </w:rPr>
        <w:t>.</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dicha área, en respuesta, informó que en no contaba con los recibos, toda vez que servidor público generar sus propios recibos, es decir precisaron que no contaban con los recibos de nómina del personal adscrito, a los cuales tenían acceso únicamente los servidores públicos.</w:t>
      </w:r>
    </w:p>
    <w:p w:rsidR="007D67E3" w:rsidRDefault="007D67E3">
      <w:pPr>
        <w:tabs>
          <w:tab w:val="left" w:pos="7080"/>
        </w:tabs>
        <w:spacing w:line="360" w:lineRule="auto"/>
        <w:jc w:val="both"/>
        <w:rPr>
          <w:rFonts w:ascii="Palatino Linotype" w:eastAsia="Palatino Linotype" w:hAnsi="Palatino Linotype" w:cs="Palatino Linotype"/>
          <w:sz w:val="22"/>
          <w:szCs w:val="22"/>
        </w:rPr>
      </w:pPr>
    </w:p>
    <w:p w:rsidR="007D67E3" w:rsidRDefault="008D7E22">
      <w:pPr>
        <w:tabs>
          <w:tab w:val="left" w:pos="7080"/>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Ahora bien, 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rsidR="007D67E3" w:rsidRDefault="007D67E3">
      <w:pPr>
        <w:tabs>
          <w:tab w:val="left" w:pos="7080"/>
        </w:tabs>
        <w:spacing w:line="360" w:lineRule="auto"/>
        <w:jc w:val="both"/>
        <w:rPr>
          <w:rFonts w:ascii="Palatino Linotype" w:eastAsia="Palatino Linotype" w:hAnsi="Palatino Linotype" w:cs="Palatino Linotype"/>
          <w:sz w:val="22"/>
          <w:szCs w:val="22"/>
        </w:rPr>
      </w:pPr>
    </w:p>
    <w:p w:rsidR="007D67E3" w:rsidRDefault="008D7E22">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extent cx="2564562" cy="2508197"/>
            <wp:effectExtent l="0" t="0" r="0" b="0"/>
            <wp:docPr id="306478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564562" cy="2508197"/>
                    </a:xfrm>
                    <a:prstGeom prst="rect">
                      <a:avLst/>
                    </a:prstGeom>
                    <a:ln/>
                  </pic:spPr>
                </pic:pic>
              </a:graphicData>
            </a:graphic>
          </wp:inline>
        </w:drawing>
      </w:r>
    </w:p>
    <w:p w:rsidR="007D67E3" w:rsidRDefault="008D7E22">
      <w:pPr>
        <w:tabs>
          <w:tab w:val="left" w:pos="7080"/>
        </w:tabs>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3773594" cy="2717886"/>
            <wp:effectExtent l="0" t="0" r="0" b="0"/>
            <wp:docPr id="3064786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773594" cy="2717886"/>
                    </a:xfrm>
                    <a:prstGeom prst="rect">
                      <a:avLst/>
                    </a:prstGeom>
                    <a:ln/>
                  </pic:spPr>
                </pic:pic>
              </a:graphicData>
            </a:graphic>
          </wp:inline>
        </w:drawing>
      </w:r>
    </w:p>
    <w:p w:rsidR="007D67E3" w:rsidRDefault="007D67E3">
      <w:pPr>
        <w:tabs>
          <w:tab w:val="left" w:pos="7080"/>
        </w:tabs>
        <w:spacing w:line="360" w:lineRule="auto"/>
        <w:jc w:val="center"/>
        <w:rPr>
          <w:rFonts w:ascii="Palatino Linotype" w:eastAsia="Palatino Linotype" w:hAnsi="Palatino Linotype" w:cs="Palatino Linotype"/>
          <w:sz w:val="22"/>
          <w:szCs w:val="22"/>
        </w:rPr>
      </w:pPr>
    </w:p>
    <w:p w:rsidR="007D67E3" w:rsidRDefault="008D7E2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logra vislumbrar que la Secretaría del Trabajo, no cuenta con los  recibos de nómina de sus servidores públicos, al ser emitidos por la Dirección del Personal coordinada por la misma dependencia en comento; sobre el tema, el artículo 19, segundo  párrafo, de la Ley de Transparencia y Acceso a la Información Pública del Estado de México  y Municipios, establece que en el caso de que ciertas facultades, competencias o funciones </w:t>
      </w:r>
      <w:r>
        <w:rPr>
          <w:rFonts w:ascii="Palatino Linotype" w:eastAsia="Palatino Linotype" w:hAnsi="Palatino Linotype" w:cs="Palatino Linotype"/>
          <w:color w:val="000000"/>
          <w:sz w:val="22"/>
          <w:szCs w:val="22"/>
        </w:rPr>
        <w:lastRenderedPageBreak/>
        <w:t xml:space="preserve">no  se hayan ejercido, se debe motivar la respuesta en función de las causas que motiven tal  circunstancia.  </w:t>
      </w:r>
    </w:p>
    <w:p w:rsidR="007D67E3" w:rsidRDefault="007D67E3">
      <w:pPr>
        <w:tabs>
          <w:tab w:val="left" w:pos="7080"/>
        </w:tabs>
        <w:spacing w:line="360" w:lineRule="auto"/>
        <w:jc w:val="both"/>
        <w:rPr>
          <w:rFonts w:ascii="Palatino Linotype" w:eastAsia="Palatino Linotype" w:hAnsi="Palatino Linotype" w:cs="Palatino Linotype"/>
          <w:color w:val="000000"/>
          <w:sz w:val="22"/>
          <w:szCs w:val="22"/>
        </w:rPr>
      </w:pPr>
    </w:p>
    <w:p w:rsidR="007D67E3" w:rsidRDefault="008D7E2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Es decir, cuando los sujetos obligados no cuenten con cierta información, deberán señalar las razones que justifican dicha situación; lo cual aconteció en el presente caso, pues la Subdirección de Organización y Personal, precisó que no generaba los recibos de nómina de su personal, pues son obtenidos por ellos mismos, ingresando a la página del Gobierno del Estado de México.</w:t>
      </w:r>
    </w:p>
    <w:p w:rsidR="007D67E3" w:rsidRDefault="007D67E3">
      <w:pPr>
        <w:tabs>
          <w:tab w:val="left" w:pos="7080"/>
        </w:tabs>
        <w:spacing w:line="360" w:lineRule="auto"/>
        <w:jc w:val="both"/>
        <w:rPr>
          <w:rFonts w:ascii="Palatino Linotype" w:eastAsia="Palatino Linotype" w:hAnsi="Palatino Linotype" w:cs="Palatino Linotype"/>
          <w:color w:val="000000"/>
          <w:sz w:val="22"/>
          <w:szCs w:val="22"/>
        </w:rPr>
      </w:pPr>
    </w:p>
    <w:p w:rsidR="007D67E3" w:rsidRDefault="008D7E2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Ahora bien, mediante Informe Justificado, el Sujeto Obligado adjunto ligas para visualizar las remuneraciones en IPOMEX, sin embargo, el dar clic sobre la liga no redirige a ninguna página de internet, y el documento no permite copiar y pegar dicha liga electrónica, por tanto, se advierte que se proporcionó una liga en formato cerrado.</w:t>
      </w:r>
    </w:p>
    <w:p w:rsidR="007D67E3" w:rsidRDefault="007D67E3">
      <w:pPr>
        <w:tabs>
          <w:tab w:val="left" w:pos="7080"/>
        </w:tabs>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 preciso establecer que al proporcionar información pública es necesario que sea en un formato que no tenga ninguna restricción en el acceso o reutilización, por lo que, es necesario que los datos digitales (como ligas electrónicas), se proporcionen en un formato abierto.</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w:t>
      </w:r>
    </w:p>
    <w:p w:rsidR="007D67E3" w:rsidRDefault="008D7E22">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Dato abierto:</w:t>
      </w:r>
      <w:r>
        <w:rPr>
          <w:rFonts w:ascii="Palatino Linotype" w:eastAsia="Palatino Linotype" w:hAnsi="Palatino Linotype" w:cs="Palatino Linotype"/>
          <w:sz w:val="22"/>
          <w:szCs w:val="22"/>
        </w:rPr>
        <w:t xml:space="preserve"> Datos digitales de carácter público que son accesibles en línea que pueden ser usados, reutilizados y redistribuidos por cualquier persona, mismos que </w:t>
      </w:r>
      <w:r>
        <w:rPr>
          <w:rFonts w:ascii="Palatino Linotype" w:eastAsia="Palatino Linotype" w:hAnsi="Palatino Linotype" w:cs="Palatino Linotype"/>
          <w:sz w:val="22"/>
          <w:szCs w:val="22"/>
        </w:rPr>
        <w:lastRenderedPageBreak/>
        <w:t>se conforman de diversas características, entre las cuales se encuentra que se encuentren en formatos abiertos.</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w:t>
      </w:r>
    </w:p>
    <w:p w:rsidR="007D67E3" w:rsidRDefault="008D7E22">
      <w:pPr>
        <w:numPr>
          <w:ilvl w:val="0"/>
          <w:numId w:val="4"/>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Formato accesible:</w:t>
      </w:r>
      <w:r>
        <w:rPr>
          <w:rFonts w:ascii="Palatino Linotype" w:eastAsia="Palatino Linotype" w:hAnsi="Palatino Linotype" w:cs="Palatino Linotype"/>
          <w:sz w:val="22"/>
          <w:szCs w:val="22"/>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considera que en el caso de que la información peticionada obre en ligas electrónicas, el Sujeto Obligado deberá privilegiar la entrega de estas, en datos abiertos, es decir, en un formato que permita la accesibilidad y facilidad a las personas Particulares, para obtener la información contenida estas.</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Cómo se logra observar, el Sujeto Obligado si bien señaló una página electrónica, omitió proporcionar en formato abierto, lo cual implica la dificultad de acceder a la misma, pues se traduce al hecho de que la parte Recurrente tendría que colocar cada dígito alfanumérico, y cuya equivocación implicaría no acceder a la información contenida en las mismas; </w:t>
      </w:r>
    </w:p>
    <w:p w:rsidR="007D67E3" w:rsidRDefault="007D67E3">
      <w:pPr>
        <w:tabs>
          <w:tab w:val="left" w:pos="7080"/>
        </w:tabs>
        <w:spacing w:line="360" w:lineRule="auto"/>
        <w:jc w:val="both"/>
        <w:rPr>
          <w:rFonts w:ascii="Palatino Linotype" w:eastAsia="Palatino Linotype" w:hAnsi="Palatino Linotype" w:cs="Palatino Linotype"/>
          <w:color w:val="000000"/>
          <w:sz w:val="22"/>
          <w:szCs w:val="22"/>
        </w:rPr>
      </w:pPr>
    </w:p>
    <w:p w:rsidR="007D67E3" w:rsidRDefault="008D7E2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Sin embargo, es necesario precisar que en el presente caso, se trata de las remuneraciones de los servidores públicos que laboran para una institución pública, es decir, que dicha información se busca acreditar la manera en que se ejercieron determinados recursos públicos; sobre el tema, según Arizmendi, Guillermo (2016), en la “Ley General de Transparencia y Acceso a la Información Pública Comentada” (p. 240 y 241), los recursos  públicos, deber ser administrados con responsabilidad y transparencia.</w:t>
      </w:r>
    </w:p>
    <w:p w:rsidR="007D67E3" w:rsidRDefault="007D67E3">
      <w:pPr>
        <w:tabs>
          <w:tab w:val="left" w:pos="7080"/>
        </w:tabs>
        <w:spacing w:line="360" w:lineRule="auto"/>
        <w:jc w:val="both"/>
        <w:rPr>
          <w:rFonts w:ascii="Palatino Linotype" w:eastAsia="Palatino Linotype" w:hAnsi="Palatino Linotype" w:cs="Palatino Linotype"/>
          <w:color w:val="000000"/>
          <w:sz w:val="22"/>
          <w:szCs w:val="22"/>
        </w:rPr>
      </w:pPr>
    </w:p>
    <w:p w:rsidR="007D67E3" w:rsidRDefault="008D7E2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En ese orden de ideas, según Trujillo, Humberto (2019), en el “Diccionario de Transparencia y Acceso a la Información Pública” (p. 276), los recursos públicos son los ingresos económicos, que obtiene el Estado y que asigna (a partir del presupuesto) al ejercicio de sus actividades, los cuales deben ser asignados de manera transparente y bajo un sistema de rendición de cuentas, para que las personas puedan monitorear, evaluar y cuestionar su gasto. </w:t>
      </w:r>
    </w:p>
    <w:p w:rsidR="007D67E3" w:rsidRDefault="007D67E3">
      <w:pPr>
        <w:tabs>
          <w:tab w:val="left" w:pos="7080"/>
        </w:tabs>
        <w:spacing w:line="360" w:lineRule="auto"/>
        <w:jc w:val="both"/>
        <w:rPr>
          <w:rFonts w:ascii="Palatino Linotype" w:eastAsia="Palatino Linotype" w:hAnsi="Palatino Linotype" w:cs="Palatino Linotype"/>
          <w:color w:val="000000"/>
          <w:sz w:val="22"/>
          <w:szCs w:val="22"/>
        </w:rPr>
      </w:pPr>
    </w:p>
    <w:p w:rsidR="007D67E3" w:rsidRDefault="008D7E22">
      <w:pPr>
        <w:tabs>
          <w:tab w:val="left" w:pos="7080"/>
        </w:tabs>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En ese orden de ideas,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transparencia y honradez; sobre lo referido, la Tesis número 1a.CXLV/2009, Novena Época, publicada en el Semanario Judicial de la Federación, Tomo XXX, de septiembre de dos mil nueve, (p. 2712), establece lo siguiente:</w:t>
      </w:r>
    </w:p>
    <w:p w:rsidR="007D67E3" w:rsidRDefault="007D67E3">
      <w:pPr>
        <w:tabs>
          <w:tab w:val="left" w:pos="7080"/>
        </w:tabs>
        <w:spacing w:line="360" w:lineRule="auto"/>
        <w:jc w:val="both"/>
        <w:rPr>
          <w:rFonts w:ascii="Palatino Linotype" w:eastAsia="Palatino Linotype" w:hAnsi="Palatino Linotype" w:cs="Palatino Linotype"/>
          <w:color w:val="000000"/>
          <w:sz w:val="22"/>
          <w:szCs w:val="22"/>
        </w:rPr>
      </w:pPr>
    </w:p>
    <w:p w:rsidR="007D67E3" w:rsidRDefault="008D7E22">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b/>
          <w:bCs/>
          <w:i/>
          <w:iCs/>
          <w:color w:val="000000"/>
        </w:rPr>
        <w:t>GASTO PÚBLICO. EL ARTÍCULO 134 DE LA CONSTITUCIÓN POLÍTICA DE LOS  ESTADOS UNIDOS MEXICANOS ELEVA A RANGO CONSTITUCIONAL LOS  PRINCIPIOS DE LEGALIDAD, EFICIENCIA, EFICACIA, ECONOMÍA,  TRANSPARENCIA Y HONRADEZ EN ESTA MATERIA.</w:t>
      </w:r>
      <w:r>
        <w:rPr>
          <w:rFonts w:ascii="Palatino Linotype" w:eastAsia="Palatino Linotype" w:hAnsi="Palatino Linotype" w:cs="Palatino Linotype"/>
          <w:i/>
          <w:iCs/>
          <w:color w:val="000000"/>
        </w:rPr>
        <w:t xml:space="preserve"> Del citado precepto constitucional  se advierte que el correcto ejercicio del gasto público se salvaguarda por los </w:t>
      </w:r>
      <w:r>
        <w:rPr>
          <w:rFonts w:ascii="Palatino Linotype" w:eastAsia="Palatino Linotype" w:hAnsi="Palatino Linotype" w:cs="Palatino Linotype"/>
          <w:i/>
          <w:iCs/>
          <w:color w:val="000000"/>
        </w:rPr>
        <w:lastRenderedPageBreak/>
        <w:t>siguientes principios: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w:t>
      </w:r>
      <w:r>
        <w:rPr>
          <w:rFonts w:ascii="Palatino Linotype" w:eastAsia="Palatino Linotype" w:hAnsi="Palatino Linotype" w:cs="Palatino Linotype"/>
          <w:color w:val="000000"/>
        </w:rPr>
        <w:t xml:space="preserve"> gasto </w:t>
      </w:r>
      <w:r>
        <w:rPr>
          <w:rFonts w:ascii="Palatino Linotype" w:eastAsia="Palatino Linotype" w:hAnsi="Palatino Linotype" w:cs="Palatino Linotype"/>
          <w:i/>
          <w:iCs/>
          <w:color w:val="000000"/>
        </w:rPr>
        <w:t>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r>
        <w:rPr>
          <w:rFonts w:ascii="Palatino Linotype" w:eastAsia="Palatino Linotype" w:hAnsi="Palatino Linotype" w:cs="Palatino Linotype"/>
          <w:color w:val="000000"/>
        </w:rPr>
        <w:t xml:space="preserve">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Al respecto, según Merino, Mauricio (2019), en el “Diccionario de Transparencia y Acceso a la Información Pública” (p. 276), la rendición de cuentas, es un ejercicio de transparencia e información pública; es un medio a través del cual los gobiernos informan al público de sus actividades, de los recursos que han ejercido y de los resultados obtenidos.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la Secretaría del Trabajo para el pago de personal.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Además, este Instituto considera que la Secretaría del Trabajo, debe de contar con algún documento que dé cuenta de las remuneraciones pagadas a los servidores públicos, es decir, aquel que contenga los sueldos, prestaciones y de deducciones; pues del propio </w:t>
      </w:r>
      <w:r>
        <w:rPr>
          <w:rFonts w:ascii="Palatino Linotype" w:eastAsia="Palatino Linotype" w:hAnsi="Palatino Linotype" w:cs="Palatino Linotype"/>
          <w:sz w:val="22"/>
          <w:szCs w:val="22"/>
        </w:rPr>
        <w:t>Portal de Gestión Interna G2G, se logra vislumbrar un apartado para las Coordinaciones Administrativas, entre las cuáles se encuentra la del Sujeto Obligado y el cual precisa que dicha área puede obtener los siguientes documentos:</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rPr>
        <w:drawing>
          <wp:inline distT="0" distB="0" distL="0" distR="0">
            <wp:extent cx="5612130" cy="2446020"/>
            <wp:effectExtent l="0" t="0" r="0" b="0"/>
            <wp:docPr id="3064786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2130" cy="2446020"/>
                    </a:xfrm>
                    <a:prstGeom prst="rect">
                      <a:avLst/>
                    </a:prstGeom>
                    <a:ln/>
                  </pic:spPr>
                </pic:pic>
              </a:graphicData>
            </a:graphic>
          </wp:inline>
        </w:drawing>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Conforme a lo anterior, existen documentos a los que puede acceder el Sujeto Obligado y que dan cuenta de la información peticionada, tal como lo es el Comprobante de percepciones y deducciones, así como, la Constancia quincenal de percepciones y deducciones, los cuáles conforme al portal mencionado, tienen validez oficial.</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es claro que el Sujeto Obligado debe contar en sus archivos con documentos que den cuenta de la información solicitad</w:t>
      </w:r>
      <w:r>
        <w:rPr>
          <w:rFonts w:ascii="Palatino Linotype" w:eastAsia="Palatino Linotype" w:hAnsi="Palatino Linotype" w:cs="Palatino Linotype"/>
          <w:sz w:val="22"/>
          <w:szCs w:val="22"/>
        </w:rPr>
        <w:t xml:space="preserve">a </w:t>
      </w:r>
      <w:r>
        <w:rPr>
          <w:rFonts w:ascii="Palatino Linotype" w:eastAsia="Palatino Linotype" w:hAnsi="Palatino Linotype" w:cs="Palatino Linotype"/>
          <w:color w:val="000000"/>
          <w:sz w:val="22"/>
          <w:szCs w:val="22"/>
        </w:rPr>
        <w:t xml:space="preserve">y que haga las veces de recibos de pago; dicha situación toma sustento en el artículo 12 de la Ley de Transparencia y Acceso a la Información Pública del Estado de México y Municipios, que establece que los sujetos </w:t>
      </w:r>
      <w:r>
        <w:rPr>
          <w:rFonts w:ascii="Palatino Linotype" w:eastAsia="Palatino Linotype" w:hAnsi="Palatino Linotype" w:cs="Palatino Linotype"/>
          <w:color w:val="000000"/>
          <w:sz w:val="22"/>
          <w:szCs w:val="22"/>
        </w:rPr>
        <w:lastRenderedPageBreak/>
        <w:t xml:space="preserve">obligados sólo están constreñidos a proporcionar la información pública que obre en sus archivos, en el estado en que esta se encuentre; por lo que, la entrega no comprende el procesamiento de la misma, ni  presentarla conforme al interés del Solicitante.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De esta manera, el derecho de acceso a la información pública se satisface en aquellos casos en que se entregue el soporte documental en el que conste la información solicitada, sin necesidad de elaborar documentos ad hoc; lo cual, de conformidad con en el artículo 160 de la Ley de Transparencia y Acceso a la Información Pública del Estado de México y Municipios, el cual refiere que los sujetos obligados deberán entregar la información que obre en sus archivos. </w:t>
      </w: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 </w:t>
      </w: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Además, resulta aplicable el Criterio Orientador SO/003/2017, de la Segunda Época, emitido por el entonces Instituto Nacional de Transparencia, Acceso a la Información y Protección de Datos Personales que a continuación se cita: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000000"/>
        </w:rPr>
        <w:t>“No existe obligación de elaborar documentos ad hoc para atender las solicitudes de acceso a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Pr>
          <w:rFonts w:ascii="Palatino Linotype" w:eastAsia="Palatino Linotype" w:hAnsi="Palatino Linotype" w:cs="Palatino Linotype"/>
          <w:color w:val="000000"/>
        </w:rPr>
        <w:t xml:space="preserve">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concluye que el agravio del Particular es </w:t>
      </w:r>
      <w:r>
        <w:rPr>
          <w:rFonts w:ascii="Palatino Linotype" w:eastAsia="Palatino Linotype" w:hAnsi="Palatino Linotype" w:cs="Palatino Linotype"/>
          <w:b/>
          <w:bCs/>
          <w:sz w:val="22"/>
          <w:szCs w:val="22"/>
        </w:rPr>
        <w:t xml:space="preserve">FUNDADO, </w:t>
      </w:r>
      <w:r>
        <w:rPr>
          <w:rFonts w:ascii="Palatino Linotype" w:eastAsia="Palatino Linotype" w:hAnsi="Palatino Linotype" w:cs="Palatino Linotype"/>
          <w:sz w:val="22"/>
          <w:szCs w:val="22"/>
        </w:rPr>
        <w:t>ya que, si bien en los archivos del Sujeto Obligado no obran los recibos de nómina, lo cierto es que debe generar documentos que den cuenta de lo solicitado, es decir, que su contenido sea el mismo, en otras palabras, que contenga los sueldos, prestaciones y deducciones.</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que, para atender el requerimiento, deberá realizar una búsqueda exhaustiva y razonable, en todos los archivos de las unidades administrativa competentes, y no deberá omitir a la subdirección de Recursos Financieros, a efecto de proporcionar aquellos donde conste el pago de remuneraciones de todos los servidores públicos (sueldos, prestaciones y deducciones), para dar cumplimiento a los artículos 12, 160 y 162 de la Ley de Transparencia y Acceso a la Información Pública del Estado de México y Municipios.</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Finalmente, no pasa desapercibido para este Instituto que los documentos que atiendan la solicitud pudieran contener datos personales confidenciales, tales como la </w:t>
      </w:r>
      <w:r>
        <w:rPr>
          <w:rFonts w:ascii="Palatino Linotype" w:eastAsia="Palatino Linotype" w:hAnsi="Palatino Linotype" w:cs="Palatino Linotype"/>
          <w:sz w:val="22"/>
          <w:szCs w:val="22"/>
        </w:rPr>
        <w:t>Clave</w:t>
      </w:r>
      <w:r>
        <w:rPr>
          <w:rFonts w:ascii="Palatino Linotype" w:eastAsia="Palatino Linotype" w:hAnsi="Palatino Linotype" w:cs="Palatino Linotype"/>
          <w:color w:val="000000"/>
          <w:sz w:val="22"/>
          <w:szCs w:val="22"/>
        </w:rPr>
        <w:t xml:space="preserve"> Única de </w:t>
      </w: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Registro de Población, el Registro Federal de Contribuyentes, el número de seguridad social y las deducciones personales, los cuales se precisan de manera enunciativa, más no limitativa, en términos del artículo 143, fracción I de la Ley de la materia;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w:t>
      </w:r>
      <w:r>
        <w:rPr>
          <w:rFonts w:ascii="Palatino Linotype" w:eastAsia="Palatino Linotype" w:hAnsi="Palatino Linotype" w:cs="Palatino Linotype"/>
          <w:color w:val="000000"/>
          <w:sz w:val="22"/>
          <w:szCs w:val="22"/>
        </w:rPr>
        <w:lastRenderedPageBreak/>
        <w:t xml:space="preserve">versión Pública  en la que se testen las partes o secciones clasificadas, indicando su contenido de manera  genérica y fundando y motivando su clasificación.  </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Por lo que, para atender el requerimiento deberá proporcionar los documentos señalados en la presente Resolución, en versión pública, tomando en consideración lo analizado en párrafos previos; 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pStyle w:val="Ttulo2"/>
        <w:spacing w:before="0" w:after="0" w:line="360" w:lineRule="auto"/>
        <w:rPr>
          <w:rFonts w:ascii="Palatino Linotype" w:eastAsia="Palatino Linotype" w:hAnsi="Palatino Linotype" w:cs="Palatino Linotype"/>
          <w:b/>
          <w:bCs/>
          <w:color w:val="000000"/>
          <w:sz w:val="22"/>
          <w:szCs w:val="22"/>
        </w:rPr>
      </w:pPr>
      <w:bookmarkStart w:id="28" w:name="_heading=h.hopnmlzeposr" w:colFirst="0" w:colLast="0"/>
      <w:bookmarkStart w:id="29" w:name="_Toc219391207"/>
      <w:bookmarkEnd w:id="28"/>
      <w:r>
        <w:rPr>
          <w:rFonts w:ascii="Palatino Linotype" w:eastAsia="Palatino Linotype" w:hAnsi="Palatino Linotype" w:cs="Palatino Linotype"/>
          <w:b/>
          <w:bCs/>
          <w:color w:val="000000"/>
          <w:sz w:val="22"/>
          <w:szCs w:val="22"/>
        </w:rPr>
        <w:t>SEXTO. Decisión</w:t>
      </w:r>
      <w:bookmarkEnd w:id="29"/>
    </w:p>
    <w:p w:rsidR="007D67E3" w:rsidRDefault="007D67E3">
      <w:pPr>
        <w:spacing w:line="360" w:lineRule="auto"/>
        <w:rPr>
          <w:rFonts w:ascii="Palatino Linotype" w:eastAsia="Palatino Linotype" w:hAnsi="Palatino Linotype" w:cs="Palatino Linotype"/>
          <w:b/>
          <w:bCs/>
        </w:rPr>
      </w:pPr>
    </w:p>
    <w:p w:rsidR="007D67E3" w:rsidRDefault="008D7E22">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MODIFICAR</w:t>
      </w:r>
      <w:r>
        <w:rPr>
          <w:rFonts w:ascii="Palatino Linotype" w:eastAsia="Palatino Linotype" w:hAnsi="Palatino Linotype" w:cs="Palatino Linotype"/>
          <w:sz w:val="22"/>
          <w:szCs w:val="22"/>
        </w:rPr>
        <w:t xml:space="preserve"> la respuesta otorgada a la solicitud de información 00146/ST/IP/2025, a efecto de que, proporcione versión pública la información solicitada.</w:t>
      </w: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bookmarkStart w:id="30" w:name="_heading=h.1fob9te" w:colFirst="0" w:colLast="0"/>
      <w:bookmarkEnd w:id="30"/>
      <w:r>
        <w:rPr>
          <w:rFonts w:ascii="Palatino Linotype" w:eastAsia="Palatino Linotype" w:hAnsi="Palatino Linotype" w:cs="Palatino Linotype"/>
          <w:color w:val="000000"/>
          <w:sz w:val="22"/>
          <w:szCs w:val="22"/>
        </w:rPr>
        <w:t>Se le hace del conocimiento a la persona Recurrente que, en el presente asunto, se le da la  razón, pues el Sujeto Obligado no proporcionó documento alguno que diera cuenta de las  remuneraciones brutas y netas del personal adscrito, por lo que, deberá entregar dicha información. La labor del Instituto es apoyar a la población a acceder a la información pública y garantizar la protección de sus datos personales.</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Por lo expuesto y fundado, este Pleno:</w:t>
      </w:r>
    </w:p>
    <w:p w:rsidR="007D67E3" w:rsidRDefault="007D67E3">
      <w:pPr>
        <w:spacing w:line="360" w:lineRule="auto"/>
        <w:jc w:val="both"/>
        <w:rPr>
          <w:rFonts w:ascii="Palatino Linotype" w:eastAsia="Palatino Linotype" w:hAnsi="Palatino Linotype" w:cs="Palatino Linotype"/>
          <w:color w:val="000000"/>
          <w:sz w:val="22"/>
          <w:szCs w:val="22"/>
        </w:rPr>
      </w:pPr>
    </w:p>
    <w:p w:rsidR="007D67E3" w:rsidRDefault="008D7E22">
      <w:pPr>
        <w:pStyle w:val="Ttulo1"/>
        <w:spacing w:before="0" w:after="0" w:line="360" w:lineRule="auto"/>
        <w:jc w:val="center"/>
        <w:rPr>
          <w:rFonts w:ascii="Palatino Linotype" w:eastAsia="Palatino Linotype" w:hAnsi="Palatino Linotype" w:cs="Palatino Linotype"/>
          <w:b/>
          <w:bCs/>
          <w:color w:val="000000"/>
          <w:sz w:val="22"/>
          <w:szCs w:val="22"/>
        </w:rPr>
      </w:pPr>
      <w:bookmarkStart w:id="31" w:name="_Toc219391208"/>
      <w:r>
        <w:rPr>
          <w:rFonts w:ascii="Palatino Linotype" w:eastAsia="Palatino Linotype" w:hAnsi="Palatino Linotype" w:cs="Palatino Linotype"/>
          <w:b/>
          <w:bCs/>
          <w:color w:val="000000"/>
          <w:sz w:val="22"/>
          <w:szCs w:val="22"/>
        </w:rPr>
        <w:t>R E S U E L V E</w:t>
      </w:r>
      <w:bookmarkEnd w:id="31"/>
    </w:p>
    <w:p w:rsidR="007D67E3" w:rsidRDefault="007D67E3">
      <w:pPr>
        <w:spacing w:line="360" w:lineRule="auto"/>
        <w:ind w:right="-28"/>
        <w:jc w:val="both"/>
        <w:rPr>
          <w:rFonts w:ascii="Palatino Linotype" w:eastAsia="Palatino Linotype" w:hAnsi="Palatino Linotype" w:cs="Palatino Linotype"/>
          <w:b/>
          <w:bCs/>
          <w:sz w:val="22"/>
          <w:szCs w:val="22"/>
        </w:rPr>
      </w:pPr>
    </w:p>
    <w:p w:rsidR="007D67E3" w:rsidRDefault="008D7E22">
      <w:pPr>
        <w:widowControl w:val="0"/>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Se </w:t>
      </w:r>
      <w:r>
        <w:rPr>
          <w:rFonts w:ascii="Palatino Linotype" w:eastAsia="Palatino Linotype" w:hAnsi="Palatino Linotype" w:cs="Palatino Linotype"/>
          <w:b/>
          <w:bCs/>
          <w:sz w:val="22"/>
          <w:szCs w:val="22"/>
        </w:rPr>
        <w:t xml:space="preserve">MODIFICA </w:t>
      </w:r>
      <w:r>
        <w:rPr>
          <w:rFonts w:ascii="Palatino Linotype" w:eastAsia="Palatino Linotype" w:hAnsi="Palatino Linotype" w:cs="Palatino Linotype"/>
          <w:sz w:val="22"/>
          <w:szCs w:val="22"/>
        </w:rPr>
        <w:t>la</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respuesta entregada por el Sujeto Obligado, por resultar </w:t>
      </w:r>
      <w:r>
        <w:rPr>
          <w:rFonts w:ascii="Palatino Linotype" w:eastAsia="Palatino Linotype" w:hAnsi="Palatino Linotype" w:cs="Palatino Linotype"/>
          <w:b/>
          <w:bCs/>
          <w:smallCaps/>
          <w:sz w:val="22"/>
          <w:szCs w:val="22"/>
        </w:rPr>
        <w:t>FUNDADAS</w:t>
      </w:r>
      <w:r>
        <w:rPr>
          <w:rFonts w:ascii="Palatino Linotype" w:eastAsia="Palatino Linotype" w:hAnsi="Palatino Linotype" w:cs="Palatino Linotype"/>
          <w:sz w:val="22"/>
          <w:szCs w:val="22"/>
        </w:rPr>
        <w:t xml:space="preserve"> las razones o motivos de inconformidad hechos valer por el Recurrente en la solicitud de información 00146/ST/IP/2025, en términos de los considerandos QUINTO y SEXTO de la presente Resolución.</w:t>
      </w:r>
    </w:p>
    <w:p w:rsidR="007D67E3" w:rsidRDefault="007D67E3">
      <w:pPr>
        <w:widowControl w:val="0"/>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bCs/>
          <w:color w:val="000000"/>
          <w:sz w:val="22"/>
          <w:szCs w:val="22"/>
        </w:rPr>
        <w:t xml:space="preserve">SEGUNDO. Se ORDENA </w:t>
      </w:r>
      <w:r>
        <w:rPr>
          <w:rFonts w:ascii="Palatino Linotype" w:eastAsia="Palatino Linotype" w:hAnsi="Palatino Linotype" w:cs="Palatino Linotype"/>
          <w:color w:val="000000"/>
          <w:sz w:val="22"/>
          <w:szCs w:val="22"/>
        </w:rPr>
        <w:t>al Sujeto Obligado, a efecto de que previa búsqueda exhaustiva y razonable en los archivos de las unidades administrativas competentes, entregue a través del Sistema de Acceso a la Información Mexiquense (SAIMEX), en versión pública, el documento donde conste lo siguiente:</w:t>
      </w:r>
    </w:p>
    <w:p w:rsidR="007D67E3" w:rsidRDefault="008D7E22">
      <w:pPr>
        <w:spacing w:line="360" w:lineRule="auto"/>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b/>
      </w:r>
    </w:p>
    <w:p w:rsidR="007D67E3" w:rsidRDefault="008D7E2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Las remuneraciones pagadas a todos los servidores públicos adscritos a la Secretaría del Trabajo, de la primera quincena de octubre de dos mil veinticinco.</w:t>
      </w:r>
    </w:p>
    <w:p w:rsidR="007D67E3" w:rsidRDefault="007D67E3">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Además,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rsidR="007D67E3" w:rsidRDefault="007D67E3">
      <w:pPr>
        <w:spacing w:line="360" w:lineRule="auto"/>
        <w:jc w:val="both"/>
        <w:rPr>
          <w:rFonts w:ascii="Palatino Linotype" w:eastAsia="Palatino Linotype" w:hAnsi="Palatino Linotype" w:cs="Palatino Linotype"/>
          <w:b/>
          <w:bCs/>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TERCERO. NOTIFÍQUESE POR SAIMEX</w:t>
      </w:r>
      <w:r>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eastAsia="Palatino Linotype" w:hAnsi="Palatino Linotype" w:cs="Palatino Linotype"/>
          <w:sz w:val="22"/>
          <w:szCs w:val="22"/>
        </w:rPr>
        <w:lastRenderedPageBreak/>
        <w:t xml:space="preserve">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198 de la Ley de la materia, de considerarlo procedente, el Sujeto Obligado de manera fundada y motivada, podrá solicitar una ampliación de plazo para el cumplimiento de la presente Resolución.</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w:t>
      </w: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CUARTO. NOTIFÍQUESE POR SAIMEX </w:t>
      </w:r>
      <w:r>
        <w:rPr>
          <w:rFonts w:ascii="Palatino Linotype" w:eastAsia="Palatino Linotype" w:hAnsi="Palatino Linotype" w:cs="Palatino Linotype"/>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7D67E3" w:rsidRDefault="007D67E3">
      <w:pPr>
        <w:spacing w:line="360" w:lineRule="auto"/>
        <w:jc w:val="both"/>
        <w:rPr>
          <w:rFonts w:ascii="Palatino Linotype" w:eastAsia="Palatino Linotype" w:hAnsi="Palatino Linotype" w:cs="Palatino Linotype"/>
          <w:sz w:val="22"/>
          <w:szCs w:val="22"/>
        </w:rPr>
      </w:pPr>
    </w:p>
    <w:p w:rsidR="007D67E3" w:rsidRDefault="008D7E22">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rsidR="007D67E3" w:rsidRDefault="007D67E3">
      <w:pPr>
        <w:spacing w:line="360" w:lineRule="auto"/>
        <w:rPr>
          <w:rFonts w:ascii="Palatino Linotype" w:eastAsia="Palatino Linotype" w:hAnsi="Palatino Linotype" w:cs="Palatino Linotype"/>
        </w:rPr>
      </w:pPr>
    </w:p>
    <w:p w:rsidR="007D67E3" w:rsidRDefault="007D67E3">
      <w:pPr>
        <w:spacing w:line="360" w:lineRule="auto"/>
        <w:rPr>
          <w:rFonts w:ascii="Palatino Linotype" w:eastAsia="Palatino Linotype" w:hAnsi="Palatino Linotype" w:cs="Palatino Linotype"/>
        </w:rPr>
      </w:pPr>
    </w:p>
    <w:p w:rsidR="007D67E3" w:rsidRDefault="007D67E3">
      <w:pPr>
        <w:spacing w:line="360" w:lineRule="auto"/>
        <w:rPr>
          <w:rFonts w:ascii="Palatino Linotype" w:eastAsia="Palatino Linotype" w:hAnsi="Palatino Linotype" w:cs="Palatino Linotype"/>
        </w:rPr>
      </w:pPr>
    </w:p>
    <w:p w:rsidR="007D67E3" w:rsidRDefault="007D67E3">
      <w:pPr>
        <w:spacing w:line="360" w:lineRule="auto"/>
        <w:rPr>
          <w:rFonts w:ascii="Palatino Linotype" w:eastAsia="Palatino Linotype" w:hAnsi="Palatino Linotype" w:cs="Palatino Linotype"/>
        </w:rPr>
      </w:pPr>
    </w:p>
    <w:p w:rsidR="007D67E3" w:rsidRDefault="007D67E3">
      <w:pPr>
        <w:spacing w:line="360" w:lineRule="auto"/>
        <w:rPr>
          <w:rFonts w:ascii="Palatino Linotype" w:eastAsia="Palatino Linotype" w:hAnsi="Palatino Linotype" w:cs="Palatino Linotype"/>
        </w:rPr>
      </w:pPr>
    </w:p>
    <w:p w:rsidR="007D67E3" w:rsidRDefault="007D67E3">
      <w:pPr>
        <w:spacing w:line="360" w:lineRule="auto"/>
        <w:rPr>
          <w:rFonts w:ascii="Palatino Linotype" w:eastAsia="Palatino Linotype" w:hAnsi="Palatino Linotype" w:cs="Palatino Linotype"/>
        </w:rPr>
      </w:pPr>
    </w:p>
    <w:p w:rsidR="007D67E3" w:rsidRDefault="007D67E3">
      <w:pPr>
        <w:spacing w:line="360" w:lineRule="auto"/>
        <w:rPr>
          <w:rFonts w:ascii="Palatino Linotype" w:eastAsia="Palatino Linotype" w:hAnsi="Palatino Linotype" w:cs="Palatino Linotype"/>
        </w:rPr>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p>
    <w:p w:rsidR="007D67E3" w:rsidRDefault="007D67E3">
      <w:pPr>
        <w:spacing w:line="360" w:lineRule="auto"/>
      </w:pPr>
      <w:bookmarkStart w:id="32" w:name="_heading=h.6co1rs6dtbva" w:colFirst="0" w:colLast="0"/>
      <w:bookmarkEnd w:id="32"/>
    </w:p>
    <w:sectPr w:rsidR="007D67E3">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EC7" w:rsidRDefault="00C97EC7">
      <w:r>
        <w:separator/>
      </w:r>
    </w:p>
  </w:endnote>
  <w:endnote w:type="continuationSeparator" w:id="0">
    <w:p w:rsidR="00C97EC7" w:rsidRDefault="00C9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6160C10-1380-42EC-B8C5-14F4B1A015F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2C23C34-6042-4591-B564-01A1DA52120D}"/>
    <w:embedBold r:id="rId3" w:fontKey="{A7F9E8FF-723A-47EF-A7CA-8B1AC4431090}"/>
    <w:embedItalic r:id="rId4" w:fontKey="{8467289A-500B-4E55-BC86-8078A7B90610}"/>
    <w:embedBoldItalic r:id="rId5" w:fontKey="{04749BA8-970B-4D45-A308-60AD18D58A8D}"/>
  </w:font>
  <w:font w:name="Calibri">
    <w:panose1 w:val="020F0502020204030204"/>
    <w:charset w:val="00"/>
    <w:family w:val="swiss"/>
    <w:pitch w:val="variable"/>
    <w:sig w:usb0="E4002EFF" w:usb1="C200247B" w:usb2="00000009" w:usb3="00000000" w:csb0="000001FF" w:csb1="00000000"/>
    <w:embedRegular r:id="rId6" w:fontKey="{1ACA0B2C-12A9-4BD4-ABFA-683AD528150A}"/>
  </w:font>
  <w:font w:name="Calibri Light">
    <w:panose1 w:val="020F0302020204030204"/>
    <w:charset w:val="00"/>
    <w:family w:val="swiss"/>
    <w:pitch w:val="variable"/>
    <w:sig w:usb0="E4002EFF" w:usb1="C200247B" w:usb2="00000009" w:usb3="00000000" w:csb0="000001FF" w:csb1="00000000"/>
    <w:embedRegular r:id="rId7" w:fontKey="{F9C7EE1B-1334-41E5-AAA5-A36C17AFE0D7}"/>
  </w:font>
  <w:font w:name="Georgia">
    <w:panose1 w:val="02040502050405020303"/>
    <w:charset w:val="00"/>
    <w:family w:val="roman"/>
    <w:pitch w:val="variable"/>
    <w:sig w:usb0="00000287" w:usb1="00000000" w:usb2="00000000" w:usb3="00000000" w:csb0="0000009F" w:csb1="00000000"/>
    <w:embedItalic r:id="rId8" w:fontKey="{82C66BCF-C365-4CB7-B942-B728D276AD7F}"/>
  </w:font>
  <w:font w:name="Garamond">
    <w:panose1 w:val="02020404030301010803"/>
    <w:charset w:val="00"/>
    <w:family w:val="roman"/>
    <w:pitch w:val="variable"/>
    <w:sig w:usb0="00000287" w:usb1="00000000" w:usb2="00000000" w:usb3="00000000" w:csb0="0000009F" w:csb1="00000000"/>
    <w:embedRegular r:id="rId9" w:fontKey="{1AA3AB5E-64F1-4768-AB1E-E83C402F993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E3" w:rsidRDefault="008D7E22">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626677">
      <w:rPr>
        <w:rFonts w:ascii="Palatino Linotype" w:eastAsia="Palatino Linotype" w:hAnsi="Palatino Linotype" w:cs="Palatino Linotype"/>
        <w:b/>
        <w:bCs/>
        <w:noProof/>
        <w:color w:val="000000"/>
        <w:sz w:val="22"/>
        <w:szCs w:val="22"/>
      </w:rPr>
      <w:t>27</w:t>
    </w:r>
    <w:r>
      <w:rPr>
        <w:rFonts w:ascii="Palatino Linotype" w:eastAsia="Palatino Linotype" w:hAnsi="Palatino Linotype" w:cs="Palatino Linotype"/>
        <w:b/>
        <w:bCs/>
        <w:color w:val="000000"/>
        <w:sz w:val="22"/>
        <w:szCs w:val="22"/>
      </w:rPr>
      <w:fldChar w:fldCharType="end"/>
    </w:r>
  </w:p>
  <w:p w:rsidR="007D67E3" w:rsidRDefault="007D67E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E3" w:rsidRDefault="008D7E22">
    <w:pPr>
      <w:pBdr>
        <w:top w:val="nil"/>
        <w:left w:val="nil"/>
        <w:bottom w:val="nil"/>
        <w:right w:val="nil"/>
        <w:between w:val="nil"/>
      </w:pBdr>
      <w:tabs>
        <w:tab w:val="center" w:pos="4419"/>
        <w:tab w:val="right" w:pos="8838"/>
      </w:tabs>
      <w:jc w:val="right"/>
      <w:rPr>
        <w:color w:val="000000"/>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C29C3">
      <w:rPr>
        <w:rFonts w:ascii="Palatino Linotype" w:eastAsia="Palatino Linotype" w:hAnsi="Palatino Linotype" w:cs="Palatino Linotype"/>
        <w:b/>
        <w:bCs/>
        <w:noProof/>
        <w:color w:val="000000"/>
        <w:sz w:val="22"/>
        <w:szCs w:val="22"/>
      </w:rPr>
      <w:t>22</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C29C3">
      <w:rPr>
        <w:rFonts w:ascii="Palatino Linotype" w:eastAsia="Palatino Linotype" w:hAnsi="Palatino Linotype" w:cs="Palatino Linotype"/>
        <w:b/>
        <w:bCs/>
        <w:noProof/>
        <w:color w:val="000000"/>
        <w:sz w:val="22"/>
        <w:szCs w:val="22"/>
      </w:rPr>
      <w:t>27</w:t>
    </w:r>
    <w:r>
      <w:rPr>
        <w:rFonts w:ascii="Palatino Linotype" w:eastAsia="Palatino Linotype" w:hAnsi="Palatino Linotype" w:cs="Palatino Linotype"/>
        <w:b/>
        <w:bCs/>
        <w:color w:val="000000"/>
        <w:sz w:val="22"/>
        <w:szCs w:val="22"/>
      </w:rPr>
      <w:fldChar w:fldCharType="end"/>
    </w:r>
  </w:p>
  <w:p w:rsidR="007D67E3" w:rsidRDefault="007D67E3">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E3" w:rsidRDefault="008D7E2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FC29C3">
      <w:rPr>
        <w:rFonts w:ascii="Palatino Linotype" w:eastAsia="Palatino Linotype" w:hAnsi="Palatino Linotype" w:cs="Palatino Linotype"/>
        <w:b/>
        <w:bCs/>
        <w:noProof/>
        <w:color w:val="000000"/>
        <w:sz w:val="22"/>
        <w:szCs w:val="22"/>
      </w:rPr>
      <w:t>1</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FC29C3">
      <w:rPr>
        <w:rFonts w:ascii="Palatino Linotype" w:eastAsia="Palatino Linotype" w:hAnsi="Palatino Linotype" w:cs="Palatino Linotype"/>
        <w:b/>
        <w:bCs/>
        <w:noProof/>
        <w:color w:val="000000"/>
        <w:sz w:val="22"/>
        <w:szCs w:val="22"/>
      </w:rPr>
      <w:t>27</w:t>
    </w:r>
    <w:r>
      <w:rPr>
        <w:rFonts w:ascii="Palatino Linotype" w:eastAsia="Palatino Linotype" w:hAnsi="Palatino Linotype" w:cs="Palatino Linotype"/>
        <w:b/>
        <w:bCs/>
        <w:color w:val="000000"/>
        <w:sz w:val="22"/>
        <w:szCs w:val="22"/>
      </w:rPr>
      <w:fldChar w:fldCharType="end"/>
    </w:r>
  </w:p>
  <w:p w:rsidR="007D67E3" w:rsidRDefault="007D67E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EC7" w:rsidRDefault="00C97EC7">
      <w:r>
        <w:separator/>
      </w:r>
    </w:p>
  </w:footnote>
  <w:footnote w:type="continuationSeparator" w:id="0">
    <w:p w:rsidR="00C97EC7" w:rsidRDefault="00C97E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E3" w:rsidRDefault="007D67E3">
    <w:pPr>
      <w:widowControl w:val="0"/>
      <w:pBdr>
        <w:top w:val="nil"/>
        <w:left w:val="nil"/>
        <w:bottom w:val="nil"/>
        <w:right w:val="nil"/>
        <w:between w:val="nil"/>
      </w:pBdr>
      <w:spacing w:line="276" w:lineRule="auto"/>
    </w:pPr>
  </w:p>
  <w:tbl>
    <w:tblPr>
      <w:tblStyle w:val="a5"/>
      <w:tblW w:w="9705" w:type="dxa"/>
      <w:tblInd w:w="0" w:type="dxa"/>
      <w:tblLayout w:type="fixed"/>
      <w:tblLook w:val="0400" w:firstRow="0" w:lastRow="0" w:firstColumn="0" w:lastColumn="0" w:noHBand="0" w:noVBand="1"/>
    </w:tblPr>
    <w:tblGrid>
      <w:gridCol w:w="2972"/>
      <w:gridCol w:w="6733"/>
    </w:tblGrid>
    <w:tr w:rsidR="007D67E3">
      <w:trPr>
        <w:trHeight w:val="1435"/>
      </w:trPr>
      <w:tc>
        <w:tcPr>
          <w:tcW w:w="0" w:type="auto"/>
        </w:tcPr>
        <w:p w:rsidR="007D67E3" w:rsidRDefault="007D67E3">
          <w:pPr>
            <w:tabs>
              <w:tab w:val="right" w:pos="4273"/>
            </w:tabs>
            <w:spacing w:line="256" w:lineRule="auto"/>
            <w:rPr>
              <w:rFonts w:ascii="Garamond" w:eastAsia="Garamond" w:hAnsi="Garamond" w:cs="Garamond"/>
              <w:sz w:val="22"/>
              <w:szCs w:val="22"/>
            </w:rPr>
          </w:pPr>
        </w:p>
      </w:tc>
      <w:tc>
        <w:tcPr>
          <w:tcW w:w="0" w:type="auto"/>
        </w:tcPr>
        <w:p w:rsidR="007D67E3" w:rsidRDefault="007D67E3">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6"/>
            <w:tblW w:w="5535" w:type="dxa"/>
            <w:tblInd w:w="322" w:type="dxa"/>
            <w:tblBorders>
              <w:top w:val="nil"/>
              <w:left w:val="nil"/>
              <w:bottom w:val="nil"/>
              <w:right w:val="nil"/>
              <w:insideH w:val="nil"/>
              <w:insideV w:val="nil"/>
            </w:tblBorders>
            <w:tblLayout w:type="fixed"/>
            <w:tblLook w:val="0400" w:firstRow="0" w:lastRow="0" w:firstColumn="0" w:lastColumn="0" w:noHBand="0" w:noVBand="1"/>
          </w:tblPr>
          <w:tblGrid>
            <w:gridCol w:w="2447"/>
            <w:gridCol w:w="3088"/>
          </w:tblGrid>
          <w:tr w:rsidR="007D67E3">
            <w:trPr>
              <w:trHeight w:val="144"/>
            </w:trPr>
            <w:tc>
              <w:tcPr>
                <w:tcW w:w="0" w:type="auto"/>
              </w:tcPr>
              <w:p w:rsidR="007D67E3" w:rsidRDefault="008D7E22">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0" w:type="auto"/>
              </w:tcPr>
              <w:p w:rsidR="007D67E3" w:rsidRDefault="008D7E2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02946/INFOEM/IP/RR/2021</w:t>
                </w:r>
              </w:p>
            </w:tc>
          </w:tr>
          <w:tr w:rsidR="007D67E3">
            <w:trPr>
              <w:trHeight w:val="283"/>
            </w:trPr>
            <w:tc>
              <w:tcPr>
                <w:tcW w:w="0" w:type="auto"/>
              </w:tcPr>
              <w:p w:rsidR="007D67E3" w:rsidRDefault="008D7E2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0" w:type="auto"/>
              </w:tcPr>
              <w:p w:rsidR="007D67E3" w:rsidRDefault="008D7E22">
                <w:pPr>
                  <w:tabs>
                    <w:tab w:val="left" w:pos="2834"/>
                    <w:tab w:val="right" w:pos="8838"/>
                  </w:tabs>
                  <w:ind w:left="-74" w:right="-105"/>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Ayuntamiento de San Antonio la Isla</w:t>
                </w:r>
              </w:p>
            </w:tc>
          </w:tr>
          <w:tr w:rsidR="007D67E3">
            <w:trPr>
              <w:trHeight w:val="283"/>
            </w:trPr>
            <w:tc>
              <w:tcPr>
                <w:tcW w:w="0" w:type="auto"/>
              </w:tcPr>
              <w:p w:rsidR="007D67E3" w:rsidRDefault="008D7E2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0" w:type="auto"/>
              </w:tcPr>
              <w:p w:rsidR="007D67E3" w:rsidRDefault="008D7E2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p w:rsidR="007D67E3" w:rsidRDefault="007D67E3">
                <w:pPr>
                  <w:tabs>
                    <w:tab w:val="right" w:pos="8838"/>
                  </w:tabs>
                  <w:ind w:left="-74" w:right="-105"/>
                  <w:jc w:val="both"/>
                  <w:rPr>
                    <w:rFonts w:ascii="Palatino Linotype" w:eastAsia="Palatino Linotype" w:hAnsi="Palatino Linotype" w:cs="Palatino Linotype"/>
                    <w:b/>
                    <w:bCs/>
                    <w:sz w:val="22"/>
                    <w:szCs w:val="22"/>
                  </w:rPr>
                </w:pPr>
              </w:p>
            </w:tc>
          </w:tr>
        </w:tbl>
        <w:p w:rsidR="007D67E3" w:rsidRDefault="007D67E3">
          <w:pPr>
            <w:tabs>
              <w:tab w:val="right" w:pos="8838"/>
            </w:tabs>
            <w:spacing w:line="256" w:lineRule="auto"/>
            <w:ind w:left="-28"/>
            <w:jc w:val="both"/>
            <w:rPr>
              <w:rFonts w:ascii="Arial" w:eastAsia="Arial" w:hAnsi="Arial" w:cs="Arial"/>
              <w:b/>
              <w:bCs/>
              <w:sz w:val="22"/>
              <w:szCs w:val="22"/>
            </w:rPr>
          </w:pPr>
        </w:p>
      </w:tc>
    </w:tr>
  </w:tbl>
  <w:p w:rsidR="007D67E3" w:rsidRDefault="008D7E22">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7728" behindDoc="1" locked="0" layoutInCell="1" hidden="0" allowOverlap="1">
          <wp:simplePos x="0" y="0"/>
          <wp:positionH relativeFrom="margin">
            <wp:posOffset>-1381123</wp:posOffset>
          </wp:positionH>
          <wp:positionV relativeFrom="margin">
            <wp:posOffset>-1611628</wp:posOffset>
          </wp:positionV>
          <wp:extent cx="5612130" cy="7308215"/>
          <wp:effectExtent l="0" t="0" r="0" b="0"/>
          <wp:wrapNone/>
          <wp:docPr id="30647865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12130" cy="73082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E3" w:rsidRDefault="007D67E3">
    <w:pPr>
      <w:widowControl w:val="0"/>
      <w:pBdr>
        <w:top w:val="nil"/>
        <w:left w:val="nil"/>
        <w:bottom w:val="nil"/>
        <w:right w:val="nil"/>
        <w:between w:val="nil"/>
      </w:pBdr>
      <w:spacing w:line="276" w:lineRule="auto"/>
      <w:rPr>
        <w:color w:val="000000"/>
      </w:rPr>
    </w:pPr>
  </w:p>
  <w:tbl>
    <w:tblPr>
      <w:tblStyle w:val="a7"/>
      <w:tblW w:w="9073" w:type="dxa"/>
      <w:tblInd w:w="0" w:type="dxa"/>
      <w:tblLayout w:type="fixed"/>
      <w:tblLook w:val="0400" w:firstRow="0" w:lastRow="0" w:firstColumn="0" w:lastColumn="0" w:noHBand="0" w:noVBand="1"/>
    </w:tblPr>
    <w:tblGrid>
      <w:gridCol w:w="1276"/>
      <w:gridCol w:w="7797"/>
    </w:tblGrid>
    <w:tr w:rsidR="007D67E3">
      <w:trPr>
        <w:trHeight w:val="1435"/>
      </w:trPr>
      <w:tc>
        <w:tcPr>
          <w:tcW w:w="1276" w:type="dxa"/>
        </w:tcPr>
        <w:p w:rsidR="007D67E3" w:rsidRDefault="007D67E3">
          <w:pPr>
            <w:tabs>
              <w:tab w:val="right" w:pos="4273"/>
            </w:tabs>
            <w:spacing w:line="256" w:lineRule="auto"/>
            <w:rPr>
              <w:rFonts w:ascii="Garamond" w:eastAsia="Garamond" w:hAnsi="Garamond" w:cs="Garamond"/>
              <w:sz w:val="22"/>
              <w:szCs w:val="22"/>
            </w:rPr>
          </w:pPr>
        </w:p>
      </w:tc>
      <w:tc>
        <w:tcPr>
          <w:tcW w:w="7797" w:type="dxa"/>
        </w:tcPr>
        <w:p w:rsidR="007D67E3" w:rsidRDefault="007D67E3">
          <w:pPr>
            <w:rPr>
              <w:sz w:val="28"/>
              <w:szCs w:val="28"/>
            </w:rPr>
          </w:pPr>
        </w:p>
        <w:tbl>
          <w:tblPr>
            <w:tblStyle w:val="a8"/>
            <w:tblW w:w="8495" w:type="dxa"/>
            <w:tblInd w:w="1449" w:type="dxa"/>
            <w:tblBorders>
              <w:top w:val="nil"/>
              <w:left w:val="nil"/>
              <w:bottom w:val="nil"/>
              <w:right w:val="nil"/>
              <w:insideH w:val="nil"/>
              <w:insideV w:val="nil"/>
            </w:tblBorders>
            <w:tblLayout w:type="fixed"/>
            <w:tblLook w:val="0400" w:firstRow="0" w:lastRow="0" w:firstColumn="0" w:lastColumn="0" w:noHBand="0" w:noVBand="1"/>
          </w:tblPr>
          <w:tblGrid>
            <w:gridCol w:w="3263"/>
            <w:gridCol w:w="2836"/>
            <w:gridCol w:w="2396"/>
          </w:tblGrid>
          <w:tr w:rsidR="007D67E3">
            <w:trPr>
              <w:trHeight w:val="194"/>
            </w:trPr>
            <w:tc>
              <w:tcPr>
                <w:tcW w:w="3263" w:type="dxa"/>
              </w:tcPr>
              <w:p w:rsidR="007D67E3" w:rsidRDefault="008D7E22">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6" w:type="dxa"/>
              </w:tcPr>
              <w:p w:rsidR="007D67E3" w:rsidRDefault="008D7E22">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13241/INFOEM/IP/RR/2025</w:t>
                </w:r>
              </w:p>
            </w:tc>
            <w:tc>
              <w:tcPr>
                <w:tcW w:w="2396" w:type="dxa"/>
              </w:tcPr>
              <w:p w:rsidR="007D67E3" w:rsidRDefault="007D67E3">
                <w:pPr>
                  <w:tabs>
                    <w:tab w:val="right" w:pos="8838"/>
                  </w:tabs>
                  <w:ind w:left="-114" w:right="-105"/>
                  <w:jc w:val="both"/>
                  <w:rPr>
                    <w:rFonts w:ascii="Palatino Linotype" w:eastAsia="Palatino Linotype" w:hAnsi="Palatino Linotype" w:cs="Palatino Linotype"/>
                    <w:sz w:val="22"/>
                    <w:szCs w:val="22"/>
                  </w:rPr>
                </w:pPr>
              </w:p>
            </w:tc>
          </w:tr>
          <w:tr w:rsidR="007D67E3">
            <w:trPr>
              <w:trHeight w:val="88"/>
            </w:trPr>
            <w:tc>
              <w:tcPr>
                <w:tcW w:w="3263" w:type="dxa"/>
              </w:tcPr>
              <w:p w:rsidR="007D67E3" w:rsidRDefault="008D7E22">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6" w:type="dxa"/>
              </w:tcPr>
              <w:p w:rsidR="007D67E3" w:rsidRDefault="008D7E22">
                <w:pPr>
                  <w:tabs>
                    <w:tab w:val="left" w:pos="2834"/>
                    <w:tab w:val="right" w:pos="8838"/>
                  </w:tabs>
                  <w:ind w:left="-114"/>
                  <w:jc w:val="both"/>
                  <w:rPr>
                    <w:rFonts w:ascii="Palatino Linotype" w:eastAsia="Palatino Linotype" w:hAnsi="Palatino Linotype" w:cs="Palatino Linotype"/>
                    <w:b/>
                    <w:bCs/>
                    <w:sz w:val="32"/>
                    <w:szCs w:val="32"/>
                  </w:rPr>
                </w:pPr>
                <w:r>
                  <w:rPr>
                    <w:rFonts w:ascii="Palatino Linotype" w:eastAsia="Palatino Linotype" w:hAnsi="Palatino Linotype" w:cs="Palatino Linotype"/>
                    <w:sz w:val="22"/>
                    <w:szCs w:val="22"/>
                  </w:rPr>
                  <w:t>Secretaría del Trabajo</w:t>
                </w:r>
              </w:p>
            </w:tc>
            <w:tc>
              <w:tcPr>
                <w:tcW w:w="2396" w:type="dxa"/>
              </w:tcPr>
              <w:p w:rsidR="007D67E3" w:rsidRDefault="007D67E3">
                <w:pPr>
                  <w:tabs>
                    <w:tab w:val="left" w:pos="2834"/>
                    <w:tab w:val="right" w:pos="8838"/>
                  </w:tabs>
                  <w:ind w:left="-114"/>
                  <w:jc w:val="both"/>
                  <w:rPr>
                    <w:rFonts w:ascii="Palatino Linotype" w:eastAsia="Palatino Linotype" w:hAnsi="Palatino Linotype" w:cs="Palatino Linotype"/>
                    <w:sz w:val="22"/>
                    <w:szCs w:val="22"/>
                  </w:rPr>
                </w:pPr>
              </w:p>
            </w:tc>
          </w:tr>
          <w:tr w:rsidR="007D67E3">
            <w:trPr>
              <w:trHeight w:val="383"/>
            </w:trPr>
            <w:tc>
              <w:tcPr>
                <w:tcW w:w="3263" w:type="dxa"/>
              </w:tcPr>
              <w:p w:rsidR="007D67E3" w:rsidRDefault="008D7E22">
                <w:pPr>
                  <w:tabs>
                    <w:tab w:val="right" w:pos="8838"/>
                  </w:tabs>
                  <w:ind w:left="-11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2836" w:type="dxa"/>
              </w:tcPr>
              <w:p w:rsidR="007D67E3" w:rsidRDefault="008D7E22">
                <w:pPr>
                  <w:tabs>
                    <w:tab w:val="right" w:pos="8838"/>
                  </w:tabs>
                  <w:ind w:left="-11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c>
              <w:tcPr>
                <w:tcW w:w="2396" w:type="dxa"/>
              </w:tcPr>
              <w:p w:rsidR="007D67E3" w:rsidRDefault="007D67E3">
                <w:pPr>
                  <w:tabs>
                    <w:tab w:val="right" w:pos="8838"/>
                  </w:tabs>
                  <w:ind w:left="-114" w:right="-105"/>
                  <w:jc w:val="both"/>
                  <w:rPr>
                    <w:rFonts w:ascii="Palatino Linotype" w:eastAsia="Palatino Linotype" w:hAnsi="Palatino Linotype" w:cs="Palatino Linotype"/>
                    <w:sz w:val="22"/>
                    <w:szCs w:val="22"/>
                  </w:rPr>
                </w:pPr>
              </w:p>
            </w:tc>
          </w:tr>
        </w:tbl>
        <w:p w:rsidR="007D67E3" w:rsidRDefault="007D67E3">
          <w:pPr>
            <w:tabs>
              <w:tab w:val="right" w:pos="8838"/>
            </w:tabs>
            <w:spacing w:line="256" w:lineRule="auto"/>
            <w:ind w:left="-28"/>
            <w:jc w:val="both"/>
            <w:rPr>
              <w:rFonts w:ascii="Arial" w:eastAsia="Arial" w:hAnsi="Arial" w:cs="Arial"/>
              <w:b/>
              <w:bCs/>
              <w:sz w:val="22"/>
              <w:szCs w:val="22"/>
            </w:rPr>
          </w:pPr>
        </w:p>
      </w:tc>
    </w:tr>
  </w:tbl>
  <w:p w:rsidR="007D67E3" w:rsidRDefault="008D7E22">
    <w:pPr>
      <w:pBdr>
        <w:top w:val="nil"/>
        <w:left w:val="nil"/>
        <w:bottom w:val="nil"/>
        <w:right w:val="nil"/>
        <w:between w:val="nil"/>
      </w:pBdr>
      <w:tabs>
        <w:tab w:val="center" w:pos="4419"/>
        <w:tab w:val="right" w:pos="8838"/>
      </w:tabs>
      <w:rPr>
        <w:color w:val="000000"/>
      </w:rPr>
    </w:pPr>
    <w:r>
      <w:rPr>
        <w:rFonts w:ascii="Garamond" w:eastAsia="Garamond" w:hAnsi="Garamond" w:cs="Garamond"/>
        <w:noProof/>
        <w:color w:val="000000"/>
        <w:sz w:val="22"/>
        <w:szCs w:val="22"/>
      </w:rPr>
      <w:drawing>
        <wp:anchor distT="0" distB="0" distL="0" distR="0" simplePos="0" relativeHeight="251656704" behindDoc="1" locked="0" layoutInCell="1" hidden="0" allowOverlap="1">
          <wp:simplePos x="0" y="0"/>
          <wp:positionH relativeFrom="margin">
            <wp:posOffset>-1153157</wp:posOffset>
          </wp:positionH>
          <wp:positionV relativeFrom="margin">
            <wp:posOffset>-1539238</wp:posOffset>
          </wp:positionV>
          <wp:extent cx="7835900" cy="10203815"/>
          <wp:effectExtent l="0" t="0" r="0" b="0"/>
          <wp:wrapNone/>
          <wp:docPr id="306478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35900" cy="102038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67E3" w:rsidRDefault="007D67E3">
    <w:pPr>
      <w:widowControl w:val="0"/>
      <w:pBdr>
        <w:top w:val="nil"/>
        <w:left w:val="nil"/>
        <w:bottom w:val="nil"/>
        <w:right w:val="nil"/>
        <w:between w:val="nil"/>
      </w:pBdr>
      <w:spacing w:line="276" w:lineRule="auto"/>
      <w:rPr>
        <w:color w:val="000000"/>
      </w:rPr>
    </w:pPr>
  </w:p>
  <w:tbl>
    <w:tblPr>
      <w:tblStyle w:val="a9"/>
      <w:tblW w:w="9214" w:type="dxa"/>
      <w:tblInd w:w="0" w:type="dxa"/>
      <w:tblLayout w:type="fixed"/>
      <w:tblLook w:val="0400" w:firstRow="0" w:lastRow="0" w:firstColumn="0" w:lastColumn="0" w:noHBand="0" w:noVBand="1"/>
    </w:tblPr>
    <w:tblGrid>
      <w:gridCol w:w="1560"/>
      <w:gridCol w:w="7654"/>
    </w:tblGrid>
    <w:tr w:rsidR="007D67E3">
      <w:trPr>
        <w:trHeight w:val="1435"/>
      </w:trPr>
      <w:tc>
        <w:tcPr>
          <w:tcW w:w="1560" w:type="dxa"/>
        </w:tcPr>
        <w:p w:rsidR="007D67E3" w:rsidRDefault="007D67E3">
          <w:pPr>
            <w:tabs>
              <w:tab w:val="right" w:pos="4273"/>
            </w:tabs>
            <w:spacing w:line="256" w:lineRule="auto"/>
            <w:rPr>
              <w:rFonts w:ascii="Garamond" w:eastAsia="Garamond" w:hAnsi="Garamond" w:cs="Garamond"/>
              <w:sz w:val="22"/>
              <w:szCs w:val="22"/>
            </w:rPr>
          </w:pPr>
        </w:p>
      </w:tc>
      <w:tc>
        <w:tcPr>
          <w:tcW w:w="7654" w:type="dxa"/>
        </w:tcPr>
        <w:p w:rsidR="007D67E3" w:rsidRDefault="007D67E3">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a"/>
            <w:tblW w:w="7111" w:type="dxa"/>
            <w:tblInd w:w="607" w:type="dxa"/>
            <w:tblBorders>
              <w:top w:val="nil"/>
              <w:left w:val="nil"/>
              <w:bottom w:val="nil"/>
              <w:right w:val="nil"/>
              <w:insideH w:val="nil"/>
              <w:insideV w:val="nil"/>
            </w:tblBorders>
            <w:tblLayout w:type="fixed"/>
            <w:tblLook w:val="0400" w:firstRow="0" w:lastRow="0" w:firstColumn="0" w:lastColumn="0" w:noHBand="0" w:noVBand="1"/>
          </w:tblPr>
          <w:tblGrid>
            <w:gridCol w:w="3820"/>
            <w:gridCol w:w="2832"/>
            <w:gridCol w:w="459"/>
          </w:tblGrid>
          <w:tr w:rsidR="007D67E3">
            <w:trPr>
              <w:gridAfter w:val="1"/>
              <w:wAfter w:w="459" w:type="dxa"/>
              <w:trHeight w:val="132"/>
            </w:trPr>
            <w:tc>
              <w:tcPr>
                <w:tcW w:w="3820" w:type="dxa"/>
              </w:tcPr>
              <w:p w:rsidR="007D67E3" w:rsidRDefault="008D7E22">
                <w:pPr>
                  <w:tabs>
                    <w:tab w:val="right" w:pos="8838"/>
                  </w:tabs>
                  <w:ind w:left="-69"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Recurso de Revisión:</w:t>
                </w:r>
              </w:p>
            </w:tc>
            <w:tc>
              <w:tcPr>
                <w:tcW w:w="2832" w:type="dxa"/>
              </w:tcPr>
              <w:p w:rsidR="007D67E3" w:rsidRDefault="008D7E2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13241/INFOEM/IP/RR/2025 </w:t>
                </w:r>
              </w:p>
            </w:tc>
          </w:tr>
          <w:tr w:rsidR="007D67E3">
            <w:trPr>
              <w:gridAfter w:val="1"/>
              <w:wAfter w:w="459" w:type="dxa"/>
              <w:trHeight w:val="132"/>
            </w:trPr>
            <w:tc>
              <w:tcPr>
                <w:tcW w:w="3820" w:type="dxa"/>
              </w:tcPr>
              <w:p w:rsidR="007D67E3" w:rsidRDefault="008D7E2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Recurrente:</w:t>
                </w:r>
              </w:p>
            </w:tc>
            <w:tc>
              <w:tcPr>
                <w:tcW w:w="2832" w:type="dxa"/>
              </w:tcPr>
              <w:p w:rsidR="007D67E3" w:rsidRDefault="00FC29C3">
                <w:pPr>
                  <w:tabs>
                    <w:tab w:val="left" w:pos="3122"/>
                    <w:tab w:val="right" w:pos="8838"/>
                  </w:tabs>
                  <w:ind w:left="-74" w:right="-105"/>
                  <w:jc w:val="both"/>
                  <w:rPr>
                    <w:rFonts w:ascii="Palatino Linotype" w:eastAsia="Palatino Linotype" w:hAnsi="Palatino Linotype" w:cs="Palatino Linotype"/>
                    <w:sz w:val="22"/>
                    <w:szCs w:val="22"/>
                  </w:rPr>
                </w:pPr>
                <w:r w:rsidRPr="00FC29C3">
                  <w:rPr>
                    <w:rFonts w:ascii="Palatino Linotype" w:eastAsia="Palatino Linotype" w:hAnsi="Palatino Linotype" w:cs="Palatino Linotype"/>
                    <w:sz w:val="22"/>
                    <w:szCs w:val="22"/>
                    <w:highlight w:val="black"/>
                  </w:rPr>
                  <w:t>XXXXXXXXXX</w:t>
                </w:r>
              </w:p>
            </w:tc>
          </w:tr>
          <w:tr w:rsidR="007D67E3">
            <w:trPr>
              <w:gridAfter w:val="1"/>
              <w:wAfter w:w="459" w:type="dxa"/>
              <w:trHeight w:val="261"/>
            </w:trPr>
            <w:tc>
              <w:tcPr>
                <w:tcW w:w="3820" w:type="dxa"/>
              </w:tcPr>
              <w:p w:rsidR="007D67E3" w:rsidRDefault="008D7E2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Sujeto Obligado:</w:t>
                </w:r>
              </w:p>
            </w:tc>
            <w:tc>
              <w:tcPr>
                <w:tcW w:w="2832" w:type="dxa"/>
              </w:tcPr>
              <w:p w:rsidR="007D67E3" w:rsidRDefault="008D7E22">
                <w:pPr>
                  <w:tabs>
                    <w:tab w:val="left" w:pos="2834"/>
                    <w:tab w:val="right" w:pos="8838"/>
                  </w:tabs>
                  <w:ind w:left="-7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Secretaria del Trabajo</w:t>
                </w:r>
              </w:p>
            </w:tc>
          </w:tr>
          <w:tr w:rsidR="007D67E3">
            <w:trPr>
              <w:trHeight w:val="261"/>
            </w:trPr>
            <w:tc>
              <w:tcPr>
                <w:tcW w:w="3820" w:type="dxa"/>
              </w:tcPr>
              <w:p w:rsidR="007D67E3" w:rsidRDefault="008D7E22">
                <w:pPr>
                  <w:tabs>
                    <w:tab w:val="right" w:pos="8838"/>
                  </w:tabs>
                  <w:ind w:left="-74" w:right="-10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                          Comisionado Ponente:</w:t>
                </w:r>
              </w:p>
            </w:tc>
            <w:tc>
              <w:tcPr>
                <w:tcW w:w="3291" w:type="dxa"/>
                <w:gridSpan w:val="2"/>
              </w:tcPr>
              <w:p w:rsidR="007D67E3" w:rsidRDefault="008D7E22">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7D67E3" w:rsidRDefault="007D67E3">
          <w:pPr>
            <w:tabs>
              <w:tab w:val="right" w:pos="8838"/>
            </w:tabs>
            <w:spacing w:line="256" w:lineRule="auto"/>
            <w:ind w:left="-28"/>
            <w:jc w:val="both"/>
            <w:rPr>
              <w:rFonts w:ascii="Arial" w:eastAsia="Arial" w:hAnsi="Arial" w:cs="Arial"/>
              <w:b/>
              <w:bCs/>
              <w:sz w:val="22"/>
              <w:szCs w:val="22"/>
            </w:rPr>
          </w:pPr>
        </w:p>
      </w:tc>
    </w:tr>
  </w:tbl>
  <w:p w:rsidR="007D67E3" w:rsidRDefault="00C97EC7">
    <w:pPr>
      <w:pBdr>
        <w:top w:val="nil"/>
        <w:left w:val="nil"/>
        <w:bottom w:val="nil"/>
        <w:right w:val="nil"/>
        <w:between w:val="nil"/>
      </w:pBdr>
      <w:tabs>
        <w:tab w:val="center" w:pos="4419"/>
        <w:tab w:val="right" w:pos="8838"/>
      </w:tabs>
      <w:rPr>
        <w:color w:val="000000"/>
      </w:rPr>
    </w:pPr>
    <w:r>
      <w:rPr>
        <w:rFonts w:ascii="Garamond" w:eastAsia="Garamond" w:hAnsi="Garamond" w:cs="Garamond"/>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85.8pt;margin-top:-134.85pt;width:663.5pt;height:12in;z-index:-25165772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16B0F"/>
    <w:multiLevelType w:val="multilevel"/>
    <w:tmpl w:val="D01E917C"/>
    <w:lvl w:ilvl="0">
      <w:start w:val="1"/>
      <w:numFmt w:val="lowerLetter"/>
      <w:lvlText w:val="%1)"/>
      <w:lvlJc w:val="left"/>
      <w:pPr>
        <w:ind w:left="720" w:hanging="360"/>
      </w:pPr>
      <w:rPr>
        <w:rFonts w:ascii="Times New Roman" w:eastAsia="Times New Roman" w:hAnsi="Times New Roman" w:cs="Times New Roman"/>
        <w:b/>
        <w:bCs/>
        <w:sz w:val="22"/>
        <w:szCs w:val="22"/>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 w15:restartNumberingAfterBreak="0">
    <w:nsid w:val="16E33CD6"/>
    <w:multiLevelType w:val="multilevel"/>
    <w:tmpl w:val="3A5E8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D04D03"/>
    <w:multiLevelType w:val="multilevel"/>
    <w:tmpl w:val="5F20EC46"/>
    <w:lvl w:ilvl="0">
      <w:start w:val="3"/>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60624ED7"/>
    <w:multiLevelType w:val="multilevel"/>
    <w:tmpl w:val="AF362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7E3"/>
    <w:rsid w:val="00626677"/>
    <w:rsid w:val="00746CB8"/>
    <w:rsid w:val="007A41AF"/>
    <w:rsid w:val="007D67E3"/>
    <w:rsid w:val="008D7E22"/>
    <w:rsid w:val="00C97EC7"/>
    <w:rsid w:val="00D61D8D"/>
    <w:rsid w:val="00DC15FB"/>
    <w:rsid w:val="00FA6651"/>
    <w:rsid w:val="00FC29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69EB0DD-D727-460A-9454-D83D5D308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Calibri" w:eastAsia="Calibri" w:hAnsi="Calibri" w:cs="Calibri"/>
      <w:color w:val="2E75B5"/>
      <w:sz w:val="40"/>
      <w:szCs w:val="40"/>
    </w:rPr>
  </w:style>
  <w:style w:type="paragraph" w:styleId="Ttulo2">
    <w:name w:val="heading 2"/>
    <w:basedOn w:val="Normal"/>
    <w:next w:val="Normal"/>
    <w:pPr>
      <w:keepNext/>
      <w:keepLines/>
      <w:spacing w:before="160" w:after="80"/>
      <w:outlineLvl w:val="1"/>
    </w:pPr>
    <w:rPr>
      <w:rFonts w:ascii="Calibri" w:eastAsia="Calibri" w:hAnsi="Calibri" w:cs="Calibri"/>
      <w:color w:val="2E75B5"/>
      <w:sz w:val="32"/>
      <w:szCs w:val="3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A120EB"/>
    <w:rPr>
      <w:rFonts w:asciiTheme="majorHAnsi" w:eastAsiaTheme="majorEastAsia" w:hAnsiTheme="majorHAnsi" w:cstheme="majorBidi"/>
      <w:color w:val="2E74B5" w:themeColor="accent1" w:themeShade="BF"/>
      <w:sz w:val="40"/>
      <w:szCs w:val="40"/>
      <w:lang w:eastAsia="es-ES"/>
    </w:rPr>
  </w:style>
  <w:style w:type="character" w:customStyle="1" w:styleId="Ttulo2Car">
    <w:name w:val="Título 2 Car"/>
    <w:basedOn w:val="Fuentedeprrafopredeter"/>
    <w:uiPriority w:val="9"/>
    <w:rsid w:val="00A120EB"/>
    <w:rPr>
      <w:rFonts w:asciiTheme="majorHAnsi" w:eastAsiaTheme="majorEastAsia" w:hAnsiTheme="majorHAnsi" w:cstheme="majorBidi"/>
      <w:color w:val="2E74B5" w:themeColor="accent1" w:themeShade="BF"/>
      <w:sz w:val="32"/>
      <w:szCs w:val="32"/>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120E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A120EB"/>
    <w:rPr>
      <w:rFonts w:ascii="Times New Roman" w:eastAsia="Times New Roman" w:hAnsi="Times New Roman" w:cs="Times New Roman"/>
      <w:sz w:val="20"/>
      <w:szCs w:val="20"/>
      <w:lang w:eastAsia="es-ES"/>
    </w:rPr>
  </w:style>
  <w:style w:type="table" w:styleId="Tablaconcuadrcula">
    <w:name w:val="Table Grid"/>
    <w:basedOn w:val="Tablanormal"/>
    <w:uiPriority w:val="39"/>
    <w:rsid w:val="00A120EB"/>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120EB"/>
    <w:pPr>
      <w:tabs>
        <w:tab w:val="center" w:pos="4419"/>
        <w:tab w:val="right" w:pos="8838"/>
      </w:tabs>
    </w:pPr>
  </w:style>
  <w:style w:type="character" w:customStyle="1" w:styleId="EncabezadoCar">
    <w:name w:val="Encabezado Car"/>
    <w:basedOn w:val="Fuentedeprrafopredeter"/>
    <w:link w:val="Encabezado"/>
    <w:uiPriority w:val="99"/>
    <w:rsid w:val="00A120EB"/>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A120EB"/>
    <w:pPr>
      <w:tabs>
        <w:tab w:val="center" w:pos="4419"/>
        <w:tab w:val="right" w:pos="8838"/>
      </w:tabs>
    </w:pPr>
  </w:style>
  <w:style w:type="character" w:customStyle="1" w:styleId="PiedepginaCar">
    <w:name w:val="Pie de página Car"/>
    <w:basedOn w:val="Fuentedeprrafopredeter"/>
    <w:link w:val="Piedepgina"/>
    <w:uiPriority w:val="99"/>
    <w:rsid w:val="00A120EB"/>
    <w:rPr>
      <w:rFonts w:ascii="Times New Roman" w:eastAsia="Times New Roman" w:hAnsi="Times New Roman" w:cs="Times New Roman"/>
      <w:sz w:val="20"/>
      <w:szCs w:val="20"/>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A120EB"/>
    <w:rPr>
      <w:color w:val="0563C1" w:themeColor="hyperlink"/>
      <w:u w:val="single"/>
    </w:rPr>
  </w:style>
  <w:style w:type="paragraph" w:styleId="TtulodeTDC">
    <w:name w:val="TOC Heading"/>
    <w:next w:val="Normal"/>
    <w:uiPriority w:val="39"/>
    <w:unhideWhenUsed/>
    <w:qFormat/>
    <w:rsid w:val="00A120EB"/>
    <w:pPr>
      <w:spacing w:before="240"/>
    </w:pPr>
    <w:rPr>
      <w:sz w:val="32"/>
      <w:szCs w:val="32"/>
    </w:rPr>
  </w:style>
  <w:style w:type="paragraph" w:styleId="TDC2">
    <w:name w:val="toc 2"/>
    <w:basedOn w:val="Normal"/>
    <w:next w:val="Normal"/>
    <w:autoRedefine/>
    <w:uiPriority w:val="39"/>
    <w:unhideWhenUsed/>
    <w:rsid w:val="00A120EB"/>
    <w:pPr>
      <w:tabs>
        <w:tab w:val="right" w:leader="dot" w:pos="8828"/>
      </w:tabs>
      <w:spacing w:after="100" w:line="360" w:lineRule="auto"/>
      <w:ind w:left="221"/>
      <w:contextualSpacing/>
      <w:jc w:val="both"/>
    </w:pPr>
    <w:rPr>
      <w:rFonts w:asciiTheme="minorHAnsi" w:eastAsiaTheme="minorEastAsia" w:hAnsiTheme="minorHAnsi"/>
      <w:sz w:val="22"/>
      <w:szCs w:val="22"/>
    </w:rPr>
  </w:style>
  <w:style w:type="paragraph" w:styleId="TDC1">
    <w:name w:val="toc 1"/>
    <w:basedOn w:val="Normal"/>
    <w:next w:val="Normal"/>
    <w:autoRedefine/>
    <w:uiPriority w:val="39"/>
    <w:unhideWhenUsed/>
    <w:rsid w:val="00A120EB"/>
    <w:pPr>
      <w:spacing w:after="100" w:line="259" w:lineRule="auto"/>
    </w:pPr>
    <w:rPr>
      <w:rFonts w:asciiTheme="minorHAnsi" w:eastAsiaTheme="minorEastAsia" w:hAnsiTheme="minorHAnsi"/>
      <w:sz w:val="22"/>
      <w:szCs w:val="22"/>
    </w:rPr>
  </w:style>
  <w:style w:type="character" w:customStyle="1" w:styleId="Mencinsinresolver1">
    <w:name w:val="Mención sin resolver1"/>
    <w:basedOn w:val="Fuentedeprrafopredeter"/>
    <w:uiPriority w:val="99"/>
    <w:semiHidden/>
    <w:unhideWhenUsed/>
    <w:rsid w:val="00A47EB0"/>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apartados.hacienda.gob.mx/contabilidad/documentos/informe_cuenta/1998/cuenta_publica/Glosario/n.ht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parenciapresupuestaria.gob.mx/es/PTP/Glosario"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ipomex.org.mx/ipomex/"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ipomex.org.mx/ipomex/"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hp9a9Anvt7lT2LryJhdvmg6Olg==">CgMxLjAyDmguODY4cDJldTR1MzB2Mg5oLmtsajQ2ZWt3ZDA1ejINaC4yYmlzamY0NWN4azIOaC5reHY5MzJxNHgzZjYyDmgudHFsM2htODgxeDdyMg1oLjZkamZwODdndWk2Mg5oLmY0dzcxbnNxMmJ2ODIOaC43ZmRybXp2OHF3eGIyDWguNzFhb2RnYzZ0dGUyDmgucjdkenlvMnRhdm5kMg5oLjFpZTQ3aDVod2M5MjIOaC43dzR0YWdjbWJoOWEyDWguYW4xMzIxcjM0ZjAyDmguNWhya3dyYm4wOXV4Mg5oLjNweGd3MjllNnd2NTIOaC54MThvYWFma2gyamEyDmguaG9wbm1semVwb3NyMgloLjFmb2I5dGUyDmguNmNvMXJzNmR0YnZhOAByITE1Q3hCVThwS2VzUGNhMXZyV1N2bV9OU3VvaHNqTzFz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5F6AEC-D594-458F-86D7-102AAAA8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6273</Words>
  <Characters>34507</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INFOEM500</dc:creator>
  <cp:lastModifiedBy>Usuario</cp:lastModifiedBy>
  <cp:revision>4</cp:revision>
  <cp:lastPrinted>2026-01-16T16:07:00Z</cp:lastPrinted>
  <dcterms:created xsi:type="dcterms:W3CDTF">2026-01-16T16:07:00Z</dcterms:created>
  <dcterms:modified xsi:type="dcterms:W3CDTF">2026-03-12T23:00:00Z</dcterms:modified>
</cp:coreProperties>
</file>