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C66B8" w14:textId="77777777" w:rsidR="00240A4D" w:rsidRDefault="00240A4D" w:rsidP="00337239">
      <w:pPr>
        <w:pStyle w:val="NormalINFOEM"/>
      </w:pPr>
    </w:p>
    <w:p w14:paraId="49AF2C0C" w14:textId="39D62A0B" w:rsidR="00A970D5" w:rsidRPr="00D14C05" w:rsidRDefault="00A970D5" w:rsidP="00337239">
      <w:pPr>
        <w:pStyle w:val="NormalINFOEM"/>
      </w:pPr>
      <w:r w:rsidRPr="00D14C05">
        <w:t>Resolución del Pleno del Instituto de Transparencia, Acceso a la Información Pública y Protección de Datos Personales del Estado de México</w:t>
      </w:r>
      <w:r w:rsidR="00FD2A3F" w:rsidRPr="00D14C05">
        <w:t xml:space="preserve"> </w:t>
      </w:r>
      <w:r w:rsidRPr="00D14C05">
        <w:t xml:space="preserve">y Municipios, con domicilio en Metepec, Estado de </w:t>
      </w:r>
      <w:r w:rsidR="008B2951" w:rsidRPr="00D14C05">
        <w:t xml:space="preserve">México, </w:t>
      </w:r>
      <w:r w:rsidR="000D2E93" w:rsidRPr="00D14C05">
        <w:t>a</w:t>
      </w:r>
      <w:r w:rsidR="0011108B" w:rsidRPr="00D14C05">
        <w:t xml:space="preserve"> </w:t>
      </w:r>
      <w:r w:rsidR="00925804" w:rsidRPr="00D14C05">
        <w:t>tres de junio de dos mil veintiséis</w:t>
      </w:r>
      <w:r w:rsidR="0011108B" w:rsidRPr="00D14C05">
        <w:t>.</w:t>
      </w:r>
    </w:p>
    <w:p w14:paraId="60399B74"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 w:val="22"/>
        </w:rPr>
      </w:pPr>
    </w:p>
    <w:p w14:paraId="1D0D9BD7" w14:textId="66521631" w:rsidR="00A970D5" w:rsidRPr="00D14C05" w:rsidRDefault="70652167" w:rsidP="00337239">
      <w:pPr>
        <w:pBdr>
          <w:top w:val="nil"/>
          <w:left w:val="nil"/>
          <w:bottom w:val="nil"/>
          <w:right w:val="nil"/>
          <w:between w:val="nil"/>
        </w:pBdr>
        <w:contextualSpacing/>
        <w:rPr>
          <w:rFonts w:eastAsia="Palatino Linotype" w:cs="Palatino Linotype"/>
          <w:b/>
          <w:bCs/>
          <w:color w:val="000000"/>
          <w:lang w:val="es-ES"/>
        </w:rPr>
      </w:pPr>
      <w:r w:rsidRPr="00D14C05">
        <w:rPr>
          <w:rFonts w:eastAsia="Palatino Linotype" w:cs="Palatino Linotype"/>
          <w:b/>
          <w:bCs/>
          <w:color w:val="000000" w:themeColor="text1"/>
          <w:lang w:val="es-ES"/>
        </w:rPr>
        <w:t>VISTO</w:t>
      </w:r>
      <w:r w:rsidRPr="00D14C05">
        <w:rPr>
          <w:rFonts w:eastAsia="Palatino Linotype" w:cs="Palatino Linotype"/>
          <w:color w:val="000000" w:themeColor="text1"/>
          <w:lang w:val="es-ES"/>
        </w:rPr>
        <w:t xml:space="preserve"> el expediente electrónico formado con motivo del recurso de revisión número </w:t>
      </w:r>
      <w:bookmarkStart w:id="0" w:name="_GoBack"/>
      <w:r w:rsidR="009664D0" w:rsidRPr="00D14C05">
        <w:rPr>
          <w:rFonts w:eastAsia="Palatino Linotype" w:cs="Palatino Linotype"/>
          <w:b/>
          <w:bCs/>
          <w:color w:val="000000" w:themeColor="text1"/>
          <w:lang w:val="es-ES"/>
        </w:rPr>
        <w:t>08615</w:t>
      </w:r>
      <w:r w:rsidR="00252F83" w:rsidRPr="00D14C05">
        <w:rPr>
          <w:rFonts w:eastAsia="Palatino Linotype" w:cs="Palatino Linotype"/>
          <w:b/>
          <w:bCs/>
          <w:color w:val="000000" w:themeColor="text1"/>
          <w:lang w:val="es-ES"/>
        </w:rPr>
        <w:t>/INFOEM/IP/RR/2025</w:t>
      </w:r>
      <w:bookmarkEnd w:id="0"/>
      <w:r w:rsidRPr="00D14C05">
        <w:rPr>
          <w:rFonts w:eastAsia="Palatino Linotype" w:cs="Palatino Linotype"/>
          <w:color w:val="000000" w:themeColor="text1"/>
          <w:lang w:val="es-ES"/>
        </w:rPr>
        <w:t>, interpuesto por</w:t>
      </w:r>
      <w:r w:rsidR="002F3AD7" w:rsidRPr="00D14C05">
        <w:rPr>
          <w:rFonts w:eastAsia="Palatino Linotype" w:cs="Palatino Linotype"/>
          <w:color w:val="000000" w:themeColor="text1"/>
          <w:lang w:val="es-ES"/>
        </w:rPr>
        <w:t xml:space="preserve"> un ciudadano</w:t>
      </w:r>
      <w:r w:rsidR="00E97C2F" w:rsidRPr="00D14C05">
        <w:rPr>
          <w:rFonts w:eastAsia="Palatino Linotype" w:cs="Palatino Linotype"/>
          <w:color w:val="000000" w:themeColor="text1"/>
          <w:lang w:val="es-ES"/>
        </w:rPr>
        <w:t>, en lo su</w:t>
      </w:r>
      <w:r w:rsidR="00771E23" w:rsidRPr="00D14C05">
        <w:rPr>
          <w:rFonts w:eastAsia="Palatino Linotype" w:cs="Palatino Linotype"/>
          <w:color w:val="000000" w:themeColor="text1"/>
          <w:lang w:val="es-ES"/>
        </w:rPr>
        <w:t>cesivo el</w:t>
      </w:r>
      <w:r w:rsidRPr="00D14C05">
        <w:rPr>
          <w:rFonts w:eastAsia="Palatino Linotype" w:cs="Palatino Linotype"/>
          <w:color w:val="000000" w:themeColor="text1"/>
          <w:lang w:val="es-ES"/>
        </w:rPr>
        <w:t xml:space="preserve"> </w:t>
      </w:r>
      <w:r w:rsidRPr="00D14C05">
        <w:rPr>
          <w:rFonts w:eastAsia="Palatino Linotype" w:cs="Palatino Linotype"/>
          <w:b/>
          <w:bCs/>
          <w:color w:val="000000" w:themeColor="text1"/>
          <w:lang w:val="es-ES"/>
        </w:rPr>
        <w:t>Recurrente</w:t>
      </w:r>
      <w:r w:rsidRPr="00D14C05">
        <w:rPr>
          <w:rFonts w:eastAsia="Palatino Linotype" w:cs="Palatino Linotype"/>
          <w:color w:val="000000" w:themeColor="text1"/>
          <w:lang w:val="es-ES"/>
        </w:rPr>
        <w:t>, en contra de la respuesta de</w:t>
      </w:r>
      <w:r w:rsidR="00E24F05" w:rsidRPr="00D14C05">
        <w:rPr>
          <w:rFonts w:eastAsia="Palatino Linotype" w:cs="Palatino Linotype"/>
          <w:color w:val="000000" w:themeColor="text1"/>
          <w:lang w:val="es-ES"/>
        </w:rPr>
        <w:t>l</w:t>
      </w:r>
      <w:r w:rsidRPr="00D14C05">
        <w:rPr>
          <w:rFonts w:eastAsia="Palatino Linotype" w:cs="Palatino Linotype"/>
          <w:color w:val="000000" w:themeColor="text1"/>
          <w:lang w:val="es-ES"/>
        </w:rPr>
        <w:t xml:space="preserve"> </w:t>
      </w:r>
      <w:r w:rsidR="009664D0" w:rsidRPr="00D14C05">
        <w:rPr>
          <w:rFonts w:eastAsia="Palatino Linotype" w:cs="Palatino Linotype"/>
          <w:b/>
          <w:bCs/>
          <w:color w:val="000000" w:themeColor="text1"/>
          <w:lang w:val="es-ES"/>
        </w:rPr>
        <w:t>Organismo Público Descentralizado para la Prestación de los Servicios de Agua Potable, Alcantarillado y Saneamiento de Teoloyucan</w:t>
      </w:r>
      <w:r w:rsidR="00771E23" w:rsidRPr="00D14C05">
        <w:rPr>
          <w:rFonts w:eastAsia="Palatino Linotype" w:cs="Palatino Linotype"/>
          <w:b/>
          <w:bCs/>
          <w:color w:val="000000" w:themeColor="text1"/>
          <w:lang w:val="es-ES"/>
        </w:rPr>
        <w:t>,</w:t>
      </w:r>
      <w:r w:rsidR="00920835" w:rsidRPr="00D14C05">
        <w:rPr>
          <w:rFonts w:eastAsia="Palatino Linotype" w:cs="Palatino Linotype"/>
          <w:b/>
          <w:bCs/>
          <w:color w:val="000000" w:themeColor="text1"/>
          <w:lang w:val="es-ES"/>
        </w:rPr>
        <w:t xml:space="preserve"> </w:t>
      </w:r>
      <w:r w:rsidRPr="00D14C05">
        <w:rPr>
          <w:rFonts w:eastAsia="Palatino Linotype" w:cs="Palatino Linotype"/>
          <w:color w:val="000000" w:themeColor="text1"/>
          <w:lang w:val="es-ES"/>
        </w:rPr>
        <w:t>en lo subsecuente</w:t>
      </w:r>
      <w:r w:rsidRPr="00D14C05">
        <w:rPr>
          <w:rFonts w:eastAsia="Palatino Linotype" w:cs="Palatino Linotype"/>
          <w:b/>
          <w:bCs/>
          <w:color w:val="000000" w:themeColor="text1"/>
          <w:lang w:val="es-ES"/>
        </w:rPr>
        <w:t xml:space="preserve"> </w:t>
      </w:r>
      <w:r w:rsidRPr="00D14C05">
        <w:rPr>
          <w:rFonts w:eastAsia="Palatino Linotype" w:cs="Palatino Linotype"/>
          <w:color w:val="000000" w:themeColor="text1"/>
          <w:lang w:val="es-ES"/>
        </w:rPr>
        <w:t>el</w:t>
      </w:r>
      <w:r w:rsidRPr="00D14C05">
        <w:rPr>
          <w:rFonts w:eastAsia="Palatino Linotype" w:cs="Palatino Linotype"/>
          <w:b/>
          <w:bCs/>
          <w:color w:val="000000" w:themeColor="text1"/>
          <w:lang w:val="es-ES"/>
        </w:rPr>
        <w:t xml:space="preserve"> Sujeto Obligado, </w:t>
      </w:r>
      <w:r w:rsidRPr="00D14C05">
        <w:rPr>
          <w:rFonts w:eastAsia="Palatino Linotype" w:cs="Palatino Linotype"/>
          <w:color w:val="000000" w:themeColor="text1"/>
          <w:lang w:val="es-ES"/>
        </w:rPr>
        <w:t>se procede a dictar la presente resolución.</w:t>
      </w:r>
      <w:r w:rsidR="009E706E" w:rsidRPr="00D14C05">
        <w:rPr>
          <w:rFonts w:eastAsia="Palatino Linotype" w:cs="Palatino Linotype"/>
          <w:color w:val="000000" w:themeColor="text1"/>
          <w:lang w:val="es-ES"/>
        </w:rPr>
        <w:t xml:space="preserve"> </w:t>
      </w:r>
    </w:p>
    <w:p w14:paraId="2E2053C2"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 w:val="22"/>
        </w:rPr>
      </w:pPr>
    </w:p>
    <w:p w14:paraId="293A0C59" w14:textId="77777777" w:rsidR="00A970D5" w:rsidRPr="00D14C05" w:rsidRDefault="00A970D5" w:rsidP="00337239">
      <w:pPr>
        <w:pStyle w:val="Ttulo1"/>
        <w:rPr>
          <w:rFonts w:eastAsia="Palatino Linotype"/>
          <w:lang w:val="es-ES_tradnl"/>
        </w:rPr>
      </w:pPr>
      <w:r w:rsidRPr="00D14C05">
        <w:rPr>
          <w:rFonts w:eastAsia="Palatino Linotype"/>
          <w:lang w:val="es-ES_tradnl"/>
        </w:rPr>
        <w:t>A N T E C E D E N T E S</w:t>
      </w:r>
    </w:p>
    <w:p w14:paraId="32F88820"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 w:val="22"/>
        </w:rPr>
      </w:pPr>
    </w:p>
    <w:p w14:paraId="038B0CA5" w14:textId="5C9CB8F2" w:rsidR="00A970D5" w:rsidRPr="00D14C05" w:rsidRDefault="00A970D5" w:rsidP="00337239">
      <w:pPr>
        <w:pStyle w:val="Ttulo2"/>
        <w:rPr>
          <w:rFonts w:eastAsia="Palatino Linotype"/>
        </w:rPr>
      </w:pPr>
      <w:r w:rsidRPr="00D14C05">
        <w:rPr>
          <w:rFonts w:eastAsia="Palatino Linotype"/>
        </w:rPr>
        <w:t xml:space="preserve">PRIMERO. De la </w:t>
      </w:r>
      <w:r w:rsidR="00A24D3F" w:rsidRPr="00D14C05">
        <w:rPr>
          <w:rFonts w:eastAsia="Palatino Linotype"/>
        </w:rPr>
        <w:t>s</w:t>
      </w:r>
      <w:r w:rsidRPr="00D14C05">
        <w:rPr>
          <w:rFonts w:eastAsia="Palatino Linotype"/>
        </w:rPr>
        <w:t xml:space="preserve">olicitud de </w:t>
      </w:r>
      <w:r w:rsidR="00A24D3F" w:rsidRPr="00D14C05">
        <w:rPr>
          <w:rFonts w:eastAsia="Palatino Linotype"/>
        </w:rPr>
        <w:t>i</w:t>
      </w:r>
      <w:r w:rsidRPr="00D14C05">
        <w:rPr>
          <w:rFonts w:eastAsia="Palatino Linotype"/>
        </w:rPr>
        <w:t>nformación.</w:t>
      </w:r>
    </w:p>
    <w:p w14:paraId="0870C154" w14:textId="2FE92116" w:rsidR="00A970D5" w:rsidRPr="00D14C05" w:rsidRDefault="00B36B86"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Con fecha</w:t>
      </w:r>
      <w:r w:rsidR="00AA6C98" w:rsidRPr="00D14C05">
        <w:rPr>
          <w:rFonts w:eastAsia="Palatino Linotype" w:cs="Palatino Linotype"/>
          <w:color w:val="000000"/>
          <w:szCs w:val="24"/>
        </w:rPr>
        <w:t xml:space="preserve"> </w:t>
      </w:r>
      <w:r w:rsidR="009664D0" w:rsidRPr="00D14C05">
        <w:rPr>
          <w:rFonts w:eastAsia="Palatino Linotype" w:cs="Palatino Linotype"/>
          <w:color w:val="000000"/>
          <w:szCs w:val="24"/>
        </w:rPr>
        <w:t>once de noviembre</w:t>
      </w:r>
      <w:r w:rsidR="00AC4CAF" w:rsidRPr="00D14C05">
        <w:rPr>
          <w:rFonts w:eastAsia="Palatino Linotype" w:cs="Palatino Linotype"/>
          <w:color w:val="000000"/>
          <w:szCs w:val="24"/>
        </w:rPr>
        <w:t xml:space="preserve"> de dos mil veinticinco</w:t>
      </w:r>
      <w:r w:rsidR="00B54BC7" w:rsidRPr="00D14C05">
        <w:rPr>
          <w:rFonts w:eastAsia="Palatino Linotype" w:cs="Palatino Linotype"/>
          <w:color w:val="000000"/>
          <w:szCs w:val="24"/>
        </w:rPr>
        <w:t xml:space="preserve">, </w:t>
      </w:r>
      <w:r w:rsidR="00771E23" w:rsidRPr="00D14C05">
        <w:rPr>
          <w:rFonts w:eastAsia="Palatino Linotype" w:cs="Palatino Linotype"/>
          <w:color w:val="000000"/>
          <w:szCs w:val="24"/>
        </w:rPr>
        <w:t>el</w:t>
      </w:r>
      <w:r w:rsidR="00A970D5" w:rsidRPr="00D14C05">
        <w:rPr>
          <w:rFonts w:eastAsia="Palatino Linotype" w:cs="Palatino Linotype"/>
          <w:color w:val="000000"/>
          <w:szCs w:val="24"/>
        </w:rPr>
        <w:t xml:space="preserve"> Recurrente presentó </w:t>
      </w:r>
      <w:r w:rsidR="00597C06" w:rsidRPr="00D14C05">
        <w:rPr>
          <w:rFonts w:eastAsia="Palatino Linotype" w:cs="Palatino Linotype"/>
          <w:color w:val="000000"/>
          <w:szCs w:val="24"/>
        </w:rPr>
        <w:t xml:space="preserve">solicitud de información que fue registrada en </w:t>
      </w:r>
      <w:r w:rsidR="00A970D5" w:rsidRPr="00D14C05">
        <w:rPr>
          <w:rFonts w:eastAsia="Palatino Linotype" w:cs="Palatino Linotype"/>
          <w:color w:val="000000"/>
          <w:szCs w:val="24"/>
        </w:rPr>
        <w:t>el Sistema de Acceso a la Información Mexiquense (SAIMEX) con el número</w:t>
      </w:r>
      <w:r w:rsidR="00642669" w:rsidRPr="00D14C05">
        <w:rPr>
          <w:rFonts w:eastAsia="Palatino Linotype" w:cs="Palatino Linotype"/>
          <w:b/>
          <w:bCs/>
          <w:color w:val="000000"/>
          <w:szCs w:val="24"/>
        </w:rPr>
        <w:t xml:space="preserve"> </w:t>
      </w:r>
      <w:r w:rsidR="009664D0" w:rsidRPr="00D14C05">
        <w:rPr>
          <w:rFonts w:eastAsia="Palatino Linotype" w:cs="Palatino Linotype"/>
          <w:b/>
          <w:bCs/>
          <w:color w:val="000000"/>
          <w:szCs w:val="24"/>
        </w:rPr>
        <w:t>00204/OPDTEOLOYUCAN/IP/2025</w:t>
      </w:r>
      <w:r w:rsidR="00A970D5" w:rsidRPr="00D14C05">
        <w:rPr>
          <w:rFonts w:eastAsia="Palatino Linotype" w:cs="Palatino Linotype"/>
          <w:color w:val="000000"/>
          <w:szCs w:val="24"/>
        </w:rPr>
        <w:t>,</w:t>
      </w:r>
      <w:r w:rsidR="00A970D5" w:rsidRPr="00D14C05">
        <w:rPr>
          <w:rFonts w:eastAsia="Palatino Linotype" w:cs="Palatino Linotype"/>
          <w:b/>
          <w:color w:val="000000"/>
          <w:szCs w:val="24"/>
        </w:rPr>
        <w:t xml:space="preserve"> </w:t>
      </w:r>
      <w:r w:rsidR="00A970D5" w:rsidRPr="00D14C05">
        <w:rPr>
          <w:rFonts w:eastAsia="Palatino Linotype" w:cs="Palatino Linotype"/>
          <w:color w:val="000000"/>
          <w:szCs w:val="24"/>
        </w:rPr>
        <w:t xml:space="preserve">mediante la cual solicitó </w:t>
      </w:r>
      <w:r w:rsidR="00531CE5" w:rsidRPr="00D14C05">
        <w:rPr>
          <w:rFonts w:eastAsia="Palatino Linotype" w:cs="Palatino Linotype"/>
          <w:color w:val="000000"/>
          <w:szCs w:val="24"/>
        </w:rPr>
        <w:t xml:space="preserve">lo </w:t>
      </w:r>
      <w:r w:rsidR="00A970D5" w:rsidRPr="00D14C05">
        <w:rPr>
          <w:rFonts w:eastAsia="Palatino Linotype" w:cs="Palatino Linotype"/>
          <w:color w:val="000000"/>
          <w:szCs w:val="24"/>
        </w:rPr>
        <w:t>siguiente:</w:t>
      </w:r>
    </w:p>
    <w:p w14:paraId="68B56D82"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p>
    <w:p w14:paraId="133704B2" w14:textId="631226EA" w:rsidR="00A970D5" w:rsidRPr="00D14C05" w:rsidRDefault="70652167" w:rsidP="00337239">
      <w:pPr>
        <w:pStyle w:val="Fundamentos"/>
      </w:pPr>
      <w:r w:rsidRPr="00D14C05">
        <w:rPr>
          <w:lang w:val="es-ES"/>
        </w:rPr>
        <w:t>«</w:t>
      </w:r>
      <w:r w:rsidR="009664D0" w:rsidRPr="00D14C05">
        <w:rPr>
          <w:lang w:val="es-ES"/>
        </w:rPr>
        <w:t>solicito cuenta Pública, incluyendo los estados financieros consolidados y demás documentos contables que reflejen la situación patrimonial, presupuestaria yprogramática, el inventario de vienes.</w:t>
      </w:r>
      <w:r w:rsidRPr="00D14C05">
        <w:rPr>
          <w:lang w:val="es-ES"/>
        </w:rPr>
        <w:t>» (Sic)</w:t>
      </w:r>
    </w:p>
    <w:p w14:paraId="40BBECCB"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D14C05" w:rsidRDefault="00A970D5" w:rsidP="00337239">
      <w:pPr>
        <w:pBdr>
          <w:top w:val="nil"/>
          <w:left w:val="nil"/>
          <w:bottom w:val="nil"/>
          <w:right w:val="nil"/>
          <w:between w:val="nil"/>
        </w:pBdr>
        <w:contextualSpacing/>
        <w:rPr>
          <w:rFonts w:eastAsia="Palatino Linotype" w:cs="Palatino Linotype"/>
          <w:b/>
          <w:color w:val="000000"/>
          <w:szCs w:val="24"/>
        </w:rPr>
      </w:pPr>
      <w:r w:rsidRPr="00D14C05">
        <w:rPr>
          <w:rFonts w:eastAsia="Palatino Linotype" w:cs="Palatino Linotype"/>
          <w:color w:val="000000"/>
          <w:szCs w:val="24"/>
        </w:rPr>
        <w:t xml:space="preserve">Modalidad de entrega: </w:t>
      </w:r>
      <w:r w:rsidR="004A6F01" w:rsidRPr="00D14C05">
        <w:rPr>
          <w:rFonts w:eastAsia="Palatino Linotype" w:cs="Palatino Linotype"/>
          <w:b/>
          <w:color w:val="000000"/>
          <w:szCs w:val="24"/>
        </w:rPr>
        <w:t>A través del SAIMEX</w:t>
      </w:r>
    </w:p>
    <w:p w14:paraId="1063B60E" w14:textId="77777777" w:rsidR="007B7C73" w:rsidRPr="00D14C05" w:rsidRDefault="007B7C73" w:rsidP="00337239">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D14C05" w:rsidRDefault="00E21393" w:rsidP="00337239">
      <w:pPr>
        <w:pStyle w:val="Ttulo2"/>
        <w:rPr>
          <w:rFonts w:eastAsia="Palatino Linotype"/>
        </w:rPr>
      </w:pPr>
      <w:r w:rsidRPr="00D14C05">
        <w:rPr>
          <w:rFonts w:eastAsia="Palatino Linotype"/>
        </w:rPr>
        <w:t>SEGUNDO</w:t>
      </w:r>
      <w:r w:rsidR="00A970D5" w:rsidRPr="00D14C05">
        <w:rPr>
          <w:rFonts w:eastAsia="Palatino Linotype"/>
        </w:rPr>
        <w:t>. De la respuesta del Sujeto Obligado.</w:t>
      </w:r>
    </w:p>
    <w:p w14:paraId="2EE6F294" w14:textId="1D3EFB4B"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De las constancias que obran en el expediente electrónico, se observa qu</w:t>
      </w:r>
      <w:r w:rsidR="008B2951" w:rsidRPr="00D14C05">
        <w:rPr>
          <w:rFonts w:eastAsia="Palatino Linotype" w:cs="Palatino Linotype"/>
          <w:color w:val="000000"/>
          <w:szCs w:val="24"/>
        </w:rPr>
        <w:t>e el día</w:t>
      </w:r>
      <w:r w:rsidR="004A3367" w:rsidRPr="00D14C05">
        <w:rPr>
          <w:rFonts w:eastAsia="Palatino Linotype" w:cs="Palatino Linotype"/>
          <w:color w:val="000000"/>
          <w:szCs w:val="24"/>
        </w:rPr>
        <w:t xml:space="preserve"> </w:t>
      </w:r>
      <w:r w:rsidR="001075D4" w:rsidRPr="00D14C05">
        <w:rPr>
          <w:rFonts w:eastAsia="Palatino Linotype" w:cs="Palatino Linotype"/>
          <w:color w:val="000000"/>
          <w:szCs w:val="24"/>
        </w:rPr>
        <w:t>quince de julio</w:t>
      </w:r>
      <w:r w:rsidR="004A5EE6" w:rsidRPr="00D14C05">
        <w:rPr>
          <w:rFonts w:eastAsia="Palatino Linotype" w:cs="Palatino Linotype"/>
          <w:color w:val="000000"/>
          <w:szCs w:val="24"/>
        </w:rPr>
        <w:t xml:space="preserve"> de dos mil veinticinco</w:t>
      </w:r>
      <w:r w:rsidRPr="00D14C05">
        <w:rPr>
          <w:rFonts w:eastAsia="Palatino Linotype" w:cs="Palatino Linotype"/>
          <w:color w:val="000000"/>
          <w:szCs w:val="24"/>
        </w:rPr>
        <w:t>, el Sujeto Obligado dio respuest</w:t>
      </w:r>
      <w:r w:rsidR="009F4FF4" w:rsidRPr="00D14C05">
        <w:rPr>
          <w:rFonts w:eastAsia="Palatino Linotype" w:cs="Palatino Linotype"/>
          <w:color w:val="000000"/>
          <w:szCs w:val="24"/>
        </w:rPr>
        <w:t>a a la solicitud de información</w:t>
      </w:r>
      <w:r w:rsidRPr="00D14C05">
        <w:rPr>
          <w:rFonts w:eastAsia="Palatino Linotype" w:cs="Palatino Linotype"/>
          <w:color w:val="000000"/>
          <w:szCs w:val="24"/>
        </w:rPr>
        <w:t xml:space="preserve"> manifestando lo siguiente:</w:t>
      </w:r>
    </w:p>
    <w:p w14:paraId="6CF4EC0F"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p>
    <w:p w14:paraId="1C9B81EF" w14:textId="7F66EA82" w:rsidR="001075D4" w:rsidRPr="00D14C05" w:rsidRDefault="23740614" w:rsidP="00337239">
      <w:pPr>
        <w:pStyle w:val="Fundamentos"/>
        <w:jc w:val="right"/>
        <w:rPr>
          <w:lang w:val="es-ES"/>
        </w:rPr>
      </w:pPr>
      <w:r w:rsidRPr="00D14C05">
        <w:rPr>
          <w:lang w:val="es-ES"/>
        </w:rPr>
        <w:t>«</w:t>
      </w:r>
      <w:r w:rsidR="001075D4" w:rsidRPr="00D14C05">
        <w:t xml:space="preserve"> </w:t>
      </w:r>
      <w:r w:rsidR="001075D4" w:rsidRPr="00D14C05">
        <w:rPr>
          <w:lang w:val="es-ES"/>
        </w:rPr>
        <w:t>Folio de la solicitud: 00204/OPDTEOLOYUCAN/IP/2025</w:t>
      </w:r>
    </w:p>
    <w:p w14:paraId="2A3F6873" w14:textId="77777777" w:rsidR="001075D4" w:rsidRPr="00D14C05" w:rsidRDefault="001075D4" w:rsidP="00337239">
      <w:pPr>
        <w:pStyle w:val="Fundamentos"/>
        <w:rPr>
          <w:lang w:val="es-ES"/>
        </w:rPr>
      </w:pPr>
    </w:p>
    <w:p w14:paraId="14D46174" w14:textId="77777777" w:rsidR="001075D4" w:rsidRPr="00D14C05" w:rsidRDefault="001075D4" w:rsidP="00337239">
      <w:pPr>
        <w:pStyle w:val="Fundamentos"/>
        <w:rPr>
          <w:lang w:val="es-ES"/>
        </w:rPr>
      </w:pPr>
      <w:r w:rsidRPr="00D14C05">
        <w:rPr>
          <w:lang w:val="es-ES"/>
        </w:rPr>
        <w:t>En respuesta a la solicitud recibida, nos permitimos hacer de su conocimiento que con fundamento en el artículo 163, artículo 53, Fracciones: II, V y VI de la Ley de Transparencia y Acceso a la Información Pública del Estado de México y Municipios, le contestamos que: Se procede a notificar la respuesta a la solicitud de información pública remitida del área generadora de la información. Así mismo se hace de su conocimiento que usted puede interponer su recurso de revisión dentro del plazo de 15 días hábiles contados a partir de la fecha en que se realice la notificación vía electrónica, a través del SAIMEX</w:t>
      </w:r>
    </w:p>
    <w:p w14:paraId="5D96DAEB" w14:textId="77777777" w:rsidR="001075D4" w:rsidRPr="00D14C05" w:rsidRDefault="001075D4" w:rsidP="00337239">
      <w:pPr>
        <w:pStyle w:val="Fundamentos"/>
        <w:rPr>
          <w:lang w:val="es-ES"/>
        </w:rPr>
      </w:pPr>
    </w:p>
    <w:p w14:paraId="32AB5863" w14:textId="77777777" w:rsidR="001075D4" w:rsidRPr="00D14C05" w:rsidRDefault="001075D4" w:rsidP="00337239">
      <w:pPr>
        <w:pStyle w:val="Fundamentos"/>
        <w:rPr>
          <w:lang w:val="es-ES"/>
        </w:rPr>
      </w:pPr>
      <w:r w:rsidRPr="00D14C05">
        <w:rPr>
          <w:lang w:val="es-ES"/>
        </w:rPr>
        <w:t>ATENTAMENTE</w:t>
      </w:r>
    </w:p>
    <w:p w14:paraId="7F594CB9" w14:textId="77777777" w:rsidR="001075D4" w:rsidRPr="00D14C05" w:rsidRDefault="001075D4" w:rsidP="00337239">
      <w:pPr>
        <w:pStyle w:val="Fundamentos"/>
        <w:rPr>
          <w:lang w:val="es-ES"/>
        </w:rPr>
      </w:pPr>
    </w:p>
    <w:p w14:paraId="3FE4A9EF" w14:textId="726A9F1C" w:rsidR="00A970D5" w:rsidRPr="00D14C05" w:rsidRDefault="001075D4" w:rsidP="00337239">
      <w:pPr>
        <w:pStyle w:val="Fundamentos"/>
        <w:rPr>
          <w:lang w:val="es-MX"/>
        </w:rPr>
      </w:pPr>
      <w:r w:rsidRPr="00D14C05">
        <w:rPr>
          <w:lang w:val="es-ES"/>
        </w:rPr>
        <w:t>Karina Ivonne Cortés Rojas</w:t>
      </w:r>
      <w:r w:rsidR="00311EF3" w:rsidRPr="00D14C05">
        <w:rPr>
          <w:lang w:val="es-ES"/>
        </w:rPr>
        <w:t>»</w:t>
      </w:r>
      <w:r w:rsidR="00A970D5" w:rsidRPr="00D14C05">
        <w:rPr>
          <w:lang w:val="es-MX"/>
        </w:rPr>
        <w:t xml:space="preserve"> (Sic)</w:t>
      </w:r>
    </w:p>
    <w:p w14:paraId="2EAB8352" w14:textId="3B77EF6C" w:rsidR="001107C4" w:rsidRPr="00D14C05" w:rsidRDefault="001107C4" w:rsidP="00337239">
      <w:pPr>
        <w:pBdr>
          <w:top w:val="nil"/>
          <w:left w:val="nil"/>
          <w:bottom w:val="nil"/>
          <w:right w:val="nil"/>
          <w:between w:val="nil"/>
        </w:pBdr>
        <w:contextualSpacing/>
        <w:rPr>
          <w:rFonts w:eastAsia="Palatino Linotype" w:cs="Palatino Linotype"/>
          <w:color w:val="000000"/>
          <w:szCs w:val="24"/>
          <w:lang w:val="es-MX"/>
        </w:rPr>
      </w:pPr>
    </w:p>
    <w:p w14:paraId="61EDE3FA" w14:textId="765E0ED5" w:rsidR="00F16DFC" w:rsidRPr="00D14C05" w:rsidRDefault="00F16DFC" w:rsidP="00337239">
      <w:pPr>
        <w:pBdr>
          <w:top w:val="nil"/>
          <w:left w:val="nil"/>
          <w:bottom w:val="nil"/>
          <w:right w:val="nil"/>
          <w:between w:val="nil"/>
        </w:pBdr>
        <w:contextualSpacing/>
        <w:rPr>
          <w:rFonts w:eastAsia="Palatino Linotype" w:cs="Palatino Linotype"/>
          <w:color w:val="000000"/>
          <w:szCs w:val="24"/>
          <w:lang w:val="es-MX"/>
        </w:rPr>
      </w:pPr>
      <w:r w:rsidRPr="00D14C05">
        <w:rPr>
          <w:rFonts w:eastAsia="Palatino Linotype" w:cs="Palatino Linotype"/>
          <w:color w:val="000000"/>
          <w:szCs w:val="24"/>
          <w:lang w:val="es-MX"/>
        </w:rPr>
        <w:t xml:space="preserve">El Sujeto Obligado adjuntó a su respuesta </w:t>
      </w:r>
      <w:r w:rsidR="001075D4" w:rsidRPr="00D14C05">
        <w:rPr>
          <w:rFonts w:eastAsia="Palatino Linotype" w:cs="Palatino Linotype"/>
          <w:color w:val="000000"/>
          <w:szCs w:val="24"/>
          <w:lang w:val="es-MX"/>
        </w:rPr>
        <w:t>el documento electrónico denominado</w:t>
      </w:r>
      <w:r w:rsidR="00042641" w:rsidRPr="00D14C05">
        <w:rPr>
          <w:rFonts w:eastAsia="Palatino Linotype" w:cs="Palatino Linotype"/>
          <w:color w:val="000000"/>
          <w:szCs w:val="24"/>
          <w:lang w:val="es-MX"/>
        </w:rPr>
        <w:t xml:space="preserve"> </w:t>
      </w:r>
      <w:r w:rsidR="00EB206F" w:rsidRPr="00D14C05">
        <w:rPr>
          <w:rFonts w:eastAsia="Palatino Linotype" w:cs="Palatino Linotype"/>
          <w:b/>
          <w:bCs/>
          <w:color w:val="000000"/>
          <w:szCs w:val="24"/>
          <w:lang w:val="es-MX"/>
        </w:rPr>
        <w:t>«</w:t>
      </w:r>
      <w:r w:rsidR="001075D4" w:rsidRPr="00D14C05">
        <w:rPr>
          <w:rFonts w:eastAsia="Palatino Linotype" w:cs="Palatino Linotype"/>
          <w:b/>
          <w:bCs/>
          <w:color w:val="000000"/>
          <w:szCs w:val="24"/>
          <w:lang w:val="es-MX"/>
        </w:rPr>
        <w:t>RESP-OPD-00204.pdf</w:t>
      </w:r>
      <w:r w:rsidR="00635456" w:rsidRPr="00D14C05">
        <w:rPr>
          <w:rFonts w:eastAsia="Palatino Linotype" w:cs="Palatino Linotype"/>
          <w:b/>
          <w:bCs/>
          <w:color w:val="000000"/>
          <w:szCs w:val="24"/>
          <w:lang w:val="es-MX"/>
        </w:rPr>
        <w:t>»</w:t>
      </w:r>
      <w:r w:rsidR="00635456" w:rsidRPr="00D14C05">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D14C05" w:rsidRDefault="00F16DFC" w:rsidP="00337239">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D14C05" w:rsidRDefault="00E21393" w:rsidP="00337239">
      <w:pPr>
        <w:pStyle w:val="Ttulo2"/>
        <w:rPr>
          <w:rFonts w:eastAsia="Palatino Linotype"/>
        </w:rPr>
      </w:pPr>
      <w:r w:rsidRPr="00D14C05">
        <w:rPr>
          <w:rFonts w:eastAsia="Palatino Linotype"/>
        </w:rPr>
        <w:t>TERCERO</w:t>
      </w:r>
      <w:r w:rsidR="00A970D5" w:rsidRPr="00D14C05">
        <w:rPr>
          <w:rFonts w:eastAsia="Palatino Linotype"/>
        </w:rPr>
        <w:t>. Del recurso de revisión.</w:t>
      </w:r>
    </w:p>
    <w:p w14:paraId="0C8C3A2F" w14:textId="30C53780" w:rsidR="00A970D5" w:rsidRPr="00D14C05" w:rsidRDefault="0090115A"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Inconforme con la respuesta emitida</w:t>
      </w:r>
      <w:r w:rsidR="006726AD" w:rsidRPr="00D14C05">
        <w:rPr>
          <w:rFonts w:eastAsia="Palatino Linotype" w:cs="Palatino Linotype"/>
          <w:color w:val="000000"/>
          <w:szCs w:val="24"/>
        </w:rPr>
        <w:t>, el</w:t>
      </w:r>
      <w:r w:rsidRPr="00D14C05">
        <w:rPr>
          <w:rFonts w:eastAsia="Palatino Linotype" w:cs="Palatino Linotype"/>
          <w:color w:val="000000"/>
          <w:szCs w:val="24"/>
        </w:rPr>
        <w:t xml:space="preserve"> Recurrente interpuso el presente recurso de revisión el </w:t>
      </w:r>
      <w:r w:rsidR="001075D4" w:rsidRPr="00D14C05">
        <w:rPr>
          <w:rFonts w:eastAsia="Palatino Linotype" w:cs="Palatino Linotype"/>
          <w:color w:val="000000"/>
          <w:szCs w:val="24"/>
        </w:rPr>
        <w:t>dieciséis de julio</w:t>
      </w:r>
      <w:r w:rsidR="00177F35" w:rsidRPr="00D14C05">
        <w:rPr>
          <w:rFonts w:eastAsia="Palatino Linotype" w:cs="Palatino Linotype"/>
          <w:color w:val="000000"/>
          <w:szCs w:val="24"/>
        </w:rPr>
        <w:t xml:space="preserve"> </w:t>
      </w:r>
      <w:r w:rsidR="00DE2889" w:rsidRPr="00D14C05">
        <w:rPr>
          <w:rFonts w:eastAsia="Palatino Linotype" w:cs="Palatino Linotype"/>
          <w:color w:val="000000"/>
          <w:szCs w:val="24"/>
        </w:rPr>
        <w:t>de dos mil veinticinco</w:t>
      </w:r>
      <w:r w:rsidRPr="00D14C05">
        <w:rPr>
          <w:rFonts w:eastAsia="Palatino Linotype" w:cs="Palatino Linotype"/>
          <w:color w:val="000000"/>
          <w:szCs w:val="24"/>
        </w:rPr>
        <w:t>, el cual se registró en el SAIMEX con el expediente número</w:t>
      </w:r>
      <w:r w:rsidR="00A970D5" w:rsidRPr="00D14C05">
        <w:rPr>
          <w:rFonts w:eastAsia="Palatino Linotype" w:cs="Palatino Linotype"/>
          <w:color w:val="000000"/>
          <w:szCs w:val="24"/>
        </w:rPr>
        <w:t xml:space="preserve"> </w:t>
      </w:r>
      <w:r w:rsidR="001075D4" w:rsidRPr="00D14C05">
        <w:rPr>
          <w:rFonts w:eastAsia="Palatino Linotype" w:cs="Palatino Linotype"/>
          <w:b/>
          <w:color w:val="000000"/>
          <w:szCs w:val="24"/>
        </w:rPr>
        <w:t>08615</w:t>
      </w:r>
      <w:r w:rsidR="00252F83" w:rsidRPr="00D14C05">
        <w:rPr>
          <w:rFonts w:eastAsia="Palatino Linotype" w:cs="Palatino Linotype"/>
          <w:b/>
          <w:color w:val="000000"/>
          <w:szCs w:val="24"/>
        </w:rPr>
        <w:t>/INFOEM/IP/RR/2025</w:t>
      </w:r>
      <w:r w:rsidR="00A06896" w:rsidRPr="00D14C05">
        <w:rPr>
          <w:rFonts w:eastAsia="Palatino Linotype" w:cs="Palatino Linotype"/>
          <w:color w:val="000000"/>
          <w:szCs w:val="24"/>
        </w:rPr>
        <w:t xml:space="preserve">, </w:t>
      </w:r>
      <w:r w:rsidRPr="00D14C05">
        <w:rPr>
          <w:rFonts w:eastAsia="Palatino Linotype" w:cs="Palatino Linotype"/>
          <w:color w:val="000000"/>
          <w:szCs w:val="24"/>
        </w:rPr>
        <w:t>en el que manifestó</w:t>
      </w:r>
      <w:r w:rsidR="00A970D5" w:rsidRPr="00D14C05">
        <w:rPr>
          <w:rFonts w:eastAsia="Palatino Linotype" w:cs="Palatino Linotype"/>
          <w:color w:val="000000"/>
          <w:szCs w:val="24"/>
        </w:rPr>
        <w:t xml:space="preserve"> lo siguiente:</w:t>
      </w:r>
    </w:p>
    <w:p w14:paraId="7AA0C9F4" w14:textId="046134A0"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D14C05" w:rsidRDefault="00A970D5" w:rsidP="00337239">
      <w:pPr>
        <w:contextualSpacing/>
        <w:rPr>
          <w:rFonts w:eastAsia="Palatino Linotype" w:cs="Palatino Linotype"/>
          <w:b/>
        </w:rPr>
      </w:pPr>
      <w:r w:rsidRPr="00D14C05">
        <w:rPr>
          <w:rFonts w:eastAsia="Palatino Linotype" w:cs="Palatino Linotype"/>
          <w:b/>
        </w:rPr>
        <w:t>Acto Impugnado:</w:t>
      </w:r>
      <w:r w:rsidR="00655007" w:rsidRPr="00D14C05">
        <w:rPr>
          <w:rFonts w:eastAsia="Palatino Linotype" w:cs="Palatino Linotype"/>
          <w:b/>
        </w:rPr>
        <w:t xml:space="preserve"> </w:t>
      </w:r>
    </w:p>
    <w:p w14:paraId="4A0EFE5A" w14:textId="62C554CE" w:rsidR="00A970D5" w:rsidRPr="00D14C05" w:rsidRDefault="5C35490E" w:rsidP="00337239">
      <w:pPr>
        <w:pStyle w:val="Fundamentos"/>
        <w:rPr>
          <w:b/>
          <w:bCs/>
          <w:lang w:val="es-ES"/>
        </w:rPr>
      </w:pPr>
      <w:r w:rsidRPr="00D14C05">
        <w:rPr>
          <w:lang w:val="es-ES"/>
        </w:rPr>
        <w:t>«</w:t>
      </w:r>
      <w:r w:rsidR="001075D4" w:rsidRPr="00D14C05">
        <w:t xml:space="preserve"> </w:t>
      </w:r>
      <w:r w:rsidR="001075D4" w:rsidRPr="00D14C05">
        <w:rPr>
          <w:lang w:val="es-ES"/>
        </w:rPr>
        <w:t>aprendan a leer</w:t>
      </w:r>
      <w:r w:rsidRPr="00D14C05">
        <w:rPr>
          <w:lang w:val="es-ES"/>
        </w:rPr>
        <w:t>» (Sic)</w:t>
      </w:r>
    </w:p>
    <w:p w14:paraId="3C40A441" w14:textId="0B2599C4" w:rsidR="00A970D5" w:rsidRPr="00D14C05" w:rsidRDefault="00A970D5" w:rsidP="00337239">
      <w:pPr>
        <w:tabs>
          <w:tab w:val="left" w:pos="2515"/>
        </w:tabs>
        <w:contextualSpacing/>
        <w:rPr>
          <w:rFonts w:eastAsia="Palatino Linotype" w:cs="Palatino Linotype"/>
          <w:iCs/>
          <w:szCs w:val="24"/>
          <w:lang w:val="es-ES"/>
        </w:rPr>
      </w:pPr>
    </w:p>
    <w:p w14:paraId="0F6CFE30" w14:textId="719FCACE" w:rsidR="00300EA0" w:rsidRPr="00D14C05" w:rsidRDefault="002B6B0F" w:rsidP="00337239">
      <w:pPr>
        <w:contextualSpacing/>
        <w:rPr>
          <w:rFonts w:eastAsia="Palatino Linotype" w:cs="Palatino Linotype"/>
          <w:b/>
        </w:rPr>
      </w:pPr>
      <w:r w:rsidRPr="00D14C05">
        <w:rPr>
          <w:rFonts w:eastAsia="Palatino Linotype" w:cs="Palatino Linotype"/>
          <w:b/>
        </w:rPr>
        <w:t>Razones o motivos de inconformidad</w:t>
      </w:r>
      <w:r w:rsidR="00300EA0" w:rsidRPr="00D14C05">
        <w:rPr>
          <w:rFonts w:eastAsia="Palatino Linotype" w:cs="Palatino Linotype"/>
          <w:b/>
        </w:rPr>
        <w:t xml:space="preserve">: </w:t>
      </w:r>
    </w:p>
    <w:p w14:paraId="636038ED" w14:textId="6AF14905" w:rsidR="00300EA0" w:rsidRPr="00D14C05" w:rsidRDefault="00300EA0" w:rsidP="00337239">
      <w:pPr>
        <w:pStyle w:val="Fundamentos"/>
        <w:rPr>
          <w:b/>
          <w:bCs/>
          <w:lang w:val="es-ES"/>
        </w:rPr>
      </w:pPr>
      <w:r w:rsidRPr="00D14C05">
        <w:rPr>
          <w:lang w:val="es-ES"/>
        </w:rPr>
        <w:t>«</w:t>
      </w:r>
      <w:r w:rsidR="001075D4" w:rsidRPr="00D14C05">
        <w:rPr>
          <w:lang w:val="es-ES"/>
        </w:rPr>
        <w:t>no dan respuesra ala informacion que es puvlica</w:t>
      </w:r>
      <w:r w:rsidRPr="00D14C05">
        <w:rPr>
          <w:lang w:val="es-ES"/>
        </w:rPr>
        <w:t>» (Sic)</w:t>
      </w:r>
    </w:p>
    <w:p w14:paraId="0A3CE1C1" w14:textId="77777777" w:rsidR="00390EBF" w:rsidRPr="00D14C05" w:rsidRDefault="00390EBF" w:rsidP="00337239">
      <w:pPr>
        <w:contextualSpacing/>
        <w:rPr>
          <w:rFonts w:eastAsia="Palatino Linotype" w:cs="Palatino Linotype"/>
          <w:iCs/>
          <w:szCs w:val="24"/>
          <w:lang w:val="es-ES"/>
        </w:rPr>
      </w:pPr>
    </w:p>
    <w:p w14:paraId="11D7F189" w14:textId="263FD592" w:rsidR="00A970D5" w:rsidRPr="00D14C05" w:rsidRDefault="00E21393" w:rsidP="00337239">
      <w:pPr>
        <w:pStyle w:val="Ttulo2"/>
        <w:rPr>
          <w:rFonts w:eastAsia="Palatino Linotype"/>
        </w:rPr>
      </w:pPr>
      <w:r w:rsidRPr="00D14C05">
        <w:rPr>
          <w:rFonts w:eastAsia="Palatino Linotype"/>
        </w:rPr>
        <w:t>CUAR</w:t>
      </w:r>
      <w:r w:rsidR="007A1154" w:rsidRPr="00D14C05">
        <w:rPr>
          <w:rFonts w:eastAsia="Palatino Linotype"/>
        </w:rPr>
        <w:t>TO</w:t>
      </w:r>
      <w:r w:rsidR="00A970D5" w:rsidRPr="00D14C05">
        <w:rPr>
          <w:rFonts w:eastAsia="Palatino Linotype"/>
        </w:rPr>
        <w:t>. Del turno y admisión del recurso de revisión.</w:t>
      </w:r>
    </w:p>
    <w:p w14:paraId="2459DEBA" w14:textId="0D6B1E47" w:rsidR="00A970D5" w:rsidRPr="00D14C05" w:rsidRDefault="70652167" w:rsidP="00337239">
      <w:pPr>
        <w:pBdr>
          <w:top w:val="nil"/>
          <w:left w:val="nil"/>
          <w:bottom w:val="nil"/>
          <w:right w:val="nil"/>
          <w:between w:val="nil"/>
        </w:pBdr>
        <w:contextualSpacing/>
        <w:rPr>
          <w:rFonts w:eastAsia="Palatino Linotype" w:cs="Palatino Linotype"/>
          <w:color w:val="000000"/>
          <w:lang w:val="es-ES"/>
        </w:rPr>
      </w:pPr>
      <w:r w:rsidRPr="00D14C05">
        <w:rPr>
          <w:rFonts w:eastAsia="Palatino Linotype" w:cs="Palatino Linotype"/>
          <w:color w:val="000000" w:themeColor="text1"/>
          <w:lang w:val="es-ES"/>
        </w:rPr>
        <w:t xml:space="preserve">Medio de impugnación que le fue turnado al </w:t>
      </w:r>
      <w:r w:rsidRPr="00D14C05">
        <w:rPr>
          <w:rFonts w:eastAsia="Palatino Linotype" w:cs="Palatino Linotype"/>
          <w:b/>
          <w:bCs/>
          <w:color w:val="000000" w:themeColor="text1"/>
          <w:lang w:val="es-ES"/>
        </w:rPr>
        <w:t>Comisionado Presidente José Martínez Vilchis</w:t>
      </w:r>
      <w:r w:rsidRPr="00D14C05">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D14C05">
        <w:rPr>
          <w:rFonts w:eastAsia="Palatino Linotype" w:cs="Palatino Linotype"/>
          <w:color w:val="000000" w:themeColor="text1"/>
          <w:lang w:val="es-ES"/>
        </w:rPr>
        <w:t xml:space="preserve"> admisión de fecha </w:t>
      </w:r>
      <w:r w:rsidR="000D7444" w:rsidRPr="00D14C05">
        <w:rPr>
          <w:rFonts w:eastAsia="Palatino Linotype" w:cs="Palatino Linotype"/>
          <w:color w:val="000000" w:themeColor="text1"/>
          <w:lang w:val="es-ES"/>
        </w:rPr>
        <w:t xml:space="preserve">cinco de </w:t>
      </w:r>
      <w:r w:rsidR="001075D4" w:rsidRPr="00D14C05">
        <w:rPr>
          <w:rFonts w:eastAsia="Palatino Linotype" w:cs="Palatino Linotype"/>
          <w:color w:val="000000" w:themeColor="text1"/>
          <w:lang w:val="es-ES"/>
        </w:rPr>
        <w:t>agosto</w:t>
      </w:r>
      <w:r w:rsidR="00774AC3" w:rsidRPr="00D14C05">
        <w:rPr>
          <w:rFonts w:eastAsia="Palatino Linotype" w:cs="Palatino Linotype"/>
          <w:color w:val="000000" w:themeColor="text1"/>
          <w:lang w:val="es-ES"/>
        </w:rPr>
        <w:t xml:space="preserve"> de dos mil veinticinco</w:t>
      </w:r>
      <w:r w:rsidRPr="00D14C05">
        <w:rPr>
          <w:rFonts w:eastAsia="Palatino Linotype" w:cs="Palatino Linotype"/>
          <w:color w:val="000000" w:themeColor="text1"/>
          <w:lang w:val="es-ES"/>
        </w:rPr>
        <w:t xml:space="preserve">, </w:t>
      </w:r>
      <w:r w:rsidRPr="00D14C05">
        <w:rPr>
          <w:rFonts w:eastAsia="Palatino Linotype" w:cs="Palatino Linotype"/>
          <w:lang w:val="es-ES"/>
        </w:rPr>
        <w:t>otorgándose</w:t>
      </w:r>
      <w:r w:rsidRPr="00D14C05">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 w:val="22"/>
        </w:rPr>
      </w:pPr>
    </w:p>
    <w:p w14:paraId="05AE608B" w14:textId="6A01473D" w:rsidR="00A970D5" w:rsidRPr="00D14C05" w:rsidRDefault="00E21393" w:rsidP="00337239">
      <w:pPr>
        <w:pStyle w:val="Ttulo2"/>
        <w:rPr>
          <w:rFonts w:eastAsia="Palatino Linotype"/>
        </w:rPr>
      </w:pPr>
      <w:r w:rsidRPr="00D14C05">
        <w:rPr>
          <w:rFonts w:eastAsia="Palatino Linotype"/>
        </w:rPr>
        <w:t>QUINT</w:t>
      </w:r>
      <w:r w:rsidR="007D2A1A" w:rsidRPr="00D14C05">
        <w:rPr>
          <w:rFonts w:eastAsia="Palatino Linotype"/>
        </w:rPr>
        <w:t>O</w:t>
      </w:r>
      <w:r w:rsidR="00A970D5" w:rsidRPr="00D14C05">
        <w:rPr>
          <w:rFonts w:eastAsia="Palatino Linotype"/>
        </w:rPr>
        <w:t>. De la etapa de instrucción.</w:t>
      </w:r>
    </w:p>
    <w:p w14:paraId="7F41601E" w14:textId="6BE0D848" w:rsidR="00732A2C" w:rsidRPr="00D14C05" w:rsidRDefault="00732A2C" w:rsidP="00337239">
      <w:pPr>
        <w:pBdr>
          <w:top w:val="nil"/>
          <w:left w:val="nil"/>
          <w:bottom w:val="nil"/>
          <w:right w:val="nil"/>
          <w:between w:val="nil"/>
        </w:pBdr>
        <w:rPr>
          <w:rFonts w:eastAsia="Palatino Linotype" w:cs="Palatino Linotype"/>
          <w:color w:val="000000"/>
          <w:szCs w:val="24"/>
        </w:rPr>
      </w:pPr>
      <w:r w:rsidRPr="00D14C05">
        <w:rPr>
          <w:rFonts w:eastAsia="Palatino Linotype" w:cs="Palatino Linotype"/>
          <w:color w:val="000000"/>
          <w:szCs w:val="24"/>
        </w:rPr>
        <w:t xml:space="preserve">Durante la etapa de instrucción, se observa que el Sujeto Obligado </w:t>
      </w:r>
      <w:r w:rsidR="00A410EC" w:rsidRPr="00D14C05">
        <w:rPr>
          <w:rFonts w:eastAsia="Palatino Linotype" w:cs="Palatino Linotype"/>
          <w:color w:val="000000"/>
          <w:szCs w:val="24"/>
        </w:rPr>
        <w:t xml:space="preserve">tuvo a bien </w:t>
      </w:r>
      <w:r w:rsidR="000D7444" w:rsidRPr="00D14C05">
        <w:rPr>
          <w:rFonts w:eastAsia="Palatino Linotype" w:cs="Palatino Linotype"/>
          <w:color w:val="000000"/>
          <w:szCs w:val="24"/>
        </w:rPr>
        <w:t>emitir</w:t>
      </w:r>
      <w:r w:rsidRPr="00D14C05">
        <w:rPr>
          <w:rFonts w:eastAsia="Palatino Linotype" w:cs="Palatino Linotype"/>
          <w:color w:val="000000"/>
          <w:szCs w:val="24"/>
        </w:rPr>
        <w:t xml:space="preserve"> su Informe Justificado</w:t>
      </w:r>
      <w:r w:rsidR="00A410EC" w:rsidRPr="00D14C05">
        <w:rPr>
          <w:rFonts w:eastAsia="Palatino Linotype" w:cs="Palatino Linotype"/>
          <w:color w:val="000000"/>
          <w:szCs w:val="24"/>
        </w:rPr>
        <w:t xml:space="preserve">, en fecha catorce de agosto de dos mil veinticinco, por medio de los documentos electrónicos denominados </w:t>
      </w:r>
      <w:r w:rsidR="00A410EC" w:rsidRPr="00D14C05">
        <w:rPr>
          <w:rFonts w:eastAsia="Palatino Linotype" w:cs="Palatino Linotype"/>
          <w:b/>
          <w:color w:val="000000"/>
          <w:szCs w:val="24"/>
        </w:rPr>
        <w:t>“RR-INFOEM-00204.pdf”</w:t>
      </w:r>
      <w:r w:rsidR="00A410EC" w:rsidRPr="00D14C05">
        <w:rPr>
          <w:rFonts w:eastAsia="Palatino Linotype" w:cs="Palatino Linotype"/>
          <w:i/>
          <w:color w:val="000000"/>
          <w:szCs w:val="24"/>
        </w:rPr>
        <w:t xml:space="preserve"> </w:t>
      </w:r>
      <w:r w:rsidR="00A410EC" w:rsidRPr="00D14C05">
        <w:rPr>
          <w:rFonts w:eastAsia="Palatino Linotype" w:cs="Palatino Linotype"/>
          <w:color w:val="000000"/>
          <w:szCs w:val="24"/>
        </w:rPr>
        <w:t xml:space="preserve">y </w:t>
      </w:r>
      <w:r w:rsidR="00A410EC" w:rsidRPr="00D14C05">
        <w:rPr>
          <w:rFonts w:eastAsia="Palatino Linotype" w:cs="Palatino Linotype"/>
          <w:b/>
          <w:color w:val="000000"/>
          <w:szCs w:val="24"/>
        </w:rPr>
        <w:t>“RESP-OPD-00204 (1)(1).pdf”</w:t>
      </w:r>
      <w:r w:rsidR="00A410EC" w:rsidRPr="00D14C05">
        <w:rPr>
          <w:rFonts w:eastAsia="Palatino Linotype" w:cs="Palatino Linotype"/>
          <w:color w:val="000000"/>
          <w:szCs w:val="24"/>
        </w:rPr>
        <w:t>, los cuales fueron puestos a la vista en fecha dieciséis de febrero de dos mil veintiséis.</w:t>
      </w:r>
      <w:r w:rsidRPr="00D14C05">
        <w:rPr>
          <w:rFonts w:eastAsia="Palatino Linotype" w:cs="Palatino Linotype"/>
          <w:color w:val="000000"/>
          <w:szCs w:val="24"/>
        </w:rPr>
        <w:t xml:space="preserve"> Por su parte, el Recurrente no realizó manifestaciones, vertió alegatos ni presentó pruebas que a su derec</w:t>
      </w:r>
      <w:r w:rsidR="00DF7C76" w:rsidRPr="00D14C05">
        <w:rPr>
          <w:rFonts w:eastAsia="Palatino Linotype" w:cs="Palatino Linotype"/>
          <w:color w:val="000000"/>
          <w:szCs w:val="24"/>
        </w:rPr>
        <w:t>ho conviniera, como se puede apreciar a través de la siguiente captura de pantalla.</w:t>
      </w:r>
    </w:p>
    <w:p w14:paraId="7758F81F" w14:textId="2FA474B2" w:rsidR="000D7444" w:rsidRPr="00D14C05" w:rsidRDefault="000D7444" w:rsidP="00337239">
      <w:pPr>
        <w:pBdr>
          <w:top w:val="nil"/>
          <w:left w:val="nil"/>
          <w:bottom w:val="nil"/>
          <w:right w:val="nil"/>
          <w:between w:val="nil"/>
        </w:pBdr>
        <w:rPr>
          <w:rFonts w:eastAsia="Palatino Linotype" w:cs="Palatino Linotype"/>
          <w:color w:val="000000"/>
          <w:szCs w:val="24"/>
        </w:rPr>
      </w:pPr>
    </w:p>
    <w:p w14:paraId="178006F7" w14:textId="1875FE1C" w:rsidR="00E5178B" w:rsidRPr="00D14C05" w:rsidRDefault="00E5178B" w:rsidP="00337239">
      <w:pPr>
        <w:keepNext/>
        <w:keepLines/>
        <w:outlineLvl w:val="1"/>
        <w:rPr>
          <w:rFonts w:eastAsia="Times New Roman" w:cs="Palatino Linotype"/>
          <w:color w:val="000000"/>
          <w:szCs w:val="24"/>
        </w:rPr>
      </w:pPr>
      <w:r w:rsidRPr="00D14C05">
        <w:rPr>
          <w:rFonts w:cs="Arial"/>
          <w:b/>
          <w:sz w:val="28"/>
          <w:szCs w:val="28"/>
        </w:rPr>
        <w:lastRenderedPageBreak/>
        <w:t>S</w:t>
      </w:r>
      <w:r w:rsidR="00A410EC" w:rsidRPr="00D14C05">
        <w:rPr>
          <w:rFonts w:cs="Arial"/>
          <w:b/>
          <w:sz w:val="28"/>
          <w:szCs w:val="28"/>
        </w:rPr>
        <w:t>EXTO</w:t>
      </w:r>
      <w:r w:rsidRPr="00D14C05">
        <w:rPr>
          <w:rFonts w:cs="Arial"/>
          <w:b/>
          <w:sz w:val="28"/>
          <w:szCs w:val="28"/>
        </w:rPr>
        <w:t>. De la ampliación de plazo para resolver.</w:t>
      </w:r>
    </w:p>
    <w:p w14:paraId="2597F5B1" w14:textId="36D0FB3B" w:rsidR="00E5178B" w:rsidRPr="00D14C05" w:rsidRDefault="00E5178B" w:rsidP="00337239">
      <w:pPr>
        <w:rPr>
          <w:rFonts w:cs="Arial"/>
          <w:szCs w:val="24"/>
        </w:rPr>
      </w:pPr>
      <w:r w:rsidRPr="00D14C05">
        <w:rPr>
          <w:rFonts w:cs="Arial"/>
          <w:szCs w:val="24"/>
        </w:rPr>
        <w:t>De las constancias que integran el expediente electrónico, se advierte que han transcurrido los términos de Ley, para la emisión de la resolución en el presente recurso de revisión, por lo que en fecha</w:t>
      </w:r>
      <w:r w:rsidRPr="00D14C05">
        <w:rPr>
          <w:rFonts w:cs="Arial"/>
          <w:b/>
          <w:szCs w:val="24"/>
        </w:rPr>
        <w:t xml:space="preserve"> </w:t>
      </w:r>
      <w:r w:rsidR="00A410EC" w:rsidRPr="00D14C05">
        <w:rPr>
          <w:rFonts w:cs="Arial"/>
          <w:b/>
          <w:szCs w:val="24"/>
        </w:rPr>
        <w:t>seis</w:t>
      </w:r>
      <w:r w:rsidRPr="00D14C05">
        <w:rPr>
          <w:rFonts w:cs="Arial"/>
          <w:b/>
          <w:szCs w:val="24"/>
        </w:rPr>
        <w:t xml:space="preserve"> de noviembre de dos mil veinticinco</w:t>
      </w:r>
      <w:r w:rsidRPr="00D14C05">
        <w:rPr>
          <w:rFonts w:cs="Arial"/>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1B95779" w14:textId="77777777" w:rsidR="00E5178B" w:rsidRPr="00D14C05" w:rsidRDefault="00E5178B" w:rsidP="00337239">
      <w:pPr>
        <w:rPr>
          <w:rFonts w:cs="Arial"/>
          <w:szCs w:val="24"/>
        </w:rPr>
      </w:pPr>
    </w:p>
    <w:p w14:paraId="4E5DA46F" w14:textId="77777777" w:rsidR="00E5178B" w:rsidRPr="00D14C05" w:rsidRDefault="00E5178B" w:rsidP="00337239">
      <w:pPr>
        <w:ind w:right="49"/>
        <w:rPr>
          <w:rFonts w:cs="Arial"/>
          <w:szCs w:val="24"/>
          <w:lang w:val="es-ES" w:eastAsia="es-ES"/>
        </w:rPr>
      </w:pPr>
      <w:r w:rsidRPr="00D14C05">
        <w:rPr>
          <w:rFonts w:cs="Arial"/>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797A0A3E" w14:textId="77777777" w:rsidR="00E5178B" w:rsidRPr="00D14C05" w:rsidRDefault="00E5178B" w:rsidP="00337239">
      <w:pPr>
        <w:ind w:right="49"/>
        <w:rPr>
          <w:rFonts w:cs="Arial"/>
          <w:szCs w:val="24"/>
          <w:lang w:val="es-ES" w:eastAsia="es-ES"/>
        </w:rPr>
      </w:pPr>
    </w:p>
    <w:p w14:paraId="59E7D725" w14:textId="77777777" w:rsidR="00E5178B" w:rsidRPr="00D14C05" w:rsidRDefault="00E5178B" w:rsidP="00337239">
      <w:pPr>
        <w:ind w:right="49"/>
        <w:rPr>
          <w:rFonts w:cs="Arial"/>
          <w:szCs w:val="24"/>
          <w:lang w:val="es-ES" w:eastAsia="es-ES"/>
        </w:rPr>
      </w:pPr>
      <w:r w:rsidRPr="00D14C05">
        <w:rPr>
          <w:rFonts w:cs="Arial"/>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E359290" w14:textId="77777777" w:rsidR="00E5178B" w:rsidRPr="00D14C05" w:rsidRDefault="00E5178B" w:rsidP="00337239">
      <w:pPr>
        <w:ind w:right="49"/>
        <w:rPr>
          <w:rFonts w:cs="Arial"/>
          <w:szCs w:val="24"/>
          <w:lang w:val="es-ES" w:eastAsia="es-ES"/>
        </w:rPr>
      </w:pPr>
    </w:p>
    <w:p w14:paraId="58447C45" w14:textId="77777777" w:rsidR="00E5178B" w:rsidRPr="00D14C05" w:rsidRDefault="00E5178B" w:rsidP="00337239">
      <w:pPr>
        <w:ind w:right="49"/>
        <w:rPr>
          <w:rFonts w:cs="Arial"/>
          <w:szCs w:val="24"/>
          <w:lang w:val="es-ES" w:eastAsia="es-ES"/>
        </w:rPr>
      </w:pPr>
      <w:r w:rsidRPr="00D14C05">
        <w:rPr>
          <w:rFonts w:cs="Arial"/>
          <w:szCs w:val="24"/>
          <w:lang w:val="es-ES" w:eastAsia="es-ES"/>
        </w:rPr>
        <w:t xml:space="preserve">Así, en términos de lo que establecen los artículos 8.1 y 25 de la Convención Americana sobre Derechos Humanos, los recursos deben ser sencillos y resolverse en el menor </w:t>
      </w:r>
      <w:r w:rsidRPr="00D14C05">
        <w:rPr>
          <w:rFonts w:cs="Arial"/>
          <w:szCs w:val="24"/>
          <w:lang w:val="es-ES" w:eastAsia="es-ES"/>
        </w:rPr>
        <w:lastRenderedPageBreak/>
        <w:t>tiempo posible, tomando en consideración la dilación total del procedimiento; esto es, en un plazo razonable.</w:t>
      </w:r>
    </w:p>
    <w:p w14:paraId="56605ABA" w14:textId="77777777" w:rsidR="00E5178B" w:rsidRPr="00D14C05" w:rsidRDefault="00E5178B" w:rsidP="00337239">
      <w:pPr>
        <w:ind w:right="49"/>
        <w:rPr>
          <w:rFonts w:cs="Arial"/>
          <w:szCs w:val="24"/>
          <w:lang w:val="es-ES" w:eastAsia="es-ES"/>
        </w:rPr>
      </w:pPr>
    </w:p>
    <w:p w14:paraId="49856E7B" w14:textId="77777777" w:rsidR="00E5178B" w:rsidRPr="00D14C05" w:rsidRDefault="00E5178B" w:rsidP="00337239">
      <w:pPr>
        <w:ind w:right="49"/>
        <w:rPr>
          <w:rFonts w:cs="Arial"/>
          <w:szCs w:val="24"/>
          <w:lang w:val="es-ES" w:eastAsia="es-ES"/>
        </w:rPr>
      </w:pPr>
      <w:r w:rsidRPr="00D14C05">
        <w:rPr>
          <w:rFonts w:cs="Arial"/>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1EEC4784" w14:textId="77777777" w:rsidR="00E5178B" w:rsidRPr="00D14C05" w:rsidRDefault="00E5178B" w:rsidP="00337239">
      <w:pPr>
        <w:ind w:right="49"/>
        <w:rPr>
          <w:rFonts w:cs="Arial"/>
          <w:szCs w:val="24"/>
          <w:lang w:val="es-ES" w:eastAsia="es-ES"/>
        </w:rPr>
      </w:pPr>
    </w:p>
    <w:p w14:paraId="69805CD5" w14:textId="77777777" w:rsidR="00E5178B" w:rsidRPr="00D14C05" w:rsidRDefault="00E5178B" w:rsidP="00337239">
      <w:pPr>
        <w:ind w:right="49"/>
        <w:rPr>
          <w:rFonts w:cs="Arial"/>
          <w:szCs w:val="24"/>
          <w:lang w:val="es-ES" w:eastAsia="es-ES"/>
        </w:rPr>
      </w:pPr>
      <w:r w:rsidRPr="00D14C05">
        <w:rPr>
          <w:rFonts w:cs="Arial"/>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7C7634F6" w14:textId="77777777" w:rsidR="00E5178B" w:rsidRPr="00D14C05" w:rsidRDefault="00E5178B" w:rsidP="00337239">
      <w:pPr>
        <w:ind w:left="993" w:right="49" w:hanging="426"/>
        <w:rPr>
          <w:rFonts w:cs="Arial"/>
          <w:lang w:val="es-ES" w:eastAsia="es-ES"/>
        </w:rPr>
      </w:pPr>
      <w:r w:rsidRPr="00D14C05">
        <w:rPr>
          <w:rFonts w:cs="Arial"/>
          <w:b/>
          <w:lang w:val="es-ES" w:eastAsia="es-ES"/>
        </w:rPr>
        <w:t xml:space="preserve">a) </w:t>
      </w:r>
      <w:r w:rsidRPr="00D14C05">
        <w:rPr>
          <w:rFonts w:cs="Arial"/>
          <w:b/>
          <w:lang w:val="es-ES" w:eastAsia="es-ES"/>
        </w:rPr>
        <w:tab/>
        <w:t>Complejidad del asunto:</w:t>
      </w:r>
      <w:r w:rsidRPr="00D14C05">
        <w:rPr>
          <w:rFonts w:cs="Arial"/>
          <w:lang w:val="es-ES" w:eastAsia="es-ES"/>
        </w:rPr>
        <w:t xml:space="preserve"> La complejidad de la prueba, la pluralidad de sujetos procesales, el tiempo transcurrido, las características y contexto del recurso.</w:t>
      </w:r>
    </w:p>
    <w:p w14:paraId="5DDABC8C" w14:textId="77777777" w:rsidR="00E5178B" w:rsidRPr="00D14C05" w:rsidRDefault="00E5178B" w:rsidP="00337239">
      <w:pPr>
        <w:ind w:left="993" w:right="49" w:hanging="426"/>
        <w:rPr>
          <w:rFonts w:cs="Arial"/>
          <w:lang w:val="es-ES" w:eastAsia="es-ES"/>
        </w:rPr>
      </w:pPr>
      <w:r w:rsidRPr="00D14C05">
        <w:rPr>
          <w:rFonts w:cs="Arial"/>
          <w:b/>
          <w:lang w:val="es-ES" w:eastAsia="es-ES"/>
        </w:rPr>
        <w:t xml:space="preserve">b) </w:t>
      </w:r>
      <w:r w:rsidRPr="00D14C05">
        <w:rPr>
          <w:rFonts w:cs="Arial"/>
          <w:b/>
          <w:lang w:val="es-ES" w:eastAsia="es-ES"/>
        </w:rPr>
        <w:tab/>
        <w:t>Actividad Procesal del interesado:</w:t>
      </w:r>
      <w:r w:rsidRPr="00D14C05">
        <w:rPr>
          <w:rFonts w:cs="Arial"/>
          <w:lang w:val="es-ES" w:eastAsia="es-ES"/>
        </w:rPr>
        <w:t xml:space="preserve"> Acciones u omisiones del interesado.</w:t>
      </w:r>
    </w:p>
    <w:p w14:paraId="2B803861" w14:textId="77777777" w:rsidR="00E5178B" w:rsidRPr="00D14C05" w:rsidRDefault="00E5178B" w:rsidP="00337239">
      <w:pPr>
        <w:ind w:left="993" w:right="49" w:hanging="426"/>
        <w:rPr>
          <w:rFonts w:cs="Arial"/>
          <w:lang w:val="es-ES" w:eastAsia="es-ES"/>
        </w:rPr>
      </w:pPr>
      <w:r w:rsidRPr="00D14C05">
        <w:rPr>
          <w:rFonts w:cs="Arial"/>
          <w:b/>
          <w:lang w:val="es-ES" w:eastAsia="es-ES"/>
        </w:rPr>
        <w:t xml:space="preserve">c) </w:t>
      </w:r>
      <w:r w:rsidRPr="00D14C05">
        <w:rPr>
          <w:rFonts w:cs="Arial"/>
          <w:b/>
          <w:lang w:val="es-ES" w:eastAsia="es-ES"/>
        </w:rPr>
        <w:tab/>
        <w:t>Conducta de la Autoridad:</w:t>
      </w:r>
      <w:r w:rsidRPr="00D14C05">
        <w:rPr>
          <w:rFonts w:cs="Arial"/>
          <w:lang w:val="es-ES" w:eastAsia="es-ES"/>
        </w:rPr>
        <w:t xml:space="preserve"> Las Acciones u omisiones realizadas en el procedimiento. Así como si la autoridad actuó con la debida diligencia.</w:t>
      </w:r>
    </w:p>
    <w:p w14:paraId="70FF9BD4" w14:textId="77777777" w:rsidR="00E5178B" w:rsidRPr="00D14C05" w:rsidRDefault="00E5178B" w:rsidP="00337239">
      <w:pPr>
        <w:ind w:left="993" w:right="49" w:hanging="426"/>
        <w:rPr>
          <w:rFonts w:cs="Arial"/>
          <w:lang w:val="es-ES" w:eastAsia="es-ES"/>
        </w:rPr>
      </w:pPr>
      <w:r w:rsidRPr="00D14C05">
        <w:rPr>
          <w:rFonts w:cs="Arial"/>
          <w:b/>
          <w:lang w:val="es-ES" w:eastAsia="es-ES"/>
        </w:rPr>
        <w:t xml:space="preserve">d) </w:t>
      </w:r>
      <w:r w:rsidRPr="00D14C05">
        <w:rPr>
          <w:rFonts w:cs="Arial"/>
          <w:b/>
          <w:lang w:val="es-ES" w:eastAsia="es-ES"/>
        </w:rPr>
        <w:tab/>
        <w:t>La afectación generada en la situación jurídica de la persona involucrada en el proceso:</w:t>
      </w:r>
      <w:r w:rsidRPr="00D14C05">
        <w:rPr>
          <w:rFonts w:cs="Arial"/>
          <w:lang w:val="es-ES" w:eastAsia="es-ES"/>
        </w:rPr>
        <w:t xml:space="preserve"> Violación a sus derechos humanos.</w:t>
      </w:r>
    </w:p>
    <w:p w14:paraId="190A15DE" w14:textId="77777777" w:rsidR="00E5178B" w:rsidRPr="00D14C05" w:rsidRDefault="00E5178B" w:rsidP="00337239">
      <w:pPr>
        <w:ind w:left="993" w:right="49" w:hanging="426"/>
        <w:rPr>
          <w:rFonts w:cs="Arial"/>
          <w:lang w:val="es-ES" w:eastAsia="es-ES"/>
        </w:rPr>
      </w:pPr>
    </w:p>
    <w:p w14:paraId="32F5B73F" w14:textId="77777777" w:rsidR="00E5178B" w:rsidRPr="00D14C05" w:rsidRDefault="00E5178B" w:rsidP="00337239">
      <w:pPr>
        <w:ind w:right="49"/>
        <w:rPr>
          <w:rFonts w:cs="Arial"/>
          <w:szCs w:val="24"/>
          <w:lang w:val="es-ES" w:eastAsia="es-ES"/>
        </w:rPr>
      </w:pPr>
      <w:r w:rsidRPr="00D14C05">
        <w:rPr>
          <w:rFonts w:cs="Arial"/>
          <w:szCs w:val="24"/>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w:t>
      </w:r>
      <w:r w:rsidRPr="00D14C05">
        <w:rPr>
          <w:rFonts w:cs="Arial"/>
          <w:szCs w:val="24"/>
          <w:lang w:val="es-ES" w:eastAsia="es-ES"/>
        </w:rPr>
        <w:lastRenderedPageBreak/>
        <w:t>debe concluirse que es una excluyente de responsabilidad en relación con la actuación del funcionario, como ha acontecido en el caso que nos ocupa.</w:t>
      </w:r>
    </w:p>
    <w:p w14:paraId="1783BE50" w14:textId="77777777" w:rsidR="00E5178B" w:rsidRPr="00D14C05" w:rsidRDefault="00E5178B" w:rsidP="00337239">
      <w:pPr>
        <w:ind w:right="49"/>
        <w:rPr>
          <w:rFonts w:cs="Arial"/>
          <w:szCs w:val="24"/>
          <w:lang w:val="es-ES" w:eastAsia="es-ES"/>
        </w:rPr>
      </w:pPr>
    </w:p>
    <w:p w14:paraId="3428AF0C" w14:textId="77777777" w:rsidR="00E5178B" w:rsidRPr="00D14C05" w:rsidRDefault="00E5178B" w:rsidP="00337239">
      <w:pPr>
        <w:ind w:right="49"/>
        <w:rPr>
          <w:rFonts w:cs="Arial"/>
          <w:szCs w:val="24"/>
          <w:lang w:val="es-ES" w:eastAsia="es-ES"/>
        </w:rPr>
      </w:pPr>
      <w:r w:rsidRPr="00D14C05">
        <w:rPr>
          <w:rFonts w:cs="Arial"/>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7D02ABD" w14:textId="77777777" w:rsidR="00E5178B" w:rsidRPr="00D14C05" w:rsidRDefault="00E5178B" w:rsidP="00337239">
      <w:pPr>
        <w:ind w:right="49"/>
        <w:rPr>
          <w:rFonts w:cs="Arial"/>
          <w:szCs w:val="24"/>
          <w:lang w:val="es-ES" w:eastAsia="es-ES"/>
        </w:rPr>
      </w:pPr>
    </w:p>
    <w:p w14:paraId="28046429" w14:textId="77777777" w:rsidR="00E5178B" w:rsidRPr="00D14C05" w:rsidRDefault="00E5178B" w:rsidP="00337239">
      <w:pPr>
        <w:ind w:right="49"/>
        <w:rPr>
          <w:rFonts w:cs="Arial"/>
          <w:szCs w:val="24"/>
          <w:lang w:val="es-ES" w:eastAsia="es-ES"/>
        </w:rPr>
      </w:pPr>
      <w:r w:rsidRPr="00D14C05">
        <w:rPr>
          <w:rFonts w:cs="Arial"/>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B834805" w14:textId="77777777" w:rsidR="00E5178B" w:rsidRPr="00D14C05" w:rsidRDefault="00E5178B" w:rsidP="00337239">
      <w:pPr>
        <w:ind w:right="49"/>
        <w:rPr>
          <w:rFonts w:cs="Arial"/>
          <w:szCs w:val="24"/>
          <w:lang w:val="es-ES" w:eastAsia="es-ES"/>
        </w:rPr>
      </w:pPr>
    </w:p>
    <w:p w14:paraId="066EBA77" w14:textId="77777777" w:rsidR="00E5178B" w:rsidRPr="00D14C05" w:rsidRDefault="00E5178B" w:rsidP="00337239">
      <w:pPr>
        <w:ind w:right="49"/>
        <w:rPr>
          <w:rFonts w:cs="Arial"/>
          <w:szCs w:val="24"/>
          <w:lang w:val="es-ES" w:eastAsia="es-ES"/>
        </w:rPr>
      </w:pPr>
      <w:r w:rsidRPr="00D14C05">
        <w:rPr>
          <w:rFonts w:cs="Arial"/>
          <w:szCs w:val="24"/>
          <w:lang w:val="es-ES" w:eastAsia="es-ES"/>
        </w:rPr>
        <w:t>Al respecto, también son de considerar los criterios sostenidos por el Cuarto Tribunal Colegiado en Materia Administrativa del Primer Circuito, cuyos rubros y datos de identificación son los siguientes:</w:t>
      </w:r>
    </w:p>
    <w:p w14:paraId="3C7D35CC" w14:textId="77777777" w:rsidR="00E5178B" w:rsidRPr="00D14C05" w:rsidRDefault="00E5178B" w:rsidP="00337239">
      <w:pPr>
        <w:ind w:right="49"/>
        <w:rPr>
          <w:rFonts w:cs="Arial"/>
          <w:szCs w:val="24"/>
          <w:lang w:val="es-ES" w:eastAsia="es-ES"/>
        </w:rPr>
      </w:pPr>
    </w:p>
    <w:p w14:paraId="60F4281E" w14:textId="77777777" w:rsidR="00E5178B" w:rsidRPr="00D14C05" w:rsidRDefault="00E5178B" w:rsidP="00337239">
      <w:pPr>
        <w:ind w:left="708" w:right="49"/>
        <w:rPr>
          <w:rFonts w:cs="Arial"/>
          <w:i/>
          <w:iCs/>
          <w:lang w:val="es-ES" w:eastAsia="es-ES"/>
        </w:rPr>
      </w:pPr>
      <w:r w:rsidRPr="00D14C05">
        <w:rPr>
          <w:rFonts w:cs="Arial"/>
          <w:i/>
          <w:iCs/>
          <w:lang w:val="es-ES" w:eastAsia="es-ES"/>
        </w:rPr>
        <w:t>“</w:t>
      </w:r>
      <w:r w:rsidRPr="00D14C05">
        <w:rPr>
          <w:rFonts w:cs="Arial"/>
          <w:b/>
          <w:i/>
          <w:iCs/>
          <w:lang w:val="es-ES" w:eastAsia="es-ES"/>
        </w:rPr>
        <w:t>PLAZO RAZONABLE PARA RESOLVER. DIMENSIÓN Y EFECTOS DE ESTE CONCEPTO CUANDO SE ADUCE EXCESIVA CARGA DE TRABAJO</w:t>
      </w:r>
      <w:r w:rsidRPr="00D14C05">
        <w:rPr>
          <w:rFonts w:cs="Arial"/>
          <w:i/>
          <w:iCs/>
          <w:lang w:val="es-ES" w:eastAsia="es-ES"/>
        </w:rPr>
        <w:t>.” consultable en el Seminario Judicial de la Federación y su gaceta, con el registro digital 2002351.</w:t>
      </w:r>
    </w:p>
    <w:p w14:paraId="11B3EC48" w14:textId="77777777" w:rsidR="00E5178B" w:rsidRPr="00D14C05" w:rsidRDefault="00E5178B" w:rsidP="00337239">
      <w:pPr>
        <w:ind w:right="49"/>
        <w:rPr>
          <w:rFonts w:cs="Arial"/>
          <w:i/>
          <w:iCs/>
          <w:lang w:val="es-ES" w:eastAsia="es-ES"/>
        </w:rPr>
      </w:pPr>
    </w:p>
    <w:p w14:paraId="3E7C306B" w14:textId="77777777" w:rsidR="00E5178B" w:rsidRPr="00D14C05" w:rsidRDefault="00E5178B" w:rsidP="00337239">
      <w:pPr>
        <w:ind w:left="708" w:right="49"/>
        <w:rPr>
          <w:rFonts w:cs="Arial"/>
          <w:i/>
          <w:iCs/>
          <w:lang w:val="es-ES" w:eastAsia="es-ES"/>
        </w:rPr>
      </w:pPr>
      <w:r w:rsidRPr="00D14C05">
        <w:rPr>
          <w:rFonts w:cs="Arial"/>
          <w:i/>
          <w:iCs/>
          <w:lang w:val="es-ES" w:eastAsia="es-ES"/>
        </w:rPr>
        <w:t>“</w:t>
      </w:r>
      <w:r w:rsidRPr="00D14C05">
        <w:rPr>
          <w:rFonts w:cs="Arial"/>
          <w:b/>
          <w:i/>
          <w:iCs/>
          <w:lang w:val="es-ES" w:eastAsia="es-ES"/>
        </w:rPr>
        <w:t>PLAZO RAZONABLE PARA RESOLVER. CONCEPTO Y ELEMENTOS QUE LO INTEGRAN A LA LUZ DEL DERECHO INTERNACIONAL DE LOS DERECHOS HUMANOS.</w:t>
      </w:r>
      <w:r w:rsidRPr="00D14C05">
        <w:rPr>
          <w:rFonts w:cs="Arial"/>
          <w:i/>
          <w:iCs/>
          <w:lang w:val="es-ES" w:eastAsia="es-ES"/>
        </w:rPr>
        <w:t>”, visible en el Seminario Judicial de la Federación y su gaceta, con el registro digital 2002350.</w:t>
      </w:r>
    </w:p>
    <w:p w14:paraId="3D5A3D6E" w14:textId="77777777" w:rsidR="00E5178B" w:rsidRPr="00D14C05" w:rsidRDefault="00E5178B" w:rsidP="00337239">
      <w:pPr>
        <w:ind w:right="49"/>
        <w:rPr>
          <w:rFonts w:cs="Arial"/>
          <w:szCs w:val="24"/>
          <w:lang w:val="es-ES" w:eastAsia="es-ES"/>
        </w:rPr>
      </w:pPr>
    </w:p>
    <w:p w14:paraId="49F38684" w14:textId="77777777" w:rsidR="00E5178B" w:rsidRPr="00D14C05" w:rsidRDefault="00E5178B" w:rsidP="00337239">
      <w:pPr>
        <w:ind w:right="49"/>
        <w:rPr>
          <w:rFonts w:cs="Arial"/>
          <w:szCs w:val="24"/>
          <w:lang w:val="es-ES" w:eastAsia="es-ES"/>
        </w:rPr>
      </w:pPr>
      <w:r w:rsidRPr="00D14C05">
        <w:rPr>
          <w:rFonts w:cs="Arial"/>
          <w:szCs w:val="24"/>
          <w:lang w:val="es-ES" w:eastAsia="es-ES"/>
        </w:rPr>
        <w:t>Por ello, este organismo garante comprometido con la tutela de los derechos humanos confiados, señala que este exceso del plazo legal para resolver el presente asunto, resulta de carácter excepcional.</w:t>
      </w:r>
    </w:p>
    <w:p w14:paraId="58A93498" w14:textId="77777777" w:rsidR="00E5178B" w:rsidRPr="00D14C05" w:rsidRDefault="00E5178B" w:rsidP="00337239">
      <w:pPr>
        <w:pStyle w:val="Ttulo2"/>
        <w:rPr>
          <w:rFonts w:eastAsiaTheme="minorHAnsi"/>
          <w:lang w:eastAsia="en-US"/>
        </w:rPr>
      </w:pPr>
    </w:p>
    <w:p w14:paraId="613C4E9C" w14:textId="0CFF62C7" w:rsidR="002F3AD7" w:rsidRPr="00D14C05" w:rsidRDefault="00E5178B" w:rsidP="00337239">
      <w:pPr>
        <w:pStyle w:val="Ttulo2"/>
        <w:rPr>
          <w:rFonts w:eastAsia="Palatino Linotype"/>
        </w:rPr>
      </w:pPr>
      <w:r w:rsidRPr="00D14C05">
        <w:rPr>
          <w:rFonts w:eastAsia="Palatino Linotype"/>
        </w:rPr>
        <w:t xml:space="preserve">SÉPTIMO. </w:t>
      </w:r>
      <w:r w:rsidR="002F3AD7" w:rsidRPr="00D14C05">
        <w:rPr>
          <w:rFonts w:eastAsia="Palatino Linotype"/>
        </w:rPr>
        <w:t>Del cierre de instrucción.</w:t>
      </w:r>
    </w:p>
    <w:p w14:paraId="61A09BC0" w14:textId="26988246" w:rsidR="002F3AD7" w:rsidRPr="00D14C05" w:rsidRDefault="002F3AD7"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Así, una vez transcurrido el término legal, se decretó el cierre de instrucción</w:t>
      </w:r>
      <w:r w:rsidR="006F7948" w:rsidRPr="00D14C05">
        <w:rPr>
          <w:rFonts w:eastAsia="Palatino Linotype" w:cs="Palatino Linotype"/>
          <w:color w:val="000000"/>
          <w:szCs w:val="24"/>
        </w:rPr>
        <w:t xml:space="preserve"> el </w:t>
      </w:r>
      <w:r w:rsidR="00A410EC" w:rsidRPr="00D14C05">
        <w:rPr>
          <w:rFonts w:eastAsia="Palatino Linotype" w:cs="Palatino Linotype"/>
          <w:color w:val="000000"/>
          <w:szCs w:val="24"/>
        </w:rPr>
        <w:t>veintitrés de febrero de dos mil veintiséis</w:t>
      </w:r>
      <w:r w:rsidRPr="00D14C05">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0283BD60" w14:textId="77777777" w:rsidR="009A70F6" w:rsidRPr="00D14C05" w:rsidRDefault="009A70F6" w:rsidP="00337239">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D14C05" w:rsidRDefault="00A970D5" w:rsidP="00337239">
      <w:pPr>
        <w:pStyle w:val="Ttulo1"/>
        <w:rPr>
          <w:rFonts w:eastAsia="Palatino Linotype"/>
          <w:lang w:val="es-ES_tradnl"/>
        </w:rPr>
      </w:pPr>
      <w:r w:rsidRPr="00D14C05">
        <w:rPr>
          <w:rFonts w:eastAsia="Palatino Linotype"/>
          <w:lang w:val="es-ES_tradnl"/>
        </w:rPr>
        <w:t>C O N S I D E R A N D O</w:t>
      </w:r>
    </w:p>
    <w:p w14:paraId="32546275"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D14C05" w:rsidRDefault="00A970D5" w:rsidP="00337239">
      <w:pPr>
        <w:pStyle w:val="Ttulo2"/>
        <w:rPr>
          <w:rFonts w:eastAsia="Palatino Linotype"/>
        </w:rPr>
      </w:pPr>
      <w:r w:rsidRPr="00D14C05">
        <w:rPr>
          <w:rFonts w:eastAsia="Palatino Linotype"/>
        </w:rPr>
        <w:lastRenderedPageBreak/>
        <w:t>PRIMERO. De la competencia.</w:t>
      </w:r>
    </w:p>
    <w:p w14:paraId="615C5B79" w14:textId="3D1CE060" w:rsidR="00E63F1C" w:rsidRPr="00D14C05" w:rsidRDefault="006F7948" w:rsidP="00337239">
      <w:pPr>
        <w:pBdr>
          <w:top w:val="nil"/>
          <w:left w:val="nil"/>
          <w:bottom w:val="nil"/>
          <w:right w:val="nil"/>
          <w:between w:val="nil"/>
        </w:pBdr>
        <w:contextualSpacing/>
        <w:rPr>
          <w:rFonts w:eastAsia="Palatino Linotype" w:cs="Palatino Linotype"/>
          <w:color w:val="000000"/>
          <w:szCs w:val="24"/>
        </w:rPr>
      </w:pPr>
      <w:r w:rsidRPr="00D14C05">
        <w:rPr>
          <w:rFonts w:eastAsiaTheme="minorHAnsi"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D14C05" w:rsidRDefault="00A970D5" w:rsidP="00337239">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D14C05" w:rsidRDefault="00A970D5" w:rsidP="00337239">
      <w:pPr>
        <w:pStyle w:val="Ttulo2"/>
        <w:rPr>
          <w:rFonts w:eastAsia="Palatino Linotype"/>
        </w:rPr>
      </w:pPr>
      <w:r w:rsidRPr="00D14C05">
        <w:rPr>
          <w:rFonts w:eastAsia="Palatino Linotype"/>
        </w:rPr>
        <w:t xml:space="preserve">SEGUNDO. Sobre los alcances del recurso de revisión. </w:t>
      </w:r>
    </w:p>
    <w:p w14:paraId="34CF35CC" w14:textId="77777777" w:rsidR="0027395D" w:rsidRPr="00D14C05" w:rsidRDefault="0027395D" w:rsidP="00337239">
      <w:pPr>
        <w:pStyle w:val="Prrafodelista"/>
        <w:autoSpaceDE w:val="0"/>
        <w:autoSpaceDN w:val="0"/>
        <w:adjustRightInd w:val="0"/>
        <w:ind w:left="0"/>
        <w:rPr>
          <w:rFonts w:cs="Arial"/>
        </w:rPr>
      </w:pPr>
      <w:r w:rsidRPr="00D14C05">
        <w:rPr>
          <w:rFonts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C4FABAE" w14:textId="77777777" w:rsidR="0027395D" w:rsidRPr="00D14C05" w:rsidRDefault="0027395D" w:rsidP="00337239">
      <w:pPr>
        <w:autoSpaceDE w:val="0"/>
        <w:autoSpaceDN w:val="0"/>
        <w:adjustRightInd w:val="0"/>
        <w:rPr>
          <w:rFonts w:eastAsia="Times New Roman" w:cs="Arial"/>
          <w:szCs w:val="24"/>
          <w:lang w:val="es-ES" w:eastAsia="es-ES"/>
        </w:rPr>
      </w:pPr>
      <w:r w:rsidRPr="00D14C05">
        <w:rPr>
          <w:rFonts w:eastAsia="Times New Roman" w:cs="Arial"/>
          <w:szCs w:val="24"/>
          <w:lang w:val="es-ES" w:eastAsia="es-ES"/>
        </w:rPr>
        <w:t>El Recurso de Revisión en estudio contiene los elementos normativos de validez exigidos en la Ley de Transparencia y Acceso a la Información Pública del Estado de México y Municipios, establecidos en el artículo 180 que enuncia:</w:t>
      </w:r>
    </w:p>
    <w:p w14:paraId="6779DA25" w14:textId="77777777" w:rsidR="0027395D" w:rsidRPr="00D14C05" w:rsidRDefault="0027395D" w:rsidP="00337239">
      <w:pPr>
        <w:autoSpaceDE w:val="0"/>
        <w:autoSpaceDN w:val="0"/>
        <w:adjustRightInd w:val="0"/>
        <w:ind w:left="1134"/>
        <w:rPr>
          <w:rFonts w:eastAsia="Times New Roman" w:cs="Arial"/>
          <w:i/>
          <w:szCs w:val="24"/>
          <w:lang w:val="es-ES" w:eastAsia="es-ES"/>
        </w:rPr>
      </w:pPr>
      <w:r w:rsidRPr="00D14C05">
        <w:rPr>
          <w:rFonts w:eastAsia="Times New Roman" w:cs="Arial"/>
          <w:i/>
          <w:szCs w:val="24"/>
          <w:lang w:val="es-ES" w:eastAsia="es-ES"/>
        </w:rPr>
        <w:lastRenderedPageBreak/>
        <w:t xml:space="preserve">“Artículo 180. El recurso de revisión contendrá: </w:t>
      </w:r>
    </w:p>
    <w:p w14:paraId="48B2B686" w14:textId="77777777" w:rsidR="0027395D" w:rsidRPr="00D14C05" w:rsidRDefault="0027395D" w:rsidP="00337239">
      <w:pPr>
        <w:autoSpaceDE w:val="0"/>
        <w:autoSpaceDN w:val="0"/>
        <w:adjustRightInd w:val="0"/>
        <w:spacing w:line="240" w:lineRule="auto"/>
        <w:ind w:left="1134"/>
        <w:rPr>
          <w:rFonts w:eastAsia="Times New Roman" w:cs="Arial"/>
          <w:i/>
          <w:szCs w:val="24"/>
          <w:lang w:eastAsia="es-ES"/>
        </w:rPr>
      </w:pPr>
      <w:r w:rsidRPr="00D14C05">
        <w:rPr>
          <w:rFonts w:eastAsia="Times New Roman" w:cs="Arial"/>
          <w:i/>
          <w:szCs w:val="24"/>
          <w:lang w:eastAsia="es-ES"/>
        </w:rPr>
        <w:t xml:space="preserve">I. El sujeto obligado ante la cual se presentó la solicitud; </w:t>
      </w:r>
    </w:p>
    <w:p w14:paraId="0B1120E7" w14:textId="77777777" w:rsidR="0027395D" w:rsidRPr="00D14C05" w:rsidRDefault="0027395D" w:rsidP="00337239">
      <w:pPr>
        <w:autoSpaceDE w:val="0"/>
        <w:autoSpaceDN w:val="0"/>
        <w:adjustRightInd w:val="0"/>
        <w:spacing w:line="240" w:lineRule="auto"/>
        <w:ind w:left="1134" w:right="567"/>
        <w:rPr>
          <w:rFonts w:eastAsia="Times New Roman" w:cs="Arial"/>
          <w:i/>
          <w:szCs w:val="24"/>
          <w:lang w:eastAsia="es-ES"/>
        </w:rPr>
      </w:pPr>
      <w:r w:rsidRPr="00D14C05">
        <w:rPr>
          <w:rFonts w:eastAsia="Times New Roman" w:cs="Arial"/>
          <w:b/>
          <w:i/>
          <w:szCs w:val="24"/>
          <w:lang w:eastAsia="es-ES"/>
        </w:rPr>
        <w:t>II. El nombre del solicitante que recurre</w:t>
      </w:r>
      <w:r w:rsidRPr="00D14C05">
        <w:rPr>
          <w:rFonts w:eastAsia="Times New Roman" w:cs="Arial"/>
          <w:i/>
          <w:szCs w:val="24"/>
          <w:lang w:eastAsia="es-ES"/>
        </w:rPr>
        <w:t xml:space="preserve"> o de su representante y, en su caso, del tercero interesado, así como la dirección o medio que señale para recibir notificaciones;</w:t>
      </w:r>
    </w:p>
    <w:p w14:paraId="2B27F8D0" w14:textId="77777777" w:rsidR="0027395D" w:rsidRPr="00D14C05" w:rsidRDefault="0027395D" w:rsidP="00337239">
      <w:pPr>
        <w:autoSpaceDE w:val="0"/>
        <w:autoSpaceDN w:val="0"/>
        <w:adjustRightInd w:val="0"/>
        <w:spacing w:line="240" w:lineRule="auto"/>
        <w:ind w:left="1134"/>
        <w:rPr>
          <w:rFonts w:eastAsia="Times New Roman" w:cs="Arial"/>
          <w:i/>
          <w:szCs w:val="24"/>
          <w:lang w:eastAsia="es-ES"/>
        </w:rPr>
      </w:pPr>
      <w:r w:rsidRPr="00D14C05">
        <w:rPr>
          <w:rFonts w:eastAsia="Times New Roman" w:cs="Arial"/>
          <w:i/>
          <w:szCs w:val="24"/>
          <w:lang w:eastAsia="es-ES"/>
        </w:rPr>
        <w:t>III. El número de folio de respuesta de la solicitud de acceso;</w:t>
      </w:r>
    </w:p>
    <w:p w14:paraId="37811490" w14:textId="77777777" w:rsidR="0027395D" w:rsidRPr="00D14C05" w:rsidRDefault="0027395D" w:rsidP="00337239">
      <w:pPr>
        <w:autoSpaceDE w:val="0"/>
        <w:autoSpaceDN w:val="0"/>
        <w:adjustRightInd w:val="0"/>
        <w:spacing w:line="240" w:lineRule="auto"/>
        <w:ind w:left="1134" w:right="567"/>
        <w:rPr>
          <w:rFonts w:eastAsia="Times New Roman" w:cs="Arial"/>
          <w:i/>
          <w:szCs w:val="24"/>
          <w:lang w:eastAsia="es-ES"/>
        </w:rPr>
      </w:pPr>
      <w:r w:rsidRPr="00D14C05">
        <w:rPr>
          <w:rFonts w:eastAsia="Times New Roman" w:cs="Arial"/>
          <w:i/>
          <w:szCs w:val="24"/>
          <w:lang w:eastAsia="es-ES"/>
        </w:rPr>
        <w:t>IV. La fecha en que fue notificada la respuesta al solicitante o tuvo conocimiento del acto reclamado, o de presentación de la solicitud, en caso de falta de respuesta;</w:t>
      </w:r>
    </w:p>
    <w:p w14:paraId="6DFE9959" w14:textId="77777777" w:rsidR="0027395D" w:rsidRPr="00D14C05" w:rsidRDefault="0027395D" w:rsidP="00337239">
      <w:pPr>
        <w:autoSpaceDE w:val="0"/>
        <w:autoSpaceDN w:val="0"/>
        <w:adjustRightInd w:val="0"/>
        <w:spacing w:line="240" w:lineRule="auto"/>
        <w:ind w:left="1134" w:right="567"/>
        <w:rPr>
          <w:rFonts w:eastAsia="Times New Roman" w:cs="Arial"/>
          <w:i/>
          <w:szCs w:val="24"/>
          <w:lang w:eastAsia="es-ES"/>
        </w:rPr>
      </w:pPr>
      <w:r w:rsidRPr="00D14C05">
        <w:rPr>
          <w:rFonts w:eastAsia="Times New Roman" w:cs="Arial"/>
          <w:i/>
          <w:szCs w:val="24"/>
          <w:lang w:eastAsia="es-ES"/>
        </w:rPr>
        <w:t>V. El acto que se recurre;</w:t>
      </w:r>
    </w:p>
    <w:p w14:paraId="5B4DDEA5" w14:textId="77777777" w:rsidR="0027395D" w:rsidRPr="00D14C05" w:rsidRDefault="0027395D" w:rsidP="00337239">
      <w:pPr>
        <w:autoSpaceDE w:val="0"/>
        <w:autoSpaceDN w:val="0"/>
        <w:adjustRightInd w:val="0"/>
        <w:spacing w:line="240" w:lineRule="auto"/>
        <w:ind w:left="1134"/>
        <w:rPr>
          <w:rFonts w:eastAsia="Times New Roman" w:cs="Arial"/>
          <w:i/>
          <w:szCs w:val="24"/>
          <w:lang w:eastAsia="es-ES"/>
        </w:rPr>
      </w:pPr>
      <w:r w:rsidRPr="00D14C05">
        <w:rPr>
          <w:rFonts w:eastAsia="Times New Roman" w:cs="Arial"/>
          <w:i/>
          <w:szCs w:val="24"/>
          <w:lang w:eastAsia="es-ES"/>
        </w:rPr>
        <w:t>VI. Las razones o motivos de inconformidad;</w:t>
      </w:r>
    </w:p>
    <w:p w14:paraId="55634EC2" w14:textId="77777777" w:rsidR="0027395D" w:rsidRPr="00D14C05" w:rsidRDefault="0027395D" w:rsidP="00337239">
      <w:pPr>
        <w:autoSpaceDE w:val="0"/>
        <w:autoSpaceDN w:val="0"/>
        <w:adjustRightInd w:val="0"/>
        <w:spacing w:line="240" w:lineRule="auto"/>
        <w:ind w:left="1134" w:right="567"/>
        <w:rPr>
          <w:rFonts w:eastAsia="Times New Roman" w:cs="Arial"/>
          <w:i/>
          <w:szCs w:val="24"/>
          <w:lang w:eastAsia="es-ES"/>
        </w:rPr>
      </w:pPr>
      <w:r w:rsidRPr="00D14C05">
        <w:rPr>
          <w:rFonts w:eastAsia="Times New Roman" w:cs="Arial"/>
          <w:i/>
          <w:szCs w:val="24"/>
          <w:lang w:eastAsia="es-ES"/>
        </w:rPr>
        <w:t xml:space="preserve">VII. La copia de la respuesta que se impugna y, en su caso, de la notificación correspondiente, en el caso de respuesta de la solicitud; y </w:t>
      </w:r>
    </w:p>
    <w:p w14:paraId="5DD15B1E" w14:textId="77777777" w:rsidR="0027395D" w:rsidRPr="00D14C05" w:rsidRDefault="0027395D" w:rsidP="00337239">
      <w:pPr>
        <w:autoSpaceDE w:val="0"/>
        <w:autoSpaceDN w:val="0"/>
        <w:adjustRightInd w:val="0"/>
        <w:spacing w:line="240" w:lineRule="auto"/>
        <w:ind w:left="1134" w:right="567"/>
        <w:rPr>
          <w:rFonts w:eastAsia="Times New Roman" w:cs="Arial"/>
          <w:i/>
          <w:szCs w:val="24"/>
          <w:lang w:eastAsia="es-ES"/>
        </w:rPr>
      </w:pPr>
      <w:r w:rsidRPr="00D14C05">
        <w:rPr>
          <w:rFonts w:eastAsia="Times New Roman" w:cs="Arial"/>
          <w:i/>
          <w:szCs w:val="24"/>
          <w:lang w:eastAsia="es-ES"/>
        </w:rPr>
        <w:t xml:space="preserve">VIII. Firma del recurrente, en su caso, cuando se presente por escrito, requisito sin el cual se dará trámite al recurso. </w:t>
      </w:r>
    </w:p>
    <w:p w14:paraId="43A1644A" w14:textId="77777777" w:rsidR="0027395D" w:rsidRPr="00D14C05" w:rsidRDefault="0027395D" w:rsidP="00337239">
      <w:pPr>
        <w:autoSpaceDE w:val="0"/>
        <w:autoSpaceDN w:val="0"/>
        <w:adjustRightInd w:val="0"/>
        <w:spacing w:line="276" w:lineRule="auto"/>
        <w:ind w:left="1134" w:right="567"/>
        <w:rPr>
          <w:rFonts w:eastAsia="Times New Roman" w:cs="Arial"/>
          <w:i/>
          <w:szCs w:val="24"/>
          <w:lang w:eastAsia="es-ES"/>
        </w:rPr>
      </w:pPr>
      <w:r w:rsidRPr="00D14C05">
        <w:rPr>
          <w:rFonts w:eastAsia="Times New Roman" w:cs="Arial"/>
          <w:i/>
          <w:szCs w:val="24"/>
          <w:lang w:eastAsia="es-ES"/>
        </w:rPr>
        <w:t xml:space="preserve">Adicionalmente, se podrán anexar las pruebas y demás elementos que considere procedentes someter a juicio del Instituto. </w:t>
      </w:r>
    </w:p>
    <w:p w14:paraId="21915548" w14:textId="77777777" w:rsidR="0027395D" w:rsidRPr="00D14C05" w:rsidRDefault="0027395D" w:rsidP="00337239">
      <w:pPr>
        <w:autoSpaceDE w:val="0"/>
        <w:autoSpaceDN w:val="0"/>
        <w:adjustRightInd w:val="0"/>
        <w:spacing w:line="276" w:lineRule="auto"/>
        <w:ind w:left="1134" w:right="567"/>
        <w:rPr>
          <w:rFonts w:eastAsia="Times New Roman" w:cs="Arial"/>
          <w:i/>
          <w:szCs w:val="24"/>
          <w:lang w:eastAsia="es-ES"/>
        </w:rPr>
      </w:pPr>
      <w:r w:rsidRPr="00D14C05">
        <w:rPr>
          <w:rFonts w:eastAsia="Times New Roman" w:cs="Arial"/>
          <w:i/>
          <w:szCs w:val="24"/>
          <w:lang w:eastAsia="es-ES"/>
        </w:rPr>
        <w:t xml:space="preserve">En ningún caso será necesario que el particular ratifique el recurso de revisión interpuesto. </w:t>
      </w:r>
    </w:p>
    <w:p w14:paraId="5F81824C" w14:textId="77777777" w:rsidR="0027395D" w:rsidRPr="00D14C05" w:rsidRDefault="0027395D" w:rsidP="00337239">
      <w:pPr>
        <w:autoSpaceDE w:val="0"/>
        <w:autoSpaceDN w:val="0"/>
        <w:adjustRightInd w:val="0"/>
        <w:ind w:left="1134" w:right="567"/>
        <w:rPr>
          <w:rFonts w:eastAsia="Times New Roman" w:cs="Arial"/>
          <w:szCs w:val="24"/>
          <w:lang w:val="es-ES" w:eastAsia="es-ES"/>
        </w:rPr>
      </w:pPr>
      <w:r w:rsidRPr="00D14C05">
        <w:rPr>
          <w:rFonts w:cs="Arial"/>
          <w:b/>
          <w:i/>
          <w:szCs w:val="24"/>
          <w:lang w:val="es-ES" w:eastAsia="es-ES"/>
        </w:rPr>
        <w:t>En caso de que el recurso se interponga de manera electrónica no será indispensable que contengan los requisitos establecidos en las fracciones II, IV, VII y VIII.”</w:t>
      </w:r>
    </w:p>
    <w:p w14:paraId="067080F8" w14:textId="77777777" w:rsidR="0027395D" w:rsidRPr="00D14C05" w:rsidRDefault="0027395D" w:rsidP="00337239">
      <w:pPr>
        <w:autoSpaceDE w:val="0"/>
        <w:autoSpaceDN w:val="0"/>
        <w:adjustRightInd w:val="0"/>
        <w:rPr>
          <w:rFonts w:eastAsia="Times New Roman" w:cs="Times New Roman"/>
          <w:szCs w:val="24"/>
          <w:lang w:val="es-ES" w:eastAsia="es-ES"/>
        </w:rPr>
      </w:pPr>
    </w:p>
    <w:p w14:paraId="25105807" w14:textId="77777777" w:rsidR="0027395D" w:rsidRPr="00D14C05" w:rsidRDefault="0027395D" w:rsidP="00337239">
      <w:pPr>
        <w:autoSpaceDE w:val="0"/>
        <w:autoSpaceDN w:val="0"/>
        <w:adjustRightInd w:val="0"/>
        <w:rPr>
          <w:rFonts w:eastAsia="Times New Roman" w:cs="Times New Roman"/>
          <w:szCs w:val="24"/>
          <w:lang w:val="es-ES" w:eastAsia="es-ES"/>
        </w:rPr>
      </w:pPr>
      <w:r w:rsidRPr="00D14C05">
        <w:rPr>
          <w:rFonts w:eastAsia="Times New Roman" w:cs="Times New Roman"/>
          <w:szCs w:val="24"/>
          <w:lang w:val="es-ES" w:eastAsia="es-ES"/>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27395D" w:rsidRPr="00D14C05" w14:paraId="4E563299" w14:textId="77777777" w:rsidTr="00570BEC">
        <w:trPr>
          <w:trHeight w:val="1360"/>
        </w:trPr>
        <w:tc>
          <w:tcPr>
            <w:tcW w:w="7982" w:type="dxa"/>
          </w:tcPr>
          <w:p w14:paraId="43CA765F"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p w14:paraId="7F0DC547" w14:textId="77777777" w:rsidR="00A410EC" w:rsidRPr="00D14C05" w:rsidRDefault="00A410EC" w:rsidP="00337239">
            <w:pPr>
              <w:autoSpaceDE w:val="0"/>
              <w:autoSpaceDN w:val="0"/>
              <w:adjustRightInd w:val="0"/>
              <w:rPr>
                <w:rFonts w:eastAsia="Times New Roman" w:cs="Times New Roman"/>
                <w:i/>
                <w:szCs w:val="24"/>
                <w:lang w:val="es-ES" w:eastAsia="es-ES"/>
              </w:rPr>
            </w:pPr>
          </w:p>
        </w:tc>
      </w:tr>
    </w:tbl>
    <w:p w14:paraId="5BDFF085" w14:textId="77777777" w:rsidR="0027395D" w:rsidRPr="00D14C05" w:rsidRDefault="0027395D" w:rsidP="00337239">
      <w:pPr>
        <w:autoSpaceDE w:val="0"/>
        <w:autoSpaceDN w:val="0"/>
        <w:adjustRightInd w:val="0"/>
        <w:rPr>
          <w:rFonts w:eastAsia="Times New Roman" w:cs="Times New Roman"/>
          <w:szCs w:val="24"/>
          <w:lang w:val="es-ES" w:eastAsia="es-ES"/>
        </w:rPr>
      </w:pPr>
      <w:r w:rsidRPr="00D14C05">
        <w:rPr>
          <w:rFonts w:eastAsia="Times New Roman" w:cs="Times New Roman"/>
          <w:szCs w:val="24"/>
          <w:lang w:val="es-ES"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492BE42A" w14:textId="77777777" w:rsidR="00A410EC" w:rsidRPr="00D14C05" w:rsidRDefault="00A410EC" w:rsidP="00337239">
      <w:pPr>
        <w:autoSpaceDE w:val="0"/>
        <w:autoSpaceDN w:val="0"/>
        <w:adjustRightInd w:val="0"/>
        <w:rPr>
          <w:rFonts w:eastAsia="Times New Roman" w:cs="Times New Roman"/>
          <w:szCs w:val="24"/>
          <w:lang w:val="es-ES" w:eastAsia="es-ES"/>
        </w:rPr>
      </w:pPr>
    </w:p>
    <w:tbl>
      <w:tblPr>
        <w:tblStyle w:val="Tablaconcuadrcula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27395D" w:rsidRPr="00D14C05" w14:paraId="5A2A90CC" w14:textId="77777777" w:rsidTr="00570BEC">
        <w:trPr>
          <w:jc w:val="center"/>
        </w:trPr>
        <w:tc>
          <w:tcPr>
            <w:tcW w:w="8075" w:type="dxa"/>
          </w:tcPr>
          <w:p w14:paraId="391B0F75" w14:textId="77777777" w:rsidR="0027395D" w:rsidRPr="00D14C05" w:rsidRDefault="0027395D" w:rsidP="00337239">
            <w:pPr>
              <w:autoSpaceDE w:val="0"/>
              <w:autoSpaceDN w:val="0"/>
              <w:adjustRightInd w:val="0"/>
              <w:jc w:val="center"/>
              <w:rPr>
                <w:rFonts w:eastAsia="Times New Roman" w:cs="Times New Roman"/>
                <w:b/>
                <w:i/>
                <w:szCs w:val="24"/>
                <w:lang w:val="es-ES" w:eastAsia="es-ES"/>
              </w:rPr>
            </w:pPr>
            <w:r w:rsidRPr="00D14C05">
              <w:rPr>
                <w:rFonts w:eastAsia="Times New Roman" w:cs="Times New Roman"/>
                <w:b/>
                <w:i/>
                <w:szCs w:val="24"/>
                <w:lang w:val="es-ES" w:eastAsia="es-ES"/>
              </w:rPr>
              <w:t xml:space="preserve">Constitución Política de los Estados Unidos Mexicanos </w:t>
            </w:r>
          </w:p>
          <w:p w14:paraId="5E2CDFFB"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7A999046"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t xml:space="preserve">(…) </w:t>
            </w:r>
          </w:p>
          <w:p w14:paraId="7040C370"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t xml:space="preserve">Para efectos de lo dispuesto en el presente artículo se observará lo siguiente: </w:t>
            </w:r>
          </w:p>
          <w:p w14:paraId="7F96A32F"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t>A. Para el ejercicio del derecho de acceso a la información, la Federación y las entidades federativas, en el ámbito de sus respectivas competencias, se regirán por los siguientes principios y bases::</w:t>
            </w:r>
          </w:p>
          <w:p w14:paraId="50FF39E2"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t xml:space="preserve"> (…) </w:t>
            </w:r>
          </w:p>
          <w:p w14:paraId="6A5C7E06" w14:textId="77777777" w:rsidR="0027395D" w:rsidRPr="00D14C05" w:rsidRDefault="0027395D" w:rsidP="00337239">
            <w:pPr>
              <w:autoSpaceDE w:val="0"/>
              <w:autoSpaceDN w:val="0"/>
              <w:adjustRightInd w:val="0"/>
              <w:rPr>
                <w:rFonts w:eastAsia="Times New Roman" w:cs="Times New Roman"/>
                <w:i/>
                <w:szCs w:val="24"/>
                <w:lang w:val="es-ES" w:eastAsia="es-ES"/>
              </w:rPr>
            </w:pPr>
            <w:r w:rsidRPr="00D14C05">
              <w:rPr>
                <w:rFonts w:eastAsia="Times New Roman" w:cs="Times New Roman"/>
                <w:i/>
                <w:szCs w:val="24"/>
                <w:lang w:val="es-ES" w:eastAsia="es-ES"/>
              </w:rPr>
              <w:lastRenderedPageBreak/>
              <w:t>III. Toda persona, sin necesidad de acreditar interés alguno o justificar su utilización, tendrá acceso gratuito a la información pública, a sus datos personales o a la rectificación de éstos.</w:t>
            </w:r>
          </w:p>
          <w:p w14:paraId="795B8DBC" w14:textId="77777777" w:rsidR="0027395D" w:rsidRPr="00D14C05" w:rsidRDefault="0027395D" w:rsidP="00337239">
            <w:pPr>
              <w:autoSpaceDE w:val="0"/>
              <w:autoSpaceDN w:val="0"/>
              <w:adjustRightInd w:val="0"/>
              <w:rPr>
                <w:rFonts w:eastAsia="Times New Roman" w:cs="Arial"/>
                <w:i/>
                <w:szCs w:val="24"/>
                <w:lang w:val="es-ES" w:eastAsia="es-ES"/>
              </w:rPr>
            </w:pPr>
            <w:r w:rsidRPr="00D14C05">
              <w:rPr>
                <w:rFonts w:eastAsia="Times New Roman" w:cs="Arial"/>
                <w:i/>
                <w:szCs w:val="24"/>
                <w:lang w:val="es-ES" w:eastAsia="es-ES"/>
              </w:rPr>
              <w:t xml:space="preserve">IV. </w:t>
            </w:r>
            <w:r w:rsidRPr="00D14C05">
              <w:rPr>
                <w:rFonts w:eastAsia="Times New Roman" w:cs="Arial"/>
                <w:i/>
                <w:szCs w:val="24"/>
                <w:lang w:eastAsia="es-ES"/>
              </w:rPr>
              <w:t>Se establecerán mecanismos de acceso a la información pública y procedimientos de revisión expeditos que se sustanciarán ante las instancias competentes en los términos que fija esta Constitución y las leyes.</w:t>
            </w:r>
            <w:r w:rsidRPr="00D14C05">
              <w:rPr>
                <w:rFonts w:eastAsia="Times New Roman" w:cs="Arial"/>
                <w:i/>
                <w:szCs w:val="24"/>
                <w:lang w:val="es-ES" w:eastAsia="es-ES"/>
              </w:rPr>
              <w:t>”</w:t>
            </w:r>
          </w:p>
          <w:p w14:paraId="4859522B" w14:textId="77777777" w:rsidR="0027395D" w:rsidRPr="00D14C05" w:rsidRDefault="0027395D" w:rsidP="00337239">
            <w:pPr>
              <w:autoSpaceDE w:val="0"/>
              <w:autoSpaceDN w:val="0"/>
              <w:adjustRightInd w:val="0"/>
              <w:rPr>
                <w:rFonts w:eastAsia="Times New Roman" w:cs="Arial"/>
                <w:b/>
                <w:i/>
                <w:szCs w:val="24"/>
                <w:lang w:val="es-ES" w:eastAsia="es-ES"/>
              </w:rPr>
            </w:pPr>
            <w:r w:rsidRPr="00D14C05">
              <w:rPr>
                <w:rFonts w:eastAsia="Times New Roman" w:cs="Arial"/>
                <w:b/>
                <w:i/>
                <w:szCs w:val="24"/>
                <w:lang w:val="es-ES" w:eastAsia="es-ES"/>
              </w:rPr>
              <w:t>Constitución Política del Estado Libre y Soberano de México</w:t>
            </w:r>
          </w:p>
          <w:p w14:paraId="25B2129D" w14:textId="77777777" w:rsidR="0027395D" w:rsidRPr="00D14C05" w:rsidRDefault="0027395D" w:rsidP="00337239">
            <w:pPr>
              <w:autoSpaceDE w:val="0"/>
              <w:autoSpaceDN w:val="0"/>
              <w:adjustRightInd w:val="0"/>
              <w:rPr>
                <w:rFonts w:cs="Arial"/>
                <w:i/>
                <w:szCs w:val="24"/>
              </w:rPr>
            </w:pPr>
            <w:r w:rsidRPr="00D14C05">
              <w:rPr>
                <w:rFonts w:cs="Arial"/>
                <w:i/>
                <w:szCs w:val="24"/>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w:t>
            </w:r>
          </w:p>
          <w:p w14:paraId="3B80E674" w14:textId="77777777" w:rsidR="0027395D" w:rsidRPr="00D14C05" w:rsidRDefault="0027395D" w:rsidP="00337239">
            <w:pPr>
              <w:autoSpaceDE w:val="0"/>
              <w:autoSpaceDN w:val="0"/>
              <w:adjustRightInd w:val="0"/>
              <w:rPr>
                <w:rFonts w:cs="Arial"/>
                <w:i/>
                <w:szCs w:val="24"/>
              </w:rPr>
            </w:pPr>
            <w:r w:rsidRPr="00D14C05">
              <w:rPr>
                <w:rFonts w:cs="Arial"/>
                <w:i/>
                <w:szCs w:val="24"/>
              </w:rPr>
              <w:t>(…)</w:t>
            </w:r>
          </w:p>
          <w:p w14:paraId="5B15CCAD" w14:textId="77777777" w:rsidR="0027395D" w:rsidRPr="00D14C05" w:rsidRDefault="0027395D" w:rsidP="00337239">
            <w:pPr>
              <w:autoSpaceDE w:val="0"/>
              <w:autoSpaceDN w:val="0"/>
              <w:adjustRightInd w:val="0"/>
              <w:rPr>
                <w:rFonts w:cs="Arial"/>
                <w:i/>
                <w:szCs w:val="24"/>
              </w:rPr>
            </w:pPr>
            <w:r w:rsidRPr="00D14C05">
              <w:rPr>
                <w:rFonts w:cs="Arial"/>
                <w:i/>
                <w:szCs w:val="24"/>
              </w:rPr>
              <w:t>Toda persona en el Estado de México, tiene derecho al libre acceso a la información plural y oportuna, así como a buscar recibir y difundir información e ideas de toda índole por cualquier medio de expresión.</w:t>
            </w:r>
          </w:p>
          <w:p w14:paraId="6E59EF32" w14:textId="77777777" w:rsidR="0027395D" w:rsidRPr="00D14C05" w:rsidRDefault="0027395D" w:rsidP="00337239">
            <w:pPr>
              <w:autoSpaceDE w:val="0"/>
              <w:autoSpaceDN w:val="0"/>
              <w:adjustRightInd w:val="0"/>
              <w:rPr>
                <w:rFonts w:cs="Arial"/>
                <w:i/>
                <w:szCs w:val="24"/>
              </w:rPr>
            </w:pPr>
            <w:r w:rsidRPr="00D14C05">
              <w:rPr>
                <w:rFonts w:cs="Arial"/>
                <w:i/>
                <w:szCs w:val="24"/>
              </w:rPr>
              <w:t>(…)</w:t>
            </w:r>
          </w:p>
          <w:p w14:paraId="0B3A5604" w14:textId="77777777" w:rsidR="0027395D" w:rsidRPr="00D14C05" w:rsidRDefault="0027395D" w:rsidP="00337239">
            <w:pPr>
              <w:autoSpaceDE w:val="0"/>
              <w:autoSpaceDN w:val="0"/>
              <w:adjustRightInd w:val="0"/>
              <w:rPr>
                <w:rFonts w:cs="Arial"/>
                <w:i/>
                <w:szCs w:val="24"/>
              </w:rPr>
            </w:pPr>
            <w:r w:rsidRPr="00D14C05">
              <w:rPr>
                <w:rFonts w:cs="Arial"/>
                <w:i/>
                <w:szCs w:val="24"/>
              </w:rPr>
              <w:lastRenderedPageBreak/>
              <w:t>El derecho a la información será garantizado por el Estado. La ley establecerá las previsiones que permitan asegurar la protección, el respeto y la difusión de este derecho.</w:t>
            </w:r>
          </w:p>
          <w:p w14:paraId="58028CE0" w14:textId="77777777" w:rsidR="0027395D" w:rsidRPr="00D14C05" w:rsidRDefault="0027395D" w:rsidP="00337239">
            <w:pPr>
              <w:autoSpaceDE w:val="0"/>
              <w:autoSpaceDN w:val="0"/>
              <w:adjustRightInd w:val="0"/>
              <w:rPr>
                <w:rFonts w:cs="Arial"/>
                <w:i/>
                <w:szCs w:val="24"/>
              </w:rPr>
            </w:pPr>
            <w:r w:rsidRPr="00D14C05">
              <w:rPr>
                <w:rFonts w:cs="Arial"/>
                <w:i/>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4E35AC4" w14:textId="77777777" w:rsidR="0027395D" w:rsidRPr="00D14C05" w:rsidRDefault="0027395D" w:rsidP="00337239">
            <w:pPr>
              <w:autoSpaceDE w:val="0"/>
              <w:autoSpaceDN w:val="0"/>
              <w:adjustRightInd w:val="0"/>
              <w:rPr>
                <w:rFonts w:cs="Arial"/>
                <w:i/>
                <w:szCs w:val="24"/>
              </w:rPr>
            </w:pPr>
            <w:r w:rsidRPr="00D14C05">
              <w:rPr>
                <w:rFonts w:cs="Arial"/>
                <w:i/>
                <w:szCs w:val="24"/>
              </w:rPr>
              <w:t>III. Toda persona, sin necesidad de acreditar interés alguno o justificar su utilización, tendrá acceso gratuito a la información pública, a sus datos personales o a la rectificación de éstos;</w:t>
            </w:r>
          </w:p>
          <w:p w14:paraId="511E18E6" w14:textId="77777777" w:rsidR="0027395D" w:rsidRPr="00D14C05" w:rsidRDefault="0027395D" w:rsidP="00337239">
            <w:pPr>
              <w:autoSpaceDE w:val="0"/>
              <w:autoSpaceDN w:val="0"/>
              <w:adjustRightInd w:val="0"/>
              <w:rPr>
                <w:rFonts w:cs="Arial"/>
                <w:i/>
                <w:szCs w:val="24"/>
              </w:rPr>
            </w:pPr>
            <w:r w:rsidRPr="00D14C05">
              <w:rPr>
                <w:rFonts w:cs="Arial"/>
                <w:i/>
                <w:szCs w:val="24"/>
              </w:rPr>
              <w:t>IV. Se establecerán mecanismos de acceso a la información y procedimientos de revisión expeditos que se sustanciarán ante el organismo autónomo especializado e imparcial que establece esta Constitución.</w:t>
            </w:r>
          </w:p>
          <w:p w14:paraId="0AAE0799" w14:textId="77777777" w:rsidR="0027395D" w:rsidRPr="00D14C05" w:rsidRDefault="0027395D" w:rsidP="00337239">
            <w:pPr>
              <w:autoSpaceDE w:val="0"/>
              <w:autoSpaceDN w:val="0"/>
              <w:adjustRightInd w:val="0"/>
              <w:rPr>
                <w:rFonts w:eastAsia="Times New Roman" w:cs="Arial"/>
                <w:i/>
                <w:szCs w:val="24"/>
                <w:lang w:val="es-ES" w:eastAsia="es-ES"/>
              </w:rPr>
            </w:pPr>
            <w:r w:rsidRPr="00D14C05">
              <w:rPr>
                <w:rFonts w:eastAsia="Times New Roman" w:cs="Arial"/>
                <w:i/>
                <w:szCs w:val="24"/>
                <w:lang w:val="es-ES" w:eastAsia="es-ES"/>
              </w:rPr>
              <w:t>(…)</w:t>
            </w:r>
          </w:p>
          <w:p w14:paraId="51663C77" w14:textId="77777777" w:rsidR="0027395D" w:rsidRPr="00D14C05" w:rsidRDefault="0027395D" w:rsidP="00337239">
            <w:pPr>
              <w:autoSpaceDE w:val="0"/>
              <w:autoSpaceDN w:val="0"/>
              <w:adjustRightInd w:val="0"/>
              <w:rPr>
                <w:rFonts w:eastAsia="Times New Roman" w:cs="Arial"/>
                <w:i/>
                <w:szCs w:val="24"/>
                <w:lang w:val="es-ES" w:eastAsia="es-ES"/>
              </w:rPr>
            </w:pPr>
            <w:r w:rsidRPr="00D14C05">
              <w:rPr>
                <w:rFonts w:eastAsia="Times New Roman" w:cs="Arial"/>
                <w:i/>
                <w:szCs w:val="24"/>
                <w:lang w:val="es-ES" w:eastAsia="es-ES"/>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2E01CDB5" w14:textId="77777777" w:rsidR="0027395D" w:rsidRPr="00D14C05" w:rsidRDefault="0027395D" w:rsidP="00337239">
      <w:pPr>
        <w:autoSpaceDE w:val="0"/>
        <w:autoSpaceDN w:val="0"/>
        <w:adjustRightInd w:val="0"/>
        <w:rPr>
          <w:rFonts w:eastAsia="Times New Roman" w:cs="Times New Roman"/>
          <w:szCs w:val="24"/>
          <w:lang w:val="es-ES" w:eastAsia="es-ES"/>
        </w:rPr>
      </w:pPr>
      <w:r w:rsidRPr="00D14C05">
        <w:rPr>
          <w:rFonts w:eastAsia="Times New Roman" w:cs="Times New Roman"/>
          <w:szCs w:val="24"/>
          <w:lang w:val="es-ES"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14C05">
        <w:rPr>
          <w:rFonts w:eastAsia="Times New Roman" w:cs="Times New Roman"/>
          <w:b/>
          <w:szCs w:val="24"/>
          <w:u w:val="single"/>
          <w:lang w:val="es-ES" w:eastAsia="es-ES"/>
        </w:rPr>
        <w:t>incluso, la solicitud de acceso a la información pueda ser anónima o no contener un nombre que identifique al solicitante o que permita tener certeza sobre su identidad</w:t>
      </w:r>
      <w:r w:rsidRPr="00D14C05">
        <w:rPr>
          <w:rFonts w:eastAsia="Times New Roman" w:cs="Times New Roman"/>
          <w:szCs w:val="24"/>
          <w:lang w:val="es-ES" w:eastAsia="es-ES"/>
        </w:rPr>
        <w:t xml:space="preserve">. </w:t>
      </w:r>
    </w:p>
    <w:p w14:paraId="1E80F7EE" w14:textId="1AD052FB" w:rsidR="00FE7B8E" w:rsidRPr="00D14C05" w:rsidRDefault="0027395D" w:rsidP="00337239">
      <w:pPr>
        <w:rPr>
          <w:rFonts w:eastAsia="Times New Roman" w:cs="Times New Roman"/>
          <w:szCs w:val="24"/>
          <w:lang w:val="es-ES" w:eastAsia="es-ES"/>
        </w:rPr>
      </w:pPr>
      <w:r w:rsidRPr="00D14C05">
        <w:rPr>
          <w:rFonts w:eastAsia="Times New Roman" w:cs="Times New Roman"/>
          <w:szCs w:val="24"/>
          <w:lang w:val="es-ES" w:eastAsia="es-ES"/>
        </w:rPr>
        <w:t>En conclusión, se cubrieron los requisitos de procedencia y procedibilidad y conforme a las constancias que obran en el expediente.</w:t>
      </w:r>
    </w:p>
    <w:p w14:paraId="450C2AB2" w14:textId="77777777" w:rsidR="0027395D" w:rsidRPr="00D14C05" w:rsidRDefault="0027395D" w:rsidP="00337239"/>
    <w:p w14:paraId="7E828C31" w14:textId="33EBC042" w:rsidR="00454915" w:rsidRPr="00D14C05" w:rsidRDefault="00883E28" w:rsidP="00337239">
      <w:pPr>
        <w:pStyle w:val="Ttulo2"/>
        <w:rPr>
          <w:rFonts w:eastAsia="Palatino Linotype"/>
        </w:rPr>
      </w:pPr>
      <w:r w:rsidRPr="00D14C05">
        <w:rPr>
          <w:rFonts w:eastAsia="Palatino Linotype"/>
        </w:rPr>
        <w:t>TERCERO</w:t>
      </w:r>
      <w:r w:rsidR="00454915" w:rsidRPr="00D14C05">
        <w:rPr>
          <w:rFonts w:eastAsia="Palatino Linotype"/>
        </w:rPr>
        <w:t>. De las causas de improcedencia.</w:t>
      </w:r>
    </w:p>
    <w:p w14:paraId="714929BC" w14:textId="77777777" w:rsidR="00454915" w:rsidRPr="00D14C05" w:rsidRDefault="00454915"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D14C05" w:rsidRDefault="00454915" w:rsidP="00337239">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D14C05" w:rsidRDefault="00454915" w:rsidP="00337239">
      <w:pPr>
        <w:pBdr>
          <w:top w:val="nil"/>
          <w:left w:val="nil"/>
          <w:bottom w:val="nil"/>
          <w:right w:val="nil"/>
          <w:between w:val="nil"/>
        </w:pBdr>
        <w:contextualSpacing/>
        <w:rPr>
          <w:rFonts w:eastAsia="Palatino Linotype" w:cs="Palatino Linotype"/>
          <w:color w:val="000000"/>
          <w:lang w:val="es-ES"/>
        </w:rPr>
      </w:pPr>
      <w:r w:rsidRPr="00D14C05">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D14C05">
        <w:rPr>
          <w:rFonts w:eastAsia="Palatino Linotype" w:cs="Palatino Linotype"/>
          <w:color w:val="000000"/>
          <w:lang w:val="es-ES"/>
        </w:rPr>
        <w:lastRenderedPageBreak/>
        <w:t>una figura procesal adoptada en la ley de la materia</w:t>
      </w:r>
      <w:r w:rsidRPr="00D14C05">
        <w:rPr>
          <w:rFonts w:eastAsia="Palatino Linotype" w:cs="Palatino Linotype"/>
          <w:color w:val="000000"/>
          <w:vertAlign w:val="superscript"/>
          <w:lang w:val="es-ES"/>
        </w:rPr>
        <w:footnoteReference w:id="2"/>
      </w:r>
      <w:r w:rsidRPr="00D14C05">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D14C05" w:rsidRDefault="00454915" w:rsidP="00337239">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D14C05" w:rsidRDefault="00454915"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D14C05" w:rsidRDefault="00454915" w:rsidP="00337239">
      <w:pPr>
        <w:pBdr>
          <w:top w:val="nil"/>
          <w:left w:val="nil"/>
          <w:bottom w:val="nil"/>
          <w:right w:val="nil"/>
          <w:between w:val="nil"/>
        </w:pBdr>
        <w:contextualSpacing/>
        <w:rPr>
          <w:rFonts w:eastAsia="Palatino Linotype" w:cs="Palatino Linotype"/>
          <w:color w:val="000000"/>
          <w:szCs w:val="24"/>
        </w:rPr>
      </w:pPr>
    </w:p>
    <w:p w14:paraId="4011745D" w14:textId="70FB7115" w:rsidR="00454915" w:rsidRPr="00D14C05" w:rsidRDefault="00883E28" w:rsidP="00337239">
      <w:pPr>
        <w:pStyle w:val="Ttulo2"/>
        <w:rPr>
          <w:rFonts w:eastAsia="Palatino Linotype"/>
        </w:rPr>
      </w:pPr>
      <w:r w:rsidRPr="00D14C05">
        <w:rPr>
          <w:rFonts w:eastAsia="Palatino Linotype"/>
        </w:rPr>
        <w:lastRenderedPageBreak/>
        <w:t>CUAR</w:t>
      </w:r>
      <w:r w:rsidR="00F45971" w:rsidRPr="00D14C05">
        <w:rPr>
          <w:rFonts w:eastAsia="Palatino Linotype"/>
        </w:rPr>
        <w:t>TO</w:t>
      </w:r>
      <w:r w:rsidR="00454915" w:rsidRPr="00D14C05">
        <w:rPr>
          <w:rFonts w:eastAsia="Palatino Linotype"/>
        </w:rPr>
        <w:t>. Estudio y resolución del asunto.</w:t>
      </w:r>
    </w:p>
    <w:p w14:paraId="78A9F94F" w14:textId="77777777" w:rsidR="00454915" w:rsidRPr="00D14C05" w:rsidRDefault="00454915"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D14C05" w:rsidRDefault="004A3367" w:rsidP="00337239">
      <w:pPr>
        <w:rPr>
          <w:rFonts w:eastAsiaTheme="minorHAnsi" w:cstheme="minorBidi"/>
          <w:sz w:val="22"/>
          <w:lang w:eastAsia="en-US"/>
        </w:rPr>
      </w:pPr>
    </w:p>
    <w:p w14:paraId="7193478D" w14:textId="31DABD28" w:rsidR="00012F8B" w:rsidRPr="00D14C05" w:rsidRDefault="0EE28084" w:rsidP="00337239">
      <w:pPr>
        <w:rPr>
          <w:rFonts w:eastAsiaTheme="minorEastAsia" w:cstheme="minorBidi"/>
          <w:lang w:val="es-ES" w:eastAsia="en-US"/>
        </w:rPr>
      </w:pPr>
      <w:r w:rsidRPr="00D14C05">
        <w:rPr>
          <w:rFonts w:eastAsiaTheme="minorEastAsia" w:cstheme="minorBidi"/>
          <w:lang w:val="es-ES" w:eastAsia="en-US"/>
        </w:rPr>
        <w:t xml:space="preserve">En virtud de lo anterior, es conveniente recordar que el </w:t>
      </w:r>
      <w:r w:rsidR="00DA0841" w:rsidRPr="00D14C05">
        <w:rPr>
          <w:rFonts w:eastAsiaTheme="minorEastAsia" w:cstheme="minorBidi"/>
          <w:lang w:val="es-ES" w:eastAsia="en-US"/>
        </w:rPr>
        <w:t xml:space="preserve">hoy </w:t>
      </w:r>
      <w:r w:rsidRPr="00D14C05">
        <w:rPr>
          <w:rFonts w:eastAsiaTheme="minorEastAsia" w:cstheme="minorBidi"/>
          <w:lang w:val="es-ES" w:eastAsia="en-US"/>
        </w:rPr>
        <w:t>Recurrente</w:t>
      </w:r>
      <w:r w:rsidR="00DA0841" w:rsidRPr="00D14C05">
        <w:rPr>
          <w:rFonts w:eastAsiaTheme="minorEastAsia" w:cstheme="minorBidi"/>
          <w:lang w:val="es-ES" w:eastAsia="en-US"/>
        </w:rPr>
        <w:t xml:space="preserve"> </w:t>
      </w:r>
      <w:r w:rsidR="0084615A" w:rsidRPr="00D14C05">
        <w:rPr>
          <w:rFonts w:eastAsiaTheme="minorEastAsia" w:cstheme="minorBidi"/>
          <w:lang w:val="es-ES" w:eastAsia="en-US"/>
        </w:rPr>
        <w:t xml:space="preserve">requirió </w:t>
      </w:r>
      <w:r w:rsidR="00D4457F" w:rsidRPr="00D14C05">
        <w:rPr>
          <w:rFonts w:eastAsiaTheme="minorEastAsia" w:cstheme="minorBidi"/>
          <w:lang w:val="es-ES" w:eastAsia="en-US"/>
        </w:rPr>
        <w:t xml:space="preserve">que se le proporcionaran </w:t>
      </w:r>
      <w:r w:rsidR="00883E28" w:rsidRPr="00D14C05">
        <w:rPr>
          <w:rFonts w:eastAsiaTheme="minorEastAsia" w:cstheme="minorBidi"/>
          <w:lang w:val="es-ES" w:eastAsia="en-US"/>
        </w:rPr>
        <w:t>lo siguiente:</w:t>
      </w:r>
    </w:p>
    <w:p w14:paraId="7540016F" w14:textId="77777777" w:rsidR="0057256D" w:rsidRPr="00D14C05" w:rsidRDefault="0057256D" w:rsidP="00337239">
      <w:pPr>
        <w:rPr>
          <w:rFonts w:eastAsiaTheme="minorEastAsia" w:cstheme="minorBidi"/>
          <w:lang w:val="es-ES" w:eastAsia="en-US"/>
        </w:rPr>
      </w:pPr>
    </w:p>
    <w:p w14:paraId="33840645" w14:textId="4A129680" w:rsidR="0057256D" w:rsidRPr="00D14C05" w:rsidRDefault="00A410EC" w:rsidP="00337239">
      <w:pPr>
        <w:pStyle w:val="Prrafodelista"/>
        <w:numPr>
          <w:ilvl w:val="0"/>
          <w:numId w:val="75"/>
        </w:numPr>
        <w:rPr>
          <w:rFonts w:eastAsiaTheme="minorEastAsia" w:cstheme="minorBidi"/>
          <w:lang w:eastAsia="en-US"/>
        </w:rPr>
      </w:pPr>
      <w:r w:rsidRPr="00D14C05">
        <w:rPr>
          <w:rFonts w:eastAsiaTheme="minorEastAsia" w:cstheme="minorBidi"/>
          <w:lang w:eastAsia="en-US"/>
        </w:rPr>
        <w:t xml:space="preserve">Cuenta Pública, incluyendo estados financieros consolidados y demás documentos contables que reflejen la situación patrimonial, presupuestaria </w:t>
      </w:r>
      <w:r w:rsidR="00606BB6" w:rsidRPr="00D14C05">
        <w:rPr>
          <w:rFonts w:eastAsiaTheme="minorEastAsia" w:cstheme="minorBidi"/>
          <w:lang w:eastAsia="en-US"/>
        </w:rPr>
        <w:t>y programática.</w:t>
      </w:r>
    </w:p>
    <w:p w14:paraId="46248211" w14:textId="50E43C76" w:rsidR="00606BB6" w:rsidRPr="00D14C05" w:rsidRDefault="00606BB6" w:rsidP="00337239">
      <w:pPr>
        <w:pStyle w:val="Prrafodelista"/>
        <w:numPr>
          <w:ilvl w:val="0"/>
          <w:numId w:val="75"/>
        </w:numPr>
        <w:rPr>
          <w:rFonts w:eastAsiaTheme="minorEastAsia" w:cstheme="minorBidi"/>
          <w:lang w:eastAsia="en-US"/>
        </w:rPr>
      </w:pPr>
      <w:r w:rsidRPr="00D14C05">
        <w:rPr>
          <w:rFonts w:eastAsiaTheme="minorEastAsia" w:cstheme="minorBidi"/>
          <w:lang w:eastAsia="en-US"/>
        </w:rPr>
        <w:t>Inventario de bienes.</w:t>
      </w:r>
    </w:p>
    <w:p w14:paraId="2C9312AB" w14:textId="77777777" w:rsidR="00A51166" w:rsidRPr="00D14C05" w:rsidRDefault="00A51166" w:rsidP="00337239">
      <w:pPr>
        <w:pBdr>
          <w:top w:val="nil"/>
          <w:left w:val="nil"/>
          <w:bottom w:val="nil"/>
          <w:right w:val="nil"/>
          <w:between w:val="nil"/>
        </w:pBdr>
        <w:contextualSpacing/>
        <w:rPr>
          <w:rFonts w:eastAsiaTheme="minorEastAsia" w:cstheme="minorBidi"/>
          <w:lang w:val="es-ES" w:eastAsia="en-US"/>
        </w:rPr>
      </w:pPr>
    </w:p>
    <w:p w14:paraId="05A8D041" w14:textId="0182F3B5" w:rsidR="00DB0224" w:rsidRPr="00D14C05" w:rsidRDefault="00DB0224" w:rsidP="00337239">
      <w:pPr>
        <w:autoSpaceDE w:val="0"/>
        <w:autoSpaceDN w:val="0"/>
        <w:adjustRightInd w:val="0"/>
        <w:rPr>
          <w:iCs/>
        </w:rPr>
      </w:pPr>
      <w:r w:rsidRPr="00D14C05">
        <w:rPr>
          <w:rFonts w:eastAsia="Palatino Linotype" w:cs="Palatino Linotype"/>
          <w:color w:val="000000"/>
        </w:rPr>
        <w:t xml:space="preserve">Ahora bien, en virtud de que el Solicitante fue omiso en referir temporalidad, </w:t>
      </w:r>
      <w:r w:rsidRPr="00D14C05">
        <w:rPr>
          <w:rFonts w:cs="Arial"/>
          <w:lang w:val="es-MX"/>
        </w:rPr>
        <w:t xml:space="preserve">el parámetro de inicio y conclusión para efectos de búsqueda de la información deben comprender del once de julio de dos mil veinticuatro al once de julio de dos mil veinticinco. En puntual observancia al criterio orientador </w:t>
      </w:r>
      <w:r w:rsidRPr="00D14C05">
        <w:rPr>
          <w:b/>
          <w:iCs/>
        </w:rPr>
        <w:t xml:space="preserve">3/19 </w:t>
      </w:r>
      <w:r w:rsidRPr="00D14C05">
        <w:rPr>
          <w:iCs/>
        </w:rPr>
        <w:t xml:space="preserve">emitido por el entonces </w:t>
      </w:r>
      <w:r w:rsidRPr="00D14C05">
        <w:rPr>
          <w:iCs/>
        </w:rPr>
        <w:lastRenderedPageBreak/>
        <w:t xml:space="preserve">Instituto Nacional de Transparencia, Acceso a la Información y Protección de Datos Personales, que dispone a la literalidad lo siguiente: </w:t>
      </w:r>
    </w:p>
    <w:p w14:paraId="0A4A5A35" w14:textId="77777777" w:rsidR="00337239" w:rsidRPr="00D14C05" w:rsidRDefault="00337239" w:rsidP="00337239">
      <w:pPr>
        <w:autoSpaceDE w:val="0"/>
        <w:autoSpaceDN w:val="0"/>
        <w:adjustRightInd w:val="0"/>
        <w:rPr>
          <w:iCs/>
        </w:rPr>
      </w:pPr>
    </w:p>
    <w:p w14:paraId="384A0C2E" w14:textId="77777777" w:rsidR="00DB0224" w:rsidRPr="00D14C05" w:rsidRDefault="00DB0224" w:rsidP="00337239">
      <w:pPr>
        <w:pStyle w:val="Citas"/>
        <w:spacing w:before="0" w:after="0"/>
        <w:jc w:val="center"/>
        <w:rPr>
          <w:b/>
          <w:bCs/>
        </w:rPr>
      </w:pPr>
      <w:r w:rsidRPr="00D14C05">
        <w:rPr>
          <w:b/>
          <w:bCs/>
        </w:rPr>
        <w:t>“PERIODO DE BÚSQUEDA DE LA INFORMACIÓN.</w:t>
      </w:r>
    </w:p>
    <w:p w14:paraId="0BC20DE4" w14:textId="77777777" w:rsidR="00DB0224" w:rsidRPr="00D14C05" w:rsidRDefault="00DB0224" w:rsidP="00337239">
      <w:pPr>
        <w:pStyle w:val="Citas"/>
        <w:spacing w:before="0" w:after="0"/>
      </w:pPr>
      <w:r w:rsidRPr="00D14C05">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2E9B9AC1" w14:textId="77777777" w:rsidR="00DB0224" w:rsidRPr="00D14C05" w:rsidRDefault="00DB0224" w:rsidP="00337239">
      <w:pPr>
        <w:pStyle w:val="Citas"/>
        <w:spacing w:before="0" w:after="0"/>
      </w:pPr>
      <w:r w:rsidRPr="00D14C05">
        <w:t>Resoluciones</w:t>
      </w:r>
    </w:p>
    <w:p w14:paraId="228C9710" w14:textId="77777777" w:rsidR="00DB0224" w:rsidRPr="00D14C05" w:rsidRDefault="00DB0224" w:rsidP="00337239">
      <w:pPr>
        <w:pStyle w:val="Citas"/>
        <w:numPr>
          <w:ilvl w:val="0"/>
          <w:numId w:val="77"/>
        </w:numPr>
        <w:spacing w:before="0" w:after="0"/>
      </w:pPr>
      <w:r w:rsidRPr="00D14C05">
        <w:t>RRA 0022/17. Instituto Mexicano de la Propiedad Industrial. 16 de febrero de 2017. Por unanimidad. Comisionado Ponente Francisco Javier Acuña Llamas.</w:t>
      </w:r>
    </w:p>
    <w:p w14:paraId="068BF617" w14:textId="77777777" w:rsidR="00DB0224" w:rsidRPr="00D14C05" w:rsidRDefault="00A946F5" w:rsidP="00337239">
      <w:pPr>
        <w:pStyle w:val="Citas"/>
        <w:spacing w:before="0" w:after="0"/>
        <w:ind w:left="1571"/>
      </w:pPr>
      <w:hyperlink r:id="rId8" w:history="1">
        <w:r w:rsidR="00DB0224" w:rsidRPr="00D14C05">
          <w:rPr>
            <w:rStyle w:val="Hipervnculo"/>
          </w:rPr>
          <w:t>http://consultas.ifai.org.mx/descargar.php?r=./pdf/resoluciones/2017/&amp;a=RRA%2022.pdf</w:t>
        </w:r>
      </w:hyperlink>
      <w:r w:rsidR="00DB0224" w:rsidRPr="00D14C05">
        <w:t xml:space="preserve"> </w:t>
      </w:r>
    </w:p>
    <w:p w14:paraId="426C8973" w14:textId="77777777" w:rsidR="00DB0224" w:rsidRPr="00D14C05" w:rsidRDefault="00DB0224" w:rsidP="00337239">
      <w:pPr>
        <w:pStyle w:val="Citas"/>
        <w:numPr>
          <w:ilvl w:val="0"/>
          <w:numId w:val="77"/>
        </w:numPr>
        <w:spacing w:before="0" w:after="0"/>
      </w:pPr>
      <w:r w:rsidRPr="00D14C05">
        <w:t xml:space="preserve">RRA 2536/17. Secretaría de Gobernación. 07 de junio de 2017. Por unanimidad. Comisionada Ponente Areli Cano Guadiana. </w:t>
      </w:r>
    </w:p>
    <w:p w14:paraId="58E1EA5A" w14:textId="77777777" w:rsidR="00DB0224" w:rsidRPr="00D14C05" w:rsidRDefault="00A946F5" w:rsidP="00337239">
      <w:pPr>
        <w:pStyle w:val="Citas"/>
        <w:spacing w:before="0" w:after="0"/>
        <w:ind w:left="1571"/>
      </w:pPr>
      <w:hyperlink r:id="rId9" w:history="1">
        <w:r w:rsidR="00DB0224" w:rsidRPr="00D14C05">
          <w:rPr>
            <w:rStyle w:val="Hipervnculo"/>
          </w:rPr>
          <w:t>http://consultas.ifai.org.mx/descargar.php?r=./pdf/resoluciones/2017/&amp;a=RRA%202536.pdf</w:t>
        </w:r>
      </w:hyperlink>
      <w:r w:rsidR="00DB0224" w:rsidRPr="00D14C05">
        <w:t xml:space="preserve"> </w:t>
      </w:r>
    </w:p>
    <w:p w14:paraId="6DE855E9" w14:textId="77777777" w:rsidR="00DB0224" w:rsidRPr="00D14C05" w:rsidRDefault="00DB0224" w:rsidP="00337239">
      <w:pPr>
        <w:pStyle w:val="Citas"/>
        <w:numPr>
          <w:ilvl w:val="0"/>
          <w:numId w:val="77"/>
        </w:numPr>
        <w:spacing w:before="0" w:after="0"/>
      </w:pPr>
      <w:r w:rsidRPr="00D14C05">
        <w:t>RRA 3482/17. Secretaría de Comunicaciones y Transportes. 02 de agosto de 2017. Por unanimidad. Comisionado Ponente Oscar Mauricio Guerra Ford.</w:t>
      </w:r>
    </w:p>
    <w:p w14:paraId="0534B5F9" w14:textId="77777777" w:rsidR="00DB0224" w:rsidRPr="00D14C05" w:rsidRDefault="00A946F5" w:rsidP="00337239">
      <w:pPr>
        <w:pStyle w:val="Citas"/>
        <w:spacing w:before="0" w:after="0"/>
        <w:ind w:left="1571"/>
        <w:rPr>
          <w:rStyle w:val="Hipervnculo"/>
          <w:lang w:val="en-US"/>
        </w:rPr>
      </w:pPr>
      <w:hyperlink r:id="rId10" w:history="1">
        <w:r w:rsidR="00DB0224" w:rsidRPr="00D14C05">
          <w:rPr>
            <w:rStyle w:val="Hipervnculo"/>
            <w:lang w:val="en-US"/>
          </w:rPr>
          <w:t>http://consultas.ifai.org.mx/descargar.php?r=./pdf/resoluciones/2017/&amp;a=RRA%203482.pdf</w:t>
        </w:r>
      </w:hyperlink>
      <w:r w:rsidR="00DB0224" w:rsidRPr="00D14C05">
        <w:rPr>
          <w:rStyle w:val="Hipervnculo"/>
          <w:b/>
          <w:bCs/>
          <w:lang w:val="en-US"/>
        </w:rPr>
        <w:t>” (Sic)</w:t>
      </w:r>
    </w:p>
    <w:p w14:paraId="1DF3DA71" w14:textId="34EE9D9D" w:rsidR="00DB0224" w:rsidRPr="00D14C05" w:rsidRDefault="00DB0224" w:rsidP="00337239">
      <w:pPr>
        <w:pBdr>
          <w:top w:val="nil"/>
          <w:left w:val="nil"/>
          <w:bottom w:val="nil"/>
          <w:right w:val="nil"/>
          <w:between w:val="nil"/>
        </w:pBdr>
        <w:contextualSpacing/>
        <w:rPr>
          <w:rFonts w:eastAsia="Palatino Linotype" w:cs="Palatino Linotype"/>
          <w:color w:val="000000"/>
          <w:szCs w:val="24"/>
        </w:rPr>
      </w:pPr>
    </w:p>
    <w:p w14:paraId="476DC307" w14:textId="77777777" w:rsidR="00444413" w:rsidRPr="00D14C05" w:rsidRDefault="00A970D5"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 xml:space="preserve">A dicha solicitud, el Sujeto Obligado </w:t>
      </w:r>
      <w:r w:rsidR="001C4CBF" w:rsidRPr="00D14C05">
        <w:rPr>
          <w:rFonts w:eastAsia="Palatino Linotype" w:cs="Palatino Linotype"/>
          <w:color w:val="000000"/>
          <w:szCs w:val="24"/>
        </w:rPr>
        <w:t>respondió</w:t>
      </w:r>
      <w:r w:rsidR="001B63A6" w:rsidRPr="00D14C05">
        <w:rPr>
          <w:rFonts w:eastAsia="Palatino Linotype" w:cs="Palatino Linotype"/>
          <w:color w:val="000000"/>
          <w:szCs w:val="24"/>
        </w:rPr>
        <w:t xml:space="preserve"> </w:t>
      </w:r>
      <w:r w:rsidR="00444413" w:rsidRPr="00D14C05">
        <w:rPr>
          <w:rFonts w:eastAsia="Palatino Linotype" w:cs="Palatino Linotype"/>
          <w:color w:val="000000"/>
          <w:szCs w:val="24"/>
        </w:rPr>
        <w:t>mediante</w:t>
      </w:r>
      <w:r w:rsidR="0008143A" w:rsidRPr="00D14C05">
        <w:rPr>
          <w:rFonts w:eastAsia="Palatino Linotype" w:cs="Palatino Linotype"/>
          <w:color w:val="000000"/>
          <w:szCs w:val="24"/>
        </w:rPr>
        <w:t xml:space="preserve"> la entrega de</w:t>
      </w:r>
      <w:r w:rsidR="00444413" w:rsidRPr="00D14C05">
        <w:rPr>
          <w:rFonts w:eastAsia="Palatino Linotype" w:cs="Palatino Linotype"/>
          <w:color w:val="000000"/>
          <w:szCs w:val="24"/>
        </w:rPr>
        <w:t xml:space="preserve"> </w:t>
      </w:r>
      <w:r w:rsidR="0008143A" w:rsidRPr="00D14C05">
        <w:rPr>
          <w:rFonts w:eastAsia="Palatino Linotype" w:cs="Palatino Linotype"/>
          <w:color w:val="000000"/>
          <w:szCs w:val="24"/>
        </w:rPr>
        <w:t>l</w:t>
      </w:r>
      <w:r w:rsidR="00444413" w:rsidRPr="00D14C05">
        <w:rPr>
          <w:rFonts w:eastAsia="Palatino Linotype" w:cs="Palatino Linotype"/>
          <w:color w:val="000000"/>
          <w:szCs w:val="24"/>
        </w:rPr>
        <w:t>os siguientes</w:t>
      </w:r>
      <w:r w:rsidR="0008143A" w:rsidRPr="00D14C05">
        <w:rPr>
          <w:rFonts w:eastAsia="Palatino Linotype" w:cs="Palatino Linotype"/>
          <w:color w:val="000000"/>
          <w:szCs w:val="24"/>
        </w:rPr>
        <w:t xml:space="preserve"> documento</w:t>
      </w:r>
      <w:r w:rsidR="00444413" w:rsidRPr="00D14C05">
        <w:rPr>
          <w:rFonts w:eastAsia="Palatino Linotype" w:cs="Palatino Linotype"/>
          <w:color w:val="000000"/>
          <w:szCs w:val="24"/>
        </w:rPr>
        <w:t>s:</w:t>
      </w:r>
    </w:p>
    <w:p w14:paraId="1A124E8B" w14:textId="77777777" w:rsidR="00444413" w:rsidRPr="00D14C05" w:rsidRDefault="00444413" w:rsidP="00337239">
      <w:pPr>
        <w:pBdr>
          <w:top w:val="nil"/>
          <w:left w:val="nil"/>
          <w:bottom w:val="nil"/>
          <w:right w:val="nil"/>
          <w:between w:val="nil"/>
        </w:pBdr>
        <w:contextualSpacing/>
        <w:rPr>
          <w:rFonts w:eastAsia="Palatino Linotype" w:cs="Palatino Linotype"/>
          <w:color w:val="000000"/>
          <w:szCs w:val="24"/>
        </w:rPr>
      </w:pPr>
    </w:p>
    <w:p w14:paraId="55CBD059" w14:textId="6F61E38F" w:rsidR="009D23A3" w:rsidRPr="00D14C05" w:rsidRDefault="00606BB6" w:rsidP="00337239">
      <w:pPr>
        <w:pStyle w:val="Prrafodelista"/>
        <w:numPr>
          <w:ilvl w:val="0"/>
          <w:numId w:val="76"/>
        </w:numPr>
        <w:pBdr>
          <w:top w:val="nil"/>
          <w:left w:val="nil"/>
          <w:bottom w:val="nil"/>
          <w:right w:val="nil"/>
          <w:between w:val="nil"/>
        </w:pBdr>
        <w:contextualSpacing/>
        <w:rPr>
          <w:rFonts w:eastAsia="Palatino Linotype" w:cs="Palatino Linotype"/>
          <w:b/>
          <w:bCs/>
          <w:color w:val="000000"/>
          <w:lang w:val="es-MX"/>
        </w:rPr>
      </w:pPr>
      <w:r w:rsidRPr="00D14C05">
        <w:rPr>
          <w:rFonts w:eastAsia="Palatino Linotype" w:cs="Palatino Linotype"/>
          <w:b/>
          <w:bCs/>
          <w:color w:val="000000"/>
          <w:lang w:val="es-MX"/>
        </w:rPr>
        <w:t>RESP-OPD-00204.pdf</w:t>
      </w:r>
      <w:r w:rsidR="00E206A9" w:rsidRPr="00D14C05">
        <w:rPr>
          <w:rFonts w:eastAsia="Palatino Linotype" w:cs="Palatino Linotype"/>
          <w:b/>
          <w:bCs/>
          <w:color w:val="000000"/>
          <w:lang w:val="es-MX"/>
        </w:rPr>
        <w:t>:</w:t>
      </w:r>
      <w:r w:rsidR="005B4CD9" w:rsidRPr="00D14C05">
        <w:rPr>
          <w:rFonts w:eastAsia="Palatino Linotype" w:cs="Palatino Linotype"/>
          <w:color w:val="000000"/>
          <w:lang w:val="es-MX"/>
        </w:rPr>
        <w:t xml:space="preserve"> </w:t>
      </w:r>
      <w:r w:rsidRPr="00D14C05">
        <w:rPr>
          <w:rFonts w:eastAsia="Palatino Linotype" w:cs="Palatino Linotype"/>
          <w:color w:val="000000"/>
          <w:lang w:val="es-MX"/>
        </w:rPr>
        <w:t>Consta del oficio número ADMONFNZAS/OPD/AVC/095/2025, de fecha quince de junio de dos mil veinticinco, signado por el Subdirector de Administración y Finanzas del Organismo Público Descentralizado para la Prestación de los Servicios de Agua Potable Alcantarillado y Saneamiento del Municipio de Teoloyucan 2025-2027, mediante el cual refiere que la información es insuficiente, toda vez que no refiere el año.</w:t>
      </w:r>
    </w:p>
    <w:p w14:paraId="4B205EF5" w14:textId="77777777" w:rsidR="003D275D" w:rsidRPr="00D14C05" w:rsidRDefault="003D275D" w:rsidP="00337239">
      <w:pPr>
        <w:pBdr>
          <w:top w:val="nil"/>
          <w:left w:val="nil"/>
          <w:bottom w:val="nil"/>
          <w:right w:val="nil"/>
          <w:between w:val="nil"/>
        </w:pBdr>
        <w:contextualSpacing/>
        <w:rPr>
          <w:rFonts w:eastAsia="Palatino Linotype" w:cs="Palatino Linotype"/>
          <w:color w:val="000000"/>
          <w:szCs w:val="24"/>
        </w:rPr>
      </w:pPr>
    </w:p>
    <w:p w14:paraId="625C6372" w14:textId="12A1E877" w:rsidR="003D275D" w:rsidRPr="00D14C05" w:rsidRDefault="003D275D" w:rsidP="00337239">
      <w:pPr>
        <w:pBdr>
          <w:top w:val="nil"/>
          <w:left w:val="nil"/>
          <w:bottom w:val="nil"/>
          <w:right w:val="nil"/>
          <w:between w:val="nil"/>
        </w:pBdr>
        <w:contextualSpacing/>
        <w:rPr>
          <w:rFonts w:eastAsia="Palatino Linotype" w:cs="Palatino Linotype"/>
          <w:color w:val="000000"/>
          <w:szCs w:val="24"/>
        </w:rPr>
      </w:pPr>
      <w:r w:rsidRPr="00D14C05">
        <w:rPr>
          <w:rFonts w:eastAsia="Palatino Linotype" w:cs="Palatino Linotype"/>
          <w:color w:val="000000"/>
          <w:szCs w:val="24"/>
        </w:rPr>
        <w:t xml:space="preserve">Ante la respuesta emitida por el Sujeto Obligado, el Recurrente consideró que su derecho a la información pública había sido conculcado, por lo que interpuso el recurso de revisión al rubro citado, señalando como </w:t>
      </w:r>
      <w:r w:rsidR="00FE14D4" w:rsidRPr="00D14C05">
        <w:rPr>
          <w:rFonts w:eastAsia="Palatino Linotype" w:cs="Palatino Linotype"/>
          <w:color w:val="000000"/>
          <w:szCs w:val="24"/>
        </w:rPr>
        <w:t xml:space="preserve">acto impugnado </w:t>
      </w:r>
      <w:r w:rsidRPr="00D14C05">
        <w:rPr>
          <w:rFonts w:eastAsia="Palatino Linotype" w:cs="Palatino Linotype"/>
          <w:color w:val="000000"/>
          <w:szCs w:val="24"/>
        </w:rPr>
        <w:t>“</w:t>
      </w:r>
      <w:r w:rsidR="00606BB6" w:rsidRPr="00D14C05">
        <w:rPr>
          <w:rFonts w:eastAsia="Palatino Linotype" w:cs="Palatino Linotype"/>
          <w:i/>
          <w:color w:val="000000"/>
          <w:szCs w:val="24"/>
        </w:rPr>
        <w:t>aprendan a leer</w:t>
      </w:r>
      <w:r w:rsidRPr="00D14C05">
        <w:rPr>
          <w:rFonts w:eastAsia="Palatino Linotype" w:cs="Palatino Linotype"/>
          <w:color w:val="000000"/>
          <w:szCs w:val="24"/>
        </w:rPr>
        <w:t>”</w:t>
      </w:r>
      <w:r w:rsidRPr="00D14C05">
        <w:rPr>
          <w:i/>
          <w:iCs/>
          <w:color w:val="000000"/>
          <w:szCs w:val="24"/>
        </w:rPr>
        <w:t xml:space="preserve"> </w:t>
      </w:r>
      <w:r w:rsidRPr="00D14C05">
        <w:rPr>
          <w:color w:val="000000"/>
          <w:szCs w:val="24"/>
        </w:rPr>
        <w:t xml:space="preserve"> y como razones o motivos de inconformidad</w:t>
      </w:r>
      <w:r w:rsidRPr="00D14C05">
        <w:rPr>
          <w:rFonts w:eastAsia="Palatino Linotype" w:cs="Palatino Linotype"/>
          <w:color w:val="000000"/>
          <w:szCs w:val="24"/>
        </w:rPr>
        <w:t xml:space="preserve"> </w:t>
      </w:r>
      <w:r w:rsidRPr="00D14C05">
        <w:rPr>
          <w:rFonts w:eastAsia="Palatino Linotype" w:cs="Palatino Linotype"/>
          <w:i/>
          <w:iCs/>
          <w:color w:val="000000"/>
          <w:szCs w:val="24"/>
        </w:rPr>
        <w:t>“</w:t>
      </w:r>
      <w:r w:rsidR="00606BB6" w:rsidRPr="00D14C05">
        <w:rPr>
          <w:i/>
          <w:color w:val="000000"/>
          <w:szCs w:val="24"/>
        </w:rPr>
        <w:t>no dan respuesra ala informacion que es puvlica</w:t>
      </w:r>
      <w:r w:rsidRPr="00D14C05">
        <w:rPr>
          <w:color w:val="000000"/>
          <w:szCs w:val="24"/>
        </w:rPr>
        <w:t xml:space="preserve">” </w:t>
      </w:r>
      <w:r w:rsidRPr="00D14C05">
        <w:rPr>
          <w:rFonts w:eastAsia="Palatino Linotype" w:cs="Palatino Linotype"/>
          <w:color w:val="000000"/>
          <w:szCs w:val="24"/>
        </w:rPr>
        <w:t xml:space="preserve">en este sentido el Recurrente considero que el Sujeto Obligado no le dio respuesta satisfactoria, al no hacer la entrega </w:t>
      </w:r>
      <w:r w:rsidR="00606BB6" w:rsidRPr="00D14C05">
        <w:rPr>
          <w:rFonts w:eastAsia="Palatino Linotype" w:cs="Palatino Linotype"/>
          <w:color w:val="000000"/>
          <w:szCs w:val="24"/>
        </w:rPr>
        <w:t>de la información</w:t>
      </w:r>
      <w:r w:rsidR="00FE14D4" w:rsidRPr="00D14C05">
        <w:rPr>
          <w:rFonts w:eastAsia="Palatino Linotype" w:cs="Palatino Linotype"/>
          <w:color w:val="000000"/>
          <w:szCs w:val="24"/>
        </w:rPr>
        <w:t>.</w:t>
      </w:r>
    </w:p>
    <w:p w14:paraId="0D5FF864" w14:textId="77777777" w:rsidR="003D275D" w:rsidRPr="00D14C05" w:rsidRDefault="003D275D" w:rsidP="00337239">
      <w:pPr>
        <w:pBdr>
          <w:top w:val="nil"/>
          <w:left w:val="nil"/>
          <w:bottom w:val="nil"/>
          <w:right w:val="nil"/>
          <w:between w:val="nil"/>
        </w:pBdr>
        <w:contextualSpacing/>
      </w:pPr>
    </w:p>
    <w:p w14:paraId="17CC2911" w14:textId="4FD3AFA4" w:rsidR="00DB0224" w:rsidRPr="00D14C05" w:rsidRDefault="00DB0224" w:rsidP="00337239">
      <w:pPr>
        <w:pBdr>
          <w:top w:val="nil"/>
          <w:left w:val="nil"/>
          <w:bottom w:val="nil"/>
          <w:right w:val="nil"/>
          <w:between w:val="nil"/>
        </w:pBdr>
        <w:contextualSpacing/>
      </w:pPr>
      <w:r w:rsidRPr="00D14C05">
        <w:t xml:space="preserve">Derivado de lo anterior, el Sujeto Obligado tuvo a bien emitir su informe justificado por medio de los archivos electrónicos denominados </w:t>
      </w:r>
      <w:r w:rsidRPr="00D14C05">
        <w:rPr>
          <w:b/>
        </w:rPr>
        <w:t>“RESP-OPD-00204 (1)(1).pdf”</w:t>
      </w:r>
      <w:r w:rsidRPr="00D14C05">
        <w:t xml:space="preserve"> y </w:t>
      </w:r>
      <w:r w:rsidRPr="00D14C05">
        <w:rPr>
          <w:b/>
        </w:rPr>
        <w:t>“RR-INFOEM-00204.pdf”</w:t>
      </w:r>
      <w:r w:rsidRPr="00D14C05">
        <w:t>, los cuales constan de lo siguiente:</w:t>
      </w:r>
    </w:p>
    <w:p w14:paraId="1B44AC79" w14:textId="77777777" w:rsidR="00F81E88" w:rsidRPr="00D14C05" w:rsidRDefault="00F81E88" w:rsidP="00337239">
      <w:pPr>
        <w:pBdr>
          <w:top w:val="nil"/>
          <w:left w:val="nil"/>
          <w:bottom w:val="nil"/>
          <w:right w:val="nil"/>
          <w:between w:val="nil"/>
        </w:pBdr>
        <w:contextualSpacing/>
      </w:pPr>
    </w:p>
    <w:p w14:paraId="0705F70E" w14:textId="7BA9F6E9" w:rsidR="00DB0224" w:rsidRPr="00D14C05" w:rsidRDefault="00DB0224" w:rsidP="00337239">
      <w:pPr>
        <w:pStyle w:val="Prrafodelista"/>
        <w:numPr>
          <w:ilvl w:val="0"/>
          <w:numId w:val="76"/>
        </w:numPr>
        <w:pBdr>
          <w:top w:val="nil"/>
          <w:left w:val="nil"/>
          <w:bottom w:val="nil"/>
          <w:right w:val="nil"/>
          <w:between w:val="nil"/>
        </w:pBdr>
        <w:contextualSpacing/>
      </w:pPr>
      <w:r w:rsidRPr="00D14C05">
        <w:rPr>
          <w:b/>
        </w:rPr>
        <w:t>RESP-OPD-00204 (1)(1).pdf</w:t>
      </w:r>
      <w:r w:rsidRPr="00D14C05">
        <w:t xml:space="preserve">: Consta del oficio ADMONFNZAS/OPD/AVC/095/2025, </w:t>
      </w:r>
      <w:r w:rsidR="00F81E88" w:rsidRPr="00D14C05">
        <w:t xml:space="preserve">signado por el Subdirector de Administración y Finanzas del Organismo Público Descentralizado para la </w:t>
      </w:r>
      <w:r w:rsidR="00F81E88" w:rsidRPr="00D14C05">
        <w:lastRenderedPageBreak/>
        <w:t>Prestación de los Servicios de Agua Potable Alcantarillado y Saneamiento del Municipio de Teoloyucan 2025-2027, mediante el cual medularmente refiere que la información de la solicitud es insuficiente toda vez que no refiere el año.</w:t>
      </w:r>
    </w:p>
    <w:p w14:paraId="4C01ABBE" w14:textId="0CAA88D3" w:rsidR="00DB0224" w:rsidRPr="00D14C05" w:rsidRDefault="00F81E88" w:rsidP="00337239">
      <w:pPr>
        <w:pStyle w:val="Prrafodelista"/>
        <w:numPr>
          <w:ilvl w:val="0"/>
          <w:numId w:val="76"/>
        </w:numPr>
        <w:pBdr>
          <w:top w:val="nil"/>
          <w:left w:val="nil"/>
          <w:bottom w:val="nil"/>
          <w:right w:val="nil"/>
          <w:between w:val="nil"/>
        </w:pBdr>
        <w:contextualSpacing/>
      </w:pPr>
      <w:r w:rsidRPr="00D14C05">
        <w:rPr>
          <w:b/>
        </w:rPr>
        <w:t>RESP-OPD-00204 (1)(1).pdf</w:t>
      </w:r>
      <w:r w:rsidR="00DB0224" w:rsidRPr="00D14C05">
        <w:t xml:space="preserve">: </w:t>
      </w:r>
      <w:r w:rsidRPr="00D14C05">
        <w:t>Consta del oficio ADMONFNZAS/OPD/AVC/137/2025, signado por el Subdirector de Administración y Finanzas del Organismo Público Descentralizado para la Prestación de los Servicios de Agua Potable Alcantarillado y Saneamiento del Municipio de Teoloyucan 2025-2027, mediante el cual medularmente refiere que la información de la solicitud es insuficiente toda vez que no refiere el año.</w:t>
      </w:r>
    </w:p>
    <w:p w14:paraId="712D6C72" w14:textId="77777777" w:rsidR="003D275D" w:rsidRPr="00D14C05" w:rsidRDefault="003D275D" w:rsidP="00337239">
      <w:pPr>
        <w:pBdr>
          <w:top w:val="nil"/>
          <w:left w:val="nil"/>
          <w:bottom w:val="nil"/>
          <w:right w:val="nil"/>
          <w:between w:val="nil"/>
        </w:pBdr>
        <w:contextualSpacing/>
      </w:pPr>
    </w:p>
    <w:p w14:paraId="76A653F0" w14:textId="77777777" w:rsidR="003D275D" w:rsidRPr="00D14C05" w:rsidRDefault="003D275D" w:rsidP="00337239">
      <w:pPr>
        <w:rPr>
          <w:rFonts w:eastAsia="Times New Roman" w:cs="Times New Roman"/>
          <w:szCs w:val="24"/>
          <w:lang w:eastAsia="es-ES"/>
        </w:rPr>
      </w:pPr>
      <w:r w:rsidRPr="00D14C05">
        <w:rPr>
          <w:rFonts w:cs="Arial"/>
          <w:szCs w:val="24"/>
        </w:rPr>
        <w:t xml:space="preserve">En este tenor, es necesario subrayar que </w:t>
      </w:r>
      <w:r w:rsidRPr="00D14C05">
        <w:rPr>
          <w:rFonts w:eastAsia="Times New Roman" w:cs="Times New Roman"/>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87086EA" w14:textId="77777777" w:rsidR="00F81E88" w:rsidRPr="00D14C05" w:rsidRDefault="00F81E88" w:rsidP="00337239">
      <w:pPr>
        <w:rPr>
          <w:rFonts w:eastAsia="Times New Roman" w:cs="Times New Roman"/>
          <w:szCs w:val="24"/>
          <w:lang w:eastAsia="es-ES"/>
        </w:rPr>
      </w:pPr>
    </w:p>
    <w:p w14:paraId="65EF0836"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b/>
          <w:i/>
          <w:lang w:eastAsia="es-ES"/>
        </w:rPr>
        <w:t>“</w:t>
      </w:r>
      <w:r w:rsidRPr="00D14C05">
        <w:rPr>
          <w:rFonts w:eastAsia="Times New Roman" w:cs="Times New Roman"/>
          <w:b/>
          <w:i/>
          <w:sz w:val="22"/>
          <w:lang w:eastAsia="es-ES"/>
        </w:rPr>
        <w:t>Artículo 4.</w:t>
      </w:r>
      <w:r w:rsidRPr="00D14C05">
        <w:rPr>
          <w:rFonts w:eastAsia="Times New Roman" w:cs="Times New Roman"/>
          <w:i/>
          <w:sz w:val="22"/>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E1ADA5C"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w:t>
      </w:r>
      <w:r w:rsidRPr="00D14C05">
        <w:rPr>
          <w:rFonts w:eastAsia="Times New Roman" w:cs="Times New Roman"/>
          <w:i/>
          <w:sz w:val="22"/>
          <w:lang w:eastAsia="es-ES"/>
        </w:rPr>
        <w:lastRenderedPageBreak/>
        <w:t>reservada temporalmente por razones de interés público, en los términos de las causas legítimas y estrictamente necesarias previstas por esta Ley.</w:t>
      </w:r>
    </w:p>
    <w:p w14:paraId="0737ADA1"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Los sujetos obligados deben poner en práctica, políticas y programas de acceso a la información que se apeguen a criterios de publicidad, veracidad, oportunidad, precisión y suficiencia en beneficio de los solicitantes.</w:t>
      </w:r>
    </w:p>
    <w:p w14:paraId="7E0CA16C"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b/>
          <w:i/>
          <w:sz w:val="22"/>
          <w:lang w:eastAsia="es-ES"/>
        </w:rPr>
        <w:t>Artículo 12.</w:t>
      </w:r>
      <w:r w:rsidRPr="00D14C05">
        <w:rPr>
          <w:rFonts w:eastAsia="Times New Roman" w:cs="Times New Roman"/>
          <w:i/>
          <w:sz w:val="22"/>
          <w:lang w:eastAsia="es-ES"/>
        </w:rPr>
        <w:t xml:space="preserve"> Quienes generen, recopilen, administren, manejen, procesen, archiven o conserven información pública serán responsables de la misma en los términos de las disposiciones jurídicas aplicables.</w:t>
      </w:r>
    </w:p>
    <w:p w14:paraId="4599A552"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6802A5"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w:t>
      </w:r>
    </w:p>
    <w:p w14:paraId="5B3A5532" w14:textId="77777777" w:rsidR="003D275D" w:rsidRPr="00D14C05" w:rsidRDefault="003D275D" w:rsidP="00337239">
      <w:pPr>
        <w:ind w:left="851" w:right="851"/>
        <w:rPr>
          <w:rFonts w:eastAsia="Times New Roman" w:cs="Times New Roman"/>
          <w:b/>
          <w:i/>
          <w:sz w:val="22"/>
          <w:lang w:eastAsia="es-ES"/>
        </w:rPr>
      </w:pPr>
      <w:r w:rsidRPr="00D14C05">
        <w:rPr>
          <w:rFonts w:eastAsia="Times New Roman" w:cs="Times New Roman"/>
          <w:b/>
          <w:i/>
          <w:sz w:val="22"/>
          <w:lang w:eastAsia="es-ES"/>
        </w:rPr>
        <w:t xml:space="preserve">Artículo 24. </w:t>
      </w:r>
    </w:p>
    <w:p w14:paraId="67E35686"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w:t>
      </w:r>
    </w:p>
    <w:p w14:paraId="177B3A15"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Los sujetos obligados solo proporcionarán la información pública que generen, administren o posean en el ejercicio de sus atribuciones.”</w:t>
      </w:r>
    </w:p>
    <w:p w14:paraId="6D700494"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i/>
          <w:sz w:val="22"/>
          <w:lang w:eastAsia="es-ES"/>
        </w:rPr>
        <w:t>(…)</w:t>
      </w:r>
    </w:p>
    <w:p w14:paraId="7D6C9082" w14:textId="77777777" w:rsidR="003D275D" w:rsidRPr="00D14C05" w:rsidRDefault="003D275D" w:rsidP="00337239">
      <w:pPr>
        <w:ind w:left="851" w:right="851"/>
        <w:rPr>
          <w:rFonts w:eastAsia="Times New Roman" w:cs="Times New Roman"/>
          <w:i/>
          <w:sz w:val="22"/>
          <w:lang w:eastAsia="es-ES"/>
        </w:rPr>
      </w:pPr>
      <w:r w:rsidRPr="00D14C05">
        <w:rPr>
          <w:rFonts w:eastAsia="Times New Roman" w:cs="Times New Roman"/>
          <w:b/>
          <w:i/>
          <w:sz w:val="22"/>
          <w:lang w:eastAsia="es-ES"/>
        </w:rPr>
        <w:t>Artículo 160.</w:t>
      </w:r>
      <w:r w:rsidRPr="00D14C05">
        <w:rPr>
          <w:rFonts w:eastAsia="Times New Roman" w:cs="Times New Roman"/>
          <w:i/>
          <w:sz w:val="22"/>
          <w:lang w:eastAsia="es-ES"/>
        </w:rPr>
        <w:t xml:space="preserve"> Los sujetos obligados deberán otorgar acceso a los documentos que se </w:t>
      </w:r>
      <w:r w:rsidRPr="00D14C05">
        <w:rPr>
          <w:rFonts w:eastAsia="Times New Roman" w:cs="Times New Roman"/>
          <w:b/>
          <w:i/>
          <w:sz w:val="22"/>
          <w:lang w:eastAsia="es-ES"/>
        </w:rPr>
        <w:t xml:space="preserve"> </w:t>
      </w:r>
      <w:r w:rsidRPr="00D14C05">
        <w:rPr>
          <w:rFonts w:eastAsia="Times New Roman" w:cs="Times New Roman"/>
          <w:i/>
          <w:sz w:val="22"/>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8F0B70C" w14:textId="77777777" w:rsidR="003D275D" w:rsidRPr="00D14C05" w:rsidRDefault="003D275D" w:rsidP="00337239">
      <w:pPr>
        <w:ind w:left="851" w:right="851"/>
        <w:rPr>
          <w:rFonts w:eastAsia="Times New Roman" w:cs="Times New Roman"/>
          <w:b/>
          <w:i/>
          <w:sz w:val="22"/>
          <w:lang w:eastAsia="es-ES"/>
        </w:rPr>
      </w:pPr>
      <w:r w:rsidRPr="00D14C05">
        <w:rPr>
          <w:rFonts w:eastAsia="Times New Roman" w:cs="Times New Roman"/>
          <w:i/>
          <w:sz w:val="22"/>
          <w:lang w:eastAsia="es-ES"/>
        </w:rPr>
        <w:t>En caso que la información solicitada consista en bases de datos se deberá privilegiar la entrega de la misma en formatos abiertos.”</w:t>
      </w:r>
      <w:r w:rsidRPr="00D14C05">
        <w:rPr>
          <w:rFonts w:eastAsia="Times New Roman" w:cs="Times New Roman"/>
          <w:b/>
          <w:i/>
          <w:sz w:val="22"/>
          <w:lang w:eastAsia="es-ES"/>
        </w:rPr>
        <w:t>[Sic]</w:t>
      </w:r>
    </w:p>
    <w:p w14:paraId="55AB2FE2" w14:textId="77777777" w:rsidR="003D275D" w:rsidRPr="00D14C05" w:rsidRDefault="003D275D" w:rsidP="00337239">
      <w:pPr>
        <w:pBdr>
          <w:top w:val="nil"/>
          <w:left w:val="nil"/>
          <w:bottom w:val="nil"/>
          <w:right w:val="nil"/>
          <w:between w:val="nil"/>
        </w:pBdr>
        <w:contextualSpacing/>
      </w:pPr>
    </w:p>
    <w:p w14:paraId="20F0D3AB" w14:textId="77777777" w:rsidR="00761B36" w:rsidRPr="00D14C05" w:rsidRDefault="00CF7076"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 xml:space="preserve">Conforme a lo anterior, si bien se manifiesta el Tesorero Municipal, </w:t>
      </w:r>
      <w:r w:rsidR="00E45DBC" w:rsidRPr="00D14C05">
        <w:rPr>
          <w:rFonts w:eastAsia="Palatino Linotype" w:cs="Palatino Linotype"/>
          <w:bCs/>
          <w:color w:val="000000"/>
          <w:lang w:val="es-MX"/>
        </w:rPr>
        <w:t>manifestando el sitio donde se pude localizar la información peticionada, lo cierto es que no es posible dar por válida la respuesta ya que no satisface la solicitud de acceso a la información.</w:t>
      </w:r>
    </w:p>
    <w:p w14:paraId="138A2D19" w14:textId="77777777" w:rsidR="00761B36" w:rsidRPr="00D14C05" w:rsidRDefault="00761B36" w:rsidP="00337239">
      <w:pPr>
        <w:pBdr>
          <w:top w:val="nil"/>
          <w:left w:val="nil"/>
          <w:bottom w:val="nil"/>
          <w:right w:val="nil"/>
          <w:between w:val="nil"/>
        </w:pBdr>
        <w:contextualSpacing/>
        <w:rPr>
          <w:rFonts w:eastAsia="Palatino Linotype" w:cs="Palatino Linotype"/>
          <w:bCs/>
          <w:color w:val="000000"/>
          <w:lang w:val="es-MX"/>
        </w:rPr>
      </w:pPr>
    </w:p>
    <w:p w14:paraId="08A5736F" w14:textId="73F0B4FE" w:rsidR="002F6AB0" w:rsidRPr="00D14C05" w:rsidRDefault="00761B36"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Sí, es competente para</w:t>
      </w:r>
      <w:r w:rsidR="00E45DBC" w:rsidRPr="00D14C05">
        <w:rPr>
          <w:rFonts w:eastAsia="Palatino Linotype" w:cs="Palatino Linotype"/>
          <w:bCs/>
          <w:color w:val="000000"/>
          <w:lang w:val="es-MX"/>
        </w:rPr>
        <w:t xml:space="preserve"> </w:t>
      </w:r>
      <w:r w:rsidRPr="00D14C05">
        <w:rPr>
          <w:rFonts w:eastAsia="Palatino Linotype" w:cs="Palatino Linotype"/>
          <w:bCs/>
          <w:color w:val="000000"/>
          <w:lang w:val="es-MX"/>
        </w:rPr>
        <w:t xml:space="preserve">generar, administrar y poseer la información, en virtud de tener atribuciones al respecto, </w:t>
      </w:r>
      <w:r w:rsidR="005F1FFD" w:rsidRPr="00D14C05">
        <w:rPr>
          <w:rFonts w:eastAsia="Palatino Linotype" w:cs="Palatino Linotype"/>
          <w:bCs/>
          <w:color w:val="000000"/>
          <w:lang w:val="es-MX"/>
        </w:rPr>
        <w:t xml:space="preserve">toda vez que mediante respuesta aceptó contar con la información, sin embargo no la entrega toda vez que no se adjuntó el año de la que se requiere. </w:t>
      </w:r>
    </w:p>
    <w:p w14:paraId="745C5D3F" w14:textId="3A2F8DFA" w:rsidR="005F1FFD" w:rsidRPr="00D14C05" w:rsidRDefault="005F1FFD"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Derivado de lo anterior, es necesario traer a colación lo establecido en el Reglamento Interno del Organismo Público Descentralizado para la Prestación de los Servicios de Agua Potable, Alcantarillado y Saneamiento del Municipio de Teoloyucan, Estado de México, Administración 2025-2027, que a la letra señala lo siguiente:</w:t>
      </w:r>
    </w:p>
    <w:p w14:paraId="5797264F" w14:textId="77777777" w:rsidR="00E45DBC" w:rsidRPr="00D14C05" w:rsidRDefault="00E45DBC" w:rsidP="00337239">
      <w:pPr>
        <w:pBdr>
          <w:top w:val="nil"/>
          <w:left w:val="nil"/>
          <w:bottom w:val="nil"/>
          <w:right w:val="nil"/>
          <w:between w:val="nil"/>
        </w:pBdr>
        <w:contextualSpacing/>
        <w:rPr>
          <w:rFonts w:eastAsia="Palatino Linotype" w:cs="Palatino Linotype"/>
          <w:bCs/>
          <w:color w:val="000000"/>
          <w:lang w:val="es-MX"/>
        </w:rPr>
      </w:pPr>
    </w:p>
    <w:p w14:paraId="206FF66A" w14:textId="77777777" w:rsidR="005F1FFD" w:rsidRPr="00D14C05" w:rsidRDefault="005F1FFD"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CAPÍTULO TERCERO</w:t>
      </w:r>
    </w:p>
    <w:p w14:paraId="024CFAF5" w14:textId="77777777" w:rsidR="005F1FFD" w:rsidRPr="00D14C05" w:rsidRDefault="005F1FFD"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DE LA ESTRUCTURA ADMINISTRATIVA DEL O.P.D.A.P.A.S.</w:t>
      </w:r>
    </w:p>
    <w:p w14:paraId="5E443031" w14:textId="77777777" w:rsidR="005F1FFD" w:rsidRPr="00D14C05" w:rsidRDefault="005F1FFD"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DEL MUNICIPIO DE TEOLOYUCAN, ESTADO DE MÉXICO.</w:t>
      </w:r>
    </w:p>
    <w:p w14:paraId="0A9192FC" w14:textId="77777777" w:rsidR="008C222A" w:rsidRPr="00D14C05" w:rsidRDefault="008C222A"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p>
    <w:p w14:paraId="5EA63008" w14:textId="29A288DF"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 xml:space="preserve">Artículo 39.- </w:t>
      </w:r>
      <w:r w:rsidRPr="00D14C05">
        <w:rPr>
          <w:rFonts w:eastAsia="Palatino Linotype" w:cs="Palatino Linotype"/>
          <w:bCs/>
          <w:i/>
          <w:color w:val="000000"/>
          <w:lang w:val="es-MX"/>
        </w:rPr>
        <w:t>Para el ejercicio de las atribuciones y responsabilidades y para el estudio, planeación y despacho de los asuntos en diversos ramos de la Administración del Organismo, el Director General o Directora General, según sea el caso, se auxiliara de las siguientes unidades administrativas:</w:t>
      </w:r>
    </w:p>
    <w:p w14:paraId="288D9879"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I.DIRECCIÓN GENERAL:</w:t>
      </w:r>
    </w:p>
    <w:p w14:paraId="5B1F18AC"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I.I Jefatura de Asuntos Jurídicos</w:t>
      </w:r>
    </w:p>
    <w:p w14:paraId="53025999"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 Jefatura de Proyectos</w:t>
      </w:r>
    </w:p>
    <w:p w14:paraId="1C3417A1"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I.III Coordinación de Atención a la Ciudadanía</w:t>
      </w:r>
    </w:p>
    <w:p w14:paraId="32B420AB" w14:textId="7E474DD1"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I.IV Coordinación de Unidad de Información, Planeación, Programación y Evaluación</w:t>
      </w:r>
    </w:p>
    <w:p w14:paraId="43561CBC"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I.V Vinculo Operativo del Organismo con la Coordinación Municipal de Mejora</w:t>
      </w:r>
    </w:p>
    <w:p w14:paraId="59991F41"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Regulatoria</w:t>
      </w:r>
    </w:p>
    <w:p w14:paraId="6250DAFA"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
          <w:bCs/>
          <w:i/>
          <w:color w:val="000000"/>
          <w:u w:val="single"/>
          <w:lang w:val="es-MX"/>
        </w:rPr>
      </w:pPr>
      <w:r w:rsidRPr="00D14C05">
        <w:rPr>
          <w:rFonts w:eastAsia="Palatino Linotype" w:cs="Palatino Linotype"/>
          <w:b/>
          <w:bCs/>
          <w:i/>
          <w:color w:val="000000"/>
          <w:u w:val="single"/>
          <w:lang w:val="es-MX"/>
        </w:rPr>
        <w:t>II. SUBDIRECCIÓN DE ADMINISTRACIÓN Y FINANZAS</w:t>
      </w:r>
    </w:p>
    <w:p w14:paraId="52ED84E8"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 Jefatura de Contabilidad</w:t>
      </w:r>
    </w:p>
    <w:p w14:paraId="7D109B2F"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II.II Coordinación de Ingresos y Egresos</w:t>
      </w:r>
    </w:p>
    <w:p w14:paraId="011E514A"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II.III Coordinación de Adquisiciones y Recursos Materiales</w:t>
      </w:r>
    </w:p>
    <w:p w14:paraId="03213710"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II.IV Coordinación de Recursos Humanos</w:t>
      </w:r>
    </w:p>
    <w:p w14:paraId="2C4A169D"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II.V Coordinación de Patrimonio y archivo</w:t>
      </w:r>
    </w:p>
    <w:p w14:paraId="3152540C"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II.VI Jefatura de Comercialización</w:t>
      </w:r>
    </w:p>
    <w:p w14:paraId="3E6F14BB" w14:textId="77777777" w:rsidR="005F1FF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 SUBDIRECCIÓN DE OPERACIÓN Y MANTENIMIENTO</w:t>
      </w:r>
    </w:p>
    <w:p w14:paraId="7BEB2156" w14:textId="467B2D40" w:rsidR="003D275D" w:rsidRPr="00D14C05" w:rsidRDefault="005F1FFD"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III.I Jefatura de Operación para el Sistema de Agua, Drenaje y Alcantarillado</w:t>
      </w:r>
    </w:p>
    <w:p w14:paraId="14266F65" w14:textId="0578E90F"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w:t>
      </w:r>
    </w:p>
    <w:p w14:paraId="6C9BDC6D" w14:textId="77777777" w:rsidR="008C222A" w:rsidRPr="00D14C05" w:rsidRDefault="008C222A"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SECCIÓN QUINTA</w:t>
      </w:r>
    </w:p>
    <w:p w14:paraId="3264459F" w14:textId="77777777" w:rsidR="008C222A" w:rsidRPr="00D14C05" w:rsidRDefault="008C222A"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SUBDIRECCIÓN DE ADMINISTRACIÓN Y FINANZAS</w:t>
      </w:r>
    </w:p>
    <w:p w14:paraId="2386A23D" w14:textId="0B336FB0" w:rsidR="00C84F80"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Artículo 46.-</w:t>
      </w:r>
      <w:r w:rsidRPr="00D14C05">
        <w:rPr>
          <w:rFonts w:eastAsia="Palatino Linotype" w:cs="Palatino Linotype"/>
          <w:bCs/>
          <w:i/>
          <w:color w:val="000000"/>
          <w:lang w:val="es-MX"/>
        </w:rPr>
        <w:t xml:space="preserve"> La Subdirección de Administración y Finanzas, estará a cargo de un titular, a quien se le denominará Subdirector de Administración y Finanzas, quien responderá directamente del desempeño de sus funciones ante el Director General o </w:t>
      </w:r>
      <w:r w:rsidRPr="00D14C05">
        <w:rPr>
          <w:rFonts w:eastAsia="Palatino Linotype" w:cs="Palatino Linotype"/>
          <w:bCs/>
          <w:i/>
          <w:color w:val="000000"/>
          <w:lang w:val="es-MX"/>
        </w:rPr>
        <w:lastRenderedPageBreak/>
        <w:t>Directora General y quien tendrá las siguientes atribuciones y facultades relativas a su cargo:</w:t>
      </w:r>
    </w:p>
    <w:p w14:paraId="1DF41ADB" w14:textId="0CD2F5A5"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 Conducir de manera eficiente las actividades relacionadas con la administración de los recursos materiales, servicios generales, financieros, humanos del Organismo.</w:t>
      </w:r>
    </w:p>
    <w:p w14:paraId="4E543250" w14:textId="28477D8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 Dirigir la programación, presupuestación, registro, seguimiento y control contable y presupuestal de los recursos financieros del Organismo para la elaboración y autorización de la documentación contable presupuestal.</w:t>
      </w:r>
    </w:p>
    <w:p w14:paraId="44A98C02" w14:textId="08F25D83"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 Coordinar y presentar al consejo directivo el anteproyecto y proyecto del presupuesto de Ingresos y Egresos del Organismo, en tiempo y forma para su debida aprobación;</w:t>
      </w:r>
    </w:p>
    <w:p w14:paraId="018BE20F" w14:textId="1B4C1C3B"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IV. Proponer los cambios de las formas oficiales emitidas por la Secretaría de Finanzas, Planeación y Administración del Gobierno del Estado de México, de manifestaciones, avisos, declaraciones y demás documentos fiscales o contables por conducto del Director General o Directora General para su aprobación por parte del Consejo Directivo;</w:t>
      </w:r>
    </w:p>
    <w:p w14:paraId="404D27E3" w14:textId="6A2D91C6"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 Supervisar la integración del anteproyecto, proyecto y presupuesto definitivo anual de ingresos y egresos del Organismo.</w:t>
      </w:r>
    </w:p>
    <w:p w14:paraId="09DDD6EC" w14:textId="2AB9B406"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VI. Integrar el Presupuesto de Ingresos y Egresos, así como los Programas de arrendamientos, adquisiciones de bienes y servicios del Organismo; en los plazos y términos establecidos en la normatividad vigente y aplicable.</w:t>
      </w:r>
    </w:p>
    <w:p w14:paraId="4D02CA63" w14:textId="72D37F02"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VII. Presentar a la Dirección General para su aprobación del Consejo Directivo, la Cuenta Pública del ejercicio anterior al OSFEM,</w:t>
      </w:r>
    </w:p>
    <w:p w14:paraId="7F1B0630" w14:textId="7777777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VIII. Presidir el Comité de Adquisiciones y Arrendamientos del Organismo;</w:t>
      </w:r>
    </w:p>
    <w:p w14:paraId="284A80A4" w14:textId="452A4AD9"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IX. Vigilar que se lleve un registro y control del programa de mantenimiento y conservación de los bienes muebles e inmuebles;</w:t>
      </w:r>
    </w:p>
    <w:p w14:paraId="253BBD93" w14:textId="3C9CB3CD"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 Vigilar la actualización del inventario general y los expedientes de los bienes muebles e inmuebles, así como el registro en el libro especial;</w:t>
      </w:r>
    </w:p>
    <w:p w14:paraId="7D05A4CA" w14:textId="4E722434"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 Vigilar y supervisar los procedimientos para la adquisición de bienes y servicios de conformidad a la normatividad vigente y aplicable;</w:t>
      </w:r>
    </w:p>
    <w:p w14:paraId="1877C7FF" w14:textId="6E1489B9"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XII. Dirigir los procedimientos para la contratación de bienes, servicios y arrendamientos que soliciten de manera justificada las diferentes unidades administrativas del Organismo, así como los procedimientos de contratación de obra pública en coordinación con la subdirección de operación y mantenimiento.</w:t>
      </w:r>
    </w:p>
    <w:p w14:paraId="2BF140CA" w14:textId="625CFD43"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XIII. Participar en el comité de adquisiciones, arrendamientos, servicios y obra pública del Organismo;</w:t>
      </w:r>
    </w:p>
    <w:p w14:paraId="38524768" w14:textId="77B37938"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XIV. Conducir el manejo de los recursos humanos en los procesos de selección y contratación, pago de remuneraciones y servicios del personal del Organismo;</w:t>
      </w:r>
    </w:p>
    <w:p w14:paraId="4F5059C0" w14:textId="7A581159"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XV. Coordinar los movimientos de altas, bajas, cambios, remociones, permisos y licencias de los Servidores Públicos.</w:t>
      </w:r>
    </w:p>
    <w:p w14:paraId="796A3BD2" w14:textId="084B12F1"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XVI. Coordinar las acciones de los almacenes, mantenimiento y control del parque vehicular, equipo, mobiliario y bienes inmuebles de las unidades administrativas del Organismo.</w:t>
      </w:r>
    </w:p>
    <w:p w14:paraId="5B6A9A61" w14:textId="600572D0"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XVII. Coordinar la formulación y entrega de los informes mensuales ante el Órganos Superior de Fiscalización del Estado de México;</w:t>
      </w:r>
    </w:p>
    <w:p w14:paraId="1D37A478" w14:textId="26BC5098"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XVIII. Contestar oportunamente los pliegos de observaciones y cédulas de hallazgos que emita el Órgano Superior de Fiscalización del Estado de México, respecto a sus atribuciones y responsabilidades;</w:t>
      </w:r>
    </w:p>
    <w:p w14:paraId="661222C4" w14:textId="770CD600"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XIX. Cumplir con las obligaciones fiscales ante el Servicio de Administración Tributaria y la Secretaría de Finanzas del Gobierno del Estado de México;</w:t>
      </w:r>
    </w:p>
    <w:p w14:paraId="4C0BFA30" w14:textId="6E520DE8"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 Evaluar mensualmente el comportamiento del ejercicio del presupuesto, con el propósito de detectar desviaciones al ejercicio y proporcionar acciones de soluciones necesarias para un mejor aprovechamiento en los recursos financieros;</w:t>
      </w:r>
    </w:p>
    <w:p w14:paraId="7FD22940" w14:textId="0661E48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 Atender y dar respuesta a las peticiones dirigidas al titular de la Dirección General del Organismo que le sean turnadas por ser de su competencia</w:t>
      </w:r>
    </w:p>
    <w:p w14:paraId="6A267E3E" w14:textId="427790D5"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XXII. Promover programas de capacitación para el personal y promover su realización;</w:t>
      </w:r>
    </w:p>
    <w:p w14:paraId="02B3CCD4" w14:textId="5E77666F"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XXIII. Supervisar, controlar, verificar y documentar el suministro de combustible a los vehículos, maquinaria e instalaciones del Organismo;</w:t>
      </w:r>
    </w:p>
    <w:p w14:paraId="25F54AE8" w14:textId="7A8E9995"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XXIV. Integrar la información para dar cumplimiento con las obligaciones y declaraciones administrativas y fiscales;</w:t>
      </w:r>
    </w:p>
    <w:p w14:paraId="4683D2CB" w14:textId="2014CDB9"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XXV. Integrar y custodiar la documentación comprobatoria de los registros y controles contables y presupuestales para la integración de los informes financieros trimestrales y de las cuentas públicas anuales;</w:t>
      </w:r>
    </w:p>
    <w:p w14:paraId="4A3A7DD4" w14:textId="7777777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XXVI. Vigilar la programación de los pagos a cargo del Organismo;</w:t>
      </w:r>
    </w:p>
    <w:p w14:paraId="518AFF8F" w14:textId="5D7D544A"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XXVII. Entregar los informes solicitados por la Unidad de Transparencia, en el ámbito de su competencia;</w:t>
      </w:r>
    </w:p>
    <w:p w14:paraId="3E4D1A0C" w14:textId="48D051B8"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XXVIII. Abrir, administrar y en su caso cancelar cuentas bancarias; previo acuerdo con el Director General y/o Directora General y/o el Consejo Directivo;</w:t>
      </w:r>
    </w:p>
    <w:p w14:paraId="568D07CE" w14:textId="026CB5ED"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XXIX. Supervisar la integración y elaboración de la contabilidad financiera y presupuestal;</w:t>
      </w:r>
    </w:p>
    <w:p w14:paraId="1C1B026D" w14:textId="4240F433"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XXX. Presentar anualmente a la Dirección General un informe de la situación contable financiera para ser presentado ante el Consejo Directivo del Organismo;</w:t>
      </w:r>
    </w:p>
    <w:p w14:paraId="0DC0794F" w14:textId="49B4F744"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XXXI. Las que le confieran las disposiciones legales aplicables y las que le encomiende el o la titular de la Dirección General.</w:t>
      </w:r>
    </w:p>
    <w:p w14:paraId="6C9A9579" w14:textId="77777777" w:rsidR="008C222A" w:rsidRPr="00D14C05" w:rsidRDefault="008C222A"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APARTADO PRIMERO</w:t>
      </w:r>
    </w:p>
    <w:p w14:paraId="01653B5F" w14:textId="77777777" w:rsidR="008C222A" w:rsidRPr="00D14C05" w:rsidRDefault="008C222A" w:rsidP="00337239">
      <w:pPr>
        <w:pBdr>
          <w:top w:val="nil"/>
          <w:left w:val="nil"/>
          <w:bottom w:val="nil"/>
          <w:right w:val="nil"/>
          <w:between w:val="nil"/>
        </w:pBdr>
        <w:ind w:left="851" w:right="565"/>
        <w:contextualSpacing/>
        <w:jc w:val="center"/>
        <w:rPr>
          <w:rFonts w:eastAsia="Palatino Linotype" w:cs="Palatino Linotype"/>
          <w:b/>
          <w:bCs/>
          <w:i/>
          <w:color w:val="000000"/>
          <w:lang w:val="es-MX"/>
        </w:rPr>
      </w:pPr>
      <w:r w:rsidRPr="00D14C05">
        <w:rPr>
          <w:rFonts w:eastAsia="Palatino Linotype" w:cs="Palatino Linotype"/>
          <w:b/>
          <w:bCs/>
          <w:i/>
          <w:color w:val="000000"/>
          <w:lang w:val="es-MX"/>
        </w:rPr>
        <w:t>JEFATURA DE CONTABILIDAD</w:t>
      </w:r>
    </w:p>
    <w:p w14:paraId="2753B02F" w14:textId="6A606406"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Artículo 47.-</w:t>
      </w:r>
      <w:r w:rsidRPr="00D14C05">
        <w:rPr>
          <w:rFonts w:eastAsia="Palatino Linotype" w:cs="Palatino Linotype"/>
          <w:bCs/>
          <w:i/>
          <w:color w:val="000000"/>
          <w:lang w:val="es-MX"/>
        </w:rPr>
        <w:t xml:space="preserve"> Para el despacho de los asuntos de su competencia, la Subdirección de Administración y Finanzas, se auxiliará de la Jefatura de Contabilidad, misma que responderá directamente del desempeño de sus funciones ante la Subdirección de Administración y Finanzas, la cual tendrá las siguientes atribuciones y facultades:</w:t>
      </w:r>
    </w:p>
    <w:p w14:paraId="1446222B" w14:textId="49FF9C96"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 Elaborar, integrar y remitir mensualmente los estados financieros, de acuerdo con lo establecido por la Ley General de Contabilidad Gubernamental y disposiciones del OSFEM;</w:t>
      </w:r>
    </w:p>
    <w:p w14:paraId="5729A536" w14:textId="3E33C84B" w:rsidR="008C222A" w:rsidRPr="00D14C05" w:rsidRDefault="008C222A" w:rsidP="00337239">
      <w:pPr>
        <w:pBdr>
          <w:top w:val="nil"/>
          <w:left w:val="nil"/>
          <w:bottom w:val="nil"/>
          <w:right w:val="nil"/>
          <w:between w:val="nil"/>
        </w:pBdr>
        <w:ind w:left="851" w:right="565"/>
        <w:contextualSpacing/>
        <w:rPr>
          <w:rFonts w:eastAsia="Palatino Linotype" w:cs="Palatino Linotype"/>
          <w:b/>
          <w:bCs/>
          <w:i/>
          <w:color w:val="000000"/>
          <w:u w:val="single"/>
          <w:lang w:val="es-MX"/>
        </w:rPr>
      </w:pPr>
      <w:r w:rsidRPr="00D14C05">
        <w:rPr>
          <w:rFonts w:eastAsia="Palatino Linotype" w:cs="Palatino Linotype"/>
          <w:b/>
          <w:bCs/>
          <w:i/>
          <w:color w:val="000000"/>
          <w:u w:val="single"/>
          <w:lang w:val="es-MX"/>
        </w:rPr>
        <w:t>II. Elaborar e integrar los Informes Financieros Mensuales y de la Cuenta Pública Anual, para su entrega;</w:t>
      </w:r>
    </w:p>
    <w:p w14:paraId="59968E5E" w14:textId="19EE602A"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III. Elaborar, integrar, registrar y aprobar los registros contables de las operaciones de las cuentas de activo, pasivo, deuda pública, patrimonio, ingresos y de orden;</w:t>
      </w:r>
    </w:p>
    <w:p w14:paraId="6566D6B9" w14:textId="602F41B2"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IV. Analizar, conciliar y depurar, e informar en su caso, la existencia de anomalías en los ingresos generados en el Organismo;</w:t>
      </w:r>
    </w:p>
    <w:p w14:paraId="372853AE" w14:textId="29C6D239"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 Mantener la depuración constante de las cuentas de los estados financieros y en general los registros contables;</w:t>
      </w:r>
    </w:p>
    <w:p w14:paraId="211F1480" w14:textId="7777777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VI. Elaborar la información presupuestal y estadística, que le sea requerida;</w:t>
      </w:r>
    </w:p>
    <w:p w14:paraId="79F3A911" w14:textId="6ADF5C69"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VII. Determinar y vigilar el correcto cumplimiento de las obligaciones fiscales mediante la presentación oportuna de las declaraciones correspondientes;</w:t>
      </w:r>
    </w:p>
    <w:p w14:paraId="7A16A28D" w14:textId="28718400"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VIII. Atender las auditorias de los Órganos fiscalizadores tanto internos como externos;</w:t>
      </w:r>
    </w:p>
    <w:p w14:paraId="1C800B98" w14:textId="2717980E"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IX. Integrar en tiempo y forma la documentación para solventar las observaciones realizadas por el OSFEM, la Contraloría Interna y auditores externos;</w:t>
      </w:r>
    </w:p>
    <w:p w14:paraId="58C2F3DA" w14:textId="0275AC3C"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 Elaborar e integrar el Anteproyecto y Proyecto de Presupuesto de Ingresos y Egresos, en coordinación con las unidades administrativas;</w:t>
      </w:r>
    </w:p>
    <w:p w14:paraId="4A11DC38" w14:textId="7777777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 Elaborar el Presupuesto definitivo de Ingresos y Egresos definitivo;</w:t>
      </w:r>
    </w:p>
    <w:p w14:paraId="1490BD54" w14:textId="7C7915D8"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XII. Tramitar las modificaciones, que en su caso procedan, al presupuesto autorizado y realizar los registros contables correspondientes;</w:t>
      </w:r>
    </w:p>
    <w:p w14:paraId="0FBBEB94" w14:textId="7777777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XIII. Informar a las distintas áreas administrativas que conforman el</w:t>
      </w:r>
    </w:p>
    <w:p w14:paraId="0F12E922" w14:textId="3BB709DB"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Organismo, sobre el presupuesto autorizado y disponible, así como el comportamiento de su ejercicio;</w:t>
      </w:r>
    </w:p>
    <w:p w14:paraId="73531E96" w14:textId="54979781"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XIV. Emitir de acuerdo con la información proporcionada por las áreas de operación, las liquidaciones de pagos a la CONAGUA, CAEM y a la Comisión Federal de Electricidad;</w:t>
      </w:r>
    </w:p>
    <w:p w14:paraId="5FD36AD3" w14:textId="6E31FE86"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XV. Afectar, registrar y analizar las erogaciones a realizar y dar seguimiento a los avances programáticos;</w:t>
      </w:r>
    </w:p>
    <w:p w14:paraId="017C0A38" w14:textId="23ADAB7C"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XVI. Alimentar de forma oportuna las plataformas digitales del Sistema de Evaluaciones de la Armonización Contable (SEVAC) y Transparencia;</w:t>
      </w:r>
    </w:p>
    <w:p w14:paraId="332FDC11" w14:textId="024C8793"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XVII. Tramitar las devoluciones o compensaciones de saldos a favor del contribuyente, cuando estos lo soliciten por escrito y se determine su procedencia por el área competente;</w:t>
      </w:r>
    </w:p>
    <w:p w14:paraId="60F00850" w14:textId="4AB94996"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XVIII. Coordinarse con la Jefatura de Patrimonio y Archivo, Subdirección de Operación y Mantenimiento, UIPPE y las áreas que sean necesarias para garantizar el cumplimiento de la información que integra el Informe Trimestral;</w:t>
      </w:r>
    </w:p>
    <w:p w14:paraId="6FE1185C" w14:textId="0B5A9EBE"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XIX. Aprobar las partidas presupuestales con base en el presupuesto autorizado del ejercicio correspondiente;</w:t>
      </w:r>
    </w:p>
    <w:p w14:paraId="048B1B8E" w14:textId="5DC76700"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 Realizar una evaluación del comportamiento del ejercicio del presupuesto de forma mensual, con el propósito de detectar variaciones y proponer acciones de solución para un mejor aprovechamiento de los recursos;</w:t>
      </w:r>
    </w:p>
    <w:p w14:paraId="3FF79F59" w14:textId="64F644A1"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 Coadyuvar en la supervisión del cumplimiento de los indicadores de Gestión aplicables al Presupuesto de Ingresos y Egresos de cada Ejercicio Fiscal;</w:t>
      </w:r>
    </w:p>
    <w:p w14:paraId="7E32D6EF" w14:textId="2171436A"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XXII. Vigilar el cumplimiento de los objetivos de los programas, y atender las recomendaciones para la mejora en el desempeño de los mismos;</w:t>
      </w:r>
    </w:p>
    <w:p w14:paraId="7F6C86C8" w14:textId="77777777"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XXIII. Elaborar, coordinar y presentar la Cuenta Pública del ejercicio anterior al</w:t>
      </w:r>
    </w:p>
    <w:p w14:paraId="7EA36457" w14:textId="521753D1"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OSFEM, previa autorización del superior jerárquico, en los tiempos establecidos por ley;</w:t>
      </w:r>
    </w:p>
    <w:p w14:paraId="76BDEC60" w14:textId="510C6204"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lastRenderedPageBreak/>
        <w:t>XXIV. Registrar y actualizar la información contable, presupuestaria, programática y complementaria en cumplimiento de lo dispuesto en el artículo 74 fracción VI de la Constitución Política de los Estados Unidos Mexicanos y de las demás disposiciones jurídicas que de ella emanan;</w:t>
      </w:r>
    </w:p>
    <w:p w14:paraId="4B6192F3" w14:textId="06917CCE"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XXV. Realizar las declaraciones bimestrales de Aportación a Mejoras por Servicios Ambientales ante la Secretaría de Finanzas del Gobierno del Estado de México;</w:t>
      </w:r>
    </w:p>
    <w:p w14:paraId="6E26F5B0" w14:textId="5D931960" w:rsidR="008C222A" w:rsidRPr="00D14C05" w:rsidRDefault="008C222A"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Cs/>
          <w:i/>
          <w:color w:val="000000"/>
          <w:lang w:val="es-MX"/>
        </w:rPr>
        <w:t>XXVI. Las que le confieran su jefe inmediato, las leyes, reglamentos y demás disposiciones jurídicas y normativas aplicables.</w:t>
      </w:r>
    </w:p>
    <w:p w14:paraId="7F0AB501" w14:textId="77777777" w:rsidR="00C84F80" w:rsidRPr="00D14C05" w:rsidRDefault="00C84F80" w:rsidP="00337239">
      <w:pPr>
        <w:pBdr>
          <w:top w:val="nil"/>
          <w:left w:val="nil"/>
          <w:bottom w:val="nil"/>
          <w:right w:val="nil"/>
          <w:between w:val="nil"/>
        </w:pBdr>
        <w:contextualSpacing/>
        <w:rPr>
          <w:rFonts w:eastAsia="Palatino Linotype" w:cs="Palatino Linotype"/>
          <w:bCs/>
          <w:color w:val="000000"/>
          <w:lang w:val="es-MX"/>
        </w:rPr>
      </w:pPr>
    </w:p>
    <w:p w14:paraId="63F3201D" w14:textId="502FC5A3" w:rsidR="000313D2" w:rsidRPr="00D14C05" w:rsidRDefault="00322FA4"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Entonces, se coligue que si es</w:t>
      </w:r>
      <w:r w:rsidR="005E0993" w:rsidRPr="00D14C05">
        <w:rPr>
          <w:rFonts w:eastAsia="Palatino Linotype" w:cs="Palatino Linotype"/>
          <w:bCs/>
          <w:color w:val="000000"/>
          <w:lang w:val="es-MX"/>
        </w:rPr>
        <w:t xml:space="preserve"> información</w:t>
      </w:r>
      <w:r w:rsidRPr="00D14C05">
        <w:rPr>
          <w:rFonts w:eastAsia="Palatino Linotype" w:cs="Palatino Linotype"/>
          <w:bCs/>
          <w:color w:val="000000"/>
          <w:lang w:val="es-MX"/>
        </w:rPr>
        <w:t xml:space="preserve"> que tiene el deber de poseer el Sujeto Obligado por estar </w:t>
      </w:r>
      <w:r w:rsidR="005E0993" w:rsidRPr="00D14C05">
        <w:rPr>
          <w:rFonts w:eastAsia="Palatino Linotype" w:cs="Palatino Linotype"/>
          <w:bCs/>
          <w:color w:val="000000"/>
          <w:lang w:val="es-MX"/>
        </w:rPr>
        <w:t>relaciona</w:t>
      </w:r>
      <w:r w:rsidRPr="00D14C05">
        <w:rPr>
          <w:rFonts w:eastAsia="Palatino Linotype" w:cs="Palatino Linotype"/>
          <w:bCs/>
          <w:color w:val="000000"/>
          <w:lang w:val="es-MX"/>
        </w:rPr>
        <w:t xml:space="preserve"> al uso y destino de los recursos públicos. </w:t>
      </w:r>
    </w:p>
    <w:p w14:paraId="0EFE521E" w14:textId="77777777" w:rsidR="008C222A" w:rsidRPr="00D14C05" w:rsidRDefault="008C222A" w:rsidP="00337239">
      <w:pPr>
        <w:pBdr>
          <w:top w:val="nil"/>
          <w:left w:val="nil"/>
          <w:bottom w:val="nil"/>
          <w:right w:val="nil"/>
          <w:between w:val="nil"/>
        </w:pBdr>
        <w:contextualSpacing/>
        <w:rPr>
          <w:rFonts w:eastAsia="Palatino Linotype" w:cs="Palatino Linotype"/>
          <w:bCs/>
          <w:color w:val="000000"/>
          <w:lang w:val="es-MX"/>
        </w:rPr>
      </w:pPr>
    </w:p>
    <w:p w14:paraId="0123E423" w14:textId="5FB9868D" w:rsidR="000313D2" w:rsidRPr="00D14C05" w:rsidRDefault="00B02268"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Ahora bien de la respuesta, si bien se menciona donde se puede localizar la información, no se direcciona a través de una liga electrónica en formato abierto, motivo por el cual no es posible tener por válida la respuesta del Sujeto Obligado ya que no se cumple con el principio de accesibilidad establecida en la Ley de Transparencia y Acceso a la Información Pública del Estado de México y Municipios.</w:t>
      </w:r>
    </w:p>
    <w:p w14:paraId="4DA1110E" w14:textId="77777777" w:rsidR="008C222A" w:rsidRPr="00D14C05" w:rsidRDefault="008C222A" w:rsidP="00337239">
      <w:pPr>
        <w:pBdr>
          <w:top w:val="nil"/>
          <w:left w:val="nil"/>
          <w:bottom w:val="nil"/>
          <w:right w:val="nil"/>
          <w:between w:val="nil"/>
        </w:pBdr>
        <w:contextualSpacing/>
        <w:rPr>
          <w:rFonts w:eastAsia="Palatino Linotype" w:cs="Palatino Linotype"/>
          <w:bCs/>
          <w:color w:val="000000"/>
          <w:lang w:val="es-MX"/>
        </w:rPr>
      </w:pPr>
    </w:p>
    <w:p w14:paraId="34C5E320" w14:textId="5FEF4625" w:rsidR="00B02268" w:rsidRPr="00D14C05" w:rsidRDefault="004A3264"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Artículo 24.</w:t>
      </w:r>
      <w:r w:rsidRPr="00D14C05">
        <w:rPr>
          <w:rFonts w:eastAsia="Palatino Linotype" w:cs="Palatino Linotype"/>
          <w:bCs/>
          <w:i/>
          <w:color w:val="000000"/>
          <w:lang w:val="es-MX"/>
        </w:rPr>
        <w:t xml:space="preserve"> Para el cumplimiento de los objetivos de esta Ley, los sujetos obligados deberán cumplir con las siguientes obligaciones, según corresponda, de acuerdo a su naturaleza:</w:t>
      </w:r>
    </w:p>
    <w:p w14:paraId="7962E329" w14:textId="297540FB" w:rsidR="004A3264" w:rsidRPr="00D14C05" w:rsidRDefault="004A3264"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IX.</w:t>
      </w:r>
      <w:r w:rsidRPr="00D14C05">
        <w:rPr>
          <w:rFonts w:eastAsia="Palatino Linotype" w:cs="Palatino Linotype"/>
          <w:bCs/>
          <w:i/>
          <w:color w:val="000000"/>
          <w:lang w:val="es-MX"/>
        </w:rPr>
        <w:t xml:space="preserve"> Fomentar el uso de tecnologías de la información para garantizar la transparencia, el derecho de acceso a la información y la accesibilidad a éstos; </w:t>
      </w:r>
    </w:p>
    <w:p w14:paraId="124AB022" w14:textId="2EBCEA95" w:rsidR="004A3264" w:rsidRPr="00D14C05" w:rsidRDefault="004A3264"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lastRenderedPageBreak/>
        <w:t>XLI.</w:t>
      </w:r>
      <w:r w:rsidRPr="00D14C05">
        <w:rPr>
          <w:rFonts w:eastAsia="Palatino Linotype" w:cs="Palatino Linotype"/>
          <w:bCs/>
          <w:i/>
          <w:color w:val="000000"/>
          <w:lang w:val="es-MX"/>
        </w:rPr>
        <w:t xml:space="preserve"> Fomentar los principios de gobierno abierto, la transparencia, la rendición de cuentas, la participación ciudadana, la accesibilidad y la innovación tecnológica;</w:t>
      </w:r>
    </w:p>
    <w:p w14:paraId="20801F7C" w14:textId="77777777" w:rsidR="004A3264" w:rsidRPr="00D14C05" w:rsidRDefault="004A3264" w:rsidP="00337239">
      <w:pPr>
        <w:pBdr>
          <w:top w:val="nil"/>
          <w:left w:val="nil"/>
          <w:bottom w:val="nil"/>
          <w:right w:val="nil"/>
          <w:between w:val="nil"/>
        </w:pBdr>
        <w:ind w:left="851" w:right="565"/>
        <w:contextualSpacing/>
        <w:rPr>
          <w:rFonts w:eastAsia="Palatino Linotype" w:cs="Palatino Linotype"/>
          <w:bCs/>
          <w:i/>
          <w:color w:val="000000"/>
          <w:lang w:val="es-MX"/>
        </w:rPr>
      </w:pPr>
    </w:p>
    <w:p w14:paraId="6E44AB37" w14:textId="7D072887" w:rsidR="004A3264" w:rsidRPr="00D14C05" w:rsidRDefault="004A3264"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Artículo 53</w:t>
      </w:r>
      <w:r w:rsidRPr="00D14C05">
        <w:rPr>
          <w:rFonts w:eastAsia="Palatino Linotype" w:cs="Palatino Linotype"/>
          <w:bCs/>
          <w:i/>
          <w:color w:val="000000"/>
          <w:lang w:val="es-MX"/>
        </w:rPr>
        <w:t>. Las Unidades de Transparencia tendrán las siguientes funciones:</w:t>
      </w:r>
    </w:p>
    <w:p w14:paraId="58F3BFE5" w14:textId="443AD8E0" w:rsidR="000313D2" w:rsidRPr="00D14C05" w:rsidRDefault="004A3264" w:rsidP="00337239">
      <w:pPr>
        <w:pBdr>
          <w:top w:val="nil"/>
          <w:left w:val="nil"/>
          <w:bottom w:val="nil"/>
          <w:right w:val="nil"/>
          <w:between w:val="nil"/>
        </w:pBdr>
        <w:ind w:left="851" w:right="565"/>
        <w:contextualSpacing/>
        <w:rPr>
          <w:rFonts w:eastAsia="Palatino Linotype" w:cs="Palatino Linotype"/>
          <w:bCs/>
          <w:i/>
          <w:color w:val="000000"/>
          <w:lang w:val="es-MX"/>
        </w:rPr>
      </w:pPr>
      <w:r w:rsidRPr="00D14C05">
        <w:rPr>
          <w:rFonts w:eastAsia="Palatino Linotype" w:cs="Palatino Linotype"/>
          <w:b/>
          <w:bCs/>
          <w:i/>
          <w:color w:val="000000"/>
          <w:lang w:val="es-MX"/>
        </w:rPr>
        <w:t>XII.</w:t>
      </w:r>
      <w:r w:rsidRPr="00D14C05">
        <w:rPr>
          <w:rFonts w:eastAsia="Palatino Linotype" w:cs="Palatino Linotype"/>
          <w:bCs/>
          <w:i/>
          <w:color w:val="000000"/>
          <w:lang w:val="es-MX"/>
        </w:rPr>
        <w:t xml:space="preserve"> Fomentar la transparencia y accesibilidad al interior del sujeto obligado;</w:t>
      </w:r>
    </w:p>
    <w:p w14:paraId="3DE0B132" w14:textId="77777777" w:rsidR="007E0276" w:rsidRPr="00D14C05" w:rsidRDefault="007E0276" w:rsidP="00337239">
      <w:pPr>
        <w:pBdr>
          <w:top w:val="nil"/>
          <w:left w:val="nil"/>
          <w:bottom w:val="nil"/>
          <w:right w:val="nil"/>
          <w:between w:val="nil"/>
        </w:pBdr>
        <w:contextualSpacing/>
        <w:rPr>
          <w:rFonts w:eastAsia="Palatino Linotype" w:cs="Palatino Linotype"/>
          <w:bCs/>
          <w:color w:val="000000"/>
          <w:lang w:val="es-MX"/>
        </w:rPr>
      </w:pPr>
    </w:p>
    <w:p w14:paraId="6CAB283D" w14:textId="77777777" w:rsidR="001D78C5" w:rsidRPr="00D14C05" w:rsidRDefault="001D78C5" w:rsidP="00337239">
      <w:pPr>
        <w:pBdr>
          <w:top w:val="nil"/>
          <w:left w:val="nil"/>
          <w:bottom w:val="nil"/>
          <w:right w:val="nil"/>
          <w:between w:val="nil"/>
        </w:pBdr>
        <w:contextualSpacing/>
      </w:pPr>
      <w:r w:rsidRPr="00D14C05">
        <w:t xml:space="preserve">Atendiendo a la naturaleza de la información, debe decirse primeramente que las observaciones realizadas por el OSFEM se encuentran reguladas por la Ley de Fiscalización Superior del Estado de México, en dicho ordenamiento se establece que este tiene entre sus funciones, la señalada en la fracción III del artículo 8, en la que se estipula lo siguiente: </w:t>
      </w:r>
    </w:p>
    <w:p w14:paraId="3EEA45AE" w14:textId="77777777" w:rsidR="001D78C5" w:rsidRPr="00D14C05" w:rsidRDefault="001D78C5" w:rsidP="00337239">
      <w:pPr>
        <w:pBdr>
          <w:top w:val="nil"/>
          <w:left w:val="nil"/>
          <w:bottom w:val="nil"/>
          <w:right w:val="nil"/>
          <w:between w:val="nil"/>
        </w:pBdr>
        <w:contextualSpacing/>
      </w:pPr>
    </w:p>
    <w:p w14:paraId="1C79FB29" w14:textId="77777777" w:rsidR="001D78C5" w:rsidRPr="00D14C05" w:rsidRDefault="001D78C5" w:rsidP="00337239">
      <w:pPr>
        <w:pBdr>
          <w:top w:val="nil"/>
          <w:left w:val="nil"/>
          <w:bottom w:val="nil"/>
          <w:right w:val="nil"/>
          <w:between w:val="nil"/>
        </w:pBdr>
        <w:ind w:left="567" w:right="567"/>
        <w:contextualSpacing/>
        <w:rPr>
          <w:i/>
        </w:rPr>
      </w:pPr>
      <w:r w:rsidRPr="00D14C05">
        <w:rPr>
          <w:i/>
        </w:rPr>
        <w:t xml:space="preserve">Artículo 8.- El Órgano Superior tendrá las siguientes atribuciones: </w:t>
      </w:r>
    </w:p>
    <w:p w14:paraId="6C521698" w14:textId="77777777" w:rsidR="001D78C5" w:rsidRPr="00D14C05" w:rsidRDefault="001D78C5" w:rsidP="00337239">
      <w:pPr>
        <w:pBdr>
          <w:top w:val="nil"/>
          <w:left w:val="nil"/>
          <w:bottom w:val="nil"/>
          <w:right w:val="nil"/>
          <w:between w:val="nil"/>
        </w:pBdr>
        <w:ind w:left="567" w:right="567"/>
        <w:contextualSpacing/>
        <w:rPr>
          <w:i/>
        </w:rPr>
      </w:pPr>
      <w:r w:rsidRPr="00D14C05">
        <w:rPr>
          <w:i/>
        </w:rPr>
        <w:t xml:space="preserve">(…) </w:t>
      </w:r>
    </w:p>
    <w:p w14:paraId="3C7FE6F9" w14:textId="2439BF47" w:rsidR="001D78C5" w:rsidRPr="00D14C05" w:rsidRDefault="001D78C5" w:rsidP="00337239">
      <w:pPr>
        <w:pBdr>
          <w:top w:val="nil"/>
          <w:left w:val="nil"/>
          <w:bottom w:val="nil"/>
          <w:right w:val="nil"/>
          <w:between w:val="nil"/>
        </w:pBdr>
        <w:ind w:left="567" w:right="567"/>
        <w:contextualSpacing/>
        <w:rPr>
          <w:i/>
        </w:rPr>
      </w:pPr>
      <w:r w:rsidRPr="00D14C05">
        <w:rPr>
          <w:b/>
          <w:i/>
        </w:rPr>
        <w:t xml:space="preserve">III. Revisar las cuentas públicas de las entidades fiscalizables y entregar a la Legislatura, a través de la Comisión, el informe de resultados y los informes de auditorías que correspondan. </w:t>
      </w:r>
    </w:p>
    <w:p w14:paraId="74DE37C1" w14:textId="77777777" w:rsidR="001D78C5" w:rsidRPr="00D14C05" w:rsidRDefault="001D78C5" w:rsidP="00337239">
      <w:pPr>
        <w:pBdr>
          <w:top w:val="nil"/>
          <w:left w:val="nil"/>
          <w:bottom w:val="nil"/>
          <w:right w:val="nil"/>
          <w:between w:val="nil"/>
        </w:pBdr>
        <w:contextualSpacing/>
      </w:pPr>
    </w:p>
    <w:p w14:paraId="57F41FDD" w14:textId="11CCB23B" w:rsidR="001D78C5" w:rsidRPr="00D14C05" w:rsidRDefault="001D78C5" w:rsidP="00337239">
      <w:pPr>
        <w:pBdr>
          <w:top w:val="nil"/>
          <w:left w:val="nil"/>
          <w:bottom w:val="nil"/>
          <w:right w:val="nil"/>
          <w:between w:val="nil"/>
        </w:pBdr>
        <w:contextualSpacing/>
      </w:pPr>
      <w:r w:rsidRPr="00D14C05">
        <w:t xml:space="preserve">Asimismo, el mismo ordenamiento en su artículo 32 dispone lo siguiente: </w:t>
      </w:r>
    </w:p>
    <w:p w14:paraId="3A0416B3" w14:textId="77777777" w:rsidR="001D78C5" w:rsidRPr="00D14C05" w:rsidRDefault="001D78C5" w:rsidP="00337239">
      <w:pPr>
        <w:pBdr>
          <w:top w:val="nil"/>
          <w:left w:val="nil"/>
          <w:bottom w:val="nil"/>
          <w:right w:val="nil"/>
          <w:between w:val="nil"/>
        </w:pBdr>
        <w:contextualSpacing/>
      </w:pPr>
    </w:p>
    <w:p w14:paraId="1B2A147C" w14:textId="4B7747A3" w:rsidR="001D78C5" w:rsidRPr="00D14C05" w:rsidRDefault="001D78C5" w:rsidP="00337239">
      <w:pPr>
        <w:pBdr>
          <w:top w:val="nil"/>
          <w:left w:val="nil"/>
          <w:bottom w:val="nil"/>
          <w:right w:val="nil"/>
          <w:between w:val="nil"/>
        </w:pBdr>
        <w:ind w:left="567" w:right="567"/>
        <w:contextualSpacing/>
      </w:pPr>
      <w:r w:rsidRPr="00D14C05">
        <w:rPr>
          <w:b/>
          <w:i/>
        </w:rPr>
        <w:t>Artículo 32.</w:t>
      </w:r>
      <w:r w:rsidRPr="00D14C05">
        <w:rPr>
          <w:i/>
        </w:rPr>
        <w:t xml:space="preserve"> Las cuentas públicas estatal y municipales, deberán presentarse conforme a lo establecido en la Ley General de Contabilidad Gubernamental, en la Ley de Disciplina Financiera de las Entidades Federativas y los Municipios, en el Código </w:t>
      </w:r>
      <w:r w:rsidRPr="00D14C05">
        <w:rPr>
          <w:i/>
        </w:rPr>
        <w:lastRenderedPageBreak/>
        <w:t>Financiero del Estado de México y Municipios, el Manual Único de Contabilidad Gubernamental para las Dependencias y Entidades Públicas del Gobierno y Municipios del Estado de México, y demás disposiciones aplicables. El Gobernador del Estado, por conducto del titular de la dependencia competente, presentará a la Legislatura la cuenta pública del Gobierno del Estado del ejercicio fiscal inmediato anterior, a más tardar el treinta de abril de cada año. Los presidentes municipales presentarán a la Legislatura las cuentas públicas de sus respectivos municipios, del ejercicio fiscal inmediato anterior, dentro de los quince primeros días del mes de marzo de cada año. Si el día del vencimiento de los plazos señalados, corresponde a un día inhábil, se podrá presentar al día hábil inmediato siguiente. La Legislatura deberá remitir las Cuentas Públicas al Órgano Superior el día hábil siguiente a su recepción</w:t>
      </w:r>
      <w:r w:rsidRPr="00D14C05">
        <w:t>.</w:t>
      </w:r>
    </w:p>
    <w:p w14:paraId="2F637415" w14:textId="77777777" w:rsidR="001D78C5" w:rsidRPr="00D14C05" w:rsidRDefault="001D78C5" w:rsidP="00337239">
      <w:pPr>
        <w:pBdr>
          <w:top w:val="nil"/>
          <w:left w:val="nil"/>
          <w:bottom w:val="nil"/>
          <w:right w:val="nil"/>
          <w:between w:val="nil"/>
        </w:pBdr>
        <w:contextualSpacing/>
      </w:pPr>
    </w:p>
    <w:p w14:paraId="62E64E61" w14:textId="77777777" w:rsidR="001D78C5" w:rsidRPr="00D14C05" w:rsidRDefault="001D78C5" w:rsidP="00337239">
      <w:pPr>
        <w:pBdr>
          <w:top w:val="nil"/>
          <w:left w:val="nil"/>
          <w:bottom w:val="nil"/>
          <w:right w:val="nil"/>
          <w:between w:val="nil"/>
        </w:pBdr>
        <w:contextualSpacing/>
      </w:pPr>
      <w:r w:rsidRPr="00D14C05">
        <w:t xml:space="preserve">Ahora bien, los artículos 50, 51, 53 y 53 Bis de la referida Ley estipulan lo siguiente: </w:t>
      </w:r>
    </w:p>
    <w:p w14:paraId="6A67E906" w14:textId="77777777" w:rsidR="001D78C5" w:rsidRPr="00D14C05" w:rsidRDefault="001D78C5" w:rsidP="00337239">
      <w:pPr>
        <w:pBdr>
          <w:top w:val="nil"/>
          <w:left w:val="nil"/>
          <w:bottom w:val="nil"/>
          <w:right w:val="nil"/>
          <w:between w:val="nil"/>
        </w:pBdr>
        <w:contextualSpacing/>
      </w:pPr>
    </w:p>
    <w:p w14:paraId="24C13FFA" w14:textId="77777777" w:rsidR="001D78C5" w:rsidRPr="00D14C05" w:rsidRDefault="001D78C5" w:rsidP="00337239">
      <w:pPr>
        <w:pBdr>
          <w:top w:val="nil"/>
          <w:left w:val="nil"/>
          <w:bottom w:val="nil"/>
          <w:right w:val="nil"/>
          <w:between w:val="nil"/>
        </w:pBdr>
        <w:ind w:left="567" w:right="567"/>
        <w:contextualSpacing/>
        <w:rPr>
          <w:i/>
        </w:rPr>
      </w:pPr>
      <w:r w:rsidRPr="00D14C05">
        <w:rPr>
          <w:b/>
          <w:i/>
        </w:rPr>
        <w:t>Artículo 50.-</w:t>
      </w:r>
      <w:r w:rsidRPr="00D14C05">
        <w:rPr>
          <w:i/>
        </w:rPr>
        <w:t xml:space="preserve"> </w:t>
      </w:r>
      <w:r w:rsidRPr="00D14C05">
        <w:rPr>
          <w:b/>
          <w:i/>
          <w:u w:val="single"/>
        </w:rPr>
        <w:t>El Órgano Superior tendrá un plazo improrrogable que vence el 15 de noviembre del año en que se entreguen las cuentas públicas, para presentar el Informe de Resultados</w:t>
      </w:r>
      <w:r w:rsidRPr="00D14C05">
        <w:rPr>
          <w:i/>
        </w:rPr>
        <w:t xml:space="preserve"> ante la Comisión de Vigilancia del Órgano Superior de Fiscalización, </w:t>
      </w:r>
      <w:r w:rsidRPr="00D14C05">
        <w:rPr>
          <w:b/>
          <w:i/>
          <w:u w:val="single"/>
        </w:rPr>
        <w:t>mismo que tendrá el carácter público</w:t>
      </w:r>
      <w:r w:rsidRPr="00D14C05">
        <w:rPr>
          <w:i/>
        </w:rPr>
        <w:t xml:space="preserve"> y, en consecuencia, deberá ser publicado en medios electrónicos de manera inmediatamente posterior a su entrega; mientras ello no suceda, el Órgano Superior deberá guardar reserva de sus actuaciones e información. </w:t>
      </w:r>
    </w:p>
    <w:p w14:paraId="33DF2940" w14:textId="77777777" w:rsidR="00337239" w:rsidRPr="00D14C05" w:rsidRDefault="00337239" w:rsidP="00337239">
      <w:pPr>
        <w:pBdr>
          <w:top w:val="nil"/>
          <w:left w:val="nil"/>
          <w:bottom w:val="nil"/>
          <w:right w:val="nil"/>
          <w:between w:val="nil"/>
        </w:pBdr>
        <w:ind w:left="567" w:right="567"/>
        <w:contextualSpacing/>
        <w:rPr>
          <w:i/>
        </w:rPr>
      </w:pPr>
    </w:p>
    <w:p w14:paraId="5B05156B" w14:textId="24C01132" w:rsidR="001D78C5" w:rsidRPr="00D14C05" w:rsidRDefault="001D78C5" w:rsidP="00337239">
      <w:pPr>
        <w:pBdr>
          <w:top w:val="nil"/>
          <w:left w:val="nil"/>
          <w:bottom w:val="nil"/>
          <w:right w:val="nil"/>
          <w:between w:val="nil"/>
        </w:pBdr>
        <w:ind w:left="567" w:right="567"/>
        <w:contextualSpacing/>
        <w:rPr>
          <w:i/>
        </w:rPr>
      </w:pPr>
      <w:r w:rsidRPr="00D14C05">
        <w:rPr>
          <w:i/>
        </w:rPr>
        <w:lastRenderedPageBreak/>
        <w:t xml:space="preserve">La revisión, análisis, aclaración y discusión del informe a que hace referencia el párrafo anterior, y el estudio del contenido de la cuenta pública, servirán como principal instrumento para que la Comisión de Vigilancia del Órgano Superior de Fiscalización elabore el dictamen de las cuentas públicas, el cual deberá presentarse ante el Pleno de la Legislatura para su votación y emisión del decreto que tenga por fiscalizadas y calificadas las cuentas públicas del Estado y municipios a más tardar el 30 de noviembre del año en que se presente dicho informe. </w:t>
      </w:r>
    </w:p>
    <w:p w14:paraId="133E4229" w14:textId="77777777" w:rsidR="00337239" w:rsidRPr="00D14C05" w:rsidRDefault="00337239" w:rsidP="00337239">
      <w:pPr>
        <w:pBdr>
          <w:top w:val="nil"/>
          <w:left w:val="nil"/>
          <w:bottom w:val="nil"/>
          <w:right w:val="nil"/>
          <w:between w:val="nil"/>
        </w:pBdr>
        <w:ind w:left="567" w:right="567"/>
        <w:contextualSpacing/>
        <w:rPr>
          <w:i/>
        </w:rPr>
      </w:pPr>
    </w:p>
    <w:p w14:paraId="4597D005" w14:textId="6D139ED5" w:rsidR="001D78C5" w:rsidRPr="00D14C05" w:rsidRDefault="001D78C5" w:rsidP="00337239">
      <w:pPr>
        <w:pBdr>
          <w:top w:val="nil"/>
          <w:left w:val="nil"/>
          <w:bottom w:val="nil"/>
          <w:right w:val="nil"/>
          <w:between w:val="nil"/>
        </w:pBdr>
        <w:ind w:left="567" w:right="567"/>
        <w:contextualSpacing/>
        <w:rPr>
          <w:i/>
        </w:rPr>
      </w:pPr>
      <w:r w:rsidRPr="00D14C05">
        <w:rPr>
          <w:i/>
        </w:rPr>
        <w:t xml:space="preserve">La calificación no suspende el trámite de las acciones promovidas o que se promuevan, por parte del Órgano Superior de Fiscalización del Estado de México, mismas que seguirán el procedimiento de acuerdo a las disposiciones legales aplicables. </w:t>
      </w:r>
    </w:p>
    <w:p w14:paraId="567CE46D" w14:textId="77777777" w:rsidR="00337239" w:rsidRPr="00D14C05" w:rsidRDefault="00337239" w:rsidP="00337239">
      <w:pPr>
        <w:pBdr>
          <w:top w:val="nil"/>
          <w:left w:val="nil"/>
          <w:bottom w:val="nil"/>
          <w:right w:val="nil"/>
          <w:between w:val="nil"/>
        </w:pBdr>
        <w:ind w:left="567" w:right="567"/>
        <w:contextualSpacing/>
        <w:rPr>
          <w:i/>
        </w:rPr>
      </w:pPr>
    </w:p>
    <w:p w14:paraId="20F2CACE" w14:textId="6C141F63" w:rsidR="001D78C5" w:rsidRPr="00D14C05" w:rsidRDefault="001D78C5" w:rsidP="00337239">
      <w:pPr>
        <w:pBdr>
          <w:top w:val="nil"/>
          <w:left w:val="nil"/>
          <w:bottom w:val="nil"/>
          <w:right w:val="nil"/>
          <w:between w:val="nil"/>
        </w:pBdr>
        <w:ind w:left="567" w:right="567"/>
        <w:contextualSpacing/>
        <w:rPr>
          <w:i/>
        </w:rPr>
      </w:pPr>
      <w:r w:rsidRPr="00D14C05">
        <w:rPr>
          <w:i/>
        </w:rPr>
        <w:t xml:space="preserve">La Comisión vigilara la publicación del Informe de Resultados, de todas y cada una de las reuniones de trabajo que realice para analizarlo y del decreto que emita la Legislatura, de manera inmediata a que cada uno acontezca. </w:t>
      </w:r>
    </w:p>
    <w:p w14:paraId="10541905" w14:textId="77777777" w:rsidR="00337239" w:rsidRPr="00D14C05" w:rsidRDefault="00337239" w:rsidP="00337239">
      <w:pPr>
        <w:pBdr>
          <w:top w:val="nil"/>
          <w:left w:val="nil"/>
          <w:bottom w:val="nil"/>
          <w:right w:val="nil"/>
          <w:between w:val="nil"/>
        </w:pBdr>
        <w:ind w:left="567" w:right="567"/>
        <w:contextualSpacing/>
        <w:rPr>
          <w:i/>
        </w:rPr>
      </w:pPr>
    </w:p>
    <w:p w14:paraId="15102B29" w14:textId="361378E6" w:rsidR="00337239" w:rsidRPr="00D14C05" w:rsidRDefault="001D78C5" w:rsidP="00337239">
      <w:pPr>
        <w:pBdr>
          <w:top w:val="nil"/>
          <w:left w:val="nil"/>
          <w:bottom w:val="nil"/>
          <w:right w:val="nil"/>
          <w:between w:val="nil"/>
        </w:pBdr>
        <w:ind w:left="567" w:right="567"/>
        <w:contextualSpacing/>
        <w:rPr>
          <w:i/>
        </w:rPr>
      </w:pPr>
      <w:r w:rsidRPr="00D14C05">
        <w:rPr>
          <w:i/>
        </w:rPr>
        <w:t>La Comisión dará seguimiento a los informes emitidos por el Órgano Superior, que incluirán de forma cualitativa y cuantitativa las observaciones y recomendaciones así como</w:t>
      </w:r>
      <w:r w:rsidR="00337239" w:rsidRPr="00D14C05">
        <w:rPr>
          <w:i/>
        </w:rPr>
        <w:t xml:space="preserve"> a los procedimientos resarcitorios y demás acciones promovidas, por el OSFEM de la siguiente forma:</w:t>
      </w:r>
    </w:p>
    <w:p w14:paraId="28547666" w14:textId="77777777" w:rsidR="00337239" w:rsidRPr="00D14C05" w:rsidRDefault="00337239" w:rsidP="00337239">
      <w:pPr>
        <w:pBdr>
          <w:top w:val="nil"/>
          <w:left w:val="nil"/>
          <w:bottom w:val="nil"/>
          <w:right w:val="nil"/>
          <w:between w:val="nil"/>
        </w:pBdr>
        <w:ind w:left="567" w:right="567"/>
        <w:contextualSpacing/>
        <w:rPr>
          <w:i/>
        </w:rPr>
      </w:pPr>
      <w:r w:rsidRPr="00D14C05">
        <w:rPr>
          <w:i/>
        </w:rPr>
        <w:t>a) Número de auditorías, tipo de auditoria, alcance y planeación de la misma.</w:t>
      </w:r>
    </w:p>
    <w:p w14:paraId="4B4EEADD" w14:textId="77777777" w:rsidR="00337239" w:rsidRPr="00D14C05" w:rsidRDefault="00337239" w:rsidP="00337239">
      <w:pPr>
        <w:pBdr>
          <w:top w:val="nil"/>
          <w:left w:val="nil"/>
          <w:bottom w:val="nil"/>
          <w:right w:val="nil"/>
          <w:between w:val="nil"/>
        </w:pBdr>
        <w:ind w:left="567" w:right="567"/>
        <w:contextualSpacing/>
        <w:rPr>
          <w:i/>
        </w:rPr>
      </w:pPr>
      <w:r w:rsidRPr="00D14C05">
        <w:rPr>
          <w:i/>
        </w:rPr>
        <w:t>b) La identificación de la entidad fiscalizable.</w:t>
      </w:r>
    </w:p>
    <w:p w14:paraId="4982B5D2" w14:textId="03D28216" w:rsidR="00337239" w:rsidRPr="00D14C05" w:rsidRDefault="00337239" w:rsidP="00337239">
      <w:pPr>
        <w:pBdr>
          <w:top w:val="nil"/>
          <w:left w:val="nil"/>
          <w:bottom w:val="nil"/>
          <w:right w:val="nil"/>
          <w:between w:val="nil"/>
        </w:pBdr>
        <w:ind w:left="567" w:right="567"/>
        <w:contextualSpacing/>
        <w:rPr>
          <w:i/>
        </w:rPr>
      </w:pPr>
      <w:r w:rsidRPr="00D14C05">
        <w:rPr>
          <w:i/>
        </w:rPr>
        <w:lastRenderedPageBreak/>
        <w:t>c) Las observaciones resarcitorias y el seguimiento de los mismos hasta su total conclusión.</w:t>
      </w:r>
    </w:p>
    <w:p w14:paraId="36860C76" w14:textId="77777777" w:rsidR="00337239" w:rsidRPr="00D14C05" w:rsidRDefault="00337239" w:rsidP="00337239">
      <w:pPr>
        <w:pBdr>
          <w:top w:val="nil"/>
          <w:left w:val="nil"/>
          <w:bottom w:val="nil"/>
          <w:right w:val="nil"/>
          <w:between w:val="nil"/>
        </w:pBdr>
        <w:ind w:left="567" w:right="567"/>
        <w:contextualSpacing/>
        <w:rPr>
          <w:i/>
        </w:rPr>
      </w:pPr>
      <w:r w:rsidRPr="00D14C05">
        <w:rPr>
          <w:i/>
        </w:rPr>
        <w:t>d) El comportamiento de la entidad fiscalizable respecto a las observaciones realizadas.</w:t>
      </w:r>
    </w:p>
    <w:p w14:paraId="4F98D62B" w14:textId="77777777" w:rsidR="00337239" w:rsidRPr="00D14C05" w:rsidRDefault="00337239" w:rsidP="00337239">
      <w:pPr>
        <w:pBdr>
          <w:top w:val="nil"/>
          <w:left w:val="nil"/>
          <w:bottom w:val="nil"/>
          <w:right w:val="nil"/>
          <w:between w:val="nil"/>
        </w:pBdr>
        <w:ind w:left="567" w:right="567"/>
        <w:contextualSpacing/>
        <w:rPr>
          <w:i/>
        </w:rPr>
      </w:pPr>
      <w:r w:rsidRPr="00D14C05">
        <w:rPr>
          <w:i/>
        </w:rPr>
        <w:t>e) El cumplimiento de los programas auditados mediante auditoria del desempeño.</w:t>
      </w:r>
    </w:p>
    <w:p w14:paraId="0DB0B4D1" w14:textId="77777777" w:rsidR="00337239" w:rsidRPr="00D14C05" w:rsidRDefault="00337239" w:rsidP="00337239">
      <w:pPr>
        <w:pBdr>
          <w:top w:val="nil"/>
          <w:left w:val="nil"/>
          <w:bottom w:val="nil"/>
          <w:right w:val="nil"/>
          <w:between w:val="nil"/>
        </w:pBdr>
        <w:ind w:left="567" w:right="567"/>
        <w:contextualSpacing/>
        <w:rPr>
          <w:i/>
        </w:rPr>
      </w:pPr>
    </w:p>
    <w:p w14:paraId="50688133" w14:textId="15A247FF" w:rsidR="00337239" w:rsidRPr="00D14C05" w:rsidRDefault="00337239" w:rsidP="00337239">
      <w:pPr>
        <w:pBdr>
          <w:top w:val="nil"/>
          <w:left w:val="nil"/>
          <w:bottom w:val="nil"/>
          <w:right w:val="nil"/>
          <w:between w:val="nil"/>
        </w:pBdr>
        <w:ind w:left="567" w:right="567"/>
        <w:contextualSpacing/>
        <w:rPr>
          <w:i/>
        </w:rPr>
      </w:pPr>
      <w:r w:rsidRPr="00D14C05">
        <w:rPr>
          <w:b/>
          <w:i/>
        </w:rPr>
        <w:t>Artículo 51.-</w:t>
      </w:r>
      <w:r w:rsidRPr="00D14C05">
        <w:rPr>
          <w:i/>
        </w:rPr>
        <w:t xml:space="preserve"> El informe a que se refiere el artículo anterior, deberá contener como mínimo lo siguiente:</w:t>
      </w:r>
    </w:p>
    <w:p w14:paraId="543153CC" w14:textId="77777777" w:rsidR="00337239" w:rsidRPr="00D14C05" w:rsidRDefault="00337239" w:rsidP="00337239">
      <w:pPr>
        <w:pBdr>
          <w:top w:val="nil"/>
          <w:left w:val="nil"/>
          <w:bottom w:val="nil"/>
          <w:right w:val="nil"/>
          <w:between w:val="nil"/>
        </w:pBdr>
        <w:ind w:left="567" w:right="567"/>
        <w:contextualSpacing/>
        <w:rPr>
          <w:i/>
        </w:rPr>
      </w:pPr>
      <w:r w:rsidRPr="00D14C05">
        <w:rPr>
          <w:i/>
        </w:rPr>
        <w:t>I. El resultado de la revisión de la respectiva cuenta pública;</w:t>
      </w:r>
    </w:p>
    <w:p w14:paraId="73E3CFF4" w14:textId="068189EC" w:rsidR="00337239" w:rsidRPr="00D14C05" w:rsidRDefault="00337239" w:rsidP="00337239">
      <w:pPr>
        <w:pBdr>
          <w:top w:val="nil"/>
          <w:left w:val="nil"/>
          <w:bottom w:val="nil"/>
          <w:right w:val="nil"/>
          <w:between w:val="nil"/>
        </w:pBdr>
        <w:ind w:left="567" w:right="567"/>
        <w:contextualSpacing/>
        <w:rPr>
          <w:i/>
        </w:rPr>
      </w:pPr>
      <w:r w:rsidRPr="00D14C05">
        <w:rPr>
          <w:i/>
        </w:rPr>
        <w:t>II. El apartado correspondiente a la fiscalización y verificación del cumplimiento de los programas, respecto de la consecución de sus objetivos y metas, así como de la satisfacción de las necesidades correspondientes;</w:t>
      </w:r>
    </w:p>
    <w:p w14:paraId="05ADC02D" w14:textId="77777777" w:rsidR="00337239" w:rsidRPr="00D14C05" w:rsidRDefault="00337239" w:rsidP="00337239">
      <w:pPr>
        <w:pBdr>
          <w:top w:val="nil"/>
          <w:left w:val="nil"/>
          <w:bottom w:val="nil"/>
          <w:right w:val="nil"/>
          <w:between w:val="nil"/>
        </w:pBdr>
        <w:ind w:left="567" w:right="567"/>
        <w:contextualSpacing/>
        <w:rPr>
          <w:i/>
        </w:rPr>
      </w:pPr>
      <w:r w:rsidRPr="00D14C05">
        <w:rPr>
          <w:i/>
        </w:rPr>
        <w:t>III. Los resultados de la gestión financiera;</w:t>
      </w:r>
    </w:p>
    <w:p w14:paraId="798C48D0" w14:textId="119E3702" w:rsidR="00337239" w:rsidRPr="00D14C05" w:rsidRDefault="00337239" w:rsidP="00337239">
      <w:pPr>
        <w:pBdr>
          <w:top w:val="nil"/>
          <w:left w:val="nil"/>
          <w:bottom w:val="nil"/>
          <w:right w:val="nil"/>
          <w:between w:val="nil"/>
        </w:pBdr>
        <w:ind w:left="567" w:right="567"/>
        <w:contextualSpacing/>
        <w:rPr>
          <w:i/>
        </w:rPr>
      </w:pPr>
      <w:r w:rsidRPr="00D14C05">
        <w:rPr>
          <w:i/>
        </w:rPr>
        <w:t>IV. La comprobación de que las entidades fiscalizadas, se ajustaron a lo dispuesto en las respectivas leyes de ingresos, presupuestos de egresos y en las demás normas aplicables en la materia;</w:t>
      </w:r>
    </w:p>
    <w:p w14:paraId="15D2411C" w14:textId="77777777" w:rsidR="00337239" w:rsidRPr="00D14C05" w:rsidRDefault="00337239" w:rsidP="00337239">
      <w:pPr>
        <w:pBdr>
          <w:top w:val="nil"/>
          <w:left w:val="nil"/>
          <w:bottom w:val="nil"/>
          <w:right w:val="nil"/>
          <w:between w:val="nil"/>
        </w:pBdr>
        <w:ind w:left="567" w:right="567"/>
        <w:contextualSpacing/>
        <w:rPr>
          <w:i/>
        </w:rPr>
      </w:pPr>
      <w:r w:rsidRPr="00D14C05">
        <w:rPr>
          <w:i/>
        </w:rPr>
        <w:t>V. En su caso, el análisis de las desviaciones presupuestales;</w:t>
      </w:r>
    </w:p>
    <w:p w14:paraId="3E18983A" w14:textId="77777777" w:rsidR="00337239" w:rsidRPr="00D14C05" w:rsidRDefault="00337239" w:rsidP="00337239">
      <w:pPr>
        <w:pBdr>
          <w:top w:val="nil"/>
          <w:left w:val="nil"/>
          <w:bottom w:val="nil"/>
          <w:right w:val="nil"/>
          <w:between w:val="nil"/>
        </w:pBdr>
        <w:ind w:left="567" w:right="567"/>
        <w:contextualSpacing/>
        <w:rPr>
          <w:i/>
        </w:rPr>
      </w:pPr>
      <w:r w:rsidRPr="00D14C05">
        <w:rPr>
          <w:i/>
        </w:rPr>
        <w:t>VI. Los comentarios de los auditados;</w:t>
      </w:r>
    </w:p>
    <w:p w14:paraId="5094C6BB" w14:textId="77777777" w:rsidR="00337239" w:rsidRPr="00D14C05" w:rsidRDefault="00337239" w:rsidP="00337239">
      <w:pPr>
        <w:pBdr>
          <w:top w:val="nil"/>
          <w:left w:val="nil"/>
          <w:bottom w:val="nil"/>
          <w:right w:val="nil"/>
          <w:between w:val="nil"/>
        </w:pBdr>
        <w:ind w:left="567" w:right="567"/>
        <w:contextualSpacing/>
        <w:rPr>
          <w:i/>
        </w:rPr>
      </w:pPr>
      <w:r w:rsidRPr="00D14C05">
        <w:rPr>
          <w:i/>
        </w:rPr>
        <w:t>VII. Las irregularidades que se detecten en el uso y manejo de los recursos; y</w:t>
      </w:r>
    </w:p>
    <w:p w14:paraId="7698CFB8" w14:textId="77777777" w:rsidR="00337239" w:rsidRPr="00D14C05" w:rsidRDefault="00337239" w:rsidP="00337239">
      <w:pPr>
        <w:pBdr>
          <w:top w:val="nil"/>
          <w:left w:val="nil"/>
          <w:bottom w:val="nil"/>
          <w:right w:val="nil"/>
          <w:between w:val="nil"/>
        </w:pBdr>
        <w:ind w:left="567" w:right="567"/>
        <w:contextualSpacing/>
        <w:rPr>
          <w:b/>
          <w:i/>
          <w:u w:val="single"/>
        </w:rPr>
      </w:pPr>
      <w:r w:rsidRPr="00D14C05">
        <w:rPr>
          <w:b/>
          <w:i/>
          <w:u w:val="single"/>
        </w:rPr>
        <w:t>VIII. Las observaciones y recomendaciones que se deriven de la revisión.</w:t>
      </w:r>
    </w:p>
    <w:p w14:paraId="67BA8B7D" w14:textId="77777777" w:rsidR="00337239" w:rsidRPr="00D14C05" w:rsidRDefault="00337239" w:rsidP="00337239">
      <w:pPr>
        <w:pBdr>
          <w:top w:val="nil"/>
          <w:left w:val="nil"/>
          <w:bottom w:val="nil"/>
          <w:right w:val="nil"/>
          <w:between w:val="nil"/>
        </w:pBdr>
        <w:ind w:left="567" w:right="567"/>
        <w:contextualSpacing/>
        <w:rPr>
          <w:i/>
        </w:rPr>
      </w:pPr>
    </w:p>
    <w:p w14:paraId="3FDE15BD" w14:textId="5CFA4775" w:rsidR="00337239" w:rsidRPr="00D14C05" w:rsidRDefault="00337239" w:rsidP="00337239">
      <w:pPr>
        <w:pBdr>
          <w:top w:val="nil"/>
          <w:left w:val="nil"/>
          <w:bottom w:val="nil"/>
          <w:right w:val="nil"/>
          <w:between w:val="nil"/>
        </w:pBdr>
        <w:ind w:left="567" w:right="567"/>
        <w:contextualSpacing/>
        <w:rPr>
          <w:i/>
        </w:rPr>
      </w:pPr>
      <w:r w:rsidRPr="00D14C05">
        <w:rPr>
          <w:i/>
        </w:rPr>
        <w:t xml:space="preserve">Para el caso de las revisiones contemporáneas, el Órgano Superior deberá informar a la Comisión sobre los resultados obtenidos de las mismas, en un plazo no mayor a </w:t>
      </w:r>
      <w:r w:rsidRPr="00D14C05">
        <w:rPr>
          <w:i/>
        </w:rPr>
        <w:lastRenderedPageBreak/>
        <w:t>noventa días hábiles, contados a partir del día hábil siguiente a aquél en que reciba la solicitud.</w:t>
      </w:r>
    </w:p>
    <w:p w14:paraId="5CE6A8E0" w14:textId="21A4D3F8" w:rsidR="00337239" w:rsidRPr="00D14C05" w:rsidRDefault="00337239" w:rsidP="00337239">
      <w:pPr>
        <w:pBdr>
          <w:top w:val="nil"/>
          <w:left w:val="nil"/>
          <w:bottom w:val="nil"/>
          <w:right w:val="nil"/>
          <w:between w:val="nil"/>
        </w:pBdr>
        <w:ind w:left="567" w:right="567"/>
        <w:contextualSpacing/>
        <w:rPr>
          <w:i/>
        </w:rPr>
      </w:pPr>
      <w:r w:rsidRPr="00D14C05">
        <w:rPr>
          <w:i/>
        </w:rPr>
        <w:t>El informe de resultados deberá elaborarse considerando los principios de contabilidad gubernamental y las disposiciones legales aplicables.</w:t>
      </w:r>
    </w:p>
    <w:p w14:paraId="56ABE674" w14:textId="77777777" w:rsidR="00337239" w:rsidRPr="00D14C05" w:rsidRDefault="00337239" w:rsidP="00337239">
      <w:pPr>
        <w:pBdr>
          <w:top w:val="nil"/>
          <w:left w:val="nil"/>
          <w:bottom w:val="nil"/>
          <w:right w:val="nil"/>
          <w:between w:val="nil"/>
        </w:pBdr>
        <w:ind w:left="567" w:right="567"/>
        <w:contextualSpacing/>
        <w:rPr>
          <w:i/>
        </w:rPr>
      </w:pPr>
    </w:p>
    <w:p w14:paraId="6F0894B0" w14:textId="430863A1" w:rsidR="00337239" w:rsidRPr="00D14C05" w:rsidRDefault="00337239" w:rsidP="00337239">
      <w:pPr>
        <w:pBdr>
          <w:top w:val="nil"/>
          <w:left w:val="nil"/>
          <w:bottom w:val="nil"/>
          <w:right w:val="nil"/>
          <w:between w:val="nil"/>
        </w:pBdr>
        <w:ind w:left="567" w:right="567"/>
        <w:contextualSpacing/>
        <w:rPr>
          <w:i/>
        </w:rPr>
      </w:pPr>
      <w:r w:rsidRPr="00D14C05">
        <w:rPr>
          <w:b/>
          <w:i/>
        </w:rPr>
        <w:t>Artículo 53.-</w:t>
      </w:r>
      <w:r w:rsidRPr="00D14C05">
        <w:rPr>
          <w:i/>
        </w:rPr>
        <w:t xml:space="preserve"> </w:t>
      </w:r>
      <w:r w:rsidRPr="00D14C05">
        <w:rPr>
          <w:b/>
          <w:i/>
          <w:u w:val="single"/>
        </w:rPr>
        <w:t>Si del ejercicio de las atribuciones de fiscalización del Órgano Superior, se detecta alguna probable irregularidad procederá a emitir las observaciones siguientes:</w:t>
      </w:r>
    </w:p>
    <w:p w14:paraId="426FEEFA" w14:textId="77777777" w:rsidR="00337239" w:rsidRPr="00D14C05" w:rsidRDefault="00337239" w:rsidP="00337239">
      <w:pPr>
        <w:pBdr>
          <w:top w:val="nil"/>
          <w:left w:val="nil"/>
          <w:bottom w:val="nil"/>
          <w:right w:val="nil"/>
          <w:between w:val="nil"/>
        </w:pBdr>
        <w:ind w:left="567" w:right="567"/>
        <w:contextualSpacing/>
        <w:rPr>
          <w:i/>
        </w:rPr>
      </w:pPr>
    </w:p>
    <w:p w14:paraId="567FDE21" w14:textId="162912AB" w:rsidR="00337239" w:rsidRPr="00D14C05" w:rsidRDefault="00337239" w:rsidP="00337239">
      <w:pPr>
        <w:pBdr>
          <w:top w:val="nil"/>
          <w:left w:val="nil"/>
          <w:bottom w:val="nil"/>
          <w:right w:val="nil"/>
          <w:between w:val="nil"/>
        </w:pBdr>
        <w:ind w:left="567" w:right="567"/>
        <w:contextualSpacing/>
        <w:rPr>
          <w:i/>
        </w:rPr>
      </w:pPr>
      <w:r w:rsidRPr="00D14C05">
        <w:rPr>
          <w:b/>
          <w:i/>
          <w:u w:val="single"/>
        </w:rPr>
        <w:t>I. Acciones y previsiones</w:t>
      </w:r>
      <w:r w:rsidRPr="00D14C05">
        <w:rPr>
          <w:i/>
        </w:rPr>
        <w:t>, incluidas solicitudes de aclaración, pliegos de observaciones, informes de presunta responsabilidad administrativa, promociones del ejercicio de la</w:t>
      </w:r>
      <w:r w:rsidRPr="00D14C05">
        <w:t xml:space="preserve"> </w:t>
      </w:r>
      <w:r w:rsidRPr="00D14C05">
        <w:rPr>
          <w:i/>
        </w:rPr>
        <w:t>facultad de comprobación fiscal, promociones de responsabilidad administrativa sancionatoria, denuncias de hechos ante la Fiscalía General de Justicia del Estado de México y denuncias de juicio político; atendiendo a los principios del debido proceso, así como a la Ley General de Responsabilidades Administrativas y la Ley de Responsabilidades Administrativas del Estado de México; y</w:t>
      </w:r>
    </w:p>
    <w:p w14:paraId="40BDEAA2" w14:textId="77777777" w:rsidR="00337239" w:rsidRPr="00D14C05" w:rsidRDefault="00337239" w:rsidP="00337239">
      <w:pPr>
        <w:pBdr>
          <w:top w:val="nil"/>
          <w:left w:val="nil"/>
          <w:bottom w:val="nil"/>
          <w:right w:val="nil"/>
          <w:between w:val="nil"/>
        </w:pBdr>
        <w:ind w:left="567" w:right="567"/>
        <w:contextualSpacing/>
        <w:rPr>
          <w:i/>
        </w:rPr>
      </w:pPr>
    </w:p>
    <w:p w14:paraId="0279840A" w14:textId="77777777" w:rsidR="00337239" w:rsidRPr="00D14C05" w:rsidRDefault="00337239" w:rsidP="00337239">
      <w:pPr>
        <w:pBdr>
          <w:top w:val="nil"/>
          <w:left w:val="nil"/>
          <w:bottom w:val="nil"/>
          <w:right w:val="nil"/>
          <w:between w:val="nil"/>
        </w:pBdr>
        <w:ind w:left="567" w:right="567"/>
        <w:contextualSpacing/>
        <w:rPr>
          <w:i/>
        </w:rPr>
      </w:pPr>
      <w:r w:rsidRPr="00D14C05">
        <w:rPr>
          <w:i/>
        </w:rPr>
        <w:t>II. Recomendaciones.</w:t>
      </w:r>
    </w:p>
    <w:p w14:paraId="53CFF55B" w14:textId="77777777" w:rsidR="00337239" w:rsidRPr="00D14C05" w:rsidRDefault="00337239" w:rsidP="00337239">
      <w:pPr>
        <w:pBdr>
          <w:top w:val="nil"/>
          <w:left w:val="nil"/>
          <w:bottom w:val="nil"/>
          <w:right w:val="nil"/>
          <w:between w:val="nil"/>
        </w:pBdr>
        <w:ind w:left="567" w:right="567"/>
        <w:contextualSpacing/>
        <w:rPr>
          <w:i/>
        </w:rPr>
      </w:pPr>
    </w:p>
    <w:p w14:paraId="733413B7" w14:textId="17849189" w:rsidR="00337239" w:rsidRPr="00D14C05" w:rsidRDefault="00337239" w:rsidP="00337239">
      <w:pPr>
        <w:pBdr>
          <w:top w:val="nil"/>
          <w:left w:val="nil"/>
          <w:bottom w:val="nil"/>
          <w:right w:val="nil"/>
          <w:between w:val="nil"/>
        </w:pBdr>
        <w:ind w:left="567" w:right="567"/>
        <w:contextualSpacing/>
        <w:rPr>
          <w:i/>
        </w:rPr>
      </w:pPr>
      <w:r w:rsidRPr="00D14C05">
        <w:rPr>
          <w:b/>
          <w:i/>
        </w:rPr>
        <w:t>Artículo 53 Bis.-</w:t>
      </w:r>
      <w:r w:rsidRPr="00D14C05">
        <w:rPr>
          <w:i/>
        </w:rPr>
        <w:t xml:space="preserve"> El Órgano Superior, previo a la presentación del Informe de Resultados, entregará a las entidades fiscalizadas los resultados preliminares que se deriven de la fiscalización de la Cuenta Pública, a efecto de que dichas entidades </w:t>
      </w:r>
      <w:r w:rsidRPr="00D14C05">
        <w:rPr>
          <w:i/>
        </w:rPr>
        <w:lastRenderedPageBreak/>
        <w:t>presenten, en un plazo no mayor a cinco días hábiles, las justificaciones y aclaraciones que correspondan.</w:t>
      </w:r>
    </w:p>
    <w:p w14:paraId="1D140480" w14:textId="77777777" w:rsidR="00337239" w:rsidRPr="00D14C05" w:rsidRDefault="00337239" w:rsidP="00337239">
      <w:pPr>
        <w:pBdr>
          <w:top w:val="nil"/>
          <w:left w:val="nil"/>
          <w:bottom w:val="nil"/>
          <w:right w:val="nil"/>
          <w:between w:val="nil"/>
        </w:pBdr>
        <w:ind w:left="567" w:right="567"/>
        <w:contextualSpacing/>
        <w:rPr>
          <w:i/>
        </w:rPr>
      </w:pPr>
    </w:p>
    <w:p w14:paraId="34F2A895" w14:textId="6C086D28" w:rsidR="00337239" w:rsidRPr="00D14C05" w:rsidRDefault="00337239" w:rsidP="00337239">
      <w:pPr>
        <w:pBdr>
          <w:top w:val="nil"/>
          <w:left w:val="nil"/>
          <w:bottom w:val="nil"/>
          <w:right w:val="nil"/>
          <w:between w:val="nil"/>
        </w:pBdr>
        <w:ind w:left="567" w:right="567"/>
        <w:contextualSpacing/>
        <w:rPr>
          <w:i/>
        </w:rPr>
      </w:pPr>
      <w:r w:rsidRPr="00D14C05">
        <w:rPr>
          <w:i/>
        </w:rPr>
        <w:t>Una vez que el Órgano Superior valore las justificaciones, aclaraciones y demás información a que hace referencia el párrafo anterior, en un plazo máximo de 10 días hábiles posteriores, podrá determinar la procedencia de eliminar, rectificar o ratificar las observaciones preliminares, para efectos de la emisión de los resultados finales.</w:t>
      </w:r>
    </w:p>
    <w:p w14:paraId="1A507E8F" w14:textId="77777777" w:rsidR="00337239" w:rsidRPr="00D14C05" w:rsidRDefault="00337239" w:rsidP="00337239">
      <w:pPr>
        <w:pBdr>
          <w:top w:val="nil"/>
          <w:left w:val="nil"/>
          <w:bottom w:val="nil"/>
          <w:right w:val="nil"/>
          <w:between w:val="nil"/>
        </w:pBdr>
        <w:ind w:left="567" w:right="567"/>
        <w:contextualSpacing/>
        <w:rPr>
          <w:i/>
        </w:rPr>
      </w:pPr>
    </w:p>
    <w:p w14:paraId="38608E8C" w14:textId="6F56C3FA" w:rsidR="001D78C5" w:rsidRPr="00D14C05" w:rsidRDefault="00337239" w:rsidP="00337239">
      <w:pPr>
        <w:pBdr>
          <w:top w:val="nil"/>
          <w:left w:val="nil"/>
          <w:bottom w:val="nil"/>
          <w:right w:val="nil"/>
          <w:between w:val="nil"/>
        </w:pBdr>
        <w:ind w:left="567" w:right="567"/>
        <w:contextualSpacing/>
        <w:rPr>
          <w:rFonts w:eastAsia="Palatino Linotype" w:cs="Palatino Linotype"/>
          <w:bCs/>
          <w:color w:val="000000"/>
          <w:lang w:val="es-MX"/>
        </w:rPr>
      </w:pPr>
      <w:r w:rsidRPr="00D14C05">
        <w:rPr>
          <w:i/>
        </w:rPr>
        <w:t>Posterior a la entrega de los resultados finales, el Órgano Superior contará con treinta días hábiles a efecto de notificar a las entidades fiscalizadas el informe de auditoría.</w:t>
      </w:r>
    </w:p>
    <w:p w14:paraId="02FA3F83" w14:textId="77777777" w:rsidR="001D78C5" w:rsidRPr="00D14C05" w:rsidRDefault="001D78C5" w:rsidP="00337239">
      <w:pPr>
        <w:pBdr>
          <w:top w:val="nil"/>
          <w:left w:val="nil"/>
          <w:bottom w:val="nil"/>
          <w:right w:val="nil"/>
          <w:between w:val="nil"/>
        </w:pBdr>
        <w:contextualSpacing/>
        <w:rPr>
          <w:rFonts w:eastAsia="Palatino Linotype" w:cs="Palatino Linotype"/>
          <w:bCs/>
          <w:color w:val="000000"/>
          <w:lang w:val="es-MX"/>
        </w:rPr>
      </w:pPr>
    </w:p>
    <w:p w14:paraId="0CA43EFA" w14:textId="63B269E3" w:rsidR="00337239" w:rsidRPr="00D14C05" w:rsidRDefault="00337239"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De la interpretación de los artículos en cita, se desprende que una vez realizada la revisión del OSFEM a las entidades fiscalizables, este genera un informe de resultados, que es el documento que contiene el resultado de la fiscalización de las cuentas pública que el OSFEM presenta a la Legislatura, por medio de la Comisión de vigilancia de la Legislatura del Estado; que dicho informe tiene el carácter de público y en el que deberán estar contenidas entre otros elementos, las observaciones y recomendaciones que se deriven de la revisión; dichas observaciones y recomendaciones son las que se producen cuando se detecta alguna probable irregularidad durante la revisión llevada a cabo en ejercicio de las facultades de fiscalización.</w:t>
      </w:r>
    </w:p>
    <w:p w14:paraId="4E951CEE" w14:textId="77777777" w:rsidR="00337239" w:rsidRPr="00D14C05" w:rsidRDefault="00337239" w:rsidP="00337239">
      <w:pPr>
        <w:pBdr>
          <w:top w:val="nil"/>
          <w:left w:val="nil"/>
          <w:bottom w:val="nil"/>
          <w:right w:val="nil"/>
          <w:between w:val="nil"/>
        </w:pBdr>
        <w:contextualSpacing/>
        <w:rPr>
          <w:rFonts w:eastAsia="Palatino Linotype" w:cs="Palatino Linotype"/>
          <w:bCs/>
          <w:color w:val="000000"/>
          <w:lang w:val="es-MX"/>
        </w:rPr>
      </w:pPr>
    </w:p>
    <w:p w14:paraId="4983ACC7" w14:textId="77777777" w:rsidR="00337239" w:rsidRPr="00D14C05" w:rsidRDefault="00337239" w:rsidP="00337239">
      <w:pPr>
        <w:pBdr>
          <w:top w:val="nil"/>
          <w:left w:val="nil"/>
          <w:bottom w:val="nil"/>
          <w:right w:val="nil"/>
          <w:between w:val="nil"/>
        </w:pBdr>
        <w:contextualSpacing/>
        <w:rPr>
          <w:rFonts w:eastAsia="Palatino Linotype" w:cs="Palatino Linotype"/>
          <w:bCs/>
          <w:color w:val="000000"/>
          <w:lang w:val="es-MX"/>
        </w:rPr>
      </w:pPr>
    </w:p>
    <w:p w14:paraId="451692C6" w14:textId="17963DFC" w:rsidR="001D78C5" w:rsidRPr="00D14C05" w:rsidRDefault="001D78C5"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lastRenderedPageBreak/>
        <w:t>Aunado a lo anterior, también es necesario traer a colación lo establecido en la Ley de Bienes del Estado de México y sus Municipios, porción normativa que dispone a la literalidad lo siguiente:</w:t>
      </w:r>
    </w:p>
    <w:p w14:paraId="5B8831B9" w14:textId="77777777" w:rsidR="00337239" w:rsidRPr="00D14C05" w:rsidRDefault="00337239" w:rsidP="00337239">
      <w:pPr>
        <w:pBdr>
          <w:top w:val="nil"/>
          <w:left w:val="nil"/>
          <w:bottom w:val="nil"/>
          <w:right w:val="nil"/>
          <w:between w:val="nil"/>
        </w:pBdr>
        <w:contextualSpacing/>
        <w:rPr>
          <w:rFonts w:eastAsia="Palatino Linotype" w:cs="Palatino Linotype"/>
          <w:bCs/>
          <w:color w:val="000000"/>
          <w:lang w:val="es-MX"/>
        </w:rPr>
      </w:pPr>
    </w:p>
    <w:p w14:paraId="6CF4D8E2" w14:textId="77777777" w:rsidR="001D78C5" w:rsidRPr="00D14C05" w:rsidRDefault="001D78C5" w:rsidP="00337239">
      <w:pPr>
        <w:pStyle w:val="Citas"/>
        <w:spacing w:before="0" w:after="0"/>
        <w:jc w:val="center"/>
        <w:rPr>
          <w:b/>
          <w:bCs/>
          <w:i w:val="0"/>
          <w:iCs/>
          <w:sz w:val="24"/>
          <w:szCs w:val="24"/>
        </w:rPr>
      </w:pPr>
      <w:r w:rsidRPr="00D14C05">
        <w:rPr>
          <w:b/>
          <w:bCs/>
          <w:i w:val="0"/>
          <w:iCs/>
          <w:sz w:val="24"/>
          <w:szCs w:val="24"/>
        </w:rPr>
        <w:t>LEY DE BIENES DEL ESTADO DE MÉXICO Y DE SUS MUNICIPIOS</w:t>
      </w:r>
    </w:p>
    <w:p w14:paraId="0831509D" w14:textId="77777777" w:rsidR="001D78C5" w:rsidRPr="00D14C05" w:rsidRDefault="001D78C5" w:rsidP="00337239">
      <w:pPr>
        <w:ind w:left="851" w:right="851"/>
        <w:rPr>
          <w:rFonts w:cs="Arial"/>
          <w:b/>
          <w:bCs/>
          <w:i/>
          <w:iCs/>
          <w:lang w:eastAsia="es-ES"/>
        </w:rPr>
      </w:pPr>
      <w:r w:rsidRPr="00D14C05">
        <w:t>“</w:t>
      </w:r>
      <w:r w:rsidRPr="00D14C05">
        <w:rPr>
          <w:rFonts w:cs="Arial"/>
          <w:b/>
          <w:bCs/>
          <w:i/>
          <w:iCs/>
          <w:lang w:eastAsia="es-ES"/>
        </w:rPr>
        <w:t xml:space="preserve">Artículo 5.- </w:t>
      </w:r>
      <w:r w:rsidRPr="00D14C05">
        <w:rPr>
          <w:rFonts w:cs="Arial"/>
          <w:i/>
          <w:iCs/>
          <w:lang w:eastAsia="es-ES"/>
        </w:rPr>
        <w:t>Corresponde al Ejecutivo del Estado por conducto de la Secretaría de Finanzas y a los ayuntamientos</w:t>
      </w:r>
      <w:r w:rsidRPr="00D14C05">
        <w:rPr>
          <w:rFonts w:cs="Arial"/>
          <w:b/>
          <w:bCs/>
          <w:i/>
          <w:iCs/>
          <w:lang w:eastAsia="es-ES"/>
        </w:rPr>
        <w:t>:</w:t>
      </w:r>
    </w:p>
    <w:p w14:paraId="66EE49E9" w14:textId="77777777" w:rsidR="001D78C5" w:rsidRPr="00D14C05" w:rsidRDefault="001D78C5" w:rsidP="00337239">
      <w:pPr>
        <w:ind w:left="851" w:right="851"/>
        <w:rPr>
          <w:rFonts w:cs="Arial"/>
          <w:b/>
          <w:bCs/>
          <w:i/>
          <w:iCs/>
          <w:lang w:eastAsia="es-ES"/>
        </w:rPr>
      </w:pPr>
      <w:r w:rsidRPr="00D14C05">
        <w:rPr>
          <w:rFonts w:cs="Arial"/>
          <w:b/>
          <w:bCs/>
          <w:i/>
          <w:iCs/>
          <w:lang w:eastAsia="es-ES"/>
        </w:rPr>
        <w:t>(…)</w:t>
      </w:r>
    </w:p>
    <w:p w14:paraId="5E96564B" w14:textId="77777777" w:rsidR="001D78C5" w:rsidRPr="00D14C05" w:rsidRDefault="001D78C5" w:rsidP="00337239">
      <w:pPr>
        <w:ind w:left="851" w:right="851"/>
        <w:rPr>
          <w:rFonts w:cs="Arial"/>
          <w:b/>
          <w:bCs/>
          <w:i/>
          <w:iCs/>
          <w:lang w:eastAsia="es-ES"/>
        </w:rPr>
      </w:pPr>
      <w:r w:rsidRPr="00D14C05">
        <w:rPr>
          <w:rFonts w:cs="Arial"/>
          <w:b/>
          <w:bCs/>
          <w:i/>
          <w:iCs/>
          <w:lang w:eastAsia="es-ES"/>
        </w:rPr>
        <w:t>XIII. Llevar el Registro Administrativo de la Propiedad Pública Estatal o Municipal, respectivamente;</w:t>
      </w:r>
    </w:p>
    <w:p w14:paraId="4879759B" w14:textId="77777777" w:rsidR="001D78C5" w:rsidRPr="00D14C05" w:rsidRDefault="001D78C5" w:rsidP="00337239">
      <w:pPr>
        <w:pStyle w:val="Citas"/>
        <w:spacing w:before="0" w:after="0"/>
      </w:pPr>
      <w:r w:rsidRPr="00D14C05">
        <w:t>(…)</w:t>
      </w:r>
    </w:p>
    <w:p w14:paraId="76A18689" w14:textId="77777777" w:rsidR="001D78C5" w:rsidRPr="00D14C05" w:rsidRDefault="001D78C5" w:rsidP="00337239">
      <w:pPr>
        <w:pStyle w:val="Citas"/>
        <w:spacing w:before="0" w:after="0"/>
      </w:pPr>
      <w:r w:rsidRPr="00D14C05">
        <w:t xml:space="preserve">Artículo 22.- </w:t>
      </w:r>
      <w:r w:rsidRPr="00D14C05">
        <w:rPr>
          <w:b/>
          <w:bCs/>
          <w:u w:val="single"/>
        </w:rPr>
        <w:t>Los bienes del dominio público son</w:t>
      </w:r>
      <w:r w:rsidRPr="00D14C05">
        <w:t xml:space="preserve"> inalienables, imprescriptibles, </w:t>
      </w:r>
      <w:r w:rsidRPr="00D14C05">
        <w:rPr>
          <w:b/>
          <w:bCs/>
          <w:u w:val="single"/>
        </w:rPr>
        <w:t>inembargables</w:t>
      </w:r>
      <w:r w:rsidRPr="00D14C05">
        <w:t xml:space="preserve"> y no estarán sujetos a gravamen o afectación de dominio alguno, acción reivindicatoria o de posesión definitiva o provisional, mientras no se pierda este carácter. Los órganos de gobierno y los particulares sólo podrán adquirir sobre el uso, aprovechamiento y explotación de estos bienes, los derechos que la ley establezca.</w:t>
      </w:r>
    </w:p>
    <w:p w14:paraId="2DB31DB2" w14:textId="77777777" w:rsidR="001D78C5" w:rsidRPr="00D14C05" w:rsidRDefault="001D78C5" w:rsidP="00337239">
      <w:pPr>
        <w:pStyle w:val="Citas"/>
        <w:spacing w:before="0" w:after="0"/>
      </w:pPr>
      <w:r w:rsidRPr="00D14C05">
        <w:t xml:space="preserve">Los aprovechamientos accidentales o accesorios compatibles con la naturaleza de estos bienes, como la venta de frutos, materiales o desperdicios o la autorización de los usos a que se refiere el artículo 24 de esta ley, se regirán por las disposiciones de derecho privado Artículo 29.- Los inmuebles del dominio privado del Estado y municipios son inembargables e Imprescriptibles </w:t>
      </w:r>
    </w:p>
    <w:p w14:paraId="4B870D1B" w14:textId="77777777" w:rsidR="001D78C5" w:rsidRPr="00D14C05" w:rsidRDefault="001D78C5" w:rsidP="00337239">
      <w:pPr>
        <w:pStyle w:val="Citas"/>
        <w:spacing w:before="0" w:after="0"/>
      </w:pPr>
      <w:r w:rsidRPr="00D14C05">
        <w:t xml:space="preserve">Artículo 28.- Los bienes del dominio privado estarán sujetos a las disposiciones de esta ley y serán utilizados al servicio de los poderes del Estado y los municipios para el </w:t>
      </w:r>
      <w:r w:rsidRPr="00D14C05">
        <w:lastRenderedPageBreak/>
        <w:t>desarrollo de sus actividades, en tanto no se declaren bienes de uso común o se destinen a un servicio público.</w:t>
      </w:r>
    </w:p>
    <w:p w14:paraId="170E9DAD" w14:textId="77777777" w:rsidR="001D78C5" w:rsidRPr="00D14C05" w:rsidRDefault="001D78C5" w:rsidP="00337239">
      <w:pPr>
        <w:pStyle w:val="Citas"/>
        <w:spacing w:before="0" w:after="0"/>
      </w:pPr>
      <w:r w:rsidRPr="00D14C05">
        <w:t xml:space="preserve">Artículo 29.- </w:t>
      </w:r>
      <w:r w:rsidRPr="00D14C05">
        <w:rPr>
          <w:b/>
          <w:bCs/>
          <w:u w:val="single"/>
        </w:rPr>
        <w:t>Los inmuebles del dominio privado del Estado y municipios son inembargables</w:t>
      </w:r>
      <w:r w:rsidRPr="00D14C05">
        <w:t xml:space="preserve"> e imprescriptibles.</w:t>
      </w:r>
    </w:p>
    <w:p w14:paraId="26C3B9A9" w14:textId="77777777" w:rsidR="001D78C5" w:rsidRPr="00D14C05" w:rsidRDefault="001D78C5" w:rsidP="00337239">
      <w:pPr>
        <w:pStyle w:val="Citas"/>
        <w:spacing w:before="0" w:after="0"/>
      </w:pPr>
      <w:r w:rsidRPr="00D14C05">
        <w:t xml:space="preserve">Artículo 30.- </w:t>
      </w:r>
      <w:r w:rsidRPr="00D14C05">
        <w:rPr>
          <w:b/>
          <w:bCs/>
          <w:u w:val="single"/>
        </w:rPr>
        <w:t>Los muebles del dominio privado del Estado y de los municipios son embargables</w:t>
      </w:r>
      <w:r w:rsidRPr="00D14C05">
        <w:t xml:space="preserve"> y prescriptibles en términos del Código Civil del Estado de México, pero tratándose de la prescripción se duplicarán los plazos para que ésta opere.</w:t>
      </w:r>
    </w:p>
    <w:p w14:paraId="3DB64AA2" w14:textId="77777777" w:rsidR="001D78C5" w:rsidRPr="00D14C05" w:rsidRDefault="001D78C5" w:rsidP="00337239">
      <w:pPr>
        <w:pStyle w:val="Citas"/>
        <w:spacing w:before="0" w:after="0"/>
        <w:rPr>
          <w:iCs/>
          <w:lang w:eastAsia="es-ES"/>
        </w:rPr>
      </w:pPr>
      <w:r w:rsidRPr="00D14C05">
        <w:rPr>
          <w:b/>
          <w:bCs/>
          <w:iCs/>
          <w:lang w:eastAsia="es-ES"/>
        </w:rPr>
        <w:t>Artículo 62.-</w:t>
      </w:r>
      <w:r w:rsidRPr="00D14C05">
        <w:rPr>
          <w:iCs/>
          <w:lang w:eastAsia="es-ES"/>
        </w:rPr>
        <w:t xml:space="preserve"> El Ejecutivo del Estado por conducto de la Secretaría de Finanzas y </w:t>
      </w:r>
      <w:bookmarkStart w:id="1" w:name="_Hlk81588465"/>
      <w:r w:rsidRPr="00D14C05">
        <w:rPr>
          <w:b/>
          <w:bCs/>
          <w:iCs/>
          <w:lang w:eastAsia="es-ES"/>
        </w:rPr>
        <w:t>los ayuntamientos, llevarán un registro de la propiedad de bienes del dominio público y del dominio privado que se denominará Registro Administrativo de la propiedad Pública Estatal o Municipal</w:t>
      </w:r>
      <w:bookmarkEnd w:id="1"/>
      <w:r w:rsidRPr="00D14C05">
        <w:rPr>
          <w:iCs/>
          <w:lang w:eastAsia="es-ES"/>
        </w:rPr>
        <w:t xml:space="preserve"> según corresponda. </w:t>
      </w:r>
    </w:p>
    <w:p w14:paraId="1559F236" w14:textId="77777777" w:rsidR="001D78C5" w:rsidRPr="00D14C05" w:rsidRDefault="001D78C5" w:rsidP="00337239">
      <w:pPr>
        <w:pStyle w:val="Citas"/>
        <w:spacing w:before="0" w:after="0"/>
        <w:rPr>
          <w:iCs/>
          <w:lang w:eastAsia="es-ES"/>
        </w:rPr>
      </w:pPr>
      <w:r w:rsidRPr="00D14C05">
        <w:rPr>
          <w:iCs/>
          <w:lang w:eastAsia="es-ES"/>
        </w:rPr>
        <w:t xml:space="preserve">Artículo 63.- En el Registro Administrativo de la Propiedad Pública Estatal o Municipal, según corresponda, se inscribirán: </w:t>
      </w:r>
    </w:p>
    <w:p w14:paraId="36ADAE6D" w14:textId="77777777" w:rsidR="001D78C5" w:rsidRPr="00D14C05" w:rsidRDefault="001D78C5" w:rsidP="00337239">
      <w:pPr>
        <w:pStyle w:val="Citas"/>
        <w:spacing w:before="0" w:after="0"/>
        <w:rPr>
          <w:iCs/>
          <w:lang w:eastAsia="es-ES"/>
        </w:rPr>
      </w:pPr>
      <w:r w:rsidRPr="00D14C05">
        <w:rPr>
          <w:iCs/>
          <w:lang w:eastAsia="es-ES"/>
        </w:rPr>
        <w:t xml:space="preserve">I. </w:t>
      </w:r>
      <w:bookmarkStart w:id="2" w:name="_Hlk81587312"/>
      <w:r w:rsidRPr="00D14C05">
        <w:rPr>
          <w:iCs/>
          <w:lang w:eastAsia="es-ES"/>
        </w:rPr>
        <w:t>Los títulos y documentos por los cuales se adquiera, transmita, grave, modifique, afecte o extinga el dominio o la posesión y los demás derechos reales sobe los bienes inmuebles del Estado o de los municipios</w:t>
      </w:r>
      <w:bookmarkEnd w:id="2"/>
      <w:r w:rsidRPr="00D14C05">
        <w:rPr>
          <w:iCs/>
          <w:lang w:eastAsia="es-ES"/>
        </w:rPr>
        <w:t xml:space="preserve">; </w:t>
      </w:r>
    </w:p>
    <w:p w14:paraId="400956E7" w14:textId="77777777" w:rsidR="001D78C5" w:rsidRPr="00D14C05" w:rsidRDefault="001D78C5" w:rsidP="00337239">
      <w:pPr>
        <w:pStyle w:val="Citas"/>
        <w:spacing w:before="0" w:after="0"/>
        <w:rPr>
          <w:iCs/>
          <w:lang w:eastAsia="es-ES"/>
        </w:rPr>
      </w:pPr>
      <w:r w:rsidRPr="00D14C05">
        <w:rPr>
          <w:iCs/>
          <w:lang w:eastAsia="es-ES"/>
        </w:rPr>
        <w:t xml:space="preserve">II. Los decretos por los que se determine la expropiación de bienes cuando éstos se incorporen al dominio público del Estado o de los municipios; </w:t>
      </w:r>
    </w:p>
    <w:p w14:paraId="4157A473" w14:textId="77777777" w:rsidR="001D78C5" w:rsidRPr="00D14C05" w:rsidRDefault="001D78C5" w:rsidP="00337239">
      <w:pPr>
        <w:pStyle w:val="Citas"/>
        <w:spacing w:before="0" w:after="0"/>
        <w:rPr>
          <w:iCs/>
          <w:lang w:eastAsia="es-ES"/>
        </w:rPr>
      </w:pPr>
      <w:r w:rsidRPr="00D14C05">
        <w:rPr>
          <w:iCs/>
          <w:lang w:eastAsia="es-ES"/>
        </w:rPr>
        <w:t xml:space="preserve">III. Las adjudicaciones a favor del Estado o de los Municipios dictadas en procedimientos administrativos de ejecución; </w:t>
      </w:r>
    </w:p>
    <w:p w14:paraId="5A4CA305" w14:textId="77777777" w:rsidR="001D78C5" w:rsidRPr="00D14C05" w:rsidRDefault="001D78C5" w:rsidP="00337239">
      <w:pPr>
        <w:pStyle w:val="Citas"/>
        <w:spacing w:before="0" w:after="0"/>
        <w:rPr>
          <w:iCs/>
          <w:lang w:eastAsia="es-ES"/>
        </w:rPr>
      </w:pPr>
      <w:r w:rsidRPr="00D14C05">
        <w:rPr>
          <w:iCs/>
          <w:lang w:eastAsia="es-ES"/>
        </w:rPr>
        <w:t xml:space="preserve">IV. Los decomisos decretados por la autoridad judicial; </w:t>
      </w:r>
    </w:p>
    <w:p w14:paraId="4916EF73" w14:textId="77777777" w:rsidR="001D78C5" w:rsidRPr="00D14C05" w:rsidRDefault="001D78C5" w:rsidP="00337239">
      <w:pPr>
        <w:pStyle w:val="Citas"/>
        <w:spacing w:before="0" w:after="0"/>
        <w:rPr>
          <w:iCs/>
          <w:lang w:eastAsia="es-ES"/>
        </w:rPr>
      </w:pPr>
      <w:r w:rsidRPr="00D14C05">
        <w:rPr>
          <w:iCs/>
          <w:lang w:eastAsia="es-ES"/>
        </w:rPr>
        <w:t xml:space="preserve">V. Las concesiones, autorizaciones, permisos o licencias sobre inmuebles de propiedad estatal o municipal; </w:t>
      </w:r>
    </w:p>
    <w:p w14:paraId="0FECF98E" w14:textId="77777777" w:rsidR="001D78C5" w:rsidRPr="00D14C05" w:rsidRDefault="001D78C5" w:rsidP="00337239">
      <w:pPr>
        <w:pStyle w:val="Citas"/>
        <w:spacing w:before="0" w:after="0"/>
        <w:rPr>
          <w:iCs/>
          <w:lang w:eastAsia="es-ES"/>
        </w:rPr>
      </w:pPr>
      <w:r w:rsidRPr="00D14C05">
        <w:rPr>
          <w:iCs/>
          <w:lang w:eastAsia="es-ES"/>
        </w:rPr>
        <w:t xml:space="preserve">VI. Las resoluciones o sentencias que pronuncien las autoridades jurisdiccionales relacionados con inmuebles del Estado o de los municipios; </w:t>
      </w:r>
    </w:p>
    <w:p w14:paraId="112E69D9" w14:textId="77777777" w:rsidR="001D78C5" w:rsidRPr="00D14C05" w:rsidRDefault="001D78C5" w:rsidP="00337239">
      <w:pPr>
        <w:pStyle w:val="Citas"/>
        <w:spacing w:before="0" w:after="0"/>
        <w:rPr>
          <w:iCs/>
          <w:lang w:eastAsia="es-ES"/>
        </w:rPr>
      </w:pPr>
      <w:r w:rsidRPr="00D14C05">
        <w:rPr>
          <w:iCs/>
          <w:lang w:eastAsia="es-ES"/>
        </w:rPr>
        <w:lastRenderedPageBreak/>
        <w:t xml:space="preserve">VII. Los convenios administrativos que produzcan alguno de los efectos mencionados en la fracción I de este artículo; </w:t>
      </w:r>
    </w:p>
    <w:p w14:paraId="3C9F5238" w14:textId="77777777" w:rsidR="001D78C5" w:rsidRPr="00D14C05" w:rsidRDefault="001D78C5" w:rsidP="00337239">
      <w:pPr>
        <w:pStyle w:val="Citas"/>
        <w:spacing w:before="0" w:after="0"/>
        <w:rPr>
          <w:iCs/>
          <w:lang w:eastAsia="es-ES"/>
        </w:rPr>
      </w:pPr>
      <w:r w:rsidRPr="00D14C05">
        <w:rPr>
          <w:iCs/>
          <w:lang w:eastAsia="es-ES"/>
        </w:rPr>
        <w:t xml:space="preserve">VIII. Los decretos y acuerdos que incorporen o desincorporen del dominio público bienes inmuebles; </w:t>
      </w:r>
    </w:p>
    <w:p w14:paraId="47220483" w14:textId="77777777" w:rsidR="001D78C5" w:rsidRPr="00D14C05" w:rsidRDefault="001D78C5" w:rsidP="00337239">
      <w:pPr>
        <w:pStyle w:val="Citas"/>
        <w:spacing w:before="0" w:after="0"/>
        <w:rPr>
          <w:iCs/>
          <w:lang w:eastAsia="es-ES"/>
        </w:rPr>
      </w:pPr>
      <w:r w:rsidRPr="00D14C05">
        <w:rPr>
          <w:iCs/>
          <w:lang w:eastAsia="es-ES"/>
        </w:rPr>
        <w:t xml:space="preserve">IX. Los acuerdos por los que se cambie la afectación o se sustituya a los usuarios de los bienes del dominio público; y </w:t>
      </w:r>
    </w:p>
    <w:p w14:paraId="7F13EB14" w14:textId="77777777" w:rsidR="001D78C5" w:rsidRPr="00D14C05" w:rsidRDefault="001D78C5" w:rsidP="00337239">
      <w:pPr>
        <w:pStyle w:val="Citas"/>
        <w:spacing w:before="0" w:after="0"/>
        <w:rPr>
          <w:iCs/>
          <w:lang w:eastAsia="es-ES"/>
        </w:rPr>
      </w:pPr>
      <w:r w:rsidRPr="00D14C05">
        <w:rPr>
          <w:iCs/>
          <w:lang w:eastAsia="es-ES"/>
        </w:rPr>
        <w:t>X. Los demás actos que conforme a esta ley deban ser registrados.</w:t>
      </w:r>
    </w:p>
    <w:p w14:paraId="3A2E6822" w14:textId="77777777" w:rsidR="001D78C5" w:rsidRPr="00D14C05" w:rsidRDefault="001D78C5" w:rsidP="00337239">
      <w:pPr>
        <w:pStyle w:val="Citas"/>
        <w:spacing w:before="0" w:after="0"/>
        <w:rPr>
          <w:b/>
        </w:rPr>
      </w:pPr>
      <w:r w:rsidRPr="00D14C05">
        <w:rPr>
          <w:b/>
          <w:u w:val="single"/>
        </w:rPr>
        <w:t xml:space="preserve">Artículo 64.- En las inscripciones del Registro Administrativo de la Propiedad Pública Estatal o Municipal, según el caso, se expresará la procedencia de los bienes, su naturaleza, ubicación, linderos, nombre del inmueble si lo tuviera, valor y las servidumbres si las hubiere, así como los datos que sirvan para identificar la relación que pudieran tener con otros expedientes” </w:t>
      </w:r>
      <w:r w:rsidRPr="00D14C05">
        <w:rPr>
          <w:b/>
        </w:rPr>
        <w:t>(Sic)</w:t>
      </w:r>
    </w:p>
    <w:p w14:paraId="79D49F6C" w14:textId="77777777" w:rsidR="001D78C5" w:rsidRPr="00D14C05" w:rsidRDefault="001D78C5" w:rsidP="00337239">
      <w:pPr>
        <w:pBdr>
          <w:top w:val="nil"/>
          <w:left w:val="nil"/>
          <w:bottom w:val="nil"/>
          <w:right w:val="nil"/>
          <w:between w:val="nil"/>
        </w:pBdr>
        <w:contextualSpacing/>
        <w:rPr>
          <w:rFonts w:eastAsia="Palatino Linotype" w:cs="Palatino Linotype"/>
          <w:bCs/>
          <w:color w:val="000000"/>
          <w:lang w:val="es-MX"/>
        </w:rPr>
      </w:pPr>
    </w:p>
    <w:p w14:paraId="35CB187B" w14:textId="77777777" w:rsidR="001D78C5" w:rsidRPr="00D14C05" w:rsidRDefault="001D78C5" w:rsidP="00337239">
      <w:pPr>
        <w:pStyle w:val="Citas"/>
        <w:spacing w:before="0" w:after="0"/>
        <w:ind w:left="0" w:right="0"/>
        <w:rPr>
          <w:i w:val="0"/>
          <w:iCs/>
          <w:sz w:val="24"/>
          <w:szCs w:val="24"/>
        </w:rPr>
      </w:pPr>
      <w:r w:rsidRPr="00D14C05">
        <w:rPr>
          <w:i w:val="0"/>
          <w:iCs/>
          <w:sz w:val="24"/>
          <w:szCs w:val="24"/>
        </w:rPr>
        <w:t xml:space="preserve">Debe señalarse,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B29AD80" w14:textId="77777777" w:rsidR="001D78C5" w:rsidRPr="00D14C05" w:rsidRDefault="001D78C5" w:rsidP="00337239">
      <w:pPr>
        <w:pStyle w:val="Citas"/>
        <w:spacing w:before="0" w:after="0"/>
        <w:ind w:left="0" w:right="0"/>
        <w:rPr>
          <w:i w:val="0"/>
          <w:iCs/>
          <w:sz w:val="24"/>
          <w:szCs w:val="24"/>
        </w:rPr>
      </w:pPr>
    </w:p>
    <w:p w14:paraId="4B76F98E" w14:textId="77777777" w:rsidR="001D78C5" w:rsidRPr="00D14C05" w:rsidRDefault="001D78C5" w:rsidP="00337239">
      <w:pPr>
        <w:pStyle w:val="Citas"/>
        <w:spacing w:before="0" w:after="0"/>
      </w:pPr>
      <w:r w:rsidRPr="00D14C05">
        <w:t xml:space="preserve">“Artículo 18. Los sujetos obligados deberán documentar todo acto que derive del ejercicio de sus facultades, competencias o funciones, considerando desde su origen la eventual publicidad y reutilización de la información que generen. </w:t>
      </w:r>
    </w:p>
    <w:p w14:paraId="2E509261" w14:textId="77777777" w:rsidR="001D78C5" w:rsidRPr="00D14C05" w:rsidRDefault="001D78C5" w:rsidP="00337239">
      <w:pPr>
        <w:pStyle w:val="Citas"/>
        <w:spacing w:before="0" w:after="0"/>
      </w:pPr>
      <w:r w:rsidRPr="00D14C05">
        <w:t xml:space="preserve">Artículo 19. Se presume que la información debe existir si se refiere a las facultades, competencias y funciones que los ordenamientos jurídicos aplicables otorgan a los sujetos obligados. </w:t>
      </w:r>
    </w:p>
    <w:p w14:paraId="640C6C40" w14:textId="77777777" w:rsidR="001D78C5" w:rsidRPr="00D14C05" w:rsidRDefault="001D78C5" w:rsidP="00337239">
      <w:pPr>
        <w:pStyle w:val="Citas"/>
        <w:spacing w:before="0" w:after="0"/>
      </w:pPr>
      <w:r w:rsidRPr="00D14C05">
        <w:lastRenderedPageBreak/>
        <w:t xml:space="preserve">En los casos en que ciertas facultades, competencias o funciones no se hayan ejercido, se debe motivar la respuesta en función de las causas que motiven tal circunstancia. </w:t>
      </w:r>
    </w:p>
    <w:p w14:paraId="40E895E4" w14:textId="32803A8D" w:rsidR="001D78C5" w:rsidRPr="00D14C05" w:rsidRDefault="001D78C5" w:rsidP="00337239">
      <w:pPr>
        <w:pStyle w:val="Citas"/>
        <w:spacing w:before="0" w:after="0"/>
        <w:rPr>
          <w:b/>
          <w:bCs/>
          <w:sz w:val="24"/>
          <w:szCs w:val="24"/>
        </w:rPr>
      </w:pPr>
      <w:r w:rsidRPr="00D14C05">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D14C05">
        <w:rPr>
          <w:b/>
          <w:bCs/>
        </w:rPr>
        <w:t>(Sic)</w:t>
      </w:r>
    </w:p>
    <w:p w14:paraId="2DF903E1" w14:textId="77777777" w:rsidR="001D78C5" w:rsidRPr="00D14C05" w:rsidRDefault="001D78C5" w:rsidP="00337239">
      <w:pPr>
        <w:pBdr>
          <w:top w:val="nil"/>
          <w:left w:val="nil"/>
          <w:bottom w:val="nil"/>
          <w:right w:val="nil"/>
          <w:between w:val="nil"/>
        </w:pBdr>
        <w:contextualSpacing/>
        <w:rPr>
          <w:rFonts w:eastAsia="Palatino Linotype" w:cs="Palatino Linotype"/>
          <w:bCs/>
          <w:color w:val="000000"/>
          <w:lang w:val="es-MX"/>
        </w:rPr>
      </w:pPr>
    </w:p>
    <w:p w14:paraId="1A15A257" w14:textId="212F8154" w:rsidR="000313D2" w:rsidRPr="00D14C05" w:rsidRDefault="00C237E7" w:rsidP="00337239">
      <w:pPr>
        <w:pBdr>
          <w:top w:val="nil"/>
          <w:left w:val="nil"/>
          <w:bottom w:val="nil"/>
          <w:right w:val="nil"/>
          <w:between w:val="nil"/>
        </w:pBdr>
        <w:contextualSpacing/>
        <w:rPr>
          <w:rFonts w:eastAsia="Palatino Linotype" w:cs="Palatino Linotype"/>
          <w:bCs/>
          <w:color w:val="000000"/>
          <w:lang w:val="es-MX"/>
        </w:rPr>
      </w:pPr>
      <w:r w:rsidRPr="00D14C05">
        <w:rPr>
          <w:rFonts w:eastAsia="Palatino Linotype" w:cs="Palatino Linotype"/>
          <w:bCs/>
          <w:color w:val="000000"/>
          <w:lang w:val="es-MX"/>
        </w:rPr>
        <w:t>En ese sentido se considera procedente revocar la respuesta del Sujeto Obligado</w:t>
      </w:r>
      <w:r w:rsidR="008117DB" w:rsidRPr="00D14C05">
        <w:rPr>
          <w:rFonts w:eastAsia="Palatino Linotype" w:cs="Palatino Linotype"/>
          <w:bCs/>
          <w:color w:val="000000"/>
          <w:lang w:val="es-MX"/>
        </w:rPr>
        <w:t xml:space="preserve"> e instruir la entrega de </w:t>
      </w:r>
      <w:r w:rsidR="00337239" w:rsidRPr="00D14C05">
        <w:rPr>
          <w:rFonts w:eastAsia="Palatino Linotype" w:cs="Palatino Linotype"/>
          <w:bCs/>
          <w:color w:val="000000"/>
          <w:lang w:val="es-MX"/>
        </w:rPr>
        <w:t>la información solicitada:</w:t>
      </w:r>
      <w:r w:rsidR="00490D1D" w:rsidRPr="00D14C05">
        <w:rPr>
          <w:rFonts w:eastAsia="Palatino Linotype" w:cs="Palatino Linotype"/>
          <w:bCs/>
          <w:color w:val="000000"/>
          <w:lang w:val="es-MX"/>
        </w:rPr>
        <w:t xml:space="preserve"> </w:t>
      </w:r>
    </w:p>
    <w:p w14:paraId="12EDF5E8" w14:textId="77777777" w:rsidR="00974696" w:rsidRPr="00D14C05" w:rsidRDefault="00974696" w:rsidP="00337239">
      <w:pPr>
        <w:contextualSpacing/>
        <w:rPr>
          <w:iCs/>
          <w:szCs w:val="24"/>
        </w:rPr>
      </w:pPr>
    </w:p>
    <w:p w14:paraId="102E93C8" w14:textId="77777777" w:rsidR="001D78C5" w:rsidRPr="00D14C05" w:rsidRDefault="001D78C5" w:rsidP="00337239">
      <w:pPr>
        <w:rPr>
          <w:b/>
          <w:sz w:val="28"/>
          <w:szCs w:val="24"/>
        </w:rPr>
      </w:pPr>
      <w:r w:rsidRPr="00D14C05">
        <w:rPr>
          <w:b/>
          <w:bCs/>
          <w:sz w:val="28"/>
          <w:szCs w:val="24"/>
        </w:rPr>
        <w:t>DE LA</w:t>
      </w:r>
      <w:r w:rsidRPr="00D14C05">
        <w:rPr>
          <w:bCs/>
          <w:sz w:val="28"/>
          <w:szCs w:val="24"/>
        </w:rPr>
        <w:t xml:space="preserve"> </w:t>
      </w:r>
      <w:r w:rsidRPr="00D14C05">
        <w:rPr>
          <w:b/>
          <w:sz w:val="28"/>
          <w:szCs w:val="24"/>
        </w:rPr>
        <w:t xml:space="preserve">VERSIÓN PÚBLICA </w:t>
      </w:r>
    </w:p>
    <w:p w14:paraId="65E8105C" w14:textId="77777777" w:rsidR="001D78C5" w:rsidRPr="00D14C05" w:rsidRDefault="001D78C5" w:rsidP="00337239">
      <w:pPr>
        <w:rPr>
          <w:rFonts w:eastAsia="Palatino Linotype" w:cs="Palatino Linotype"/>
          <w:szCs w:val="24"/>
        </w:rPr>
      </w:pPr>
      <w:r w:rsidRPr="00D14C05">
        <w:rPr>
          <w:rFonts w:eastAsia="Palatino Linotype" w:cs="Palatino Linotype"/>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12C875D0" w14:textId="77777777" w:rsidR="001D78C5" w:rsidRPr="00D14C05" w:rsidRDefault="001D78C5" w:rsidP="00337239">
      <w:pPr>
        <w:pStyle w:val="Citas"/>
        <w:spacing w:before="0" w:after="0"/>
      </w:pPr>
      <w:r w:rsidRPr="00D14C05">
        <w:rPr>
          <w:b/>
        </w:rPr>
        <w:t>“Artículo 3.</w:t>
      </w:r>
      <w:r w:rsidRPr="00D14C05">
        <w:t xml:space="preserve"> Para los efectos de la presente Ley se entenderá por:</w:t>
      </w:r>
    </w:p>
    <w:p w14:paraId="2F5C5E9E" w14:textId="77777777" w:rsidR="001D78C5" w:rsidRPr="00D14C05" w:rsidRDefault="001D78C5" w:rsidP="00337239">
      <w:pPr>
        <w:pStyle w:val="Citas"/>
        <w:spacing w:before="0" w:after="0"/>
      </w:pPr>
      <w:r w:rsidRPr="00D14C05">
        <w:t>(…)</w:t>
      </w:r>
    </w:p>
    <w:p w14:paraId="05A693C4" w14:textId="77777777" w:rsidR="001D78C5" w:rsidRPr="00D14C05" w:rsidRDefault="001D78C5" w:rsidP="00337239">
      <w:pPr>
        <w:pStyle w:val="Citas"/>
        <w:spacing w:before="0" w:after="0"/>
      </w:pPr>
      <w:r w:rsidRPr="00D14C05">
        <w:rPr>
          <w:b/>
        </w:rPr>
        <w:t>IX. Datos personales:</w:t>
      </w:r>
      <w:r w:rsidRPr="00D14C05">
        <w:t xml:space="preserve"> La información concerniente a una persona, identificada o identificable según lo dispuesto por la Ley de Protección de Datos Personales del Estado de México; </w:t>
      </w:r>
    </w:p>
    <w:p w14:paraId="627F7ACD" w14:textId="77777777" w:rsidR="001D78C5" w:rsidRPr="00D14C05" w:rsidRDefault="001D78C5" w:rsidP="00337239">
      <w:pPr>
        <w:pStyle w:val="Citas"/>
        <w:spacing w:before="0" w:after="0"/>
      </w:pPr>
      <w:r w:rsidRPr="00D14C05">
        <w:rPr>
          <w:b/>
        </w:rPr>
        <w:t>XX.</w:t>
      </w:r>
      <w:r w:rsidRPr="00D14C05">
        <w:t xml:space="preserve"> </w:t>
      </w:r>
      <w:r w:rsidRPr="00D14C05">
        <w:rPr>
          <w:b/>
        </w:rPr>
        <w:t>Información clasificada:</w:t>
      </w:r>
      <w:r w:rsidRPr="00D14C05">
        <w:t xml:space="preserve"> Aquella considerada por la presente Ley como reservada o confidencial;</w:t>
      </w:r>
    </w:p>
    <w:p w14:paraId="4F96F7F1" w14:textId="77777777" w:rsidR="001D78C5" w:rsidRPr="00D14C05" w:rsidRDefault="001D78C5" w:rsidP="00337239">
      <w:pPr>
        <w:pStyle w:val="Citas"/>
        <w:spacing w:before="0" w:after="0"/>
      </w:pPr>
      <w:r w:rsidRPr="00D14C05">
        <w:rPr>
          <w:b/>
        </w:rPr>
        <w:t>XXI.</w:t>
      </w:r>
      <w:r w:rsidRPr="00D14C05">
        <w:t xml:space="preserve"> </w:t>
      </w:r>
      <w:r w:rsidRPr="00D14C05">
        <w:rPr>
          <w:b/>
        </w:rPr>
        <w:t>Información confidencial:</w:t>
      </w:r>
      <w:r w:rsidRPr="00D14C05">
        <w:t xml:space="preserve"> Se considera como información confidencial los secretos bancario, fiduciario, industrial, comercial, fiscal, bursátil y postal, cuya </w:t>
      </w:r>
      <w:r w:rsidRPr="00D14C05">
        <w:lastRenderedPageBreak/>
        <w:t>titularidad corresponda a particulares, sujetos de derecho internacional o a sujetos obligados cuando no involucren el ejercicio de recursos públicos;</w:t>
      </w:r>
    </w:p>
    <w:p w14:paraId="6DB2C0D9" w14:textId="77777777" w:rsidR="001D78C5" w:rsidRPr="00D14C05" w:rsidRDefault="001D78C5" w:rsidP="00337239">
      <w:pPr>
        <w:pStyle w:val="Citas"/>
        <w:spacing w:before="0" w:after="0"/>
        <w:rPr>
          <w:bCs/>
        </w:rPr>
      </w:pPr>
      <w:r w:rsidRPr="00D14C05">
        <w:rPr>
          <w:bCs/>
        </w:rPr>
        <w:t>(…)</w:t>
      </w:r>
    </w:p>
    <w:p w14:paraId="7D9D3F09" w14:textId="77777777" w:rsidR="001D78C5" w:rsidRPr="00D14C05" w:rsidRDefault="001D78C5" w:rsidP="00337239">
      <w:pPr>
        <w:pStyle w:val="Citas"/>
        <w:spacing w:before="0" w:after="0"/>
      </w:pPr>
      <w:r w:rsidRPr="00D14C05">
        <w:rPr>
          <w:b/>
        </w:rPr>
        <w:t>XLV.</w:t>
      </w:r>
      <w:r w:rsidRPr="00D14C05">
        <w:t xml:space="preserve"> </w:t>
      </w:r>
      <w:r w:rsidRPr="00D14C05">
        <w:rPr>
          <w:b/>
        </w:rPr>
        <w:t>Versión pública:</w:t>
      </w:r>
      <w:r w:rsidRPr="00D14C05">
        <w:t xml:space="preserve"> Documento en el que se elimine, suprime o borra la información clasificada como reservada o confidencial para permitir su acceso.</w:t>
      </w:r>
    </w:p>
    <w:p w14:paraId="1488465E" w14:textId="77777777" w:rsidR="001D78C5" w:rsidRPr="00D14C05" w:rsidRDefault="001D78C5" w:rsidP="00337239">
      <w:pPr>
        <w:pStyle w:val="Citas"/>
        <w:spacing w:before="0" w:after="0"/>
      </w:pPr>
      <w:r w:rsidRPr="00D14C05">
        <w:t>(…)</w:t>
      </w:r>
    </w:p>
    <w:p w14:paraId="4B002EA2" w14:textId="77777777" w:rsidR="001D78C5" w:rsidRPr="00D14C05" w:rsidRDefault="001D78C5" w:rsidP="00337239">
      <w:pPr>
        <w:pStyle w:val="Citas"/>
        <w:spacing w:before="0" w:after="0"/>
      </w:pPr>
      <w:r w:rsidRPr="00D14C05">
        <w:rPr>
          <w:b/>
        </w:rPr>
        <w:t xml:space="preserve">Artículo 91. </w:t>
      </w:r>
      <w:r w:rsidRPr="00D14C05">
        <w:t>El acceso a la información pública será restringido excepcionalmente, cuando ésta sea clasificada como reservada o confidencial.</w:t>
      </w:r>
    </w:p>
    <w:p w14:paraId="6109D650" w14:textId="77777777" w:rsidR="001D78C5" w:rsidRPr="00D14C05" w:rsidRDefault="001D78C5" w:rsidP="00337239">
      <w:pPr>
        <w:pStyle w:val="Citas"/>
        <w:spacing w:before="0" w:after="0"/>
      </w:pPr>
      <w:r w:rsidRPr="00D14C05">
        <w:rPr>
          <w:b/>
        </w:rPr>
        <w:t>Artículo 132.</w:t>
      </w:r>
      <w:r w:rsidRPr="00D14C05">
        <w:t xml:space="preserve"> </w:t>
      </w:r>
      <w:r w:rsidRPr="00D14C05">
        <w:rPr>
          <w:u w:val="single"/>
        </w:rPr>
        <w:t>La clasificación de la información se llevará a cabo en el momento en que</w:t>
      </w:r>
      <w:r w:rsidRPr="00D14C05">
        <w:t>:</w:t>
      </w:r>
    </w:p>
    <w:p w14:paraId="516FB69E" w14:textId="77777777" w:rsidR="001D78C5" w:rsidRPr="00D14C05" w:rsidRDefault="001D78C5" w:rsidP="00337239">
      <w:pPr>
        <w:pStyle w:val="Citas"/>
        <w:spacing w:before="0" w:after="0"/>
      </w:pPr>
      <w:r w:rsidRPr="00D14C05">
        <w:rPr>
          <w:b/>
        </w:rPr>
        <w:t>I.</w:t>
      </w:r>
      <w:r w:rsidRPr="00D14C05">
        <w:t xml:space="preserve"> Se reciba una solicitud de acceso a la información;</w:t>
      </w:r>
    </w:p>
    <w:p w14:paraId="45BDB965" w14:textId="77777777" w:rsidR="001D78C5" w:rsidRPr="00D14C05" w:rsidRDefault="001D78C5" w:rsidP="00337239">
      <w:pPr>
        <w:pStyle w:val="Citas"/>
        <w:spacing w:before="0" w:after="0"/>
      </w:pPr>
      <w:r w:rsidRPr="00D14C05">
        <w:rPr>
          <w:b/>
        </w:rPr>
        <w:t>II.</w:t>
      </w:r>
      <w:r w:rsidRPr="00D14C05">
        <w:t xml:space="preserve"> </w:t>
      </w:r>
      <w:r w:rsidRPr="00D14C05">
        <w:rPr>
          <w:u w:val="single"/>
        </w:rPr>
        <w:t>Se determine mediante resolución de autoridad competente; o</w:t>
      </w:r>
    </w:p>
    <w:p w14:paraId="1A7E240C" w14:textId="77777777" w:rsidR="001D78C5" w:rsidRPr="00D14C05" w:rsidRDefault="001D78C5" w:rsidP="00337239">
      <w:pPr>
        <w:pStyle w:val="Citas"/>
        <w:spacing w:before="0" w:after="0"/>
        <w:rPr>
          <w:u w:val="single"/>
        </w:rPr>
      </w:pPr>
      <w:r w:rsidRPr="00D14C05">
        <w:rPr>
          <w:b/>
        </w:rPr>
        <w:t>III.</w:t>
      </w:r>
      <w:r w:rsidRPr="00D14C05">
        <w:t xml:space="preserve"> </w:t>
      </w:r>
      <w:r w:rsidRPr="00D14C05">
        <w:rPr>
          <w:u w:val="single"/>
        </w:rPr>
        <w:t>Se generen versiones públicas para dar cumplimiento a las obligaciones de transparencia previstas en esta Ley.</w:t>
      </w:r>
    </w:p>
    <w:p w14:paraId="7439975B" w14:textId="77777777" w:rsidR="001D78C5" w:rsidRPr="00D14C05" w:rsidRDefault="001D78C5" w:rsidP="00337239">
      <w:pPr>
        <w:pStyle w:val="Citas"/>
        <w:spacing w:before="0" w:after="0"/>
        <w:rPr>
          <w:b/>
          <w:bCs/>
        </w:rPr>
      </w:pPr>
      <w:r w:rsidRPr="00D14C05">
        <w:t xml:space="preserve">(…)” </w:t>
      </w:r>
      <w:r w:rsidRPr="00D14C05">
        <w:rPr>
          <w:b/>
          <w:bCs/>
        </w:rPr>
        <w:t xml:space="preserve"> (Sic)</w:t>
      </w:r>
    </w:p>
    <w:p w14:paraId="60706456" w14:textId="77777777" w:rsidR="001D78C5" w:rsidRPr="00D14C05" w:rsidRDefault="001D78C5" w:rsidP="00337239">
      <w:pPr>
        <w:rPr>
          <w:rFonts w:eastAsia="Palatino Linotype" w:cs="Palatino Linotype"/>
          <w:i/>
          <w:szCs w:val="24"/>
        </w:rPr>
      </w:pPr>
    </w:p>
    <w:p w14:paraId="52C60ED5" w14:textId="77777777" w:rsidR="001D78C5" w:rsidRPr="00D14C05" w:rsidRDefault="001D78C5" w:rsidP="00337239">
      <w:pPr>
        <w:rPr>
          <w:rFonts w:eastAsia="Palatino Linotype" w:cs="Palatino Linotype"/>
          <w:szCs w:val="24"/>
        </w:rPr>
      </w:pPr>
      <w:r w:rsidRPr="00D14C05">
        <w:rPr>
          <w:rFonts w:eastAsia="Palatino Linotype" w:cs="Palatino Linotype"/>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333E82F" w14:textId="77777777" w:rsidR="001D78C5" w:rsidRPr="00D14C05" w:rsidRDefault="001D78C5" w:rsidP="00337239">
      <w:pPr>
        <w:rPr>
          <w:rFonts w:eastAsia="Palatino Linotype" w:cs="Palatino Linotype"/>
          <w:szCs w:val="24"/>
        </w:rPr>
      </w:pPr>
      <w:r w:rsidRPr="00D14C05">
        <w:rPr>
          <w:rFonts w:eastAsia="Palatino Linotype" w:cs="Palatino Linotype"/>
          <w:szCs w:val="24"/>
        </w:rPr>
        <w:t xml:space="preserve">Por otro lado, los </w:t>
      </w:r>
      <w:r w:rsidRPr="00D14C05">
        <w:rPr>
          <w:rFonts w:eastAsia="Palatino Linotype" w:cs="Palatino Linotype"/>
          <w:i/>
          <w:szCs w:val="24"/>
        </w:rPr>
        <w:t>Lineamientos Generales en Materia de Clasificación y Desclasificación de la Información, así como para la elaboración de Versiones Públicas</w:t>
      </w:r>
      <w:r w:rsidRPr="00D14C05">
        <w:rPr>
          <w:rFonts w:eastAsia="Palatino Linotype" w:cs="Palatino Linotype"/>
          <w:szCs w:val="24"/>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w:t>
      </w:r>
      <w:r w:rsidRPr="00D14C05">
        <w:rPr>
          <w:rFonts w:eastAsia="Palatino Linotype" w:cs="Palatino Linotype"/>
          <w:szCs w:val="24"/>
        </w:rPr>
        <w:lastRenderedPageBreak/>
        <w:t>que posean, desclasificarán y generarán, en su caso, versiones públicas de expedientes o documentos que contengan partes o secciones clasificadas.</w:t>
      </w:r>
    </w:p>
    <w:p w14:paraId="495F0EA4" w14:textId="77777777" w:rsidR="001D78C5" w:rsidRPr="00D14C05" w:rsidRDefault="001D78C5" w:rsidP="00337239">
      <w:pPr>
        <w:rPr>
          <w:rFonts w:eastAsia="Palatino Linotype" w:cs="Palatino Linotype"/>
          <w:szCs w:val="24"/>
        </w:rPr>
      </w:pPr>
      <w:r w:rsidRPr="00D14C05">
        <w:rPr>
          <w:rFonts w:eastAsia="Palatino Linotype" w:cs="Palatino Linotype"/>
          <w:szCs w:val="24"/>
        </w:rPr>
        <w:t>Asimismo, los Lineamientos Quincuagésimo sexto, Quincuagésimo séptimo y Quincuagésimo octavo, establecen lo siguiente:</w:t>
      </w:r>
    </w:p>
    <w:p w14:paraId="5EC192ED" w14:textId="77777777" w:rsidR="001D78C5" w:rsidRPr="00D14C05" w:rsidRDefault="001D78C5" w:rsidP="00337239">
      <w:pPr>
        <w:pStyle w:val="Citas"/>
        <w:spacing w:before="0" w:after="0"/>
      </w:pPr>
      <w:r w:rsidRPr="00D14C05">
        <w:rPr>
          <w:b/>
        </w:rPr>
        <w:t>“Quincuagésimo sexto.</w:t>
      </w:r>
      <w:r w:rsidRPr="00D14C05">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32E76C6" w14:textId="77777777" w:rsidR="001D78C5" w:rsidRPr="00D14C05" w:rsidRDefault="001D78C5" w:rsidP="00337239">
      <w:pPr>
        <w:pStyle w:val="Citas"/>
        <w:spacing w:before="0" w:after="0"/>
      </w:pPr>
      <w:r w:rsidRPr="00D14C05">
        <w:rPr>
          <w:b/>
        </w:rPr>
        <w:t>Quincuagésimo séptimo.</w:t>
      </w:r>
      <w:r w:rsidRPr="00D14C05">
        <w:t xml:space="preserve"> Se considera, en principio, como información pública y no podrá omitirse de las versiones públicas la siguiente:</w:t>
      </w:r>
    </w:p>
    <w:p w14:paraId="688F5A40" w14:textId="77777777" w:rsidR="001D78C5" w:rsidRPr="00D14C05" w:rsidRDefault="001D78C5" w:rsidP="00337239">
      <w:pPr>
        <w:pStyle w:val="Citas"/>
        <w:spacing w:before="0" w:after="0"/>
      </w:pPr>
      <w:r w:rsidRPr="00D14C05">
        <w:t xml:space="preserve">I. La relativa a las Obligaciones de Transparencia que contempla el Título V de la Ley General y las demás disposiciones legales aplicables; </w:t>
      </w:r>
    </w:p>
    <w:p w14:paraId="5E863EA9" w14:textId="77777777" w:rsidR="001D78C5" w:rsidRPr="00D14C05" w:rsidRDefault="001D78C5" w:rsidP="00337239">
      <w:pPr>
        <w:pStyle w:val="Citas"/>
        <w:spacing w:before="0" w:after="0"/>
      </w:pPr>
      <w:r w:rsidRPr="00D14C05">
        <w:t xml:space="preserve">II. El nombre de los integrantes de los sujetos obligados en los documentos, y sus firmas autógrafas o digitales, cuando sean utilizados en el ejercicio de las facultades conferidas para el desempeño del servicio público, y </w:t>
      </w:r>
    </w:p>
    <w:p w14:paraId="5F1ECB6F" w14:textId="77777777" w:rsidR="001D78C5" w:rsidRPr="00D14C05" w:rsidRDefault="001D78C5" w:rsidP="00337239">
      <w:pPr>
        <w:pStyle w:val="Citas"/>
        <w:spacing w:before="0" w:after="0"/>
      </w:pPr>
      <w:r w:rsidRPr="00D14C05">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B6F4CB2" w14:textId="77777777" w:rsidR="001D78C5" w:rsidRPr="00D14C05" w:rsidRDefault="001D78C5" w:rsidP="00337239">
      <w:pPr>
        <w:pStyle w:val="Citas"/>
        <w:spacing w:before="0" w:after="0"/>
      </w:pPr>
      <w:r w:rsidRPr="00D14C05">
        <w:t xml:space="preserve">Lo anterior, siempre y cuando no se acredite alguna causal de clasificación, prevista en las leyes o en los tratados internacionales suscritos por el Estado mexicano. </w:t>
      </w:r>
    </w:p>
    <w:p w14:paraId="37DE2DAB" w14:textId="77777777" w:rsidR="001D78C5" w:rsidRPr="00D14C05" w:rsidRDefault="001D78C5" w:rsidP="00337239">
      <w:pPr>
        <w:pStyle w:val="Citas"/>
        <w:spacing w:before="0" w:after="0"/>
        <w:rPr>
          <w:b/>
          <w:bCs/>
        </w:rPr>
      </w:pPr>
      <w:r w:rsidRPr="00D14C05">
        <w:rPr>
          <w:b/>
        </w:rPr>
        <w:t>Quincuagésimo octavo.</w:t>
      </w:r>
      <w:r w:rsidRPr="00D14C05">
        <w:t xml:space="preserve"> Los sujetos obligados garantizarán que los sistemas o medios empleados para eliminar la información en las versiones públicas sean irreversibles, de tal forma que no permitan la recuperación o visualización de la misma.” </w:t>
      </w:r>
      <w:r w:rsidRPr="00D14C05">
        <w:rPr>
          <w:b/>
          <w:bCs/>
        </w:rPr>
        <w:t>(Sic)</w:t>
      </w:r>
    </w:p>
    <w:p w14:paraId="618ACD44" w14:textId="77777777" w:rsidR="001D78C5" w:rsidRPr="00D14C05" w:rsidRDefault="001D78C5" w:rsidP="00337239">
      <w:pPr>
        <w:pStyle w:val="Citas"/>
        <w:spacing w:before="0" w:after="0"/>
      </w:pPr>
    </w:p>
    <w:p w14:paraId="24F182DF" w14:textId="77777777" w:rsidR="001D78C5" w:rsidRPr="00D14C05" w:rsidRDefault="001D78C5" w:rsidP="00337239">
      <w:pPr>
        <w:rPr>
          <w:rFonts w:eastAsia="Palatino Linotype" w:cs="Palatino Linotype"/>
          <w:szCs w:val="24"/>
        </w:rPr>
      </w:pPr>
      <w:r w:rsidRPr="00D14C05">
        <w:rPr>
          <w:rFonts w:eastAsia="Palatino Linotype" w:cs="Palatino Linotype"/>
          <w:szCs w:val="24"/>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60365E55" w14:textId="77777777" w:rsidR="001D78C5" w:rsidRPr="00D14C05" w:rsidRDefault="001D78C5" w:rsidP="00337239">
      <w:pPr>
        <w:rPr>
          <w:rFonts w:eastAsia="Palatino Linotype" w:cs="Palatino Linotype"/>
          <w:szCs w:val="24"/>
        </w:rPr>
      </w:pPr>
      <w:r w:rsidRPr="00D14C05">
        <w:rPr>
          <w:rFonts w:eastAsia="Palatino Linotype" w:cs="Palatino Linotype"/>
          <w:szCs w:val="24"/>
        </w:rPr>
        <w:t xml:space="preserve">Por lo que respecta al Acuerdo del Comité de Transparencia que sustente la versión pública de la documentación a entregar, deberá ser notificado mediante el </w:t>
      </w:r>
      <w:r w:rsidRPr="00D14C05">
        <w:rPr>
          <w:rFonts w:eastAsia="Palatino Linotype" w:cs="Palatino Linotype"/>
          <w:b/>
          <w:bCs/>
          <w:szCs w:val="24"/>
        </w:rPr>
        <w:t>SAIMEX.</w:t>
      </w:r>
    </w:p>
    <w:p w14:paraId="20CDBAFF" w14:textId="77777777" w:rsidR="001D78C5" w:rsidRPr="00D14C05" w:rsidRDefault="001D78C5" w:rsidP="00337239">
      <w:pPr>
        <w:pBdr>
          <w:top w:val="nil"/>
          <w:left w:val="nil"/>
          <w:bottom w:val="nil"/>
          <w:right w:val="nil"/>
          <w:between w:val="nil"/>
        </w:pBdr>
        <w:rPr>
          <w:rFonts w:eastAsia="Palatino Linotype" w:cs="Palatino Linotype"/>
          <w:color w:val="000000"/>
          <w:szCs w:val="24"/>
        </w:rPr>
      </w:pPr>
      <w:r w:rsidRPr="00D14C05">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686E5E6" w14:textId="0F8B937E" w:rsidR="001D78C5" w:rsidRPr="00D14C05" w:rsidRDefault="001D78C5" w:rsidP="00337239">
      <w:pPr>
        <w:contextualSpacing/>
        <w:rPr>
          <w:iCs/>
          <w:szCs w:val="24"/>
        </w:rPr>
      </w:pPr>
      <w:r w:rsidRPr="00D14C05">
        <w:rPr>
          <w:rFonts w:cs="Arial"/>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14C05">
        <w:rPr>
          <w:rFonts w:cs="Arial"/>
          <w:b/>
          <w:szCs w:val="24"/>
        </w:rPr>
        <w:t xml:space="preserve">LINEAMIENTOS GENERALES EN MATERIA DE </w:t>
      </w:r>
      <w:r w:rsidRPr="00D14C05">
        <w:rPr>
          <w:rFonts w:cs="Arial"/>
          <w:b/>
          <w:szCs w:val="24"/>
        </w:rPr>
        <w:lastRenderedPageBreak/>
        <w:t>CLASIFICACIÓN Y DESCLASIFICACIÓN DE LA INFORMACIÓN, ASÍ COMO PARA LA ELABORACIÓN DE VERSIONES PÚBLICAS,</w:t>
      </w:r>
      <w:r w:rsidRPr="00D14C05">
        <w:rPr>
          <w:rFonts w:cs="Arial"/>
          <w:szCs w:val="24"/>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72197ABF" w14:textId="77777777" w:rsidR="001D78C5" w:rsidRPr="00D14C05" w:rsidRDefault="001D78C5" w:rsidP="00337239">
      <w:pPr>
        <w:contextualSpacing/>
        <w:rPr>
          <w:iCs/>
          <w:szCs w:val="24"/>
        </w:rPr>
      </w:pPr>
    </w:p>
    <w:p w14:paraId="0BDDE268" w14:textId="3826A00A" w:rsidR="00A32473" w:rsidRPr="00D14C05" w:rsidRDefault="00974696" w:rsidP="00337239">
      <w:pPr>
        <w:contextualSpacing/>
        <w:rPr>
          <w:rFonts w:eastAsia="Palatino Linotype" w:cs="Palatino Linotype"/>
          <w:color w:val="000000"/>
          <w:szCs w:val="24"/>
        </w:rPr>
      </w:pPr>
      <w:r w:rsidRPr="00D14C05">
        <w:rPr>
          <w:iCs/>
          <w:szCs w:val="24"/>
        </w:rPr>
        <w:t xml:space="preserve">En mérito de lo expuesto </w:t>
      </w:r>
      <w:r w:rsidRPr="00D14C05">
        <w:rPr>
          <w:szCs w:val="24"/>
        </w:rPr>
        <w:t xml:space="preserve">en líneas anteriores, resultan parcialmente fundados los motivos de inconformidad vertidos por </w:t>
      </w:r>
      <w:r w:rsidRPr="00D14C05">
        <w:rPr>
          <w:b/>
          <w:szCs w:val="24"/>
        </w:rPr>
        <w:t xml:space="preserve">El Recurrente, </w:t>
      </w:r>
      <w:r w:rsidRPr="00D14C05">
        <w:rPr>
          <w:szCs w:val="24"/>
        </w:rPr>
        <w:t xml:space="preserve">por ello con fundamento en el artículo 186 fracción III de la Ley de Transparencia y Acceso a la Información Pública del Estado de México y Municipios, se </w:t>
      </w:r>
      <w:r w:rsidR="00BF78D9" w:rsidRPr="00D14C05">
        <w:rPr>
          <w:b/>
          <w:szCs w:val="24"/>
        </w:rPr>
        <w:t>REVOCA</w:t>
      </w:r>
      <w:r w:rsidRPr="00D14C05">
        <w:rPr>
          <w:b/>
          <w:szCs w:val="24"/>
        </w:rPr>
        <w:t xml:space="preserve"> </w:t>
      </w:r>
      <w:r w:rsidRPr="00D14C05">
        <w:rPr>
          <w:bCs/>
          <w:szCs w:val="24"/>
        </w:rPr>
        <w:t xml:space="preserve">la respuesta a la solicitud de información </w:t>
      </w:r>
      <w:r w:rsidR="00337239" w:rsidRPr="00D14C05">
        <w:rPr>
          <w:rFonts w:eastAsia="Palatino Linotype" w:cs="Palatino Linotype"/>
          <w:b/>
          <w:bCs/>
          <w:color w:val="000000" w:themeColor="text1"/>
        </w:rPr>
        <w:t>00204/OPDTEOLOYUCAN/IP/2025</w:t>
      </w:r>
      <w:r w:rsidR="00BF78D9" w:rsidRPr="00D14C05">
        <w:rPr>
          <w:rFonts w:eastAsia="Palatino Linotype" w:cs="Palatino Linotype"/>
          <w:b/>
          <w:bCs/>
          <w:color w:val="000000" w:themeColor="text1"/>
        </w:rPr>
        <w:t xml:space="preserve"> </w:t>
      </w:r>
      <w:r w:rsidRPr="00D14C05">
        <w:rPr>
          <w:bCs/>
          <w:szCs w:val="24"/>
        </w:rPr>
        <w:t>que ha sido materia del presente fallo.</w:t>
      </w:r>
    </w:p>
    <w:p w14:paraId="5A437131" w14:textId="77777777" w:rsidR="00A32473" w:rsidRPr="00D14C05" w:rsidRDefault="00A32473" w:rsidP="00337239">
      <w:pPr>
        <w:rPr>
          <w:rFonts w:eastAsia="Times New Roman" w:cs="Times New Roman"/>
          <w:szCs w:val="24"/>
          <w:lang w:eastAsia="es-ES"/>
        </w:rPr>
      </w:pPr>
    </w:p>
    <w:p w14:paraId="685A5497" w14:textId="77777777" w:rsidR="00A32473" w:rsidRPr="00D14C05" w:rsidRDefault="00A32473" w:rsidP="00337239">
      <w:pPr>
        <w:pStyle w:val="Ttulo1"/>
        <w:rPr>
          <w:rFonts w:eastAsia="Palatino Linotype"/>
        </w:rPr>
      </w:pPr>
      <w:r w:rsidRPr="00D14C05">
        <w:rPr>
          <w:rFonts w:eastAsia="Palatino Linotype"/>
        </w:rPr>
        <w:t>R E S U E L V E</w:t>
      </w:r>
    </w:p>
    <w:p w14:paraId="6C6C255B" w14:textId="77777777" w:rsidR="00A32473" w:rsidRPr="00D14C05" w:rsidRDefault="00A32473" w:rsidP="00337239">
      <w:pPr>
        <w:pBdr>
          <w:top w:val="nil"/>
          <w:left w:val="nil"/>
          <w:bottom w:val="nil"/>
          <w:right w:val="nil"/>
          <w:between w:val="nil"/>
        </w:pBdr>
        <w:contextualSpacing/>
        <w:jc w:val="center"/>
        <w:rPr>
          <w:rFonts w:eastAsia="Palatino Linotype" w:cs="Palatino Linotype"/>
          <w:b/>
          <w:color w:val="000000"/>
          <w:szCs w:val="24"/>
        </w:rPr>
      </w:pPr>
    </w:p>
    <w:p w14:paraId="6C07F597" w14:textId="1CFDB240" w:rsidR="00974696" w:rsidRPr="00D14C05" w:rsidRDefault="00974696" w:rsidP="00337239">
      <w:pPr>
        <w:rPr>
          <w:rFonts w:cs="Arial"/>
          <w:szCs w:val="24"/>
        </w:rPr>
      </w:pPr>
      <w:r w:rsidRPr="00D14C05">
        <w:rPr>
          <w:rFonts w:cs="Arial"/>
          <w:b/>
          <w:szCs w:val="24"/>
        </w:rPr>
        <w:t>PRIMERO.</w:t>
      </w:r>
      <w:r w:rsidRPr="00D14C05">
        <w:rPr>
          <w:rFonts w:cs="Arial"/>
          <w:szCs w:val="24"/>
        </w:rPr>
        <w:t xml:space="preserve"> Se </w:t>
      </w:r>
      <w:r w:rsidR="007E0276" w:rsidRPr="00D14C05">
        <w:rPr>
          <w:rFonts w:cs="Arial"/>
          <w:b/>
          <w:szCs w:val="24"/>
        </w:rPr>
        <w:t>REVOCA</w:t>
      </w:r>
      <w:r w:rsidRPr="00D14C05">
        <w:rPr>
          <w:rFonts w:cs="Arial"/>
          <w:b/>
          <w:szCs w:val="24"/>
        </w:rPr>
        <w:t xml:space="preserve"> </w:t>
      </w:r>
      <w:r w:rsidRPr="00D14C05">
        <w:rPr>
          <w:rFonts w:cs="Arial"/>
          <w:bCs/>
          <w:szCs w:val="24"/>
        </w:rPr>
        <w:t xml:space="preserve">la respuesta a la solicitud de información número </w:t>
      </w:r>
      <w:r w:rsidR="00337239" w:rsidRPr="00D14C05">
        <w:rPr>
          <w:b/>
          <w:szCs w:val="24"/>
        </w:rPr>
        <w:t>00204/OPDTEOLOYUCAN/IP/2025</w:t>
      </w:r>
      <w:r w:rsidRPr="00D14C05">
        <w:rPr>
          <w:b/>
          <w:szCs w:val="24"/>
        </w:rPr>
        <w:t xml:space="preserve"> </w:t>
      </w:r>
      <w:r w:rsidRPr="00D14C05">
        <w:rPr>
          <w:rFonts w:cs="Arial"/>
          <w:szCs w:val="24"/>
        </w:rPr>
        <w:t>por resultar parcialmente fundados</w:t>
      </w:r>
      <w:r w:rsidRPr="00D14C05">
        <w:rPr>
          <w:rFonts w:cs="Arial"/>
        </w:rPr>
        <w:t xml:space="preserve"> los motivos de inconformidad que arguye </w:t>
      </w:r>
      <w:r w:rsidRPr="00D14C05">
        <w:rPr>
          <w:rFonts w:cs="Arial"/>
          <w:b/>
        </w:rPr>
        <w:t xml:space="preserve">EL RECURRENTE, </w:t>
      </w:r>
      <w:r w:rsidRPr="00D14C05">
        <w:rPr>
          <w:rFonts w:cs="Arial"/>
        </w:rPr>
        <w:t xml:space="preserve">en términos del </w:t>
      </w:r>
      <w:r w:rsidRPr="00D14C05">
        <w:rPr>
          <w:rFonts w:cs="Arial"/>
          <w:b/>
        </w:rPr>
        <w:t xml:space="preserve">Considerando CUARTO </w:t>
      </w:r>
      <w:r w:rsidRPr="00D14C05">
        <w:rPr>
          <w:rFonts w:cs="Arial"/>
        </w:rPr>
        <w:t>de la presente resolución.</w:t>
      </w:r>
      <w:r w:rsidR="007E0276" w:rsidRPr="00D14C05">
        <w:rPr>
          <w:rFonts w:cs="Arial"/>
        </w:rPr>
        <w:t xml:space="preserve"> </w:t>
      </w:r>
    </w:p>
    <w:p w14:paraId="0865848A" w14:textId="77777777" w:rsidR="00974696" w:rsidRPr="00D14C05" w:rsidRDefault="00974696" w:rsidP="00337239">
      <w:pPr>
        <w:rPr>
          <w:rFonts w:cs="Arial"/>
        </w:rPr>
      </w:pPr>
      <w:r w:rsidRPr="00D14C05">
        <w:rPr>
          <w:rFonts w:cs="Arial"/>
          <w:szCs w:val="24"/>
        </w:rPr>
        <w:t xml:space="preserve"> </w:t>
      </w:r>
    </w:p>
    <w:p w14:paraId="399A5E27" w14:textId="63A55FC0" w:rsidR="00974696" w:rsidRPr="00D14C05" w:rsidRDefault="00974696" w:rsidP="00337239">
      <w:pPr>
        <w:autoSpaceDE w:val="0"/>
        <w:autoSpaceDN w:val="0"/>
        <w:adjustRightInd w:val="0"/>
        <w:ind w:right="49"/>
        <w:rPr>
          <w:rFonts w:cs="Arial"/>
          <w:szCs w:val="24"/>
        </w:rPr>
      </w:pPr>
      <w:r w:rsidRPr="00D14C05">
        <w:rPr>
          <w:rFonts w:cs="Arial"/>
          <w:b/>
          <w:szCs w:val="24"/>
        </w:rPr>
        <w:t>SEGUNDO.</w:t>
      </w:r>
      <w:r w:rsidRPr="00D14C05">
        <w:rPr>
          <w:rFonts w:cs="Arial"/>
          <w:szCs w:val="24"/>
        </w:rPr>
        <w:t xml:space="preserve"> Se </w:t>
      </w:r>
      <w:r w:rsidRPr="00D14C05">
        <w:rPr>
          <w:rFonts w:cs="Arial"/>
          <w:b/>
          <w:szCs w:val="24"/>
        </w:rPr>
        <w:t>ORDENA</w:t>
      </w:r>
      <w:r w:rsidRPr="00D14C05">
        <w:rPr>
          <w:rFonts w:cs="Arial"/>
          <w:szCs w:val="24"/>
        </w:rPr>
        <w:t xml:space="preserve"> al </w:t>
      </w:r>
      <w:r w:rsidRPr="00D14C05">
        <w:rPr>
          <w:rFonts w:cs="Arial"/>
          <w:b/>
          <w:szCs w:val="24"/>
        </w:rPr>
        <w:t>SUJETO OBLIGADO</w:t>
      </w:r>
      <w:r w:rsidRPr="00D14C05">
        <w:rPr>
          <w:rFonts w:cs="Arial"/>
          <w:szCs w:val="24"/>
        </w:rPr>
        <w:t xml:space="preserve"> realizar una búsqueda exhaustiva y razonable a fin de entregar al</w:t>
      </w:r>
      <w:r w:rsidRPr="00D14C05">
        <w:rPr>
          <w:rFonts w:cs="Arial"/>
          <w:b/>
          <w:bCs/>
          <w:szCs w:val="24"/>
        </w:rPr>
        <w:t xml:space="preserve"> </w:t>
      </w:r>
      <w:r w:rsidRPr="00D14C05">
        <w:rPr>
          <w:rFonts w:cs="Arial"/>
          <w:b/>
          <w:szCs w:val="24"/>
        </w:rPr>
        <w:t xml:space="preserve">RECURRENTE, </w:t>
      </w:r>
      <w:r w:rsidRPr="00D14C05">
        <w:rPr>
          <w:rFonts w:cs="Arial"/>
          <w:szCs w:val="24"/>
        </w:rPr>
        <w:t xml:space="preserve">a través del Sistema de Acceso a la Información Mexiquense </w:t>
      </w:r>
      <w:r w:rsidRPr="00D14C05">
        <w:rPr>
          <w:rFonts w:cs="Arial"/>
          <w:b/>
          <w:szCs w:val="24"/>
        </w:rPr>
        <w:t xml:space="preserve">(SAIMEX), </w:t>
      </w:r>
      <w:r w:rsidR="00337239" w:rsidRPr="00D14C05">
        <w:rPr>
          <w:rFonts w:cs="Arial"/>
          <w:szCs w:val="24"/>
        </w:rPr>
        <w:t>del periodo comprendido del</w:t>
      </w:r>
      <w:r w:rsidR="00337239" w:rsidRPr="00D14C05">
        <w:rPr>
          <w:rFonts w:cs="Arial"/>
          <w:b/>
          <w:szCs w:val="24"/>
        </w:rPr>
        <w:t xml:space="preserve"> </w:t>
      </w:r>
      <w:r w:rsidR="00337239" w:rsidRPr="00D14C05">
        <w:rPr>
          <w:rFonts w:cs="Arial"/>
          <w:lang w:val="es-MX"/>
        </w:rPr>
        <w:t>once de julio de dos mil veinticuatro al once de julio de dos mil veinticinco</w:t>
      </w:r>
      <w:r w:rsidR="00337239" w:rsidRPr="00D14C05">
        <w:rPr>
          <w:rFonts w:cs="Arial"/>
          <w:szCs w:val="24"/>
        </w:rPr>
        <w:t xml:space="preserve">, </w:t>
      </w:r>
      <w:r w:rsidRPr="00D14C05">
        <w:rPr>
          <w:rFonts w:cs="Arial"/>
          <w:szCs w:val="24"/>
        </w:rPr>
        <w:t xml:space="preserve">de lo siguiente: </w:t>
      </w:r>
    </w:p>
    <w:p w14:paraId="235418C5" w14:textId="77777777" w:rsidR="00337239" w:rsidRPr="00D14C05" w:rsidRDefault="00337239" w:rsidP="00337239">
      <w:pPr>
        <w:pStyle w:val="Prrafodelista"/>
        <w:numPr>
          <w:ilvl w:val="0"/>
          <w:numId w:val="74"/>
        </w:numPr>
        <w:rPr>
          <w:rFonts w:eastAsiaTheme="minorEastAsia" w:cstheme="minorBidi"/>
          <w:lang w:eastAsia="en-US"/>
        </w:rPr>
      </w:pPr>
      <w:r w:rsidRPr="00D14C05">
        <w:rPr>
          <w:rFonts w:eastAsiaTheme="minorEastAsia" w:cstheme="minorBidi"/>
          <w:lang w:eastAsia="en-US"/>
        </w:rPr>
        <w:lastRenderedPageBreak/>
        <w:t>Cuenta Pública, incluyendo estados financieros consolidados y demás documentos contables que reflejen la situación patrimonial, presupuestaria y programática.</w:t>
      </w:r>
    </w:p>
    <w:p w14:paraId="4E0A064A" w14:textId="1DB2AC5A" w:rsidR="00974696" w:rsidRPr="00D14C05" w:rsidRDefault="00337239" w:rsidP="00337239">
      <w:pPr>
        <w:pStyle w:val="Prrafodelista"/>
        <w:numPr>
          <w:ilvl w:val="0"/>
          <w:numId w:val="74"/>
        </w:numPr>
        <w:rPr>
          <w:rFonts w:eastAsiaTheme="minorEastAsia" w:cstheme="minorBidi"/>
          <w:lang w:eastAsia="en-US"/>
        </w:rPr>
      </w:pPr>
      <w:r w:rsidRPr="00D14C05">
        <w:rPr>
          <w:rFonts w:eastAsiaTheme="minorEastAsia" w:cstheme="minorBidi"/>
          <w:lang w:eastAsia="en-US"/>
        </w:rPr>
        <w:t>Inventario de bienes</w:t>
      </w:r>
      <w:r w:rsidR="00480A0C" w:rsidRPr="00D14C05">
        <w:rPr>
          <w:rFonts w:eastAsiaTheme="minorEastAsia" w:cstheme="minorBidi"/>
          <w:lang w:eastAsia="en-US"/>
        </w:rPr>
        <w:t xml:space="preserve"> muebles e inmuebles</w:t>
      </w:r>
      <w:r w:rsidR="007E0276" w:rsidRPr="00D14C05">
        <w:rPr>
          <w:rFonts w:eastAsiaTheme="minorHAnsi" w:cs="Arial"/>
          <w:color w:val="000000"/>
          <w:lang w:val="es-MX" w:eastAsia="en-US"/>
        </w:rPr>
        <w:t>.</w:t>
      </w:r>
    </w:p>
    <w:p w14:paraId="0F710362" w14:textId="77777777" w:rsidR="00337239" w:rsidRPr="00D14C05" w:rsidRDefault="00337239" w:rsidP="00337239">
      <w:pPr>
        <w:pStyle w:val="Prrafodelista"/>
        <w:ind w:left="720"/>
        <w:rPr>
          <w:i/>
        </w:rPr>
      </w:pPr>
    </w:p>
    <w:p w14:paraId="47CA568E" w14:textId="124C9CDB" w:rsidR="007E0276" w:rsidRPr="00D14C05" w:rsidRDefault="00337239" w:rsidP="00337239">
      <w:pPr>
        <w:pStyle w:val="Prrafodelista"/>
        <w:ind w:left="720"/>
        <w:rPr>
          <w:i/>
        </w:rPr>
      </w:pPr>
      <w:r w:rsidRPr="00D14C05">
        <w:rPr>
          <w:i/>
        </w:rPr>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202A3CF3" w14:textId="77777777" w:rsidR="00337239" w:rsidRPr="00D14C05" w:rsidRDefault="00337239" w:rsidP="00337239">
      <w:pPr>
        <w:pStyle w:val="Prrafodelista"/>
        <w:ind w:left="720"/>
        <w:rPr>
          <w:rFonts w:cs="Arial"/>
          <w:b/>
          <w:sz w:val="28"/>
        </w:rPr>
      </w:pPr>
    </w:p>
    <w:p w14:paraId="71A02FCE" w14:textId="77777777" w:rsidR="00974696" w:rsidRPr="00D14C05" w:rsidRDefault="00974696" w:rsidP="00337239">
      <w:pPr>
        <w:rPr>
          <w:rFonts w:cs="Tahoma"/>
          <w:bCs/>
          <w:szCs w:val="24"/>
        </w:rPr>
      </w:pPr>
      <w:r w:rsidRPr="00D14C05">
        <w:rPr>
          <w:rFonts w:cs="Arial"/>
          <w:b/>
          <w:szCs w:val="24"/>
        </w:rPr>
        <w:t>TERCERO.</w:t>
      </w:r>
      <w:r w:rsidRPr="00D14C05">
        <w:rPr>
          <w:rFonts w:cs="Arial"/>
          <w:szCs w:val="24"/>
        </w:rPr>
        <w:t xml:space="preserve"> </w:t>
      </w:r>
      <w:r w:rsidRPr="00D14C05">
        <w:rPr>
          <w:rFonts w:cs="Tahoma"/>
          <w:b/>
          <w:szCs w:val="24"/>
        </w:rPr>
        <w:t xml:space="preserve">NOTIFÍQUESE </w:t>
      </w:r>
      <w:r w:rsidRPr="00D14C05">
        <w:rPr>
          <w:rFonts w:cs="Arial"/>
          <w:szCs w:val="24"/>
        </w:rPr>
        <w:t xml:space="preserve">a través del Sistema de Acceso a la Información Mexiquense </w:t>
      </w:r>
      <w:r w:rsidRPr="00D14C05">
        <w:rPr>
          <w:rFonts w:cs="Arial"/>
          <w:b/>
          <w:szCs w:val="24"/>
        </w:rPr>
        <w:t>(SAIMEX)</w:t>
      </w:r>
      <w:r w:rsidRPr="00D14C05">
        <w:rPr>
          <w:rFonts w:cs="Arial"/>
          <w:szCs w:val="24"/>
        </w:rPr>
        <w:t xml:space="preserve">, </w:t>
      </w:r>
      <w:r w:rsidRPr="00D14C05">
        <w:rPr>
          <w:rFonts w:cs="Tahoma"/>
          <w:szCs w:val="24"/>
        </w:rPr>
        <w:t xml:space="preserve">la presente Resolución al Titular de la Unidad de Transparencia del </w:t>
      </w:r>
      <w:r w:rsidRPr="00D14C05">
        <w:rPr>
          <w:rFonts w:cs="Tahoma"/>
          <w:b/>
          <w:szCs w:val="24"/>
        </w:rPr>
        <w:t>Sujeto Obligado</w:t>
      </w:r>
      <w:r w:rsidRPr="00D14C05">
        <w:rPr>
          <w:rFonts w:cs="Tahoma"/>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D14C05">
        <w:rPr>
          <w:rFonts w:eastAsia="Palatino Linotype" w:cs="Palatino Linotype"/>
          <w:bCs/>
          <w:color w:val="000000"/>
          <w:szCs w:val="24"/>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B3BEBBC" w14:textId="77777777" w:rsidR="00974696" w:rsidRPr="00D14C05" w:rsidRDefault="00974696" w:rsidP="00337239">
      <w:pPr>
        <w:autoSpaceDE w:val="0"/>
        <w:autoSpaceDN w:val="0"/>
        <w:adjustRightInd w:val="0"/>
        <w:rPr>
          <w:rFonts w:cs="Arial"/>
          <w:b/>
          <w:szCs w:val="24"/>
        </w:rPr>
      </w:pPr>
    </w:p>
    <w:p w14:paraId="2956D365" w14:textId="65557A26" w:rsidR="00974696" w:rsidRPr="00D14C05" w:rsidRDefault="00974696" w:rsidP="00337239">
      <w:pPr>
        <w:autoSpaceDE w:val="0"/>
        <w:autoSpaceDN w:val="0"/>
        <w:adjustRightInd w:val="0"/>
        <w:rPr>
          <w:rFonts w:cs="Arial"/>
          <w:szCs w:val="24"/>
        </w:rPr>
      </w:pPr>
      <w:r w:rsidRPr="00D14C05">
        <w:rPr>
          <w:rFonts w:cs="Arial"/>
          <w:b/>
          <w:szCs w:val="24"/>
        </w:rPr>
        <w:t xml:space="preserve">CUARTO. </w:t>
      </w:r>
      <w:r w:rsidRPr="00D14C05">
        <w:rPr>
          <w:rFonts w:cs="Arial"/>
          <w:szCs w:val="24"/>
        </w:rPr>
        <w:t xml:space="preserve">De conformidad con el artículo 198 de la Ley de Transparencia y Acceso a la Información Pública del Estado de México y Municipios, de considerarlo procedente, el </w:t>
      </w:r>
      <w:r w:rsidRPr="00D14C05">
        <w:rPr>
          <w:rFonts w:cs="Arial"/>
          <w:b/>
          <w:szCs w:val="24"/>
        </w:rPr>
        <w:lastRenderedPageBreak/>
        <w:t>Sujeto Obligado</w:t>
      </w:r>
      <w:r w:rsidRPr="00D14C05">
        <w:rPr>
          <w:rFonts w:cs="Arial"/>
          <w:szCs w:val="24"/>
        </w:rPr>
        <w:t xml:space="preserve"> de manera fundada y motivada, podrá solicitar una ampliación de plazo para el cumplimiento de la presente resolución.</w:t>
      </w:r>
    </w:p>
    <w:p w14:paraId="02F8905A" w14:textId="77777777" w:rsidR="00974696" w:rsidRPr="00D14C05" w:rsidRDefault="00974696" w:rsidP="00337239">
      <w:pPr>
        <w:autoSpaceDE w:val="0"/>
        <w:autoSpaceDN w:val="0"/>
        <w:adjustRightInd w:val="0"/>
        <w:rPr>
          <w:rFonts w:cs="Arial"/>
          <w:szCs w:val="24"/>
        </w:rPr>
      </w:pPr>
    </w:p>
    <w:p w14:paraId="56649F2C" w14:textId="15D0AE6E" w:rsidR="006605AE" w:rsidRPr="00D14C05" w:rsidRDefault="00974696" w:rsidP="00337239">
      <w:pPr>
        <w:contextualSpacing/>
        <w:rPr>
          <w:rFonts w:cs="Arial"/>
          <w:szCs w:val="24"/>
        </w:rPr>
      </w:pPr>
      <w:r w:rsidRPr="00D14C05">
        <w:rPr>
          <w:b/>
          <w:szCs w:val="24"/>
        </w:rPr>
        <w:t xml:space="preserve">QUINTO. </w:t>
      </w:r>
      <w:r w:rsidRPr="00D14C05">
        <w:rPr>
          <w:rFonts w:cs="Arial"/>
          <w:b/>
          <w:szCs w:val="24"/>
        </w:rPr>
        <w:t>NOTIFÍQUESE</w:t>
      </w:r>
      <w:r w:rsidRPr="00D14C05">
        <w:rPr>
          <w:rFonts w:cs="Arial"/>
          <w:szCs w:val="24"/>
        </w:rPr>
        <w:t xml:space="preserve"> a través del Sistema de Acceso a la Información Mexiquense (SAIMEX), al </w:t>
      </w:r>
      <w:r w:rsidRPr="00D14C05">
        <w:rPr>
          <w:rFonts w:cs="Arial"/>
          <w:b/>
          <w:szCs w:val="24"/>
        </w:rPr>
        <w:t>RECURRENTE</w:t>
      </w:r>
      <w:r w:rsidRPr="00D14C05">
        <w:rPr>
          <w:rFonts w:cs="Arial"/>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1C07E51" w14:textId="77777777" w:rsidR="00974696" w:rsidRPr="00D14C05" w:rsidRDefault="00974696" w:rsidP="00337239">
      <w:pPr>
        <w:contextualSpacing/>
        <w:rPr>
          <w:lang w:val="es-MX"/>
        </w:rPr>
      </w:pPr>
    </w:p>
    <w:p w14:paraId="20573BFF" w14:textId="527B76CC" w:rsidR="00A970D5" w:rsidRPr="00D14C05" w:rsidRDefault="00D14C05" w:rsidP="00337239">
      <w:pPr>
        <w:pBdr>
          <w:top w:val="nil"/>
          <w:left w:val="nil"/>
          <w:bottom w:val="nil"/>
          <w:right w:val="nil"/>
          <w:between w:val="nil"/>
        </w:pBdr>
        <w:contextualSpacing/>
        <w:rPr>
          <w:rFonts w:eastAsia="Palatino Linotype" w:cs="Palatino Linotype"/>
          <w:color w:val="000000"/>
          <w:szCs w:val="24"/>
        </w:rPr>
      </w:pPr>
      <w:r w:rsidRPr="00D14C05">
        <w:rPr>
          <w:rFonts w:eastAsia="Times New Roman"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D14C05">
        <w:rPr>
          <w:rFonts w:eastAsia="Palatino Linotype" w:cs="Palatino Linotype"/>
          <w:color w:val="000000"/>
          <w:szCs w:val="24"/>
        </w:rPr>
        <w:t>.</w:t>
      </w:r>
      <w:r w:rsidR="001957CF" w:rsidRPr="00D14C05">
        <w:rPr>
          <w:rFonts w:eastAsia="Palatino Linotype" w:cs="Palatino Linotype"/>
          <w:color w:val="000000"/>
          <w:szCs w:val="24"/>
        </w:rPr>
        <w:t>--------------</w:t>
      </w:r>
      <w:r w:rsidR="00C6512A" w:rsidRPr="00D14C05">
        <w:rPr>
          <w:rFonts w:eastAsia="Palatino Linotype" w:cs="Palatino Linotype"/>
          <w:color w:val="000000"/>
          <w:szCs w:val="24"/>
        </w:rPr>
        <w:t>---------</w:t>
      </w:r>
      <w:r w:rsidR="00337FA1" w:rsidRPr="00D14C05">
        <w:rPr>
          <w:rFonts w:eastAsia="Palatino Linotype" w:cs="Palatino Linotype"/>
          <w:color w:val="000000"/>
          <w:szCs w:val="24"/>
        </w:rPr>
        <w:t>-----</w:t>
      </w:r>
      <w:r w:rsidR="0075725A" w:rsidRPr="00D14C05">
        <w:rPr>
          <w:rFonts w:eastAsia="Palatino Linotype" w:cs="Palatino Linotype"/>
          <w:color w:val="000000"/>
          <w:szCs w:val="24"/>
        </w:rPr>
        <w:t>-----------------------------------------</w:t>
      </w:r>
      <w:r w:rsidR="00EB1223" w:rsidRPr="00D14C05">
        <w:rPr>
          <w:rFonts w:eastAsia="Palatino Linotype" w:cs="Palatino Linotype"/>
          <w:color w:val="000000"/>
          <w:szCs w:val="24"/>
        </w:rPr>
        <w:t>---------------------------------------------------------------------------------------------------------------------------------------------------------------------------------------------------------------------------------------------------------------------------------------------------------------------------------------------------------------</w:t>
      </w:r>
      <w:r w:rsidR="00925804" w:rsidRPr="00D14C05">
        <w:rPr>
          <w:rFonts w:eastAsia="Palatino Linotype" w:cs="Palatino Linotype"/>
          <w:color w:val="000000"/>
          <w:szCs w:val="24"/>
        </w:rPr>
        <w:t>--------------------------------------------------------------------------------------------------------------------------------------------------------------------------------------------------------------</w:t>
      </w:r>
      <w:r w:rsidR="009A5C26" w:rsidRPr="00D14C05">
        <w:rPr>
          <w:rFonts w:eastAsia="Palatino Linotype" w:cs="Palatino Linotype"/>
          <w:color w:val="000000"/>
          <w:szCs w:val="24"/>
        </w:rPr>
        <w:t>-</w:t>
      </w:r>
      <w:r w:rsidR="00925804" w:rsidRPr="00D14C05">
        <w:rPr>
          <w:rFonts w:eastAsia="Palatino Linotype" w:cs="Palatino Linotype"/>
          <w:color w:val="000000"/>
          <w:szCs w:val="24"/>
        </w:rPr>
        <w:t>------------------------------------------------------------</w:t>
      </w:r>
    </w:p>
    <w:p w14:paraId="4DA57669" w14:textId="4D1D3E55" w:rsidR="00A970D5" w:rsidRPr="004B7011" w:rsidRDefault="44E9108F" w:rsidP="00337239">
      <w:pPr>
        <w:pBdr>
          <w:top w:val="nil"/>
          <w:left w:val="nil"/>
          <w:bottom w:val="nil"/>
          <w:right w:val="nil"/>
          <w:between w:val="nil"/>
        </w:pBdr>
        <w:contextualSpacing/>
        <w:rPr>
          <w:rFonts w:eastAsia="Palatino Linotype" w:cs="Palatino Linotype"/>
          <w:color w:val="000000"/>
          <w:sz w:val="20"/>
          <w:szCs w:val="20"/>
          <w:lang w:val="es-ES"/>
        </w:rPr>
      </w:pPr>
      <w:r w:rsidRPr="00D14C05">
        <w:rPr>
          <w:rFonts w:eastAsia="Palatino Linotype" w:cs="Palatino Linotype"/>
          <w:color w:val="000000" w:themeColor="text1"/>
          <w:sz w:val="20"/>
          <w:szCs w:val="20"/>
          <w:lang w:val="es-ES"/>
        </w:rPr>
        <w:t>JMV/CCR/</w:t>
      </w:r>
    </w:p>
    <w:p w14:paraId="607C2072"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337239">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337239"/>
    <w:sectPr w:rsidR="00D718B8" w:rsidRPr="004B7011" w:rsidSect="004F5285">
      <w:headerReference w:type="even" r:id="rId11"/>
      <w:headerReference w:type="default" r:id="rId12"/>
      <w:footerReference w:type="default" r:id="rId13"/>
      <w:headerReference w:type="first" r:id="rId14"/>
      <w:footerReference w:type="first" r:id="rId15"/>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06880" w14:textId="77777777" w:rsidR="00A946F5" w:rsidRDefault="00A946F5" w:rsidP="00F2498E">
      <w:pPr>
        <w:spacing w:line="240" w:lineRule="auto"/>
      </w:pPr>
      <w:r>
        <w:separator/>
      </w:r>
    </w:p>
  </w:endnote>
  <w:endnote w:type="continuationSeparator" w:id="0">
    <w:p w14:paraId="302498F9" w14:textId="77777777" w:rsidR="00A946F5" w:rsidRDefault="00A946F5" w:rsidP="00F2498E">
      <w:pPr>
        <w:spacing w:line="240" w:lineRule="auto"/>
      </w:pPr>
      <w:r>
        <w:continuationSeparator/>
      </w:r>
    </w:p>
  </w:endnote>
  <w:endnote w:type="continuationNotice" w:id="1">
    <w:p w14:paraId="22EC040C" w14:textId="77777777" w:rsidR="00A946F5" w:rsidRDefault="00A946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790A5D1" w:rsidR="00F81E88" w:rsidRPr="00871A91" w:rsidRDefault="00F81E88"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D604F">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D604F">
      <w:rPr>
        <w:rFonts w:ascii="Palatino Linotype" w:hAnsi="Palatino Linotype"/>
        <w:b/>
        <w:bCs/>
        <w:noProof/>
        <w:sz w:val="20"/>
      </w:rPr>
      <w:t>45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6EF10660" w:rsidR="00F81E88" w:rsidRPr="00871A91" w:rsidRDefault="00F81E88"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D604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D604F">
      <w:rPr>
        <w:rFonts w:ascii="Palatino Linotype" w:hAnsi="Palatino Linotype"/>
        <w:b/>
        <w:bCs/>
        <w:noProof/>
        <w:sz w:val="20"/>
      </w:rPr>
      <w:t>45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5A02C" w14:textId="77777777" w:rsidR="00A946F5" w:rsidRDefault="00A946F5" w:rsidP="00F2498E">
      <w:pPr>
        <w:spacing w:line="240" w:lineRule="auto"/>
      </w:pPr>
      <w:r>
        <w:separator/>
      </w:r>
    </w:p>
  </w:footnote>
  <w:footnote w:type="continuationSeparator" w:id="0">
    <w:p w14:paraId="1612D6EB" w14:textId="77777777" w:rsidR="00A946F5" w:rsidRDefault="00A946F5" w:rsidP="00F2498E">
      <w:pPr>
        <w:spacing w:line="240" w:lineRule="auto"/>
      </w:pPr>
      <w:r>
        <w:continuationSeparator/>
      </w:r>
    </w:p>
  </w:footnote>
  <w:footnote w:type="continuationNotice" w:id="1">
    <w:p w14:paraId="7F94F8F0" w14:textId="77777777" w:rsidR="00A946F5" w:rsidRDefault="00A946F5">
      <w:pPr>
        <w:spacing w:line="240" w:lineRule="auto"/>
      </w:pPr>
    </w:p>
  </w:footnote>
  <w:footnote w:id="2">
    <w:p w14:paraId="2BCE50A0" w14:textId="77777777" w:rsidR="00F81E88" w:rsidRPr="0031280C" w:rsidRDefault="00F81E88"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F81E88" w:rsidRPr="0031280C" w:rsidRDefault="00F81E88"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F81E88" w:rsidRPr="0031280C" w:rsidRDefault="00F81E88"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F81E88" w:rsidRPr="0031280C" w:rsidRDefault="00F81E88"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F81E88" w:rsidRDefault="00A946F5">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81E88" w:rsidRPr="00B17577" w14:paraId="37B9EBDE" w14:textId="77777777" w:rsidTr="003938ED">
      <w:trPr>
        <w:trHeight w:val="227"/>
      </w:trPr>
      <w:tc>
        <w:tcPr>
          <w:tcW w:w="5103" w:type="dxa"/>
          <w:hideMark/>
        </w:tcPr>
        <w:p w14:paraId="4964FBC5" w14:textId="54CDA645" w:rsidR="00F81E88" w:rsidRPr="00096248" w:rsidRDefault="00F81E88"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6BAA2773" w:rsidR="00F81E88" w:rsidRPr="00096248" w:rsidRDefault="00F81E88" w:rsidP="00806FBE">
          <w:pPr>
            <w:spacing w:after="120" w:line="240" w:lineRule="auto"/>
            <w:ind w:right="71"/>
            <w:jc w:val="right"/>
            <w:rPr>
              <w:rFonts w:cs="Arial"/>
              <w:b/>
              <w:szCs w:val="24"/>
            </w:rPr>
          </w:pPr>
          <w:r>
            <w:rPr>
              <w:rFonts w:cs="Arial"/>
              <w:b/>
              <w:bCs/>
              <w:szCs w:val="24"/>
            </w:rPr>
            <w:t>08615/INFOEM/IP/RR/2025</w:t>
          </w:r>
        </w:p>
      </w:tc>
    </w:tr>
    <w:tr w:rsidR="00F81E88" w14:paraId="7591D3C9" w14:textId="77777777" w:rsidTr="003938ED">
      <w:trPr>
        <w:trHeight w:val="242"/>
      </w:trPr>
      <w:tc>
        <w:tcPr>
          <w:tcW w:w="5103" w:type="dxa"/>
          <w:hideMark/>
        </w:tcPr>
        <w:p w14:paraId="729A65A8" w14:textId="77777777" w:rsidR="00F81E88" w:rsidRPr="00096248" w:rsidRDefault="00F81E88"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2DB00750" w:rsidR="00F81E88" w:rsidRPr="00096248" w:rsidRDefault="00F81E88" w:rsidP="00011C4D">
          <w:pPr>
            <w:spacing w:after="120" w:line="240" w:lineRule="auto"/>
            <w:ind w:left="-81" w:right="71"/>
            <w:jc w:val="right"/>
            <w:rPr>
              <w:rFonts w:cs="Arial"/>
              <w:szCs w:val="24"/>
            </w:rPr>
          </w:pPr>
          <w:r w:rsidRPr="009664D0">
            <w:rPr>
              <w:rFonts w:cs="Arial"/>
              <w:szCs w:val="24"/>
            </w:rPr>
            <w:t>Organismo Público Descentralizado para la Prestación de los Servicios de Agua Potable, Alcantarillado y Saneamiento de Teoloyucan</w:t>
          </w:r>
        </w:p>
      </w:tc>
    </w:tr>
    <w:tr w:rsidR="00F81E88" w:rsidRPr="00F63239" w14:paraId="037E914D" w14:textId="77777777" w:rsidTr="003938ED">
      <w:trPr>
        <w:trHeight w:val="342"/>
      </w:trPr>
      <w:tc>
        <w:tcPr>
          <w:tcW w:w="5103" w:type="dxa"/>
          <w:hideMark/>
        </w:tcPr>
        <w:p w14:paraId="7676B68F" w14:textId="64D69EAF" w:rsidR="00F81E88" w:rsidRPr="00096248" w:rsidRDefault="00F81E88"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F81E88" w:rsidRDefault="00F81E88"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F81E88" w:rsidRPr="00711916" w:rsidRDefault="00F81E88" w:rsidP="00011C4D">
          <w:pPr>
            <w:spacing w:after="120" w:line="240" w:lineRule="auto"/>
            <w:ind w:left="-486" w:right="71" w:firstLine="567"/>
            <w:jc w:val="right"/>
            <w:rPr>
              <w:rFonts w:cs="Arial"/>
              <w:sz w:val="2"/>
              <w:szCs w:val="2"/>
            </w:rPr>
          </w:pPr>
        </w:p>
      </w:tc>
    </w:tr>
  </w:tbl>
  <w:p w14:paraId="2998DBFD" w14:textId="25A9F426" w:rsidR="00F81E88" w:rsidRPr="00871A91" w:rsidRDefault="00A946F5">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F81E88">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81E88" w14:paraId="0F9FE9B6" w14:textId="77777777" w:rsidTr="70652167">
      <w:trPr>
        <w:trHeight w:val="227"/>
      </w:trPr>
      <w:tc>
        <w:tcPr>
          <w:tcW w:w="5103" w:type="dxa"/>
          <w:hideMark/>
        </w:tcPr>
        <w:p w14:paraId="6D1D9D71" w14:textId="11150E5A" w:rsidR="00F81E88" w:rsidRPr="00663A37" w:rsidRDefault="00F81E88"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A554928" w:rsidR="00F81E88" w:rsidRPr="00C81ECD" w:rsidRDefault="00F81E88" w:rsidP="00806FBE">
          <w:pPr>
            <w:spacing w:after="120" w:line="240" w:lineRule="auto"/>
            <w:ind w:left="-486" w:right="68" w:firstLine="558"/>
            <w:jc w:val="right"/>
            <w:rPr>
              <w:rFonts w:cs="Arial"/>
              <w:b/>
              <w:szCs w:val="24"/>
            </w:rPr>
          </w:pPr>
          <w:r>
            <w:rPr>
              <w:rFonts w:cs="Arial"/>
              <w:b/>
              <w:bCs/>
              <w:szCs w:val="24"/>
            </w:rPr>
            <w:t>08615/INFOEM/IP/RR/2025</w:t>
          </w:r>
        </w:p>
      </w:tc>
    </w:tr>
    <w:tr w:rsidR="00F81E88" w:rsidRPr="001F57CD" w14:paraId="1377D264" w14:textId="77777777" w:rsidTr="70652167">
      <w:trPr>
        <w:trHeight w:val="196"/>
      </w:trPr>
      <w:tc>
        <w:tcPr>
          <w:tcW w:w="5103" w:type="dxa"/>
          <w:hideMark/>
        </w:tcPr>
        <w:p w14:paraId="04D597A1" w14:textId="77777777" w:rsidR="00F81E88" w:rsidRPr="00663A37" w:rsidRDefault="00F81E88"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ED2E84A" w:rsidR="00F81E88" w:rsidRPr="00663A37" w:rsidRDefault="001D604F" w:rsidP="70652167">
          <w:pPr>
            <w:spacing w:after="120" w:line="240" w:lineRule="auto"/>
            <w:ind w:right="68"/>
            <w:jc w:val="right"/>
            <w:rPr>
              <w:rFonts w:cs="Arial"/>
              <w:lang w:val="es-ES"/>
            </w:rPr>
          </w:pPr>
          <w:r>
            <w:rPr>
              <w:rFonts w:cs="Arial"/>
              <w:lang w:val="es-ES"/>
            </w:rPr>
            <w:t>xxxxx</w:t>
          </w:r>
        </w:p>
      </w:tc>
    </w:tr>
    <w:tr w:rsidR="00F81E88" w14:paraId="4DC11993" w14:textId="77777777" w:rsidTr="70652167">
      <w:trPr>
        <w:trHeight w:val="242"/>
      </w:trPr>
      <w:tc>
        <w:tcPr>
          <w:tcW w:w="5103" w:type="dxa"/>
          <w:hideMark/>
        </w:tcPr>
        <w:p w14:paraId="76CEF1B5" w14:textId="77777777" w:rsidR="00F81E88" w:rsidRPr="00663A37" w:rsidRDefault="00F81E88"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5455D4CC" w:rsidR="00F81E88" w:rsidRPr="00663A37" w:rsidRDefault="00F81E88" w:rsidP="00771E23">
          <w:pPr>
            <w:spacing w:after="120" w:line="240" w:lineRule="auto"/>
            <w:ind w:left="-70" w:right="68"/>
            <w:jc w:val="right"/>
            <w:rPr>
              <w:rFonts w:cs="Arial"/>
              <w:szCs w:val="24"/>
            </w:rPr>
          </w:pPr>
          <w:r w:rsidRPr="009664D0">
            <w:rPr>
              <w:rFonts w:cs="Arial"/>
              <w:szCs w:val="24"/>
            </w:rPr>
            <w:t>Organismo Público Descentralizado para la Prestación de los Servicios de Agua Potable, Alcantarillado y Saneamiento de Teoloyucan</w:t>
          </w:r>
        </w:p>
      </w:tc>
    </w:tr>
    <w:tr w:rsidR="00F81E88" w14:paraId="5C2B511D" w14:textId="77777777" w:rsidTr="70652167">
      <w:trPr>
        <w:trHeight w:val="342"/>
      </w:trPr>
      <w:tc>
        <w:tcPr>
          <w:tcW w:w="5103" w:type="dxa"/>
          <w:hideMark/>
        </w:tcPr>
        <w:p w14:paraId="03FEF68C" w14:textId="45E91CF4" w:rsidR="00F81E88" w:rsidRPr="00663A37" w:rsidRDefault="00F81E88"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F81E88" w:rsidRPr="00663A37" w:rsidRDefault="00F81E88"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F81E88" w:rsidRPr="00871A91" w:rsidRDefault="00A946F5">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F81E88">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F50369"/>
    <w:multiLevelType w:val="multilevel"/>
    <w:tmpl w:val="33C44EDA"/>
    <w:lvl w:ilvl="0">
      <w:start w:val="1"/>
      <w:numFmt w:val="decimal"/>
      <w:lvlText w:val="%1."/>
      <w:lvlJc w:val="left"/>
      <w:pPr>
        <w:ind w:left="709" w:hanging="425"/>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083B68"/>
    <w:multiLevelType w:val="hybridMultilevel"/>
    <w:tmpl w:val="8D742C7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06DB3E50"/>
    <w:multiLevelType w:val="hybridMultilevel"/>
    <w:tmpl w:val="6F66F612"/>
    <w:lvl w:ilvl="0" w:tplc="CD6A1296">
      <w:start w:val="1"/>
      <w:numFmt w:val="decimal"/>
      <w:lvlText w:val="%1."/>
      <w:lvlJc w:val="left"/>
      <w:pPr>
        <w:ind w:left="720" w:hanging="360"/>
      </w:pPr>
      <w:rPr>
        <w:rFonts w:eastAsiaTheme="minorHAnsi" w:hint="default"/>
        <w:b w:val="0"/>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74505F"/>
    <w:multiLevelType w:val="multilevel"/>
    <w:tmpl w:val="FFFFFFFF"/>
    <w:lvl w:ilvl="0">
      <w:start w:val="1"/>
      <w:numFmt w:val="lowerLetter"/>
      <w:pStyle w:val="Listaconvietas3"/>
      <w:lvlText w:val="%1)"/>
      <w:lvlJc w:val="left"/>
      <w:pPr>
        <w:ind w:left="1211" w:hanging="360"/>
      </w:pPr>
      <w:rPr>
        <w:rFonts w:cs="Times New Roman"/>
        <w:b/>
      </w:rPr>
    </w:lvl>
    <w:lvl w:ilvl="1">
      <w:start w:val="1"/>
      <w:numFmt w:val="lowerLetter"/>
      <w:lvlText w:val="%2."/>
      <w:lvlJc w:val="left"/>
      <w:pPr>
        <w:ind w:left="1931" w:hanging="360"/>
      </w:pPr>
      <w:rPr>
        <w:rFonts w:cs="Times New Roman"/>
      </w:rPr>
    </w:lvl>
    <w:lvl w:ilvl="2">
      <w:start w:val="1"/>
      <w:numFmt w:val="lowerRoman"/>
      <w:lvlText w:val="%3."/>
      <w:lvlJc w:val="right"/>
      <w:pPr>
        <w:ind w:left="2651" w:hanging="180"/>
      </w:pPr>
      <w:rPr>
        <w:rFonts w:cs="Times New Roman"/>
      </w:rPr>
    </w:lvl>
    <w:lvl w:ilvl="3">
      <w:start w:val="1"/>
      <w:numFmt w:val="decimal"/>
      <w:lvlText w:val="%4."/>
      <w:lvlJc w:val="left"/>
      <w:pPr>
        <w:ind w:left="3371" w:hanging="360"/>
      </w:pPr>
      <w:rPr>
        <w:rFonts w:cs="Times New Roman"/>
      </w:rPr>
    </w:lvl>
    <w:lvl w:ilvl="4">
      <w:start w:val="1"/>
      <w:numFmt w:val="lowerLetter"/>
      <w:lvlText w:val="%5."/>
      <w:lvlJc w:val="left"/>
      <w:pPr>
        <w:ind w:left="4091" w:hanging="360"/>
      </w:pPr>
      <w:rPr>
        <w:rFonts w:cs="Times New Roman"/>
      </w:rPr>
    </w:lvl>
    <w:lvl w:ilvl="5">
      <w:start w:val="1"/>
      <w:numFmt w:val="lowerRoman"/>
      <w:lvlText w:val="%6."/>
      <w:lvlJc w:val="right"/>
      <w:pPr>
        <w:ind w:left="4811" w:hanging="180"/>
      </w:pPr>
      <w:rPr>
        <w:rFonts w:cs="Times New Roman"/>
      </w:rPr>
    </w:lvl>
    <w:lvl w:ilvl="6">
      <w:start w:val="1"/>
      <w:numFmt w:val="decimal"/>
      <w:lvlText w:val="%7."/>
      <w:lvlJc w:val="left"/>
      <w:pPr>
        <w:ind w:left="5531" w:hanging="360"/>
      </w:pPr>
      <w:rPr>
        <w:rFonts w:cs="Times New Roman"/>
      </w:rPr>
    </w:lvl>
    <w:lvl w:ilvl="7">
      <w:start w:val="1"/>
      <w:numFmt w:val="lowerLetter"/>
      <w:lvlText w:val="%8."/>
      <w:lvlJc w:val="left"/>
      <w:pPr>
        <w:ind w:left="6251" w:hanging="360"/>
      </w:pPr>
      <w:rPr>
        <w:rFonts w:cs="Times New Roman"/>
      </w:rPr>
    </w:lvl>
    <w:lvl w:ilvl="8">
      <w:start w:val="1"/>
      <w:numFmt w:val="lowerRoman"/>
      <w:lvlText w:val="%9."/>
      <w:lvlJc w:val="right"/>
      <w:pPr>
        <w:ind w:left="6971" w:hanging="180"/>
      </w:pPr>
      <w:rPr>
        <w:rFonts w:cs="Times New Roman"/>
      </w:rPr>
    </w:lvl>
  </w:abstractNum>
  <w:abstractNum w:abstractNumId="18" w15:restartNumberingAfterBreak="0">
    <w:nsid w:val="150A482D"/>
    <w:multiLevelType w:val="hybridMultilevel"/>
    <w:tmpl w:val="6C6608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8413CDF"/>
    <w:multiLevelType w:val="hybridMultilevel"/>
    <w:tmpl w:val="ECB47C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15:restartNumberingAfterBreak="0">
    <w:nsid w:val="1FA072D2"/>
    <w:multiLevelType w:val="hybridMultilevel"/>
    <w:tmpl w:val="FFFFFFFF"/>
    <w:styleLink w:val="Estiloimportado1"/>
    <w:lvl w:ilvl="0" w:tplc="6AE8E0D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2E58419E">
      <w:start w:val="1"/>
      <w:numFmt w:val="decimal"/>
      <w:lvlText w:val="%2."/>
      <w:lvlJc w:val="left"/>
      <w:pPr>
        <w:ind w:left="108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9FC8539E">
      <w:start w:val="1"/>
      <w:numFmt w:val="decimal"/>
      <w:lvlText w:val="%3."/>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3C74AAF4">
      <w:start w:val="1"/>
      <w:numFmt w:val="decimal"/>
      <w:lvlText w:val="%4."/>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CC7C3BF0">
      <w:start w:val="1"/>
      <w:numFmt w:val="decimal"/>
      <w:lvlText w:val="%5."/>
      <w:lvlJc w:val="left"/>
      <w:pPr>
        <w:ind w:left="324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FA44872C">
      <w:start w:val="1"/>
      <w:numFmt w:val="decimal"/>
      <w:lvlText w:val="%6."/>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373C5808">
      <w:start w:val="1"/>
      <w:numFmt w:val="decimal"/>
      <w:lvlText w:val="%7."/>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9816EAB0">
      <w:start w:val="1"/>
      <w:numFmt w:val="decimal"/>
      <w:lvlText w:val="%8."/>
      <w:lvlJc w:val="left"/>
      <w:pPr>
        <w:ind w:left="540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E4F412EE">
      <w:start w:val="1"/>
      <w:numFmt w:val="decimal"/>
      <w:lvlText w:val="%9."/>
      <w:lvlJc w:val="left"/>
      <w:pPr>
        <w:ind w:left="6120" w:hanging="36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3"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336561CC"/>
    <w:multiLevelType w:val="hybridMultilevel"/>
    <w:tmpl w:val="FFFFFFFF"/>
    <w:styleLink w:val="Estiloimportado2"/>
    <w:lvl w:ilvl="0" w:tplc="82300D46">
      <w:start w:val="1"/>
      <w:numFmt w:val="decimal"/>
      <w:lvlText w:val="%1."/>
      <w:lvlJc w:val="left"/>
      <w:pPr>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A960727A">
      <w:start w:val="1"/>
      <w:numFmt w:val="decimal"/>
      <w:lvlText w:val="%2."/>
      <w:lvlJc w:val="left"/>
      <w:pPr>
        <w:ind w:left="108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4D589C78">
      <w:start w:val="1"/>
      <w:numFmt w:val="decimal"/>
      <w:lvlText w:val="%3."/>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3" w:tplc="2682AF7A">
      <w:start w:val="1"/>
      <w:numFmt w:val="decimal"/>
      <w:lvlText w:val="%4."/>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67FA7FFE">
      <w:start w:val="1"/>
      <w:numFmt w:val="decimal"/>
      <w:lvlText w:val="%5."/>
      <w:lvlJc w:val="left"/>
      <w:pPr>
        <w:ind w:left="324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96FCDF74">
      <w:start w:val="1"/>
      <w:numFmt w:val="decimal"/>
      <w:lvlText w:val="%6."/>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6" w:tplc="FE5A7246">
      <w:start w:val="1"/>
      <w:numFmt w:val="decimal"/>
      <w:lvlText w:val="%7."/>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6C7A20EA">
      <w:start w:val="1"/>
      <w:numFmt w:val="decimal"/>
      <w:lvlText w:val="%8."/>
      <w:lvlJc w:val="left"/>
      <w:pPr>
        <w:ind w:left="540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17069066">
      <w:start w:val="1"/>
      <w:numFmt w:val="decimal"/>
      <w:lvlText w:val="%9."/>
      <w:lvlJc w:val="left"/>
      <w:pPr>
        <w:ind w:left="6120" w:hanging="360"/>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35" w15:restartNumberingAfterBreak="0">
    <w:nsid w:val="34333954"/>
    <w:multiLevelType w:val="hybridMultilevel"/>
    <w:tmpl w:val="15C6A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7"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3B4453F5"/>
    <w:multiLevelType w:val="multilevel"/>
    <w:tmpl w:val="FB9C3508"/>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41"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27970B8"/>
    <w:multiLevelType w:val="hybridMultilevel"/>
    <w:tmpl w:val="3A2276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218315E"/>
    <w:multiLevelType w:val="multilevel"/>
    <w:tmpl w:val="AFD40AAC"/>
    <w:styleLink w:val="Listaactual112"/>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6"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7"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7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0"/>
  </w:num>
  <w:num w:numId="2">
    <w:abstractNumId w:val="56"/>
  </w:num>
  <w:num w:numId="3">
    <w:abstractNumId w:val="21"/>
  </w:num>
  <w:num w:numId="4">
    <w:abstractNumId w:val="68"/>
  </w:num>
  <w:num w:numId="5">
    <w:abstractNumId w:val="8"/>
  </w:num>
  <w:num w:numId="6">
    <w:abstractNumId w:val="60"/>
  </w:num>
  <w:num w:numId="7">
    <w:abstractNumId w:val="16"/>
  </w:num>
  <w:num w:numId="8">
    <w:abstractNumId w:val="6"/>
  </w:num>
  <w:num w:numId="9">
    <w:abstractNumId w:val="31"/>
  </w:num>
  <w:num w:numId="10">
    <w:abstractNumId w:val="32"/>
  </w:num>
  <w:num w:numId="11">
    <w:abstractNumId w:val="74"/>
  </w:num>
  <w:num w:numId="12">
    <w:abstractNumId w:val="66"/>
  </w:num>
  <w:num w:numId="13">
    <w:abstractNumId w:val="46"/>
  </w:num>
  <w:num w:numId="14">
    <w:abstractNumId w:val="55"/>
  </w:num>
  <w:num w:numId="15">
    <w:abstractNumId w:val="28"/>
  </w:num>
  <w:num w:numId="16">
    <w:abstractNumId w:val="45"/>
  </w:num>
  <w:num w:numId="17">
    <w:abstractNumId w:val="24"/>
  </w:num>
  <w:num w:numId="18">
    <w:abstractNumId w:val="11"/>
  </w:num>
  <w:num w:numId="19">
    <w:abstractNumId w:val="12"/>
  </w:num>
  <w:num w:numId="20">
    <w:abstractNumId w:val="22"/>
  </w:num>
  <w:num w:numId="21">
    <w:abstractNumId w:val="38"/>
  </w:num>
  <w:num w:numId="22">
    <w:abstractNumId w:val="5"/>
  </w:num>
  <w:num w:numId="23">
    <w:abstractNumId w:val="51"/>
  </w:num>
  <w:num w:numId="24">
    <w:abstractNumId w:val="59"/>
  </w:num>
  <w:num w:numId="25">
    <w:abstractNumId w:val="67"/>
  </w:num>
  <w:num w:numId="26">
    <w:abstractNumId w:val="30"/>
  </w:num>
  <w:num w:numId="27">
    <w:abstractNumId w:val="62"/>
  </w:num>
  <w:num w:numId="28">
    <w:abstractNumId w:val="41"/>
  </w:num>
  <w:num w:numId="29">
    <w:abstractNumId w:val="36"/>
  </w:num>
  <w:num w:numId="30">
    <w:abstractNumId w:val="25"/>
  </w:num>
  <w:num w:numId="31">
    <w:abstractNumId w:val="53"/>
  </w:num>
  <w:num w:numId="32">
    <w:abstractNumId w:val="58"/>
  </w:num>
  <w:num w:numId="33">
    <w:abstractNumId w:val="10"/>
  </w:num>
  <w:num w:numId="34">
    <w:abstractNumId w:val="70"/>
  </w:num>
  <w:num w:numId="35">
    <w:abstractNumId w:val="75"/>
  </w:num>
  <w:num w:numId="36">
    <w:abstractNumId w:val="65"/>
  </w:num>
  <w:num w:numId="37">
    <w:abstractNumId w:val="13"/>
  </w:num>
  <w:num w:numId="38">
    <w:abstractNumId w:val="63"/>
  </w:num>
  <w:num w:numId="39">
    <w:abstractNumId w:val="14"/>
  </w:num>
  <w:num w:numId="40">
    <w:abstractNumId w:val="61"/>
  </w:num>
  <w:num w:numId="41">
    <w:abstractNumId w:val="69"/>
  </w:num>
  <w:num w:numId="42">
    <w:abstractNumId w:val="0"/>
  </w:num>
  <w:num w:numId="43">
    <w:abstractNumId w:val="4"/>
  </w:num>
  <w:num w:numId="44">
    <w:abstractNumId w:val="43"/>
  </w:num>
  <w:num w:numId="45">
    <w:abstractNumId w:val="29"/>
  </w:num>
  <w:num w:numId="46">
    <w:abstractNumId w:val="71"/>
  </w:num>
  <w:num w:numId="47">
    <w:abstractNumId w:val="39"/>
  </w:num>
  <w:num w:numId="48">
    <w:abstractNumId w:val="76"/>
  </w:num>
  <w:num w:numId="49">
    <w:abstractNumId w:val="15"/>
  </w:num>
  <w:num w:numId="50">
    <w:abstractNumId w:val="54"/>
  </w:num>
  <w:num w:numId="51">
    <w:abstractNumId w:val="52"/>
  </w:num>
  <w:num w:numId="52">
    <w:abstractNumId w:val="9"/>
  </w:num>
  <w:num w:numId="53">
    <w:abstractNumId w:val="7"/>
  </w:num>
  <w:num w:numId="54">
    <w:abstractNumId w:val="49"/>
  </w:num>
  <w:num w:numId="55">
    <w:abstractNumId w:val="20"/>
  </w:num>
  <w:num w:numId="56">
    <w:abstractNumId w:val="23"/>
  </w:num>
  <w:num w:numId="57">
    <w:abstractNumId w:val="48"/>
  </w:num>
  <w:num w:numId="58">
    <w:abstractNumId w:val="40"/>
  </w:num>
  <w:num w:numId="59">
    <w:abstractNumId w:val="37"/>
  </w:num>
  <w:num w:numId="60">
    <w:abstractNumId w:val="72"/>
  </w:num>
  <w:num w:numId="61">
    <w:abstractNumId w:val="47"/>
  </w:num>
  <w:num w:numId="62">
    <w:abstractNumId w:val="64"/>
  </w:num>
  <w:num w:numId="63">
    <w:abstractNumId w:val="1"/>
  </w:num>
  <w:num w:numId="64">
    <w:abstractNumId w:val="33"/>
  </w:num>
  <w:num w:numId="65">
    <w:abstractNumId w:val="19"/>
  </w:num>
  <w:num w:numId="66">
    <w:abstractNumId w:val="73"/>
  </w:num>
  <w:num w:numId="67">
    <w:abstractNumId w:val="42"/>
  </w:num>
  <w:num w:numId="68">
    <w:abstractNumId w:val="26"/>
  </w:num>
  <w:num w:numId="69">
    <w:abstractNumId w:val="18"/>
  </w:num>
  <w:num w:numId="70">
    <w:abstractNumId w:val="57"/>
  </w:num>
  <w:num w:numId="71">
    <w:abstractNumId w:val="34"/>
  </w:num>
  <w:num w:numId="72">
    <w:abstractNumId w:val="27"/>
  </w:num>
  <w:num w:numId="73">
    <w:abstractNumId w:val="17"/>
  </w:num>
  <w:num w:numId="74">
    <w:abstractNumId w:val="3"/>
  </w:num>
  <w:num w:numId="75">
    <w:abstractNumId w:val="44"/>
  </w:num>
  <w:num w:numId="76">
    <w:abstractNumId w:val="35"/>
  </w:num>
  <w:num w:numId="77">
    <w:abstractNumId w:val="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27FFC"/>
    <w:rsid w:val="00030A57"/>
    <w:rsid w:val="00030AB0"/>
    <w:rsid w:val="000313D2"/>
    <w:rsid w:val="00031BA3"/>
    <w:rsid w:val="000325A7"/>
    <w:rsid w:val="00032686"/>
    <w:rsid w:val="0003268C"/>
    <w:rsid w:val="00032C99"/>
    <w:rsid w:val="00032FBE"/>
    <w:rsid w:val="00033089"/>
    <w:rsid w:val="00033336"/>
    <w:rsid w:val="00033479"/>
    <w:rsid w:val="00033562"/>
    <w:rsid w:val="000336D2"/>
    <w:rsid w:val="000343A2"/>
    <w:rsid w:val="0003521B"/>
    <w:rsid w:val="0003577D"/>
    <w:rsid w:val="00035A30"/>
    <w:rsid w:val="0003692B"/>
    <w:rsid w:val="000369F1"/>
    <w:rsid w:val="00036D5F"/>
    <w:rsid w:val="00036D83"/>
    <w:rsid w:val="00036EFC"/>
    <w:rsid w:val="00037938"/>
    <w:rsid w:val="00040A10"/>
    <w:rsid w:val="00041421"/>
    <w:rsid w:val="00041670"/>
    <w:rsid w:val="000417B8"/>
    <w:rsid w:val="000417BE"/>
    <w:rsid w:val="00041AE7"/>
    <w:rsid w:val="00041DEA"/>
    <w:rsid w:val="00042641"/>
    <w:rsid w:val="000429D8"/>
    <w:rsid w:val="00042C8A"/>
    <w:rsid w:val="00042C95"/>
    <w:rsid w:val="00043780"/>
    <w:rsid w:val="000452AA"/>
    <w:rsid w:val="00045F86"/>
    <w:rsid w:val="00046717"/>
    <w:rsid w:val="00046A15"/>
    <w:rsid w:val="00047890"/>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BF0"/>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39B"/>
    <w:rsid w:val="000A3F41"/>
    <w:rsid w:val="000A4202"/>
    <w:rsid w:val="000A445D"/>
    <w:rsid w:val="000A4BDB"/>
    <w:rsid w:val="000A53E1"/>
    <w:rsid w:val="000A5EA1"/>
    <w:rsid w:val="000A6945"/>
    <w:rsid w:val="000A6B98"/>
    <w:rsid w:val="000A6F53"/>
    <w:rsid w:val="000A7138"/>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444"/>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6B2"/>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075D4"/>
    <w:rsid w:val="0011071D"/>
    <w:rsid w:val="001107C4"/>
    <w:rsid w:val="0011108B"/>
    <w:rsid w:val="0011110C"/>
    <w:rsid w:val="001116B7"/>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5245"/>
    <w:rsid w:val="00145C22"/>
    <w:rsid w:val="001464CD"/>
    <w:rsid w:val="0014666C"/>
    <w:rsid w:val="0014715B"/>
    <w:rsid w:val="00147BF3"/>
    <w:rsid w:val="00147D4D"/>
    <w:rsid w:val="00150293"/>
    <w:rsid w:val="001502AD"/>
    <w:rsid w:val="00150415"/>
    <w:rsid w:val="00150712"/>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CCE"/>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04F"/>
    <w:rsid w:val="001D6377"/>
    <w:rsid w:val="001D660A"/>
    <w:rsid w:val="001D6CA8"/>
    <w:rsid w:val="001D721F"/>
    <w:rsid w:val="001D73AD"/>
    <w:rsid w:val="001D78C5"/>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327B"/>
    <w:rsid w:val="002132F2"/>
    <w:rsid w:val="002144CB"/>
    <w:rsid w:val="0021483D"/>
    <w:rsid w:val="00214B09"/>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0A4D"/>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CF5"/>
    <w:rsid w:val="00252F83"/>
    <w:rsid w:val="002530AE"/>
    <w:rsid w:val="0025386E"/>
    <w:rsid w:val="00254346"/>
    <w:rsid w:val="002547B2"/>
    <w:rsid w:val="00255328"/>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9A0"/>
    <w:rsid w:val="00273312"/>
    <w:rsid w:val="0027395D"/>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7F6"/>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27E"/>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6A5"/>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7"/>
    <w:rsid w:val="002F40FF"/>
    <w:rsid w:val="002F5101"/>
    <w:rsid w:val="002F52C1"/>
    <w:rsid w:val="002F5C83"/>
    <w:rsid w:val="002F6AB0"/>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AE3"/>
    <w:rsid w:val="00315CA2"/>
    <w:rsid w:val="00315DF8"/>
    <w:rsid w:val="0031667E"/>
    <w:rsid w:val="00316A7B"/>
    <w:rsid w:val="003176D1"/>
    <w:rsid w:val="003207ED"/>
    <w:rsid w:val="00320E35"/>
    <w:rsid w:val="0032116B"/>
    <w:rsid w:val="00321B9A"/>
    <w:rsid w:val="0032250C"/>
    <w:rsid w:val="00322FA4"/>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91A"/>
    <w:rsid w:val="00334F21"/>
    <w:rsid w:val="00335A61"/>
    <w:rsid w:val="00336329"/>
    <w:rsid w:val="003365B8"/>
    <w:rsid w:val="0033687B"/>
    <w:rsid w:val="00337088"/>
    <w:rsid w:val="00337239"/>
    <w:rsid w:val="0033735A"/>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5C7"/>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5C3"/>
    <w:rsid w:val="003B461A"/>
    <w:rsid w:val="003B48D1"/>
    <w:rsid w:val="003B4BBE"/>
    <w:rsid w:val="003B542D"/>
    <w:rsid w:val="003B54E4"/>
    <w:rsid w:val="003B5841"/>
    <w:rsid w:val="003B595A"/>
    <w:rsid w:val="003B5FBE"/>
    <w:rsid w:val="003B7208"/>
    <w:rsid w:val="003B73DE"/>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275D"/>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3D8"/>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1BED"/>
    <w:rsid w:val="00411F8F"/>
    <w:rsid w:val="004130ED"/>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2D2"/>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C63"/>
    <w:rsid w:val="004310BB"/>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9FF"/>
    <w:rsid w:val="00456D44"/>
    <w:rsid w:val="004579DC"/>
    <w:rsid w:val="00457A56"/>
    <w:rsid w:val="00460C5B"/>
    <w:rsid w:val="004610DA"/>
    <w:rsid w:val="004615D3"/>
    <w:rsid w:val="0046281E"/>
    <w:rsid w:val="00463909"/>
    <w:rsid w:val="004639C1"/>
    <w:rsid w:val="004642A6"/>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9EF"/>
    <w:rsid w:val="00480A0C"/>
    <w:rsid w:val="00480D99"/>
    <w:rsid w:val="00482C8B"/>
    <w:rsid w:val="00482D0F"/>
    <w:rsid w:val="0048337A"/>
    <w:rsid w:val="004835C8"/>
    <w:rsid w:val="0048384C"/>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D1D"/>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A0597"/>
    <w:rsid w:val="004A0AF8"/>
    <w:rsid w:val="004A0E7A"/>
    <w:rsid w:val="004A2091"/>
    <w:rsid w:val="004A212C"/>
    <w:rsid w:val="004A29FE"/>
    <w:rsid w:val="004A3000"/>
    <w:rsid w:val="004A3264"/>
    <w:rsid w:val="004A3367"/>
    <w:rsid w:val="004A35F0"/>
    <w:rsid w:val="004A3998"/>
    <w:rsid w:val="004A4236"/>
    <w:rsid w:val="004A4437"/>
    <w:rsid w:val="004A4A73"/>
    <w:rsid w:val="004A4AB7"/>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2C0"/>
    <w:rsid w:val="004D64C0"/>
    <w:rsid w:val="004D66AD"/>
    <w:rsid w:val="004D6995"/>
    <w:rsid w:val="004D69DF"/>
    <w:rsid w:val="004E07A1"/>
    <w:rsid w:val="004E0B36"/>
    <w:rsid w:val="004E1729"/>
    <w:rsid w:val="004E1B3C"/>
    <w:rsid w:val="004E1CA8"/>
    <w:rsid w:val="004E1EF4"/>
    <w:rsid w:val="004E32AA"/>
    <w:rsid w:val="004E34A8"/>
    <w:rsid w:val="004E3526"/>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18"/>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9C0"/>
    <w:rsid w:val="00504B42"/>
    <w:rsid w:val="0050566F"/>
    <w:rsid w:val="0050677F"/>
    <w:rsid w:val="00506DB2"/>
    <w:rsid w:val="00507735"/>
    <w:rsid w:val="00507EFE"/>
    <w:rsid w:val="0051074E"/>
    <w:rsid w:val="00510856"/>
    <w:rsid w:val="00510870"/>
    <w:rsid w:val="00510E03"/>
    <w:rsid w:val="00511301"/>
    <w:rsid w:val="0051177C"/>
    <w:rsid w:val="00511AE4"/>
    <w:rsid w:val="0051262E"/>
    <w:rsid w:val="00512A53"/>
    <w:rsid w:val="00512D03"/>
    <w:rsid w:val="005139DC"/>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0B79"/>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D9"/>
    <w:rsid w:val="00547F03"/>
    <w:rsid w:val="0055027F"/>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0BEC"/>
    <w:rsid w:val="0057101D"/>
    <w:rsid w:val="00571527"/>
    <w:rsid w:val="00571CCC"/>
    <w:rsid w:val="005724D3"/>
    <w:rsid w:val="0057256D"/>
    <w:rsid w:val="005727FC"/>
    <w:rsid w:val="00572C2A"/>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7E1"/>
    <w:rsid w:val="005A7E33"/>
    <w:rsid w:val="005B03D3"/>
    <w:rsid w:val="005B10CC"/>
    <w:rsid w:val="005B12BF"/>
    <w:rsid w:val="005B265D"/>
    <w:rsid w:val="005B2942"/>
    <w:rsid w:val="005B32C9"/>
    <w:rsid w:val="005B3971"/>
    <w:rsid w:val="005B4288"/>
    <w:rsid w:val="005B4CD9"/>
    <w:rsid w:val="005B4E14"/>
    <w:rsid w:val="005B52A0"/>
    <w:rsid w:val="005B538B"/>
    <w:rsid w:val="005B5434"/>
    <w:rsid w:val="005B5555"/>
    <w:rsid w:val="005B643F"/>
    <w:rsid w:val="005B6B8A"/>
    <w:rsid w:val="005B6FFD"/>
    <w:rsid w:val="005B7199"/>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0993"/>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1FFD"/>
    <w:rsid w:val="005F21B0"/>
    <w:rsid w:val="005F2E99"/>
    <w:rsid w:val="005F30F1"/>
    <w:rsid w:val="005F3103"/>
    <w:rsid w:val="005F3144"/>
    <w:rsid w:val="005F33B2"/>
    <w:rsid w:val="005F3E13"/>
    <w:rsid w:val="005F4D3D"/>
    <w:rsid w:val="005F514E"/>
    <w:rsid w:val="005F5B10"/>
    <w:rsid w:val="005F6CAB"/>
    <w:rsid w:val="005F760D"/>
    <w:rsid w:val="0060049C"/>
    <w:rsid w:val="0060129A"/>
    <w:rsid w:val="0060161C"/>
    <w:rsid w:val="0060244C"/>
    <w:rsid w:val="006024B2"/>
    <w:rsid w:val="0060270D"/>
    <w:rsid w:val="00602B07"/>
    <w:rsid w:val="00603988"/>
    <w:rsid w:val="0060429C"/>
    <w:rsid w:val="006052E7"/>
    <w:rsid w:val="006055AB"/>
    <w:rsid w:val="0060623B"/>
    <w:rsid w:val="00606BB6"/>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63D"/>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6EF"/>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60B3"/>
    <w:rsid w:val="006A630C"/>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02"/>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48"/>
    <w:rsid w:val="0070042A"/>
    <w:rsid w:val="00700C90"/>
    <w:rsid w:val="00701F34"/>
    <w:rsid w:val="007031A2"/>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8E3"/>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E9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1864"/>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B36"/>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3219"/>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276"/>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6FBE"/>
    <w:rsid w:val="0080741D"/>
    <w:rsid w:val="008074C5"/>
    <w:rsid w:val="00807B2A"/>
    <w:rsid w:val="008101FB"/>
    <w:rsid w:val="008105EA"/>
    <w:rsid w:val="00810E97"/>
    <w:rsid w:val="0081123B"/>
    <w:rsid w:val="00811393"/>
    <w:rsid w:val="0081165E"/>
    <w:rsid w:val="008117DB"/>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3F3"/>
    <w:rsid w:val="008264C9"/>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505FB"/>
    <w:rsid w:val="00851748"/>
    <w:rsid w:val="00852339"/>
    <w:rsid w:val="008523FA"/>
    <w:rsid w:val="008525F9"/>
    <w:rsid w:val="008526E3"/>
    <w:rsid w:val="008529E6"/>
    <w:rsid w:val="00852CDD"/>
    <w:rsid w:val="008542A4"/>
    <w:rsid w:val="008546F5"/>
    <w:rsid w:val="0085493E"/>
    <w:rsid w:val="008549DA"/>
    <w:rsid w:val="00855E11"/>
    <w:rsid w:val="008562D6"/>
    <w:rsid w:val="0085719C"/>
    <w:rsid w:val="008575E1"/>
    <w:rsid w:val="0085760A"/>
    <w:rsid w:val="008576D9"/>
    <w:rsid w:val="00857F5B"/>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4EA"/>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22A"/>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5AE8"/>
    <w:rsid w:val="008D6229"/>
    <w:rsid w:val="008D65A5"/>
    <w:rsid w:val="008D6B04"/>
    <w:rsid w:val="008D72B9"/>
    <w:rsid w:val="008D7AE1"/>
    <w:rsid w:val="008E05B1"/>
    <w:rsid w:val="008E0B4B"/>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1440"/>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804"/>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4D0"/>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696"/>
    <w:rsid w:val="00974A7A"/>
    <w:rsid w:val="00975014"/>
    <w:rsid w:val="009752FA"/>
    <w:rsid w:val="009754C3"/>
    <w:rsid w:val="009755CD"/>
    <w:rsid w:val="009758B1"/>
    <w:rsid w:val="00977693"/>
    <w:rsid w:val="00977A7D"/>
    <w:rsid w:val="00977AC6"/>
    <w:rsid w:val="00977BB1"/>
    <w:rsid w:val="00980C24"/>
    <w:rsid w:val="009818E4"/>
    <w:rsid w:val="00982494"/>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5C26"/>
    <w:rsid w:val="009A640D"/>
    <w:rsid w:val="009A6BA8"/>
    <w:rsid w:val="009A6BB0"/>
    <w:rsid w:val="009A70F6"/>
    <w:rsid w:val="009A7364"/>
    <w:rsid w:val="009A7F00"/>
    <w:rsid w:val="009B0E3B"/>
    <w:rsid w:val="009B139E"/>
    <w:rsid w:val="009B1548"/>
    <w:rsid w:val="009B1B4B"/>
    <w:rsid w:val="009B321A"/>
    <w:rsid w:val="009B3A1D"/>
    <w:rsid w:val="009B3A56"/>
    <w:rsid w:val="009B41F0"/>
    <w:rsid w:val="009B44F0"/>
    <w:rsid w:val="009B4620"/>
    <w:rsid w:val="009B55BC"/>
    <w:rsid w:val="009B56A2"/>
    <w:rsid w:val="009B58D1"/>
    <w:rsid w:val="009B59F0"/>
    <w:rsid w:val="009B678B"/>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3A3"/>
    <w:rsid w:val="009D2CDA"/>
    <w:rsid w:val="009D453C"/>
    <w:rsid w:val="009D52B9"/>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080"/>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706E"/>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70D9"/>
    <w:rsid w:val="00A40E66"/>
    <w:rsid w:val="00A40FB6"/>
    <w:rsid w:val="00A410EC"/>
    <w:rsid w:val="00A412E5"/>
    <w:rsid w:val="00A41543"/>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166"/>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8F8"/>
    <w:rsid w:val="00A71944"/>
    <w:rsid w:val="00A71E89"/>
    <w:rsid w:val="00A72970"/>
    <w:rsid w:val="00A72B9F"/>
    <w:rsid w:val="00A73CF9"/>
    <w:rsid w:val="00A73EF9"/>
    <w:rsid w:val="00A74912"/>
    <w:rsid w:val="00A74A2B"/>
    <w:rsid w:val="00A75123"/>
    <w:rsid w:val="00A75324"/>
    <w:rsid w:val="00A756C6"/>
    <w:rsid w:val="00A76402"/>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6F5"/>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75D"/>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F0"/>
    <w:rsid w:val="00AF434D"/>
    <w:rsid w:val="00AF4EE4"/>
    <w:rsid w:val="00AF5653"/>
    <w:rsid w:val="00AF5B98"/>
    <w:rsid w:val="00AF6B94"/>
    <w:rsid w:val="00B0026B"/>
    <w:rsid w:val="00B0036F"/>
    <w:rsid w:val="00B00A28"/>
    <w:rsid w:val="00B00C8E"/>
    <w:rsid w:val="00B02268"/>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1B92"/>
    <w:rsid w:val="00B720DB"/>
    <w:rsid w:val="00B72B7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C64"/>
    <w:rsid w:val="00B87E47"/>
    <w:rsid w:val="00B90DB5"/>
    <w:rsid w:val="00B91A82"/>
    <w:rsid w:val="00B9279C"/>
    <w:rsid w:val="00B92BCE"/>
    <w:rsid w:val="00B934BE"/>
    <w:rsid w:val="00B93569"/>
    <w:rsid w:val="00B94B37"/>
    <w:rsid w:val="00B95178"/>
    <w:rsid w:val="00B9576A"/>
    <w:rsid w:val="00B962BB"/>
    <w:rsid w:val="00B967A7"/>
    <w:rsid w:val="00B96B0F"/>
    <w:rsid w:val="00BA088E"/>
    <w:rsid w:val="00BA0A2D"/>
    <w:rsid w:val="00BA0CA5"/>
    <w:rsid w:val="00BA152C"/>
    <w:rsid w:val="00BA21B2"/>
    <w:rsid w:val="00BA2861"/>
    <w:rsid w:val="00BA3873"/>
    <w:rsid w:val="00BA441E"/>
    <w:rsid w:val="00BA5315"/>
    <w:rsid w:val="00BA636A"/>
    <w:rsid w:val="00BA6707"/>
    <w:rsid w:val="00BA6AD6"/>
    <w:rsid w:val="00BA7C0B"/>
    <w:rsid w:val="00BA7C85"/>
    <w:rsid w:val="00BB0F85"/>
    <w:rsid w:val="00BB1004"/>
    <w:rsid w:val="00BB1497"/>
    <w:rsid w:val="00BB16D5"/>
    <w:rsid w:val="00BB1940"/>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1CAA"/>
    <w:rsid w:val="00BC2003"/>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710"/>
    <w:rsid w:val="00BD68D7"/>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016"/>
    <w:rsid w:val="00BF1B26"/>
    <w:rsid w:val="00BF1D08"/>
    <w:rsid w:val="00BF26EE"/>
    <w:rsid w:val="00BF341C"/>
    <w:rsid w:val="00BF4B2D"/>
    <w:rsid w:val="00BF5945"/>
    <w:rsid w:val="00BF5C55"/>
    <w:rsid w:val="00BF5D6D"/>
    <w:rsid w:val="00BF5FB6"/>
    <w:rsid w:val="00BF6106"/>
    <w:rsid w:val="00BF6362"/>
    <w:rsid w:val="00BF7293"/>
    <w:rsid w:val="00BF78D9"/>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3B6A"/>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435"/>
    <w:rsid w:val="00C226EB"/>
    <w:rsid w:val="00C233B3"/>
    <w:rsid w:val="00C235D5"/>
    <w:rsid w:val="00C237E7"/>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4F80"/>
    <w:rsid w:val="00C856EA"/>
    <w:rsid w:val="00C8742E"/>
    <w:rsid w:val="00C8778D"/>
    <w:rsid w:val="00C87955"/>
    <w:rsid w:val="00C90FC8"/>
    <w:rsid w:val="00C91075"/>
    <w:rsid w:val="00C910BF"/>
    <w:rsid w:val="00C929B3"/>
    <w:rsid w:val="00C92A0D"/>
    <w:rsid w:val="00C93523"/>
    <w:rsid w:val="00C93568"/>
    <w:rsid w:val="00C9443B"/>
    <w:rsid w:val="00C9490F"/>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DDD"/>
    <w:rsid w:val="00CA4FC8"/>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ADB"/>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D7161"/>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076"/>
    <w:rsid w:val="00CF777F"/>
    <w:rsid w:val="00D00206"/>
    <w:rsid w:val="00D003F7"/>
    <w:rsid w:val="00D005BA"/>
    <w:rsid w:val="00D00B10"/>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4C05"/>
    <w:rsid w:val="00D15656"/>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258"/>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723"/>
    <w:rsid w:val="00D578EF"/>
    <w:rsid w:val="00D57F1A"/>
    <w:rsid w:val="00D6001A"/>
    <w:rsid w:val="00D60FC7"/>
    <w:rsid w:val="00D6189E"/>
    <w:rsid w:val="00D61ABB"/>
    <w:rsid w:val="00D61E4F"/>
    <w:rsid w:val="00D62166"/>
    <w:rsid w:val="00D62E71"/>
    <w:rsid w:val="00D63146"/>
    <w:rsid w:val="00D635AD"/>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22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3006"/>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76"/>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6A9"/>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5DBC"/>
    <w:rsid w:val="00E46685"/>
    <w:rsid w:val="00E502D6"/>
    <w:rsid w:val="00E504B0"/>
    <w:rsid w:val="00E507BE"/>
    <w:rsid w:val="00E50A06"/>
    <w:rsid w:val="00E510EB"/>
    <w:rsid w:val="00E51559"/>
    <w:rsid w:val="00E5178B"/>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223"/>
    <w:rsid w:val="00EB1CF4"/>
    <w:rsid w:val="00EB206F"/>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6033"/>
    <w:rsid w:val="00EC61F5"/>
    <w:rsid w:val="00EC67DE"/>
    <w:rsid w:val="00EC6ABB"/>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397"/>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74B"/>
    <w:rsid w:val="00F36B72"/>
    <w:rsid w:val="00F37059"/>
    <w:rsid w:val="00F37618"/>
    <w:rsid w:val="00F37626"/>
    <w:rsid w:val="00F37687"/>
    <w:rsid w:val="00F37E44"/>
    <w:rsid w:val="00F4001D"/>
    <w:rsid w:val="00F4019E"/>
    <w:rsid w:val="00F423F6"/>
    <w:rsid w:val="00F43528"/>
    <w:rsid w:val="00F43916"/>
    <w:rsid w:val="00F44077"/>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5D3"/>
    <w:rsid w:val="00F73B22"/>
    <w:rsid w:val="00F73E96"/>
    <w:rsid w:val="00F7474D"/>
    <w:rsid w:val="00F74A3D"/>
    <w:rsid w:val="00F74A8F"/>
    <w:rsid w:val="00F74FB9"/>
    <w:rsid w:val="00F764E0"/>
    <w:rsid w:val="00F76EF6"/>
    <w:rsid w:val="00F775A3"/>
    <w:rsid w:val="00F7795D"/>
    <w:rsid w:val="00F77D38"/>
    <w:rsid w:val="00F77F4D"/>
    <w:rsid w:val="00F809C6"/>
    <w:rsid w:val="00F81408"/>
    <w:rsid w:val="00F815F4"/>
    <w:rsid w:val="00F81E88"/>
    <w:rsid w:val="00F832E4"/>
    <w:rsid w:val="00F84205"/>
    <w:rsid w:val="00F85471"/>
    <w:rsid w:val="00F86C5F"/>
    <w:rsid w:val="00F86D62"/>
    <w:rsid w:val="00F874BB"/>
    <w:rsid w:val="00F90DA5"/>
    <w:rsid w:val="00F9118F"/>
    <w:rsid w:val="00F914C6"/>
    <w:rsid w:val="00F923FB"/>
    <w:rsid w:val="00F92B59"/>
    <w:rsid w:val="00F931A2"/>
    <w:rsid w:val="00F93236"/>
    <w:rsid w:val="00F95A6A"/>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74A"/>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4C2D"/>
    <w:rsid w:val="00FD508D"/>
    <w:rsid w:val="00FD57A1"/>
    <w:rsid w:val="00FD5C86"/>
    <w:rsid w:val="00FD6EF2"/>
    <w:rsid w:val="00FD710A"/>
    <w:rsid w:val="00FD72C2"/>
    <w:rsid w:val="00FD7834"/>
    <w:rsid w:val="00FD7D51"/>
    <w:rsid w:val="00FE0B52"/>
    <w:rsid w:val="00FE10DF"/>
    <w:rsid w:val="00FE14D4"/>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EE28084"/>
    <w:rsid w:val="207EEFFE"/>
    <w:rsid w:val="23740614"/>
    <w:rsid w:val="44E9108F"/>
    <w:rsid w:val="5C35490E"/>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unhideWhenUsed/>
    <w:qFormat/>
    <w:rsid w:val="00570BE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uiPriority w:val="9"/>
    <w:qFormat/>
    <w:rsid w:val="00570BE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570BE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570BE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570BE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uiPriority w:val="99"/>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9"/>
      </w:numPr>
    </w:pPr>
  </w:style>
  <w:style w:type="numbering" w:customStyle="1" w:styleId="Listaactual43">
    <w:name w:val="Lista actual43"/>
    <w:uiPriority w:val="99"/>
    <w:rsid w:val="00E67611"/>
    <w:pPr>
      <w:numPr>
        <w:numId w:val="60"/>
      </w:numPr>
    </w:pPr>
  </w:style>
  <w:style w:type="numbering" w:customStyle="1" w:styleId="Listaactual44">
    <w:name w:val="Lista actual44"/>
    <w:uiPriority w:val="99"/>
    <w:rsid w:val="009839C7"/>
    <w:pPr>
      <w:numPr>
        <w:numId w:val="61"/>
      </w:numPr>
    </w:pPr>
  </w:style>
  <w:style w:type="numbering" w:customStyle="1" w:styleId="Listaactual45">
    <w:name w:val="Lista actual45"/>
    <w:uiPriority w:val="99"/>
    <w:rsid w:val="00332DE0"/>
    <w:pPr>
      <w:numPr>
        <w:numId w:val="62"/>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4"/>
      </w:numPr>
    </w:pPr>
  </w:style>
  <w:style w:type="paragraph" w:customStyle="1" w:styleId="Citas">
    <w:name w:val="Citas"/>
    <w:basedOn w:val="Normal"/>
    <w:qFormat/>
    <w:rsid w:val="00C22435"/>
    <w:pPr>
      <w:spacing w:before="240" w:after="160"/>
      <w:ind w:left="851" w:right="851"/>
    </w:pPr>
    <w:rPr>
      <w:rFonts w:eastAsiaTheme="minorHAnsi" w:cs="Arial"/>
      <w:i/>
      <w:sz w:val="22"/>
      <w:lang w:val="es-MX" w:eastAsia="en-US"/>
    </w:rPr>
  </w:style>
  <w:style w:type="paragraph" w:customStyle="1" w:styleId="INFOEM">
    <w:name w:val="INFOEM"/>
    <w:basedOn w:val="Normal"/>
    <w:qFormat/>
    <w:rsid w:val="002917F6"/>
    <w:pPr>
      <w:spacing w:before="240" w:after="160"/>
      <w:ind w:left="851" w:right="851"/>
    </w:pPr>
    <w:rPr>
      <w:rFonts w:eastAsiaTheme="minorHAnsi" w:cstheme="minorBidi"/>
      <w:i/>
      <w:sz w:val="22"/>
      <w:szCs w:val="14"/>
      <w:lang w:val="es-MX" w:eastAsia="en-US"/>
    </w:rPr>
  </w:style>
  <w:style w:type="table" w:customStyle="1" w:styleId="8">
    <w:name w:val="8"/>
    <w:basedOn w:val="Tablanormal"/>
    <w:rsid w:val="00570BEC"/>
    <w:pPr>
      <w:spacing w:after="0" w:line="240" w:lineRule="auto"/>
    </w:pPr>
    <w:rPr>
      <w:rFonts w:ascii="Times New Roman" w:eastAsia="Times New Roman" w:hAnsi="Times New Roman" w:cs="Times New Roman"/>
      <w:sz w:val="24"/>
      <w:szCs w:val="24"/>
      <w:lang w:val="es-ES" w:eastAsia="es-MX"/>
    </w:rPr>
    <w:tblPr>
      <w:tblStyleRowBandSize w:val="1"/>
      <w:tblStyleColBandSize w:val="1"/>
      <w:tblCellMar>
        <w:left w:w="115" w:type="dxa"/>
        <w:right w:w="115" w:type="dxa"/>
      </w:tblCellMar>
    </w:tblPr>
  </w:style>
  <w:style w:type="character" w:customStyle="1" w:styleId="Ttulo5Car">
    <w:name w:val="Título 5 Car"/>
    <w:basedOn w:val="Fuentedeprrafopredeter"/>
    <w:link w:val="Ttulo5"/>
    <w:uiPriority w:val="9"/>
    <w:rsid w:val="00570BEC"/>
    <w:rPr>
      <w:rFonts w:eastAsiaTheme="minorEastAsia"/>
      <w:b/>
      <w:bCs/>
      <w:i/>
      <w:iCs/>
      <w:sz w:val="26"/>
      <w:szCs w:val="26"/>
      <w:lang w:val="en-US"/>
    </w:rPr>
  </w:style>
  <w:style w:type="character" w:customStyle="1" w:styleId="Ttulo6Car">
    <w:name w:val="Título 6 Car"/>
    <w:basedOn w:val="Fuentedeprrafopredeter"/>
    <w:link w:val="Ttulo6"/>
    <w:uiPriority w:val="9"/>
    <w:rsid w:val="00570BE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570BEC"/>
    <w:rPr>
      <w:rFonts w:eastAsiaTheme="minorEastAsia"/>
      <w:sz w:val="24"/>
      <w:szCs w:val="24"/>
      <w:lang w:val="en-US"/>
    </w:rPr>
  </w:style>
  <w:style w:type="character" w:customStyle="1" w:styleId="Ttulo8Car">
    <w:name w:val="Título 8 Car"/>
    <w:basedOn w:val="Fuentedeprrafopredeter"/>
    <w:link w:val="Ttulo8"/>
    <w:uiPriority w:val="9"/>
    <w:semiHidden/>
    <w:rsid w:val="00570BEC"/>
    <w:rPr>
      <w:rFonts w:eastAsiaTheme="minorEastAsia"/>
      <w:i/>
      <w:iCs/>
      <w:sz w:val="24"/>
      <w:szCs w:val="24"/>
      <w:lang w:val="en-US"/>
    </w:rPr>
  </w:style>
  <w:style w:type="character" w:customStyle="1" w:styleId="Ttulo9Car">
    <w:name w:val="Título 9 Car"/>
    <w:basedOn w:val="Fuentedeprrafopredeter"/>
    <w:link w:val="Ttulo9"/>
    <w:uiPriority w:val="9"/>
    <w:semiHidden/>
    <w:rsid w:val="00570BEC"/>
    <w:rPr>
      <w:rFonts w:asciiTheme="majorHAnsi" w:eastAsiaTheme="majorEastAsia" w:hAnsiTheme="majorHAnsi" w:cstheme="majorBidi"/>
      <w:lang w:val="en-US"/>
    </w:rPr>
  </w:style>
  <w:style w:type="numbering" w:customStyle="1" w:styleId="Sinlista2">
    <w:name w:val="Sin lista2"/>
    <w:next w:val="Sinlista"/>
    <w:uiPriority w:val="99"/>
    <w:semiHidden/>
    <w:unhideWhenUsed/>
    <w:rsid w:val="00570BEC"/>
  </w:style>
  <w:style w:type="table" w:customStyle="1" w:styleId="Tablaconcuadrcula3">
    <w:name w:val="Tabla con cuadrícula3"/>
    <w:basedOn w:val="Tablanormal"/>
    <w:next w:val="Tablaconcuadrcula"/>
    <w:uiPriority w:val="39"/>
    <w:rsid w:val="0057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570BEC"/>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2">
    <w:name w:val="Lista actual112"/>
    <w:uiPriority w:val="99"/>
    <w:rsid w:val="00570BEC"/>
    <w:pPr>
      <w:numPr>
        <w:numId w:val="1"/>
      </w:numPr>
    </w:pPr>
  </w:style>
  <w:style w:type="numbering" w:customStyle="1" w:styleId="Sinlista12">
    <w:name w:val="Sin lista12"/>
    <w:next w:val="Sinlista"/>
    <w:uiPriority w:val="99"/>
    <w:semiHidden/>
    <w:unhideWhenUsed/>
    <w:rsid w:val="00570BEC"/>
  </w:style>
  <w:style w:type="character" w:customStyle="1" w:styleId="Mencinsinresolver7">
    <w:name w:val="Mención sin resolver7"/>
    <w:basedOn w:val="Fuentedeprrafopredeter"/>
    <w:uiPriority w:val="99"/>
    <w:semiHidden/>
    <w:unhideWhenUsed/>
    <w:rsid w:val="00570BEC"/>
    <w:rPr>
      <w:color w:val="605E5C"/>
      <w:shd w:val="clear" w:color="auto" w:fill="E1DFDD"/>
    </w:rPr>
  </w:style>
  <w:style w:type="numbering" w:customStyle="1" w:styleId="Sinlista21">
    <w:name w:val="Sin lista21"/>
    <w:next w:val="Sinlista"/>
    <w:uiPriority w:val="99"/>
    <w:semiHidden/>
    <w:unhideWhenUsed/>
    <w:rsid w:val="00570BEC"/>
  </w:style>
  <w:style w:type="table" w:customStyle="1" w:styleId="Tablaconcuadrcula21">
    <w:name w:val="Tabla con cuadrícula21"/>
    <w:basedOn w:val="Tablanormal"/>
    <w:next w:val="Tablaconcuadrcula"/>
    <w:uiPriority w:val="39"/>
    <w:rsid w:val="00570B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1clara-nfasis1115">
    <w:name w:val="Tabla de lista 1 clara - Énfasis 1115"/>
    <w:basedOn w:val="Tablanormal"/>
    <w:next w:val="Tabladelista1clara-nfasis1"/>
    <w:uiPriority w:val="46"/>
    <w:rsid w:val="00570BEC"/>
    <w:pPr>
      <w:spacing w:after="0" w:line="240" w:lineRule="auto"/>
    </w:pPr>
    <w:rPr>
      <w:rFonts w:eastAsia="MS Mincho" w:cs="Times New Roman"/>
      <w:sz w:val="24"/>
      <w:szCs w:val="24"/>
      <w:lang w:val="es-ES_tradnl" w:eastAsia="es-ES"/>
    </w:rPr>
    <w:tblPr>
      <w:tblStyleRowBandSize w:val="1"/>
      <w:tblStyleColBandSize w:val="1"/>
    </w:tblPr>
    <w:tblStylePr w:type="firstRow">
      <w:rPr>
        <w:rFonts w:cs="Times New Roman"/>
        <w:b/>
        <w:bCs/>
      </w:rPr>
      <w:tblPr/>
      <w:tcPr>
        <w:tcBorders>
          <w:bottom w:val="single" w:sz="4" w:space="0" w:color="95B3D7"/>
        </w:tcBorders>
      </w:tcPr>
    </w:tblStylePr>
    <w:tblStylePr w:type="lastRow">
      <w:rPr>
        <w:rFonts w:cs="Times New Roman"/>
        <w:b/>
        <w:bCs/>
      </w:rPr>
      <w:tblPr/>
      <w:tcPr>
        <w:tcBorders>
          <w:top w:val="single" w:sz="4" w:space="0" w:color="95B3D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Tabladelista1clara-nfasis1">
    <w:name w:val="List Table 1 Light Accent 1"/>
    <w:basedOn w:val="Tablanormal"/>
    <w:uiPriority w:val="46"/>
    <w:rsid w:val="00570BEC"/>
    <w:pPr>
      <w:spacing w:after="0" w:line="240" w:lineRule="auto"/>
    </w:pPr>
    <w:rPr>
      <w:rFonts w:eastAsia="Times New Roman" w:cs="Times New Roman"/>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character" w:styleId="Refdenotaalfinal">
    <w:name w:val="endnote reference"/>
    <w:basedOn w:val="Fuentedeprrafopredeter"/>
    <w:uiPriority w:val="99"/>
    <w:semiHidden/>
    <w:unhideWhenUsed/>
    <w:rsid w:val="00570BEC"/>
    <w:rPr>
      <w:rFonts w:cs="Times New Roman"/>
      <w:vertAlign w:val="superscript"/>
    </w:rPr>
  </w:style>
  <w:style w:type="character" w:customStyle="1" w:styleId="TextodegloboCar1">
    <w:name w:val="Texto de globo Car1"/>
    <w:basedOn w:val="Fuentedeprrafopredeter"/>
    <w:uiPriority w:val="99"/>
    <w:semiHidden/>
    <w:rsid w:val="00570BEC"/>
    <w:rPr>
      <w:rFonts w:ascii="Segoe UI" w:hAnsi="Segoe UI" w:cs="Segoe UI"/>
      <w:sz w:val="18"/>
      <w:szCs w:val="18"/>
      <w:lang w:val="es-ES_tradnl" w:eastAsia="es-MX"/>
    </w:rPr>
  </w:style>
  <w:style w:type="character" w:customStyle="1" w:styleId="TextodegloboCar12">
    <w:name w:val="Texto de globo Car12"/>
    <w:basedOn w:val="Fuentedeprrafopredeter"/>
    <w:uiPriority w:val="99"/>
    <w:semiHidden/>
    <w:rsid w:val="00570BEC"/>
    <w:rPr>
      <w:rFonts w:ascii="Segoe UI" w:hAnsi="Segoe UI" w:cs="Segoe UI"/>
      <w:sz w:val="18"/>
      <w:szCs w:val="18"/>
      <w:lang w:val="es-ES_tradnl" w:eastAsia="es-MX"/>
    </w:rPr>
  </w:style>
  <w:style w:type="character" w:customStyle="1" w:styleId="TextocomentarioCar1">
    <w:name w:val="Texto comentario Car1"/>
    <w:basedOn w:val="Fuentedeprrafopredeter"/>
    <w:uiPriority w:val="99"/>
    <w:semiHidden/>
    <w:rsid w:val="00570BEC"/>
    <w:rPr>
      <w:rFonts w:ascii="Times New Roman" w:hAnsi="Times New Roman" w:cs="Times New Roman"/>
      <w:sz w:val="20"/>
      <w:szCs w:val="20"/>
      <w:lang w:val="es-ES_tradnl" w:eastAsia="es-MX"/>
    </w:rPr>
  </w:style>
  <w:style w:type="character" w:customStyle="1" w:styleId="TextocomentarioCar12">
    <w:name w:val="Texto comentario Car12"/>
    <w:basedOn w:val="Fuentedeprrafopredeter"/>
    <w:uiPriority w:val="99"/>
    <w:semiHidden/>
    <w:rsid w:val="00570BEC"/>
    <w:rPr>
      <w:rFonts w:ascii="Times New Roman" w:hAnsi="Times New Roman" w:cs="Times New Roman"/>
      <w:sz w:val="20"/>
      <w:szCs w:val="20"/>
      <w:lang w:val="es-ES_tradnl" w:eastAsia="es-MX"/>
    </w:rPr>
  </w:style>
  <w:style w:type="character" w:customStyle="1" w:styleId="AsuntodelcomentarioCar1">
    <w:name w:val="Asunto del comentario Car1"/>
    <w:basedOn w:val="TextocomentarioCar"/>
    <w:uiPriority w:val="99"/>
    <w:semiHidden/>
    <w:rsid w:val="00570BEC"/>
    <w:rPr>
      <w:rFonts w:ascii="Times New Roman" w:hAnsi="Times New Roman" w:cs="Times New Roman"/>
      <w:b/>
      <w:bCs/>
      <w:sz w:val="20"/>
      <w:szCs w:val="20"/>
      <w:lang w:val="es-ES_tradnl" w:eastAsia="es-MX"/>
    </w:rPr>
  </w:style>
  <w:style w:type="character" w:customStyle="1" w:styleId="AsuntodelcomentarioCar12">
    <w:name w:val="Asunto del comentario Car12"/>
    <w:basedOn w:val="TextocomentarioCar12"/>
    <w:uiPriority w:val="99"/>
    <w:semiHidden/>
    <w:rsid w:val="00570BEC"/>
    <w:rPr>
      <w:rFonts w:ascii="Times New Roman" w:hAnsi="Times New Roman" w:cs="Times New Roman"/>
      <w:b/>
      <w:bCs/>
      <w:sz w:val="20"/>
      <w:szCs w:val="20"/>
      <w:lang w:val="es-ES_tradnl" w:eastAsia="es-MX"/>
    </w:rPr>
  </w:style>
  <w:style w:type="paragraph" w:customStyle="1" w:styleId="Listavistosa-nfasis11">
    <w:name w:val="Lista vistosa - Énfasis 11"/>
    <w:basedOn w:val="Normal"/>
    <w:link w:val="Listavistosa-nfasis1Car"/>
    <w:uiPriority w:val="34"/>
    <w:qFormat/>
    <w:rsid w:val="00570BEC"/>
    <w:pPr>
      <w:spacing w:line="240" w:lineRule="auto"/>
      <w:ind w:left="708"/>
      <w:jc w:val="left"/>
    </w:pPr>
    <w:rPr>
      <w:rFonts w:ascii="Times New Roman" w:eastAsia="Times New Roman" w:hAnsi="Times New Roman" w:cs="Times New Roman"/>
      <w:szCs w:val="24"/>
      <w:lang w:val="es-MX"/>
    </w:rPr>
  </w:style>
  <w:style w:type="character" w:customStyle="1" w:styleId="Listavistosa-nfasis1Car">
    <w:name w:val="Lista vistosa - Énfasis 1 Car"/>
    <w:link w:val="Listavistosa-nfasis11"/>
    <w:uiPriority w:val="34"/>
    <w:locked/>
    <w:rsid w:val="00570BEC"/>
    <w:rPr>
      <w:rFonts w:ascii="Times New Roman" w:eastAsia="Times New Roman" w:hAnsi="Times New Roman" w:cs="Times New Roman"/>
      <w:sz w:val="24"/>
      <w:szCs w:val="24"/>
      <w:lang w:eastAsia="es-MX"/>
    </w:rPr>
  </w:style>
  <w:style w:type="paragraph" w:customStyle="1" w:styleId="Texto">
    <w:name w:val="Texto"/>
    <w:basedOn w:val="Normal"/>
    <w:link w:val="TextoCar"/>
    <w:qFormat/>
    <w:rsid w:val="00570BEC"/>
    <w:pPr>
      <w:spacing w:after="101" w:line="216" w:lineRule="exact"/>
      <w:ind w:firstLine="288"/>
    </w:pPr>
    <w:rPr>
      <w:rFonts w:ascii="Arial" w:eastAsia="Times New Roman" w:hAnsi="Arial" w:cs="Arial"/>
      <w:sz w:val="18"/>
      <w:szCs w:val="18"/>
      <w:lang w:val="es-MX"/>
    </w:rPr>
  </w:style>
  <w:style w:type="paragraph" w:customStyle="1" w:styleId="Standard">
    <w:name w:val="Standard"/>
    <w:rsid w:val="00570BEC"/>
    <w:pPr>
      <w:widowControl w:val="0"/>
      <w:suppressAutoHyphens/>
      <w:autoSpaceDN w:val="0"/>
      <w:spacing w:after="0" w:line="240" w:lineRule="auto"/>
      <w:textAlignment w:val="baseline"/>
    </w:pPr>
    <w:rPr>
      <w:rFonts w:ascii="Liberation Serif" w:eastAsia="Times New Roman" w:hAnsi="Liberation Serif" w:cs="Lohit Hindi"/>
      <w:kern w:val="3"/>
      <w:sz w:val="24"/>
      <w:szCs w:val="24"/>
      <w:lang w:eastAsia="zh-CN" w:bidi="hi-IN"/>
    </w:rPr>
  </w:style>
  <w:style w:type="character" w:customStyle="1" w:styleId="negritas1">
    <w:name w:val="negritas1"/>
    <w:rsid w:val="00570BEC"/>
    <w:rPr>
      <w:rFonts w:ascii="Arial" w:hAnsi="Arial"/>
      <w:b/>
      <w:sz w:val="18"/>
    </w:rPr>
  </w:style>
  <w:style w:type="paragraph" w:customStyle="1" w:styleId="Pa2">
    <w:name w:val="Pa2"/>
    <w:basedOn w:val="Normal"/>
    <w:next w:val="Normal"/>
    <w:uiPriority w:val="99"/>
    <w:rsid w:val="00570BEC"/>
    <w:pPr>
      <w:autoSpaceDE w:val="0"/>
      <w:autoSpaceDN w:val="0"/>
      <w:adjustRightInd w:val="0"/>
      <w:spacing w:line="240" w:lineRule="atLeast"/>
      <w:jc w:val="left"/>
    </w:pPr>
    <w:rPr>
      <w:rFonts w:ascii="Helvetica" w:eastAsia="Times New Roman" w:hAnsi="Helvetica" w:cs="Times New Roman"/>
      <w:szCs w:val="24"/>
      <w:lang w:eastAsia="es-ES_tradnl"/>
    </w:rPr>
  </w:style>
  <w:style w:type="paragraph" w:customStyle="1" w:styleId="q">
    <w:name w:val="q"/>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d">
    <w:name w:val="d"/>
    <w:basedOn w:val="Fuentedeprrafopredeter"/>
    <w:rsid w:val="00570BEC"/>
    <w:rPr>
      <w:rFonts w:cs="Times New Roman"/>
    </w:rPr>
  </w:style>
  <w:style w:type="character" w:customStyle="1" w:styleId="b">
    <w:name w:val="b"/>
    <w:basedOn w:val="Fuentedeprrafopredeter"/>
    <w:rsid w:val="00570BEC"/>
    <w:rPr>
      <w:rFonts w:cs="Times New Roman"/>
    </w:rPr>
  </w:style>
  <w:style w:type="character" w:customStyle="1" w:styleId="k">
    <w:name w:val="k"/>
    <w:basedOn w:val="Fuentedeprrafopredeter"/>
    <w:rsid w:val="00570BEC"/>
    <w:rPr>
      <w:rFonts w:cs="Times New Roman"/>
    </w:rPr>
  </w:style>
  <w:style w:type="character" w:styleId="CitaHTML">
    <w:name w:val="HTML Cite"/>
    <w:basedOn w:val="Fuentedeprrafopredeter"/>
    <w:uiPriority w:val="99"/>
    <w:semiHidden/>
    <w:unhideWhenUsed/>
    <w:rsid w:val="00570BEC"/>
    <w:rPr>
      <w:i/>
    </w:rPr>
  </w:style>
  <w:style w:type="paragraph" w:customStyle="1" w:styleId="RSCGnotaalpie">
    <w:name w:val="RSCG nota al pie"/>
    <w:basedOn w:val="Normal"/>
    <w:uiPriority w:val="99"/>
    <w:qFormat/>
    <w:rsid w:val="00570BEC"/>
    <w:pPr>
      <w:spacing w:after="120" w:line="240" w:lineRule="auto"/>
    </w:pPr>
    <w:rPr>
      <w:rFonts w:ascii="Palatino" w:eastAsia="Times New Roman" w:hAnsi="Palatino" w:cs="Times New Roman"/>
      <w:sz w:val="22"/>
      <w:lang w:val="es-MX" w:eastAsia="en-US"/>
    </w:rPr>
  </w:style>
  <w:style w:type="character" w:customStyle="1" w:styleId="lbl-encabezado-blanco2">
    <w:name w:val="lbl-encabezado-blanco2"/>
    <w:rsid w:val="00570BEC"/>
    <w:rPr>
      <w:color w:val="FFFFFF"/>
    </w:rPr>
  </w:style>
  <w:style w:type="character" w:customStyle="1" w:styleId="TextoCar">
    <w:name w:val="Texto Car"/>
    <w:link w:val="Texto"/>
    <w:locked/>
    <w:rsid w:val="00570BEC"/>
    <w:rPr>
      <w:rFonts w:ascii="Arial" w:eastAsia="Times New Roman" w:hAnsi="Arial" w:cs="Arial"/>
      <w:sz w:val="18"/>
      <w:szCs w:val="18"/>
      <w:lang w:eastAsia="es-MX"/>
    </w:rPr>
  </w:style>
  <w:style w:type="paragraph" w:customStyle="1" w:styleId="ANOTACION">
    <w:name w:val="ANOTACION"/>
    <w:basedOn w:val="Normal"/>
    <w:link w:val="ANOTACIONCar"/>
    <w:rsid w:val="00570BEC"/>
    <w:pPr>
      <w:spacing w:before="101" w:after="101" w:line="240" w:lineRule="auto"/>
      <w:jc w:val="center"/>
    </w:pPr>
    <w:rPr>
      <w:rFonts w:ascii="Times New Roman" w:eastAsia="Times New Roman" w:hAnsi="Times New Roman" w:cs="Times New Roman"/>
      <w:b/>
      <w:sz w:val="18"/>
      <w:szCs w:val="18"/>
      <w:lang w:val="es-MX"/>
    </w:rPr>
  </w:style>
  <w:style w:type="character" w:customStyle="1" w:styleId="ANOTACIONCar">
    <w:name w:val="ANOTACION Car"/>
    <w:link w:val="ANOTACION"/>
    <w:locked/>
    <w:rsid w:val="00570BEC"/>
    <w:rPr>
      <w:rFonts w:ascii="Times New Roman" w:eastAsia="Times New Roman" w:hAnsi="Times New Roman" w:cs="Times New Roman"/>
      <w:b/>
      <w:sz w:val="18"/>
      <w:szCs w:val="18"/>
      <w:lang w:eastAsia="es-MX"/>
    </w:rPr>
  </w:style>
  <w:style w:type="paragraph" w:styleId="Bibliografa">
    <w:name w:val="Bibliography"/>
    <w:basedOn w:val="Normal"/>
    <w:next w:val="Normal"/>
    <w:uiPriority w:val="37"/>
    <w:semiHidden/>
    <w:unhideWhenUsed/>
    <w:rsid w:val="00570BEC"/>
    <w:pPr>
      <w:spacing w:line="240" w:lineRule="auto"/>
      <w:jc w:val="left"/>
    </w:pPr>
    <w:rPr>
      <w:rFonts w:ascii="Times New Roman" w:eastAsia="Times New Roman" w:hAnsi="Times New Roman" w:cs="Times New Roman"/>
      <w:szCs w:val="24"/>
      <w:lang w:val="es-MX"/>
    </w:rPr>
  </w:style>
  <w:style w:type="paragraph" w:customStyle="1" w:styleId="ROMANOS">
    <w:name w:val="ROMANOS"/>
    <w:basedOn w:val="Normal"/>
    <w:link w:val="ROMANOSCar"/>
    <w:rsid w:val="00570BEC"/>
    <w:pPr>
      <w:tabs>
        <w:tab w:val="left" w:pos="720"/>
      </w:tabs>
      <w:spacing w:after="101" w:line="216" w:lineRule="exact"/>
      <w:ind w:left="720" w:hanging="432"/>
    </w:pPr>
    <w:rPr>
      <w:rFonts w:ascii="Arial" w:eastAsia="Times New Roman" w:hAnsi="Arial" w:cs="Arial"/>
      <w:sz w:val="18"/>
      <w:szCs w:val="18"/>
    </w:rPr>
  </w:style>
  <w:style w:type="character" w:customStyle="1" w:styleId="ROMANOSCar">
    <w:name w:val="ROMANOS Car"/>
    <w:link w:val="ROMANOS"/>
    <w:locked/>
    <w:rsid w:val="00570BEC"/>
    <w:rPr>
      <w:rFonts w:ascii="Arial" w:eastAsia="Times New Roman" w:hAnsi="Arial" w:cs="Arial"/>
      <w:sz w:val="18"/>
      <w:szCs w:val="18"/>
      <w:lang w:val="es-ES_tradnl" w:eastAsia="es-MX"/>
    </w:rPr>
  </w:style>
  <w:style w:type="character" w:customStyle="1" w:styleId="m1553324590483875794gmail-m8993139698400752374gmail-apple-converted-space">
    <w:name w:val="m_1553324590483875794gmail-m_8993139698400752374gmail-apple-converted-space"/>
    <w:basedOn w:val="Fuentedeprrafopredeter"/>
    <w:rsid w:val="00570BEC"/>
    <w:rPr>
      <w:rFonts w:cs="Times New Roman"/>
    </w:rPr>
  </w:style>
  <w:style w:type="character" w:customStyle="1" w:styleId="Ninguno">
    <w:name w:val="Ninguno"/>
    <w:rsid w:val="00570BEC"/>
    <w:rPr>
      <w:lang w:val="es-ES_tradnl" w:eastAsia="x-none"/>
    </w:rPr>
  </w:style>
  <w:style w:type="paragraph" w:customStyle="1" w:styleId="Cuerpo">
    <w:name w:val="Cuerpo"/>
    <w:rsid w:val="00570BEC"/>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Calibri" w:eastAsia="Times New Roman" w:hAnsi="Calibri" w:cs="Calibri"/>
      <w:color w:val="000000"/>
      <w:u w:color="000000"/>
      <w:lang w:val="de-DE" w:eastAsia="es-ES"/>
    </w:rPr>
  </w:style>
  <w:style w:type="paragraph" w:customStyle="1" w:styleId="INCISO">
    <w:name w:val="INCISO"/>
    <w:basedOn w:val="Normal"/>
    <w:rsid w:val="00570BEC"/>
    <w:pPr>
      <w:spacing w:after="101" w:line="216" w:lineRule="exact"/>
      <w:ind w:left="1080" w:hanging="360"/>
    </w:pPr>
    <w:rPr>
      <w:rFonts w:ascii="Arial" w:eastAsia="Times New Roman" w:hAnsi="Arial" w:cs="Arial"/>
      <w:sz w:val="18"/>
      <w:szCs w:val="18"/>
    </w:rPr>
  </w:style>
  <w:style w:type="paragraph" w:customStyle="1" w:styleId="m5212863947045306324gmail-msonormal">
    <w:name w:val="m_5212863947045306324gmail-msonormal"/>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ser-highlighted-active">
    <w:name w:val="user-highlighted-active"/>
    <w:basedOn w:val="Fuentedeprrafopredeter"/>
    <w:rsid w:val="00570BEC"/>
    <w:rPr>
      <w:rFonts w:cs="Times New Roman"/>
    </w:rPr>
  </w:style>
  <w:style w:type="paragraph" w:styleId="Lista">
    <w:name w:val="List"/>
    <w:basedOn w:val="Normal"/>
    <w:uiPriority w:val="99"/>
    <w:unhideWhenUsed/>
    <w:rsid w:val="00570BEC"/>
    <w:pPr>
      <w:spacing w:line="240" w:lineRule="auto"/>
      <w:ind w:left="283" w:hanging="283"/>
      <w:contextualSpacing/>
      <w:jc w:val="left"/>
    </w:pPr>
    <w:rPr>
      <w:rFonts w:ascii="Times New Roman" w:eastAsia="Times New Roman" w:hAnsi="Times New Roman" w:cs="Times New Roman"/>
      <w:szCs w:val="24"/>
    </w:rPr>
  </w:style>
  <w:style w:type="paragraph" w:styleId="Lista2">
    <w:name w:val="List 2"/>
    <w:basedOn w:val="Normal"/>
    <w:uiPriority w:val="99"/>
    <w:unhideWhenUsed/>
    <w:rsid w:val="00570BEC"/>
    <w:pPr>
      <w:spacing w:line="240" w:lineRule="auto"/>
      <w:ind w:left="566" w:hanging="283"/>
      <w:contextualSpacing/>
      <w:jc w:val="left"/>
    </w:pPr>
    <w:rPr>
      <w:rFonts w:ascii="Times New Roman" w:eastAsia="Times New Roman" w:hAnsi="Times New Roman" w:cs="Times New Roman"/>
      <w:szCs w:val="24"/>
    </w:rPr>
  </w:style>
  <w:style w:type="paragraph" w:styleId="Lista3">
    <w:name w:val="List 3"/>
    <w:basedOn w:val="Normal"/>
    <w:uiPriority w:val="99"/>
    <w:unhideWhenUsed/>
    <w:rsid w:val="00570BEC"/>
    <w:pPr>
      <w:spacing w:line="240" w:lineRule="auto"/>
      <w:ind w:left="849" w:hanging="283"/>
      <w:contextualSpacing/>
      <w:jc w:val="left"/>
    </w:pPr>
    <w:rPr>
      <w:rFonts w:ascii="Times New Roman" w:eastAsia="Times New Roman" w:hAnsi="Times New Roman" w:cs="Times New Roman"/>
      <w:szCs w:val="24"/>
    </w:rPr>
  </w:style>
  <w:style w:type="paragraph" w:styleId="Textoindependienteprimerasangra2">
    <w:name w:val="Body Text First Indent 2"/>
    <w:basedOn w:val="Sangradetextonormal"/>
    <w:link w:val="Textoindependienteprimerasangra2Car"/>
    <w:uiPriority w:val="99"/>
    <w:unhideWhenUsed/>
    <w:rsid w:val="00570BEC"/>
    <w:pPr>
      <w:spacing w:after="0" w:line="240" w:lineRule="auto"/>
      <w:ind w:left="360" w:firstLine="360"/>
      <w:jc w:val="left"/>
    </w:pPr>
    <w:rPr>
      <w:rFonts w:ascii="Times New Roman" w:eastAsia="Times New Roman" w:hAnsi="Times New Roman"/>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570BE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570BEC"/>
    <w:rPr>
      <w:rFonts w:cs="Times New Roman"/>
    </w:rPr>
  </w:style>
  <w:style w:type="character" w:customStyle="1" w:styleId="titulorubrolgt">
    <w:name w:val="titulorubrolgt"/>
    <w:basedOn w:val="Fuentedeprrafopredeter"/>
    <w:rsid w:val="00570BEC"/>
    <w:rPr>
      <w:rFonts w:cs="Times New Roman"/>
    </w:rPr>
  </w:style>
  <w:style w:type="paragraph" w:customStyle="1" w:styleId="Text">
    <w:name w:val="Text"/>
    <w:basedOn w:val="Normal"/>
    <w:link w:val="TextChar"/>
    <w:rsid w:val="00570BEC"/>
    <w:pPr>
      <w:spacing w:after="240" w:line="240" w:lineRule="auto"/>
      <w:jc w:val="left"/>
    </w:pPr>
    <w:rPr>
      <w:rFonts w:ascii="Times New Roman" w:eastAsia="Times New Roman" w:hAnsi="Times New Roman" w:cs="Times New Roman"/>
      <w:szCs w:val="20"/>
      <w:lang w:val="en-US" w:eastAsia="en-US"/>
    </w:rPr>
  </w:style>
  <w:style w:type="character" w:customStyle="1" w:styleId="TextChar">
    <w:name w:val="Text Char"/>
    <w:link w:val="Text"/>
    <w:locked/>
    <w:rsid w:val="00570BE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570BEC"/>
    <w:pPr>
      <w:ind w:left="709" w:right="709"/>
    </w:pPr>
    <w:rPr>
      <w:rFonts w:ascii="Arial" w:eastAsia="Times New Roman" w:hAnsi="Arial" w:cs="Arial"/>
      <w:b/>
      <w:bCs/>
      <w:i/>
      <w:iCs/>
      <w:sz w:val="30"/>
      <w:szCs w:val="30"/>
      <w:lang w:val="es-MX"/>
    </w:rPr>
  </w:style>
  <w:style w:type="paragraph" w:customStyle="1" w:styleId="FAFunotente1">
    <w:name w:val="FA Fu?notente1"/>
    <w:basedOn w:val="Normal"/>
    <w:next w:val="Textonotapie"/>
    <w:uiPriority w:val="99"/>
    <w:rsid w:val="00570BEC"/>
    <w:pPr>
      <w:spacing w:line="240" w:lineRule="auto"/>
      <w:jc w:val="left"/>
    </w:pPr>
    <w:rPr>
      <w:rFonts w:asciiTheme="minorHAnsi" w:eastAsia="Times New Roman" w:hAnsiTheme="minorHAnsi" w:cs="Times New Roman"/>
      <w:sz w:val="20"/>
      <w:szCs w:val="20"/>
      <w:lang w:val="es-MX" w:eastAsia="en-US"/>
    </w:rPr>
  </w:style>
  <w:style w:type="table" w:customStyle="1" w:styleId="Tablaconcuadrcula111">
    <w:name w:val="Tabla con cuadrícula111"/>
    <w:basedOn w:val="Tablanormal"/>
    <w:next w:val="Tablaconcuadrcula"/>
    <w:uiPriority w:val="59"/>
    <w:rsid w:val="00570BEC"/>
    <w:pPr>
      <w:spacing w:after="0" w:line="240" w:lineRule="auto"/>
    </w:pPr>
    <w:rPr>
      <w:rFonts w:ascii="Calibri" w:eastAsia="Times New Roman"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mp">
    <w:name w:val="temp"/>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bold">
    <w:name w:val="bold"/>
    <w:basedOn w:val="Fuentedeprrafopredeter"/>
    <w:rsid w:val="00570BEC"/>
    <w:rPr>
      <w:rFonts w:cs="Times New Roman"/>
    </w:rPr>
  </w:style>
  <w:style w:type="paragraph" w:customStyle="1" w:styleId="ng-star-inserted">
    <w:name w:val="ng-star-inserted"/>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styleId="Saludo">
    <w:name w:val="Salutation"/>
    <w:basedOn w:val="Normal"/>
    <w:next w:val="Normal"/>
    <w:link w:val="SaludoCar"/>
    <w:uiPriority w:val="99"/>
    <w:unhideWhenUsed/>
    <w:rsid w:val="00570BEC"/>
    <w:pPr>
      <w:spacing w:line="240" w:lineRule="auto"/>
      <w:jc w:val="left"/>
    </w:pPr>
    <w:rPr>
      <w:rFonts w:ascii="Times New Roman" w:eastAsia="Times New Roman" w:hAnsi="Times New Roman" w:cs="Times New Roman"/>
      <w:szCs w:val="24"/>
      <w:lang w:val="es-MX"/>
    </w:rPr>
  </w:style>
  <w:style w:type="character" w:customStyle="1" w:styleId="SaludoCar">
    <w:name w:val="Saludo Car"/>
    <w:basedOn w:val="Fuentedeprrafopredeter"/>
    <w:link w:val="Saludo"/>
    <w:uiPriority w:val="99"/>
    <w:rsid w:val="00570BEC"/>
    <w:rPr>
      <w:rFonts w:ascii="Times New Roman" w:eastAsia="Times New Roman" w:hAnsi="Times New Roman" w:cs="Times New Roman"/>
      <w:sz w:val="24"/>
      <w:szCs w:val="24"/>
      <w:lang w:eastAsia="es-MX"/>
    </w:rPr>
  </w:style>
  <w:style w:type="character" w:customStyle="1" w:styleId="Caracteresdenotaalpie">
    <w:name w:val="Caracteres de nota al pie"/>
    <w:qFormat/>
    <w:rsid w:val="00570BEC"/>
  </w:style>
  <w:style w:type="table" w:customStyle="1" w:styleId="Tablaconcuadrcula31">
    <w:name w:val="Tabla con cuadrícula31"/>
    <w:basedOn w:val="Tablanormal"/>
    <w:next w:val="Tablaconcuadrcula"/>
    <w:uiPriority w:val="59"/>
    <w:qFormat/>
    <w:rsid w:val="00570B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570BE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rsid w:val="00570BEC"/>
    <w:pPr>
      <w:keepNext/>
      <w:keepLines/>
      <w:spacing w:before="480" w:after="120" w:line="240" w:lineRule="auto"/>
      <w:jc w:val="left"/>
    </w:pPr>
    <w:rPr>
      <w:rFonts w:ascii="Times New Roman" w:eastAsia="Times New Roman" w:hAnsi="Times New Roman" w:cs="Times New Roman"/>
      <w:b/>
      <w:sz w:val="72"/>
      <w:szCs w:val="72"/>
    </w:rPr>
  </w:style>
  <w:style w:type="character" w:customStyle="1" w:styleId="PuestoCar">
    <w:name w:val="Puesto Car"/>
    <w:basedOn w:val="Fuentedeprrafopredeter"/>
    <w:link w:val="Puesto"/>
    <w:uiPriority w:val="10"/>
    <w:rsid w:val="00570BEC"/>
    <w:rPr>
      <w:rFonts w:ascii="Times New Roman" w:eastAsia="Times New Roman" w:hAnsi="Times New Roman" w:cs="Times New Roman"/>
      <w:b/>
      <w:sz w:val="72"/>
      <w:szCs w:val="72"/>
      <w:lang w:val="es-ES_tradnl" w:eastAsia="es-MX"/>
    </w:rPr>
  </w:style>
  <w:style w:type="paragraph" w:styleId="Subttulo">
    <w:name w:val="Subtitle"/>
    <w:basedOn w:val="Normal"/>
    <w:next w:val="Normal"/>
    <w:link w:val="SubttuloCar"/>
    <w:uiPriority w:val="11"/>
    <w:rsid w:val="00570BEC"/>
    <w:pPr>
      <w:keepNext/>
      <w:keepLines/>
      <w:spacing w:before="360" w:after="80" w:line="240" w:lineRule="auto"/>
      <w:jc w:val="left"/>
    </w:pPr>
    <w:rPr>
      <w:rFonts w:ascii="Georgia" w:eastAsia="Times New Roman" w:hAnsi="Georgia" w:cs="Georgia"/>
      <w:i/>
      <w:color w:val="666666"/>
      <w:sz w:val="48"/>
      <w:szCs w:val="48"/>
    </w:rPr>
  </w:style>
  <w:style w:type="character" w:customStyle="1" w:styleId="SubttuloCar">
    <w:name w:val="Subtítulo Car"/>
    <w:basedOn w:val="Fuentedeprrafopredeter"/>
    <w:link w:val="Subttulo"/>
    <w:uiPriority w:val="11"/>
    <w:rsid w:val="00570BEC"/>
    <w:rPr>
      <w:rFonts w:ascii="Georgia" w:eastAsia="Times New Roman" w:hAnsi="Georgia" w:cs="Georgia"/>
      <w:i/>
      <w:color w:val="666666"/>
      <w:sz w:val="48"/>
      <w:szCs w:val="48"/>
      <w:lang w:val="es-ES_tradnl" w:eastAsia="es-MX"/>
    </w:rPr>
  </w:style>
  <w:style w:type="table" w:customStyle="1" w:styleId="81">
    <w:name w:val="81"/>
    <w:basedOn w:val="TableNormal"/>
    <w:rsid w:val="00570BEC"/>
    <w:tblPr>
      <w:tblStyleRowBandSize w:val="1"/>
      <w:tblStyleColBandSize w:val="1"/>
      <w:tblCellMar>
        <w:left w:w="115" w:type="dxa"/>
        <w:right w:w="115" w:type="dxa"/>
      </w:tblCellMar>
    </w:tblPr>
  </w:style>
  <w:style w:type="table" w:customStyle="1" w:styleId="7">
    <w:name w:val="7"/>
    <w:basedOn w:val="TableNormal"/>
    <w:rsid w:val="00570BEC"/>
    <w:tblPr>
      <w:tblStyleRowBandSize w:val="1"/>
      <w:tblStyleColBandSize w:val="1"/>
      <w:tblCellMar>
        <w:left w:w="115" w:type="dxa"/>
        <w:right w:w="115" w:type="dxa"/>
      </w:tblCellMar>
    </w:tblPr>
  </w:style>
  <w:style w:type="table" w:customStyle="1" w:styleId="6">
    <w:name w:val="6"/>
    <w:basedOn w:val="TableNormal"/>
    <w:rsid w:val="00570BEC"/>
    <w:tblPr>
      <w:tblStyleRowBandSize w:val="1"/>
      <w:tblStyleColBandSize w:val="1"/>
      <w:tblCellMar>
        <w:left w:w="115" w:type="dxa"/>
        <w:right w:w="115" w:type="dxa"/>
      </w:tblCellMar>
    </w:tblPr>
  </w:style>
  <w:style w:type="table" w:customStyle="1" w:styleId="5">
    <w:name w:val="5"/>
    <w:basedOn w:val="TableNormal"/>
    <w:rsid w:val="00570BEC"/>
    <w:tblPr>
      <w:tblStyleRowBandSize w:val="1"/>
      <w:tblStyleColBandSize w:val="1"/>
      <w:tblCellMar>
        <w:left w:w="115" w:type="dxa"/>
        <w:right w:w="115" w:type="dxa"/>
      </w:tblCellMar>
    </w:tblPr>
  </w:style>
  <w:style w:type="table" w:customStyle="1" w:styleId="4">
    <w:name w:val="4"/>
    <w:basedOn w:val="TableNormal"/>
    <w:rsid w:val="00570BEC"/>
    <w:tblPr>
      <w:tblStyleRowBandSize w:val="1"/>
      <w:tblStyleColBandSize w:val="1"/>
      <w:tblCellMar>
        <w:left w:w="115" w:type="dxa"/>
        <w:right w:w="115" w:type="dxa"/>
      </w:tblCellMar>
    </w:tblPr>
  </w:style>
  <w:style w:type="table" w:customStyle="1" w:styleId="3">
    <w:name w:val="3"/>
    <w:basedOn w:val="TableNormal"/>
    <w:rsid w:val="00570BEC"/>
    <w:tblPr>
      <w:tblStyleRowBandSize w:val="1"/>
      <w:tblStyleColBandSize w:val="1"/>
      <w:tblCellMar>
        <w:left w:w="115" w:type="dxa"/>
        <w:right w:w="115" w:type="dxa"/>
      </w:tblCellMar>
    </w:tblPr>
  </w:style>
  <w:style w:type="table" w:customStyle="1" w:styleId="2">
    <w:name w:val="2"/>
    <w:basedOn w:val="TableNormal"/>
    <w:rsid w:val="00570BEC"/>
    <w:tblPr>
      <w:tblStyleRowBandSize w:val="1"/>
      <w:tblStyleColBandSize w:val="1"/>
      <w:tblCellMar>
        <w:left w:w="115" w:type="dxa"/>
        <w:right w:w="115" w:type="dxa"/>
      </w:tblCellMar>
    </w:tblPr>
  </w:style>
  <w:style w:type="table" w:customStyle="1" w:styleId="1">
    <w:name w:val="1"/>
    <w:basedOn w:val="TableNormal"/>
    <w:rsid w:val="00570BE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570BEC"/>
    <w:rPr>
      <w:rFonts w:ascii="Times New Roman" w:hAnsi="Times New Roman" w:cs="Times New Roman"/>
      <w:sz w:val="20"/>
      <w:szCs w:val="20"/>
      <w:lang w:val="x-none" w:eastAsia="es-MX"/>
    </w:rPr>
  </w:style>
  <w:style w:type="character" w:customStyle="1" w:styleId="eop">
    <w:name w:val="eop"/>
    <w:basedOn w:val="Fuentedeprrafopredeter"/>
    <w:rsid w:val="00570BEC"/>
    <w:rPr>
      <w:rFonts w:cs="Times New Roman"/>
    </w:rPr>
  </w:style>
  <w:style w:type="character" w:customStyle="1" w:styleId="m2871584667633129156gmail-apple-converted-space">
    <w:name w:val="m_2871584667633129156gmail-apple-converted-space"/>
    <w:basedOn w:val="Fuentedeprrafopredeter"/>
    <w:rsid w:val="00570BEC"/>
    <w:rPr>
      <w:rFonts w:cs="Times New Roman"/>
    </w:rPr>
  </w:style>
  <w:style w:type="character" w:customStyle="1" w:styleId="m2871584667633129156gmail-msofootnotereference">
    <w:name w:val="m_2871584667633129156gmail-msofootnotereference"/>
    <w:basedOn w:val="Fuentedeprrafopredeter"/>
    <w:rsid w:val="00570BEC"/>
    <w:rPr>
      <w:rFonts w:cs="Times New Roman"/>
    </w:rPr>
  </w:style>
  <w:style w:type="paragraph" w:customStyle="1" w:styleId="m2871584667633129156gmail-msofootnotetext">
    <w:name w:val="m_2871584667633129156gmail-msofootnotetext"/>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u">
    <w:name w:val="u"/>
    <w:basedOn w:val="Fuentedeprrafopredeter"/>
    <w:rsid w:val="00570BEC"/>
    <w:rPr>
      <w:rFonts w:cs="Times New Roman"/>
    </w:rPr>
  </w:style>
  <w:style w:type="paragraph" w:customStyle="1" w:styleId="rtejustify">
    <w:name w:val="rtejustify"/>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paragraph" w:customStyle="1" w:styleId="j1">
    <w:name w:val="j1"/>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m-7180717751901043621gmail-msofootnotereference">
    <w:name w:val="m_-7180717751901043621gmail-msofootnotereference"/>
    <w:basedOn w:val="Fuentedeprrafopredeter"/>
    <w:rsid w:val="00570BEC"/>
    <w:rPr>
      <w:rFonts w:cs="Times New Roman"/>
    </w:rPr>
  </w:style>
  <w:style w:type="character" w:customStyle="1" w:styleId="m-3579365149168697376gmail-msofootnotereference">
    <w:name w:val="m_-3579365149168697376gmail-msofootnotereference"/>
    <w:basedOn w:val="Fuentedeprrafopredeter"/>
    <w:rsid w:val="00570BEC"/>
    <w:rPr>
      <w:rFonts w:cs="Times New Roman"/>
    </w:rPr>
  </w:style>
  <w:style w:type="paragraph" w:customStyle="1" w:styleId="m-3579365149168697376gmail-msofootnotetext">
    <w:name w:val="m_-3579365149168697376gmail-msofootnotetext"/>
    <w:basedOn w:val="Normal"/>
    <w:rsid w:val="00570BEC"/>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customStyle="1" w:styleId="ams">
    <w:name w:val="ams"/>
    <w:basedOn w:val="Fuentedeprrafopredeter"/>
    <w:rsid w:val="00570BEC"/>
    <w:rPr>
      <w:rFonts w:cs="Times New Roman"/>
    </w:rPr>
  </w:style>
  <w:style w:type="table" w:customStyle="1" w:styleId="Tablaconcuadrcula4">
    <w:name w:val="Tabla con cuadrícula4"/>
    <w:basedOn w:val="Tablanormal"/>
    <w:next w:val="Tablaconcuadrcula"/>
    <w:uiPriority w:val="59"/>
    <w:qFormat/>
    <w:rsid w:val="00570B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70BE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71">
    <w:name w:val="71"/>
    <w:basedOn w:val="TableNormal"/>
    <w:rsid w:val="00570BEC"/>
    <w:tblPr>
      <w:tblStyleRowBandSize w:val="1"/>
      <w:tblStyleColBandSize w:val="1"/>
      <w:tblCellMar>
        <w:left w:w="115" w:type="dxa"/>
        <w:right w:w="115" w:type="dxa"/>
      </w:tblCellMar>
    </w:tblPr>
  </w:style>
  <w:style w:type="table" w:customStyle="1" w:styleId="61">
    <w:name w:val="61"/>
    <w:basedOn w:val="TableNormal"/>
    <w:rsid w:val="00570BEC"/>
    <w:tblPr>
      <w:tblStyleRowBandSize w:val="1"/>
      <w:tblStyleColBandSize w:val="1"/>
      <w:tblCellMar>
        <w:left w:w="115" w:type="dxa"/>
        <w:right w:w="115" w:type="dxa"/>
      </w:tblCellMar>
    </w:tblPr>
  </w:style>
  <w:style w:type="table" w:customStyle="1" w:styleId="51">
    <w:name w:val="51"/>
    <w:basedOn w:val="TableNormal"/>
    <w:rsid w:val="00570BEC"/>
    <w:tblPr>
      <w:tblStyleRowBandSize w:val="1"/>
      <w:tblStyleColBandSize w:val="1"/>
      <w:tblCellMar>
        <w:left w:w="115" w:type="dxa"/>
        <w:right w:w="115" w:type="dxa"/>
      </w:tblCellMar>
    </w:tblPr>
  </w:style>
  <w:style w:type="table" w:customStyle="1" w:styleId="41">
    <w:name w:val="41"/>
    <w:basedOn w:val="TableNormal"/>
    <w:rsid w:val="00570BEC"/>
    <w:tblPr>
      <w:tblStyleRowBandSize w:val="1"/>
      <w:tblStyleColBandSize w:val="1"/>
      <w:tblCellMar>
        <w:left w:w="115" w:type="dxa"/>
        <w:right w:w="115" w:type="dxa"/>
      </w:tblCellMar>
    </w:tblPr>
  </w:style>
  <w:style w:type="table" w:customStyle="1" w:styleId="31">
    <w:name w:val="31"/>
    <w:basedOn w:val="TableNormal"/>
    <w:rsid w:val="00570BEC"/>
    <w:tblPr>
      <w:tblStyleRowBandSize w:val="1"/>
      <w:tblStyleColBandSize w:val="1"/>
      <w:tblCellMar>
        <w:left w:w="115" w:type="dxa"/>
        <w:right w:w="115" w:type="dxa"/>
      </w:tblCellMar>
    </w:tblPr>
  </w:style>
  <w:style w:type="table" w:customStyle="1" w:styleId="21">
    <w:name w:val="21"/>
    <w:basedOn w:val="TableNormal"/>
    <w:rsid w:val="00570BEC"/>
    <w:tblPr>
      <w:tblStyleRowBandSize w:val="1"/>
      <w:tblStyleColBandSize w:val="1"/>
      <w:tblCellMar>
        <w:left w:w="115" w:type="dxa"/>
        <w:right w:w="115" w:type="dxa"/>
      </w:tblCellMar>
    </w:tblPr>
  </w:style>
  <w:style w:type="table" w:customStyle="1" w:styleId="11">
    <w:name w:val="11"/>
    <w:basedOn w:val="TableNormal"/>
    <w:rsid w:val="00570BEC"/>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70BEC"/>
    <w:pPr>
      <w:numPr>
        <w:numId w:val="73"/>
      </w:numPr>
      <w:spacing w:line="240" w:lineRule="auto"/>
      <w:contextualSpacing/>
      <w:jc w:val="left"/>
    </w:pPr>
    <w:rPr>
      <w:rFonts w:ascii="Times New Roman" w:eastAsia="Times New Roman" w:hAnsi="Times New Roman" w:cs="Times New Roman"/>
      <w:szCs w:val="24"/>
      <w:lang w:val="es-MX"/>
    </w:rPr>
  </w:style>
  <w:style w:type="character" w:customStyle="1" w:styleId="TextodegloboCar11">
    <w:name w:val="Texto de globo Car11"/>
    <w:basedOn w:val="Fuentedeprrafopredeter"/>
    <w:uiPriority w:val="99"/>
    <w:semiHidden/>
    <w:rsid w:val="00570BEC"/>
    <w:rPr>
      <w:rFonts w:ascii="Segoe UI" w:hAnsi="Segoe UI" w:cs="Segoe UI"/>
      <w:sz w:val="18"/>
      <w:szCs w:val="18"/>
    </w:rPr>
  </w:style>
  <w:style w:type="character" w:customStyle="1" w:styleId="TextocomentarioCar11">
    <w:name w:val="Texto comentario Car11"/>
    <w:basedOn w:val="Fuentedeprrafopredeter"/>
    <w:uiPriority w:val="99"/>
    <w:semiHidden/>
    <w:rsid w:val="00570BEC"/>
    <w:rPr>
      <w:rFonts w:cs="Times New Roman"/>
      <w:sz w:val="20"/>
      <w:szCs w:val="20"/>
    </w:rPr>
  </w:style>
  <w:style w:type="character" w:customStyle="1" w:styleId="AsuntodelcomentarioCar11">
    <w:name w:val="Asunto del comentario Car11"/>
    <w:basedOn w:val="TextocomentarioCar11"/>
    <w:uiPriority w:val="99"/>
    <w:semiHidden/>
    <w:rsid w:val="00570BEC"/>
    <w:rPr>
      <w:rFonts w:cs="Times New Roman"/>
      <w:b/>
      <w:bCs/>
      <w:sz w:val="20"/>
      <w:szCs w:val="20"/>
    </w:rPr>
  </w:style>
  <w:style w:type="table" w:customStyle="1" w:styleId="Tablaconcuadrcula5">
    <w:name w:val="Tabla con cuadrícula5"/>
    <w:basedOn w:val="Tablanormal"/>
    <w:next w:val="Tablaconcuadrcula"/>
    <w:uiPriority w:val="59"/>
    <w:rsid w:val="00570B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570BE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importado1">
    <w:name w:val="Estilo importado 1"/>
    <w:rsid w:val="00570BEC"/>
    <w:pPr>
      <w:numPr>
        <w:numId w:val="72"/>
      </w:numPr>
    </w:pPr>
  </w:style>
  <w:style w:type="numbering" w:customStyle="1" w:styleId="Estiloimportado2">
    <w:name w:val="Estilo importado 2"/>
    <w:rsid w:val="00570BEC"/>
    <w:pPr>
      <w:numPr>
        <w:numId w:val="7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74926540">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40074987">
      <w:bodyDiv w:val="1"/>
      <w:marLeft w:val="0"/>
      <w:marRight w:val="0"/>
      <w:marTop w:val="0"/>
      <w:marBottom w:val="0"/>
      <w:divBdr>
        <w:top w:val="none" w:sz="0" w:space="0" w:color="auto"/>
        <w:left w:val="none" w:sz="0" w:space="0" w:color="auto"/>
        <w:bottom w:val="none" w:sz="0" w:space="0" w:color="auto"/>
        <w:right w:val="none" w:sz="0" w:space="0" w:color="auto"/>
      </w:divBdr>
    </w:div>
    <w:div w:id="463280807">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14041849">
      <w:bodyDiv w:val="1"/>
      <w:marLeft w:val="0"/>
      <w:marRight w:val="0"/>
      <w:marTop w:val="0"/>
      <w:marBottom w:val="0"/>
      <w:divBdr>
        <w:top w:val="none" w:sz="0" w:space="0" w:color="auto"/>
        <w:left w:val="none" w:sz="0" w:space="0" w:color="auto"/>
        <w:bottom w:val="none" w:sz="0" w:space="0" w:color="auto"/>
        <w:right w:val="none" w:sz="0" w:space="0" w:color="auto"/>
      </w:divBdr>
    </w:div>
    <w:div w:id="109197582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159341667">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06049461">
      <w:bodyDiv w:val="1"/>
      <w:marLeft w:val="0"/>
      <w:marRight w:val="0"/>
      <w:marTop w:val="0"/>
      <w:marBottom w:val="0"/>
      <w:divBdr>
        <w:top w:val="none" w:sz="0" w:space="0" w:color="auto"/>
        <w:left w:val="none" w:sz="0" w:space="0" w:color="auto"/>
        <w:bottom w:val="none" w:sz="0" w:space="0" w:color="auto"/>
        <w:right w:val="none" w:sz="0" w:space="0" w:color="auto"/>
      </w:divBdr>
    </w:div>
    <w:div w:id="1811510853">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s.ifai.org.mx/descargar.php?r=./pdf/resoluciones/2017/&amp;a=RRA%2022.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onsultas.ifai.org.mx/descargar.php?r=./pdf/resoluciones/2017/&amp;a=RRA%203482.pdf" TargetMode="External"/><Relationship Id="rId4" Type="http://schemas.openxmlformats.org/officeDocument/2006/relationships/settings" Target="settings.xml"/><Relationship Id="rId9" Type="http://schemas.openxmlformats.org/officeDocument/2006/relationships/hyperlink" Target="http://consultas.ifai.org.mx/descargar.php?r=./pdf/resoluciones/2017/&amp;a=RRA%202536.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B1C82-FD13-4A69-9BE4-EC6CA27B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45</Pages>
  <Words>9758</Words>
  <Characters>53670</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2026-06-05T16:33:00Z</cp:lastPrinted>
  <dcterms:created xsi:type="dcterms:W3CDTF">2026-05-27T01:14:00Z</dcterms:created>
  <dcterms:modified xsi:type="dcterms:W3CDTF">2026-06-09T18:26:00Z</dcterms:modified>
</cp:coreProperties>
</file>