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396F" w:rsidRDefault="00F71AB8">
      <w:pPr>
        <w:tabs>
          <w:tab w:val="left" w:pos="3465"/>
        </w:tabs>
        <w:spacing w:line="360" w:lineRule="auto"/>
        <w:ind w:right="-1417"/>
        <w:jc w:val="both"/>
        <w:rPr>
          <w:rFonts w:ascii="Palatino Linotype" w:eastAsia="Palatino Linotype" w:hAnsi="Palatino Linotype" w:cs="Palatino Linotype"/>
        </w:rPr>
      </w:pPr>
      <w:r>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fecha </w:t>
      </w:r>
      <w:r>
        <w:rPr>
          <w:rFonts w:ascii="Palatino Linotype" w:eastAsia="Palatino Linotype" w:hAnsi="Palatino Linotype" w:cs="Palatino Linotype"/>
          <w:b/>
          <w:bCs/>
        </w:rPr>
        <w:t>diez (10) de junio de dos mil veintiséis</w:t>
      </w:r>
      <w:r>
        <w:rPr>
          <w:rFonts w:ascii="Palatino Linotype" w:eastAsia="Palatino Linotype" w:hAnsi="Palatino Linotype" w:cs="Palatino Linotype"/>
        </w:rPr>
        <w:t>.</w:t>
      </w:r>
    </w:p>
    <w:p w:rsidR="00F3396F" w:rsidRDefault="00F3396F">
      <w:pPr>
        <w:tabs>
          <w:tab w:val="left" w:pos="3465"/>
        </w:tabs>
        <w:spacing w:line="360" w:lineRule="auto"/>
        <w:ind w:right="-1417"/>
        <w:jc w:val="both"/>
        <w:rPr>
          <w:rFonts w:ascii="Palatino Linotype" w:eastAsia="Palatino Linotype" w:hAnsi="Palatino Linotype" w:cs="Palatino Linotype"/>
        </w:rPr>
      </w:pPr>
    </w:p>
    <w:p w:rsidR="00F3396F" w:rsidRDefault="00F71AB8">
      <w:pPr>
        <w:spacing w:line="360" w:lineRule="auto"/>
        <w:ind w:right="-1417"/>
        <w:jc w:val="both"/>
        <w:rPr>
          <w:rFonts w:ascii="Palatino Linotype" w:eastAsia="Palatino Linotype" w:hAnsi="Palatino Linotype" w:cs="Palatino Linotype"/>
        </w:rPr>
      </w:pPr>
      <w:r>
        <w:rPr>
          <w:rFonts w:ascii="Palatino Linotype" w:eastAsia="Palatino Linotype" w:hAnsi="Palatino Linotype" w:cs="Palatino Linotype"/>
          <w:b/>
          <w:bCs/>
        </w:rPr>
        <w:t>VISTO</w:t>
      </w:r>
      <w:r>
        <w:rPr>
          <w:rFonts w:ascii="Palatino Linotype" w:eastAsia="Palatino Linotype" w:hAnsi="Palatino Linotype" w:cs="Palatino Linotype"/>
        </w:rPr>
        <w:t xml:space="preserve"> el expediente electrónico formado con motivo del recurso de revisión </w:t>
      </w:r>
      <w:r>
        <w:rPr>
          <w:rFonts w:ascii="Palatino Linotype" w:eastAsia="Palatino Linotype" w:hAnsi="Palatino Linotype" w:cs="Palatino Linotype"/>
          <w:b/>
          <w:bCs/>
        </w:rPr>
        <w:t xml:space="preserve">01133/INFOEM/IP/RR/2026, </w:t>
      </w:r>
      <w:r>
        <w:rPr>
          <w:rFonts w:ascii="Palatino Linotype" w:eastAsia="Palatino Linotype" w:hAnsi="Palatino Linotype" w:cs="Palatino Linotype"/>
        </w:rPr>
        <w:t>promovido por</w:t>
      </w:r>
      <w:r>
        <w:rPr>
          <w:rFonts w:ascii="Palatino Linotype" w:eastAsia="Palatino Linotype" w:hAnsi="Palatino Linotype" w:cs="Palatino Linotype"/>
          <w:b/>
          <w:bCs/>
        </w:rPr>
        <w:t xml:space="preserve"> </w:t>
      </w:r>
      <w:r w:rsidR="002B4CDF">
        <w:rPr>
          <w:rFonts w:ascii="Palatino Linotype" w:eastAsia="Palatino Linotype" w:hAnsi="Palatino Linotype" w:cs="Palatino Linotype"/>
          <w:b/>
        </w:rPr>
        <w:t>XXXX</w:t>
      </w:r>
      <w:r>
        <w:rPr>
          <w:rFonts w:ascii="Palatino Linotype" w:eastAsia="Palatino Linotype" w:hAnsi="Palatino Linotype" w:cs="Palatino Linotype"/>
          <w:b/>
          <w:bCs/>
        </w:rPr>
        <w:t>,</w:t>
      </w:r>
      <w:r>
        <w:rPr>
          <w:rFonts w:ascii="Palatino Linotype" w:eastAsia="Palatino Linotype" w:hAnsi="Palatino Linotype" w:cs="Palatino Linotype"/>
        </w:rPr>
        <w:t xml:space="preserve"> a quien en lo sucesivo se le identificará como </w:t>
      </w:r>
      <w:r>
        <w:rPr>
          <w:rFonts w:ascii="Palatino Linotype" w:eastAsia="Palatino Linotype" w:hAnsi="Palatino Linotype" w:cs="Palatino Linotype"/>
          <w:b/>
          <w:bCs/>
        </w:rPr>
        <w:t>EL RECURRENTE</w:t>
      </w:r>
      <w:r>
        <w:rPr>
          <w:rFonts w:ascii="Palatino Linotype" w:eastAsia="Palatino Linotype" w:hAnsi="Palatino Linotype" w:cs="Palatino Linotype"/>
        </w:rPr>
        <w:t xml:space="preserve">, en contra de la respuesta del </w:t>
      </w:r>
      <w:r>
        <w:rPr>
          <w:rFonts w:ascii="Palatino Linotype" w:eastAsia="Palatino Linotype" w:hAnsi="Palatino Linotype" w:cs="Palatino Linotype"/>
          <w:b/>
          <w:bCs/>
        </w:rPr>
        <w:t xml:space="preserve">Ayuntamiento de Calimaya, </w:t>
      </w:r>
      <w:r>
        <w:rPr>
          <w:rFonts w:ascii="Palatino Linotype" w:eastAsia="Palatino Linotype" w:hAnsi="Palatino Linotype" w:cs="Palatino Linotype"/>
        </w:rPr>
        <w:t>en adelante el</w:t>
      </w:r>
      <w:r>
        <w:rPr>
          <w:rFonts w:ascii="Palatino Linotype" w:eastAsia="Palatino Linotype" w:hAnsi="Palatino Linotype" w:cs="Palatino Linotype"/>
          <w:b/>
          <w:bCs/>
        </w:rPr>
        <w:t xml:space="preserve"> SUJETO OBLIGADO</w:t>
      </w:r>
      <w:r>
        <w:rPr>
          <w:rFonts w:ascii="Palatino Linotype" w:eastAsia="Palatino Linotype" w:hAnsi="Palatino Linotype" w:cs="Palatino Linotype"/>
        </w:rPr>
        <w:t>, se procede a dictar la presente resolución, con base en los siguientes:</w:t>
      </w:r>
    </w:p>
    <w:p w:rsidR="00F3396F" w:rsidRDefault="00F3396F">
      <w:pPr>
        <w:spacing w:line="360" w:lineRule="auto"/>
        <w:ind w:right="-1417"/>
        <w:jc w:val="both"/>
        <w:rPr>
          <w:rFonts w:ascii="Palatino Linotype" w:eastAsia="Palatino Linotype" w:hAnsi="Palatino Linotype" w:cs="Palatino Linotype"/>
          <w:b/>
          <w:bCs/>
        </w:rPr>
      </w:pPr>
    </w:p>
    <w:p w:rsidR="00F3396F" w:rsidRDefault="00F71AB8">
      <w:pPr>
        <w:pStyle w:val="Ttulo1"/>
        <w:spacing w:before="0" w:line="360" w:lineRule="auto"/>
        <w:ind w:right="-1417"/>
        <w:jc w:val="center"/>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A N T E C E D E N T E S</w:t>
      </w:r>
    </w:p>
    <w:p w:rsidR="00F3396F" w:rsidRDefault="00F3396F">
      <w:pPr>
        <w:ind w:right="-1417"/>
        <w:rPr>
          <w:rFonts w:ascii="Palatino Linotype" w:eastAsia="Palatino Linotype" w:hAnsi="Palatino Linotype" w:cs="Palatino Linotype"/>
        </w:rPr>
      </w:pPr>
    </w:p>
    <w:p w:rsidR="00F3396F" w:rsidRDefault="00F71AB8">
      <w:pPr>
        <w:numPr>
          <w:ilvl w:val="0"/>
          <w:numId w:val="6"/>
        </w:numPr>
        <w:pBdr>
          <w:top w:val="nil"/>
          <w:left w:val="nil"/>
          <w:bottom w:val="nil"/>
          <w:right w:val="nil"/>
          <w:between w:val="nil"/>
        </w:pBdr>
        <w:tabs>
          <w:tab w:val="left" w:pos="0"/>
        </w:tabs>
        <w:spacing w:line="360" w:lineRule="auto"/>
        <w:ind w:left="0" w:right="-141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El día</w:t>
      </w:r>
      <w:r>
        <w:rPr>
          <w:rFonts w:ascii="Palatino Linotype" w:eastAsia="Palatino Linotype" w:hAnsi="Palatino Linotype" w:cs="Palatino Linotype"/>
          <w:b/>
          <w:bCs/>
          <w:color w:val="000000"/>
        </w:rPr>
        <w:t xml:space="preserve"> diez de diciembre de dos mil veinticinco, </w:t>
      </w:r>
      <w:r>
        <w:rPr>
          <w:rFonts w:ascii="Palatino Linotype" w:eastAsia="Palatino Linotype" w:hAnsi="Palatino Linotype" w:cs="Palatino Linotype"/>
          <w:color w:val="000000"/>
        </w:rPr>
        <w:t xml:space="preserve">se presentó ante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vía Sistema de Acceso a la Información, la solicitud de información pública registrada con el número</w:t>
      </w:r>
      <w:r>
        <w:rPr>
          <w:rFonts w:ascii="Palatino Linotype" w:eastAsia="Palatino Linotype" w:hAnsi="Palatino Linotype" w:cs="Palatino Linotype"/>
          <w:b/>
          <w:bCs/>
          <w:color w:val="000000"/>
        </w:rPr>
        <w:t xml:space="preserve">  00583/CALIMAYA/IP/2025; </w:t>
      </w:r>
      <w:r>
        <w:rPr>
          <w:rFonts w:ascii="Palatino Linotype" w:eastAsia="Palatino Linotype" w:hAnsi="Palatino Linotype" w:cs="Palatino Linotype"/>
        </w:rPr>
        <w:t>en la que</w:t>
      </w:r>
      <w:r>
        <w:rPr>
          <w:rFonts w:ascii="Palatino Linotype" w:eastAsia="Palatino Linotype" w:hAnsi="Palatino Linotype" w:cs="Palatino Linotype"/>
          <w:color w:val="000000"/>
        </w:rPr>
        <w:t xml:space="preserve"> se solicitó la siguiente información:</w:t>
      </w:r>
    </w:p>
    <w:p w:rsidR="00F3396F" w:rsidRDefault="00F3396F">
      <w:pPr>
        <w:pBdr>
          <w:top w:val="nil"/>
          <w:left w:val="nil"/>
          <w:bottom w:val="nil"/>
          <w:right w:val="nil"/>
          <w:between w:val="nil"/>
        </w:pBdr>
        <w:spacing w:line="360" w:lineRule="auto"/>
        <w:ind w:left="1134" w:right="-1417"/>
        <w:jc w:val="both"/>
        <w:rPr>
          <w:rFonts w:ascii="Palatino Linotype" w:eastAsia="Palatino Linotype" w:hAnsi="Palatino Linotype" w:cs="Palatino Linotype"/>
          <w:color w:val="000000"/>
        </w:rPr>
      </w:pPr>
    </w:p>
    <w:p w:rsidR="00F3396F" w:rsidRDefault="00F71AB8">
      <w:pPr>
        <w:pBdr>
          <w:top w:val="nil"/>
          <w:left w:val="nil"/>
          <w:bottom w:val="nil"/>
          <w:right w:val="nil"/>
          <w:between w:val="nil"/>
        </w:pBdr>
        <w:ind w:left="1134" w:right="-1417"/>
        <w:jc w:val="both"/>
        <w:rPr>
          <w:rFonts w:ascii="Palatino Linotype" w:eastAsia="Palatino Linotype" w:hAnsi="Palatino Linotype" w:cs="Palatino Linotype"/>
          <w:color w:val="000000"/>
        </w:rPr>
      </w:pPr>
      <w:r>
        <w:rPr>
          <w:rFonts w:ascii="Palatino Linotype" w:eastAsia="Palatino Linotype" w:hAnsi="Palatino Linotype" w:cs="Palatino Linotype"/>
          <w:i/>
          <w:iCs/>
          <w:color w:val="000000"/>
        </w:rPr>
        <w:t xml:space="preserve">“Buenos días, solicito información sobre la privada localizada en la Manzana 7 Lote 10 en Bosque de las Fuentes, San Andrés Ocotlán, Calimaya requiero saber: - Si existe información sobre ampliaciones realizadas en casas al interior de esta privada. - Si dichas ampliaciones cuentan con licencia de construcción o autorización municipal, indicando número de licencia, fecha de expedición y vigencia. - Si la administración del conjunto urbano hizo del conocimiento de la autoridad municipal las irregularidades detectadas en obras dentro de esta privada. - Si la administración emitió algún visto bueno o autorización interna respecto de alguna ampliación en esta privada. - En caso de que exista licencia de construcción, solicito copia digital de la información y documentación proporcionada por el solicitante para obtenerla, incluyendo planos, dictámenes técnicos y </w:t>
      </w:r>
      <w:r>
        <w:rPr>
          <w:rFonts w:ascii="Palatino Linotype" w:eastAsia="Palatino Linotype" w:hAnsi="Palatino Linotype" w:cs="Palatino Linotype"/>
          <w:i/>
          <w:iCs/>
          <w:color w:val="000000"/>
        </w:rPr>
        <w:lastRenderedPageBreak/>
        <w:t>requisitos cumplidos. - Requiero saber que documentación proporcionaron propietarios que realizaron ampliaciones dentro del conjunto urbano bosque de las fuentes, y que cuenten con licencia de construcción o que han sido regularizadas o están en proceso de serlo, incluyendo copia de las licencias, fecha de expedición y de termino de obra.”</w:t>
      </w:r>
    </w:p>
    <w:p w:rsidR="00F3396F" w:rsidRDefault="00F3396F">
      <w:pPr>
        <w:pBdr>
          <w:top w:val="nil"/>
          <w:left w:val="nil"/>
          <w:bottom w:val="nil"/>
          <w:right w:val="nil"/>
          <w:between w:val="nil"/>
        </w:pBdr>
        <w:spacing w:line="360" w:lineRule="auto"/>
        <w:ind w:left="851" w:right="-1417"/>
        <w:jc w:val="both"/>
        <w:rPr>
          <w:rFonts w:ascii="Palatino Linotype" w:eastAsia="Palatino Linotype" w:hAnsi="Palatino Linotype" w:cs="Palatino Linotype"/>
          <w:color w:val="000000"/>
        </w:rPr>
      </w:pPr>
    </w:p>
    <w:p w:rsidR="00F3396F" w:rsidRDefault="00F71AB8">
      <w:pPr>
        <w:numPr>
          <w:ilvl w:val="0"/>
          <w:numId w:val="7"/>
        </w:numPr>
        <w:pBdr>
          <w:top w:val="nil"/>
          <w:left w:val="nil"/>
          <w:bottom w:val="nil"/>
          <w:right w:val="nil"/>
          <w:between w:val="nil"/>
        </w:pBdr>
        <w:spacing w:line="360" w:lineRule="auto"/>
        <w:ind w:left="851" w:right="-141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Se eligió como modalidad de entrega de la información: vía Sistema de Acceso a la Información</w:t>
      </w:r>
      <w:r>
        <w:rPr>
          <w:rFonts w:ascii="Palatino Linotype" w:eastAsia="Palatino Linotype" w:hAnsi="Palatino Linotype" w:cs="Palatino Linotype"/>
          <w:b/>
          <w:bCs/>
          <w:color w:val="000000"/>
        </w:rPr>
        <w:t>.</w:t>
      </w:r>
    </w:p>
    <w:p w:rsidR="00F3396F" w:rsidRDefault="00F3396F">
      <w:pPr>
        <w:ind w:right="-1417"/>
        <w:rPr>
          <w:rFonts w:ascii="Palatino Linotype" w:eastAsia="Palatino Linotype" w:hAnsi="Palatino Linotype" w:cs="Palatino Linotype"/>
          <w:color w:val="000000"/>
        </w:rPr>
      </w:pPr>
    </w:p>
    <w:p w:rsidR="00F3396F" w:rsidRDefault="00F71AB8">
      <w:pPr>
        <w:numPr>
          <w:ilvl w:val="0"/>
          <w:numId w:val="6"/>
        </w:numPr>
        <w:pBdr>
          <w:top w:val="nil"/>
          <w:left w:val="nil"/>
          <w:bottom w:val="nil"/>
          <w:right w:val="nil"/>
          <w:between w:val="nil"/>
        </w:pBdr>
        <w:tabs>
          <w:tab w:val="left" w:pos="0"/>
        </w:tabs>
        <w:spacing w:line="360" w:lineRule="auto"/>
        <w:ind w:left="0" w:right="-141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 xml:space="preserve">doce de diciembre de dos mil veinticinco, </w:t>
      </w: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rPr>
        <w:t>giró</w:t>
      </w:r>
      <w:r>
        <w:rPr>
          <w:rFonts w:ascii="Palatino Linotype" w:eastAsia="Palatino Linotype" w:hAnsi="Palatino Linotype" w:cs="Palatino Linotype"/>
          <w:color w:val="000000"/>
        </w:rPr>
        <w:t xml:space="preserve"> el requerimiento para que fuera atendida la solicitud de información </w:t>
      </w:r>
      <w:r>
        <w:rPr>
          <w:rFonts w:ascii="Palatino Linotype" w:eastAsia="Palatino Linotype" w:hAnsi="Palatino Linotype" w:cs="Palatino Linotype"/>
          <w:b/>
          <w:bCs/>
          <w:color w:val="000000"/>
        </w:rPr>
        <w:t xml:space="preserve"> 00583/CALIMAYA/IP/2025. </w:t>
      </w:r>
    </w:p>
    <w:p w:rsidR="00F3396F" w:rsidRDefault="00F3396F">
      <w:pPr>
        <w:pBdr>
          <w:top w:val="nil"/>
          <w:left w:val="nil"/>
          <w:bottom w:val="nil"/>
          <w:right w:val="nil"/>
          <w:between w:val="nil"/>
        </w:pBdr>
        <w:tabs>
          <w:tab w:val="left" w:pos="0"/>
        </w:tabs>
        <w:spacing w:line="360" w:lineRule="auto"/>
        <w:ind w:right="-1417"/>
        <w:jc w:val="both"/>
        <w:rPr>
          <w:rFonts w:ascii="Palatino Linotype" w:eastAsia="Palatino Linotype" w:hAnsi="Palatino Linotype" w:cs="Palatino Linotype"/>
          <w:color w:val="000000"/>
        </w:rPr>
      </w:pPr>
    </w:p>
    <w:p w:rsidR="00F3396F" w:rsidRDefault="00F71AB8">
      <w:pPr>
        <w:numPr>
          <w:ilvl w:val="0"/>
          <w:numId w:val="6"/>
        </w:numPr>
        <w:pBdr>
          <w:top w:val="nil"/>
          <w:left w:val="nil"/>
          <w:bottom w:val="nil"/>
          <w:right w:val="nil"/>
          <w:between w:val="nil"/>
        </w:pBdr>
        <w:tabs>
          <w:tab w:val="left" w:pos="0"/>
        </w:tabs>
        <w:spacing w:line="360" w:lineRule="auto"/>
        <w:ind w:left="0" w:right="-141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 xml:space="preserve">trece de enero de dos mil veintiséis, </w:t>
      </w: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rPr>
        <w:t>entregó</w:t>
      </w:r>
      <w:r>
        <w:rPr>
          <w:rFonts w:ascii="Palatino Linotype" w:eastAsia="Palatino Linotype" w:hAnsi="Palatino Linotype" w:cs="Palatino Linotype"/>
          <w:color w:val="000000"/>
        </w:rPr>
        <w:t xml:space="preserve"> un archivo electrónico en formato PDF, cuyo contenido grosso modo es el siguiente. </w:t>
      </w:r>
    </w:p>
    <w:p w:rsidR="00F3396F" w:rsidRDefault="00F71AB8">
      <w:pPr>
        <w:pBdr>
          <w:top w:val="nil"/>
          <w:left w:val="nil"/>
          <w:bottom w:val="nil"/>
          <w:right w:val="nil"/>
          <w:between w:val="nil"/>
        </w:pBdr>
        <w:ind w:left="1134" w:right="-1417"/>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CCF_000943.pdf: </w:t>
      </w:r>
      <w:r>
        <w:rPr>
          <w:rFonts w:ascii="Palatino Linotype" w:eastAsia="Palatino Linotype" w:hAnsi="Palatino Linotype" w:cs="Palatino Linotype"/>
          <w:i/>
          <w:iCs/>
          <w:color w:val="000000"/>
        </w:rPr>
        <w:t>oficio de la Directora de Desarrollo Urbano, mediante el cual informa que no cuenta con la información solicitada.</w:t>
      </w:r>
    </w:p>
    <w:p w:rsidR="00F3396F" w:rsidRDefault="00F3396F">
      <w:pPr>
        <w:pBdr>
          <w:top w:val="nil"/>
          <w:left w:val="nil"/>
          <w:bottom w:val="nil"/>
          <w:right w:val="nil"/>
          <w:between w:val="nil"/>
        </w:pBdr>
        <w:ind w:left="1134" w:right="-1417"/>
        <w:jc w:val="both"/>
        <w:rPr>
          <w:rFonts w:ascii="Palatino Linotype" w:eastAsia="Palatino Linotype" w:hAnsi="Palatino Linotype" w:cs="Palatino Linotype"/>
          <w:i/>
          <w:iCs/>
        </w:rPr>
      </w:pPr>
    </w:p>
    <w:p w:rsidR="00F3396F" w:rsidRDefault="00F3396F">
      <w:pPr>
        <w:pBdr>
          <w:top w:val="nil"/>
          <w:left w:val="nil"/>
          <w:bottom w:val="nil"/>
          <w:right w:val="nil"/>
          <w:between w:val="nil"/>
        </w:pBdr>
        <w:ind w:left="1134" w:right="-1417"/>
        <w:jc w:val="both"/>
        <w:rPr>
          <w:rFonts w:ascii="Palatino Linotype" w:eastAsia="Palatino Linotype" w:hAnsi="Palatino Linotype" w:cs="Palatino Linotype"/>
          <w:i/>
          <w:iCs/>
        </w:rPr>
      </w:pPr>
    </w:p>
    <w:p w:rsidR="00F3396F" w:rsidRDefault="00F71AB8">
      <w:pPr>
        <w:numPr>
          <w:ilvl w:val="0"/>
          <w:numId w:val="6"/>
        </w:numPr>
        <w:pBdr>
          <w:top w:val="nil"/>
          <w:left w:val="nil"/>
          <w:bottom w:val="nil"/>
          <w:right w:val="nil"/>
          <w:between w:val="nil"/>
        </w:pBdr>
        <w:tabs>
          <w:tab w:val="left" w:pos="0"/>
        </w:tabs>
        <w:spacing w:line="360" w:lineRule="auto"/>
        <w:ind w:left="0" w:right="-1417" w:firstLine="0"/>
        <w:jc w:val="both"/>
        <w:rPr>
          <w:rFonts w:ascii="Palatino Linotype" w:eastAsia="Palatino Linotype" w:hAnsi="Palatino Linotype" w:cs="Palatino Linotype"/>
        </w:rPr>
      </w:pPr>
      <w:bookmarkStart w:id="0" w:name="_heading=h.9mm4isrxqffp" w:colFirst="0" w:colLast="0"/>
      <w:bookmarkEnd w:id="0"/>
      <w:r>
        <w:rPr>
          <w:rFonts w:ascii="Palatino Linotype" w:eastAsia="Palatino Linotype" w:hAnsi="Palatino Linotype" w:cs="Palatino Linotype"/>
        </w:rPr>
        <w:t xml:space="preserve">El </w:t>
      </w:r>
      <w:r>
        <w:rPr>
          <w:rFonts w:ascii="Palatino Linotype" w:eastAsia="Palatino Linotype" w:hAnsi="Palatino Linotype" w:cs="Palatino Linotype"/>
          <w:b/>
          <w:bCs/>
        </w:rPr>
        <w:t>veintisiete de enero de dos mil veintiséis</w:t>
      </w:r>
      <w:r>
        <w:rPr>
          <w:rFonts w:ascii="Palatino Linotype" w:eastAsia="Palatino Linotype" w:hAnsi="Palatino Linotype" w:cs="Palatino Linotype"/>
        </w:rPr>
        <w:t xml:space="preserve">, el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interpuso el recurso de revisión, en contra de la respuesta, señalando lo siguiente:</w:t>
      </w:r>
    </w:p>
    <w:p w:rsidR="00F3396F" w:rsidRDefault="00F3396F">
      <w:pPr>
        <w:spacing w:line="360" w:lineRule="auto"/>
        <w:ind w:right="-1417"/>
        <w:rPr>
          <w:rFonts w:ascii="Palatino Linotype" w:eastAsia="Palatino Linotype" w:hAnsi="Palatino Linotype" w:cs="Palatino Linotype"/>
          <w:i/>
          <w:iCs/>
        </w:rPr>
      </w:pPr>
    </w:p>
    <w:p w:rsidR="00F3396F" w:rsidRDefault="00F71AB8">
      <w:pPr>
        <w:numPr>
          <w:ilvl w:val="0"/>
          <w:numId w:val="8"/>
        </w:numPr>
        <w:ind w:right="-1417"/>
        <w:jc w:val="both"/>
        <w:rPr>
          <w:rFonts w:ascii="Palatino Linotype" w:eastAsia="Palatino Linotype" w:hAnsi="Palatino Linotype" w:cs="Palatino Linotype"/>
        </w:rPr>
      </w:pPr>
      <w:r>
        <w:rPr>
          <w:rFonts w:ascii="Palatino Linotype" w:eastAsia="Palatino Linotype" w:hAnsi="Palatino Linotype" w:cs="Palatino Linotype"/>
          <w:b/>
          <w:bCs/>
        </w:rPr>
        <w:t>Acto impugnado</w:t>
      </w:r>
      <w:r>
        <w:rPr>
          <w:rFonts w:ascii="Palatino Linotype" w:eastAsia="Palatino Linotype" w:hAnsi="Palatino Linotype" w:cs="Palatino Linotype"/>
          <w:b/>
          <w:bCs/>
          <w:i/>
          <w:iCs/>
        </w:rPr>
        <w:t>:</w:t>
      </w:r>
      <w:r>
        <w:rPr>
          <w:rFonts w:ascii="Palatino Linotype" w:eastAsia="Palatino Linotype" w:hAnsi="Palatino Linotype" w:cs="Palatino Linotype"/>
          <w:i/>
          <w:iCs/>
          <w:color w:val="000000"/>
        </w:rPr>
        <w:t xml:space="preserve"> “La respuesta emitida por la Dirección de Desarrollo Urbano del H. Ayuntamiento de Calimaya mediante el oficio PMC/DDU/003/2026, en la cual se afirma que “no se cuenta con dicha información” respecto de la solicitud de información con folio 00583/CALIMAYA/IP/2025. “ (Sic)</w:t>
      </w:r>
    </w:p>
    <w:p w:rsidR="00F3396F" w:rsidRDefault="00F3396F">
      <w:pPr>
        <w:pBdr>
          <w:top w:val="nil"/>
          <w:left w:val="nil"/>
          <w:bottom w:val="nil"/>
          <w:right w:val="nil"/>
          <w:between w:val="nil"/>
        </w:pBdr>
        <w:ind w:left="1134" w:right="-1417"/>
        <w:jc w:val="both"/>
        <w:rPr>
          <w:rFonts w:ascii="Palatino Linotype" w:eastAsia="Palatino Linotype" w:hAnsi="Palatino Linotype" w:cs="Palatino Linotype"/>
          <w:i/>
          <w:iCs/>
          <w:color w:val="000000"/>
        </w:rPr>
      </w:pPr>
    </w:p>
    <w:p w:rsidR="00F3396F" w:rsidRDefault="00F71AB8">
      <w:pPr>
        <w:numPr>
          <w:ilvl w:val="0"/>
          <w:numId w:val="1"/>
        </w:numPr>
        <w:ind w:right="-1417"/>
        <w:jc w:val="both"/>
        <w:rPr>
          <w:rFonts w:ascii="Palatino Linotype" w:eastAsia="Palatino Linotype" w:hAnsi="Palatino Linotype" w:cs="Palatino Linotype"/>
        </w:rPr>
      </w:pPr>
      <w:r>
        <w:rPr>
          <w:rFonts w:ascii="Palatino Linotype" w:eastAsia="Palatino Linotype" w:hAnsi="Palatino Linotype" w:cs="Palatino Linotype"/>
          <w:b/>
          <w:bCs/>
        </w:rPr>
        <w:t>Razones o Motivos de inconformidad</w:t>
      </w:r>
      <w:r>
        <w:rPr>
          <w:rFonts w:ascii="Palatino Linotype" w:eastAsia="Palatino Linotype" w:hAnsi="Palatino Linotype" w:cs="Palatino Linotype"/>
          <w:b/>
          <w:bCs/>
          <w:i/>
          <w:iCs/>
        </w:rPr>
        <w:t>:</w:t>
      </w:r>
      <w:r>
        <w:rPr>
          <w:rFonts w:ascii="Palatino Linotype" w:eastAsia="Palatino Linotype" w:hAnsi="Palatino Linotype" w:cs="Palatino Linotype"/>
          <w:b/>
          <w:bCs/>
          <w:i/>
          <w:iCs/>
          <w:color w:val="2E75B5"/>
        </w:rPr>
        <w:t xml:space="preserve"> </w:t>
      </w:r>
      <w:r>
        <w:rPr>
          <w:rFonts w:ascii="Palatino Linotype" w:eastAsia="Palatino Linotype" w:hAnsi="Palatino Linotype" w:cs="Palatino Linotype"/>
          <w:i/>
          <w:iCs/>
        </w:rPr>
        <w:t>“</w:t>
      </w:r>
      <w:r>
        <w:rPr>
          <w:rFonts w:ascii="Palatino Linotype" w:eastAsia="Palatino Linotype" w:hAnsi="Palatino Linotype" w:cs="Palatino Linotype"/>
          <w:i/>
          <w:iCs/>
          <w:color w:val="000000"/>
        </w:rPr>
        <w:t xml:space="preserve">1. La respuesta es incongruente con los antecedentes documentales existentes. La Dirección de Desarrollo Urbano afirma que “no se cuenta con dicha información”. Sin embargo, existe un documento previo, </w:t>
      </w:r>
      <w:r>
        <w:rPr>
          <w:rFonts w:ascii="Palatino Linotype" w:eastAsia="Palatino Linotype" w:hAnsi="Palatino Linotype" w:cs="Palatino Linotype"/>
          <w:i/>
          <w:iCs/>
          <w:color w:val="000000"/>
        </w:rPr>
        <w:lastRenderedPageBreak/>
        <w:t xml:space="preserve">sellado y recibido por el propio Ayuntamiento el 23 de enero de 2023, folio BF/06/2023, mediante el cual la administración del conjunto urbano solicitó la verificación de la construcción ubicada en Manzana 07, Lote 10, Casa 03A. Este documento demuestra que sí existió un antecedente administrativo relacionado con la obra consultada. No afirmo que dicho documento obre actualmente en los archivos del Ayuntamiento; sin embargo, su existencia evidencia que la respuesta emitida no es coherente con los hechos documentados y no permite determinar si: • la información sí existe pero no fue localizada, • la información existió y no fue debidamente resguardada, o • la búsqueda realizada no consideró antecedentes previos. En cualquier caso, la respuesta vulnera los principios de certeza, exhaustividad y veracidad establecidos en la Ley de Transparencia. 2. La respuesta no atiende los puntos específicos de la solicitud. La solicitud 00583 requería información detallada sobre: • licencias, • autorizaciones, • documentación presentada, • avisos de la administración, • regularizaciones, • y expedientes relacionados. La respuesta se limita a una frase genérica (“no se cuenta con dicha información”), sin explicar: • qué archivos se revisaron, • qué criterios se utilizaron, • si se consultaron expedientes de años previos, • si se revisaron antecedentes ingresados por la administración del conjunto urbano, • ni si se verificaron archivos físicos o digitales. La falta de detalle impide verificar que la búsqueda haya sido exhaustiva. 3. La respuesta vulnera el principio de exhaustividad. La existencia del documento BF/06/2023, sellado por el Ayuntamiento, demuestra que al menos un antecedente administrativo relacionado con la obra sí existió. Una búsqueda exhaustiva debió considerar: • documentos ingresados por la administración del conjunto urbano, • solicitudes previas de verificación, • expedientes de obra de años anteriores, • archivos físicos y digitales, • registros de inspecciones o verificaciones. La respuesta no demuestra que se haya realizado una búsqueda de esta naturaleza. III. PETICIONES Solicito respetuosamente: 1. Se declare fundada la inconformidad por falta de exhaustividad, incongruencia y ausencia de certeza en la respuesta emitida por la Dirección de Desarrollo Urbano. 2. Se ordene al Ayuntamiento realizar una nueva búsqueda exhaustiva, integral y coherente con los antecedentes documentales existentes, ajustada estrictamente a los términos de la solicitud original. 3. Se instruya al Ayuntamiento a emitir una respuesta completa y verificable, que incluya: o licencias de construcción existentes o inexistencia debidamente fundada, o autorizaciones municipales, o documentación presentada por propietarios, o avisos o comunicaciones de la administración del conjunto urbano, o expedientes de regularización, o y cualquier antecedente administrativo relacionado </w:t>
      </w:r>
      <w:r>
        <w:rPr>
          <w:rFonts w:ascii="Palatino Linotype" w:eastAsia="Palatino Linotype" w:hAnsi="Palatino Linotype" w:cs="Palatino Linotype"/>
          <w:i/>
          <w:iCs/>
          <w:color w:val="000000"/>
        </w:rPr>
        <w:lastRenderedPageBreak/>
        <w:t>con la obra consultada. 4. Se exhorte al Ayuntamiento a garantizar la adecuada conservación y consulta de documentos ingresados por administraciones de conjuntos urbanos, a fin de asegurar el derecho de acceso a la información..</w:t>
      </w:r>
      <w:r>
        <w:rPr>
          <w:rFonts w:ascii="Palatino Linotype" w:eastAsia="Palatino Linotype" w:hAnsi="Palatino Linotype" w:cs="Palatino Linotype"/>
          <w:i/>
          <w:iCs/>
        </w:rPr>
        <w:t>” (Sic)</w:t>
      </w:r>
    </w:p>
    <w:p w:rsidR="00F3396F" w:rsidRDefault="00F71AB8">
      <w:pPr>
        <w:pBdr>
          <w:top w:val="nil"/>
          <w:left w:val="nil"/>
          <w:bottom w:val="nil"/>
          <w:right w:val="nil"/>
          <w:between w:val="nil"/>
        </w:pBdr>
        <w:tabs>
          <w:tab w:val="left" w:pos="0"/>
        </w:tabs>
        <w:ind w:left="1134" w:right="-141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 </w:t>
      </w:r>
    </w:p>
    <w:p w:rsidR="00F3396F" w:rsidRDefault="00F71AB8">
      <w:pPr>
        <w:numPr>
          <w:ilvl w:val="0"/>
          <w:numId w:val="6"/>
        </w:numPr>
        <w:pBdr>
          <w:top w:val="nil"/>
          <w:left w:val="nil"/>
          <w:bottom w:val="nil"/>
          <w:right w:val="nil"/>
          <w:between w:val="nil"/>
        </w:pBdr>
        <w:tabs>
          <w:tab w:val="left" w:pos="0"/>
        </w:tabs>
        <w:spacing w:line="360" w:lineRule="auto"/>
        <w:ind w:left="0" w:right="-141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Al momento de interponer el recurso de revisión el entonces </w:t>
      </w:r>
      <w:r>
        <w:rPr>
          <w:rFonts w:ascii="Palatino Linotype" w:eastAsia="Palatino Linotype" w:hAnsi="Palatino Linotype" w:cs="Palatino Linotype"/>
          <w:b/>
          <w:bCs/>
          <w:color w:val="000000"/>
        </w:rPr>
        <w:t xml:space="preserve">SOLICITANTE </w:t>
      </w:r>
      <w:r>
        <w:rPr>
          <w:rFonts w:ascii="Palatino Linotype" w:eastAsia="Palatino Linotype" w:hAnsi="Palatino Linotype" w:cs="Palatino Linotype"/>
        </w:rPr>
        <w:t>entregó</w:t>
      </w:r>
      <w:r>
        <w:rPr>
          <w:rFonts w:ascii="Palatino Linotype" w:eastAsia="Palatino Linotype" w:hAnsi="Palatino Linotype" w:cs="Palatino Linotype"/>
          <w:color w:val="000000"/>
        </w:rPr>
        <w:t xml:space="preserve"> tres archivos electrónicos en formato pdf, cuyo contenido grosso modo es el siguiente. </w:t>
      </w:r>
    </w:p>
    <w:p w:rsidR="00F3396F" w:rsidRDefault="00F71AB8">
      <w:pPr>
        <w:pBdr>
          <w:top w:val="nil"/>
          <w:left w:val="nil"/>
          <w:bottom w:val="nil"/>
          <w:right w:val="nil"/>
          <w:between w:val="nil"/>
        </w:pBdr>
        <w:ind w:left="1134" w:right="-1417"/>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CCF_000943.pdf: </w:t>
      </w:r>
      <w:r>
        <w:rPr>
          <w:rFonts w:ascii="Palatino Linotype" w:eastAsia="Palatino Linotype" w:hAnsi="Palatino Linotype" w:cs="Palatino Linotype"/>
          <w:i/>
          <w:iCs/>
          <w:color w:val="000000"/>
        </w:rPr>
        <w:t>oficio de respuesta de la Directora de Desarrollo Urbano</w:t>
      </w:r>
    </w:p>
    <w:p w:rsidR="00F3396F" w:rsidRDefault="00F71AB8">
      <w:pPr>
        <w:pBdr>
          <w:top w:val="nil"/>
          <w:left w:val="nil"/>
          <w:bottom w:val="nil"/>
          <w:right w:val="nil"/>
          <w:between w:val="nil"/>
        </w:pBdr>
        <w:ind w:left="1134" w:right="-1417"/>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solitud de la construcción 0710 (4).pdf: </w:t>
      </w:r>
      <w:r>
        <w:rPr>
          <w:rFonts w:ascii="Palatino Linotype" w:eastAsia="Palatino Linotype" w:hAnsi="Palatino Linotype" w:cs="Palatino Linotype"/>
          <w:i/>
          <w:iCs/>
          <w:color w:val="000000"/>
        </w:rPr>
        <w:t xml:space="preserve">oficio del dos mil veintitrés, mediante el cual se solicitó una verificación a la construcción referida en la solicitud de información. </w:t>
      </w:r>
    </w:p>
    <w:p w:rsidR="00F3396F" w:rsidRDefault="00F71AB8">
      <w:pPr>
        <w:pBdr>
          <w:top w:val="nil"/>
          <w:left w:val="nil"/>
          <w:bottom w:val="nil"/>
          <w:right w:val="nil"/>
          <w:between w:val="nil"/>
        </w:pBdr>
        <w:ind w:left="1134" w:right="-1417"/>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00583CALIMAYAIP2025.pdf: </w:t>
      </w:r>
      <w:r>
        <w:rPr>
          <w:rFonts w:ascii="Palatino Linotype" w:eastAsia="Palatino Linotype" w:hAnsi="Palatino Linotype" w:cs="Palatino Linotype"/>
          <w:i/>
          <w:iCs/>
          <w:color w:val="000000"/>
        </w:rPr>
        <w:t xml:space="preserve">acuse de la solicitud de información </w:t>
      </w:r>
      <w:r>
        <w:rPr>
          <w:rFonts w:ascii="Palatino Linotype" w:eastAsia="Palatino Linotype" w:hAnsi="Palatino Linotype" w:cs="Palatino Linotype"/>
          <w:b/>
          <w:bCs/>
          <w:i/>
          <w:iCs/>
          <w:color w:val="000000"/>
        </w:rPr>
        <w:t xml:space="preserve"> 00583/CALIMAYA/IP/2025. </w:t>
      </w:r>
    </w:p>
    <w:p w:rsidR="00F3396F" w:rsidRDefault="00F3396F">
      <w:pPr>
        <w:pBdr>
          <w:top w:val="nil"/>
          <w:left w:val="nil"/>
          <w:bottom w:val="nil"/>
          <w:right w:val="nil"/>
          <w:between w:val="nil"/>
        </w:pBdr>
        <w:ind w:left="1134" w:right="-1417"/>
        <w:jc w:val="both"/>
        <w:rPr>
          <w:rFonts w:ascii="Palatino Linotype" w:eastAsia="Palatino Linotype" w:hAnsi="Palatino Linotype" w:cs="Palatino Linotype"/>
          <w:b/>
          <w:bCs/>
          <w:i/>
          <w:iCs/>
          <w:color w:val="000000"/>
        </w:rPr>
      </w:pPr>
    </w:p>
    <w:p w:rsidR="00F3396F" w:rsidRDefault="00F71AB8">
      <w:pPr>
        <w:numPr>
          <w:ilvl w:val="0"/>
          <w:numId w:val="6"/>
        </w:numPr>
        <w:pBdr>
          <w:top w:val="nil"/>
          <w:left w:val="nil"/>
          <w:bottom w:val="nil"/>
          <w:right w:val="nil"/>
          <w:between w:val="nil"/>
        </w:pBdr>
        <w:tabs>
          <w:tab w:val="left" w:pos="0"/>
        </w:tabs>
        <w:spacing w:line="360" w:lineRule="auto"/>
        <w:ind w:left="0" w:right="-141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La Comisionada Ponente con fundamento en lo dispuesto por el artículo 185 fracción II de la ley de la materia, a través del acuerdo de admisión de fecha </w:t>
      </w:r>
      <w:r>
        <w:rPr>
          <w:rFonts w:ascii="Palatino Linotype" w:eastAsia="Palatino Linotype" w:hAnsi="Palatino Linotype" w:cs="Palatino Linotype"/>
          <w:b/>
          <w:bCs/>
          <w:color w:val="000000"/>
        </w:rPr>
        <w:t>tres de febrero de dos mil veintiséis</w:t>
      </w:r>
      <w:r>
        <w:rPr>
          <w:rFonts w:ascii="Palatino Linotype" w:eastAsia="Palatino Linotype" w:hAnsi="Palatino Linotype" w:cs="Palatino Linotype"/>
          <w:color w:val="000000"/>
        </w:rPr>
        <w:t xml:space="preserve">, puso a disposición de las partes el expediente electrónico vía </w:t>
      </w:r>
      <w:r>
        <w:rPr>
          <w:rFonts w:ascii="Palatino Linotype" w:eastAsia="Palatino Linotype" w:hAnsi="Palatino Linotype" w:cs="Palatino Linotype"/>
          <w:b/>
          <w:bCs/>
          <w:color w:val="000000"/>
        </w:rPr>
        <w:t xml:space="preserve">SAIMEX </w:t>
      </w:r>
      <w:r>
        <w:rPr>
          <w:rFonts w:ascii="Palatino Linotype" w:eastAsia="Palatino Linotype" w:hAnsi="Palatino Linotype" w:cs="Palatino Linotype"/>
          <w:color w:val="000000"/>
        </w:rPr>
        <w:t xml:space="preserve">a efecto de que en un plazo máximo de siete días </w:t>
      </w:r>
      <w:r>
        <w:rPr>
          <w:rFonts w:ascii="Palatino Linotype" w:eastAsia="Palatino Linotype" w:hAnsi="Palatino Linotype" w:cs="Palatino Linotype"/>
        </w:rPr>
        <w:t>manifestara</w:t>
      </w:r>
      <w:r>
        <w:rPr>
          <w:rFonts w:ascii="Palatino Linotype" w:eastAsia="Palatino Linotype" w:hAnsi="Palatino Linotype" w:cs="Palatino Linotype"/>
          <w:color w:val="000000"/>
        </w:rPr>
        <w:t xml:space="preserve"> lo que a su derecho conviniera, </w:t>
      </w:r>
      <w:r>
        <w:rPr>
          <w:rFonts w:ascii="Palatino Linotype" w:eastAsia="Palatino Linotype" w:hAnsi="Palatino Linotype" w:cs="Palatino Linotype"/>
        </w:rPr>
        <w:t>ofreciera</w:t>
      </w:r>
      <w:r>
        <w:rPr>
          <w:rFonts w:ascii="Palatino Linotype" w:eastAsia="Palatino Linotype" w:hAnsi="Palatino Linotype" w:cs="Palatino Linotype"/>
          <w:color w:val="000000"/>
        </w:rPr>
        <w:t xml:space="preserve"> pruebas y alegatos según corresponda a los casos concretos, y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presentará el Informe Justificado procedente.</w:t>
      </w:r>
    </w:p>
    <w:p w:rsidR="00F3396F" w:rsidRDefault="00F3396F">
      <w:pPr>
        <w:pBdr>
          <w:top w:val="nil"/>
          <w:left w:val="nil"/>
          <w:bottom w:val="nil"/>
          <w:right w:val="nil"/>
          <w:between w:val="nil"/>
        </w:pBdr>
        <w:spacing w:line="360" w:lineRule="auto"/>
        <w:ind w:right="-1417"/>
        <w:jc w:val="both"/>
        <w:rPr>
          <w:rFonts w:ascii="Palatino Linotype" w:eastAsia="Palatino Linotype" w:hAnsi="Palatino Linotype" w:cs="Palatino Linotype"/>
          <w:color w:val="000000"/>
        </w:rPr>
      </w:pPr>
    </w:p>
    <w:p w:rsidR="00F3396F" w:rsidRDefault="00F71AB8">
      <w:pPr>
        <w:numPr>
          <w:ilvl w:val="0"/>
          <w:numId w:val="6"/>
        </w:numPr>
        <w:pBdr>
          <w:top w:val="nil"/>
          <w:left w:val="nil"/>
          <w:bottom w:val="nil"/>
          <w:right w:val="nil"/>
          <w:between w:val="nil"/>
        </w:pBdr>
        <w:tabs>
          <w:tab w:val="left" w:pos="0"/>
        </w:tabs>
        <w:spacing w:line="360" w:lineRule="auto"/>
        <w:ind w:left="0" w:right="-1417"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De lo anterior,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fue omiso en manifestar lo que a su derecho conviniera y asistiera. </w:t>
      </w:r>
    </w:p>
    <w:p w:rsidR="00F3396F" w:rsidRDefault="00F3396F">
      <w:pPr>
        <w:pBdr>
          <w:top w:val="nil"/>
          <w:left w:val="nil"/>
          <w:bottom w:val="nil"/>
          <w:right w:val="nil"/>
          <w:between w:val="nil"/>
        </w:pBdr>
        <w:ind w:left="720" w:right="-1417"/>
        <w:rPr>
          <w:rFonts w:ascii="Palatino Linotype" w:eastAsia="Palatino Linotype" w:hAnsi="Palatino Linotype" w:cs="Palatino Linotype"/>
          <w:b/>
          <w:bCs/>
          <w:color w:val="000000"/>
        </w:rPr>
      </w:pPr>
    </w:p>
    <w:p w:rsidR="00F3396F" w:rsidRDefault="00F71AB8">
      <w:pPr>
        <w:numPr>
          <w:ilvl w:val="0"/>
          <w:numId w:val="6"/>
        </w:numPr>
        <w:pBdr>
          <w:top w:val="nil"/>
          <w:left w:val="nil"/>
          <w:bottom w:val="nil"/>
          <w:right w:val="nil"/>
          <w:between w:val="nil"/>
        </w:pBdr>
        <w:tabs>
          <w:tab w:val="left" w:pos="0"/>
        </w:tabs>
        <w:spacing w:line="360" w:lineRule="auto"/>
        <w:ind w:left="0" w:right="-1417"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Por su parte el </w:t>
      </w:r>
      <w:r>
        <w:rPr>
          <w:rFonts w:ascii="Palatino Linotype" w:eastAsia="Palatino Linotype" w:hAnsi="Palatino Linotype" w:cs="Palatino Linotype"/>
          <w:b/>
          <w:bCs/>
          <w:color w:val="000000"/>
        </w:rPr>
        <w:t xml:space="preserve">cuatro de febrero de dos mil veintiséis, </w:t>
      </w: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 xml:space="preserve">RECURRENTE </w:t>
      </w:r>
      <w:r>
        <w:rPr>
          <w:rFonts w:ascii="Palatino Linotype" w:eastAsia="Palatino Linotype" w:hAnsi="Palatino Linotype" w:cs="Palatino Linotype"/>
        </w:rPr>
        <w:t>entregó</w:t>
      </w:r>
      <w:r>
        <w:rPr>
          <w:rFonts w:ascii="Palatino Linotype" w:eastAsia="Palatino Linotype" w:hAnsi="Palatino Linotype" w:cs="Palatino Linotype"/>
          <w:color w:val="000000"/>
        </w:rPr>
        <w:t xml:space="preserve"> cuatro archivos electrónicos en formato pdf, cuyo contenido grosso modo es el siguiente. </w:t>
      </w:r>
    </w:p>
    <w:p w:rsidR="00F3396F" w:rsidRDefault="00F71AB8">
      <w:pPr>
        <w:pBdr>
          <w:top w:val="nil"/>
          <w:left w:val="nil"/>
          <w:bottom w:val="nil"/>
          <w:right w:val="nil"/>
          <w:between w:val="nil"/>
        </w:pBdr>
        <w:ind w:left="720" w:right="-1417"/>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solitud de la construcción 0710 (4) (1).pdf: </w:t>
      </w:r>
      <w:r>
        <w:rPr>
          <w:rFonts w:ascii="Palatino Linotype" w:eastAsia="Palatino Linotype" w:hAnsi="Palatino Linotype" w:cs="Palatino Linotype"/>
          <w:i/>
          <w:iCs/>
          <w:color w:val="000000"/>
        </w:rPr>
        <w:t>oficio del dos mil veintitrés, mediante el cual se solicitó una verificación a la construcción referida en la solicitud de información.</w:t>
      </w:r>
    </w:p>
    <w:p w:rsidR="00F3396F" w:rsidRDefault="00F71AB8">
      <w:pPr>
        <w:pBdr>
          <w:top w:val="nil"/>
          <w:left w:val="nil"/>
          <w:bottom w:val="nil"/>
          <w:right w:val="nil"/>
          <w:between w:val="nil"/>
        </w:pBdr>
        <w:ind w:left="720" w:right="-1417"/>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00583CALIMAYAIP2025.pdf: </w:t>
      </w:r>
      <w:r>
        <w:rPr>
          <w:rFonts w:ascii="Palatino Linotype" w:eastAsia="Palatino Linotype" w:hAnsi="Palatino Linotype" w:cs="Palatino Linotype"/>
          <w:i/>
          <w:iCs/>
          <w:color w:val="000000"/>
        </w:rPr>
        <w:t>acuse de la solicitud de información  00583/CALIMAYA/IP/2025.</w:t>
      </w:r>
    </w:p>
    <w:p w:rsidR="00F3396F" w:rsidRDefault="00F71AB8">
      <w:pPr>
        <w:pBdr>
          <w:top w:val="nil"/>
          <w:left w:val="nil"/>
          <w:bottom w:val="nil"/>
          <w:right w:val="nil"/>
          <w:between w:val="nil"/>
        </w:pBdr>
        <w:ind w:left="720" w:right="-1417"/>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lastRenderedPageBreak/>
        <w:t xml:space="preserve">Alegatos solicitud 583 .pdf: </w:t>
      </w:r>
      <w:r>
        <w:rPr>
          <w:rFonts w:ascii="Palatino Linotype" w:eastAsia="Palatino Linotype" w:hAnsi="Palatino Linotype" w:cs="Palatino Linotype"/>
          <w:i/>
          <w:iCs/>
          <w:color w:val="000000"/>
        </w:rPr>
        <w:t xml:space="preserve">alegatos del </w:t>
      </w:r>
      <w:r>
        <w:rPr>
          <w:rFonts w:ascii="Palatino Linotype" w:eastAsia="Palatino Linotype" w:hAnsi="Palatino Linotype" w:cs="Palatino Linotype"/>
          <w:b/>
          <w:bCs/>
          <w:i/>
          <w:iCs/>
          <w:color w:val="000000"/>
        </w:rPr>
        <w:t xml:space="preserve">RECURRENTE </w:t>
      </w:r>
      <w:r>
        <w:rPr>
          <w:rFonts w:ascii="Palatino Linotype" w:eastAsia="Palatino Linotype" w:hAnsi="Palatino Linotype" w:cs="Palatino Linotype"/>
          <w:i/>
          <w:iCs/>
          <w:color w:val="000000"/>
        </w:rPr>
        <w:t xml:space="preserve">mediante el cual manifiesta que no le proporcionaron la información solicitada. </w:t>
      </w:r>
    </w:p>
    <w:p w:rsidR="00F3396F" w:rsidRDefault="00F71AB8">
      <w:pPr>
        <w:pBdr>
          <w:top w:val="nil"/>
          <w:left w:val="nil"/>
          <w:bottom w:val="nil"/>
          <w:right w:val="nil"/>
          <w:between w:val="nil"/>
        </w:pBdr>
        <w:ind w:left="720" w:right="-1417"/>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CCF_000943.pdf: </w:t>
      </w:r>
      <w:r>
        <w:rPr>
          <w:rFonts w:ascii="Palatino Linotype" w:eastAsia="Palatino Linotype" w:hAnsi="Palatino Linotype" w:cs="Palatino Linotype"/>
          <w:i/>
          <w:iCs/>
          <w:color w:val="000000"/>
        </w:rPr>
        <w:t xml:space="preserve">respuesta de la Directora de Desarrollo Urbano. </w:t>
      </w:r>
    </w:p>
    <w:p w:rsidR="00F3396F" w:rsidRDefault="00F3396F">
      <w:pPr>
        <w:pBdr>
          <w:top w:val="nil"/>
          <w:left w:val="nil"/>
          <w:bottom w:val="nil"/>
          <w:right w:val="nil"/>
          <w:between w:val="nil"/>
        </w:pBdr>
        <w:tabs>
          <w:tab w:val="left" w:pos="0"/>
        </w:tabs>
        <w:spacing w:line="360" w:lineRule="auto"/>
        <w:ind w:right="-1417"/>
        <w:jc w:val="both"/>
        <w:rPr>
          <w:rFonts w:ascii="Palatino Linotype" w:eastAsia="Palatino Linotype" w:hAnsi="Palatino Linotype" w:cs="Palatino Linotype"/>
          <w:b/>
          <w:bCs/>
          <w:color w:val="000000"/>
        </w:rPr>
      </w:pPr>
    </w:p>
    <w:p w:rsidR="00F3396F" w:rsidRDefault="00F71AB8">
      <w:pPr>
        <w:numPr>
          <w:ilvl w:val="0"/>
          <w:numId w:val="6"/>
        </w:numPr>
        <w:pBdr>
          <w:top w:val="nil"/>
          <w:left w:val="nil"/>
          <w:bottom w:val="nil"/>
          <w:right w:val="nil"/>
          <w:between w:val="nil"/>
        </w:pBdr>
        <w:tabs>
          <w:tab w:val="left" w:pos="0"/>
        </w:tabs>
        <w:spacing w:line="360" w:lineRule="auto"/>
        <w:ind w:left="0" w:right="-141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cuatro de junio de dos mil veintiséis</w:t>
      </w:r>
      <w:r>
        <w:rPr>
          <w:rFonts w:ascii="Palatino Linotype" w:eastAsia="Palatino Linotype" w:hAnsi="Palatino Linotype" w:cs="Palatino Linotype"/>
          <w:color w:val="000000"/>
        </w:rPr>
        <w:t>, la Comisionada Ponente notificó el acuerdo de ampliación para emitir resolución, en términos del artículo 181 párrafo tercero de la Ley de Transparencia y Acceso a la Información Pública del Estado de México y Municipios</w:t>
      </w:r>
    </w:p>
    <w:p w:rsidR="00F3396F" w:rsidRDefault="00F3396F">
      <w:pPr>
        <w:pBdr>
          <w:top w:val="nil"/>
          <w:left w:val="nil"/>
          <w:bottom w:val="nil"/>
          <w:right w:val="nil"/>
          <w:between w:val="nil"/>
        </w:pBdr>
        <w:ind w:left="720" w:right="-1417"/>
        <w:jc w:val="center"/>
        <w:rPr>
          <w:rFonts w:ascii="Palatino Linotype" w:eastAsia="Palatino Linotype" w:hAnsi="Palatino Linotype" w:cs="Palatino Linotype"/>
          <w:color w:val="000000"/>
        </w:rPr>
      </w:pPr>
    </w:p>
    <w:p w:rsidR="00F3396F" w:rsidRDefault="00F71AB8">
      <w:pPr>
        <w:numPr>
          <w:ilvl w:val="0"/>
          <w:numId w:val="6"/>
        </w:numPr>
        <w:pBdr>
          <w:top w:val="nil"/>
          <w:left w:val="nil"/>
          <w:bottom w:val="nil"/>
          <w:right w:val="nil"/>
          <w:between w:val="nil"/>
        </w:pBdr>
        <w:tabs>
          <w:tab w:val="left" w:pos="0"/>
        </w:tabs>
        <w:spacing w:line="360" w:lineRule="auto"/>
        <w:ind w:left="0" w:right="-141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Finalmente, la Comisionada Ponente mediante acuerdo de fecha</w:t>
      </w:r>
      <w:r>
        <w:rPr>
          <w:rFonts w:ascii="Palatino Linotype" w:eastAsia="Palatino Linotype" w:hAnsi="Palatino Linotype" w:cs="Palatino Linotype"/>
          <w:b/>
          <w:bCs/>
          <w:color w:val="000000"/>
        </w:rPr>
        <w:t xml:space="preserve"> diez de junio de dos mil veintiséis</w:t>
      </w:r>
      <w:r>
        <w:rPr>
          <w:rFonts w:ascii="Palatino Linotype" w:eastAsia="Palatino Linotype" w:hAnsi="Palatino Linotype" w:cs="Palatino Linotype"/>
          <w:color w:val="000000"/>
        </w:rPr>
        <w:t>, decretó el cierre de instrucción de los expedientes, por lo que no habiendo más que hacer constar, y</w:t>
      </w:r>
    </w:p>
    <w:p w:rsidR="00F3396F" w:rsidRDefault="00F3396F">
      <w:pPr>
        <w:pBdr>
          <w:top w:val="nil"/>
          <w:left w:val="nil"/>
          <w:bottom w:val="nil"/>
          <w:right w:val="nil"/>
          <w:between w:val="nil"/>
        </w:pBdr>
        <w:spacing w:line="360" w:lineRule="auto"/>
        <w:ind w:right="-1417"/>
        <w:rPr>
          <w:rFonts w:ascii="Palatino Linotype" w:eastAsia="Palatino Linotype" w:hAnsi="Palatino Linotype" w:cs="Palatino Linotype"/>
          <w:b/>
          <w:bCs/>
          <w:color w:val="000000"/>
        </w:rPr>
      </w:pPr>
      <w:bookmarkStart w:id="1" w:name="_heading=h.3znysh7" w:colFirst="0" w:colLast="0"/>
      <w:bookmarkEnd w:id="1"/>
    </w:p>
    <w:p w:rsidR="00F3396F" w:rsidRDefault="00F71AB8">
      <w:pPr>
        <w:pBdr>
          <w:top w:val="nil"/>
          <w:left w:val="nil"/>
          <w:bottom w:val="nil"/>
          <w:right w:val="nil"/>
          <w:between w:val="nil"/>
        </w:pBdr>
        <w:spacing w:line="360" w:lineRule="auto"/>
        <w:ind w:right="-1417"/>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C O N S I D E R A N D O</w:t>
      </w:r>
    </w:p>
    <w:p w:rsidR="00F3396F" w:rsidRDefault="00F3396F">
      <w:pPr>
        <w:pBdr>
          <w:top w:val="nil"/>
          <w:left w:val="nil"/>
          <w:bottom w:val="nil"/>
          <w:right w:val="nil"/>
          <w:between w:val="nil"/>
        </w:pBdr>
        <w:spacing w:line="360" w:lineRule="auto"/>
        <w:ind w:right="-1417"/>
        <w:jc w:val="center"/>
        <w:rPr>
          <w:rFonts w:ascii="Palatino Linotype" w:eastAsia="Palatino Linotype" w:hAnsi="Palatino Linotype" w:cs="Palatino Linotype"/>
          <w:b/>
          <w:bCs/>
          <w:color w:val="000000"/>
        </w:rPr>
      </w:pPr>
    </w:p>
    <w:p w:rsidR="00F3396F" w:rsidRDefault="00F71AB8">
      <w:pPr>
        <w:pStyle w:val="Ttulo2"/>
        <w:spacing w:before="0" w:line="360" w:lineRule="auto"/>
        <w:ind w:right="-1417"/>
        <w:rPr>
          <w:rFonts w:ascii="Palatino Linotype" w:eastAsia="Palatino Linotype" w:hAnsi="Palatino Linotype" w:cs="Palatino Linotype"/>
          <w:b/>
          <w:bCs/>
          <w:color w:val="000000"/>
          <w:sz w:val="24"/>
          <w:szCs w:val="24"/>
        </w:rPr>
      </w:pPr>
      <w:bookmarkStart w:id="2" w:name="_heading=h.2et92p0" w:colFirst="0" w:colLast="0"/>
      <w:bookmarkEnd w:id="2"/>
      <w:r>
        <w:rPr>
          <w:rFonts w:ascii="Palatino Linotype" w:eastAsia="Palatino Linotype" w:hAnsi="Palatino Linotype" w:cs="Palatino Linotype"/>
          <w:b/>
          <w:bCs/>
          <w:color w:val="000000"/>
          <w:sz w:val="24"/>
          <w:szCs w:val="24"/>
        </w:rPr>
        <w:t>PRIMERO. De la competencia</w:t>
      </w:r>
    </w:p>
    <w:p w:rsidR="00F3396F" w:rsidRDefault="00F71AB8">
      <w:pPr>
        <w:numPr>
          <w:ilvl w:val="0"/>
          <w:numId w:val="6"/>
        </w:numPr>
        <w:pBdr>
          <w:top w:val="nil"/>
          <w:left w:val="nil"/>
          <w:bottom w:val="nil"/>
          <w:right w:val="nil"/>
          <w:between w:val="nil"/>
        </w:pBdr>
        <w:tabs>
          <w:tab w:val="left" w:pos="0"/>
        </w:tabs>
        <w:spacing w:line="360" w:lineRule="auto"/>
        <w:ind w:left="0" w:right="-1417" w:firstLine="0"/>
        <w:jc w:val="both"/>
        <w:rPr>
          <w:rFonts w:ascii="Palatino Linotype" w:eastAsia="Palatino Linotype" w:hAnsi="Palatino Linotype" w:cs="Palatino Linotype"/>
          <w:b/>
          <w:bCs/>
        </w:rPr>
      </w:pPr>
      <w:bookmarkStart w:id="3" w:name="_heading=h.12qvdbqi9pp1" w:colFirst="0" w:colLast="0"/>
      <w:bookmarkEnd w:id="3"/>
      <w:r>
        <w:rPr>
          <w:rFonts w:ascii="Palatino Linotype" w:eastAsia="Palatino Linotype" w:hAnsi="Palatino Linotype" w:cs="Palatino Linotype"/>
          <w:color w:val="000000"/>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F3396F" w:rsidRDefault="00F3396F">
      <w:pPr>
        <w:pBdr>
          <w:top w:val="nil"/>
          <w:left w:val="nil"/>
          <w:bottom w:val="nil"/>
          <w:right w:val="nil"/>
          <w:between w:val="nil"/>
        </w:pBdr>
        <w:spacing w:line="360" w:lineRule="auto"/>
        <w:ind w:right="-1417"/>
        <w:jc w:val="both"/>
        <w:rPr>
          <w:rFonts w:ascii="Palatino Linotype" w:eastAsia="Palatino Linotype" w:hAnsi="Palatino Linotype" w:cs="Palatino Linotype"/>
          <w:b/>
          <w:bCs/>
        </w:rPr>
      </w:pPr>
    </w:p>
    <w:p w:rsidR="00F3396F" w:rsidRDefault="00F71AB8">
      <w:pPr>
        <w:pBdr>
          <w:top w:val="nil"/>
          <w:left w:val="nil"/>
          <w:bottom w:val="nil"/>
          <w:right w:val="nil"/>
          <w:between w:val="nil"/>
        </w:pBdr>
        <w:spacing w:line="360" w:lineRule="auto"/>
        <w:ind w:right="-1417"/>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lastRenderedPageBreak/>
        <w:t>SEGUNDO. De la oportunidad y procedencia.</w:t>
      </w:r>
    </w:p>
    <w:p w:rsidR="00F3396F" w:rsidRDefault="00F71AB8">
      <w:pPr>
        <w:numPr>
          <w:ilvl w:val="0"/>
          <w:numId w:val="6"/>
        </w:numPr>
        <w:pBdr>
          <w:top w:val="nil"/>
          <w:left w:val="nil"/>
          <w:bottom w:val="nil"/>
          <w:right w:val="nil"/>
          <w:between w:val="nil"/>
        </w:pBdr>
        <w:tabs>
          <w:tab w:val="left" w:pos="0"/>
        </w:tabs>
        <w:spacing w:line="360" w:lineRule="auto"/>
        <w:ind w:left="0" w:right="-141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El medio de impugnación fue presentado a través del </w:t>
      </w:r>
      <w:r>
        <w:rPr>
          <w:rFonts w:ascii="Palatino Linotype" w:eastAsia="Palatino Linotype" w:hAnsi="Palatino Linotype" w:cs="Palatino Linotype"/>
          <w:b/>
          <w:bCs/>
        </w:rPr>
        <w:t>SAIMEX,</w:t>
      </w:r>
      <w:r>
        <w:rPr>
          <w:rFonts w:ascii="Palatino Linotype" w:eastAsia="Palatino Linotype" w:hAnsi="Palatino Linotype" w:cs="Palatino Linotype"/>
        </w:rPr>
        <w:t xml:space="preserve"> en el formato previamente aprobado para tal efecto y dentro del plazo legal de quince días hábiles otorgados; para el caso en particular es de señalar que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entregó su respuesta el </w:t>
      </w:r>
      <w:r>
        <w:rPr>
          <w:rFonts w:ascii="Palatino Linotype" w:eastAsia="Palatino Linotype" w:hAnsi="Palatino Linotype" w:cs="Palatino Linotype"/>
          <w:b/>
          <w:bCs/>
        </w:rPr>
        <w:t>trece de enero de dos mil veintiséis</w:t>
      </w:r>
      <w:r>
        <w:rPr>
          <w:rFonts w:ascii="Palatino Linotype" w:eastAsia="Palatino Linotype" w:hAnsi="Palatino Linotype" w:cs="Palatino Linotype"/>
        </w:rPr>
        <w:t xml:space="preserve">, de tal forma que el plazo para interponer el recurso de revisión fue del </w:t>
      </w:r>
      <w:r>
        <w:rPr>
          <w:rFonts w:ascii="Palatino Linotype" w:eastAsia="Palatino Linotype" w:hAnsi="Palatino Linotype" w:cs="Palatino Linotype"/>
          <w:b/>
          <w:bCs/>
        </w:rPr>
        <w:t>catorce de enero al cuatro de febrero de dos mil veintiséis</w:t>
      </w:r>
      <w:r>
        <w:rPr>
          <w:rFonts w:ascii="Palatino Linotype" w:eastAsia="Palatino Linotype" w:hAnsi="Palatino Linotype" w:cs="Palatino Linotype"/>
        </w:rPr>
        <w:t xml:space="preserve">; en consecuencia, el ahora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presentó su inconformidad el día </w:t>
      </w:r>
      <w:r>
        <w:rPr>
          <w:rFonts w:ascii="Palatino Linotype" w:eastAsia="Palatino Linotype" w:hAnsi="Palatino Linotype" w:cs="Palatino Linotype"/>
          <w:b/>
          <w:bCs/>
        </w:rPr>
        <w:t>veintisiete de enero de dos mil veintiséis</w:t>
      </w:r>
      <w:r>
        <w:rPr>
          <w:rFonts w:ascii="Palatino Linotype" w:eastAsia="Palatino Linotype" w:hAnsi="Palatino Linotype" w:cs="Palatino Linotype"/>
        </w:rPr>
        <w:t>; por lo que se estima que la inconformidad se presentó dentro del lapso legalmente establecido para tal efecto.</w:t>
      </w:r>
    </w:p>
    <w:p w:rsidR="00F3396F" w:rsidRDefault="00F3396F">
      <w:pPr>
        <w:pBdr>
          <w:top w:val="nil"/>
          <w:left w:val="nil"/>
          <w:bottom w:val="nil"/>
          <w:right w:val="nil"/>
          <w:between w:val="nil"/>
        </w:pBdr>
        <w:ind w:left="720" w:right="-1417"/>
        <w:rPr>
          <w:rFonts w:ascii="Palatino Linotype" w:eastAsia="Palatino Linotype" w:hAnsi="Palatino Linotype" w:cs="Palatino Linotype"/>
          <w:color w:val="000000"/>
        </w:rPr>
      </w:pPr>
    </w:p>
    <w:p w:rsidR="00F3396F" w:rsidRDefault="00F71AB8">
      <w:pPr>
        <w:numPr>
          <w:ilvl w:val="0"/>
          <w:numId w:val="6"/>
        </w:numPr>
        <w:pBdr>
          <w:top w:val="nil"/>
          <w:left w:val="nil"/>
          <w:bottom w:val="nil"/>
          <w:right w:val="nil"/>
          <w:between w:val="nil"/>
        </w:pBdr>
        <w:tabs>
          <w:tab w:val="left" w:pos="0"/>
        </w:tabs>
        <w:spacing w:line="360" w:lineRule="auto"/>
        <w:ind w:left="0" w:right="-1417" w:firstLine="0"/>
        <w:jc w:val="both"/>
        <w:rPr>
          <w:rFonts w:ascii="Palatino Linotype" w:eastAsia="Palatino Linotype" w:hAnsi="Palatino Linotype" w:cs="Palatino Linotype"/>
        </w:rPr>
      </w:pPr>
      <w:r>
        <w:rPr>
          <w:rFonts w:ascii="Palatino Linotype" w:eastAsia="Palatino Linotype" w:hAnsi="Palatino Linotype" w:cs="Palatino Linotype"/>
        </w:rPr>
        <w:t>Por otro lado, es de suma importancia señalar que la parte recurrente no proporciona un nombre o datos de identificación como se advierte en el detalle de seguimiento del SAIMEX, no obstante lo anterior, no proporcionar el nombre completo 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rsidR="00F3396F" w:rsidRDefault="00F3396F">
      <w:pPr>
        <w:ind w:left="1134" w:right="-1417"/>
        <w:jc w:val="both"/>
        <w:rPr>
          <w:rFonts w:ascii="Palatino Linotype" w:eastAsia="Palatino Linotype" w:hAnsi="Palatino Linotype" w:cs="Palatino Linotype"/>
        </w:rPr>
      </w:pPr>
    </w:p>
    <w:p w:rsidR="00F3396F" w:rsidRDefault="00F71AB8">
      <w:pPr>
        <w:ind w:left="1134" w:right="-1417"/>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Las solicitudes anónimas</w:t>
      </w:r>
      <w:r>
        <w:rPr>
          <w:rFonts w:ascii="Palatino Linotype" w:eastAsia="Palatino Linotype" w:hAnsi="Palatino Linotype" w:cs="Palatino Linotype"/>
          <w:i/>
          <w:iCs/>
        </w:rPr>
        <w:t xml:space="preserve">, con nombre incompleto o seudónimo </w:t>
      </w:r>
      <w:r>
        <w:rPr>
          <w:rFonts w:ascii="Palatino Linotype" w:eastAsia="Palatino Linotype" w:hAnsi="Palatino Linotype" w:cs="Palatino Linotype"/>
          <w:b/>
          <w:bCs/>
          <w:i/>
          <w:iCs/>
        </w:rPr>
        <w:t>serán procedentes para su trámite por parte del sujeto obligado ante quien se presente</w:t>
      </w:r>
      <w:r>
        <w:rPr>
          <w:rFonts w:ascii="Palatino Linotype" w:eastAsia="Palatino Linotype" w:hAnsi="Palatino Linotype" w:cs="Palatino Linotype"/>
          <w:i/>
          <w:iCs/>
        </w:rPr>
        <w:t>. No podrá requerirse información adicional con motivo del nombre proporcionado por el solicitante."</w:t>
      </w:r>
    </w:p>
    <w:p w:rsidR="00F3396F" w:rsidRDefault="00F3396F">
      <w:pPr>
        <w:spacing w:line="360" w:lineRule="auto"/>
        <w:ind w:right="-1417"/>
        <w:jc w:val="both"/>
        <w:rPr>
          <w:rFonts w:ascii="Palatino Linotype" w:eastAsia="Palatino Linotype" w:hAnsi="Palatino Linotype" w:cs="Palatino Linotype"/>
        </w:rPr>
      </w:pPr>
    </w:p>
    <w:p w:rsidR="00F3396F" w:rsidRDefault="00F71AB8">
      <w:pPr>
        <w:numPr>
          <w:ilvl w:val="0"/>
          <w:numId w:val="6"/>
        </w:numPr>
        <w:pBdr>
          <w:top w:val="nil"/>
          <w:left w:val="nil"/>
          <w:bottom w:val="nil"/>
          <w:right w:val="nil"/>
          <w:between w:val="nil"/>
        </w:pBdr>
        <w:tabs>
          <w:tab w:val="left" w:pos="0"/>
        </w:tabs>
        <w:spacing w:line="360" w:lineRule="auto"/>
        <w:ind w:left="0" w:right="-1417" w:firstLine="0"/>
        <w:jc w:val="both"/>
        <w:rPr>
          <w:rFonts w:ascii="Palatino Linotype" w:eastAsia="Palatino Linotype" w:hAnsi="Palatino Linotype" w:cs="Palatino Linotype"/>
        </w:rPr>
      </w:pPr>
      <w:r>
        <w:rPr>
          <w:rFonts w:ascii="Palatino Linotype" w:eastAsia="Palatino Linotype" w:hAnsi="Palatino Linotype" w:cs="Palatino Linotype"/>
        </w:rPr>
        <w:t>Robusteciendo lo anterior se encuentra lo dispuesto en el artículo 6, Apartado A, fracciones III de la Constitución Política de los Estados Unidos Mexicanos que establece:</w:t>
      </w:r>
    </w:p>
    <w:p w:rsidR="00F3396F" w:rsidRDefault="00F71AB8">
      <w:pPr>
        <w:ind w:left="1134" w:right="-1417"/>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6.-</w:t>
      </w:r>
      <w:r>
        <w:rPr>
          <w:rFonts w:ascii="Palatino Linotype" w:eastAsia="Palatino Linotype" w:hAnsi="Palatino Linotype" w:cs="Palatino Linotype"/>
          <w:i/>
          <w:iCs/>
        </w:rPr>
        <w:t xml:space="preserve"> La manifestación de las ideas no será objeto de ninguna inquisición judicial o administrativa, sino en el caso de que ataque a la moral, la vida privada o los derechos de terceros, provoque algún delito, o perturbe el orden público; el derecho de réplica será </w:t>
      </w:r>
      <w:r>
        <w:rPr>
          <w:rFonts w:ascii="Palatino Linotype" w:eastAsia="Palatino Linotype" w:hAnsi="Palatino Linotype" w:cs="Palatino Linotype"/>
          <w:i/>
          <w:iCs/>
        </w:rPr>
        <w:lastRenderedPageBreak/>
        <w:t>ejercido en los términos dispuestos por la ley. El derecho a la información será garantizado por el Estado.</w:t>
      </w:r>
    </w:p>
    <w:p w:rsidR="00F3396F" w:rsidRDefault="00F71AB8">
      <w:pPr>
        <w:ind w:left="1134" w:right="-1417"/>
        <w:jc w:val="both"/>
        <w:rPr>
          <w:rFonts w:ascii="Palatino Linotype" w:eastAsia="Palatino Linotype" w:hAnsi="Palatino Linotype" w:cs="Palatino Linotype"/>
          <w:i/>
          <w:iCs/>
        </w:rPr>
      </w:pPr>
      <w:r>
        <w:rPr>
          <w:rFonts w:ascii="Palatino Linotype" w:eastAsia="Palatino Linotype" w:hAnsi="Palatino Linotype" w:cs="Palatino Linotype"/>
          <w:i/>
          <w:iCs/>
        </w:rPr>
        <w:t>Para efectos de lo dispuesto en el presente artículo se observará lo siguiente:</w:t>
      </w:r>
    </w:p>
    <w:p w:rsidR="00F3396F" w:rsidRDefault="00F3396F">
      <w:pPr>
        <w:ind w:left="1134" w:right="-1417"/>
        <w:jc w:val="both"/>
        <w:rPr>
          <w:rFonts w:ascii="Palatino Linotype" w:eastAsia="Palatino Linotype" w:hAnsi="Palatino Linotype" w:cs="Palatino Linotype"/>
          <w:i/>
          <w:iCs/>
        </w:rPr>
      </w:pPr>
    </w:p>
    <w:p w:rsidR="00F3396F" w:rsidRDefault="00F71AB8">
      <w:pPr>
        <w:ind w:left="1134" w:right="-1417"/>
        <w:jc w:val="both"/>
        <w:rPr>
          <w:rFonts w:ascii="Palatino Linotype" w:eastAsia="Palatino Linotype" w:hAnsi="Palatino Linotype" w:cs="Palatino Linotype"/>
          <w:i/>
          <w:iCs/>
        </w:rPr>
      </w:pPr>
      <w:r>
        <w:rPr>
          <w:rFonts w:ascii="Palatino Linotype" w:eastAsia="Palatino Linotype" w:hAnsi="Palatino Linotype" w:cs="Palatino Linotype"/>
          <w:i/>
          <w:iCs/>
        </w:rPr>
        <w:t>A. Para el ejercicio del derecho de acceso a la información, la Federación, los Estados y el Distrito Federal, en el ámbito de sus respectivas competencias, se regirán por los siguientes principios y bases:</w:t>
      </w:r>
    </w:p>
    <w:p w:rsidR="00F3396F" w:rsidRDefault="00F3396F">
      <w:pPr>
        <w:ind w:left="1134" w:right="-1417"/>
        <w:jc w:val="both"/>
        <w:rPr>
          <w:rFonts w:ascii="Palatino Linotype" w:eastAsia="Palatino Linotype" w:hAnsi="Palatino Linotype" w:cs="Palatino Linotype"/>
          <w:i/>
          <w:iCs/>
        </w:rPr>
      </w:pPr>
    </w:p>
    <w:p w:rsidR="00F3396F" w:rsidRDefault="00F71AB8">
      <w:pPr>
        <w:ind w:left="1134" w:right="-141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III. Toda persona, sin necesidad de acreditar interés alguno o justificar su utilización, tendrá acceso gratuito a la información pública, a sus datos personales o a la rectificación de éstos.” </w:t>
      </w:r>
      <w:r>
        <w:rPr>
          <w:rFonts w:ascii="Palatino Linotype" w:eastAsia="Palatino Linotype" w:hAnsi="Palatino Linotype" w:cs="Palatino Linotype"/>
        </w:rPr>
        <w:t>(Sic)</w:t>
      </w:r>
    </w:p>
    <w:p w:rsidR="00F3396F" w:rsidRDefault="00F3396F">
      <w:pPr>
        <w:ind w:left="1134" w:right="-1417"/>
        <w:jc w:val="both"/>
        <w:rPr>
          <w:rFonts w:ascii="Palatino Linotype" w:eastAsia="Palatino Linotype" w:hAnsi="Palatino Linotype" w:cs="Palatino Linotype"/>
          <w:i/>
          <w:iCs/>
        </w:rPr>
      </w:pPr>
    </w:p>
    <w:p w:rsidR="00F3396F" w:rsidRDefault="00F71AB8">
      <w:pPr>
        <w:numPr>
          <w:ilvl w:val="0"/>
          <w:numId w:val="6"/>
        </w:numPr>
        <w:pBdr>
          <w:top w:val="nil"/>
          <w:left w:val="nil"/>
          <w:bottom w:val="nil"/>
          <w:right w:val="nil"/>
          <w:between w:val="nil"/>
        </w:pBdr>
        <w:tabs>
          <w:tab w:val="left" w:pos="0"/>
        </w:tabs>
        <w:spacing w:line="360" w:lineRule="auto"/>
        <w:ind w:left="0" w:right="-1417" w:firstLine="0"/>
        <w:jc w:val="both"/>
        <w:rPr>
          <w:rFonts w:ascii="Palatino Linotype" w:eastAsia="Palatino Linotype" w:hAnsi="Palatino Linotype" w:cs="Palatino Linotype"/>
        </w:rPr>
      </w:pPr>
      <w:r>
        <w:rPr>
          <w:rFonts w:ascii="Palatino Linotype" w:eastAsia="Palatino Linotype" w:hAnsi="Palatino Linotype" w:cs="Palatino Linotype"/>
        </w:rPr>
        <w:t>Así como el artículo 5 fracción III, párrafo vigésimo noveno, trigésimo y trigésimo primero, de la Constitución Política del Estado Libre y Soberano de México, que determina lo siguiente:</w:t>
      </w:r>
    </w:p>
    <w:p w:rsidR="00F3396F" w:rsidRDefault="00F71AB8">
      <w:pPr>
        <w:ind w:left="1134" w:right="-1417"/>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5.-</w:t>
      </w:r>
      <w:r>
        <w:rPr>
          <w:rFonts w:ascii="Palatino Linotype" w:eastAsia="Palatino Linotype" w:hAnsi="Palatino Linotype" w:cs="Palatino Linotype"/>
          <w:i/>
          <w:iCs/>
        </w:rPr>
        <w:t xml:space="preserve">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establece”.(Sic)</w:t>
      </w:r>
    </w:p>
    <w:p w:rsidR="00F3396F" w:rsidRDefault="00F71AB8">
      <w:pPr>
        <w:ind w:left="1134" w:right="-1417"/>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F3396F" w:rsidRDefault="00F71AB8">
      <w:pPr>
        <w:ind w:left="1134" w:right="-1417"/>
        <w:jc w:val="both"/>
        <w:rPr>
          <w:rFonts w:ascii="Palatino Linotype" w:eastAsia="Palatino Linotype" w:hAnsi="Palatino Linotype" w:cs="Palatino Linotype"/>
          <w:i/>
          <w:iCs/>
        </w:rPr>
      </w:pPr>
      <w:r>
        <w:rPr>
          <w:rFonts w:ascii="Palatino Linotype" w:eastAsia="Palatino Linotype" w:hAnsi="Palatino Linotype" w:cs="Palatino Linotype"/>
          <w:i/>
          <w:iCs/>
        </w:rPr>
        <w:t>Toda persona en el Estado de México, tiene derecho al libre acceso a la información plural y oportuna, así como a buscar recibir y difundir información e ideas de toda índole por cualquier medio de expresión.</w:t>
      </w:r>
    </w:p>
    <w:p w:rsidR="00F3396F" w:rsidRDefault="00F71AB8">
      <w:pPr>
        <w:ind w:left="1134" w:right="-1417"/>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F3396F" w:rsidRDefault="00F71AB8">
      <w:pPr>
        <w:ind w:left="1134" w:right="-1417"/>
        <w:jc w:val="both"/>
        <w:rPr>
          <w:rFonts w:ascii="Palatino Linotype" w:eastAsia="Palatino Linotype" w:hAnsi="Palatino Linotype" w:cs="Palatino Linotype"/>
          <w:i/>
          <w:iCs/>
        </w:rPr>
      </w:pPr>
      <w:r>
        <w:rPr>
          <w:rFonts w:ascii="Palatino Linotype" w:eastAsia="Palatino Linotype" w:hAnsi="Palatino Linotype" w:cs="Palatino Linotype"/>
          <w:i/>
          <w:iCs/>
        </w:rPr>
        <w:t>El derecho a la información será garantizado por el Estado. La ley establecerá las previsiones que permitan asegurar la protección, el respeto y la difusión de este derecho.</w:t>
      </w:r>
    </w:p>
    <w:p w:rsidR="00F3396F" w:rsidRDefault="00F71AB8">
      <w:pPr>
        <w:ind w:left="1134" w:right="-1417"/>
        <w:jc w:val="both"/>
        <w:rPr>
          <w:rFonts w:ascii="Palatino Linotype" w:eastAsia="Palatino Linotype" w:hAnsi="Palatino Linotype" w:cs="Palatino Linotype"/>
          <w:i/>
          <w:iCs/>
        </w:rPr>
      </w:pPr>
      <w:r>
        <w:rPr>
          <w:rFonts w:ascii="Palatino Linotype" w:eastAsia="Palatino Linotype" w:hAnsi="Palatino Linotype" w:cs="Palatino Linotype"/>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rsidR="00F3396F" w:rsidRDefault="00F71AB8">
      <w:pPr>
        <w:ind w:left="1134" w:right="-1417"/>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III. Toda persona, sin necesidad de acreditar interés alguno o justificar su utilización, tendrá acceso gratuito a la información pública, a sus datos personales o a la rectificación de éstos;</w:t>
      </w:r>
    </w:p>
    <w:p w:rsidR="00F3396F" w:rsidRDefault="00F71AB8">
      <w:pPr>
        <w:ind w:left="1134" w:right="-1417"/>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F3396F" w:rsidRDefault="00F71AB8">
      <w:pPr>
        <w:ind w:left="1134" w:right="-141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r>
        <w:rPr>
          <w:rFonts w:ascii="Palatino Linotype" w:eastAsia="Palatino Linotype" w:hAnsi="Palatino Linotype" w:cs="Palatino Linotype"/>
        </w:rPr>
        <w:t>(Sic)</w:t>
      </w:r>
    </w:p>
    <w:p w:rsidR="00F3396F" w:rsidRDefault="00F3396F">
      <w:pPr>
        <w:spacing w:line="360" w:lineRule="auto"/>
        <w:ind w:left="426" w:right="-1417"/>
        <w:jc w:val="both"/>
        <w:rPr>
          <w:rFonts w:ascii="Palatino Linotype" w:eastAsia="Palatino Linotype" w:hAnsi="Palatino Linotype" w:cs="Palatino Linotype"/>
          <w:i/>
          <w:iCs/>
        </w:rPr>
      </w:pPr>
    </w:p>
    <w:p w:rsidR="00F3396F" w:rsidRDefault="00F71AB8">
      <w:pPr>
        <w:numPr>
          <w:ilvl w:val="0"/>
          <w:numId w:val="6"/>
        </w:numPr>
        <w:pBdr>
          <w:top w:val="nil"/>
          <w:left w:val="nil"/>
          <w:bottom w:val="nil"/>
          <w:right w:val="nil"/>
          <w:between w:val="nil"/>
        </w:pBdr>
        <w:tabs>
          <w:tab w:val="left" w:pos="0"/>
        </w:tabs>
        <w:spacing w:line="360" w:lineRule="auto"/>
        <w:ind w:left="0" w:right="-1417" w:firstLine="0"/>
        <w:jc w:val="both"/>
        <w:rPr>
          <w:rFonts w:ascii="Palatino Linotype" w:eastAsia="Palatino Linotype" w:hAnsi="Palatino Linotype" w:cs="Palatino Linotype"/>
        </w:rPr>
      </w:pPr>
      <w:r>
        <w:rPr>
          <w:rFonts w:ascii="Palatino Linotype" w:eastAsia="Palatino Linotype" w:hAnsi="Palatino Linotype" w:cs="Palatino Linotype"/>
        </w:rPr>
        <w:t>Por otra parte, del contenido del artículo 1 de la Constitución Política de los Estados Unidos mexicanos, se destaca lo siguiente:</w:t>
      </w:r>
    </w:p>
    <w:p w:rsidR="00F3396F" w:rsidRDefault="00F71AB8">
      <w:pPr>
        <w:ind w:left="1134" w:right="-1417"/>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w:t>
      </w:r>
      <w:r>
        <w:rPr>
          <w:rFonts w:ascii="Palatino Linotype" w:eastAsia="Palatino Linotype" w:hAnsi="Palatino Linotype" w:cs="Palatino Linotype"/>
          <w:i/>
          <w:iCs/>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rsidR="00F3396F" w:rsidRDefault="00F71AB8">
      <w:pPr>
        <w:ind w:left="1134" w:right="-1417"/>
        <w:jc w:val="both"/>
        <w:rPr>
          <w:rFonts w:ascii="Palatino Linotype" w:eastAsia="Palatino Linotype" w:hAnsi="Palatino Linotype" w:cs="Palatino Linotype"/>
          <w:i/>
          <w:iCs/>
        </w:rPr>
      </w:pPr>
      <w:r>
        <w:rPr>
          <w:rFonts w:ascii="Palatino Linotype" w:eastAsia="Palatino Linotype" w:hAnsi="Palatino Linotype" w:cs="Palatino Linotype"/>
          <w:i/>
          <w:iCs/>
        </w:rPr>
        <w:t>Las normas relativas a los derechos humanos se interpretarán de conformidad con esta Constitución y con los tratados internacionales de la materia favoreciendo en todo tiempo a las personas la protección más amplia.</w:t>
      </w:r>
    </w:p>
    <w:p w:rsidR="00F3396F" w:rsidRDefault="00F71AB8">
      <w:pPr>
        <w:ind w:left="1134" w:right="-1417"/>
        <w:jc w:val="both"/>
        <w:rPr>
          <w:rFonts w:ascii="Palatino Linotype" w:eastAsia="Palatino Linotype" w:hAnsi="Palatino Linotype" w:cs="Palatino Linotype"/>
          <w:i/>
          <w:iCs/>
        </w:rPr>
      </w:pPr>
      <w:r>
        <w:rPr>
          <w:rFonts w:ascii="Palatino Linotype" w:eastAsia="Palatino Linotype" w:hAnsi="Palatino Linotype" w:cs="Palatino Linotype"/>
          <w:i/>
          <w:iCs/>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ley."(Sic)</w:t>
      </w:r>
    </w:p>
    <w:p w:rsidR="00F3396F" w:rsidRDefault="00F3396F">
      <w:pPr>
        <w:spacing w:line="360" w:lineRule="auto"/>
        <w:ind w:left="426" w:right="-1417"/>
        <w:jc w:val="both"/>
        <w:rPr>
          <w:rFonts w:ascii="Palatino Linotype" w:eastAsia="Palatino Linotype" w:hAnsi="Palatino Linotype" w:cs="Palatino Linotype"/>
          <w:i/>
          <w:iCs/>
        </w:rPr>
      </w:pPr>
    </w:p>
    <w:p w:rsidR="00F3396F" w:rsidRDefault="00F71AB8">
      <w:pPr>
        <w:numPr>
          <w:ilvl w:val="0"/>
          <w:numId w:val="6"/>
        </w:numPr>
        <w:pBdr>
          <w:top w:val="nil"/>
          <w:left w:val="nil"/>
          <w:bottom w:val="nil"/>
          <w:right w:val="nil"/>
          <w:between w:val="nil"/>
        </w:pBdr>
        <w:tabs>
          <w:tab w:val="left" w:pos="0"/>
        </w:tabs>
        <w:spacing w:line="360" w:lineRule="auto"/>
        <w:ind w:left="0" w:right="-141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Esto es, que el derecho humano de acceso a la información pública, se aprecia que toda persona, sin necesidad de acreditar interés alguno o justificar su interposición, deberá tener acceso a la información pública, es decir, dicho </w:t>
      </w:r>
      <w:r>
        <w:rPr>
          <w:rFonts w:ascii="Palatino Linotype" w:eastAsia="Palatino Linotype" w:hAnsi="Palatino Linotype" w:cs="Palatino Linotype"/>
          <w:i/>
          <w:iCs/>
        </w:rPr>
        <w:t>derecho fundamental exime a quien lo ejerce</w:t>
      </w:r>
      <w:r>
        <w:rPr>
          <w:rFonts w:ascii="Palatino Linotype" w:eastAsia="Palatino Linotype" w:hAnsi="Palatino Linotype" w:cs="Palatino Linotype"/>
        </w:rPr>
        <w:t xml:space="preserve">, de acreditar su legitimación en la causa o su interés en el asunto, lo que permite la </w:t>
      </w:r>
      <w:r>
        <w:rPr>
          <w:rFonts w:ascii="Palatino Linotype" w:eastAsia="Palatino Linotype" w:hAnsi="Palatino Linotype" w:cs="Palatino Linotype"/>
        </w:rPr>
        <w:lastRenderedPageBreak/>
        <w:t>posibilidad de que, incluso, la solicitud de acceso a la información pueda ser anónima o no contener un nombre que identifique al solicitante o que permita tener certeza sobre su identidad.</w:t>
      </w:r>
    </w:p>
    <w:p w:rsidR="00F3396F" w:rsidRDefault="00F3396F">
      <w:pPr>
        <w:spacing w:line="360" w:lineRule="auto"/>
        <w:ind w:right="-1417"/>
        <w:jc w:val="both"/>
        <w:rPr>
          <w:rFonts w:ascii="Palatino Linotype" w:eastAsia="Palatino Linotype" w:hAnsi="Palatino Linotype" w:cs="Palatino Linotype"/>
        </w:rPr>
      </w:pPr>
    </w:p>
    <w:p w:rsidR="00F3396F" w:rsidRDefault="00F71AB8">
      <w:pPr>
        <w:numPr>
          <w:ilvl w:val="0"/>
          <w:numId w:val="6"/>
        </w:numPr>
        <w:pBdr>
          <w:top w:val="nil"/>
          <w:left w:val="nil"/>
          <w:bottom w:val="nil"/>
          <w:right w:val="nil"/>
          <w:between w:val="nil"/>
        </w:pBdr>
        <w:tabs>
          <w:tab w:val="left" w:pos="0"/>
        </w:tabs>
        <w:spacing w:line="360" w:lineRule="auto"/>
        <w:ind w:left="0" w:right="-141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consecuencia, dado lo expuesto y fundado con anterioridad, se estima que el requisito relativo al nombre del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no constituye un presupuesto indispensable de procedencia del Recurso de Revisión, en términos de los artículos 25 de la Convención Americana de Derechos Humanos, 1, párrafos segundo y tercero, 6 apartado A fracción III de la Constitución Política de los Estados Unidos Mexicanos y 5 párrafo vigésimo noveno, trigésimo y trigésimo primero de la Constitución Política del Estado Libre y Soberano de México, debido a que el acceso a la información pública es un derecho humano que no requiere legitimación en la causa, si no que únicamente basta con que se encuentre legitimado en el procedimiento de Recurso de Revisión, circunstancia que se acredita en las constancias electrónicas de los expedientes en revisión, de las que se desprende que la parte recurrente, es la misma que realizó la solicitud de acceso a la información pública que ahora se impugna.</w:t>
      </w:r>
    </w:p>
    <w:p w:rsidR="00F3396F" w:rsidRDefault="00F3396F">
      <w:pPr>
        <w:pBdr>
          <w:top w:val="nil"/>
          <w:left w:val="nil"/>
          <w:bottom w:val="nil"/>
          <w:right w:val="nil"/>
          <w:between w:val="nil"/>
        </w:pBdr>
        <w:ind w:left="720" w:right="-1417"/>
        <w:rPr>
          <w:rFonts w:ascii="Palatino Linotype" w:eastAsia="Palatino Linotype" w:hAnsi="Palatino Linotype" w:cs="Palatino Linotype"/>
          <w:color w:val="000000"/>
        </w:rPr>
      </w:pPr>
    </w:p>
    <w:p w:rsidR="00F3396F" w:rsidRDefault="00F71AB8">
      <w:pPr>
        <w:numPr>
          <w:ilvl w:val="0"/>
          <w:numId w:val="6"/>
        </w:numPr>
        <w:pBdr>
          <w:top w:val="nil"/>
          <w:left w:val="nil"/>
          <w:bottom w:val="nil"/>
          <w:right w:val="nil"/>
          <w:between w:val="nil"/>
        </w:pBdr>
        <w:tabs>
          <w:tab w:val="left" w:pos="0"/>
        </w:tabs>
        <w:spacing w:line="360" w:lineRule="auto"/>
        <w:ind w:left="0" w:right="-1417" w:firstLine="0"/>
        <w:jc w:val="both"/>
        <w:rPr>
          <w:rFonts w:ascii="Palatino Linotype" w:eastAsia="Palatino Linotype" w:hAnsi="Palatino Linotype" w:cs="Palatino Linotype"/>
        </w:rPr>
      </w:pPr>
      <w:r>
        <w:rPr>
          <w:rFonts w:ascii="Palatino Linotype" w:eastAsia="Palatino Linotype" w:hAnsi="Palatino Linotype" w:cs="Palatino Linotype"/>
        </w:rPr>
        <w:t>Asimismo,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F3396F" w:rsidRDefault="00F3396F">
      <w:pPr>
        <w:pBdr>
          <w:top w:val="nil"/>
          <w:left w:val="nil"/>
          <w:bottom w:val="nil"/>
          <w:right w:val="nil"/>
          <w:between w:val="nil"/>
        </w:pBdr>
        <w:spacing w:line="360" w:lineRule="auto"/>
        <w:ind w:right="-1417"/>
        <w:jc w:val="both"/>
        <w:rPr>
          <w:rFonts w:ascii="Palatino Linotype" w:eastAsia="Palatino Linotype" w:hAnsi="Palatino Linotype" w:cs="Palatino Linotype"/>
          <w:color w:val="000000"/>
        </w:rPr>
      </w:pPr>
    </w:p>
    <w:p w:rsidR="00F3396F" w:rsidRDefault="00F71AB8">
      <w:pPr>
        <w:pStyle w:val="Ttulo1"/>
        <w:spacing w:before="0" w:line="360" w:lineRule="auto"/>
        <w:ind w:right="-1417"/>
        <w:rPr>
          <w:rFonts w:ascii="Palatino Linotype" w:eastAsia="Palatino Linotype" w:hAnsi="Palatino Linotype" w:cs="Palatino Linotype"/>
          <w:b/>
          <w:bCs/>
          <w:color w:val="000000"/>
          <w:sz w:val="24"/>
          <w:szCs w:val="24"/>
        </w:rPr>
      </w:pPr>
      <w:bookmarkStart w:id="4" w:name="_heading=h.2s8eyo1" w:colFirst="0" w:colLast="0"/>
      <w:bookmarkEnd w:id="4"/>
      <w:r>
        <w:rPr>
          <w:rFonts w:ascii="Palatino Linotype" w:eastAsia="Palatino Linotype" w:hAnsi="Palatino Linotype" w:cs="Palatino Linotype"/>
          <w:b/>
          <w:bCs/>
          <w:color w:val="000000"/>
          <w:sz w:val="24"/>
          <w:szCs w:val="24"/>
        </w:rPr>
        <w:lastRenderedPageBreak/>
        <w:t xml:space="preserve">TERCERO. Del planteamiento de la </w:t>
      </w:r>
      <w:r>
        <w:rPr>
          <w:rFonts w:ascii="Palatino Linotype" w:eastAsia="Palatino Linotype" w:hAnsi="Palatino Linotype" w:cs="Palatino Linotype"/>
          <w:b/>
          <w:bCs/>
          <w:i/>
          <w:iCs/>
          <w:color w:val="000000"/>
          <w:sz w:val="24"/>
          <w:szCs w:val="24"/>
        </w:rPr>
        <w:t>Litis</w:t>
      </w:r>
      <w:r>
        <w:rPr>
          <w:rFonts w:ascii="Palatino Linotype" w:eastAsia="Palatino Linotype" w:hAnsi="Palatino Linotype" w:cs="Palatino Linotype"/>
          <w:b/>
          <w:bCs/>
          <w:color w:val="000000"/>
          <w:sz w:val="24"/>
          <w:szCs w:val="24"/>
        </w:rPr>
        <w:t>.</w:t>
      </w:r>
    </w:p>
    <w:p w:rsidR="00F3396F" w:rsidRDefault="00F71AB8">
      <w:pPr>
        <w:numPr>
          <w:ilvl w:val="0"/>
          <w:numId w:val="6"/>
        </w:numPr>
        <w:pBdr>
          <w:top w:val="nil"/>
          <w:left w:val="nil"/>
          <w:bottom w:val="nil"/>
          <w:right w:val="nil"/>
          <w:between w:val="nil"/>
        </w:pBdr>
        <w:tabs>
          <w:tab w:val="left" w:pos="0"/>
        </w:tabs>
        <w:spacing w:line="360" w:lineRule="auto"/>
        <w:ind w:left="0" w:right="-1417"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De las </w:t>
      </w:r>
      <w:r>
        <w:rPr>
          <w:rFonts w:ascii="Palatino Linotype" w:eastAsia="Palatino Linotype" w:hAnsi="Palatino Linotype" w:cs="Palatino Linotype"/>
        </w:rPr>
        <w:t>constancias</w:t>
      </w:r>
      <w:r>
        <w:rPr>
          <w:rFonts w:ascii="Palatino Linotype" w:eastAsia="Palatino Linotype" w:hAnsi="Palatino Linotype" w:cs="Palatino Linotype"/>
          <w:color w:val="000000"/>
        </w:rPr>
        <w:t xml:space="preserve"> en el expediente al rubro indicado, se desprende que la particular solicitó la inform</w:t>
      </w:r>
      <w:r>
        <w:rPr>
          <w:rFonts w:ascii="Palatino Linotype" w:eastAsia="Palatino Linotype" w:hAnsi="Palatino Linotype" w:cs="Palatino Linotype"/>
        </w:rPr>
        <w:t>a</w:t>
      </w:r>
      <w:r>
        <w:rPr>
          <w:rFonts w:ascii="Palatino Linotype" w:eastAsia="Palatino Linotype" w:hAnsi="Palatino Linotype" w:cs="Palatino Linotype"/>
          <w:color w:val="000000"/>
        </w:rPr>
        <w:t>ción que a continuación se desagrega:</w:t>
      </w:r>
    </w:p>
    <w:p w:rsidR="00F3396F" w:rsidRDefault="00F71AB8">
      <w:pPr>
        <w:pBdr>
          <w:top w:val="nil"/>
          <w:left w:val="nil"/>
          <w:bottom w:val="nil"/>
          <w:right w:val="nil"/>
          <w:between w:val="nil"/>
        </w:pBdr>
        <w:ind w:left="1134" w:right="-1417"/>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De la privada localizada en la Manzana 7 Lote 10 en Bosque de las Fuentes, San Andrés Ocotlán, Calimaya.</w:t>
      </w:r>
    </w:p>
    <w:p w:rsidR="00F3396F" w:rsidRDefault="00F3396F">
      <w:pPr>
        <w:pBdr>
          <w:top w:val="nil"/>
          <w:left w:val="nil"/>
          <w:bottom w:val="nil"/>
          <w:right w:val="nil"/>
          <w:between w:val="nil"/>
        </w:pBdr>
        <w:ind w:left="1134" w:right="-1417"/>
        <w:jc w:val="both"/>
        <w:rPr>
          <w:rFonts w:ascii="Palatino Linotype" w:eastAsia="Palatino Linotype" w:hAnsi="Palatino Linotype" w:cs="Palatino Linotype"/>
          <w:b/>
          <w:bCs/>
          <w:i/>
          <w:iCs/>
          <w:color w:val="000000"/>
        </w:rPr>
      </w:pPr>
    </w:p>
    <w:p w:rsidR="00F3396F" w:rsidRDefault="00F71AB8">
      <w:pPr>
        <w:pBdr>
          <w:top w:val="nil"/>
          <w:left w:val="nil"/>
          <w:bottom w:val="nil"/>
          <w:right w:val="nil"/>
          <w:between w:val="nil"/>
        </w:pBdr>
        <w:ind w:left="1134" w:right="-1417"/>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1.- Si existe información sobre ampliaciones realizadas en casas al interior de esta privada. </w:t>
      </w:r>
    </w:p>
    <w:p w:rsidR="00F3396F" w:rsidRDefault="00F3396F">
      <w:pPr>
        <w:pBdr>
          <w:top w:val="nil"/>
          <w:left w:val="nil"/>
          <w:bottom w:val="nil"/>
          <w:right w:val="nil"/>
          <w:between w:val="nil"/>
        </w:pBdr>
        <w:ind w:left="1134" w:right="-1417"/>
        <w:jc w:val="both"/>
        <w:rPr>
          <w:rFonts w:ascii="Palatino Linotype" w:eastAsia="Palatino Linotype" w:hAnsi="Palatino Linotype" w:cs="Palatino Linotype"/>
          <w:b/>
          <w:bCs/>
          <w:i/>
          <w:iCs/>
          <w:color w:val="000000"/>
        </w:rPr>
      </w:pPr>
    </w:p>
    <w:p w:rsidR="00F3396F" w:rsidRDefault="00F71AB8">
      <w:pPr>
        <w:pBdr>
          <w:top w:val="nil"/>
          <w:left w:val="nil"/>
          <w:bottom w:val="nil"/>
          <w:right w:val="nil"/>
          <w:between w:val="nil"/>
        </w:pBdr>
        <w:ind w:left="1134" w:right="-1417"/>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2.-Si dichas ampliaciones cuentan con licencia de construcción o autorización municipal, indicando número de licencia, fecha de expedición y vigencia. </w:t>
      </w:r>
    </w:p>
    <w:p w:rsidR="00F3396F" w:rsidRDefault="00F3396F">
      <w:pPr>
        <w:pBdr>
          <w:top w:val="nil"/>
          <w:left w:val="nil"/>
          <w:bottom w:val="nil"/>
          <w:right w:val="nil"/>
          <w:between w:val="nil"/>
        </w:pBdr>
        <w:ind w:left="1134" w:right="-1417"/>
        <w:jc w:val="both"/>
        <w:rPr>
          <w:rFonts w:ascii="Palatino Linotype" w:eastAsia="Palatino Linotype" w:hAnsi="Palatino Linotype" w:cs="Palatino Linotype"/>
          <w:b/>
          <w:bCs/>
          <w:i/>
          <w:iCs/>
          <w:color w:val="000000"/>
        </w:rPr>
      </w:pPr>
    </w:p>
    <w:p w:rsidR="00F3396F" w:rsidRDefault="00F71AB8">
      <w:pPr>
        <w:pBdr>
          <w:top w:val="nil"/>
          <w:left w:val="nil"/>
          <w:bottom w:val="nil"/>
          <w:right w:val="nil"/>
          <w:between w:val="nil"/>
        </w:pBdr>
        <w:ind w:left="1134" w:right="-1417"/>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3.-Si la administración del conjunto urbano hizo del conocimiento de la autoridad municipal las irregularidades detectadas en obras dentro de esta privada. </w:t>
      </w:r>
    </w:p>
    <w:p w:rsidR="00F3396F" w:rsidRDefault="00F3396F">
      <w:pPr>
        <w:pBdr>
          <w:top w:val="nil"/>
          <w:left w:val="nil"/>
          <w:bottom w:val="nil"/>
          <w:right w:val="nil"/>
          <w:between w:val="nil"/>
        </w:pBdr>
        <w:ind w:left="1134" w:right="-1417"/>
        <w:jc w:val="both"/>
        <w:rPr>
          <w:rFonts w:ascii="Palatino Linotype" w:eastAsia="Palatino Linotype" w:hAnsi="Palatino Linotype" w:cs="Palatino Linotype"/>
          <w:b/>
          <w:bCs/>
          <w:i/>
          <w:iCs/>
          <w:color w:val="000000"/>
        </w:rPr>
      </w:pPr>
    </w:p>
    <w:p w:rsidR="00F3396F" w:rsidRDefault="00F71AB8">
      <w:pPr>
        <w:pBdr>
          <w:top w:val="nil"/>
          <w:left w:val="nil"/>
          <w:bottom w:val="nil"/>
          <w:right w:val="nil"/>
          <w:between w:val="nil"/>
        </w:pBdr>
        <w:ind w:left="1134" w:right="-1417"/>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4.- Si la administración emitió algún visto bueno o autorización interna respecto de alguna ampliación en esta privada. </w:t>
      </w:r>
    </w:p>
    <w:p w:rsidR="00F3396F" w:rsidRDefault="00F3396F">
      <w:pPr>
        <w:pBdr>
          <w:top w:val="nil"/>
          <w:left w:val="nil"/>
          <w:bottom w:val="nil"/>
          <w:right w:val="nil"/>
          <w:between w:val="nil"/>
        </w:pBdr>
        <w:ind w:left="1134" w:right="-1417"/>
        <w:jc w:val="both"/>
        <w:rPr>
          <w:rFonts w:ascii="Palatino Linotype" w:eastAsia="Palatino Linotype" w:hAnsi="Palatino Linotype" w:cs="Palatino Linotype"/>
          <w:b/>
          <w:bCs/>
          <w:i/>
          <w:iCs/>
          <w:color w:val="000000"/>
        </w:rPr>
      </w:pPr>
    </w:p>
    <w:p w:rsidR="00F3396F" w:rsidRDefault="00F71AB8">
      <w:pPr>
        <w:pBdr>
          <w:top w:val="nil"/>
          <w:left w:val="nil"/>
          <w:bottom w:val="nil"/>
          <w:right w:val="nil"/>
          <w:between w:val="nil"/>
        </w:pBdr>
        <w:ind w:left="1134" w:right="-1417"/>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5.- En caso de que exista licencia de construcción, solicito copia digital de la información y documentación proporcionada por el solicitante para obtenerla, incluyendo planos, dictámenes técnicos y requisitos cumplidos. </w:t>
      </w:r>
    </w:p>
    <w:p w:rsidR="00F3396F" w:rsidRDefault="00F3396F">
      <w:pPr>
        <w:pBdr>
          <w:top w:val="nil"/>
          <w:left w:val="nil"/>
          <w:bottom w:val="nil"/>
          <w:right w:val="nil"/>
          <w:between w:val="nil"/>
        </w:pBdr>
        <w:ind w:left="1134" w:right="-1417"/>
        <w:jc w:val="both"/>
        <w:rPr>
          <w:rFonts w:ascii="Palatino Linotype" w:eastAsia="Palatino Linotype" w:hAnsi="Palatino Linotype" w:cs="Palatino Linotype"/>
          <w:b/>
          <w:bCs/>
          <w:i/>
          <w:iCs/>
          <w:color w:val="000000"/>
        </w:rPr>
      </w:pPr>
    </w:p>
    <w:p w:rsidR="00F3396F" w:rsidRDefault="00F71AB8">
      <w:pPr>
        <w:pBdr>
          <w:top w:val="nil"/>
          <w:left w:val="nil"/>
          <w:bottom w:val="nil"/>
          <w:right w:val="nil"/>
          <w:between w:val="nil"/>
        </w:pBdr>
        <w:ind w:left="1134" w:right="-1417"/>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6.- Requiero saber que documentación proporcionaron propietarios que realizaron ampliaciones dentro del conjunto urbano bosque de las fuentes, y que cuenten con licencia de construcción o que han sido regularizadas o están en proceso de serlo, incluyendo copia de las licencias, fecha de expedición y de termino de obra</w:t>
      </w:r>
    </w:p>
    <w:p w:rsidR="00F3396F" w:rsidRDefault="00F3396F">
      <w:pPr>
        <w:pBdr>
          <w:top w:val="nil"/>
          <w:left w:val="nil"/>
          <w:bottom w:val="nil"/>
          <w:right w:val="nil"/>
          <w:between w:val="nil"/>
        </w:pBdr>
        <w:ind w:left="1134" w:right="-1417"/>
        <w:jc w:val="both"/>
        <w:rPr>
          <w:rFonts w:ascii="Palatino Linotype" w:eastAsia="Palatino Linotype" w:hAnsi="Palatino Linotype" w:cs="Palatino Linotype"/>
          <w:i/>
          <w:iCs/>
          <w:color w:val="000000"/>
        </w:rPr>
      </w:pPr>
    </w:p>
    <w:p w:rsidR="00F3396F" w:rsidRDefault="00F71AB8">
      <w:pPr>
        <w:numPr>
          <w:ilvl w:val="0"/>
          <w:numId w:val="6"/>
        </w:numPr>
        <w:pBdr>
          <w:top w:val="nil"/>
          <w:left w:val="nil"/>
          <w:bottom w:val="nil"/>
          <w:right w:val="nil"/>
          <w:between w:val="nil"/>
        </w:pBdr>
        <w:tabs>
          <w:tab w:val="left" w:pos="0"/>
        </w:tabs>
        <w:spacing w:line="360" w:lineRule="auto"/>
        <w:ind w:left="0" w:right="-141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respuesta,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rPr>
        <w:t>entregó</w:t>
      </w:r>
      <w:r>
        <w:rPr>
          <w:rFonts w:ascii="Palatino Linotype" w:eastAsia="Palatino Linotype" w:hAnsi="Palatino Linotype" w:cs="Palatino Linotype"/>
          <w:color w:val="000000"/>
        </w:rPr>
        <w:t xml:space="preserve"> la información descrita en el párrafo cuatro de la presente resolución. </w:t>
      </w:r>
    </w:p>
    <w:p w:rsidR="00F3396F" w:rsidRDefault="00F3396F">
      <w:pPr>
        <w:pBdr>
          <w:top w:val="nil"/>
          <w:left w:val="nil"/>
          <w:bottom w:val="nil"/>
          <w:right w:val="nil"/>
          <w:between w:val="nil"/>
        </w:pBdr>
        <w:spacing w:line="360" w:lineRule="auto"/>
        <w:ind w:right="-1417"/>
        <w:jc w:val="both"/>
        <w:rPr>
          <w:rFonts w:ascii="Palatino Linotype" w:eastAsia="Palatino Linotype" w:hAnsi="Palatino Linotype" w:cs="Palatino Linotype"/>
          <w:i/>
          <w:iCs/>
          <w:color w:val="000000"/>
        </w:rPr>
      </w:pPr>
    </w:p>
    <w:p w:rsidR="00F3396F" w:rsidRDefault="00F71AB8">
      <w:pPr>
        <w:numPr>
          <w:ilvl w:val="0"/>
          <w:numId w:val="6"/>
        </w:numPr>
        <w:pBdr>
          <w:top w:val="nil"/>
          <w:left w:val="nil"/>
          <w:bottom w:val="nil"/>
          <w:right w:val="nil"/>
          <w:between w:val="nil"/>
        </w:pBdr>
        <w:tabs>
          <w:tab w:val="left" w:pos="0"/>
        </w:tabs>
        <w:spacing w:line="360" w:lineRule="auto"/>
        <w:ind w:left="0" w:right="-141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En </w:t>
      </w:r>
      <w:r>
        <w:rPr>
          <w:rFonts w:ascii="Palatino Linotype" w:eastAsia="Palatino Linotype" w:hAnsi="Palatino Linotype" w:cs="Palatino Linotype"/>
        </w:rPr>
        <w:t>dichas</w:t>
      </w:r>
      <w:r>
        <w:rPr>
          <w:rFonts w:ascii="Palatino Linotype" w:eastAsia="Palatino Linotype" w:hAnsi="Palatino Linotype" w:cs="Palatino Linotype"/>
          <w:color w:val="000000"/>
        </w:rPr>
        <w:t xml:space="preserve"> condiciones, la </w:t>
      </w:r>
      <w:r>
        <w:rPr>
          <w:rFonts w:ascii="Palatino Linotype" w:eastAsia="Palatino Linotype" w:hAnsi="Palatino Linotype" w:cs="Palatino Linotype"/>
          <w:i/>
          <w:iCs/>
          <w:color w:val="000000"/>
        </w:rPr>
        <w:t>Litis</w:t>
      </w:r>
      <w:r>
        <w:rPr>
          <w:rFonts w:ascii="Palatino Linotype" w:eastAsia="Palatino Linotype" w:hAnsi="Palatino Linotype" w:cs="Palatino Linotype"/>
          <w:color w:val="000000"/>
        </w:rPr>
        <w:t xml:space="preserve"> a resolver en estos recursos se circunscribe a determinar si se actualizan las causales de procedencia previstas en el artículo 179, </w:t>
      </w:r>
      <w:r>
        <w:rPr>
          <w:rFonts w:ascii="Palatino Linotype" w:eastAsia="Palatino Linotype" w:hAnsi="Palatino Linotype" w:cs="Palatino Linotype"/>
          <w:b/>
          <w:bCs/>
          <w:color w:val="000000"/>
        </w:rPr>
        <w:t xml:space="preserve">fracción I </w:t>
      </w:r>
      <w:r>
        <w:rPr>
          <w:rFonts w:ascii="Palatino Linotype" w:eastAsia="Palatino Linotype" w:hAnsi="Palatino Linotype" w:cs="Palatino Linotype"/>
          <w:color w:val="000000"/>
        </w:rPr>
        <w:t>de la Ley</w:t>
      </w:r>
      <w:r>
        <w:rPr>
          <w:rFonts w:ascii="Palatino Linotype" w:eastAsia="Palatino Linotype" w:hAnsi="Palatino Linotype" w:cs="Palatino Linotype"/>
          <w:b/>
          <w:bCs/>
          <w:color w:val="000000"/>
        </w:rPr>
        <w:t xml:space="preserve"> de Transparencia y Acceso a la Información Pública del Estado de </w:t>
      </w:r>
      <w:r>
        <w:rPr>
          <w:rFonts w:ascii="Palatino Linotype" w:eastAsia="Palatino Linotype" w:hAnsi="Palatino Linotype" w:cs="Palatino Linotype"/>
          <w:color w:val="000000"/>
        </w:rPr>
        <w:t>México</w:t>
      </w:r>
      <w:r>
        <w:rPr>
          <w:rFonts w:ascii="Palatino Linotype" w:eastAsia="Palatino Linotype" w:hAnsi="Palatino Linotype" w:cs="Palatino Linotype"/>
          <w:b/>
          <w:bCs/>
          <w:color w:val="000000"/>
        </w:rPr>
        <w:t xml:space="preserve"> y Municipios</w:t>
      </w:r>
      <w:r>
        <w:rPr>
          <w:rFonts w:ascii="Palatino Linotype" w:eastAsia="Palatino Linotype" w:hAnsi="Palatino Linotype" w:cs="Palatino Linotype"/>
          <w:color w:val="000000"/>
        </w:rPr>
        <w:t xml:space="preserve">; fracción que determina la hipótesis jurídica relativa a la negativa de información por parte del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contexto del cual se dolió </w:t>
      </w:r>
      <w:r>
        <w:rPr>
          <w:rFonts w:ascii="Palatino Linotype" w:eastAsia="Palatino Linotype" w:hAnsi="Palatino Linotype" w:cs="Palatino Linotype"/>
          <w:b/>
          <w:bCs/>
          <w:color w:val="000000"/>
        </w:rPr>
        <w:t xml:space="preserve">EL RECURRENTE </w:t>
      </w:r>
      <w:r>
        <w:rPr>
          <w:rFonts w:ascii="Palatino Linotype" w:eastAsia="Palatino Linotype" w:hAnsi="Palatino Linotype" w:cs="Palatino Linotype"/>
          <w:color w:val="000000"/>
        </w:rPr>
        <w:t>al momento de interponer su inconformidad.</w:t>
      </w:r>
    </w:p>
    <w:p w:rsidR="00F3396F" w:rsidRDefault="00F3396F">
      <w:pPr>
        <w:pBdr>
          <w:top w:val="nil"/>
          <w:left w:val="nil"/>
          <w:bottom w:val="nil"/>
          <w:right w:val="nil"/>
          <w:between w:val="nil"/>
        </w:pBdr>
        <w:spacing w:line="360" w:lineRule="auto"/>
        <w:ind w:right="-1417"/>
        <w:jc w:val="both"/>
        <w:rPr>
          <w:rFonts w:ascii="Palatino Linotype" w:eastAsia="Palatino Linotype" w:hAnsi="Palatino Linotype" w:cs="Palatino Linotype"/>
          <w:color w:val="000000"/>
        </w:rPr>
      </w:pPr>
    </w:p>
    <w:p w:rsidR="00F3396F" w:rsidRDefault="00F71AB8">
      <w:pPr>
        <w:numPr>
          <w:ilvl w:val="0"/>
          <w:numId w:val="6"/>
        </w:numPr>
        <w:pBdr>
          <w:top w:val="nil"/>
          <w:left w:val="nil"/>
          <w:bottom w:val="nil"/>
          <w:right w:val="nil"/>
          <w:between w:val="nil"/>
        </w:pBdr>
        <w:tabs>
          <w:tab w:val="left" w:pos="0"/>
        </w:tabs>
        <w:spacing w:line="360" w:lineRule="auto"/>
        <w:ind w:left="0" w:right="-141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modo tal que el presente recurso de revisión se </w:t>
      </w:r>
      <w:r>
        <w:rPr>
          <w:rFonts w:ascii="Palatino Linotype" w:eastAsia="Palatino Linotype" w:hAnsi="Palatino Linotype" w:cs="Palatino Linotype"/>
        </w:rPr>
        <w:t>abocara</w:t>
      </w:r>
      <w:r>
        <w:rPr>
          <w:rFonts w:ascii="Palatino Linotype" w:eastAsia="Palatino Linotype" w:hAnsi="Palatino Linotype" w:cs="Palatino Linotype"/>
          <w:color w:val="000000"/>
        </w:rPr>
        <w:t xml:space="preserve"> en determinar si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con su respuesta ciertamente actualiza la causal de procedencia</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antes señalada; asimismo, </w:t>
      </w:r>
      <w:r>
        <w:rPr>
          <w:rFonts w:ascii="Palatino Linotype" w:eastAsia="Palatino Linotype" w:hAnsi="Palatino Linotype" w:cs="Palatino Linotype"/>
        </w:rPr>
        <w:t>determinar</w:t>
      </w:r>
      <w:r>
        <w:rPr>
          <w:rFonts w:ascii="Palatino Linotype" w:eastAsia="Palatino Linotype" w:hAnsi="Palatino Linotype" w:cs="Palatino Linotype"/>
          <w:color w:val="000000"/>
        </w:rPr>
        <w:t xml:space="preserve"> si se vulnera el derecho de acceso a la información del particular por la inobservancia a los principios contenidos en el artículo 11 de la Ley de Transparencia y Acceso a la Información Pública del Estado de México y Municipios, los cuales señala entre otros, que en la generación y entrega de información se deberá garantizar que sea oportuna, expedita, completa e integral.</w:t>
      </w:r>
    </w:p>
    <w:p w:rsidR="00F3396F" w:rsidRDefault="00F3396F">
      <w:pPr>
        <w:pBdr>
          <w:top w:val="nil"/>
          <w:left w:val="nil"/>
          <w:bottom w:val="nil"/>
          <w:right w:val="nil"/>
          <w:between w:val="nil"/>
        </w:pBdr>
        <w:spacing w:line="360" w:lineRule="auto"/>
        <w:ind w:left="709" w:right="-1417"/>
        <w:rPr>
          <w:rFonts w:ascii="Palatino Linotype" w:eastAsia="Palatino Linotype" w:hAnsi="Palatino Linotype" w:cs="Palatino Linotype"/>
          <w:color w:val="000000"/>
        </w:rPr>
      </w:pPr>
    </w:p>
    <w:p w:rsidR="00F3396F" w:rsidRDefault="00F71AB8">
      <w:pPr>
        <w:keepNext/>
        <w:keepLines/>
        <w:spacing w:line="360" w:lineRule="auto"/>
        <w:ind w:right="-1417"/>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CUARTO. Del estudio y resolución del estudio.</w:t>
      </w:r>
    </w:p>
    <w:p w:rsidR="00F3396F" w:rsidRDefault="00F71AB8">
      <w:pPr>
        <w:keepNext/>
        <w:keepLines/>
        <w:numPr>
          <w:ilvl w:val="0"/>
          <w:numId w:val="4"/>
        </w:numPr>
        <w:spacing w:after="240" w:line="360" w:lineRule="auto"/>
        <w:ind w:left="786" w:right="-1417"/>
        <w:rPr>
          <w:rFonts w:ascii="Palatino Linotype" w:eastAsia="Palatino Linotype" w:hAnsi="Palatino Linotype" w:cs="Palatino Linotype"/>
          <w:b/>
          <w:bCs/>
          <w:color w:val="000000"/>
        </w:rPr>
      </w:pPr>
      <w:bookmarkStart w:id="5" w:name="_heading=h.17dp8vu" w:colFirst="0" w:colLast="0"/>
      <w:bookmarkEnd w:id="5"/>
      <w:r>
        <w:rPr>
          <w:rFonts w:ascii="Palatino Linotype" w:eastAsia="Palatino Linotype" w:hAnsi="Palatino Linotype" w:cs="Palatino Linotype"/>
          <w:b/>
          <w:bCs/>
          <w:color w:val="000000"/>
        </w:rPr>
        <w:t>Del derecho de acceso a la información.</w:t>
      </w:r>
    </w:p>
    <w:p w:rsidR="00F3396F" w:rsidRDefault="00F71AB8">
      <w:pPr>
        <w:numPr>
          <w:ilvl w:val="0"/>
          <w:numId w:val="6"/>
        </w:numPr>
        <w:pBdr>
          <w:top w:val="nil"/>
          <w:left w:val="nil"/>
          <w:bottom w:val="nil"/>
          <w:right w:val="nil"/>
          <w:between w:val="nil"/>
        </w:pBdr>
        <w:tabs>
          <w:tab w:val="left" w:pos="0"/>
        </w:tabs>
        <w:spacing w:line="360" w:lineRule="auto"/>
        <w:ind w:left="0" w:right="-141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rPr>
        <w:t>Derecho</w:t>
      </w:r>
      <w:r>
        <w:rPr>
          <w:rFonts w:ascii="Palatino Linotype" w:eastAsia="Palatino Linotype" w:hAnsi="Palatino Linotype" w:cs="Palatino Linotype"/>
          <w:color w:val="000000"/>
        </w:rPr>
        <w:t xml:space="preserve">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Particular del Estado de México. </w:t>
      </w:r>
    </w:p>
    <w:p w:rsidR="00F3396F" w:rsidRDefault="00F3396F">
      <w:pPr>
        <w:pBdr>
          <w:top w:val="nil"/>
          <w:left w:val="nil"/>
          <w:bottom w:val="nil"/>
          <w:right w:val="nil"/>
          <w:between w:val="nil"/>
        </w:pBdr>
        <w:tabs>
          <w:tab w:val="left" w:pos="0"/>
        </w:tabs>
        <w:spacing w:line="360" w:lineRule="auto"/>
        <w:ind w:left="360" w:right="-1417"/>
        <w:jc w:val="both"/>
        <w:rPr>
          <w:rFonts w:ascii="Palatino Linotype" w:eastAsia="Palatino Linotype" w:hAnsi="Palatino Linotype" w:cs="Palatino Linotype"/>
        </w:rPr>
      </w:pPr>
    </w:p>
    <w:p w:rsidR="00F3396F" w:rsidRDefault="00F71AB8">
      <w:pPr>
        <w:numPr>
          <w:ilvl w:val="0"/>
          <w:numId w:val="6"/>
        </w:numPr>
        <w:pBdr>
          <w:top w:val="nil"/>
          <w:left w:val="nil"/>
          <w:bottom w:val="nil"/>
          <w:right w:val="nil"/>
          <w:between w:val="nil"/>
        </w:pBdr>
        <w:tabs>
          <w:tab w:val="left" w:pos="0"/>
        </w:tabs>
        <w:spacing w:line="360" w:lineRule="auto"/>
        <w:ind w:left="0" w:right="-1417"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Definiendo el Derecho de Acceso a la Información Pública como: </w:t>
      </w:r>
      <w:r>
        <w:rPr>
          <w:rFonts w:ascii="Palatino Linotype" w:eastAsia="Palatino Linotype" w:hAnsi="Palatino Linotype" w:cs="Palatino Linotype"/>
          <w:i/>
          <w:iCs/>
          <w:color w:val="000000"/>
        </w:rPr>
        <w:t>La igualdad de oportunidades para recibir, buscar e impartir información</w:t>
      </w:r>
      <w:r>
        <w:rPr>
          <w:rFonts w:ascii="Palatino Linotype" w:eastAsia="Palatino Linotype" w:hAnsi="Palatino Linotype" w:cs="Palatino Linotype"/>
          <w:i/>
          <w:iCs/>
          <w:vertAlign w:val="superscript"/>
        </w:rPr>
        <w:footnoteReference w:id="1"/>
      </w:r>
      <w:r>
        <w:rPr>
          <w:rFonts w:ascii="Palatino Linotype" w:eastAsia="Palatino Linotype" w:hAnsi="Palatino Linotype" w:cs="Palatino Linotype"/>
          <w:i/>
          <w:iCs/>
          <w:color w:val="000000"/>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Pr>
          <w:rFonts w:ascii="Palatino Linotype" w:eastAsia="Palatino Linotype" w:hAnsi="Palatino Linotype" w:cs="Palatino Linotype"/>
          <w:i/>
          <w:iCs/>
          <w:vertAlign w:val="superscript"/>
        </w:rPr>
        <w:footnoteReference w:id="2"/>
      </w:r>
      <w:r>
        <w:rPr>
          <w:rFonts w:ascii="Palatino Linotype" w:eastAsia="Palatino Linotype" w:hAnsi="Palatino Linotype" w:cs="Palatino Linotype"/>
          <w:color w:val="000000"/>
        </w:rPr>
        <w:t>que se constituye como una herramienta fundamental para ejercer</w:t>
      </w:r>
      <w:r>
        <w:rPr>
          <w:rFonts w:ascii="Palatino Linotype" w:eastAsia="Palatino Linotype" w:hAnsi="Palatino Linotype" w:cs="Palatino Linotype"/>
          <w:i/>
          <w:iCs/>
          <w:color w:val="000000"/>
        </w:rPr>
        <w:t xml:space="preserve"> el control democrático de las gestiones estatales, de forma tal que puedan cuestionar, indagar y considerar si se está dando un adecuado cumplimiento a las funciones públicas,</w:t>
      </w:r>
      <w:r>
        <w:rPr>
          <w:rFonts w:ascii="Palatino Linotype" w:eastAsia="Palatino Linotype" w:hAnsi="Palatino Linotype" w:cs="Palatino Linotype"/>
          <w:i/>
          <w:iCs/>
          <w:vertAlign w:val="superscript"/>
        </w:rPr>
        <w:footnoteReference w:id="3"/>
      </w:r>
      <w:r>
        <w:rPr>
          <w:rFonts w:ascii="Palatino Linotype" w:eastAsia="Palatino Linotype" w:hAnsi="Palatino Linotype" w:cs="Palatino Linotype"/>
          <w:color w:val="000000"/>
        </w:rPr>
        <w:t>fomentando</w:t>
      </w:r>
      <w:r>
        <w:rPr>
          <w:rFonts w:ascii="Palatino Linotype" w:eastAsia="Palatino Linotype" w:hAnsi="Palatino Linotype" w:cs="Palatino Linotype"/>
          <w:i/>
          <w:iCs/>
          <w:color w:val="000000"/>
        </w:rPr>
        <w:t xml:space="preserve"> la transparencia de las actividades estatales y </w:t>
      </w:r>
      <w:r>
        <w:rPr>
          <w:rFonts w:ascii="Palatino Linotype" w:eastAsia="Palatino Linotype" w:hAnsi="Palatino Linotype" w:cs="Palatino Linotype"/>
          <w:color w:val="000000"/>
        </w:rPr>
        <w:t>promoviendo</w:t>
      </w:r>
      <w:r>
        <w:rPr>
          <w:rFonts w:ascii="Palatino Linotype" w:eastAsia="Palatino Linotype" w:hAnsi="Palatino Linotype" w:cs="Palatino Linotype"/>
          <w:i/>
          <w:iCs/>
          <w:color w:val="000000"/>
        </w:rPr>
        <w:t xml:space="preserve"> la responsabilidad de los funcionarios sobre su gestión pública,</w:t>
      </w:r>
      <w:r>
        <w:rPr>
          <w:rFonts w:ascii="Palatino Linotype" w:eastAsia="Palatino Linotype" w:hAnsi="Palatino Linotype" w:cs="Palatino Linotype"/>
          <w:i/>
          <w:iCs/>
          <w:vertAlign w:val="superscript"/>
        </w:rPr>
        <w:footnoteReference w:id="4"/>
      </w:r>
      <w:r>
        <w:rPr>
          <w:rFonts w:ascii="Palatino Linotype" w:eastAsia="Palatino Linotype" w:hAnsi="Palatino Linotype" w:cs="Palatino Linotype"/>
          <w:color w:val="000000"/>
        </w:rPr>
        <w:t>que permite</w:t>
      </w:r>
      <w:r>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p>
    <w:p w:rsidR="00F3396F" w:rsidRDefault="00F3396F">
      <w:pPr>
        <w:spacing w:line="360" w:lineRule="auto"/>
        <w:ind w:right="-1417"/>
        <w:jc w:val="both"/>
        <w:rPr>
          <w:rFonts w:ascii="Palatino Linotype" w:eastAsia="Palatino Linotype" w:hAnsi="Palatino Linotype" w:cs="Palatino Linotype"/>
        </w:rPr>
      </w:pPr>
    </w:p>
    <w:p w:rsidR="00F3396F" w:rsidRDefault="00F71AB8">
      <w:pPr>
        <w:numPr>
          <w:ilvl w:val="0"/>
          <w:numId w:val="6"/>
        </w:numPr>
        <w:pBdr>
          <w:top w:val="nil"/>
          <w:left w:val="nil"/>
          <w:bottom w:val="nil"/>
          <w:right w:val="nil"/>
          <w:between w:val="nil"/>
        </w:pBdr>
        <w:tabs>
          <w:tab w:val="left" w:pos="0"/>
        </w:tabs>
        <w:spacing w:line="360" w:lineRule="auto"/>
        <w:ind w:left="0" w:right="-1417" w:firstLine="0"/>
        <w:jc w:val="both"/>
        <w:rPr>
          <w:rFonts w:ascii="Palatino Linotype" w:eastAsia="Palatino Linotype" w:hAnsi="Palatino Linotype" w:cs="Palatino Linotype"/>
        </w:rPr>
      </w:pPr>
      <w:r>
        <w:rPr>
          <w:rFonts w:ascii="Palatino Linotype" w:eastAsia="Palatino Linotype" w:hAnsi="Palatino Linotype" w:cs="Palatino Linotype"/>
        </w:rPr>
        <w:t>En México, además de los derechos, están reconocidas las garantías para su protección, en ese sentido el párrafo tercero de artículo primero de la Constitución Política de los Estados Unidos Mexicanos dispone lo siguiente:</w:t>
      </w:r>
    </w:p>
    <w:p w:rsidR="00F3396F" w:rsidRDefault="00F71AB8">
      <w:pPr>
        <w:ind w:left="1134" w:right="-1417"/>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w:t>
      </w:r>
      <w:r>
        <w:rPr>
          <w:rFonts w:ascii="Palatino Linotype" w:eastAsia="Palatino Linotype" w:hAnsi="Palatino Linotype" w:cs="Palatino Linotype"/>
          <w:i/>
          <w:iCs/>
        </w:rPr>
        <w:t xml:space="preserve"> </w:t>
      </w:r>
    </w:p>
    <w:p w:rsidR="00F3396F" w:rsidRDefault="00F71AB8">
      <w:pPr>
        <w:ind w:left="1134" w:right="-1417"/>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F3396F" w:rsidRDefault="00F71AB8">
      <w:pPr>
        <w:ind w:left="1134" w:right="-1417"/>
        <w:jc w:val="both"/>
        <w:rPr>
          <w:rFonts w:ascii="Palatino Linotype" w:eastAsia="Palatino Linotype" w:hAnsi="Palatino Linotype" w:cs="Palatino Linotype"/>
          <w:i/>
          <w:iCs/>
        </w:rPr>
      </w:pPr>
      <w:r>
        <w:rPr>
          <w:rFonts w:ascii="Palatino Linotype" w:eastAsia="Palatino Linotype" w:hAnsi="Palatino Linotype" w:cs="Palatino Linotype"/>
          <w:i/>
          <w:iCs/>
        </w:rPr>
        <w:t>Todas las</w:t>
      </w:r>
      <w:r>
        <w:rPr>
          <w:rFonts w:ascii="Palatino Linotype" w:eastAsia="Palatino Linotype" w:hAnsi="Palatino Linotype" w:cs="Palatino Linotype"/>
        </w:rPr>
        <w:t xml:space="preserve"> </w:t>
      </w:r>
      <w:r>
        <w:rPr>
          <w:rFonts w:ascii="Palatino Linotype" w:eastAsia="Palatino Linotype" w:hAnsi="Palatino Linotype" w:cs="Palatino Linotype"/>
          <w:i/>
          <w:iCs/>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rsidR="00F3396F" w:rsidRDefault="00F71AB8">
      <w:pPr>
        <w:ind w:left="1134" w:right="-1417"/>
        <w:jc w:val="both"/>
        <w:rPr>
          <w:rFonts w:ascii="Palatino Linotype" w:eastAsia="Palatino Linotype" w:hAnsi="Palatino Linotype" w:cs="Palatino Linotype"/>
        </w:rPr>
      </w:pPr>
      <w:r>
        <w:rPr>
          <w:rFonts w:ascii="Palatino Linotype" w:eastAsia="Palatino Linotype" w:hAnsi="Palatino Linotype" w:cs="Palatino Linotype"/>
          <w:i/>
          <w:iCs/>
        </w:rPr>
        <w:lastRenderedPageBreak/>
        <w:t>(…)</w:t>
      </w:r>
      <w:r>
        <w:rPr>
          <w:rFonts w:ascii="Palatino Linotype" w:eastAsia="Palatino Linotype" w:hAnsi="Palatino Linotype" w:cs="Palatino Linotype"/>
        </w:rPr>
        <w:t>”.</w:t>
      </w:r>
    </w:p>
    <w:p w:rsidR="00F3396F" w:rsidRDefault="00F3396F">
      <w:pPr>
        <w:ind w:right="-1417"/>
        <w:jc w:val="both"/>
        <w:rPr>
          <w:rFonts w:ascii="Palatino Linotype" w:eastAsia="Palatino Linotype" w:hAnsi="Palatino Linotype" w:cs="Palatino Linotype"/>
          <w:b/>
          <w:bCs/>
        </w:rPr>
      </w:pPr>
    </w:p>
    <w:p w:rsidR="00F3396F" w:rsidRDefault="00F71AB8">
      <w:pPr>
        <w:numPr>
          <w:ilvl w:val="0"/>
          <w:numId w:val="6"/>
        </w:numPr>
        <w:pBdr>
          <w:top w:val="nil"/>
          <w:left w:val="nil"/>
          <w:bottom w:val="nil"/>
          <w:right w:val="nil"/>
          <w:between w:val="nil"/>
        </w:pBdr>
        <w:tabs>
          <w:tab w:val="left" w:pos="0"/>
        </w:tabs>
        <w:spacing w:line="360" w:lineRule="auto"/>
        <w:ind w:left="0" w:right="-1417" w:firstLine="0"/>
        <w:jc w:val="both"/>
        <w:rPr>
          <w:rFonts w:ascii="Palatino Linotype" w:eastAsia="Palatino Linotype" w:hAnsi="Palatino Linotype" w:cs="Palatino Linotype"/>
        </w:rPr>
      </w:pPr>
      <w:r>
        <w:rPr>
          <w:rFonts w:ascii="Palatino Linotype" w:eastAsia="Palatino Linotype" w:hAnsi="Palatino Linotype" w:cs="Palatino Linotype"/>
        </w:rPr>
        <w:t>Por 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rsidR="00F3396F" w:rsidRDefault="00F3396F">
      <w:pPr>
        <w:spacing w:line="360" w:lineRule="auto"/>
        <w:ind w:right="-1417"/>
        <w:jc w:val="both"/>
        <w:rPr>
          <w:rFonts w:ascii="Palatino Linotype" w:eastAsia="Palatino Linotype" w:hAnsi="Palatino Linotype" w:cs="Palatino Linotype"/>
        </w:rPr>
      </w:pPr>
    </w:p>
    <w:p w:rsidR="00F3396F" w:rsidRDefault="00F71AB8">
      <w:pPr>
        <w:numPr>
          <w:ilvl w:val="0"/>
          <w:numId w:val="6"/>
        </w:numPr>
        <w:pBdr>
          <w:top w:val="nil"/>
          <w:left w:val="nil"/>
          <w:bottom w:val="nil"/>
          <w:right w:val="nil"/>
          <w:between w:val="nil"/>
        </w:pBdr>
        <w:tabs>
          <w:tab w:val="left" w:pos="0"/>
        </w:tabs>
        <w:spacing w:line="360" w:lineRule="auto"/>
        <w:ind w:left="0" w:right="-1417" w:firstLine="0"/>
        <w:jc w:val="both"/>
        <w:rPr>
          <w:rFonts w:ascii="Palatino Linotype" w:eastAsia="Palatino Linotype" w:hAnsi="Palatino Linotype" w:cs="Palatino Linotype"/>
        </w:rPr>
      </w:pPr>
      <w:r>
        <w:rPr>
          <w:rFonts w:ascii="Palatino Linotype" w:eastAsia="Palatino Linotype" w:hAnsi="Palatino Linotype" w:cs="Palatino Linotype"/>
        </w:rPr>
        <w:t>Así, 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rsidR="00F3396F" w:rsidRDefault="00F71AB8">
      <w:pPr>
        <w:spacing w:after="240"/>
        <w:ind w:left="1134" w:right="-1417"/>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Constitución Política de los Estados Unidos Mexicanos</w:t>
      </w:r>
    </w:p>
    <w:p w:rsidR="00F3396F" w:rsidRDefault="00F71AB8">
      <w:pPr>
        <w:spacing w:before="240" w:after="240"/>
        <w:ind w:left="1134" w:right="-1417"/>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“Artículo 6.</w:t>
      </w:r>
    </w:p>
    <w:p w:rsidR="00F3396F" w:rsidRDefault="00F71AB8">
      <w:pPr>
        <w:spacing w:before="240" w:after="240"/>
        <w:ind w:left="1134" w:right="-1417"/>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F3396F" w:rsidRDefault="00F71AB8">
      <w:pPr>
        <w:spacing w:before="240" w:after="240"/>
        <w:ind w:left="1134" w:right="-1417"/>
        <w:jc w:val="both"/>
        <w:rPr>
          <w:rFonts w:ascii="Palatino Linotype" w:eastAsia="Palatino Linotype" w:hAnsi="Palatino Linotype" w:cs="Palatino Linotype"/>
          <w:i/>
          <w:iCs/>
        </w:rPr>
      </w:pPr>
      <w:r>
        <w:rPr>
          <w:rFonts w:ascii="Palatino Linotype" w:eastAsia="Palatino Linotype" w:hAnsi="Palatino Linotype" w:cs="Palatino Linotype"/>
          <w:i/>
          <w:iCs/>
        </w:rPr>
        <w:t>Para efectos de lo dispuesto en el presente artículo se observará lo siguiente:</w:t>
      </w:r>
    </w:p>
    <w:p w:rsidR="00F3396F" w:rsidRDefault="00F71AB8">
      <w:pPr>
        <w:spacing w:before="240" w:after="240"/>
        <w:ind w:left="1134" w:right="-1417"/>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A</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Para el ejercicio del derecho de acceso a la información</w:t>
      </w:r>
      <w:r>
        <w:rPr>
          <w:rFonts w:ascii="Palatino Linotype" w:eastAsia="Palatino Linotype" w:hAnsi="Palatino Linotype" w:cs="Palatino Linotype"/>
          <w:i/>
          <w:iCs/>
        </w:rPr>
        <w:t xml:space="preserve">, la Federación y </w:t>
      </w:r>
      <w:r>
        <w:rPr>
          <w:rFonts w:ascii="Palatino Linotype" w:eastAsia="Palatino Linotype" w:hAnsi="Palatino Linotype" w:cs="Palatino Linotype"/>
          <w:b/>
          <w:bCs/>
          <w:i/>
          <w:iCs/>
        </w:rPr>
        <w:t>las entidades federativas, en el ámbito de sus respectivas competencias, se regirán por los siguientes principios y bases:</w:t>
      </w:r>
    </w:p>
    <w:p w:rsidR="00F3396F" w:rsidRDefault="00F71AB8">
      <w:pPr>
        <w:spacing w:before="240" w:after="240"/>
        <w:ind w:left="1134" w:right="-1417"/>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I. </w:t>
      </w:r>
      <w:r>
        <w:rPr>
          <w:rFonts w:ascii="Palatino Linotype" w:eastAsia="Palatino Linotype" w:hAnsi="Palatino Linotype" w:cs="Palatino Linotype"/>
          <w:b/>
          <w:bCs/>
          <w:i/>
          <w:iCs/>
        </w:rPr>
        <w:tab/>
        <w:t>Toda la información en posesión de cualquier</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autoridad</w:t>
      </w:r>
      <w:r>
        <w:rPr>
          <w:rFonts w:ascii="Palatino Linotype" w:eastAsia="Palatino Linotype" w:hAnsi="Palatino Linotype" w:cs="Palatino Linotype"/>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Pr>
          <w:rFonts w:ascii="Palatino Linotype" w:eastAsia="Palatino Linotype" w:hAnsi="Palatino Linotype" w:cs="Palatino Linotype"/>
          <w:b/>
          <w:bCs/>
          <w:i/>
          <w:iCs/>
        </w:rPr>
        <w:t>municipal</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es pública</w:t>
      </w:r>
      <w:r>
        <w:rPr>
          <w:rFonts w:ascii="Palatino Linotype" w:eastAsia="Palatino Linotype" w:hAnsi="Palatino Linotype" w:cs="Palatino Linotype"/>
          <w:i/>
          <w:iCs/>
        </w:rPr>
        <w:t xml:space="preserve"> y sólo podrá ser reservada temporalmente por razones de interés público y seguridad nacional, en los términos que fijen las leyes. </w:t>
      </w:r>
      <w:r>
        <w:rPr>
          <w:rFonts w:ascii="Palatino Linotype" w:eastAsia="Palatino Linotype" w:hAnsi="Palatino Linotype" w:cs="Palatino Linotype"/>
          <w:b/>
          <w:bCs/>
          <w:i/>
          <w:iCs/>
        </w:rPr>
        <w:t xml:space="preserve">En la interpretación de este derecho deberá prevalecer el principio de máxima </w:t>
      </w:r>
      <w:r>
        <w:rPr>
          <w:rFonts w:ascii="Palatino Linotype" w:eastAsia="Palatino Linotype" w:hAnsi="Palatino Linotype" w:cs="Palatino Linotype"/>
          <w:b/>
          <w:bCs/>
          <w:i/>
          <w:iCs/>
        </w:rPr>
        <w:lastRenderedPageBreak/>
        <w:t>publicidad. Los sujetos obligados deberán documentar todo acto que derive del ejercicio de sus facultades, competencias o funciones</w:t>
      </w:r>
      <w:r>
        <w:rPr>
          <w:rFonts w:ascii="Palatino Linotype" w:eastAsia="Palatino Linotype" w:hAnsi="Palatino Linotype" w:cs="Palatino Linotype"/>
          <w:i/>
          <w:iCs/>
        </w:rPr>
        <w:t>, la ley determinará los supuestos específicos bajo los cuales procederá la declaración de inexistencia de la información.”</w:t>
      </w:r>
    </w:p>
    <w:p w:rsidR="00F3396F" w:rsidRDefault="00F3396F">
      <w:pPr>
        <w:pBdr>
          <w:top w:val="nil"/>
          <w:left w:val="nil"/>
          <w:bottom w:val="nil"/>
          <w:right w:val="nil"/>
          <w:between w:val="nil"/>
        </w:pBdr>
        <w:tabs>
          <w:tab w:val="left" w:pos="567"/>
        </w:tabs>
        <w:spacing w:before="240" w:after="240"/>
        <w:ind w:left="1134" w:right="-1417"/>
        <w:jc w:val="both"/>
        <w:rPr>
          <w:rFonts w:ascii="Palatino Linotype" w:eastAsia="Palatino Linotype" w:hAnsi="Palatino Linotype" w:cs="Palatino Linotype"/>
          <w:b/>
          <w:bCs/>
          <w:i/>
          <w:iCs/>
          <w:color w:val="000000"/>
        </w:rPr>
      </w:pPr>
    </w:p>
    <w:p w:rsidR="00F3396F" w:rsidRDefault="00F71AB8">
      <w:pPr>
        <w:spacing w:before="240" w:after="240"/>
        <w:ind w:left="1134" w:right="-1417"/>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Constitución Política del Estado Libre y Soberano de México</w:t>
      </w:r>
    </w:p>
    <w:p w:rsidR="00F3396F" w:rsidRDefault="00F71AB8">
      <w:pPr>
        <w:spacing w:before="240" w:after="240"/>
        <w:ind w:left="1134" w:right="-1417"/>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5</w:t>
      </w:r>
      <w:r>
        <w:rPr>
          <w:rFonts w:ascii="Palatino Linotype" w:eastAsia="Palatino Linotype" w:hAnsi="Palatino Linotype" w:cs="Palatino Linotype"/>
          <w:i/>
          <w:iCs/>
        </w:rPr>
        <w:t xml:space="preserve">.- </w:t>
      </w:r>
    </w:p>
    <w:p w:rsidR="00F3396F" w:rsidRDefault="00F71AB8">
      <w:pPr>
        <w:spacing w:before="240" w:after="240"/>
        <w:ind w:left="1134" w:right="-1417"/>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F3396F" w:rsidRDefault="00F71AB8">
      <w:pPr>
        <w:spacing w:before="240" w:after="240"/>
        <w:ind w:left="1134" w:right="-1417"/>
        <w:jc w:val="both"/>
        <w:rPr>
          <w:rFonts w:ascii="Palatino Linotype" w:eastAsia="Palatino Linotype" w:hAnsi="Palatino Linotype" w:cs="Palatino Linotype"/>
          <w:i/>
          <w:iCs/>
        </w:rPr>
      </w:pPr>
      <w:r>
        <w:rPr>
          <w:rFonts w:ascii="Palatino Linotype" w:eastAsia="Palatino Linotype" w:hAnsi="Palatino Linotype" w:cs="Palatino Linotype"/>
          <w:b/>
          <w:bCs/>
          <w:i/>
          <w:iCs/>
        </w:rPr>
        <w:t>El derecho a la información será garantizado por el Estado. La ley establecerá las previsiones que permitan asegurar la protección, el respeto y la difusión de este derecho</w:t>
      </w:r>
      <w:r>
        <w:rPr>
          <w:rFonts w:ascii="Palatino Linotype" w:eastAsia="Palatino Linotype" w:hAnsi="Palatino Linotype" w:cs="Palatino Linotype"/>
          <w:i/>
          <w:iCs/>
        </w:rPr>
        <w:t>.</w:t>
      </w:r>
    </w:p>
    <w:p w:rsidR="00F3396F" w:rsidRDefault="00F71AB8">
      <w:pPr>
        <w:spacing w:before="240" w:after="240"/>
        <w:ind w:left="1134" w:right="-1417"/>
        <w:jc w:val="both"/>
        <w:rPr>
          <w:rFonts w:ascii="Palatino Linotype" w:eastAsia="Palatino Linotype" w:hAnsi="Palatino Linotype" w:cs="Palatino Linotype"/>
          <w:i/>
          <w:iCs/>
        </w:rPr>
      </w:pPr>
      <w:r>
        <w:rPr>
          <w:rFonts w:ascii="Palatino Linotype" w:eastAsia="Palatino Linotype" w:hAnsi="Palatino Linotype" w:cs="Palatino Linotype"/>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F3396F" w:rsidRDefault="00F71AB8">
      <w:pPr>
        <w:spacing w:before="240" w:after="240"/>
        <w:ind w:left="1134" w:right="-1417"/>
        <w:jc w:val="both"/>
        <w:rPr>
          <w:rFonts w:ascii="Palatino Linotype" w:eastAsia="Palatino Linotype" w:hAnsi="Palatino Linotype" w:cs="Palatino Linotype"/>
          <w:i/>
          <w:iCs/>
        </w:rPr>
      </w:pPr>
      <w:r>
        <w:rPr>
          <w:rFonts w:ascii="Palatino Linotype" w:eastAsia="Palatino Linotype" w:hAnsi="Palatino Linotype" w:cs="Palatino Linotype"/>
          <w:b/>
          <w:bCs/>
          <w:i/>
          <w:iCs/>
        </w:rPr>
        <w:t>Este derecho se regirá por los principios y bases siguientes</w:t>
      </w:r>
      <w:r>
        <w:rPr>
          <w:rFonts w:ascii="Palatino Linotype" w:eastAsia="Palatino Linotype" w:hAnsi="Palatino Linotype" w:cs="Palatino Linotype"/>
          <w:i/>
          <w:iCs/>
        </w:rPr>
        <w:t>:</w:t>
      </w:r>
    </w:p>
    <w:p w:rsidR="00F3396F" w:rsidRDefault="00F71AB8">
      <w:pPr>
        <w:spacing w:before="240" w:after="240"/>
        <w:ind w:left="1134" w:right="-1417"/>
        <w:jc w:val="both"/>
        <w:rPr>
          <w:rFonts w:ascii="Palatino Linotype" w:eastAsia="Palatino Linotype" w:hAnsi="Palatino Linotype" w:cs="Palatino Linotype"/>
          <w:i/>
          <w:iCs/>
        </w:rPr>
      </w:pPr>
      <w:r>
        <w:rPr>
          <w:rFonts w:ascii="Palatino Linotype" w:eastAsia="Palatino Linotype" w:hAnsi="Palatino Linotype" w:cs="Palatino Linotype"/>
          <w:b/>
          <w:bCs/>
          <w:i/>
          <w:iCs/>
        </w:rPr>
        <w:t>I. Toda la información en posesión de cualquier autoridad, entidad, órgano y organismos de los</w:t>
      </w:r>
      <w:r>
        <w:rPr>
          <w:rFonts w:ascii="Palatino Linotype" w:eastAsia="Palatino Linotype" w:hAnsi="Palatino Linotype" w:cs="Palatino Linotype"/>
          <w:i/>
          <w:iCs/>
        </w:rPr>
        <w:t xml:space="preserve"> Poderes Ejecutivo, Legislativo y Judicial, órganos autónomos, partidos políticos, fideicomisos y fondos públicos estatales y </w:t>
      </w:r>
      <w:r>
        <w:rPr>
          <w:rFonts w:ascii="Palatino Linotype" w:eastAsia="Palatino Linotype" w:hAnsi="Palatino Linotype" w:cs="Palatino Linotype"/>
          <w:b/>
          <w:bCs/>
          <w:i/>
          <w:iCs/>
        </w:rPr>
        <w:t>municipales</w:t>
      </w:r>
      <w:r>
        <w:rPr>
          <w:rFonts w:ascii="Palatino Linotype" w:eastAsia="Palatino Linotype" w:hAnsi="Palatino Linotype" w:cs="Palatino Linotype"/>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Pr>
          <w:rFonts w:ascii="Palatino Linotype" w:eastAsia="Palatino Linotype" w:hAnsi="Palatino Linotype" w:cs="Palatino Linotype"/>
          <w:b/>
          <w:bCs/>
          <w:i/>
          <w:iCs/>
        </w:rPr>
        <w:t>es pública</w:t>
      </w:r>
      <w:r>
        <w:rPr>
          <w:rFonts w:ascii="Palatino Linotype" w:eastAsia="Palatino Linotype" w:hAnsi="Palatino Linotype" w:cs="Palatino Linotype"/>
          <w:i/>
          <w:iCs/>
        </w:rPr>
        <w:t xml:space="preserve"> y sólo podrá ser reservada temporalmente por razones previstas en la Constitución Política de los Estados Unidos Mexicanos de interés público y seguridad, en los términos que fijen las leyes. </w:t>
      </w:r>
      <w:r>
        <w:rPr>
          <w:rFonts w:ascii="Palatino Linotype" w:eastAsia="Palatino Linotype" w:hAnsi="Palatino Linotype" w:cs="Palatino Linotype"/>
          <w:b/>
          <w:bCs/>
          <w:i/>
          <w:iCs/>
        </w:rPr>
        <w:t>En la interpretación de este derecho deberá prevalecer el principio de máxima publicidad</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Los sujetos obligados deberán documentar todo acto que derive del ejercicio de sus facultades, competencias o funciones</w:t>
      </w:r>
      <w:r>
        <w:rPr>
          <w:rFonts w:ascii="Palatino Linotype" w:eastAsia="Palatino Linotype" w:hAnsi="Palatino Linotype" w:cs="Palatino Linotype"/>
          <w:i/>
          <w:iCs/>
        </w:rPr>
        <w:t>, la ley determinará los supuestos específicos bajo los cuales procederá la declaración de inexistencia de la información.”</w:t>
      </w:r>
    </w:p>
    <w:p w:rsidR="00F3396F" w:rsidRDefault="00F71AB8">
      <w:pPr>
        <w:numPr>
          <w:ilvl w:val="0"/>
          <w:numId w:val="6"/>
        </w:numPr>
        <w:pBdr>
          <w:top w:val="nil"/>
          <w:left w:val="nil"/>
          <w:bottom w:val="nil"/>
          <w:right w:val="nil"/>
          <w:between w:val="nil"/>
        </w:pBdr>
        <w:tabs>
          <w:tab w:val="left" w:pos="0"/>
        </w:tabs>
        <w:spacing w:line="360" w:lineRule="auto"/>
        <w:ind w:left="0" w:right="-1417"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Según el artículo 150 de la Ley de Transparencia del Estado, la solicitud es la garantía primaria del Derecho de Acceso a la Información, además, establece que se regirá </w:t>
      </w:r>
      <w:r>
        <w:rPr>
          <w:rFonts w:ascii="Palatino Linotype" w:eastAsia="Palatino Linotype" w:hAnsi="Palatino Linotype" w:cs="Palatino Linotype"/>
          <w:i/>
          <w:iCs/>
        </w:rPr>
        <w:t>por los principios de simplicidad, rapidez gratuidad del procedimiento, auxilio y orientación a los particulares</w:t>
      </w:r>
      <w:r>
        <w:rPr>
          <w:rFonts w:ascii="Palatino Linotype" w:eastAsia="Palatino Linotype" w:hAnsi="Palatino Linotype" w:cs="Palatino Linotype"/>
        </w:rPr>
        <w:t>, contemplando el derecho de las personas con discapacidad y hablantes de lengua indígena.</w:t>
      </w:r>
    </w:p>
    <w:p w:rsidR="00F3396F" w:rsidRDefault="00F3396F">
      <w:pPr>
        <w:spacing w:line="360" w:lineRule="auto"/>
        <w:ind w:right="-1417"/>
        <w:jc w:val="both"/>
        <w:rPr>
          <w:rFonts w:ascii="Palatino Linotype" w:eastAsia="Palatino Linotype" w:hAnsi="Palatino Linotype" w:cs="Palatino Linotype"/>
        </w:rPr>
      </w:pPr>
    </w:p>
    <w:p w:rsidR="00F3396F" w:rsidRDefault="00F71AB8">
      <w:pPr>
        <w:numPr>
          <w:ilvl w:val="0"/>
          <w:numId w:val="6"/>
        </w:numPr>
        <w:pBdr>
          <w:top w:val="nil"/>
          <w:left w:val="nil"/>
          <w:bottom w:val="nil"/>
          <w:right w:val="nil"/>
          <w:between w:val="nil"/>
        </w:pBdr>
        <w:tabs>
          <w:tab w:val="left" w:pos="0"/>
        </w:tabs>
        <w:spacing w:line="360" w:lineRule="auto"/>
        <w:ind w:left="0" w:right="-141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El Derecho de Acceso a la Información se garantiza y respeta oportunamente, y según lo que dispone la Ley, las </w:t>
      </w:r>
      <w:r>
        <w:rPr>
          <w:rFonts w:ascii="Palatino Linotype" w:eastAsia="Palatino Linotype" w:hAnsi="Palatino Linotype" w:cs="Palatino Linotype"/>
          <w:i/>
          <w:iCs/>
        </w:rPr>
        <w:t>solicitudes de acceso a la información</w:t>
      </w:r>
      <w:r>
        <w:rPr>
          <w:rFonts w:ascii="Palatino Linotype" w:eastAsia="Palatino Linotype" w:hAnsi="Palatino Linotype" w:cs="Palatino Linotype"/>
        </w:rPr>
        <w:t>.</w:t>
      </w:r>
    </w:p>
    <w:p w:rsidR="00F3396F" w:rsidRDefault="00F3396F">
      <w:pPr>
        <w:spacing w:line="360" w:lineRule="auto"/>
        <w:ind w:right="-1417"/>
        <w:jc w:val="both"/>
        <w:rPr>
          <w:rFonts w:ascii="Palatino Linotype" w:eastAsia="Palatino Linotype" w:hAnsi="Palatino Linotype" w:cs="Palatino Linotype"/>
        </w:rPr>
      </w:pPr>
    </w:p>
    <w:p w:rsidR="00F3396F" w:rsidRDefault="00F71AB8">
      <w:pPr>
        <w:numPr>
          <w:ilvl w:val="0"/>
          <w:numId w:val="6"/>
        </w:numPr>
        <w:pBdr>
          <w:top w:val="nil"/>
          <w:left w:val="nil"/>
          <w:bottom w:val="nil"/>
          <w:right w:val="nil"/>
          <w:between w:val="nil"/>
        </w:pBdr>
        <w:tabs>
          <w:tab w:val="left" w:pos="0"/>
        </w:tabs>
        <w:spacing w:line="360" w:lineRule="auto"/>
        <w:ind w:left="0" w:right="-1417" w:firstLine="0"/>
        <w:jc w:val="both"/>
        <w:rPr>
          <w:rFonts w:ascii="Palatino Linotype" w:eastAsia="Palatino Linotype" w:hAnsi="Palatino Linotype" w:cs="Palatino Linotype"/>
        </w:rPr>
      </w:pPr>
      <w:bookmarkStart w:id="6" w:name="_heading=h.3rdcrjn" w:colFirst="0" w:colLast="0"/>
      <w:bookmarkEnd w:id="6"/>
      <w:r>
        <w:rPr>
          <w:rFonts w:ascii="Palatino Linotype" w:eastAsia="Palatino Linotype" w:hAnsi="Palatino Linotype" w:cs="Palatino Linotype"/>
        </w:rPr>
        <w:t xml:space="preserve">Así entonces, se procede analizar, en primer lugar, si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rsidR="00F3396F" w:rsidRDefault="00F3396F">
      <w:pPr>
        <w:spacing w:line="360" w:lineRule="auto"/>
        <w:ind w:right="-1417"/>
        <w:jc w:val="both"/>
        <w:rPr>
          <w:rFonts w:ascii="Palatino Linotype" w:eastAsia="Palatino Linotype" w:hAnsi="Palatino Linotype" w:cs="Palatino Linotype"/>
        </w:rPr>
      </w:pPr>
    </w:p>
    <w:p w:rsidR="00F3396F" w:rsidRDefault="00F71AB8">
      <w:pPr>
        <w:pStyle w:val="Ttulo1"/>
        <w:spacing w:before="0" w:after="240" w:line="360" w:lineRule="auto"/>
        <w:ind w:right="-1417"/>
        <w:rPr>
          <w:rFonts w:ascii="Palatino Linotype" w:eastAsia="Palatino Linotype" w:hAnsi="Palatino Linotype" w:cs="Palatino Linotype"/>
          <w:b/>
          <w:bCs/>
          <w:color w:val="000000"/>
          <w:sz w:val="24"/>
          <w:szCs w:val="24"/>
        </w:rPr>
      </w:pPr>
      <w:bookmarkStart w:id="7" w:name="_heading=h.26in1rg" w:colFirst="0" w:colLast="0"/>
      <w:bookmarkEnd w:id="7"/>
      <w:r>
        <w:rPr>
          <w:rFonts w:ascii="Palatino Linotype" w:eastAsia="Palatino Linotype" w:hAnsi="Palatino Linotype" w:cs="Palatino Linotype"/>
          <w:b/>
          <w:bCs/>
          <w:color w:val="000000"/>
          <w:sz w:val="24"/>
          <w:szCs w:val="24"/>
        </w:rPr>
        <w:t>II. De la información solicitada y la respuesta del SUJETO OBLIGADO</w:t>
      </w:r>
    </w:p>
    <w:p w:rsidR="00F3396F" w:rsidRDefault="00F71AB8">
      <w:pPr>
        <w:numPr>
          <w:ilvl w:val="0"/>
          <w:numId w:val="6"/>
        </w:numPr>
        <w:pBdr>
          <w:top w:val="nil"/>
          <w:left w:val="nil"/>
          <w:bottom w:val="nil"/>
          <w:right w:val="nil"/>
          <w:between w:val="nil"/>
        </w:pBdr>
        <w:tabs>
          <w:tab w:val="left" w:pos="0"/>
        </w:tabs>
        <w:spacing w:line="360" w:lineRule="auto"/>
        <w:ind w:left="0" w:right="-1417" w:firstLine="0"/>
        <w:jc w:val="both"/>
        <w:rPr>
          <w:rFonts w:ascii="Palatino Linotype" w:eastAsia="Palatino Linotype" w:hAnsi="Palatino Linotype" w:cs="Palatino Linotype"/>
        </w:rPr>
      </w:pPr>
      <w:r>
        <w:rPr>
          <w:rFonts w:ascii="Palatino Linotype" w:eastAsia="Palatino Linotype" w:hAnsi="Palatino Linotype" w:cs="Palatino Linotype"/>
        </w:rPr>
        <w:t>Acotada</w:t>
      </w:r>
      <w:r>
        <w:rPr>
          <w:rFonts w:ascii="Palatino Linotype" w:eastAsia="Palatino Linotype" w:hAnsi="Palatino Linotype" w:cs="Palatino Linotype"/>
          <w:color w:val="000000"/>
        </w:rPr>
        <w:t xml:space="preserve"> la </w:t>
      </w:r>
      <w:r>
        <w:rPr>
          <w:rFonts w:ascii="Palatino Linotype" w:eastAsia="Palatino Linotype" w:hAnsi="Palatino Linotype" w:cs="Palatino Linotype"/>
          <w:i/>
          <w:iCs/>
          <w:color w:val="000000"/>
        </w:rPr>
        <w:t>Litis</w:t>
      </w:r>
      <w:r>
        <w:rPr>
          <w:rFonts w:ascii="Palatino Linotype" w:eastAsia="Palatino Linotype" w:hAnsi="Palatino Linotype" w:cs="Palatino Linotype"/>
          <w:color w:val="000000"/>
        </w:rPr>
        <w:t xml:space="preserve"> del presente asunto se debe de analizar mediante el siguiente cuadro si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con la información entregada colma el derecho de acceso a la información del </w:t>
      </w:r>
      <w:r>
        <w:rPr>
          <w:rFonts w:ascii="Palatino Linotype" w:eastAsia="Palatino Linotype" w:hAnsi="Palatino Linotype" w:cs="Palatino Linotype"/>
          <w:b/>
          <w:bCs/>
          <w:color w:val="000000"/>
        </w:rPr>
        <w:t xml:space="preserve">RECURRENTE. </w:t>
      </w:r>
    </w:p>
    <w:p w:rsidR="00F3396F" w:rsidRDefault="00F3396F">
      <w:pPr>
        <w:pBdr>
          <w:top w:val="nil"/>
          <w:left w:val="nil"/>
          <w:bottom w:val="nil"/>
          <w:right w:val="nil"/>
          <w:between w:val="nil"/>
        </w:pBdr>
        <w:tabs>
          <w:tab w:val="left" w:pos="0"/>
        </w:tabs>
        <w:spacing w:line="360" w:lineRule="auto"/>
        <w:ind w:right="-1417"/>
        <w:jc w:val="both"/>
        <w:rPr>
          <w:rFonts w:ascii="Palatino Linotype" w:eastAsia="Palatino Linotype" w:hAnsi="Palatino Linotype" w:cs="Palatino Linotype"/>
        </w:rPr>
      </w:pPr>
    </w:p>
    <w:p w:rsidR="00F3396F" w:rsidRDefault="00F71AB8">
      <w:pPr>
        <w:pBdr>
          <w:top w:val="nil"/>
          <w:left w:val="nil"/>
          <w:bottom w:val="nil"/>
          <w:right w:val="nil"/>
          <w:between w:val="nil"/>
        </w:pBdr>
        <w:ind w:left="-141" w:right="-1417"/>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De la privada localizada en la Manzana 7 Lote 10 en Bosque de las Fuentes, San Andrés Ocotlán, Calimaya.</w:t>
      </w:r>
    </w:p>
    <w:p w:rsidR="00F3396F" w:rsidRDefault="00F3396F">
      <w:pPr>
        <w:spacing w:line="360" w:lineRule="auto"/>
        <w:ind w:right="-1417"/>
        <w:jc w:val="both"/>
        <w:rPr>
          <w:rFonts w:ascii="Palatino Linotype" w:eastAsia="Palatino Linotype" w:hAnsi="Palatino Linotype" w:cs="Palatino Linotype"/>
        </w:rPr>
      </w:pPr>
    </w:p>
    <w:p w:rsidR="00521093" w:rsidRDefault="00521093">
      <w:pPr>
        <w:spacing w:line="360" w:lineRule="auto"/>
        <w:ind w:right="-1417"/>
        <w:jc w:val="both"/>
        <w:rPr>
          <w:rFonts w:ascii="Palatino Linotype" w:eastAsia="Palatino Linotype" w:hAnsi="Palatino Linotype" w:cs="Palatino Linotype"/>
        </w:rPr>
      </w:pPr>
    </w:p>
    <w:tbl>
      <w:tblPr>
        <w:tblStyle w:val="a"/>
        <w:tblW w:w="886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90"/>
        <w:gridCol w:w="2970"/>
        <w:gridCol w:w="3105"/>
      </w:tblGrid>
      <w:tr w:rsidR="00F3396F" w:rsidTr="00521093">
        <w:trPr>
          <w:jc w:val="center"/>
        </w:trPr>
        <w:tc>
          <w:tcPr>
            <w:tcW w:w="2790" w:type="dxa"/>
          </w:tcPr>
          <w:p w:rsidR="00F3396F" w:rsidRDefault="00F71AB8">
            <w:pPr>
              <w:ind w:right="28"/>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lastRenderedPageBreak/>
              <w:t>Información solicitada</w:t>
            </w:r>
          </w:p>
        </w:tc>
        <w:tc>
          <w:tcPr>
            <w:tcW w:w="2970" w:type="dxa"/>
          </w:tcPr>
          <w:p w:rsidR="00F3396F" w:rsidRDefault="00F71AB8">
            <w:pPr>
              <w:ind w:right="28"/>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Respuesta inicial</w:t>
            </w:r>
          </w:p>
        </w:tc>
        <w:tc>
          <w:tcPr>
            <w:tcW w:w="3105" w:type="dxa"/>
          </w:tcPr>
          <w:p w:rsidR="00F3396F" w:rsidRDefault="00F71AB8">
            <w:pPr>
              <w:ind w:right="-81"/>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Colma </w:t>
            </w:r>
          </w:p>
        </w:tc>
      </w:tr>
      <w:tr w:rsidR="00F3396F" w:rsidTr="00521093">
        <w:trPr>
          <w:jc w:val="center"/>
        </w:trPr>
        <w:tc>
          <w:tcPr>
            <w:tcW w:w="2790" w:type="dxa"/>
          </w:tcPr>
          <w:p w:rsidR="00F3396F" w:rsidRDefault="00F71AB8">
            <w:pPr>
              <w:ind w:right="28"/>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1.- Si existe información sobre ampliaciones realizadas en casas al interior de esta privada. </w:t>
            </w:r>
          </w:p>
        </w:tc>
        <w:tc>
          <w:tcPr>
            <w:tcW w:w="2970" w:type="dxa"/>
          </w:tcPr>
          <w:p w:rsidR="00F3396F" w:rsidRDefault="00F71AB8">
            <w:pPr>
              <w:ind w:right="28"/>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CCF_000943.pdf: </w:t>
            </w:r>
            <w:r>
              <w:rPr>
                <w:rFonts w:ascii="Palatino Linotype" w:eastAsia="Palatino Linotype" w:hAnsi="Palatino Linotype" w:cs="Palatino Linotype"/>
                <w:i/>
                <w:iCs/>
              </w:rPr>
              <w:t>oficio de la Directora de Desarrollo Urbano, mediante el cual informa que no cuenta con la información solicitada.</w:t>
            </w:r>
          </w:p>
          <w:p w:rsidR="00F3396F" w:rsidRDefault="00F3396F">
            <w:pPr>
              <w:ind w:right="28"/>
              <w:jc w:val="both"/>
              <w:rPr>
                <w:rFonts w:ascii="Palatino Linotype" w:eastAsia="Palatino Linotype" w:hAnsi="Palatino Linotype" w:cs="Palatino Linotype"/>
                <w:i/>
                <w:iCs/>
              </w:rPr>
            </w:pPr>
          </w:p>
          <w:p w:rsidR="00F3396F" w:rsidRDefault="00F3396F">
            <w:pPr>
              <w:ind w:right="28"/>
              <w:jc w:val="both"/>
              <w:rPr>
                <w:rFonts w:ascii="Palatino Linotype" w:eastAsia="Palatino Linotype" w:hAnsi="Palatino Linotype" w:cs="Palatino Linotype"/>
                <w:i/>
                <w:iCs/>
              </w:rPr>
            </w:pPr>
          </w:p>
        </w:tc>
        <w:tc>
          <w:tcPr>
            <w:tcW w:w="3105" w:type="dxa"/>
          </w:tcPr>
          <w:p w:rsidR="00F3396F" w:rsidRDefault="00F71AB8">
            <w:pPr>
              <w:ind w:right="-8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No Colma, toda vez que el </w:t>
            </w:r>
            <w:r>
              <w:rPr>
                <w:rFonts w:ascii="Palatino Linotype" w:eastAsia="Palatino Linotype" w:hAnsi="Palatino Linotype" w:cs="Palatino Linotype"/>
                <w:b/>
                <w:bCs/>
                <w:i/>
                <w:iCs/>
              </w:rPr>
              <w:t xml:space="preserve">RECURRENTE </w:t>
            </w:r>
            <w:r>
              <w:rPr>
                <w:rFonts w:ascii="Palatino Linotype" w:eastAsia="Palatino Linotype" w:hAnsi="Palatino Linotype" w:cs="Palatino Linotype"/>
                <w:i/>
                <w:iCs/>
              </w:rPr>
              <w:t xml:space="preserve">entrego el  indicio del cual se podría haber obtenido permisos por licencia de construcción.  </w:t>
            </w:r>
          </w:p>
        </w:tc>
      </w:tr>
      <w:tr w:rsidR="00F3396F" w:rsidTr="00521093">
        <w:trPr>
          <w:jc w:val="center"/>
        </w:trPr>
        <w:tc>
          <w:tcPr>
            <w:tcW w:w="2790" w:type="dxa"/>
          </w:tcPr>
          <w:p w:rsidR="00F3396F" w:rsidRDefault="00F71AB8">
            <w:pPr>
              <w:ind w:right="28"/>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2.-Si dichas ampliaciones cuentan con licencia de construcción o autorización municipal, indicando número de licencia, fecha de expedición y vigencia. </w:t>
            </w:r>
          </w:p>
        </w:tc>
        <w:tc>
          <w:tcPr>
            <w:tcW w:w="2970" w:type="dxa"/>
          </w:tcPr>
          <w:p w:rsidR="00F3396F" w:rsidRDefault="00F71AB8">
            <w:pPr>
              <w:ind w:right="28"/>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CCF_000943.pdf: </w:t>
            </w:r>
            <w:r>
              <w:rPr>
                <w:rFonts w:ascii="Palatino Linotype" w:eastAsia="Palatino Linotype" w:hAnsi="Palatino Linotype" w:cs="Palatino Linotype"/>
                <w:i/>
                <w:iCs/>
              </w:rPr>
              <w:t>oficio de la Directora de Desarrollo Urbano, mediante el cual informa que no cuenta con la información solicitada.</w:t>
            </w:r>
          </w:p>
          <w:p w:rsidR="00F3396F" w:rsidRDefault="00F3396F">
            <w:pPr>
              <w:ind w:right="28"/>
              <w:jc w:val="both"/>
              <w:rPr>
                <w:rFonts w:ascii="Palatino Linotype" w:eastAsia="Palatino Linotype" w:hAnsi="Palatino Linotype" w:cs="Palatino Linotype"/>
                <w:i/>
                <w:iCs/>
              </w:rPr>
            </w:pPr>
          </w:p>
          <w:p w:rsidR="00F3396F" w:rsidRDefault="00F3396F">
            <w:pPr>
              <w:ind w:right="28"/>
              <w:jc w:val="both"/>
              <w:rPr>
                <w:rFonts w:ascii="Palatino Linotype" w:eastAsia="Palatino Linotype" w:hAnsi="Palatino Linotype" w:cs="Palatino Linotype"/>
                <w:i/>
                <w:iCs/>
              </w:rPr>
            </w:pPr>
          </w:p>
        </w:tc>
        <w:tc>
          <w:tcPr>
            <w:tcW w:w="3105" w:type="dxa"/>
          </w:tcPr>
          <w:p w:rsidR="00F3396F" w:rsidRDefault="00F71AB8">
            <w:pPr>
              <w:ind w:right="-8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No Colma, toda vez que el </w:t>
            </w:r>
            <w:r>
              <w:rPr>
                <w:rFonts w:ascii="Palatino Linotype" w:eastAsia="Palatino Linotype" w:hAnsi="Palatino Linotype" w:cs="Palatino Linotype"/>
                <w:b/>
                <w:bCs/>
                <w:i/>
                <w:iCs/>
              </w:rPr>
              <w:t xml:space="preserve">RECURRENTE </w:t>
            </w:r>
            <w:r>
              <w:rPr>
                <w:rFonts w:ascii="Palatino Linotype" w:eastAsia="Palatino Linotype" w:hAnsi="Palatino Linotype" w:cs="Palatino Linotype"/>
                <w:i/>
                <w:iCs/>
              </w:rPr>
              <w:t xml:space="preserve">entrego el  indicio del cual se podría haber obtenido permisos por licencia de construcción.  </w:t>
            </w:r>
          </w:p>
        </w:tc>
      </w:tr>
      <w:tr w:rsidR="00F3396F" w:rsidTr="00521093">
        <w:trPr>
          <w:jc w:val="center"/>
        </w:trPr>
        <w:tc>
          <w:tcPr>
            <w:tcW w:w="2790" w:type="dxa"/>
          </w:tcPr>
          <w:p w:rsidR="00F3396F" w:rsidRDefault="00F71AB8">
            <w:pPr>
              <w:ind w:right="28"/>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3.-Si la administración del conjunto urbano hizo del conocimiento de la autoridad municipal las irregularidades detectadas en obras dentro de esta privada. </w:t>
            </w:r>
          </w:p>
        </w:tc>
        <w:tc>
          <w:tcPr>
            <w:tcW w:w="2970" w:type="dxa"/>
          </w:tcPr>
          <w:p w:rsidR="00F3396F" w:rsidRDefault="00F71AB8">
            <w:pPr>
              <w:ind w:right="28"/>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CCF_000943.pdf: </w:t>
            </w:r>
            <w:r>
              <w:rPr>
                <w:rFonts w:ascii="Palatino Linotype" w:eastAsia="Palatino Linotype" w:hAnsi="Palatino Linotype" w:cs="Palatino Linotype"/>
                <w:i/>
                <w:iCs/>
              </w:rPr>
              <w:t>oficio de la Directora de Desarrollo Urbano, mediante el cual informa que no cuenta con la información solicitada.</w:t>
            </w:r>
          </w:p>
          <w:p w:rsidR="00F3396F" w:rsidRDefault="00F3396F">
            <w:pPr>
              <w:ind w:right="28"/>
              <w:jc w:val="both"/>
              <w:rPr>
                <w:rFonts w:ascii="Palatino Linotype" w:eastAsia="Palatino Linotype" w:hAnsi="Palatino Linotype" w:cs="Palatino Linotype"/>
                <w:i/>
                <w:iCs/>
              </w:rPr>
            </w:pPr>
          </w:p>
          <w:p w:rsidR="00F3396F" w:rsidRDefault="00F3396F">
            <w:pPr>
              <w:ind w:right="28"/>
              <w:jc w:val="both"/>
              <w:rPr>
                <w:rFonts w:ascii="Palatino Linotype" w:eastAsia="Palatino Linotype" w:hAnsi="Palatino Linotype" w:cs="Palatino Linotype"/>
                <w:i/>
                <w:iCs/>
              </w:rPr>
            </w:pPr>
          </w:p>
        </w:tc>
        <w:tc>
          <w:tcPr>
            <w:tcW w:w="3105" w:type="dxa"/>
          </w:tcPr>
          <w:p w:rsidR="00F3396F" w:rsidRDefault="00F71AB8">
            <w:pPr>
              <w:ind w:right="-8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No Colma, toda vez que el </w:t>
            </w:r>
            <w:r>
              <w:rPr>
                <w:rFonts w:ascii="Palatino Linotype" w:eastAsia="Palatino Linotype" w:hAnsi="Palatino Linotype" w:cs="Palatino Linotype"/>
                <w:b/>
                <w:bCs/>
                <w:i/>
                <w:iCs/>
              </w:rPr>
              <w:t xml:space="preserve">RECURRENTE </w:t>
            </w:r>
            <w:r>
              <w:rPr>
                <w:rFonts w:ascii="Palatino Linotype" w:eastAsia="Palatino Linotype" w:hAnsi="Palatino Linotype" w:cs="Palatino Linotype"/>
                <w:i/>
                <w:iCs/>
              </w:rPr>
              <w:t xml:space="preserve">entrego el  indicio del cual se podría haber obtenido permisos por licencia de construcción.  </w:t>
            </w:r>
          </w:p>
        </w:tc>
      </w:tr>
      <w:tr w:rsidR="00F3396F" w:rsidTr="00521093">
        <w:trPr>
          <w:jc w:val="center"/>
        </w:trPr>
        <w:tc>
          <w:tcPr>
            <w:tcW w:w="2790" w:type="dxa"/>
          </w:tcPr>
          <w:p w:rsidR="00F3396F" w:rsidRDefault="00F71AB8">
            <w:pPr>
              <w:ind w:right="28"/>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4.- Si la administración emitió algún visto bueno o autorización interna respecto de alguna ampliación en esta privada. </w:t>
            </w:r>
          </w:p>
        </w:tc>
        <w:tc>
          <w:tcPr>
            <w:tcW w:w="2970" w:type="dxa"/>
          </w:tcPr>
          <w:p w:rsidR="00F3396F" w:rsidRDefault="00F71AB8">
            <w:pPr>
              <w:ind w:right="28"/>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CCF_000943.pdf: </w:t>
            </w:r>
            <w:r>
              <w:rPr>
                <w:rFonts w:ascii="Palatino Linotype" w:eastAsia="Palatino Linotype" w:hAnsi="Palatino Linotype" w:cs="Palatino Linotype"/>
                <w:i/>
                <w:iCs/>
              </w:rPr>
              <w:t>oficio de la Directora de Desarrollo Urbano, mediante el cual informa que no cuenta con la información solicitada.</w:t>
            </w:r>
          </w:p>
          <w:p w:rsidR="00F3396F" w:rsidRDefault="00F3396F">
            <w:pPr>
              <w:ind w:right="28"/>
              <w:jc w:val="both"/>
              <w:rPr>
                <w:rFonts w:ascii="Palatino Linotype" w:eastAsia="Palatino Linotype" w:hAnsi="Palatino Linotype" w:cs="Palatino Linotype"/>
                <w:i/>
                <w:iCs/>
              </w:rPr>
            </w:pPr>
          </w:p>
          <w:p w:rsidR="00F3396F" w:rsidRDefault="00F3396F">
            <w:pPr>
              <w:ind w:right="28"/>
              <w:jc w:val="both"/>
              <w:rPr>
                <w:rFonts w:ascii="Palatino Linotype" w:eastAsia="Palatino Linotype" w:hAnsi="Palatino Linotype" w:cs="Palatino Linotype"/>
                <w:i/>
                <w:iCs/>
              </w:rPr>
            </w:pPr>
          </w:p>
        </w:tc>
        <w:tc>
          <w:tcPr>
            <w:tcW w:w="3105" w:type="dxa"/>
          </w:tcPr>
          <w:p w:rsidR="00F3396F" w:rsidRDefault="00F71AB8">
            <w:pPr>
              <w:ind w:right="-8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No Colma, toda vez que el </w:t>
            </w:r>
            <w:r>
              <w:rPr>
                <w:rFonts w:ascii="Palatino Linotype" w:eastAsia="Palatino Linotype" w:hAnsi="Palatino Linotype" w:cs="Palatino Linotype"/>
                <w:b/>
                <w:bCs/>
                <w:i/>
                <w:iCs/>
              </w:rPr>
              <w:t xml:space="preserve">RECURRENTE </w:t>
            </w:r>
            <w:r>
              <w:rPr>
                <w:rFonts w:ascii="Palatino Linotype" w:eastAsia="Palatino Linotype" w:hAnsi="Palatino Linotype" w:cs="Palatino Linotype"/>
                <w:i/>
                <w:iCs/>
              </w:rPr>
              <w:t xml:space="preserve">entrego el  indicio del cual se podría haber obtenido permisos por licencia de construcción.  </w:t>
            </w:r>
          </w:p>
        </w:tc>
      </w:tr>
      <w:tr w:rsidR="00F3396F" w:rsidTr="00521093">
        <w:trPr>
          <w:jc w:val="center"/>
        </w:trPr>
        <w:tc>
          <w:tcPr>
            <w:tcW w:w="2790" w:type="dxa"/>
          </w:tcPr>
          <w:p w:rsidR="00F3396F" w:rsidRDefault="00F71AB8">
            <w:pPr>
              <w:ind w:right="28"/>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5.- En caso de que exista licencia de construcción, solicito </w:t>
            </w:r>
            <w:r>
              <w:rPr>
                <w:rFonts w:ascii="Palatino Linotype" w:eastAsia="Palatino Linotype" w:hAnsi="Palatino Linotype" w:cs="Palatino Linotype"/>
                <w:b/>
                <w:bCs/>
                <w:i/>
                <w:iCs/>
              </w:rPr>
              <w:lastRenderedPageBreak/>
              <w:t xml:space="preserve">copia digital de la información y documentación proporcionada por el solicitante para obtenerla, incluyendo planos, dictámenes técnicos y requisitos cumplidos. </w:t>
            </w:r>
          </w:p>
        </w:tc>
        <w:tc>
          <w:tcPr>
            <w:tcW w:w="2970" w:type="dxa"/>
          </w:tcPr>
          <w:p w:rsidR="00F3396F" w:rsidRDefault="00F71AB8">
            <w:pPr>
              <w:ind w:right="28"/>
              <w:jc w:val="both"/>
              <w:rPr>
                <w:rFonts w:ascii="Palatino Linotype" w:eastAsia="Palatino Linotype" w:hAnsi="Palatino Linotype" w:cs="Palatino Linotype"/>
                <w:i/>
                <w:iCs/>
              </w:rPr>
            </w:pPr>
            <w:r>
              <w:rPr>
                <w:rFonts w:ascii="Palatino Linotype" w:eastAsia="Palatino Linotype" w:hAnsi="Palatino Linotype" w:cs="Palatino Linotype"/>
                <w:b/>
                <w:bCs/>
                <w:i/>
                <w:iCs/>
              </w:rPr>
              <w:lastRenderedPageBreak/>
              <w:t xml:space="preserve">CCF_000943.pdf: </w:t>
            </w:r>
            <w:r>
              <w:rPr>
                <w:rFonts w:ascii="Palatino Linotype" w:eastAsia="Palatino Linotype" w:hAnsi="Palatino Linotype" w:cs="Palatino Linotype"/>
                <w:i/>
                <w:iCs/>
              </w:rPr>
              <w:t xml:space="preserve">oficio de la Directora de Desarrollo Urbano, mediante el cual </w:t>
            </w:r>
            <w:r>
              <w:rPr>
                <w:rFonts w:ascii="Palatino Linotype" w:eastAsia="Palatino Linotype" w:hAnsi="Palatino Linotype" w:cs="Palatino Linotype"/>
                <w:i/>
                <w:iCs/>
              </w:rPr>
              <w:lastRenderedPageBreak/>
              <w:t>informa que no cuenta con la información solicitada.</w:t>
            </w:r>
          </w:p>
          <w:p w:rsidR="00F3396F" w:rsidRDefault="00F3396F">
            <w:pPr>
              <w:ind w:right="28"/>
              <w:jc w:val="both"/>
              <w:rPr>
                <w:rFonts w:ascii="Palatino Linotype" w:eastAsia="Palatino Linotype" w:hAnsi="Palatino Linotype" w:cs="Palatino Linotype"/>
                <w:i/>
                <w:iCs/>
              </w:rPr>
            </w:pPr>
          </w:p>
          <w:p w:rsidR="00F3396F" w:rsidRDefault="00F3396F">
            <w:pPr>
              <w:ind w:right="28"/>
              <w:jc w:val="both"/>
              <w:rPr>
                <w:rFonts w:ascii="Palatino Linotype" w:eastAsia="Palatino Linotype" w:hAnsi="Palatino Linotype" w:cs="Palatino Linotype"/>
                <w:i/>
                <w:iCs/>
              </w:rPr>
            </w:pPr>
          </w:p>
        </w:tc>
        <w:tc>
          <w:tcPr>
            <w:tcW w:w="3105" w:type="dxa"/>
          </w:tcPr>
          <w:p w:rsidR="00F3396F" w:rsidRDefault="00F71AB8">
            <w:pPr>
              <w:ind w:right="-81"/>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 xml:space="preserve">No Colma, toda vez que el </w:t>
            </w:r>
            <w:r>
              <w:rPr>
                <w:rFonts w:ascii="Palatino Linotype" w:eastAsia="Palatino Linotype" w:hAnsi="Palatino Linotype" w:cs="Palatino Linotype"/>
                <w:b/>
                <w:bCs/>
                <w:i/>
                <w:iCs/>
              </w:rPr>
              <w:t xml:space="preserve">RECURRENTE </w:t>
            </w:r>
            <w:r>
              <w:rPr>
                <w:rFonts w:ascii="Palatino Linotype" w:eastAsia="Palatino Linotype" w:hAnsi="Palatino Linotype" w:cs="Palatino Linotype"/>
                <w:i/>
                <w:iCs/>
              </w:rPr>
              <w:t xml:space="preserve">entrego el  indicio del cual se podría haber </w:t>
            </w:r>
            <w:r>
              <w:rPr>
                <w:rFonts w:ascii="Palatino Linotype" w:eastAsia="Palatino Linotype" w:hAnsi="Palatino Linotype" w:cs="Palatino Linotype"/>
                <w:i/>
                <w:iCs/>
              </w:rPr>
              <w:lastRenderedPageBreak/>
              <w:t xml:space="preserve">obtenido permisos por licencia de construcción.  </w:t>
            </w:r>
          </w:p>
        </w:tc>
      </w:tr>
      <w:tr w:rsidR="00F3396F" w:rsidTr="00521093">
        <w:trPr>
          <w:jc w:val="center"/>
        </w:trPr>
        <w:tc>
          <w:tcPr>
            <w:tcW w:w="2790" w:type="dxa"/>
          </w:tcPr>
          <w:p w:rsidR="00F3396F" w:rsidRDefault="00F71AB8">
            <w:pPr>
              <w:ind w:right="28"/>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lastRenderedPageBreak/>
              <w:t>6.- Requiero saber que documentación proporcionaron propietarios que realizaron ampliaciones dentro del conjunto urbano bosque de las fuentes, y que cuenten con licencia de construcción o que han sido regularizadas o están en proceso de serlo, incluyendo copia de las licencias, fecha de expedición y de termino de obra</w:t>
            </w:r>
          </w:p>
        </w:tc>
        <w:tc>
          <w:tcPr>
            <w:tcW w:w="2970" w:type="dxa"/>
          </w:tcPr>
          <w:p w:rsidR="00F3396F" w:rsidRDefault="00F71AB8">
            <w:pPr>
              <w:ind w:right="28"/>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CCF_000943.pdf: </w:t>
            </w:r>
            <w:r>
              <w:rPr>
                <w:rFonts w:ascii="Palatino Linotype" w:eastAsia="Palatino Linotype" w:hAnsi="Palatino Linotype" w:cs="Palatino Linotype"/>
                <w:i/>
                <w:iCs/>
              </w:rPr>
              <w:t>oficio de la Directora de Desarrollo Urbano, mediante el cual informa que no cuenta con la información solicitada.</w:t>
            </w:r>
          </w:p>
          <w:p w:rsidR="00F3396F" w:rsidRDefault="00F3396F">
            <w:pPr>
              <w:ind w:right="28"/>
              <w:jc w:val="both"/>
              <w:rPr>
                <w:rFonts w:ascii="Palatino Linotype" w:eastAsia="Palatino Linotype" w:hAnsi="Palatino Linotype" w:cs="Palatino Linotype"/>
                <w:i/>
                <w:iCs/>
              </w:rPr>
            </w:pPr>
          </w:p>
          <w:p w:rsidR="00F3396F" w:rsidRDefault="00F3396F">
            <w:pPr>
              <w:ind w:right="28"/>
              <w:jc w:val="both"/>
              <w:rPr>
                <w:rFonts w:ascii="Palatino Linotype" w:eastAsia="Palatino Linotype" w:hAnsi="Palatino Linotype" w:cs="Palatino Linotype"/>
                <w:i/>
                <w:iCs/>
              </w:rPr>
            </w:pPr>
          </w:p>
        </w:tc>
        <w:tc>
          <w:tcPr>
            <w:tcW w:w="3105" w:type="dxa"/>
          </w:tcPr>
          <w:p w:rsidR="00F3396F" w:rsidRDefault="00F71AB8">
            <w:pPr>
              <w:ind w:right="-8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No Colma, toda vez que el </w:t>
            </w:r>
            <w:r>
              <w:rPr>
                <w:rFonts w:ascii="Palatino Linotype" w:eastAsia="Palatino Linotype" w:hAnsi="Palatino Linotype" w:cs="Palatino Linotype"/>
                <w:b/>
                <w:bCs/>
                <w:i/>
                <w:iCs/>
              </w:rPr>
              <w:t xml:space="preserve">RECURRENTE </w:t>
            </w:r>
            <w:r>
              <w:rPr>
                <w:rFonts w:ascii="Palatino Linotype" w:eastAsia="Palatino Linotype" w:hAnsi="Palatino Linotype" w:cs="Palatino Linotype"/>
                <w:i/>
                <w:iCs/>
              </w:rPr>
              <w:t xml:space="preserve">entrego el  indicio del cual se podría haber obtenido permisos por licencia de construcción.  </w:t>
            </w:r>
          </w:p>
        </w:tc>
      </w:tr>
    </w:tbl>
    <w:p w:rsidR="00F3396F" w:rsidRDefault="00F3396F">
      <w:pPr>
        <w:spacing w:line="360" w:lineRule="auto"/>
        <w:ind w:right="-1417"/>
        <w:jc w:val="both"/>
        <w:rPr>
          <w:rFonts w:ascii="Palatino Linotype" w:eastAsia="Palatino Linotype" w:hAnsi="Palatino Linotype" w:cs="Palatino Linotype"/>
        </w:rPr>
      </w:pPr>
    </w:p>
    <w:p w:rsidR="00F3396F" w:rsidRDefault="00F71AB8">
      <w:pPr>
        <w:numPr>
          <w:ilvl w:val="0"/>
          <w:numId w:val="6"/>
        </w:numPr>
        <w:pBdr>
          <w:top w:val="nil"/>
          <w:left w:val="nil"/>
          <w:bottom w:val="nil"/>
          <w:right w:val="nil"/>
          <w:between w:val="nil"/>
        </w:pBdr>
        <w:tabs>
          <w:tab w:val="left" w:pos="0"/>
        </w:tabs>
        <w:spacing w:line="360" w:lineRule="auto"/>
        <w:ind w:left="0" w:right="-141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lo anterior, se tiene que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no </w:t>
      </w:r>
      <w:r>
        <w:rPr>
          <w:rFonts w:ascii="Palatino Linotype" w:eastAsia="Palatino Linotype" w:hAnsi="Palatino Linotype" w:cs="Palatino Linotype"/>
        </w:rPr>
        <w:t>colmó</w:t>
      </w:r>
      <w:r>
        <w:rPr>
          <w:rFonts w:ascii="Palatino Linotype" w:eastAsia="Palatino Linotype" w:hAnsi="Palatino Linotype" w:cs="Palatino Linotype"/>
          <w:color w:val="000000"/>
        </w:rPr>
        <w:t xml:space="preserve"> el derecho de acceso a la información, toda vez que informa que no se cuenta con la información solicitada por el </w:t>
      </w:r>
      <w:r>
        <w:rPr>
          <w:rFonts w:ascii="Palatino Linotype" w:eastAsia="Palatino Linotype" w:hAnsi="Palatino Linotype" w:cs="Palatino Linotype"/>
          <w:b/>
          <w:bCs/>
          <w:color w:val="000000"/>
        </w:rPr>
        <w:t xml:space="preserve">RECURRENTE. </w:t>
      </w:r>
    </w:p>
    <w:p w:rsidR="00F3396F" w:rsidRDefault="00F3396F">
      <w:pPr>
        <w:pBdr>
          <w:top w:val="nil"/>
          <w:left w:val="nil"/>
          <w:bottom w:val="nil"/>
          <w:right w:val="nil"/>
          <w:between w:val="nil"/>
        </w:pBdr>
        <w:tabs>
          <w:tab w:val="left" w:pos="0"/>
        </w:tabs>
        <w:spacing w:line="360" w:lineRule="auto"/>
        <w:ind w:right="-1417"/>
        <w:jc w:val="both"/>
        <w:rPr>
          <w:rFonts w:ascii="Palatino Linotype" w:eastAsia="Palatino Linotype" w:hAnsi="Palatino Linotype" w:cs="Palatino Linotype"/>
          <w:color w:val="000000"/>
        </w:rPr>
      </w:pPr>
    </w:p>
    <w:p w:rsidR="00F3396F" w:rsidRDefault="00F71AB8">
      <w:pPr>
        <w:numPr>
          <w:ilvl w:val="0"/>
          <w:numId w:val="6"/>
        </w:numPr>
        <w:pBdr>
          <w:top w:val="nil"/>
          <w:left w:val="nil"/>
          <w:bottom w:val="nil"/>
          <w:right w:val="nil"/>
          <w:between w:val="nil"/>
        </w:pBdr>
        <w:tabs>
          <w:tab w:val="left" w:pos="0"/>
        </w:tabs>
        <w:spacing w:line="360" w:lineRule="auto"/>
        <w:ind w:left="0" w:right="-141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esa línea, se debe de precisar que el </w:t>
      </w:r>
      <w:r>
        <w:rPr>
          <w:rFonts w:ascii="Palatino Linotype" w:eastAsia="Palatino Linotype" w:hAnsi="Palatino Linotype" w:cs="Palatino Linotype"/>
          <w:b/>
          <w:bCs/>
          <w:color w:val="000000"/>
        </w:rPr>
        <w:t xml:space="preserve">RECURRENTE </w:t>
      </w:r>
      <w:r>
        <w:rPr>
          <w:rFonts w:ascii="Palatino Linotype" w:eastAsia="Palatino Linotype" w:hAnsi="Palatino Linotype" w:cs="Palatino Linotype"/>
        </w:rPr>
        <w:t>anexó</w:t>
      </w:r>
      <w:r>
        <w:rPr>
          <w:rFonts w:ascii="Palatino Linotype" w:eastAsia="Palatino Linotype" w:hAnsi="Palatino Linotype" w:cs="Palatino Linotype"/>
          <w:color w:val="000000"/>
        </w:rPr>
        <w:t xml:space="preserve"> un oficio de petición de fecha del </w:t>
      </w:r>
      <w:r>
        <w:rPr>
          <w:rFonts w:ascii="Palatino Linotype" w:eastAsia="Palatino Linotype" w:hAnsi="Palatino Linotype" w:cs="Palatino Linotype"/>
          <w:b/>
          <w:bCs/>
          <w:color w:val="000000"/>
        </w:rPr>
        <w:t xml:space="preserve">trece de enero de dos mil veintitrés, </w:t>
      </w:r>
      <w:r>
        <w:rPr>
          <w:rFonts w:ascii="Palatino Linotype" w:eastAsia="Palatino Linotype" w:hAnsi="Palatino Linotype" w:cs="Palatino Linotype"/>
          <w:color w:val="000000"/>
        </w:rPr>
        <w:t xml:space="preserve">dirigido al Director de Desarrollo Urbano </w:t>
      </w:r>
      <w:r>
        <w:rPr>
          <w:rFonts w:ascii="Palatino Linotype" w:eastAsia="Palatino Linotype" w:hAnsi="Palatino Linotype" w:cs="Palatino Linotype"/>
          <w:color w:val="000000"/>
        </w:rPr>
        <w:lastRenderedPageBreak/>
        <w:t>del Ayuntamiento de Calimaya, en el cual solicita verificar la construcción ubicada en la Manzana 07, lote 10, casa 03A.</w:t>
      </w:r>
    </w:p>
    <w:p w:rsidR="00F3396F" w:rsidRDefault="00F3396F">
      <w:pPr>
        <w:pBdr>
          <w:top w:val="nil"/>
          <w:left w:val="nil"/>
          <w:bottom w:val="nil"/>
          <w:right w:val="nil"/>
          <w:between w:val="nil"/>
        </w:pBdr>
        <w:ind w:left="720" w:right="-1417"/>
        <w:rPr>
          <w:rFonts w:ascii="Palatino Linotype" w:eastAsia="Palatino Linotype" w:hAnsi="Palatino Linotype" w:cs="Palatino Linotype"/>
          <w:color w:val="000000"/>
        </w:rPr>
      </w:pPr>
    </w:p>
    <w:p w:rsidR="00F3396F" w:rsidRDefault="00F71AB8">
      <w:pPr>
        <w:numPr>
          <w:ilvl w:val="0"/>
          <w:numId w:val="6"/>
        </w:numPr>
        <w:pBdr>
          <w:top w:val="nil"/>
          <w:left w:val="nil"/>
          <w:bottom w:val="nil"/>
          <w:right w:val="nil"/>
          <w:between w:val="nil"/>
        </w:pBdr>
        <w:tabs>
          <w:tab w:val="left" w:pos="0"/>
        </w:tabs>
        <w:spacing w:line="360" w:lineRule="auto"/>
        <w:ind w:left="0" w:right="-141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Seguidamente, se debe de analizar que de acuerdo con el artículo 71 del </w:t>
      </w:r>
      <w:r>
        <w:rPr>
          <w:rFonts w:ascii="Palatino Linotype" w:eastAsia="Palatino Linotype" w:hAnsi="Palatino Linotype" w:cs="Palatino Linotype"/>
        </w:rPr>
        <w:t>Bando</w:t>
      </w:r>
      <w:r>
        <w:rPr>
          <w:rFonts w:ascii="Palatino Linotype" w:eastAsia="Palatino Linotype" w:hAnsi="Palatino Linotype" w:cs="Palatino Linotype"/>
          <w:color w:val="000000"/>
        </w:rPr>
        <w:t xml:space="preserve"> Municipal de Calimaya, la Dirección de Desarrollo Urbano, tiene las siguientes funciones. </w:t>
      </w:r>
    </w:p>
    <w:p w:rsidR="00F3396F" w:rsidRDefault="00F71AB8">
      <w:pPr>
        <w:pBdr>
          <w:top w:val="nil"/>
          <w:left w:val="nil"/>
          <w:bottom w:val="nil"/>
          <w:right w:val="nil"/>
          <w:between w:val="nil"/>
        </w:pBdr>
        <w:ind w:left="1134" w:right="-141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DE LA DIRECCIÓN DE DESARROLLO URBANO </w:t>
      </w:r>
    </w:p>
    <w:p w:rsidR="00F3396F" w:rsidRDefault="00F71AB8">
      <w:pPr>
        <w:pBdr>
          <w:top w:val="nil"/>
          <w:left w:val="nil"/>
          <w:bottom w:val="nil"/>
          <w:right w:val="nil"/>
          <w:between w:val="nil"/>
        </w:pBdr>
        <w:ind w:left="1134" w:right="-1417"/>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i/>
          <w:iCs/>
          <w:color w:val="000000"/>
        </w:rPr>
        <w:t xml:space="preserve">Artículo 71. El Director de Desarrollo Urbano es el encargado de promover y realizar acciones para la conservación, mejoramiento y crecimiento de los centros de población ubicados en el territorio municipal, de conformidad con los planes o programas de desarrollo urbano, con la finalidad de regular el ordenamiento territorial; sus atribuciones están conferidas dentro del artículo </w:t>
      </w:r>
      <w:r>
        <w:rPr>
          <w:rFonts w:ascii="Palatino Linotype" w:eastAsia="Palatino Linotype" w:hAnsi="Palatino Linotype" w:cs="Palatino Linotype"/>
          <w:b/>
          <w:bCs/>
          <w:i/>
          <w:iCs/>
          <w:color w:val="000000"/>
        </w:rPr>
        <w:t>96Sexies de la Ley Orgánica Municipal.</w:t>
      </w:r>
    </w:p>
    <w:p w:rsidR="00F3396F" w:rsidRDefault="00F3396F">
      <w:pPr>
        <w:pBdr>
          <w:top w:val="nil"/>
          <w:left w:val="nil"/>
          <w:bottom w:val="nil"/>
          <w:right w:val="nil"/>
          <w:between w:val="nil"/>
        </w:pBdr>
        <w:ind w:left="720" w:right="-1417"/>
        <w:rPr>
          <w:rFonts w:ascii="Palatino Linotype" w:eastAsia="Palatino Linotype" w:hAnsi="Palatino Linotype" w:cs="Palatino Linotype"/>
          <w:color w:val="000000"/>
        </w:rPr>
      </w:pPr>
    </w:p>
    <w:p w:rsidR="00F3396F" w:rsidRDefault="00F71AB8">
      <w:pPr>
        <w:numPr>
          <w:ilvl w:val="0"/>
          <w:numId w:val="6"/>
        </w:numPr>
        <w:pBdr>
          <w:top w:val="nil"/>
          <w:left w:val="nil"/>
          <w:bottom w:val="nil"/>
          <w:right w:val="nil"/>
          <w:between w:val="nil"/>
        </w:pBdr>
        <w:tabs>
          <w:tab w:val="left" w:pos="0"/>
        </w:tabs>
        <w:spacing w:line="360" w:lineRule="auto"/>
        <w:ind w:left="0" w:right="-141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esa línea, se tiene que de acuerdo con el artículo </w:t>
      </w:r>
      <w:r>
        <w:rPr>
          <w:rFonts w:ascii="Palatino Linotype" w:eastAsia="Palatino Linotype" w:hAnsi="Palatino Linotype" w:cs="Palatino Linotype"/>
          <w:b/>
          <w:bCs/>
          <w:color w:val="000000"/>
        </w:rPr>
        <w:t xml:space="preserve">96 sexies, </w:t>
      </w:r>
      <w:r>
        <w:rPr>
          <w:rFonts w:ascii="Palatino Linotype" w:eastAsia="Palatino Linotype" w:hAnsi="Palatino Linotype" w:cs="Palatino Linotype"/>
          <w:color w:val="000000"/>
        </w:rPr>
        <w:t xml:space="preserve">el Director de Desarrollo Urbano, cuenta con las siguientes atribuciones. </w:t>
      </w:r>
    </w:p>
    <w:p w:rsidR="00F3396F" w:rsidRDefault="00F71AB8">
      <w:pPr>
        <w:pBdr>
          <w:top w:val="nil"/>
          <w:left w:val="nil"/>
          <w:bottom w:val="nil"/>
          <w:right w:val="nil"/>
          <w:between w:val="nil"/>
        </w:pBdr>
        <w:ind w:left="1134" w:right="-1417"/>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Artículo 96. Sexies. El Director de Desarrollo Urbano o el Titular de la Unidad Administrativa equivalente, tiene las atribuciones siguientes: </w:t>
      </w:r>
    </w:p>
    <w:p w:rsidR="00F3396F" w:rsidRDefault="00F71AB8">
      <w:pPr>
        <w:numPr>
          <w:ilvl w:val="0"/>
          <w:numId w:val="3"/>
        </w:numPr>
        <w:pBdr>
          <w:top w:val="nil"/>
          <w:left w:val="nil"/>
          <w:bottom w:val="nil"/>
          <w:right w:val="nil"/>
          <w:between w:val="nil"/>
        </w:pBdr>
        <w:ind w:left="1134" w:right="-1417" w:firstLine="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Ejecutar la política en materia de reordenamiento urbano; </w:t>
      </w:r>
    </w:p>
    <w:p w:rsidR="00F3396F" w:rsidRDefault="00F71AB8">
      <w:pPr>
        <w:pBdr>
          <w:top w:val="nil"/>
          <w:left w:val="nil"/>
          <w:bottom w:val="nil"/>
          <w:right w:val="nil"/>
          <w:between w:val="nil"/>
        </w:pBdr>
        <w:ind w:left="1134" w:right="-141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II. Formular y conducir las políticas municipales de asentamientos humanos, urbanismo y vivienda; </w:t>
      </w:r>
    </w:p>
    <w:p w:rsidR="00F3396F" w:rsidRDefault="00F71AB8">
      <w:pPr>
        <w:pBdr>
          <w:top w:val="nil"/>
          <w:left w:val="nil"/>
          <w:bottom w:val="nil"/>
          <w:right w:val="nil"/>
          <w:between w:val="nil"/>
        </w:pBdr>
        <w:ind w:left="1134" w:right="-141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III. Aplicar y vigilar el cumplimiento de las disposiciones legales en materia de ordenamiento territorial de los asentamientos humanos, del desarrollo urbano y vivienda; </w:t>
      </w:r>
    </w:p>
    <w:p w:rsidR="00F3396F" w:rsidRDefault="00F71AB8">
      <w:pPr>
        <w:pBdr>
          <w:top w:val="nil"/>
          <w:left w:val="nil"/>
          <w:bottom w:val="nil"/>
          <w:right w:val="nil"/>
          <w:between w:val="nil"/>
        </w:pBdr>
        <w:ind w:left="1134" w:right="-141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IV. Proponer el plan municipal de desarrollo urbano, así como sus modificaciones, y los parciales que de ellos deriven; </w:t>
      </w:r>
    </w:p>
    <w:p w:rsidR="00F3396F" w:rsidRDefault="00F71AB8">
      <w:pPr>
        <w:pBdr>
          <w:top w:val="nil"/>
          <w:left w:val="nil"/>
          <w:bottom w:val="nil"/>
          <w:right w:val="nil"/>
          <w:between w:val="nil"/>
        </w:pBdr>
        <w:ind w:left="1134" w:right="-141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 Participar en la elaboración o modificación del respectivo plan regional de desarrollo urbano o de los parciales que de éste deriven, cuando incluya parte o la totalidad de su territorio; </w:t>
      </w:r>
    </w:p>
    <w:p w:rsidR="00F3396F" w:rsidRDefault="00F71AB8">
      <w:pPr>
        <w:pBdr>
          <w:top w:val="nil"/>
          <w:left w:val="nil"/>
          <w:bottom w:val="nil"/>
          <w:right w:val="nil"/>
          <w:between w:val="nil"/>
        </w:pBdr>
        <w:ind w:left="1134" w:right="-1417"/>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VI. Analizar las cédulas informativas de zonificación, licencias de uso de suelo y licencias de construcción; </w:t>
      </w:r>
    </w:p>
    <w:p w:rsidR="00F3396F" w:rsidRDefault="00F71AB8">
      <w:pPr>
        <w:pBdr>
          <w:top w:val="nil"/>
          <w:left w:val="nil"/>
          <w:bottom w:val="nil"/>
          <w:right w:val="nil"/>
          <w:between w:val="nil"/>
        </w:pBdr>
        <w:ind w:left="1134" w:right="-141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VII. Vigilar la utilización y aprovechamiento del suelo con fines urbanos, en su circunscripción territorial; </w:t>
      </w:r>
    </w:p>
    <w:p w:rsidR="00F3396F" w:rsidRDefault="00F71AB8">
      <w:pPr>
        <w:pBdr>
          <w:top w:val="nil"/>
          <w:left w:val="nil"/>
          <w:bottom w:val="nil"/>
          <w:right w:val="nil"/>
          <w:between w:val="nil"/>
        </w:pBdr>
        <w:ind w:left="1134" w:right="-141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VIII. Proponer al Presidente Municipal, convenios, contratos y acuerdos, y </w:t>
      </w:r>
    </w:p>
    <w:p w:rsidR="00F3396F" w:rsidRDefault="00F71AB8">
      <w:pPr>
        <w:pBdr>
          <w:top w:val="nil"/>
          <w:left w:val="nil"/>
          <w:bottom w:val="nil"/>
          <w:right w:val="nil"/>
          <w:between w:val="nil"/>
        </w:pBdr>
        <w:ind w:left="1134" w:right="-141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IX. Las demás que le sean conferidas por el Presidente Municipal o por el Ayuntamiento y las establecidas en las disposiciones jurídicas aplicables</w:t>
      </w:r>
    </w:p>
    <w:p w:rsidR="00F3396F" w:rsidRDefault="00F3396F">
      <w:pPr>
        <w:pBdr>
          <w:top w:val="nil"/>
          <w:left w:val="nil"/>
          <w:bottom w:val="nil"/>
          <w:right w:val="nil"/>
          <w:between w:val="nil"/>
        </w:pBdr>
        <w:ind w:left="1134" w:right="-1417"/>
        <w:jc w:val="both"/>
        <w:rPr>
          <w:rFonts w:ascii="Palatino Linotype" w:eastAsia="Palatino Linotype" w:hAnsi="Palatino Linotype" w:cs="Palatino Linotype"/>
          <w:i/>
          <w:iCs/>
          <w:color w:val="000000"/>
        </w:rPr>
      </w:pPr>
    </w:p>
    <w:p w:rsidR="00F3396F" w:rsidRDefault="00F71AB8">
      <w:pPr>
        <w:numPr>
          <w:ilvl w:val="0"/>
          <w:numId w:val="6"/>
        </w:numPr>
        <w:pBdr>
          <w:top w:val="nil"/>
          <w:left w:val="nil"/>
          <w:bottom w:val="nil"/>
          <w:right w:val="nil"/>
          <w:between w:val="nil"/>
        </w:pBdr>
        <w:tabs>
          <w:tab w:val="left" w:pos="0"/>
        </w:tabs>
        <w:spacing w:line="360" w:lineRule="auto"/>
        <w:ind w:left="0" w:right="-141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Del artículo analizado, se tiene que la solicitud de información fue turnada al área habilitada del Ayuntamiento de Calimaya, siendo la Dirección de Desarrollo Urbano, toda vez que </w:t>
      </w:r>
      <w:r>
        <w:rPr>
          <w:rFonts w:ascii="Palatino Linotype" w:eastAsia="Palatino Linotype" w:hAnsi="Palatino Linotype" w:cs="Palatino Linotype"/>
        </w:rPr>
        <w:t>informó</w:t>
      </w:r>
      <w:r>
        <w:rPr>
          <w:rFonts w:ascii="Palatino Linotype" w:eastAsia="Palatino Linotype" w:hAnsi="Palatino Linotype" w:cs="Palatino Linotype"/>
          <w:color w:val="000000"/>
        </w:rPr>
        <w:t xml:space="preserve"> que no contaba con la información solicitada, sin embargo,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se limitó a informar que no contaba con la información solicitada. </w:t>
      </w:r>
    </w:p>
    <w:p w:rsidR="00F3396F" w:rsidRDefault="00F3396F">
      <w:pPr>
        <w:pBdr>
          <w:top w:val="nil"/>
          <w:left w:val="nil"/>
          <w:bottom w:val="nil"/>
          <w:right w:val="nil"/>
          <w:between w:val="nil"/>
        </w:pBdr>
        <w:ind w:left="720" w:right="-1417"/>
        <w:rPr>
          <w:rFonts w:ascii="Palatino Linotype" w:eastAsia="Palatino Linotype" w:hAnsi="Palatino Linotype" w:cs="Palatino Linotype"/>
          <w:color w:val="000000"/>
        </w:rPr>
      </w:pPr>
    </w:p>
    <w:p w:rsidR="00F3396F" w:rsidRDefault="00F71AB8">
      <w:pPr>
        <w:numPr>
          <w:ilvl w:val="0"/>
          <w:numId w:val="6"/>
        </w:numPr>
        <w:pBdr>
          <w:top w:val="nil"/>
          <w:left w:val="nil"/>
          <w:bottom w:val="nil"/>
          <w:right w:val="nil"/>
          <w:between w:val="nil"/>
        </w:pBdr>
        <w:tabs>
          <w:tab w:val="left" w:pos="0"/>
        </w:tabs>
        <w:spacing w:line="360" w:lineRule="auto"/>
        <w:ind w:left="0" w:right="-141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consecuencia, se consultó por medio del IPOMEX 4.0 </w:t>
      </w:r>
      <w:r>
        <w:rPr>
          <w:rFonts w:ascii="Palatino Linotype" w:eastAsia="Palatino Linotype" w:hAnsi="Palatino Linotype" w:cs="Palatino Linotype"/>
          <w:b/>
          <w:bCs/>
          <w:color w:val="000000"/>
        </w:rPr>
        <w:t xml:space="preserve">si el Ayuntamiento había expedido licencias por ampliaciones en la privada referida en la solicitud de información, de lo cual se debe de precisar que si se localizaron licencias por ampliaciones en conjuntos urbanos, tal y como se muestra en la siguiente captura de pantalla. </w:t>
      </w:r>
    </w:p>
    <w:p w:rsidR="00F3396F" w:rsidRDefault="00F3396F">
      <w:pPr>
        <w:pBdr>
          <w:top w:val="nil"/>
          <w:left w:val="nil"/>
          <w:bottom w:val="nil"/>
          <w:right w:val="nil"/>
          <w:between w:val="nil"/>
        </w:pBdr>
        <w:ind w:left="720" w:right="-1417"/>
        <w:rPr>
          <w:rFonts w:ascii="Palatino Linotype" w:eastAsia="Palatino Linotype" w:hAnsi="Palatino Linotype" w:cs="Palatino Linotype"/>
          <w:color w:val="000000"/>
        </w:rPr>
      </w:pPr>
    </w:p>
    <w:p w:rsidR="00F3396F" w:rsidRDefault="00F71AB8">
      <w:pPr>
        <w:pBdr>
          <w:top w:val="nil"/>
          <w:left w:val="nil"/>
          <w:bottom w:val="nil"/>
          <w:right w:val="nil"/>
          <w:between w:val="nil"/>
        </w:pBdr>
        <w:tabs>
          <w:tab w:val="left" w:pos="0"/>
        </w:tabs>
        <w:spacing w:line="360" w:lineRule="auto"/>
        <w:ind w:right="-1417"/>
        <w:jc w:val="both"/>
        <w:rPr>
          <w:rFonts w:ascii="Palatino Linotype" w:eastAsia="Palatino Linotype" w:hAnsi="Palatino Linotype" w:cs="Palatino Linotype"/>
          <w:color w:val="000000"/>
        </w:rPr>
      </w:pPr>
      <w:r>
        <w:rPr>
          <w:noProof/>
        </w:rPr>
        <w:drawing>
          <wp:anchor distT="0" distB="0" distL="114300" distR="114300" simplePos="0" relativeHeight="251658240" behindDoc="0" locked="0" layoutInCell="1" hidden="0" allowOverlap="1">
            <wp:simplePos x="0" y="0"/>
            <wp:positionH relativeFrom="column">
              <wp:posOffset>-568030</wp:posOffset>
            </wp:positionH>
            <wp:positionV relativeFrom="paragraph">
              <wp:posOffset>-69738</wp:posOffset>
            </wp:positionV>
            <wp:extent cx="3108152" cy="3425589"/>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3108152" cy="3425589"/>
                    </a:xfrm>
                    <a:prstGeom prst="rect">
                      <a:avLst/>
                    </a:prstGeom>
                    <a:ln/>
                  </pic:spPr>
                </pic:pic>
              </a:graphicData>
            </a:graphic>
          </wp:anchor>
        </w:drawing>
      </w:r>
      <w:r>
        <w:rPr>
          <w:noProof/>
        </w:rPr>
        <w:drawing>
          <wp:anchor distT="0" distB="0" distL="114300" distR="114300" simplePos="0" relativeHeight="251659264" behindDoc="0" locked="0" layoutInCell="1" hidden="0" allowOverlap="1">
            <wp:simplePos x="0" y="0"/>
            <wp:positionH relativeFrom="column">
              <wp:posOffset>2727820</wp:posOffset>
            </wp:positionH>
            <wp:positionV relativeFrom="paragraph">
              <wp:posOffset>5023</wp:posOffset>
            </wp:positionV>
            <wp:extent cx="2975670" cy="3451633"/>
            <wp:effectExtent l="0" t="0" r="0" b="0"/>
            <wp:wrapNone/>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2975670" cy="3451633"/>
                    </a:xfrm>
                    <a:prstGeom prst="rect">
                      <a:avLst/>
                    </a:prstGeom>
                    <a:ln/>
                  </pic:spPr>
                </pic:pic>
              </a:graphicData>
            </a:graphic>
          </wp:anchor>
        </w:drawing>
      </w:r>
    </w:p>
    <w:p w:rsidR="00F3396F" w:rsidRDefault="00F3396F">
      <w:pPr>
        <w:pBdr>
          <w:top w:val="nil"/>
          <w:left w:val="nil"/>
          <w:bottom w:val="nil"/>
          <w:right w:val="nil"/>
          <w:between w:val="nil"/>
        </w:pBdr>
        <w:tabs>
          <w:tab w:val="left" w:pos="0"/>
        </w:tabs>
        <w:spacing w:line="360" w:lineRule="auto"/>
        <w:ind w:right="-1417"/>
        <w:jc w:val="both"/>
        <w:rPr>
          <w:rFonts w:ascii="Palatino Linotype" w:eastAsia="Palatino Linotype" w:hAnsi="Palatino Linotype" w:cs="Palatino Linotype"/>
          <w:color w:val="000000"/>
        </w:rPr>
      </w:pPr>
    </w:p>
    <w:p w:rsidR="00F3396F" w:rsidRDefault="00F3396F">
      <w:pPr>
        <w:pBdr>
          <w:top w:val="nil"/>
          <w:left w:val="nil"/>
          <w:bottom w:val="nil"/>
          <w:right w:val="nil"/>
          <w:between w:val="nil"/>
        </w:pBdr>
        <w:tabs>
          <w:tab w:val="left" w:pos="0"/>
        </w:tabs>
        <w:spacing w:line="360" w:lineRule="auto"/>
        <w:ind w:right="-1417"/>
        <w:jc w:val="both"/>
        <w:rPr>
          <w:rFonts w:ascii="Palatino Linotype" w:eastAsia="Palatino Linotype" w:hAnsi="Palatino Linotype" w:cs="Palatino Linotype"/>
          <w:color w:val="000000"/>
        </w:rPr>
      </w:pPr>
    </w:p>
    <w:p w:rsidR="00F3396F" w:rsidRDefault="00F3396F">
      <w:pPr>
        <w:pBdr>
          <w:top w:val="nil"/>
          <w:left w:val="nil"/>
          <w:bottom w:val="nil"/>
          <w:right w:val="nil"/>
          <w:between w:val="nil"/>
        </w:pBdr>
        <w:tabs>
          <w:tab w:val="left" w:pos="0"/>
        </w:tabs>
        <w:spacing w:line="360" w:lineRule="auto"/>
        <w:ind w:right="-1417"/>
        <w:jc w:val="both"/>
        <w:rPr>
          <w:rFonts w:ascii="Palatino Linotype" w:eastAsia="Palatino Linotype" w:hAnsi="Palatino Linotype" w:cs="Palatino Linotype"/>
          <w:color w:val="000000"/>
        </w:rPr>
      </w:pPr>
    </w:p>
    <w:p w:rsidR="00F3396F" w:rsidRDefault="00F3396F">
      <w:pPr>
        <w:pBdr>
          <w:top w:val="nil"/>
          <w:left w:val="nil"/>
          <w:bottom w:val="nil"/>
          <w:right w:val="nil"/>
          <w:between w:val="nil"/>
        </w:pBdr>
        <w:tabs>
          <w:tab w:val="left" w:pos="0"/>
        </w:tabs>
        <w:spacing w:line="360" w:lineRule="auto"/>
        <w:ind w:right="-1417"/>
        <w:jc w:val="both"/>
        <w:rPr>
          <w:rFonts w:ascii="Palatino Linotype" w:eastAsia="Palatino Linotype" w:hAnsi="Palatino Linotype" w:cs="Palatino Linotype"/>
          <w:color w:val="000000"/>
        </w:rPr>
      </w:pPr>
    </w:p>
    <w:p w:rsidR="00F3396F" w:rsidRDefault="00F3396F">
      <w:pPr>
        <w:pBdr>
          <w:top w:val="nil"/>
          <w:left w:val="nil"/>
          <w:bottom w:val="nil"/>
          <w:right w:val="nil"/>
          <w:between w:val="nil"/>
        </w:pBdr>
        <w:tabs>
          <w:tab w:val="left" w:pos="0"/>
        </w:tabs>
        <w:spacing w:line="360" w:lineRule="auto"/>
        <w:ind w:right="-1417"/>
        <w:jc w:val="both"/>
        <w:rPr>
          <w:rFonts w:ascii="Palatino Linotype" w:eastAsia="Palatino Linotype" w:hAnsi="Palatino Linotype" w:cs="Palatino Linotype"/>
          <w:color w:val="000000"/>
        </w:rPr>
      </w:pPr>
    </w:p>
    <w:p w:rsidR="00F3396F" w:rsidRDefault="00F3396F">
      <w:pPr>
        <w:pBdr>
          <w:top w:val="nil"/>
          <w:left w:val="nil"/>
          <w:bottom w:val="nil"/>
          <w:right w:val="nil"/>
          <w:between w:val="nil"/>
        </w:pBdr>
        <w:tabs>
          <w:tab w:val="left" w:pos="0"/>
        </w:tabs>
        <w:spacing w:line="360" w:lineRule="auto"/>
        <w:ind w:right="-1417"/>
        <w:jc w:val="both"/>
        <w:rPr>
          <w:rFonts w:ascii="Palatino Linotype" w:eastAsia="Palatino Linotype" w:hAnsi="Palatino Linotype" w:cs="Palatino Linotype"/>
          <w:color w:val="000000"/>
        </w:rPr>
      </w:pPr>
    </w:p>
    <w:p w:rsidR="00F3396F" w:rsidRDefault="00F3396F">
      <w:pPr>
        <w:pBdr>
          <w:top w:val="nil"/>
          <w:left w:val="nil"/>
          <w:bottom w:val="nil"/>
          <w:right w:val="nil"/>
          <w:between w:val="nil"/>
        </w:pBdr>
        <w:tabs>
          <w:tab w:val="left" w:pos="0"/>
        </w:tabs>
        <w:spacing w:line="360" w:lineRule="auto"/>
        <w:ind w:right="-1417"/>
        <w:jc w:val="both"/>
        <w:rPr>
          <w:rFonts w:ascii="Palatino Linotype" w:eastAsia="Palatino Linotype" w:hAnsi="Palatino Linotype" w:cs="Palatino Linotype"/>
          <w:color w:val="000000"/>
        </w:rPr>
      </w:pPr>
    </w:p>
    <w:p w:rsidR="00F3396F" w:rsidRDefault="00F3396F">
      <w:pPr>
        <w:pBdr>
          <w:top w:val="nil"/>
          <w:left w:val="nil"/>
          <w:bottom w:val="nil"/>
          <w:right w:val="nil"/>
          <w:between w:val="nil"/>
        </w:pBdr>
        <w:tabs>
          <w:tab w:val="left" w:pos="0"/>
        </w:tabs>
        <w:spacing w:line="360" w:lineRule="auto"/>
        <w:ind w:right="-1417"/>
        <w:jc w:val="both"/>
        <w:rPr>
          <w:rFonts w:ascii="Palatino Linotype" w:eastAsia="Palatino Linotype" w:hAnsi="Palatino Linotype" w:cs="Palatino Linotype"/>
          <w:color w:val="000000"/>
        </w:rPr>
      </w:pPr>
    </w:p>
    <w:p w:rsidR="00F3396F" w:rsidRDefault="00F3396F">
      <w:pPr>
        <w:pBdr>
          <w:top w:val="nil"/>
          <w:left w:val="nil"/>
          <w:bottom w:val="nil"/>
          <w:right w:val="nil"/>
          <w:between w:val="nil"/>
        </w:pBdr>
        <w:tabs>
          <w:tab w:val="left" w:pos="0"/>
        </w:tabs>
        <w:spacing w:line="360" w:lineRule="auto"/>
        <w:ind w:right="-1417"/>
        <w:jc w:val="both"/>
        <w:rPr>
          <w:rFonts w:ascii="Palatino Linotype" w:eastAsia="Palatino Linotype" w:hAnsi="Palatino Linotype" w:cs="Palatino Linotype"/>
          <w:color w:val="000000"/>
        </w:rPr>
      </w:pPr>
    </w:p>
    <w:p w:rsidR="00F3396F" w:rsidRDefault="00F3396F">
      <w:pPr>
        <w:pBdr>
          <w:top w:val="nil"/>
          <w:left w:val="nil"/>
          <w:bottom w:val="nil"/>
          <w:right w:val="nil"/>
          <w:between w:val="nil"/>
        </w:pBdr>
        <w:tabs>
          <w:tab w:val="left" w:pos="0"/>
        </w:tabs>
        <w:spacing w:line="360" w:lineRule="auto"/>
        <w:ind w:right="-1417"/>
        <w:jc w:val="both"/>
        <w:rPr>
          <w:rFonts w:ascii="Palatino Linotype" w:eastAsia="Palatino Linotype" w:hAnsi="Palatino Linotype" w:cs="Palatino Linotype"/>
          <w:color w:val="000000"/>
        </w:rPr>
      </w:pPr>
    </w:p>
    <w:p w:rsidR="00F3396F" w:rsidRDefault="00F3396F">
      <w:pPr>
        <w:pBdr>
          <w:top w:val="nil"/>
          <w:left w:val="nil"/>
          <w:bottom w:val="nil"/>
          <w:right w:val="nil"/>
          <w:between w:val="nil"/>
        </w:pBdr>
        <w:tabs>
          <w:tab w:val="left" w:pos="0"/>
        </w:tabs>
        <w:spacing w:line="360" w:lineRule="auto"/>
        <w:ind w:right="-1417"/>
        <w:jc w:val="both"/>
        <w:rPr>
          <w:rFonts w:ascii="Palatino Linotype" w:eastAsia="Palatino Linotype" w:hAnsi="Palatino Linotype" w:cs="Palatino Linotype"/>
          <w:color w:val="000000"/>
        </w:rPr>
      </w:pPr>
    </w:p>
    <w:p w:rsidR="00F3396F" w:rsidRDefault="00F71AB8">
      <w:pPr>
        <w:numPr>
          <w:ilvl w:val="0"/>
          <w:numId w:val="6"/>
        </w:numPr>
        <w:pBdr>
          <w:top w:val="nil"/>
          <w:left w:val="nil"/>
          <w:bottom w:val="nil"/>
          <w:right w:val="nil"/>
          <w:between w:val="nil"/>
        </w:pBdr>
        <w:tabs>
          <w:tab w:val="left" w:pos="0"/>
        </w:tabs>
        <w:spacing w:line="360" w:lineRule="auto"/>
        <w:ind w:left="0" w:right="-141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En esa línea, se tiene que la información se </w:t>
      </w:r>
      <w:r>
        <w:rPr>
          <w:rFonts w:ascii="Palatino Linotype" w:eastAsia="Palatino Linotype" w:hAnsi="Palatino Linotype" w:cs="Palatino Linotype"/>
        </w:rPr>
        <w:t>ordenará</w:t>
      </w:r>
      <w:r>
        <w:rPr>
          <w:rFonts w:ascii="Palatino Linotype" w:eastAsia="Palatino Linotype" w:hAnsi="Palatino Linotype" w:cs="Palatino Linotype"/>
          <w:color w:val="000000"/>
        </w:rPr>
        <w:t xml:space="preserve"> con salvedad, toda vez que el documento no acredita que la información solicitada se encuentre en los archivos del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toda vez que al ser datos que son considerados como confidenciales es que no se tiene la certeza de que se hubieran autorizado licencias por ampliación en el conjunto urbano referido en la solicitud de información.</w:t>
      </w:r>
    </w:p>
    <w:p w:rsidR="00F3396F" w:rsidRDefault="00F3396F">
      <w:pPr>
        <w:pBdr>
          <w:top w:val="nil"/>
          <w:left w:val="nil"/>
          <w:bottom w:val="nil"/>
          <w:right w:val="nil"/>
          <w:between w:val="nil"/>
        </w:pBdr>
        <w:ind w:left="720" w:right="-1417"/>
        <w:rPr>
          <w:rFonts w:ascii="Palatino Linotype" w:eastAsia="Palatino Linotype" w:hAnsi="Palatino Linotype" w:cs="Palatino Linotype"/>
          <w:color w:val="000000"/>
        </w:rPr>
      </w:pPr>
    </w:p>
    <w:p w:rsidR="00F3396F" w:rsidRDefault="00F71AB8">
      <w:pPr>
        <w:numPr>
          <w:ilvl w:val="0"/>
          <w:numId w:val="6"/>
        </w:numPr>
        <w:pBdr>
          <w:top w:val="nil"/>
          <w:left w:val="nil"/>
          <w:bottom w:val="nil"/>
          <w:right w:val="nil"/>
          <w:between w:val="nil"/>
        </w:pBdr>
        <w:tabs>
          <w:tab w:val="left" w:pos="0"/>
        </w:tabs>
        <w:spacing w:line="360" w:lineRule="auto"/>
        <w:ind w:left="0" w:right="-1417" w:firstLine="0"/>
        <w:jc w:val="both"/>
      </w:pPr>
      <w:r>
        <w:rPr>
          <w:rFonts w:ascii="Palatino Linotype" w:eastAsia="Palatino Linotype" w:hAnsi="Palatino Linotype" w:cs="Palatino Linotype"/>
        </w:rPr>
        <w:t xml:space="preserve">En </w:t>
      </w:r>
      <w:r>
        <w:rPr>
          <w:rFonts w:ascii="Palatino Linotype" w:eastAsia="Palatino Linotype" w:hAnsi="Palatino Linotype" w:cs="Palatino Linotype"/>
          <w:color w:val="000000"/>
        </w:rPr>
        <w:t>ese</w:t>
      </w:r>
      <w:r>
        <w:rPr>
          <w:rFonts w:ascii="Palatino Linotype" w:eastAsia="Palatino Linotype" w:hAnsi="Palatino Linotype" w:cs="Palatino Linotype"/>
        </w:rPr>
        <w:t xml:space="preserve"> sentido, respecto de la Licencia de Construcción el Código Administrativo del Estado de México, considera lo siguiente. </w:t>
      </w:r>
    </w:p>
    <w:p w:rsidR="00F3396F" w:rsidRDefault="00F71AB8">
      <w:pPr>
        <w:ind w:left="1134" w:right="-1417"/>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18.20.-</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La licencia de construcción</w:t>
      </w:r>
      <w:r>
        <w:rPr>
          <w:rFonts w:ascii="Palatino Linotype" w:eastAsia="Palatino Linotype" w:hAnsi="Palatino Linotype" w:cs="Palatino Linotype"/>
          <w:i/>
          <w:iCs/>
        </w:rPr>
        <w:t xml:space="preserve"> tiene por objeto autorizar:</w:t>
      </w:r>
    </w:p>
    <w:p w:rsidR="00F3396F" w:rsidRDefault="00F71AB8">
      <w:pPr>
        <w:ind w:left="1134" w:right="-1417"/>
        <w:jc w:val="both"/>
        <w:rPr>
          <w:rFonts w:ascii="Palatino Linotype" w:eastAsia="Palatino Linotype" w:hAnsi="Palatino Linotype" w:cs="Palatino Linotype"/>
          <w:i/>
          <w:iCs/>
        </w:rPr>
      </w:pPr>
      <w:r>
        <w:rPr>
          <w:rFonts w:ascii="Palatino Linotype" w:eastAsia="Palatino Linotype" w:hAnsi="Palatino Linotype" w:cs="Palatino Linotype"/>
          <w:i/>
          <w:iCs/>
        </w:rPr>
        <w:t>I. Obra nueva;</w:t>
      </w:r>
    </w:p>
    <w:p w:rsidR="00F3396F" w:rsidRDefault="00F71AB8">
      <w:pPr>
        <w:ind w:left="1134" w:right="-1417"/>
        <w:jc w:val="both"/>
        <w:rPr>
          <w:rFonts w:ascii="Palatino Linotype" w:eastAsia="Palatino Linotype" w:hAnsi="Palatino Linotype" w:cs="Palatino Linotype"/>
          <w:i/>
          <w:iCs/>
        </w:rPr>
      </w:pPr>
      <w:r>
        <w:rPr>
          <w:rFonts w:ascii="Palatino Linotype" w:eastAsia="Palatino Linotype" w:hAnsi="Palatino Linotype" w:cs="Palatino Linotype"/>
          <w:i/>
          <w:iCs/>
        </w:rPr>
        <w:t>II. Ampliación, modificación o reparación que afecte elementos estructurales de la obra existente;</w:t>
      </w:r>
    </w:p>
    <w:p w:rsidR="00F3396F" w:rsidRDefault="00F71AB8">
      <w:pPr>
        <w:ind w:left="1134" w:right="-1417"/>
        <w:jc w:val="both"/>
        <w:rPr>
          <w:rFonts w:ascii="Palatino Linotype" w:eastAsia="Palatino Linotype" w:hAnsi="Palatino Linotype" w:cs="Palatino Linotype"/>
          <w:i/>
          <w:iCs/>
        </w:rPr>
      </w:pPr>
      <w:r>
        <w:rPr>
          <w:rFonts w:ascii="Palatino Linotype" w:eastAsia="Palatino Linotype" w:hAnsi="Palatino Linotype" w:cs="Palatino Linotype"/>
          <w:i/>
          <w:iCs/>
        </w:rPr>
        <w:t>III. Demolición parcial o total;</w:t>
      </w:r>
    </w:p>
    <w:p w:rsidR="00F3396F" w:rsidRDefault="00F71AB8">
      <w:pPr>
        <w:ind w:left="1134" w:right="-1417"/>
        <w:jc w:val="both"/>
        <w:rPr>
          <w:rFonts w:ascii="Palatino Linotype" w:eastAsia="Palatino Linotype" w:hAnsi="Palatino Linotype" w:cs="Palatino Linotype"/>
          <w:i/>
          <w:iCs/>
        </w:rPr>
      </w:pPr>
      <w:r>
        <w:rPr>
          <w:rFonts w:ascii="Palatino Linotype" w:eastAsia="Palatino Linotype" w:hAnsi="Palatino Linotype" w:cs="Palatino Linotype"/>
          <w:i/>
          <w:iCs/>
        </w:rPr>
        <w:t>IV. Excavación o relleno;</w:t>
      </w:r>
    </w:p>
    <w:p w:rsidR="00F3396F" w:rsidRDefault="00F71AB8">
      <w:pPr>
        <w:ind w:left="1134" w:right="-1417"/>
        <w:jc w:val="both"/>
        <w:rPr>
          <w:rFonts w:ascii="Palatino Linotype" w:eastAsia="Palatino Linotype" w:hAnsi="Palatino Linotype" w:cs="Palatino Linotype"/>
          <w:i/>
          <w:iCs/>
        </w:rPr>
      </w:pPr>
      <w:r>
        <w:rPr>
          <w:rFonts w:ascii="Palatino Linotype" w:eastAsia="Palatino Linotype" w:hAnsi="Palatino Linotype" w:cs="Palatino Linotype"/>
          <w:i/>
          <w:iCs/>
        </w:rPr>
        <w:t>V. Construcción de bardas;</w:t>
      </w:r>
    </w:p>
    <w:p w:rsidR="00F3396F" w:rsidRDefault="00F71AB8">
      <w:pPr>
        <w:ind w:left="1134" w:right="-1417"/>
        <w:jc w:val="both"/>
        <w:rPr>
          <w:rFonts w:ascii="Palatino Linotype" w:eastAsia="Palatino Linotype" w:hAnsi="Palatino Linotype" w:cs="Palatino Linotype"/>
          <w:i/>
          <w:iCs/>
        </w:rPr>
      </w:pPr>
      <w:r>
        <w:rPr>
          <w:rFonts w:ascii="Palatino Linotype" w:eastAsia="Palatino Linotype" w:hAnsi="Palatino Linotype" w:cs="Palatino Linotype"/>
          <w:i/>
          <w:iCs/>
        </w:rPr>
        <w:t>VI. Obras de conexión a las redes de agua potable y drenaje;</w:t>
      </w:r>
    </w:p>
    <w:p w:rsidR="00F3396F" w:rsidRDefault="00F71AB8">
      <w:pPr>
        <w:ind w:left="1134" w:right="-1417"/>
        <w:jc w:val="both"/>
        <w:rPr>
          <w:rFonts w:ascii="Palatino Linotype" w:eastAsia="Palatino Linotype" w:hAnsi="Palatino Linotype" w:cs="Palatino Linotype"/>
          <w:i/>
          <w:iCs/>
        </w:rPr>
      </w:pPr>
      <w:r>
        <w:rPr>
          <w:rFonts w:ascii="Palatino Linotype" w:eastAsia="Palatino Linotype" w:hAnsi="Palatino Linotype" w:cs="Palatino Linotype"/>
          <w:i/>
          <w:iCs/>
        </w:rPr>
        <w:t>VII. Modificación del proyecto de una obra autorizada;</w:t>
      </w:r>
    </w:p>
    <w:p w:rsidR="00F3396F" w:rsidRDefault="00F71AB8">
      <w:pPr>
        <w:ind w:left="1134" w:right="-1417"/>
        <w:jc w:val="both"/>
        <w:rPr>
          <w:rFonts w:ascii="Palatino Linotype" w:eastAsia="Palatino Linotype" w:hAnsi="Palatino Linotype" w:cs="Palatino Linotype"/>
          <w:i/>
          <w:iCs/>
        </w:rPr>
      </w:pPr>
      <w:r>
        <w:rPr>
          <w:rFonts w:ascii="Palatino Linotype" w:eastAsia="Palatino Linotype" w:hAnsi="Palatino Linotype" w:cs="Palatino Linotype"/>
          <w:i/>
          <w:iCs/>
        </w:rPr>
        <w:t>VIII. Construcción e instalación de estaciones repetidoras y antenas para radiotelecomunicaciones;</w:t>
      </w:r>
    </w:p>
    <w:p w:rsidR="00F3396F" w:rsidRDefault="00F71AB8">
      <w:pPr>
        <w:ind w:left="1134" w:right="-1417"/>
        <w:jc w:val="both"/>
        <w:rPr>
          <w:rFonts w:ascii="Palatino Linotype" w:eastAsia="Palatino Linotype" w:hAnsi="Palatino Linotype" w:cs="Palatino Linotype"/>
          <w:i/>
          <w:iCs/>
        </w:rPr>
      </w:pPr>
      <w:r>
        <w:rPr>
          <w:rFonts w:ascii="Palatino Linotype" w:eastAsia="Palatino Linotype" w:hAnsi="Palatino Linotype" w:cs="Palatino Linotype"/>
          <w:i/>
          <w:iCs/>
        </w:rPr>
        <w:t>IX. Anuncios publicitarios que requieran de elementos estructurales; y</w:t>
      </w:r>
    </w:p>
    <w:p w:rsidR="00F3396F" w:rsidRDefault="00F71AB8">
      <w:pPr>
        <w:ind w:left="1134" w:right="-1417"/>
        <w:jc w:val="both"/>
        <w:rPr>
          <w:rFonts w:ascii="Palatino Linotype" w:eastAsia="Palatino Linotype" w:hAnsi="Palatino Linotype" w:cs="Palatino Linotype"/>
          <w:i/>
          <w:iCs/>
        </w:rPr>
      </w:pPr>
      <w:r>
        <w:rPr>
          <w:rFonts w:ascii="Palatino Linotype" w:eastAsia="Palatino Linotype" w:hAnsi="Palatino Linotype" w:cs="Palatino Linotype"/>
          <w:i/>
          <w:iCs/>
        </w:rPr>
        <w:t>X. Instalaciones o modificaciones de ascensores para personas, montacargas, escaleras mecánicas o cualquier otro mecanismo de transporte electromecánico.</w:t>
      </w:r>
    </w:p>
    <w:p w:rsidR="00F3396F" w:rsidRDefault="00F71AB8">
      <w:pPr>
        <w:ind w:left="1134" w:right="-1417"/>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La licencia de construcción tendrá vigencia de un año y podrá autorizar, además del uso de la vía pública, uno o más de los rubros señalados, conforme a la solicitud que se presente.</w:t>
      </w:r>
    </w:p>
    <w:p w:rsidR="00F3396F" w:rsidRDefault="00F3396F">
      <w:pPr>
        <w:ind w:left="1134" w:right="-1417"/>
        <w:jc w:val="both"/>
        <w:rPr>
          <w:rFonts w:ascii="Palatino Linotype" w:eastAsia="Palatino Linotype" w:hAnsi="Palatino Linotype" w:cs="Palatino Linotype"/>
          <w:i/>
          <w:iCs/>
        </w:rPr>
      </w:pPr>
    </w:p>
    <w:p w:rsidR="00F3396F" w:rsidRDefault="00F71AB8">
      <w:pPr>
        <w:ind w:left="1134" w:right="-1417"/>
        <w:jc w:val="both"/>
        <w:rPr>
          <w:rFonts w:ascii="Palatino Linotype" w:eastAsia="Palatino Linotype" w:hAnsi="Palatino Linotype" w:cs="Palatino Linotype"/>
          <w:i/>
          <w:iCs/>
        </w:rPr>
      </w:pPr>
      <w:r>
        <w:rPr>
          <w:rFonts w:ascii="Palatino Linotype" w:eastAsia="Palatino Linotype" w:hAnsi="Palatino Linotype" w:cs="Palatino Linotype"/>
          <w:i/>
          <w:iCs/>
        </w:rPr>
        <w:t>La autoridad municipal que emita la licencia de construcción deberá revisar que en el proyecto que autoriza se observen las disposiciones de este Libro, las Normas Técnicas y demás disposiciones jurídicas aplicables y deberá otorgar o negar la misma dando respuesta en un plazo no mayor de tres días hábiles posteriores a la fecha de presentación o recepción de la solicitud que reúna todos los requisitos establecidos en la Ley.</w:t>
      </w:r>
    </w:p>
    <w:p w:rsidR="00F3396F" w:rsidRDefault="00F71AB8">
      <w:pPr>
        <w:numPr>
          <w:ilvl w:val="0"/>
          <w:numId w:val="6"/>
        </w:numPr>
        <w:pBdr>
          <w:top w:val="nil"/>
          <w:left w:val="nil"/>
          <w:bottom w:val="nil"/>
          <w:right w:val="nil"/>
          <w:between w:val="nil"/>
        </w:pBdr>
        <w:tabs>
          <w:tab w:val="left" w:pos="0"/>
        </w:tabs>
        <w:spacing w:line="360" w:lineRule="auto"/>
        <w:ind w:left="0" w:right="-141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De lo anterior, se tiene que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cuenta con funciones y atribuciones para emitir las licencias de construcción que sean solicitadas por los particulares sea persona física o persona jurídica colectiva para realizar ampliaciones. </w:t>
      </w:r>
    </w:p>
    <w:p w:rsidR="00F3396F" w:rsidRDefault="00F3396F">
      <w:pPr>
        <w:ind w:right="-1417"/>
        <w:rPr>
          <w:rFonts w:ascii="Palatino Linotype" w:eastAsia="Palatino Linotype" w:hAnsi="Palatino Linotype" w:cs="Palatino Linotype"/>
          <w:color w:val="000000"/>
        </w:rPr>
      </w:pPr>
    </w:p>
    <w:p w:rsidR="00F3396F" w:rsidRDefault="00F71AB8">
      <w:pPr>
        <w:numPr>
          <w:ilvl w:val="0"/>
          <w:numId w:val="6"/>
        </w:numPr>
        <w:pBdr>
          <w:top w:val="nil"/>
          <w:left w:val="nil"/>
          <w:bottom w:val="nil"/>
          <w:right w:val="nil"/>
          <w:between w:val="nil"/>
        </w:pBdr>
        <w:tabs>
          <w:tab w:val="left" w:pos="0"/>
        </w:tabs>
        <w:spacing w:line="360" w:lineRule="auto"/>
        <w:ind w:left="0" w:right="-141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Ahora bien, de los documentos que entregue el </w:t>
      </w:r>
      <w:r>
        <w:rPr>
          <w:rFonts w:ascii="Palatino Linotype" w:eastAsia="Palatino Linotype" w:hAnsi="Palatino Linotype" w:cs="Palatino Linotype"/>
          <w:b/>
          <w:bCs/>
          <w:color w:val="000000"/>
        </w:rPr>
        <w:t xml:space="preserve">RECURRENTE </w:t>
      </w:r>
      <w:r>
        <w:rPr>
          <w:rFonts w:ascii="Palatino Linotype" w:eastAsia="Palatino Linotype" w:hAnsi="Palatino Linotype" w:cs="Palatino Linotype"/>
          <w:color w:val="000000"/>
        </w:rPr>
        <w:t xml:space="preserve">se debe de analizar la información que debe de ser </w:t>
      </w:r>
      <w:r>
        <w:rPr>
          <w:rFonts w:ascii="Palatino Linotype" w:eastAsia="Palatino Linotype" w:hAnsi="Palatino Linotype" w:cs="Palatino Linotype"/>
        </w:rPr>
        <w:t>clasificada</w:t>
      </w:r>
      <w:r>
        <w:rPr>
          <w:rFonts w:ascii="Palatino Linotype" w:eastAsia="Palatino Linotype" w:hAnsi="Palatino Linotype" w:cs="Palatino Linotype"/>
          <w:color w:val="000000"/>
        </w:rPr>
        <w:t xml:space="preserve"> como confidencial. </w:t>
      </w:r>
    </w:p>
    <w:p w:rsidR="00F3396F" w:rsidRDefault="00F3396F">
      <w:pPr>
        <w:pBdr>
          <w:top w:val="nil"/>
          <w:left w:val="nil"/>
          <w:bottom w:val="nil"/>
          <w:right w:val="nil"/>
          <w:between w:val="nil"/>
        </w:pBdr>
        <w:tabs>
          <w:tab w:val="left" w:pos="0"/>
        </w:tabs>
        <w:spacing w:line="360" w:lineRule="auto"/>
        <w:ind w:right="-1417"/>
        <w:jc w:val="both"/>
        <w:rPr>
          <w:rFonts w:ascii="Palatino Linotype" w:eastAsia="Palatino Linotype" w:hAnsi="Palatino Linotype" w:cs="Palatino Linotype"/>
        </w:rPr>
      </w:pPr>
    </w:p>
    <w:p w:rsidR="00F3396F" w:rsidRDefault="00F71AB8">
      <w:pPr>
        <w:numPr>
          <w:ilvl w:val="0"/>
          <w:numId w:val="2"/>
        </w:numPr>
        <w:pBdr>
          <w:top w:val="nil"/>
          <w:left w:val="nil"/>
          <w:bottom w:val="nil"/>
          <w:right w:val="nil"/>
          <w:between w:val="nil"/>
        </w:pBdr>
        <w:spacing w:line="360" w:lineRule="auto"/>
        <w:ind w:right="-1417"/>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Clave catastral </w:t>
      </w:r>
    </w:p>
    <w:p w:rsidR="00F3396F" w:rsidRDefault="00F71AB8">
      <w:pPr>
        <w:numPr>
          <w:ilvl w:val="0"/>
          <w:numId w:val="6"/>
        </w:numPr>
        <w:pBdr>
          <w:top w:val="nil"/>
          <w:left w:val="nil"/>
          <w:bottom w:val="nil"/>
          <w:right w:val="nil"/>
          <w:between w:val="nil"/>
        </w:pBdr>
        <w:tabs>
          <w:tab w:val="left" w:pos="0"/>
        </w:tabs>
        <w:spacing w:line="360" w:lineRule="auto"/>
        <w:ind w:left="0" w:right="-141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Por cuanto hace a la clave catastral; el artículo 179, fracción I, del Código Financiero del Estado de México y Municipios, refiere que la clave catastral es un código </w:t>
      </w:r>
      <w:r>
        <w:rPr>
          <w:rFonts w:ascii="Palatino Linotype" w:eastAsia="Palatino Linotype" w:hAnsi="Palatino Linotype" w:cs="Palatino Linotype"/>
          <w:color w:val="000000"/>
        </w:rPr>
        <w:t>alfanumérico</w:t>
      </w:r>
      <w:r>
        <w:rPr>
          <w:rFonts w:ascii="Palatino Linotype" w:eastAsia="Palatino Linotype" w:hAnsi="Palatino Linotype" w:cs="Palatino Linotype"/>
        </w:rPr>
        <w:t xml:space="preserve"> único e irrepetible, que se asigna para efectos de localización geográfica, identificación inscripción, control y registro de los inmuebles; por lo que, integrado de dieciséis caracteres., los primeros tres identifican el código del municipio, los dos siguientes a la zona catastral, los subsecuentes tres a la manzana y los últimos dos, identifican el número de lote o predio.</w:t>
      </w:r>
    </w:p>
    <w:p w:rsidR="00F3396F" w:rsidRDefault="00F3396F">
      <w:pPr>
        <w:spacing w:line="360" w:lineRule="auto"/>
        <w:ind w:right="-1417"/>
        <w:jc w:val="both"/>
        <w:rPr>
          <w:rFonts w:ascii="Palatino Linotype" w:eastAsia="Palatino Linotype" w:hAnsi="Palatino Linotype" w:cs="Palatino Linotype"/>
        </w:rPr>
      </w:pPr>
    </w:p>
    <w:p w:rsidR="00F3396F" w:rsidRDefault="00F71AB8">
      <w:pPr>
        <w:numPr>
          <w:ilvl w:val="0"/>
          <w:numId w:val="6"/>
        </w:numPr>
        <w:pBdr>
          <w:top w:val="nil"/>
          <w:left w:val="nil"/>
          <w:bottom w:val="nil"/>
          <w:right w:val="nil"/>
          <w:between w:val="nil"/>
        </w:pBdr>
        <w:tabs>
          <w:tab w:val="left" w:pos="0"/>
        </w:tabs>
        <w:spacing w:line="360" w:lineRule="auto"/>
        <w:ind w:left="0" w:right="-141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El diccionario de Datos catastrales Escala 1:1000 del Instituto Nacional de Estadística y </w:t>
      </w:r>
      <w:r>
        <w:rPr>
          <w:rFonts w:ascii="Palatino Linotype" w:eastAsia="Palatino Linotype" w:hAnsi="Palatino Linotype" w:cs="Palatino Linotype"/>
          <w:color w:val="000000"/>
        </w:rPr>
        <w:t>Geografía</w:t>
      </w:r>
      <w:r>
        <w:rPr>
          <w:rFonts w:ascii="Palatino Linotype" w:eastAsia="Palatino Linotype" w:hAnsi="Palatino Linotype" w:cs="Palatino Linotype"/>
        </w:rPr>
        <w:t xml:space="preserve"> (INEGI), contempla en su glosario la definición de clave catastral, la cual, es la siguiente:</w:t>
      </w:r>
    </w:p>
    <w:p w:rsidR="00F3396F" w:rsidRDefault="00F71AB8">
      <w:pPr>
        <w:ind w:left="1134" w:right="-1417"/>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 xml:space="preserve">Clave catastral: </w:t>
      </w:r>
      <w:r>
        <w:rPr>
          <w:rFonts w:ascii="Palatino Linotype" w:eastAsia="Palatino Linotype" w:hAnsi="Palatino Linotype" w:cs="Palatino Linotype"/>
          <w:i/>
          <w:iCs/>
        </w:rPr>
        <w:t>El código que identifica al predio de forma única para su localización geográfica, mismo que es asignado a cada uno de ellos en el momento de su inscripción en el padrón catastral por las Unidades del estado con atribuciones catastrales”</w:t>
      </w:r>
    </w:p>
    <w:p w:rsidR="00F3396F" w:rsidRDefault="00F3396F">
      <w:pPr>
        <w:spacing w:line="360" w:lineRule="auto"/>
        <w:ind w:right="-1417"/>
        <w:jc w:val="both"/>
        <w:rPr>
          <w:rFonts w:ascii="Palatino Linotype" w:eastAsia="Palatino Linotype" w:hAnsi="Palatino Linotype" w:cs="Palatino Linotype"/>
        </w:rPr>
      </w:pPr>
    </w:p>
    <w:p w:rsidR="00F3396F" w:rsidRDefault="00F71AB8">
      <w:pPr>
        <w:numPr>
          <w:ilvl w:val="0"/>
          <w:numId w:val="6"/>
        </w:numPr>
        <w:pBdr>
          <w:top w:val="nil"/>
          <w:left w:val="nil"/>
          <w:bottom w:val="nil"/>
          <w:right w:val="nil"/>
          <w:between w:val="nil"/>
        </w:pBdr>
        <w:tabs>
          <w:tab w:val="left" w:pos="0"/>
        </w:tabs>
        <w:spacing w:line="360" w:lineRule="auto"/>
        <w:ind w:left="0" w:right="-1417" w:firstLine="0"/>
        <w:jc w:val="both"/>
        <w:rPr>
          <w:rFonts w:ascii="Palatino Linotype" w:eastAsia="Palatino Linotype" w:hAnsi="Palatino Linotype" w:cs="Palatino Linotype"/>
        </w:rPr>
      </w:pPr>
      <w:r>
        <w:rPr>
          <w:rFonts w:ascii="Palatino Linotype" w:eastAsia="Palatino Linotype" w:hAnsi="Palatino Linotype" w:cs="Palatino Linotype"/>
        </w:rPr>
        <w:t>Así mismo, dicho diccionario estipula dos tipos de Claves catastrales, siendo estas la Estándar y la Original, cuyo diccionario de datos catastrales Escala 1:1000 del INEGI, las define como</w:t>
      </w:r>
    </w:p>
    <w:p w:rsidR="00F3396F" w:rsidRDefault="00F71AB8">
      <w:pPr>
        <w:ind w:left="1134" w:right="-1417"/>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w:t>
      </w:r>
      <w:r>
        <w:rPr>
          <w:rFonts w:ascii="Palatino Linotype" w:eastAsia="Palatino Linotype" w:hAnsi="Palatino Linotype" w:cs="Palatino Linotype"/>
          <w:b/>
          <w:bCs/>
          <w:i/>
          <w:iCs/>
        </w:rPr>
        <w:t xml:space="preserve">CLAVE CATASTRAL ESTÁNDAR: </w:t>
      </w:r>
      <w:r>
        <w:rPr>
          <w:rFonts w:ascii="Palatino Linotype" w:eastAsia="Palatino Linotype" w:hAnsi="Palatino Linotype" w:cs="Palatino Linotype"/>
          <w:i/>
          <w:iCs/>
        </w:rPr>
        <w:t>Código de 31 caracteres conformado por elementos administrativos y que identifica al objeto espacial en forma única para su localización, compuesto por: Estado (2) + Región Catastral (3) + Municipio (3) + Zona Catastral (2) + Localidad (4) + Sector Catastral (3) + Manzana(3) + Predio (5) +  Condominio: edificio (2) y unidad (4).</w:t>
      </w:r>
    </w:p>
    <w:p w:rsidR="00F3396F" w:rsidRDefault="00F3396F">
      <w:pPr>
        <w:ind w:left="1134" w:right="-1417"/>
        <w:jc w:val="both"/>
        <w:rPr>
          <w:rFonts w:ascii="Palatino Linotype" w:eastAsia="Palatino Linotype" w:hAnsi="Palatino Linotype" w:cs="Palatino Linotype"/>
          <w:i/>
          <w:iCs/>
        </w:rPr>
      </w:pPr>
    </w:p>
    <w:p w:rsidR="00F3396F" w:rsidRDefault="00F71AB8">
      <w:pPr>
        <w:ind w:left="1134" w:right="-1417"/>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CLAVE CATASTRAL ORIGINAL: </w:t>
      </w:r>
      <w:r>
        <w:rPr>
          <w:rFonts w:ascii="Palatino Linotype" w:eastAsia="Palatino Linotype" w:hAnsi="Palatino Linotype" w:cs="Palatino Linotype"/>
          <w:i/>
          <w:iCs/>
        </w:rPr>
        <w:t>Código que identifica al objeto espacial el cual es asignado, por el Catastro Estatal, Municipal o por el registro Agrario Nacional”</w:t>
      </w:r>
      <w:r>
        <w:rPr>
          <w:rFonts w:ascii="Palatino Linotype" w:eastAsia="Palatino Linotype" w:hAnsi="Palatino Linotype" w:cs="Palatino Linotype"/>
          <w:b/>
          <w:bCs/>
          <w:i/>
          <w:iCs/>
        </w:rPr>
        <w:t xml:space="preserve"> </w:t>
      </w:r>
    </w:p>
    <w:p w:rsidR="00521093" w:rsidRDefault="00521093">
      <w:pPr>
        <w:ind w:left="1134" w:right="-1417"/>
        <w:jc w:val="both"/>
        <w:rPr>
          <w:rFonts w:ascii="Palatino Linotype" w:eastAsia="Palatino Linotype" w:hAnsi="Palatino Linotype" w:cs="Palatino Linotype"/>
          <w:b/>
          <w:bCs/>
          <w:i/>
          <w:iCs/>
        </w:rPr>
      </w:pPr>
    </w:p>
    <w:p w:rsidR="00F3396F" w:rsidRDefault="00F71AB8">
      <w:pPr>
        <w:numPr>
          <w:ilvl w:val="0"/>
          <w:numId w:val="6"/>
        </w:numPr>
        <w:pBdr>
          <w:top w:val="nil"/>
          <w:left w:val="nil"/>
          <w:bottom w:val="nil"/>
          <w:right w:val="nil"/>
          <w:between w:val="nil"/>
        </w:pBdr>
        <w:tabs>
          <w:tab w:val="left" w:pos="0"/>
        </w:tabs>
        <w:spacing w:line="360" w:lineRule="auto"/>
        <w:ind w:left="0" w:right="-1417" w:firstLine="0"/>
        <w:jc w:val="both"/>
        <w:rPr>
          <w:rFonts w:ascii="Palatino Linotype" w:eastAsia="Palatino Linotype" w:hAnsi="Palatino Linotype" w:cs="Palatino Linotype"/>
          <w:b/>
          <w:bCs/>
        </w:rPr>
      </w:pPr>
      <w:r>
        <w:rPr>
          <w:rFonts w:ascii="Palatino Linotype" w:eastAsia="Palatino Linotype" w:hAnsi="Palatino Linotype" w:cs="Palatino Linotype"/>
        </w:rPr>
        <w:t xml:space="preserve">Conforme a lo anterior, se advierte que el dato en comento, hace referencia a un predio determinado, que lo hace identificable mediante su localización geográfica e inscripción al </w:t>
      </w:r>
      <w:r>
        <w:rPr>
          <w:rFonts w:ascii="Palatino Linotype" w:eastAsia="Palatino Linotype" w:hAnsi="Palatino Linotype" w:cs="Palatino Linotype"/>
          <w:color w:val="000000"/>
        </w:rPr>
        <w:t>padrón</w:t>
      </w:r>
      <w:r>
        <w:rPr>
          <w:rFonts w:ascii="Palatino Linotype" w:eastAsia="Palatino Linotype" w:hAnsi="Palatino Linotype" w:cs="Palatino Linotype"/>
        </w:rPr>
        <w:t xml:space="preserve"> catastral de cada entidad federativa, por lo que pudiera revelar información inherente al patrimonio del propietario de dicho predio o inmueble, por lo que de igual manera </w:t>
      </w:r>
      <w:r>
        <w:rPr>
          <w:rFonts w:ascii="Palatino Linotype" w:eastAsia="Palatino Linotype" w:hAnsi="Palatino Linotype" w:cs="Palatino Linotype"/>
          <w:b/>
          <w:bCs/>
        </w:rPr>
        <w:t>procede a clasificar dicho dato como confidencial.</w:t>
      </w:r>
    </w:p>
    <w:p w:rsidR="00F3396F" w:rsidRDefault="00F3396F">
      <w:pPr>
        <w:pBdr>
          <w:top w:val="nil"/>
          <w:left w:val="nil"/>
          <w:bottom w:val="nil"/>
          <w:right w:val="nil"/>
          <w:between w:val="nil"/>
        </w:pBdr>
        <w:tabs>
          <w:tab w:val="left" w:pos="0"/>
        </w:tabs>
        <w:spacing w:line="360" w:lineRule="auto"/>
        <w:ind w:right="-1417"/>
        <w:jc w:val="both"/>
        <w:rPr>
          <w:rFonts w:ascii="Palatino Linotype" w:eastAsia="Palatino Linotype" w:hAnsi="Palatino Linotype" w:cs="Palatino Linotype"/>
          <w:b/>
          <w:bCs/>
        </w:rPr>
      </w:pPr>
    </w:p>
    <w:p w:rsidR="00F3396F" w:rsidRDefault="00F71AB8">
      <w:pPr>
        <w:numPr>
          <w:ilvl w:val="0"/>
          <w:numId w:val="6"/>
        </w:numPr>
        <w:pBdr>
          <w:top w:val="nil"/>
          <w:left w:val="nil"/>
          <w:bottom w:val="nil"/>
          <w:right w:val="nil"/>
          <w:between w:val="nil"/>
        </w:pBdr>
        <w:tabs>
          <w:tab w:val="left" w:pos="0"/>
        </w:tabs>
        <w:spacing w:line="360" w:lineRule="auto"/>
        <w:ind w:left="0" w:right="-1417" w:firstLine="0"/>
        <w:jc w:val="both"/>
        <w:rPr>
          <w:rFonts w:ascii="Palatino Linotype" w:eastAsia="Palatino Linotype" w:hAnsi="Palatino Linotype" w:cs="Palatino Linotype"/>
        </w:rPr>
      </w:pPr>
      <w:r>
        <w:rPr>
          <w:rFonts w:ascii="Palatino Linotype" w:eastAsia="Palatino Linotype" w:hAnsi="Palatino Linotype" w:cs="Palatino Linotype"/>
        </w:rPr>
        <w:t>En lo que concierne, el nombre tanto del Titular de la licencia tiene el carácter de confidencial, teniendo como base que sólo deben hacerse públicos los datos personales mínimos que permitan verificar el cumplimiento de la normatividad, de modo, que se violentaba el derecho a la protección de datos personales de las personas referidas, si se toman en cuenta que en términos de los artículos 2.3 y 2.4 del Código Civil del Estado de México, son atributos de la personalidad, los siguientes:</w:t>
      </w:r>
    </w:p>
    <w:p w:rsidR="00F3396F" w:rsidRDefault="00F71AB8">
      <w:pPr>
        <w:pBdr>
          <w:top w:val="nil"/>
          <w:left w:val="nil"/>
          <w:bottom w:val="nil"/>
          <w:right w:val="nil"/>
          <w:between w:val="nil"/>
        </w:pBdr>
        <w:ind w:left="1134" w:right="-1417"/>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“Artículo 2.3.- </w:t>
      </w:r>
      <w:r>
        <w:rPr>
          <w:rFonts w:ascii="Palatino Linotype" w:eastAsia="Palatino Linotype" w:hAnsi="Palatino Linotype" w:cs="Palatino Linotype"/>
          <w:i/>
          <w:iCs/>
          <w:color w:val="000000"/>
        </w:rPr>
        <w:t>Los atributos de la personalidad son el nombre, domicilio, estado civil y patrimonio.</w:t>
      </w:r>
    </w:p>
    <w:p w:rsidR="00F3396F" w:rsidRDefault="00F71AB8">
      <w:pPr>
        <w:pBdr>
          <w:top w:val="nil"/>
          <w:left w:val="nil"/>
          <w:bottom w:val="nil"/>
          <w:right w:val="nil"/>
          <w:between w:val="nil"/>
        </w:pBdr>
        <w:ind w:left="1134" w:right="-1417"/>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Artículo 2.4.-</w:t>
      </w:r>
      <w:r>
        <w:rPr>
          <w:rFonts w:ascii="Palatino Linotype" w:eastAsia="Palatino Linotype" w:hAnsi="Palatino Linotype" w:cs="Palatino Linotype"/>
          <w:i/>
          <w:iCs/>
          <w:color w:val="000000"/>
        </w:rPr>
        <w:t xml:space="preserve"> Los derechos de la personalidad constituyen el patrimonio moral o afectivo de las personas físicas. Son inalienables, imprescriptibles e irrenunciables, y goza de ellos también la persona jurídica colectiva en lo que sea compatible con su naturaleza. </w:t>
      </w:r>
    </w:p>
    <w:p w:rsidR="00F3396F" w:rsidRDefault="00F71AB8">
      <w:pPr>
        <w:pBdr>
          <w:top w:val="nil"/>
          <w:left w:val="nil"/>
          <w:bottom w:val="nil"/>
          <w:right w:val="nil"/>
          <w:between w:val="nil"/>
        </w:pBdr>
        <w:ind w:left="1134" w:right="-141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Es deber del Estado proteger, fomentar y desarrollar estos derechos.”</w:t>
      </w:r>
    </w:p>
    <w:p w:rsidR="00F3396F" w:rsidRDefault="00F3396F">
      <w:pPr>
        <w:pBdr>
          <w:top w:val="nil"/>
          <w:left w:val="nil"/>
          <w:bottom w:val="nil"/>
          <w:right w:val="nil"/>
          <w:between w:val="nil"/>
        </w:pBdr>
        <w:spacing w:after="120"/>
        <w:ind w:left="360" w:right="-1417"/>
        <w:jc w:val="both"/>
        <w:rPr>
          <w:rFonts w:ascii="Palatino Linotype" w:eastAsia="Palatino Linotype" w:hAnsi="Palatino Linotype" w:cs="Palatino Linotype"/>
          <w:i/>
          <w:iCs/>
          <w:color w:val="000000"/>
        </w:rPr>
      </w:pPr>
    </w:p>
    <w:p w:rsidR="00F3396F" w:rsidRDefault="00F71AB8">
      <w:pPr>
        <w:numPr>
          <w:ilvl w:val="0"/>
          <w:numId w:val="6"/>
        </w:numPr>
        <w:pBdr>
          <w:top w:val="nil"/>
          <w:left w:val="nil"/>
          <w:bottom w:val="nil"/>
          <w:right w:val="nil"/>
          <w:between w:val="nil"/>
        </w:pBdr>
        <w:tabs>
          <w:tab w:val="left" w:pos="0"/>
        </w:tabs>
        <w:spacing w:line="360" w:lineRule="auto"/>
        <w:ind w:left="0" w:right="-141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De modo, que el nombre es un dato personal confidencial, lo cual se sustenta en </w:t>
      </w:r>
      <w:r>
        <w:rPr>
          <w:rFonts w:ascii="Palatino Linotype" w:eastAsia="Palatino Linotype" w:hAnsi="Palatino Linotype" w:cs="Palatino Linotype"/>
        </w:rPr>
        <w:t>el</w:t>
      </w:r>
      <w:r>
        <w:rPr>
          <w:rFonts w:ascii="Palatino Linotype" w:eastAsia="Palatino Linotype" w:hAnsi="Palatino Linotype" w:cs="Palatino Linotype"/>
          <w:color w:val="000000"/>
        </w:rPr>
        <w:t xml:space="preserve"> criterio 01/2018 de la Segunda Época, de los emitidos por el Pleno de este Instituto, que para mayor referencia se inserta enseguida:</w:t>
      </w:r>
    </w:p>
    <w:p w:rsidR="00F3396F" w:rsidRDefault="00F71AB8">
      <w:pPr>
        <w:pBdr>
          <w:top w:val="nil"/>
          <w:left w:val="nil"/>
          <w:bottom w:val="nil"/>
          <w:right w:val="nil"/>
          <w:between w:val="nil"/>
        </w:pBdr>
        <w:spacing w:after="120"/>
        <w:ind w:left="1134" w:right="-1417"/>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“Nombre del titular de una licencia que no involucre el aprovechamiento de bienes, servicios y/o recursos públicos, constituye un dato personal susceptible de clasificar como confidencial. </w:t>
      </w:r>
      <w:r>
        <w:rPr>
          <w:rFonts w:ascii="Palatino Linotype" w:eastAsia="Palatino Linotype" w:hAnsi="Palatino Linotype" w:cs="Palatino Linotype"/>
          <w:i/>
          <w:iCs/>
          <w:color w:val="000000"/>
        </w:rPr>
        <w:t>El artículo 1, párrafo segundo de la Constitución Política de los Estados Unidos Mexicanos determina que las normas relativas a los derechos humanos se interpretarán de conformidad con la Constitución y con los tratados internacionales de la materia favoreciendo en todo tiempo a las personas la protección más amplia, por su parte el artículo 6, apartado A, fracciones I y II, de dicho ordenamiento establece que toda información en posesión de los sujetos obligados es pública y sólo podrá limitarse de manera justificada por razones de interés público, seguridad nacional, y para proteger la vida privada y datos personales en los términos precisados por las Leyes reglamentarias. Ahora bien, el artículo 92, fracción XXXII de la Ley de Transparencia y Acceso a la Información Pública del Estado de México y Municipios, señala que el nombre de los titulares de las licencias es un dato de carácter público, no obstante, para su aplicación, dicho numeral debe ser interpretado de manera armónica y sistemática con el ordenamiento reglamentario de la materia de transparencia y protección de datos personales, pues la intromisión a los datos personales de particulares únicamente se verá justificada cuando se involucre el aprovechamiento de bienes, servicios y/o recursos públicos en términos de lo dispuesto por los artículos 6, 92, fracción XXXII, 122 y 143, fracción I, de la Ley de Transparencia referida en concordancia con lo establecido por los numerales 6 y 15 de la Ley de Protección de Datos Personales en Posesión de Sujetos Obligados de la entidad. En ese sentido, el nombre de los titulares de licencias constituye un dato personal que debe ser tratado bajo los principios y términos de la ley reglamentaria de la materia, y para su publicidad se requerirá que la expedición de la licencia correspondiente involucre el aprovechamiento de bienes, servicios y/o recursos públicos, caso contrario se deberá clasificar como confidencial.”</w:t>
      </w:r>
    </w:p>
    <w:p w:rsidR="00F3396F" w:rsidRDefault="00F3396F">
      <w:pPr>
        <w:pBdr>
          <w:top w:val="nil"/>
          <w:left w:val="nil"/>
          <w:bottom w:val="nil"/>
          <w:right w:val="nil"/>
          <w:between w:val="nil"/>
        </w:pBdr>
        <w:tabs>
          <w:tab w:val="left" w:pos="0"/>
        </w:tabs>
        <w:spacing w:line="360" w:lineRule="auto"/>
        <w:ind w:right="-1417"/>
        <w:jc w:val="both"/>
        <w:rPr>
          <w:rFonts w:ascii="Palatino Linotype" w:eastAsia="Palatino Linotype" w:hAnsi="Palatino Linotype" w:cs="Palatino Linotype"/>
          <w:color w:val="000000"/>
        </w:rPr>
      </w:pPr>
    </w:p>
    <w:p w:rsidR="00521093" w:rsidRDefault="00521093">
      <w:pPr>
        <w:pBdr>
          <w:top w:val="nil"/>
          <w:left w:val="nil"/>
          <w:bottom w:val="nil"/>
          <w:right w:val="nil"/>
          <w:between w:val="nil"/>
        </w:pBdr>
        <w:tabs>
          <w:tab w:val="left" w:pos="0"/>
        </w:tabs>
        <w:spacing w:line="360" w:lineRule="auto"/>
        <w:ind w:right="-1417"/>
        <w:jc w:val="both"/>
        <w:rPr>
          <w:rFonts w:ascii="Palatino Linotype" w:eastAsia="Palatino Linotype" w:hAnsi="Palatino Linotype" w:cs="Palatino Linotype"/>
          <w:color w:val="000000"/>
        </w:rPr>
      </w:pPr>
    </w:p>
    <w:p w:rsidR="00521093" w:rsidRDefault="00521093">
      <w:pPr>
        <w:pBdr>
          <w:top w:val="nil"/>
          <w:left w:val="nil"/>
          <w:bottom w:val="nil"/>
          <w:right w:val="nil"/>
          <w:between w:val="nil"/>
        </w:pBdr>
        <w:tabs>
          <w:tab w:val="left" w:pos="0"/>
        </w:tabs>
        <w:spacing w:line="360" w:lineRule="auto"/>
        <w:ind w:right="-1417"/>
        <w:jc w:val="both"/>
        <w:rPr>
          <w:rFonts w:ascii="Palatino Linotype" w:eastAsia="Palatino Linotype" w:hAnsi="Palatino Linotype" w:cs="Palatino Linotype"/>
          <w:color w:val="000000"/>
        </w:rPr>
      </w:pPr>
    </w:p>
    <w:p w:rsidR="00F3396F" w:rsidRDefault="00F71AB8">
      <w:pPr>
        <w:spacing w:line="360" w:lineRule="auto"/>
        <w:ind w:right="-1417"/>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lastRenderedPageBreak/>
        <w:t>Registro Federal de Contribuyentes</w:t>
      </w:r>
      <w:r>
        <w:rPr>
          <w:rFonts w:ascii="Palatino Linotype" w:eastAsia="Palatino Linotype" w:hAnsi="Palatino Linotype" w:cs="Palatino Linotype"/>
          <w:color w:val="000000"/>
        </w:rPr>
        <w:t xml:space="preserve"> (RFC)</w:t>
      </w:r>
    </w:p>
    <w:p w:rsidR="00F3396F" w:rsidRDefault="00F71AB8">
      <w:pPr>
        <w:numPr>
          <w:ilvl w:val="0"/>
          <w:numId w:val="6"/>
        </w:numPr>
        <w:pBdr>
          <w:top w:val="nil"/>
          <w:left w:val="nil"/>
          <w:bottom w:val="nil"/>
          <w:right w:val="nil"/>
          <w:between w:val="nil"/>
        </w:pBdr>
        <w:tabs>
          <w:tab w:val="left" w:pos="0"/>
        </w:tabs>
        <w:spacing w:line="360" w:lineRule="auto"/>
        <w:ind w:left="0" w:right="-1417"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Las</w:t>
      </w:r>
      <w:r>
        <w:rPr>
          <w:rFonts w:ascii="Palatino Linotype" w:eastAsia="Palatino Linotype" w:hAnsi="Palatino Linotype" w:cs="Palatino Linotype"/>
          <w:color w:val="000000"/>
        </w:rPr>
        <w:t xml:space="preserve"> personas físicas que deban presentar declaraciones periódicas o que están obligadas a expedir comprobantes fiscales, tienen que solicitar su inscripción en el Registro Federal de Contribuyentes, esta inscripción es realizada por el Servicio de Administración Tributaria, quien entrega una cédula de identificación fiscal en donde consta la clave que asigna este órgano desconcentrado de la Secretaría de Hacienda y Crédito Público, de acuerdo con el artículo 27 del Código Fiscal de la Federación.</w:t>
      </w:r>
    </w:p>
    <w:p w:rsidR="00521093" w:rsidRDefault="00521093" w:rsidP="00521093">
      <w:pPr>
        <w:pBdr>
          <w:top w:val="nil"/>
          <w:left w:val="nil"/>
          <w:bottom w:val="nil"/>
          <w:right w:val="nil"/>
          <w:between w:val="nil"/>
        </w:pBdr>
        <w:tabs>
          <w:tab w:val="left" w:pos="0"/>
        </w:tabs>
        <w:spacing w:line="360" w:lineRule="auto"/>
        <w:ind w:right="-1417"/>
        <w:jc w:val="both"/>
        <w:rPr>
          <w:rFonts w:ascii="Palatino Linotype" w:eastAsia="Palatino Linotype" w:hAnsi="Palatino Linotype" w:cs="Palatino Linotype"/>
          <w:color w:val="000000"/>
        </w:rPr>
      </w:pPr>
    </w:p>
    <w:p w:rsidR="00F3396F" w:rsidRDefault="00F71AB8">
      <w:pPr>
        <w:numPr>
          <w:ilvl w:val="0"/>
          <w:numId w:val="6"/>
        </w:numPr>
        <w:pBdr>
          <w:top w:val="nil"/>
          <w:left w:val="nil"/>
          <w:bottom w:val="nil"/>
          <w:right w:val="nil"/>
          <w:between w:val="nil"/>
        </w:pBdr>
        <w:tabs>
          <w:tab w:val="left" w:pos="0"/>
        </w:tabs>
        <w:spacing w:line="360" w:lineRule="auto"/>
        <w:ind w:left="0" w:right="-141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acuerdo con lo establecido en el artículo en comento, esta clave se compone de trece caracteres alfanuméricos, con datos obtenidos de los apellidos, nombre (s), fecha de </w:t>
      </w:r>
      <w:r>
        <w:rPr>
          <w:rFonts w:ascii="Palatino Linotype" w:eastAsia="Palatino Linotype" w:hAnsi="Palatino Linotype" w:cs="Palatino Linotype"/>
        </w:rPr>
        <w:t>nacimiento</w:t>
      </w:r>
      <w:r>
        <w:rPr>
          <w:rFonts w:ascii="Palatino Linotype" w:eastAsia="Palatino Linotype" w:hAnsi="Palatino Linotype" w:cs="Palatino Linotype"/>
          <w:color w:val="000000"/>
        </w:rPr>
        <w:t xml:space="preserve"> del titular, más una homoclave que establece el sistema automático del Servicio de Administración Tributaria.</w:t>
      </w:r>
    </w:p>
    <w:p w:rsidR="00F3396F" w:rsidRDefault="00F3396F">
      <w:pPr>
        <w:spacing w:line="360" w:lineRule="auto"/>
        <w:ind w:right="-1417"/>
        <w:jc w:val="both"/>
        <w:rPr>
          <w:rFonts w:ascii="Palatino Linotype" w:eastAsia="Palatino Linotype" w:hAnsi="Palatino Linotype" w:cs="Palatino Linotype"/>
          <w:color w:val="000000"/>
        </w:rPr>
      </w:pPr>
    </w:p>
    <w:p w:rsidR="00F3396F" w:rsidRDefault="00F71AB8">
      <w:pPr>
        <w:numPr>
          <w:ilvl w:val="0"/>
          <w:numId w:val="6"/>
        </w:numPr>
        <w:pBdr>
          <w:top w:val="nil"/>
          <w:left w:val="nil"/>
          <w:bottom w:val="nil"/>
          <w:right w:val="nil"/>
          <w:between w:val="nil"/>
        </w:pBdr>
        <w:tabs>
          <w:tab w:val="left" w:pos="0"/>
        </w:tabs>
        <w:spacing w:line="360" w:lineRule="auto"/>
        <w:ind w:left="0" w:right="-1417"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Ahora</w:t>
      </w:r>
      <w:r>
        <w:rPr>
          <w:rFonts w:ascii="Palatino Linotype" w:eastAsia="Palatino Linotype" w:hAnsi="Palatino Linotype" w:cs="Palatino Linotype"/>
          <w:color w:val="000000"/>
        </w:rPr>
        <w:t xml:space="preserve"> bien, la clave del Registro Federal de Contribuyentes es el medio de control que tiene la Secretaría de Hacienda y Crédito Público, a través del Servicio de Administración Tributaria, para exigir y vigilar el cumplimiento de las obligaciones fiscales de los contribuyentes; mientras que los particulares tramitan dicho dato, con el único propósito de realizar mediante esa clave de identificación, operaciones o actividades de naturaleza fiscal.</w:t>
      </w:r>
    </w:p>
    <w:p w:rsidR="00F3396F" w:rsidRDefault="00F3396F">
      <w:pPr>
        <w:spacing w:line="360" w:lineRule="auto"/>
        <w:ind w:right="-1417"/>
        <w:jc w:val="both"/>
        <w:rPr>
          <w:rFonts w:ascii="Palatino Linotype" w:eastAsia="Palatino Linotype" w:hAnsi="Palatino Linotype" w:cs="Palatino Linotype"/>
          <w:color w:val="000000"/>
        </w:rPr>
      </w:pPr>
    </w:p>
    <w:p w:rsidR="00F3396F" w:rsidRDefault="00F71AB8">
      <w:pPr>
        <w:numPr>
          <w:ilvl w:val="0"/>
          <w:numId w:val="6"/>
        </w:numPr>
        <w:pBdr>
          <w:top w:val="nil"/>
          <w:left w:val="nil"/>
          <w:bottom w:val="nil"/>
          <w:right w:val="nil"/>
          <w:between w:val="nil"/>
        </w:pBdr>
        <w:tabs>
          <w:tab w:val="left" w:pos="0"/>
        </w:tabs>
        <w:spacing w:line="360" w:lineRule="auto"/>
        <w:ind w:left="0" w:right="-1417"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Conforme</w:t>
      </w:r>
      <w:r>
        <w:rPr>
          <w:rFonts w:ascii="Palatino Linotype" w:eastAsia="Palatino Linotype" w:hAnsi="Palatino Linotype" w:cs="Palatino Linotype"/>
          <w:color w:val="000000"/>
        </w:rPr>
        <w:t xml:space="preserve"> a lo expuesto, el Registro Federal de Contribuyentes, es un dato personal, ya que </w:t>
      </w:r>
      <w:r>
        <w:rPr>
          <w:rFonts w:ascii="Palatino Linotype" w:eastAsia="Palatino Linotype" w:hAnsi="Palatino Linotype" w:cs="Palatino Linotype"/>
        </w:rPr>
        <w:t>hace</w:t>
      </w:r>
      <w:r>
        <w:rPr>
          <w:rFonts w:ascii="Palatino Linotype" w:eastAsia="Palatino Linotype" w:hAnsi="Palatino Linotype" w:cs="Palatino Linotype"/>
          <w:color w:val="000000"/>
        </w:rPr>
        <w:t xml:space="preserve"> a las personas físicas identificables, además de que las relaciona como contribuyentes de las autoridades fiscales. Es de destacar que dicho dato únicamente sirve </w:t>
      </w:r>
      <w:r>
        <w:rPr>
          <w:rFonts w:ascii="Palatino Linotype" w:eastAsia="Palatino Linotype" w:hAnsi="Palatino Linotype" w:cs="Palatino Linotype"/>
          <w:color w:val="000000"/>
        </w:rPr>
        <w:lastRenderedPageBreak/>
        <w:t xml:space="preserve">para efectos fiscales y pago de contribuciones, por lo que se trata de un dato relevante únicamente para las personas involucradas, en el pago de estos, en el presente caso, del pago del Impuesto Sobre el Producto del Trabajo. </w:t>
      </w:r>
    </w:p>
    <w:p w:rsidR="00F3396F" w:rsidRDefault="00F3396F">
      <w:pPr>
        <w:spacing w:line="360" w:lineRule="auto"/>
        <w:ind w:right="-1417"/>
        <w:jc w:val="both"/>
        <w:rPr>
          <w:rFonts w:ascii="Palatino Linotype" w:eastAsia="Palatino Linotype" w:hAnsi="Palatino Linotype" w:cs="Palatino Linotype"/>
          <w:color w:val="000000"/>
        </w:rPr>
      </w:pPr>
    </w:p>
    <w:p w:rsidR="00F3396F" w:rsidRDefault="00F71AB8">
      <w:pPr>
        <w:numPr>
          <w:ilvl w:val="0"/>
          <w:numId w:val="6"/>
        </w:numPr>
        <w:pBdr>
          <w:top w:val="nil"/>
          <w:left w:val="nil"/>
          <w:bottom w:val="nil"/>
          <w:right w:val="nil"/>
          <w:between w:val="nil"/>
        </w:pBdr>
        <w:tabs>
          <w:tab w:val="left" w:pos="0"/>
        </w:tabs>
        <w:spacing w:line="360" w:lineRule="auto"/>
        <w:ind w:left="0" w:right="-1417"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Lo</w:t>
      </w:r>
      <w:r>
        <w:rPr>
          <w:rFonts w:ascii="Palatino Linotype" w:eastAsia="Palatino Linotype" w:hAnsi="Palatino Linotype" w:cs="Palatino Linotype"/>
          <w:color w:val="000000"/>
        </w:rPr>
        <w:t xml:space="preserve"> anterior, resulta congruente con el Criterio 19/17 emitido por el Instituto Nacional de Transparencia, Acceso a la Información y Protección de Datos Personales, en el cual se señala lo siguiente:</w:t>
      </w:r>
    </w:p>
    <w:p w:rsidR="00F3396F" w:rsidRDefault="00F71AB8">
      <w:pPr>
        <w:ind w:left="1134" w:right="-141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Registro Federal de Contribuyentes (RFC) de personas físicas</w:t>
      </w:r>
      <w:r>
        <w:rPr>
          <w:rFonts w:ascii="Palatino Linotype" w:eastAsia="Palatino Linotype" w:hAnsi="Palatino Linotype" w:cs="Palatino Linotype"/>
          <w:i/>
          <w:iCs/>
          <w:color w:val="000000"/>
        </w:rPr>
        <w:t>. El RFC es una clave de carácter fiscal, única e irrepetible, que permite identificar al titular, su edad y fecha de nacimiento, por lo que es un dato personal de carácter confidencial.”</w:t>
      </w:r>
    </w:p>
    <w:p w:rsidR="00F3396F" w:rsidRDefault="00F3396F">
      <w:pPr>
        <w:ind w:left="1134" w:right="-1417"/>
        <w:jc w:val="both"/>
        <w:rPr>
          <w:rFonts w:ascii="Palatino Linotype" w:eastAsia="Palatino Linotype" w:hAnsi="Palatino Linotype" w:cs="Palatino Linotype"/>
          <w:color w:val="000000"/>
        </w:rPr>
      </w:pPr>
    </w:p>
    <w:p w:rsidR="00521093" w:rsidRDefault="00521093">
      <w:pPr>
        <w:ind w:left="1134" w:right="-1417"/>
        <w:jc w:val="both"/>
        <w:rPr>
          <w:rFonts w:ascii="Palatino Linotype" w:eastAsia="Palatino Linotype" w:hAnsi="Palatino Linotype" w:cs="Palatino Linotype"/>
          <w:color w:val="000000"/>
        </w:rPr>
      </w:pPr>
    </w:p>
    <w:p w:rsidR="00F3396F" w:rsidRDefault="00F71AB8">
      <w:pPr>
        <w:numPr>
          <w:ilvl w:val="0"/>
          <w:numId w:val="6"/>
        </w:numPr>
        <w:pBdr>
          <w:top w:val="nil"/>
          <w:left w:val="nil"/>
          <w:bottom w:val="nil"/>
          <w:right w:val="nil"/>
          <w:between w:val="nil"/>
        </w:pBdr>
        <w:tabs>
          <w:tab w:val="left" w:pos="0"/>
        </w:tabs>
        <w:spacing w:line="360" w:lineRule="auto"/>
        <w:ind w:left="0" w:right="-1417"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De</w:t>
      </w:r>
      <w:r>
        <w:rPr>
          <w:rFonts w:ascii="Palatino Linotype" w:eastAsia="Palatino Linotype" w:hAnsi="Palatino Linotype" w:cs="Palatino Linotype"/>
          <w:color w:val="000000"/>
        </w:rPr>
        <w:t xml:space="preserve"> tal suerte, el Registro Federal de Contribuyentes de los servidores públicos no guarda relación con la transparencia de los recursos públicos, así como tampoco con el desempeño laboral que pueda tener una persona, por lo que constituye un dato personal </w:t>
      </w:r>
      <w:r>
        <w:rPr>
          <w:rFonts w:ascii="Palatino Linotype" w:eastAsia="Palatino Linotype" w:hAnsi="Palatino Linotype" w:cs="Palatino Linotype"/>
        </w:rPr>
        <w:t>confidencial</w:t>
      </w:r>
      <w:r>
        <w:rPr>
          <w:rFonts w:ascii="Palatino Linotype" w:eastAsia="Palatino Linotype" w:hAnsi="Palatino Linotype" w:cs="Palatino Linotype"/>
          <w:color w:val="000000"/>
        </w:rPr>
        <w:t xml:space="preserve"> al actualizar el supuesto normativo del artículo 143, fracción I de la Ley de Transparencia y Acceso a la Información Pública del Estado de México y Municipios.</w:t>
      </w:r>
    </w:p>
    <w:p w:rsidR="00F3396F" w:rsidRDefault="00F3396F">
      <w:pPr>
        <w:spacing w:line="360" w:lineRule="auto"/>
        <w:ind w:right="-1417"/>
        <w:jc w:val="both"/>
        <w:rPr>
          <w:rFonts w:ascii="Palatino Linotype" w:eastAsia="Palatino Linotype" w:hAnsi="Palatino Linotype" w:cs="Palatino Linotype"/>
          <w:color w:val="000000"/>
        </w:rPr>
      </w:pPr>
    </w:p>
    <w:p w:rsidR="00F3396F" w:rsidRDefault="00F71AB8">
      <w:pPr>
        <w:spacing w:line="360" w:lineRule="auto"/>
        <w:ind w:right="-1417"/>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Clave única de Registro de Población –CURP-</w:t>
      </w:r>
    </w:p>
    <w:p w:rsidR="00F3396F" w:rsidRDefault="00F71AB8">
      <w:pPr>
        <w:numPr>
          <w:ilvl w:val="0"/>
          <w:numId w:val="6"/>
        </w:numPr>
        <w:pBdr>
          <w:top w:val="nil"/>
          <w:left w:val="nil"/>
          <w:bottom w:val="nil"/>
          <w:right w:val="nil"/>
          <w:between w:val="nil"/>
        </w:pBdr>
        <w:tabs>
          <w:tab w:val="left" w:pos="0"/>
        </w:tabs>
        <w:spacing w:line="360" w:lineRule="auto"/>
        <w:ind w:left="0" w:right="-141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artículo 36 de la Constitución Política de los Estados Unidos Mexicanos, dispone la </w:t>
      </w:r>
      <w:r>
        <w:rPr>
          <w:rFonts w:ascii="Palatino Linotype" w:eastAsia="Palatino Linotype" w:hAnsi="Palatino Linotype" w:cs="Palatino Linotype"/>
        </w:rPr>
        <w:t>obligación</w:t>
      </w:r>
      <w:r>
        <w:rPr>
          <w:rFonts w:ascii="Palatino Linotype" w:eastAsia="Palatino Linotype" w:hAnsi="Palatino Linotype" w:cs="Palatino Linotype"/>
          <w:color w:val="000000"/>
        </w:rPr>
        <w:t xml:space="preserve"> de los ciudadanos de inscribirse en el Registro Nacional de Ciudadanos. </w:t>
      </w:r>
    </w:p>
    <w:p w:rsidR="00F3396F" w:rsidRDefault="00F3396F">
      <w:pPr>
        <w:spacing w:line="360" w:lineRule="auto"/>
        <w:ind w:right="-1417"/>
        <w:jc w:val="both"/>
        <w:rPr>
          <w:rFonts w:ascii="Palatino Linotype" w:eastAsia="Palatino Linotype" w:hAnsi="Palatino Linotype" w:cs="Palatino Linotype"/>
          <w:color w:val="000000"/>
        </w:rPr>
      </w:pPr>
    </w:p>
    <w:p w:rsidR="00F3396F" w:rsidRDefault="00F71AB8">
      <w:pPr>
        <w:numPr>
          <w:ilvl w:val="0"/>
          <w:numId w:val="6"/>
        </w:numPr>
        <w:pBdr>
          <w:top w:val="nil"/>
          <w:left w:val="nil"/>
          <w:bottom w:val="nil"/>
          <w:right w:val="nil"/>
          <w:between w:val="nil"/>
        </w:pBdr>
        <w:tabs>
          <w:tab w:val="left" w:pos="0"/>
        </w:tabs>
        <w:spacing w:line="360" w:lineRule="auto"/>
        <w:ind w:left="0" w:right="-141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rPr>
        <w:t>artículo</w:t>
      </w:r>
      <w:r>
        <w:rPr>
          <w:rFonts w:ascii="Palatino Linotype" w:eastAsia="Palatino Linotype" w:hAnsi="Palatino Linotype" w:cs="Palatino Linotype"/>
          <w:color w:val="000000"/>
        </w:rPr>
        <w:t xml:space="preserve"> 85 de la Ley General de Población, prevé que corresponde a la Secretaría de Gobernación el registro y acreditación de la identidad de todas las personas residentes en el país y de los nacionales que residan en el extranjero.</w:t>
      </w:r>
    </w:p>
    <w:p w:rsidR="00F3396F" w:rsidRDefault="00F71AB8">
      <w:pPr>
        <w:numPr>
          <w:ilvl w:val="0"/>
          <w:numId w:val="6"/>
        </w:numPr>
        <w:pBdr>
          <w:top w:val="nil"/>
          <w:left w:val="nil"/>
          <w:bottom w:val="nil"/>
          <w:right w:val="nil"/>
          <w:between w:val="nil"/>
        </w:pBdr>
        <w:tabs>
          <w:tab w:val="left" w:pos="0"/>
        </w:tabs>
        <w:spacing w:line="360" w:lineRule="auto"/>
        <w:ind w:left="0" w:right="-141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Acorde con lo anterior, el artículo 22 del Reglamento Interior de la Secretaría de </w:t>
      </w:r>
      <w:r>
        <w:rPr>
          <w:rFonts w:ascii="Palatino Linotype" w:eastAsia="Palatino Linotype" w:hAnsi="Palatino Linotype" w:cs="Palatino Linotype"/>
        </w:rPr>
        <w:t>Gobernación</w:t>
      </w:r>
      <w:r>
        <w:rPr>
          <w:rFonts w:ascii="Palatino Linotype" w:eastAsia="Palatino Linotype" w:hAnsi="Palatino Linotype" w:cs="Palatino Linotype"/>
          <w:color w:val="000000"/>
        </w:rPr>
        <w:t>, establece en su fracción III, que la Dirección General del Registro Nacional de Población e Identificación Personal tiene la atribución de asignar y depurar la Clave Única de Registro de Población a todas las personas residentes en el país, así como a los mexicanos que residan en el extranjero.</w:t>
      </w:r>
    </w:p>
    <w:p w:rsidR="00F3396F" w:rsidRDefault="00F3396F">
      <w:pPr>
        <w:spacing w:line="360" w:lineRule="auto"/>
        <w:ind w:right="-1417"/>
        <w:jc w:val="both"/>
        <w:rPr>
          <w:rFonts w:ascii="Palatino Linotype" w:eastAsia="Palatino Linotype" w:hAnsi="Palatino Linotype" w:cs="Palatino Linotype"/>
          <w:b/>
          <w:bCs/>
          <w:color w:val="000000"/>
        </w:rPr>
      </w:pPr>
    </w:p>
    <w:p w:rsidR="00F3396F" w:rsidRDefault="00F71AB8">
      <w:pPr>
        <w:numPr>
          <w:ilvl w:val="0"/>
          <w:numId w:val="6"/>
        </w:numPr>
        <w:pBdr>
          <w:top w:val="nil"/>
          <w:left w:val="nil"/>
          <w:bottom w:val="nil"/>
          <w:right w:val="nil"/>
          <w:between w:val="nil"/>
        </w:pBdr>
        <w:tabs>
          <w:tab w:val="left" w:pos="0"/>
        </w:tabs>
        <w:spacing w:line="360" w:lineRule="auto"/>
        <w:ind w:left="0" w:right="-141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conformidad con lo precisado por la propia Secretaría de Gobernación en la dirección </w:t>
      </w:r>
      <w:hyperlink r:id="rId10">
        <w:r>
          <w:rPr>
            <w:rFonts w:ascii="Palatino Linotype" w:eastAsia="Palatino Linotype" w:hAnsi="Palatino Linotype" w:cs="Palatino Linotype"/>
            <w:color w:val="0563C1"/>
            <w:u w:val="single"/>
          </w:rPr>
          <w:t>https://consultas.curp.gob.mx/CurpSP/html/informacionecurpPS.html</w:t>
        </w:r>
      </w:hyperlink>
      <w:r>
        <w:rPr>
          <w:rFonts w:ascii="Palatino Linotype" w:eastAsia="Palatino Linotype" w:hAnsi="Palatino Linotype" w:cs="Palatino Linotype"/>
          <w:color w:val="000000"/>
        </w:rPr>
        <w:t xml:space="preserve">, la Clave Única del Registro de Población  CURP-, es un instrumento de registro que se asigna a todas las personas que viven en el territorio nacional, así como a los mexicanos que residen en el extranjero y se compone de dieciocho elementos, representados por letras y números, que </w:t>
      </w:r>
      <w:r>
        <w:rPr>
          <w:rFonts w:ascii="Palatino Linotype" w:eastAsia="Palatino Linotype" w:hAnsi="Palatino Linotype" w:cs="Palatino Linotype"/>
          <w:b/>
          <w:bCs/>
          <w:color w:val="000000"/>
        </w:rPr>
        <w:t xml:space="preserve">se generan a partir de los datos contenidos en el documento probatorio de la identidad del interesado </w:t>
      </w:r>
      <w:r>
        <w:rPr>
          <w:rFonts w:ascii="Palatino Linotype" w:eastAsia="Palatino Linotype" w:hAnsi="Palatino Linotype" w:cs="Palatino Linotype"/>
          <w:color w:val="000000"/>
        </w:rPr>
        <w:t>(acta de nacimiento, carta de naturalización o documento migratorio) de la siguiente forma:</w:t>
      </w:r>
    </w:p>
    <w:p w:rsidR="00F3396F" w:rsidRDefault="00F71AB8">
      <w:pPr>
        <w:spacing w:line="360" w:lineRule="auto"/>
        <w:ind w:right="-141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 • El primero y segundo apellidos, así como al nombre de pila.</w:t>
      </w:r>
    </w:p>
    <w:p w:rsidR="00F3396F" w:rsidRDefault="00F71AB8">
      <w:pPr>
        <w:spacing w:line="360" w:lineRule="auto"/>
        <w:ind w:right="-141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 • La fecha de nacimiento.</w:t>
      </w:r>
    </w:p>
    <w:p w:rsidR="00F3396F" w:rsidRDefault="00F71AB8">
      <w:pPr>
        <w:spacing w:line="360" w:lineRule="auto"/>
        <w:ind w:right="-141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 • El sexo.</w:t>
      </w:r>
    </w:p>
    <w:p w:rsidR="00F3396F" w:rsidRDefault="00F71AB8">
      <w:pPr>
        <w:spacing w:line="360" w:lineRule="auto"/>
        <w:ind w:right="-141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 • La entidad federativa de nacimiento.</w:t>
      </w:r>
    </w:p>
    <w:p w:rsidR="00F3396F" w:rsidRDefault="00F71AB8">
      <w:pPr>
        <w:spacing w:line="360" w:lineRule="auto"/>
        <w:ind w:right="-141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Los dos últimos elementos de la CURP evitan la duplicidad de la Clave y garantizan su correcta integración.</w:t>
      </w:r>
    </w:p>
    <w:p w:rsidR="00F3396F" w:rsidRDefault="00F3396F">
      <w:pPr>
        <w:spacing w:line="360" w:lineRule="auto"/>
        <w:ind w:right="-1417"/>
        <w:jc w:val="both"/>
        <w:rPr>
          <w:rFonts w:ascii="Palatino Linotype" w:eastAsia="Palatino Linotype" w:hAnsi="Palatino Linotype" w:cs="Palatino Linotype"/>
          <w:color w:val="000000"/>
        </w:rPr>
      </w:pPr>
    </w:p>
    <w:p w:rsidR="00F3396F" w:rsidRDefault="00F71AB8">
      <w:pPr>
        <w:numPr>
          <w:ilvl w:val="0"/>
          <w:numId w:val="6"/>
        </w:numPr>
        <w:pBdr>
          <w:top w:val="nil"/>
          <w:left w:val="nil"/>
          <w:bottom w:val="nil"/>
          <w:right w:val="nil"/>
          <w:between w:val="nil"/>
        </w:pBdr>
        <w:tabs>
          <w:tab w:val="left" w:pos="0"/>
        </w:tabs>
        <w:spacing w:line="360" w:lineRule="auto"/>
        <w:ind w:left="0" w:right="-1417"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Como</w:t>
      </w:r>
      <w:r>
        <w:rPr>
          <w:rFonts w:ascii="Palatino Linotype" w:eastAsia="Palatino Linotype" w:hAnsi="Palatino Linotype" w:cs="Palatino Linotype"/>
          <w:color w:val="000000"/>
        </w:rPr>
        <w:t xml:space="preserve"> se desprende de lo anterior, la CURP es un dato personal confidencial, ya que por sí sola brinda información personal de su titular y lo hace identificado e identificable, </w:t>
      </w:r>
      <w:r>
        <w:rPr>
          <w:rFonts w:ascii="Palatino Linotype" w:eastAsia="Palatino Linotype" w:hAnsi="Palatino Linotype" w:cs="Palatino Linotype"/>
        </w:rPr>
        <w:lastRenderedPageBreak/>
        <w:t>motivo</w:t>
      </w:r>
      <w:r>
        <w:rPr>
          <w:rFonts w:ascii="Palatino Linotype" w:eastAsia="Palatino Linotype" w:hAnsi="Palatino Linotype" w:cs="Palatino Linotype"/>
          <w:color w:val="000000"/>
        </w:rPr>
        <w:t xml:space="preserve"> por el cual se aprueba su eliminación de las versiones públicas, por lo que se trata de un trámite administrativo requerido por la autoridad federal para hacer identificables a las personas.</w:t>
      </w:r>
    </w:p>
    <w:p w:rsidR="00F3396F" w:rsidRDefault="00F3396F">
      <w:pPr>
        <w:spacing w:line="360" w:lineRule="auto"/>
        <w:ind w:right="-1417"/>
        <w:jc w:val="both"/>
        <w:rPr>
          <w:rFonts w:ascii="Palatino Linotype" w:eastAsia="Palatino Linotype" w:hAnsi="Palatino Linotype" w:cs="Palatino Linotype"/>
          <w:color w:val="000000"/>
        </w:rPr>
      </w:pPr>
    </w:p>
    <w:p w:rsidR="00F3396F" w:rsidRDefault="00F71AB8">
      <w:pPr>
        <w:numPr>
          <w:ilvl w:val="0"/>
          <w:numId w:val="6"/>
        </w:numPr>
        <w:pBdr>
          <w:top w:val="nil"/>
          <w:left w:val="nil"/>
          <w:bottom w:val="nil"/>
          <w:right w:val="nil"/>
          <w:between w:val="nil"/>
        </w:pBdr>
        <w:tabs>
          <w:tab w:val="left" w:pos="0"/>
        </w:tabs>
        <w:spacing w:line="360" w:lineRule="auto"/>
        <w:ind w:left="0" w:right="-141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Resulta aplicable en la especie, como argumento orientador, el Criterio 3/10, emitido por el INAI.</w:t>
      </w:r>
    </w:p>
    <w:p w:rsidR="00F3396F" w:rsidRDefault="00F71AB8">
      <w:pPr>
        <w:ind w:left="1134" w:right="-1417"/>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Clave Única de Registro de Población (CURP) es un dato personal confidencial. </w:t>
      </w:r>
      <w:r>
        <w:rPr>
          <w:rFonts w:ascii="Palatino Linotype" w:eastAsia="Palatino Linotype" w:hAnsi="Palatino Linotype" w:cs="Palatino Linotype"/>
          <w:i/>
          <w:iCs/>
          <w:color w:val="000000"/>
        </w:rPr>
        <w:t xml:space="preserve">De conformidad con lo establecido en el artículo 3, fracción II de la Ley Federal de Transparencia y Acceso a la Información Pública Gubernamental, dato personal es toda aquella información concerniente a una persona física identificada o identificable. Por su parte, el artículo 18, fracción II de la ey considera información confidencial los datos personales que requieren el consentimiento de los individuos para su difusión, distribución o comercialización en los términos de esta Ley. En este sentido, la CURP se integra por datos personales que únicamente le conciernen a un particular como son su fecha de nacimiento, su nombre, sus apellidos y su lugar de nacimiento, y esta es información que lo distingue plenamente del resto de los habitantes, por lo que es de carácter confidencial, en términos de lo dispuesto en el artículos anteriormente señalados. </w:t>
      </w:r>
    </w:p>
    <w:p w:rsidR="00F3396F" w:rsidRDefault="00F3396F">
      <w:pPr>
        <w:ind w:left="1134" w:right="-1417"/>
        <w:jc w:val="both"/>
        <w:rPr>
          <w:rFonts w:ascii="Palatino Linotype" w:eastAsia="Palatino Linotype" w:hAnsi="Palatino Linotype" w:cs="Palatino Linotype"/>
          <w:color w:val="000000"/>
        </w:rPr>
      </w:pPr>
    </w:p>
    <w:p w:rsidR="00F3396F" w:rsidRDefault="00F71AB8">
      <w:pPr>
        <w:numPr>
          <w:ilvl w:val="0"/>
          <w:numId w:val="6"/>
        </w:numPr>
        <w:pBdr>
          <w:top w:val="nil"/>
          <w:left w:val="nil"/>
          <w:bottom w:val="nil"/>
          <w:right w:val="nil"/>
          <w:between w:val="nil"/>
        </w:pBdr>
        <w:tabs>
          <w:tab w:val="left" w:pos="0"/>
        </w:tabs>
        <w:spacing w:line="360" w:lineRule="auto"/>
        <w:ind w:left="0" w:right="-141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acuerdo con lo anterior, la clave CURP, es un dato personal confidencial, en términos del artículo 143, fracción I, de la Ley de Transparencia y Acceso a la Información </w:t>
      </w:r>
      <w:r>
        <w:rPr>
          <w:rFonts w:ascii="Palatino Linotype" w:eastAsia="Palatino Linotype" w:hAnsi="Palatino Linotype" w:cs="Palatino Linotype"/>
        </w:rPr>
        <w:t>Pública</w:t>
      </w:r>
      <w:r>
        <w:rPr>
          <w:rFonts w:ascii="Palatino Linotype" w:eastAsia="Palatino Linotype" w:hAnsi="Palatino Linotype" w:cs="Palatino Linotype"/>
          <w:color w:val="000000"/>
        </w:rPr>
        <w:t xml:space="preserve"> del Estado de México y Municipios.</w:t>
      </w:r>
    </w:p>
    <w:p w:rsidR="00F3396F" w:rsidRDefault="00F3396F">
      <w:pPr>
        <w:pBdr>
          <w:top w:val="nil"/>
          <w:left w:val="nil"/>
          <w:bottom w:val="nil"/>
          <w:right w:val="nil"/>
          <w:between w:val="nil"/>
        </w:pBdr>
        <w:ind w:left="720" w:right="-1417"/>
        <w:rPr>
          <w:rFonts w:ascii="Palatino Linotype" w:eastAsia="Palatino Linotype" w:hAnsi="Palatino Linotype" w:cs="Palatino Linotype"/>
          <w:color w:val="000000"/>
        </w:rPr>
      </w:pPr>
    </w:p>
    <w:p w:rsidR="00F3396F" w:rsidRDefault="00F71AB8">
      <w:pPr>
        <w:spacing w:line="360" w:lineRule="auto"/>
        <w:ind w:right="-1417"/>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Domicilio de particulares</w:t>
      </w:r>
    </w:p>
    <w:p w:rsidR="00F3396F" w:rsidRDefault="00F71AB8">
      <w:pPr>
        <w:numPr>
          <w:ilvl w:val="0"/>
          <w:numId w:val="6"/>
        </w:numPr>
        <w:pBdr>
          <w:top w:val="nil"/>
          <w:left w:val="nil"/>
          <w:bottom w:val="nil"/>
          <w:right w:val="nil"/>
          <w:between w:val="nil"/>
        </w:pBdr>
        <w:tabs>
          <w:tab w:val="left" w:pos="0"/>
        </w:tabs>
        <w:spacing w:line="360" w:lineRule="auto"/>
        <w:ind w:left="0" w:right="-141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Ahora bien, de acuerdo a lo señalado en los artículos 2.3 y 2.5, fracción V del Código Civil </w:t>
      </w:r>
      <w:r>
        <w:rPr>
          <w:rFonts w:ascii="Palatino Linotype" w:eastAsia="Palatino Linotype" w:hAnsi="Palatino Linotype" w:cs="Palatino Linotype"/>
        </w:rPr>
        <w:t>del</w:t>
      </w:r>
      <w:r>
        <w:rPr>
          <w:rFonts w:ascii="Palatino Linotype" w:eastAsia="Palatino Linotype" w:hAnsi="Palatino Linotype" w:cs="Palatino Linotype"/>
          <w:color w:val="000000"/>
        </w:rPr>
        <w:t xml:space="preserve"> Estado de México, el domicilio es un atributo de la personalidad y un derecho de las personas. Este tiene como propósito que una persona pueda establecerse temporal o permanentemente en un lugar determinado, para habitar, establecer su centro de trabajo o negocios; ahora bien, su inclusión en el nombramiento se puede decir que sólo tiene como </w:t>
      </w:r>
      <w:r>
        <w:rPr>
          <w:rFonts w:ascii="Palatino Linotype" w:eastAsia="Palatino Linotype" w:hAnsi="Palatino Linotype" w:cs="Palatino Linotype"/>
          <w:color w:val="000000"/>
        </w:rPr>
        <w:lastRenderedPageBreak/>
        <w:t xml:space="preserve">objetivo brindar elementos que permitan conocer y hacer identificable a la persona que se designa, sin que esta información sea de relevancia para el interés público, así como tampoco tiene relevancia en el ejercicio de atribuciones de los servidores públicos. Por lo que </w:t>
      </w:r>
      <w:r>
        <w:rPr>
          <w:rFonts w:ascii="Palatino Linotype" w:eastAsia="Palatino Linotype" w:hAnsi="Palatino Linotype" w:cs="Palatino Linotype"/>
          <w:b/>
          <w:bCs/>
          <w:color w:val="000000"/>
        </w:rPr>
        <w:t>el domicilio particular</w:t>
      </w:r>
      <w:r>
        <w:rPr>
          <w:rFonts w:ascii="Palatino Linotype" w:eastAsia="Palatino Linotype" w:hAnsi="Palatino Linotype" w:cs="Palatino Linotype"/>
          <w:color w:val="000000"/>
        </w:rPr>
        <w:t xml:space="preserve"> es confidencial, en términos del artículo 143, fracción I de la Ley de Transparencia y Acceso a la Información Pública del Estado de México y Municipios. </w:t>
      </w:r>
    </w:p>
    <w:p w:rsidR="00F3396F" w:rsidRDefault="00F3396F">
      <w:pPr>
        <w:pBdr>
          <w:top w:val="nil"/>
          <w:left w:val="nil"/>
          <w:bottom w:val="nil"/>
          <w:right w:val="nil"/>
          <w:between w:val="nil"/>
        </w:pBdr>
        <w:ind w:right="-1417"/>
        <w:rPr>
          <w:rFonts w:ascii="Palatino Linotype" w:eastAsia="Palatino Linotype" w:hAnsi="Palatino Linotype" w:cs="Palatino Linotype"/>
          <w:color w:val="000000"/>
        </w:rPr>
      </w:pPr>
    </w:p>
    <w:p w:rsidR="00F3396F" w:rsidRDefault="00F71AB8">
      <w:pPr>
        <w:spacing w:line="360" w:lineRule="auto"/>
        <w:ind w:right="-1417"/>
        <w:jc w:val="both"/>
        <w:rPr>
          <w:rFonts w:ascii="Palatino Linotype" w:eastAsia="Palatino Linotype" w:hAnsi="Palatino Linotype" w:cs="Palatino Linotype"/>
        </w:rPr>
      </w:pPr>
      <w:r>
        <w:rPr>
          <w:rFonts w:ascii="Palatino Linotype" w:eastAsia="Palatino Linotype" w:hAnsi="Palatino Linotype" w:cs="Palatino Linotype"/>
          <w:b/>
          <w:bCs/>
        </w:rPr>
        <w:t>Teléfono y celular particular.</w:t>
      </w:r>
    </w:p>
    <w:p w:rsidR="00F3396F" w:rsidRDefault="00F71AB8">
      <w:pPr>
        <w:numPr>
          <w:ilvl w:val="0"/>
          <w:numId w:val="6"/>
        </w:numPr>
        <w:pBdr>
          <w:top w:val="nil"/>
          <w:left w:val="nil"/>
          <w:bottom w:val="nil"/>
          <w:right w:val="nil"/>
          <w:between w:val="nil"/>
        </w:pBdr>
        <w:tabs>
          <w:tab w:val="left" w:pos="0"/>
        </w:tabs>
        <w:spacing w:line="360" w:lineRule="auto"/>
        <w:ind w:left="0" w:right="-141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El número asignado a un teléfono particular o celular permite localizar a una persona física identificada o identificable, ya sea a través de un dispositivo móvil o bien, en un lugar como el domicilio. </w:t>
      </w:r>
    </w:p>
    <w:p w:rsidR="00F3396F" w:rsidRDefault="00F3396F">
      <w:pPr>
        <w:spacing w:line="360" w:lineRule="auto"/>
        <w:ind w:right="-1417"/>
        <w:jc w:val="both"/>
        <w:rPr>
          <w:rFonts w:ascii="Palatino Linotype" w:eastAsia="Palatino Linotype" w:hAnsi="Palatino Linotype" w:cs="Palatino Linotype"/>
        </w:rPr>
      </w:pPr>
    </w:p>
    <w:p w:rsidR="00F3396F" w:rsidRDefault="00F71AB8">
      <w:pPr>
        <w:numPr>
          <w:ilvl w:val="0"/>
          <w:numId w:val="6"/>
        </w:numPr>
        <w:pBdr>
          <w:top w:val="nil"/>
          <w:left w:val="nil"/>
          <w:bottom w:val="nil"/>
          <w:right w:val="nil"/>
          <w:between w:val="nil"/>
        </w:pBdr>
        <w:tabs>
          <w:tab w:val="left" w:pos="0"/>
        </w:tabs>
        <w:spacing w:line="360" w:lineRule="auto"/>
        <w:ind w:left="0" w:right="-141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Sirve de reforzamiento a lo anterior el siguiente cuadro que señala y analiza los datos que contiene una licencia de construcción. </w:t>
      </w:r>
    </w:p>
    <w:p w:rsidR="00F3396F" w:rsidRDefault="00F3396F">
      <w:pPr>
        <w:pBdr>
          <w:top w:val="nil"/>
          <w:left w:val="nil"/>
          <w:bottom w:val="nil"/>
          <w:right w:val="nil"/>
          <w:between w:val="nil"/>
        </w:pBdr>
        <w:tabs>
          <w:tab w:val="left" w:pos="0"/>
        </w:tabs>
        <w:spacing w:line="360" w:lineRule="auto"/>
        <w:ind w:right="-1417"/>
        <w:jc w:val="both"/>
        <w:rPr>
          <w:rFonts w:ascii="Palatino Linotype" w:eastAsia="Palatino Linotype" w:hAnsi="Palatino Linotype" w:cs="Palatino Linotype"/>
        </w:rPr>
      </w:pPr>
    </w:p>
    <w:tbl>
      <w:tblPr>
        <w:tblStyle w:val="a0"/>
        <w:tblW w:w="93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6"/>
        <w:gridCol w:w="6240"/>
      </w:tblGrid>
      <w:tr w:rsidR="00F3396F">
        <w:trPr>
          <w:trHeight w:val="285"/>
        </w:trPr>
        <w:tc>
          <w:tcPr>
            <w:tcW w:w="3116" w:type="dxa"/>
            <w:tcBorders>
              <w:top w:val="nil"/>
              <w:left w:val="nil"/>
              <w:bottom w:val="nil"/>
              <w:right w:val="nil"/>
            </w:tcBorders>
            <w:shd w:val="clear" w:color="auto" w:fill="BFBFBF"/>
          </w:tcPr>
          <w:p w:rsidR="00F3396F" w:rsidRDefault="00F71AB8" w:rsidP="00521093">
            <w:pPr>
              <w:widowControl w:val="0"/>
              <w:pBdr>
                <w:top w:val="nil"/>
                <w:left w:val="nil"/>
                <w:bottom w:val="nil"/>
                <w:right w:val="nil"/>
                <w:between w:val="nil"/>
              </w:pBdr>
              <w:spacing w:before="8" w:line="257" w:lineRule="auto"/>
              <w:ind w:left="201" w:right="143"/>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Datos que contiene la licencia</w:t>
            </w:r>
          </w:p>
        </w:tc>
        <w:tc>
          <w:tcPr>
            <w:tcW w:w="6240" w:type="dxa"/>
            <w:tcBorders>
              <w:top w:val="nil"/>
              <w:left w:val="nil"/>
              <w:bottom w:val="nil"/>
              <w:right w:val="nil"/>
            </w:tcBorders>
            <w:shd w:val="clear" w:color="auto" w:fill="BFBFBF"/>
          </w:tcPr>
          <w:p w:rsidR="00F3396F" w:rsidRDefault="00F71AB8" w:rsidP="00521093">
            <w:pPr>
              <w:widowControl w:val="0"/>
              <w:pBdr>
                <w:top w:val="nil"/>
                <w:left w:val="nil"/>
                <w:bottom w:val="nil"/>
                <w:right w:val="nil"/>
                <w:between w:val="nil"/>
              </w:pBdr>
              <w:spacing w:before="8" w:line="257" w:lineRule="auto"/>
              <w:ind w:left="2306" w:right="143"/>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Observaciones</w:t>
            </w:r>
          </w:p>
        </w:tc>
      </w:tr>
      <w:tr w:rsidR="00F3396F">
        <w:trPr>
          <w:trHeight w:val="534"/>
        </w:trPr>
        <w:tc>
          <w:tcPr>
            <w:tcW w:w="3116" w:type="dxa"/>
          </w:tcPr>
          <w:p w:rsidR="00F3396F" w:rsidRDefault="00F71AB8" w:rsidP="00521093">
            <w:pPr>
              <w:widowControl w:val="0"/>
              <w:pBdr>
                <w:top w:val="nil"/>
                <w:left w:val="nil"/>
                <w:bottom w:val="nil"/>
                <w:right w:val="nil"/>
                <w:between w:val="nil"/>
              </w:pBdr>
              <w:spacing w:line="264" w:lineRule="auto"/>
              <w:ind w:left="107" w:right="143"/>
              <w:rPr>
                <w:rFonts w:ascii="Palatino Linotype" w:eastAsia="Palatino Linotype" w:hAnsi="Palatino Linotype" w:cs="Palatino Linotype"/>
                <w:color w:val="000000"/>
              </w:rPr>
            </w:pPr>
            <w:r>
              <w:rPr>
                <w:rFonts w:ascii="Palatino Linotype" w:eastAsia="Palatino Linotype" w:hAnsi="Palatino Linotype" w:cs="Palatino Linotype"/>
                <w:color w:val="000000"/>
              </w:rPr>
              <w:t>Número de   folio, licencia   y</w:t>
            </w:r>
            <w:r w:rsidR="00521093">
              <w:rPr>
                <w:rFonts w:ascii="Palatino Linotype" w:eastAsia="Palatino Linotype" w:hAnsi="Palatino Linotype" w:cs="Palatino Linotype"/>
                <w:color w:val="000000"/>
              </w:rPr>
              <w:t xml:space="preserve"> </w:t>
            </w:r>
            <w:r>
              <w:rPr>
                <w:rFonts w:ascii="Palatino Linotype" w:eastAsia="Palatino Linotype" w:hAnsi="Palatino Linotype" w:cs="Palatino Linotype"/>
                <w:color w:val="000000"/>
              </w:rPr>
              <w:t>Expediente.</w:t>
            </w:r>
          </w:p>
        </w:tc>
        <w:tc>
          <w:tcPr>
            <w:tcW w:w="6240" w:type="dxa"/>
          </w:tcPr>
          <w:p w:rsidR="00F3396F" w:rsidRDefault="00F71AB8">
            <w:pPr>
              <w:widowControl w:val="0"/>
              <w:pBdr>
                <w:top w:val="nil"/>
                <w:left w:val="nil"/>
                <w:bottom w:val="nil"/>
                <w:right w:val="nil"/>
                <w:between w:val="nil"/>
              </w:pBdr>
              <w:spacing w:before="128"/>
              <w:ind w:left="105" w:right="143"/>
              <w:rPr>
                <w:rFonts w:ascii="Palatino Linotype" w:eastAsia="Palatino Linotype" w:hAnsi="Palatino Linotype" w:cs="Palatino Linotype"/>
                <w:color w:val="000000"/>
              </w:rPr>
            </w:pPr>
            <w:r>
              <w:rPr>
                <w:rFonts w:ascii="Palatino Linotype" w:eastAsia="Palatino Linotype" w:hAnsi="Palatino Linotype" w:cs="Palatino Linotype"/>
                <w:color w:val="000000"/>
              </w:rPr>
              <w:t>No se trata de datos personales.</w:t>
            </w:r>
          </w:p>
        </w:tc>
      </w:tr>
      <w:tr w:rsidR="00F3396F">
        <w:trPr>
          <w:trHeight w:val="2159"/>
        </w:trPr>
        <w:tc>
          <w:tcPr>
            <w:tcW w:w="3116" w:type="dxa"/>
          </w:tcPr>
          <w:p w:rsidR="00F3396F" w:rsidRDefault="00F3396F">
            <w:pPr>
              <w:widowControl w:val="0"/>
              <w:pBdr>
                <w:top w:val="nil"/>
                <w:left w:val="nil"/>
                <w:bottom w:val="nil"/>
                <w:right w:val="nil"/>
                <w:between w:val="nil"/>
              </w:pBdr>
              <w:ind w:right="143"/>
              <w:rPr>
                <w:rFonts w:ascii="Palatino Linotype" w:eastAsia="Palatino Linotype" w:hAnsi="Palatino Linotype" w:cs="Palatino Linotype"/>
                <w:color w:val="000000"/>
              </w:rPr>
            </w:pPr>
          </w:p>
          <w:p w:rsidR="00F3396F" w:rsidRDefault="00F3396F">
            <w:pPr>
              <w:widowControl w:val="0"/>
              <w:pBdr>
                <w:top w:val="nil"/>
                <w:left w:val="nil"/>
                <w:bottom w:val="nil"/>
                <w:right w:val="nil"/>
                <w:between w:val="nil"/>
              </w:pBdr>
              <w:ind w:right="143"/>
              <w:rPr>
                <w:rFonts w:ascii="Palatino Linotype" w:eastAsia="Palatino Linotype" w:hAnsi="Palatino Linotype" w:cs="Palatino Linotype"/>
                <w:color w:val="000000"/>
              </w:rPr>
            </w:pPr>
          </w:p>
          <w:p w:rsidR="00F3396F" w:rsidRDefault="00F3396F">
            <w:pPr>
              <w:widowControl w:val="0"/>
              <w:pBdr>
                <w:top w:val="nil"/>
                <w:left w:val="nil"/>
                <w:bottom w:val="nil"/>
                <w:right w:val="nil"/>
                <w:between w:val="nil"/>
              </w:pBdr>
              <w:spacing w:before="11"/>
              <w:ind w:right="143"/>
              <w:rPr>
                <w:rFonts w:ascii="Palatino Linotype" w:eastAsia="Palatino Linotype" w:hAnsi="Palatino Linotype" w:cs="Palatino Linotype"/>
                <w:color w:val="000000"/>
              </w:rPr>
            </w:pPr>
          </w:p>
          <w:p w:rsidR="00F3396F" w:rsidRDefault="00521093">
            <w:pPr>
              <w:widowControl w:val="0"/>
              <w:pBdr>
                <w:top w:val="nil"/>
                <w:left w:val="nil"/>
                <w:bottom w:val="nil"/>
                <w:right w:val="nil"/>
                <w:between w:val="nil"/>
              </w:pBdr>
              <w:tabs>
                <w:tab w:val="left" w:pos="1261"/>
                <w:tab w:val="left" w:pos="1959"/>
              </w:tabs>
              <w:spacing w:before="1"/>
              <w:ind w:left="107" w:right="143"/>
              <w:rPr>
                <w:rFonts w:ascii="Palatino Linotype" w:eastAsia="Palatino Linotype" w:hAnsi="Palatino Linotype" w:cs="Palatino Linotype"/>
                <w:color w:val="000000"/>
              </w:rPr>
            </w:pPr>
            <w:r>
              <w:rPr>
                <w:rFonts w:ascii="Palatino Linotype" w:eastAsia="Palatino Linotype" w:hAnsi="Palatino Linotype" w:cs="Palatino Linotype"/>
                <w:color w:val="000000"/>
              </w:rPr>
              <w:t>Nombre</w:t>
            </w:r>
            <w:r>
              <w:rPr>
                <w:rFonts w:ascii="Palatino Linotype" w:eastAsia="Palatino Linotype" w:hAnsi="Palatino Linotype" w:cs="Palatino Linotype"/>
                <w:color w:val="000000"/>
              </w:rPr>
              <w:tab/>
              <w:t xml:space="preserve">del </w:t>
            </w:r>
            <w:r w:rsidR="00F71AB8">
              <w:rPr>
                <w:rFonts w:ascii="Palatino Linotype" w:eastAsia="Palatino Linotype" w:hAnsi="Palatino Linotype" w:cs="Palatino Linotype"/>
                <w:color w:val="000000"/>
              </w:rPr>
              <w:t>Propietario, Domicilio particular y número.</w:t>
            </w:r>
          </w:p>
        </w:tc>
        <w:tc>
          <w:tcPr>
            <w:tcW w:w="6240" w:type="dxa"/>
          </w:tcPr>
          <w:p w:rsidR="00F3396F" w:rsidRDefault="00F71AB8">
            <w:pPr>
              <w:widowControl w:val="0"/>
              <w:pBdr>
                <w:top w:val="nil"/>
                <w:left w:val="nil"/>
                <w:bottom w:val="nil"/>
                <w:right w:val="nil"/>
                <w:between w:val="nil"/>
              </w:pBdr>
              <w:ind w:left="105" w:right="14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Se considera información </w:t>
            </w:r>
            <w:r>
              <w:rPr>
                <w:rFonts w:ascii="Palatino Linotype" w:eastAsia="Palatino Linotype" w:hAnsi="Palatino Linotype" w:cs="Palatino Linotype"/>
                <w:b/>
                <w:bCs/>
                <w:color w:val="000000"/>
              </w:rPr>
              <w:t>CONFIDENCIAL</w:t>
            </w:r>
            <w:r>
              <w:rPr>
                <w:rFonts w:ascii="Palatino Linotype" w:eastAsia="Palatino Linotype" w:hAnsi="Palatino Linotype" w:cs="Palatino Linotype"/>
                <w:color w:val="000000"/>
              </w:rPr>
              <w:t>, que puede ser testada al momento de la elaboración de una versión pública.</w:t>
            </w:r>
          </w:p>
          <w:p w:rsidR="00F3396F" w:rsidRDefault="00F71AB8">
            <w:pPr>
              <w:widowControl w:val="0"/>
              <w:pBdr>
                <w:top w:val="nil"/>
                <w:left w:val="nil"/>
                <w:bottom w:val="nil"/>
                <w:right w:val="nil"/>
                <w:between w:val="nil"/>
              </w:pBdr>
              <w:ind w:left="105" w:right="14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En términos de lo dispuesto en los artículos 3, fracción IX y 143, fracción I de la Ley de Transparencia y Acceso a la Información Pública del Estado de México y Municipios; así como, en el artículo 4, fracción XI de la Ley de Protección de Datos Personales en Posesión de Sujetos Obligados del Estado de México y</w:t>
            </w:r>
          </w:p>
          <w:p w:rsidR="00F3396F" w:rsidRDefault="00F71AB8">
            <w:pPr>
              <w:widowControl w:val="0"/>
              <w:pBdr>
                <w:top w:val="nil"/>
                <w:left w:val="nil"/>
                <w:bottom w:val="nil"/>
                <w:right w:val="nil"/>
                <w:between w:val="nil"/>
              </w:pBdr>
              <w:spacing w:line="252" w:lineRule="auto"/>
              <w:ind w:left="105" w:right="143"/>
              <w:rPr>
                <w:rFonts w:ascii="Palatino Linotype" w:eastAsia="Palatino Linotype" w:hAnsi="Palatino Linotype" w:cs="Palatino Linotype"/>
                <w:color w:val="000000"/>
              </w:rPr>
            </w:pPr>
            <w:r>
              <w:rPr>
                <w:rFonts w:ascii="Palatino Linotype" w:eastAsia="Palatino Linotype" w:hAnsi="Palatino Linotype" w:cs="Palatino Linotype"/>
                <w:color w:val="000000"/>
              </w:rPr>
              <w:t>Municipios.</w:t>
            </w:r>
          </w:p>
        </w:tc>
      </w:tr>
      <w:tr w:rsidR="00F3396F">
        <w:trPr>
          <w:trHeight w:val="2159"/>
        </w:trPr>
        <w:tc>
          <w:tcPr>
            <w:tcW w:w="3116" w:type="dxa"/>
          </w:tcPr>
          <w:p w:rsidR="00F3396F" w:rsidRDefault="00F3396F">
            <w:pPr>
              <w:widowControl w:val="0"/>
              <w:pBdr>
                <w:top w:val="nil"/>
                <w:left w:val="nil"/>
                <w:bottom w:val="nil"/>
                <w:right w:val="nil"/>
                <w:between w:val="nil"/>
              </w:pBdr>
              <w:ind w:right="143"/>
              <w:rPr>
                <w:rFonts w:ascii="Palatino Linotype" w:eastAsia="Palatino Linotype" w:hAnsi="Palatino Linotype" w:cs="Palatino Linotype"/>
                <w:color w:val="000000"/>
              </w:rPr>
            </w:pPr>
          </w:p>
          <w:p w:rsidR="00F3396F" w:rsidRDefault="00F3396F">
            <w:pPr>
              <w:widowControl w:val="0"/>
              <w:pBdr>
                <w:top w:val="nil"/>
                <w:left w:val="nil"/>
                <w:bottom w:val="nil"/>
                <w:right w:val="nil"/>
                <w:between w:val="nil"/>
              </w:pBdr>
              <w:spacing w:before="7"/>
              <w:ind w:right="143"/>
              <w:rPr>
                <w:rFonts w:ascii="Palatino Linotype" w:eastAsia="Palatino Linotype" w:hAnsi="Palatino Linotype" w:cs="Palatino Linotype"/>
                <w:color w:val="000000"/>
              </w:rPr>
            </w:pPr>
          </w:p>
          <w:p w:rsidR="00F3396F" w:rsidRDefault="00F71AB8">
            <w:pPr>
              <w:widowControl w:val="0"/>
              <w:pBdr>
                <w:top w:val="nil"/>
                <w:left w:val="nil"/>
                <w:bottom w:val="nil"/>
                <w:right w:val="nil"/>
                <w:between w:val="nil"/>
              </w:pBdr>
              <w:ind w:right="143"/>
              <w:rPr>
                <w:rFonts w:ascii="Palatino Linotype" w:eastAsia="Palatino Linotype" w:hAnsi="Palatino Linotype" w:cs="Palatino Linotype"/>
                <w:color w:val="000000"/>
              </w:rPr>
            </w:pPr>
            <w:r>
              <w:rPr>
                <w:rFonts w:ascii="Palatino Linotype" w:eastAsia="Palatino Linotype" w:hAnsi="Palatino Linotype" w:cs="Palatino Linotype"/>
                <w:color w:val="000000"/>
              </w:rPr>
              <w:t>Tipo de licencia (Obra nueva y Cambio de Régimen).</w:t>
            </w:r>
          </w:p>
        </w:tc>
        <w:tc>
          <w:tcPr>
            <w:tcW w:w="6240" w:type="dxa"/>
          </w:tcPr>
          <w:p w:rsidR="00F3396F" w:rsidRDefault="00F71AB8">
            <w:pPr>
              <w:widowControl w:val="0"/>
              <w:pBdr>
                <w:top w:val="nil"/>
                <w:left w:val="nil"/>
                <w:bottom w:val="nil"/>
                <w:right w:val="nil"/>
                <w:between w:val="nil"/>
              </w:pBdr>
              <w:ind w:left="105" w:right="14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Se considera información de interés público, puesto que atiende a la naturaleza del trámite a realizar y abona en la rendición de cuentas.</w:t>
            </w:r>
          </w:p>
          <w:p w:rsidR="00F3396F" w:rsidRDefault="00F3396F">
            <w:pPr>
              <w:widowControl w:val="0"/>
              <w:pBdr>
                <w:top w:val="nil"/>
                <w:left w:val="nil"/>
                <w:bottom w:val="nil"/>
                <w:right w:val="nil"/>
                <w:between w:val="nil"/>
              </w:pBdr>
              <w:spacing w:before="8"/>
              <w:ind w:right="143"/>
              <w:rPr>
                <w:rFonts w:ascii="Palatino Linotype" w:eastAsia="Palatino Linotype" w:hAnsi="Palatino Linotype" w:cs="Palatino Linotype"/>
                <w:color w:val="000000"/>
              </w:rPr>
            </w:pPr>
          </w:p>
          <w:p w:rsidR="00F3396F" w:rsidRDefault="00F71AB8">
            <w:pPr>
              <w:widowControl w:val="0"/>
              <w:pBdr>
                <w:top w:val="nil"/>
                <w:left w:val="nil"/>
                <w:bottom w:val="nil"/>
                <w:right w:val="nil"/>
                <w:between w:val="nil"/>
              </w:pBdr>
              <w:ind w:left="105" w:right="14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En términos de lo dispuesto por los artículos 3, fracción XXII, 12, 18 y 19 de la Ley de Transparencia y Acceso a la Información</w:t>
            </w:r>
          </w:p>
          <w:p w:rsidR="00F3396F" w:rsidRDefault="00F71AB8">
            <w:pPr>
              <w:widowControl w:val="0"/>
              <w:pBdr>
                <w:top w:val="nil"/>
                <w:left w:val="nil"/>
                <w:bottom w:val="nil"/>
                <w:right w:val="nil"/>
                <w:between w:val="nil"/>
              </w:pBdr>
              <w:ind w:left="105" w:right="14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Pública del Estado de México y Municipios.</w:t>
            </w:r>
          </w:p>
        </w:tc>
      </w:tr>
      <w:tr w:rsidR="00F3396F">
        <w:trPr>
          <w:trHeight w:val="2159"/>
        </w:trPr>
        <w:tc>
          <w:tcPr>
            <w:tcW w:w="3116" w:type="dxa"/>
          </w:tcPr>
          <w:p w:rsidR="00F3396F" w:rsidRDefault="00F3396F">
            <w:pPr>
              <w:widowControl w:val="0"/>
              <w:pBdr>
                <w:top w:val="nil"/>
                <w:left w:val="nil"/>
                <w:bottom w:val="nil"/>
                <w:right w:val="nil"/>
                <w:between w:val="nil"/>
              </w:pBdr>
              <w:ind w:right="143"/>
              <w:rPr>
                <w:rFonts w:ascii="Palatino Linotype" w:eastAsia="Palatino Linotype" w:hAnsi="Palatino Linotype" w:cs="Palatino Linotype"/>
                <w:color w:val="000000"/>
              </w:rPr>
            </w:pPr>
          </w:p>
          <w:p w:rsidR="00F3396F" w:rsidRDefault="00F3396F">
            <w:pPr>
              <w:widowControl w:val="0"/>
              <w:pBdr>
                <w:top w:val="nil"/>
                <w:left w:val="nil"/>
                <w:bottom w:val="nil"/>
                <w:right w:val="nil"/>
                <w:between w:val="nil"/>
              </w:pBdr>
              <w:ind w:right="143"/>
              <w:rPr>
                <w:rFonts w:ascii="Palatino Linotype" w:eastAsia="Palatino Linotype" w:hAnsi="Palatino Linotype" w:cs="Palatino Linotype"/>
                <w:color w:val="000000"/>
              </w:rPr>
            </w:pPr>
          </w:p>
          <w:p w:rsidR="00F3396F" w:rsidRDefault="00F3396F">
            <w:pPr>
              <w:widowControl w:val="0"/>
              <w:pBdr>
                <w:top w:val="nil"/>
                <w:left w:val="nil"/>
                <w:bottom w:val="nil"/>
                <w:right w:val="nil"/>
                <w:between w:val="nil"/>
              </w:pBdr>
              <w:spacing w:before="11"/>
              <w:ind w:right="143"/>
              <w:rPr>
                <w:rFonts w:ascii="Palatino Linotype" w:eastAsia="Palatino Linotype" w:hAnsi="Palatino Linotype" w:cs="Palatino Linotype"/>
                <w:color w:val="000000"/>
              </w:rPr>
            </w:pPr>
          </w:p>
          <w:p w:rsidR="00F3396F" w:rsidRDefault="00F71AB8">
            <w:pPr>
              <w:widowControl w:val="0"/>
              <w:pBdr>
                <w:top w:val="nil"/>
                <w:left w:val="nil"/>
                <w:bottom w:val="nil"/>
                <w:right w:val="nil"/>
                <w:between w:val="nil"/>
              </w:pBdr>
              <w:ind w:right="143"/>
              <w:rPr>
                <w:rFonts w:ascii="Palatino Linotype" w:eastAsia="Palatino Linotype" w:hAnsi="Palatino Linotype" w:cs="Palatino Linotype"/>
                <w:color w:val="000000"/>
              </w:rPr>
            </w:pPr>
            <w:r>
              <w:rPr>
                <w:rFonts w:ascii="Palatino Linotype" w:eastAsia="Palatino Linotype" w:hAnsi="Palatino Linotype" w:cs="Palatino Linotype"/>
                <w:color w:val="000000"/>
              </w:rPr>
              <w:t>Destino de la Obra.</w:t>
            </w:r>
          </w:p>
        </w:tc>
        <w:tc>
          <w:tcPr>
            <w:tcW w:w="6240" w:type="dxa"/>
          </w:tcPr>
          <w:p w:rsidR="00F3396F" w:rsidRDefault="00F71AB8">
            <w:pPr>
              <w:widowControl w:val="0"/>
              <w:pBdr>
                <w:top w:val="nil"/>
                <w:left w:val="nil"/>
                <w:bottom w:val="nil"/>
                <w:right w:val="nil"/>
                <w:between w:val="nil"/>
              </w:pBdr>
              <w:ind w:left="105" w:right="14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Se considera información de interés público, puesto que atiende a la naturaleza del trámite a realizar y abona en la rendición de cuentas.</w:t>
            </w:r>
          </w:p>
          <w:p w:rsidR="00F3396F" w:rsidRDefault="00F3396F">
            <w:pPr>
              <w:widowControl w:val="0"/>
              <w:pBdr>
                <w:top w:val="nil"/>
                <w:left w:val="nil"/>
                <w:bottom w:val="nil"/>
                <w:right w:val="nil"/>
                <w:between w:val="nil"/>
              </w:pBdr>
              <w:spacing w:before="12"/>
              <w:ind w:right="143"/>
              <w:rPr>
                <w:rFonts w:ascii="Palatino Linotype" w:eastAsia="Palatino Linotype" w:hAnsi="Palatino Linotype" w:cs="Palatino Linotype"/>
                <w:color w:val="000000"/>
              </w:rPr>
            </w:pPr>
          </w:p>
          <w:p w:rsidR="00F3396F" w:rsidRDefault="00F71AB8">
            <w:pPr>
              <w:widowControl w:val="0"/>
              <w:pBdr>
                <w:top w:val="nil"/>
                <w:left w:val="nil"/>
                <w:bottom w:val="nil"/>
                <w:right w:val="nil"/>
                <w:between w:val="nil"/>
              </w:pBdr>
              <w:spacing w:before="1"/>
              <w:ind w:left="105" w:right="14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En términos de lo dispuesto por los artículos 3, fracción XXII, 12, 18 y 19 de la Ley de Transparencia y Acceso a la Información</w:t>
            </w:r>
          </w:p>
          <w:p w:rsidR="00F3396F" w:rsidRDefault="00F71AB8">
            <w:pPr>
              <w:widowControl w:val="0"/>
              <w:pBdr>
                <w:top w:val="nil"/>
                <w:left w:val="nil"/>
                <w:bottom w:val="nil"/>
                <w:right w:val="nil"/>
                <w:between w:val="nil"/>
              </w:pBdr>
              <w:ind w:left="105" w:right="14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Pública del Estado de México y Municipios.</w:t>
            </w:r>
          </w:p>
        </w:tc>
      </w:tr>
      <w:tr w:rsidR="00F3396F">
        <w:trPr>
          <w:trHeight w:val="2159"/>
        </w:trPr>
        <w:tc>
          <w:tcPr>
            <w:tcW w:w="3116" w:type="dxa"/>
          </w:tcPr>
          <w:p w:rsidR="00F3396F" w:rsidRDefault="00F3396F">
            <w:pPr>
              <w:widowControl w:val="0"/>
              <w:pBdr>
                <w:top w:val="nil"/>
                <w:left w:val="nil"/>
                <w:bottom w:val="nil"/>
                <w:right w:val="nil"/>
                <w:between w:val="nil"/>
              </w:pBdr>
              <w:ind w:right="143"/>
              <w:rPr>
                <w:rFonts w:ascii="Palatino Linotype" w:eastAsia="Palatino Linotype" w:hAnsi="Palatino Linotype" w:cs="Palatino Linotype"/>
                <w:color w:val="000000"/>
              </w:rPr>
            </w:pPr>
          </w:p>
          <w:p w:rsidR="00F3396F" w:rsidRDefault="00F71AB8">
            <w:pPr>
              <w:widowControl w:val="0"/>
              <w:pBdr>
                <w:top w:val="nil"/>
                <w:left w:val="nil"/>
                <w:bottom w:val="nil"/>
                <w:right w:val="nil"/>
                <w:between w:val="nil"/>
              </w:pBdr>
              <w:ind w:right="143"/>
              <w:rPr>
                <w:rFonts w:ascii="Palatino Linotype" w:eastAsia="Palatino Linotype" w:hAnsi="Palatino Linotype" w:cs="Palatino Linotype"/>
                <w:color w:val="000000"/>
              </w:rPr>
            </w:pPr>
            <w:r>
              <w:rPr>
                <w:rFonts w:ascii="Palatino Linotype" w:eastAsia="Palatino Linotype" w:hAnsi="Palatino Linotype" w:cs="Palatino Linotype"/>
                <w:color w:val="000000"/>
              </w:rPr>
              <w:t>Datos del Predio: (calle, delegación, superficie prevista a construir, número, manzana, lote y unidad territorial básica).</w:t>
            </w:r>
          </w:p>
        </w:tc>
        <w:tc>
          <w:tcPr>
            <w:tcW w:w="6240" w:type="dxa"/>
          </w:tcPr>
          <w:p w:rsidR="00F3396F" w:rsidRDefault="00F71AB8">
            <w:pPr>
              <w:widowControl w:val="0"/>
              <w:pBdr>
                <w:top w:val="nil"/>
                <w:left w:val="nil"/>
                <w:bottom w:val="nil"/>
                <w:right w:val="nil"/>
                <w:between w:val="nil"/>
              </w:pBdr>
              <w:ind w:left="105" w:right="14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Se considera información de interés público, puesto que atiende a la naturaleza del trámite a realizar y abona en la rendición de cuentas.</w:t>
            </w:r>
          </w:p>
          <w:p w:rsidR="00F3396F" w:rsidRDefault="00F3396F">
            <w:pPr>
              <w:widowControl w:val="0"/>
              <w:pBdr>
                <w:top w:val="nil"/>
                <w:left w:val="nil"/>
                <w:bottom w:val="nil"/>
                <w:right w:val="nil"/>
                <w:between w:val="nil"/>
              </w:pBdr>
              <w:spacing w:before="13"/>
              <w:ind w:right="143"/>
              <w:rPr>
                <w:rFonts w:ascii="Palatino Linotype" w:eastAsia="Palatino Linotype" w:hAnsi="Palatino Linotype" w:cs="Palatino Linotype"/>
                <w:color w:val="000000"/>
              </w:rPr>
            </w:pPr>
          </w:p>
          <w:p w:rsidR="00F3396F" w:rsidRDefault="00F71AB8">
            <w:pPr>
              <w:widowControl w:val="0"/>
              <w:pBdr>
                <w:top w:val="nil"/>
                <w:left w:val="nil"/>
                <w:bottom w:val="nil"/>
                <w:right w:val="nil"/>
                <w:between w:val="nil"/>
              </w:pBdr>
              <w:ind w:left="105" w:right="14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En términos de lo dispuesto por los artículos 3, fracción XXII, 12, 18 y 19 de la Ley de Transparencia y Acceso a la Información</w:t>
            </w:r>
          </w:p>
          <w:p w:rsidR="00F3396F" w:rsidRDefault="00F71AB8">
            <w:pPr>
              <w:widowControl w:val="0"/>
              <w:pBdr>
                <w:top w:val="nil"/>
                <w:left w:val="nil"/>
                <w:bottom w:val="nil"/>
                <w:right w:val="nil"/>
                <w:between w:val="nil"/>
              </w:pBdr>
              <w:ind w:left="105" w:right="14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Pública del Estado de México y Municipios.</w:t>
            </w:r>
          </w:p>
        </w:tc>
      </w:tr>
      <w:tr w:rsidR="00F3396F">
        <w:trPr>
          <w:trHeight w:val="2159"/>
        </w:trPr>
        <w:tc>
          <w:tcPr>
            <w:tcW w:w="3116" w:type="dxa"/>
          </w:tcPr>
          <w:p w:rsidR="00F3396F" w:rsidRDefault="00F3396F">
            <w:pPr>
              <w:widowControl w:val="0"/>
              <w:pBdr>
                <w:top w:val="nil"/>
                <w:left w:val="nil"/>
                <w:bottom w:val="nil"/>
                <w:right w:val="nil"/>
                <w:between w:val="nil"/>
              </w:pBdr>
              <w:ind w:right="143"/>
              <w:rPr>
                <w:rFonts w:ascii="Palatino Linotype" w:eastAsia="Palatino Linotype" w:hAnsi="Palatino Linotype" w:cs="Palatino Linotype"/>
                <w:color w:val="000000"/>
              </w:rPr>
            </w:pPr>
          </w:p>
          <w:p w:rsidR="00F3396F" w:rsidRDefault="00F3396F">
            <w:pPr>
              <w:widowControl w:val="0"/>
              <w:pBdr>
                <w:top w:val="nil"/>
                <w:left w:val="nil"/>
                <w:bottom w:val="nil"/>
                <w:right w:val="nil"/>
                <w:between w:val="nil"/>
              </w:pBdr>
              <w:ind w:right="143"/>
              <w:rPr>
                <w:rFonts w:ascii="Palatino Linotype" w:eastAsia="Palatino Linotype" w:hAnsi="Palatino Linotype" w:cs="Palatino Linotype"/>
                <w:color w:val="000000"/>
              </w:rPr>
            </w:pPr>
          </w:p>
          <w:p w:rsidR="00F3396F" w:rsidRDefault="00F3396F">
            <w:pPr>
              <w:widowControl w:val="0"/>
              <w:pBdr>
                <w:top w:val="nil"/>
                <w:left w:val="nil"/>
                <w:bottom w:val="nil"/>
                <w:right w:val="nil"/>
                <w:between w:val="nil"/>
              </w:pBdr>
              <w:ind w:right="143"/>
              <w:rPr>
                <w:rFonts w:ascii="Palatino Linotype" w:eastAsia="Palatino Linotype" w:hAnsi="Palatino Linotype" w:cs="Palatino Linotype"/>
                <w:color w:val="000000"/>
              </w:rPr>
            </w:pPr>
          </w:p>
          <w:p w:rsidR="00F3396F" w:rsidRDefault="00F3396F">
            <w:pPr>
              <w:widowControl w:val="0"/>
              <w:pBdr>
                <w:top w:val="nil"/>
                <w:left w:val="nil"/>
                <w:bottom w:val="nil"/>
                <w:right w:val="nil"/>
                <w:between w:val="nil"/>
              </w:pBdr>
              <w:spacing w:before="13"/>
              <w:ind w:right="143"/>
              <w:rPr>
                <w:rFonts w:ascii="Palatino Linotype" w:eastAsia="Palatino Linotype" w:hAnsi="Palatino Linotype" w:cs="Palatino Linotype"/>
                <w:color w:val="000000"/>
              </w:rPr>
            </w:pPr>
          </w:p>
          <w:p w:rsidR="00F3396F" w:rsidRDefault="00F71AB8">
            <w:pPr>
              <w:widowControl w:val="0"/>
              <w:pBdr>
                <w:top w:val="nil"/>
                <w:left w:val="nil"/>
                <w:bottom w:val="nil"/>
                <w:right w:val="nil"/>
                <w:between w:val="nil"/>
              </w:pBdr>
              <w:ind w:right="143"/>
              <w:rPr>
                <w:rFonts w:ascii="Palatino Linotype" w:eastAsia="Palatino Linotype" w:hAnsi="Palatino Linotype" w:cs="Palatino Linotype"/>
                <w:color w:val="000000"/>
              </w:rPr>
            </w:pPr>
            <w:r>
              <w:rPr>
                <w:rFonts w:ascii="Palatino Linotype" w:eastAsia="Palatino Linotype" w:hAnsi="Palatino Linotype" w:cs="Palatino Linotype"/>
                <w:color w:val="000000"/>
              </w:rPr>
              <w:t>Datos del Predio: (superficie del predio y superficie de construcción existente).</w:t>
            </w:r>
          </w:p>
        </w:tc>
        <w:tc>
          <w:tcPr>
            <w:tcW w:w="6240" w:type="dxa"/>
          </w:tcPr>
          <w:p w:rsidR="00F3396F" w:rsidRDefault="00F71AB8">
            <w:pPr>
              <w:widowControl w:val="0"/>
              <w:pBdr>
                <w:top w:val="nil"/>
                <w:left w:val="nil"/>
                <w:bottom w:val="nil"/>
                <w:right w:val="nil"/>
                <w:between w:val="nil"/>
              </w:pBdr>
              <w:ind w:left="105" w:right="14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Se trata de información confidencial que sólo le atañe a sus titulares, máxime que se trata de información que no es referente a servidores públicos sino de particulares. Se considera que puede ser testada al momento de la elaboración de una versión pública.</w:t>
            </w:r>
          </w:p>
          <w:p w:rsidR="00F3396F" w:rsidRDefault="00F3396F">
            <w:pPr>
              <w:widowControl w:val="0"/>
              <w:pBdr>
                <w:top w:val="nil"/>
                <w:left w:val="nil"/>
                <w:bottom w:val="nil"/>
                <w:right w:val="nil"/>
                <w:between w:val="nil"/>
              </w:pBdr>
              <w:spacing w:before="1"/>
              <w:ind w:right="143"/>
              <w:rPr>
                <w:rFonts w:ascii="Palatino Linotype" w:eastAsia="Palatino Linotype" w:hAnsi="Palatino Linotype" w:cs="Palatino Linotype"/>
                <w:color w:val="000000"/>
              </w:rPr>
            </w:pPr>
          </w:p>
          <w:p w:rsidR="00F3396F" w:rsidRDefault="00F71AB8">
            <w:pPr>
              <w:widowControl w:val="0"/>
              <w:pBdr>
                <w:top w:val="nil"/>
                <w:left w:val="nil"/>
                <w:bottom w:val="nil"/>
                <w:right w:val="nil"/>
                <w:between w:val="nil"/>
              </w:pBdr>
              <w:ind w:left="105" w:right="14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términos de lo dispuesto en los artículos 3, fracción XXIII y 143, fracción I de la Ley de Transparencia y Acceso a la Información Pública del Estado de México y Municipios; así como, en el artículo 4, fracción XI de la Ley de Protección de Datos Personales en Posesión de </w:t>
            </w:r>
            <w:r>
              <w:rPr>
                <w:rFonts w:ascii="Palatino Linotype" w:eastAsia="Palatino Linotype" w:hAnsi="Palatino Linotype" w:cs="Palatino Linotype"/>
                <w:color w:val="000000"/>
              </w:rPr>
              <w:lastRenderedPageBreak/>
              <w:t>Sujetos Obligados del Estado de México y</w:t>
            </w:r>
          </w:p>
          <w:p w:rsidR="00F3396F" w:rsidRDefault="00F71AB8">
            <w:pPr>
              <w:widowControl w:val="0"/>
              <w:pBdr>
                <w:top w:val="nil"/>
                <w:left w:val="nil"/>
                <w:bottom w:val="nil"/>
                <w:right w:val="nil"/>
                <w:between w:val="nil"/>
              </w:pBdr>
              <w:tabs>
                <w:tab w:val="left" w:pos="3585"/>
              </w:tabs>
              <w:ind w:left="105" w:right="14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Municipios.</w:t>
            </w:r>
            <w:r>
              <w:rPr>
                <w:rFonts w:ascii="Palatino Linotype" w:eastAsia="Palatino Linotype" w:hAnsi="Palatino Linotype" w:cs="Palatino Linotype"/>
                <w:color w:val="000000"/>
              </w:rPr>
              <w:tab/>
            </w:r>
          </w:p>
        </w:tc>
      </w:tr>
      <w:tr w:rsidR="00F3396F">
        <w:trPr>
          <w:trHeight w:val="2159"/>
        </w:trPr>
        <w:tc>
          <w:tcPr>
            <w:tcW w:w="3116" w:type="dxa"/>
          </w:tcPr>
          <w:p w:rsidR="00F3396F" w:rsidRDefault="00F3396F">
            <w:pPr>
              <w:widowControl w:val="0"/>
              <w:pBdr>
                <w:top w:val="nil"/>
                <w:left w:val="nil"/>
                <w:bottom w:val="nil"/>
                <w:right w:val="nil"/>
                <w:between w:val="nil"/>
              </w:pBdr>
              <w:ind w:right="143"/>
              <w:rPr>
                <w:rFonts w:ascii="Palatino Linotype" w:eastAsia="Palatino Linotype" w:hAnsi="Palatino Linotype" w:cs="Palatino Linotype"/>
                <w:color w:val="000000"/>
              </w:rPr>
            </w:pPr>
          </w:p>
          <w:p w:rsidR="00F3396F" w:rsidRDefault="00F3396F">
            <w:pPr>
              <w:widowControl w:val="0"/>
              <w:pBdr>
                <w:top w:val="nil"/>
                <w:left w:val="nil"/>
                <w:bottom w:val="nil"/>
                <w:right w:val="nil"/>
                <w:between w:val="nil"/>
              </w:pBdr>
              <w:ind w:right="143"/>
              <w:rPr>
                <w:rFonts w:ascii="Palatino Linotype" w:eastAsia="Palatino Linotype" w:hAnsi="Palatino Linotype" w:cs="Palatino Linotype"/>
                <w:color w:val="000000"/>
              </w:rPr>
            </w:pPr>
          </w:p>
          <w:p w:rsidR="00F3396F" w:rsidRDefault="00F3396F">
            <w:pPr>
              <w:widowControl w:val="0"/>
              <w:pBdr>
                <w:top w:val="nil"/>
                <w:left w:val="nil"/>
                <w:bottom w:val="nil"/>
                <w:right w:val="nil"/>
                <w:between w:val="nil"/>
              </w:pBdr>
              <w:ind w:right="143"/>
              <w:rPr>
                <w:rFonts w:ascii="Palatino Linotype" w:eastAsia="Palatino Linotype" w:hAnsi="Palatino Linotype" w:cs="Palatino Linotype"/>
                <w:color w:val="000000"/>
              </w:rPr>
            </w:pPr>
          </w:p>
          <w:p w:rsidR="00F3396F" w:rsidRDefault="00F71AB8">
            <w:pPr>
              <w:widowControl w:val="0"/>
              <w:pBdr>
                <w:top w:val="nil"/>
                <w:left w:val="nil"/>
                <w:bottom w:val="nil"/>
                <w:right w:val="nil"/>
                <w:between w:val="nil"/>
              </w:pBdr>
              <w:ind w:right="143"/>
              <w:rPr>
                <w:rFonts w:ascii="Palatino Linotype" w:eastAsia="Palatino Linotype" w:hAnsi="Palatino Linotype" w:cs="Palatino Linotype"/>
                <w:color w:val="000000"/>
              </w:rPr>
            </w:pPr>
            <w:r>
              <w:rPr>
                <w:rFonts w:ascii="Palatino Linotype" w:eastAsia="Palatino Linotype" w:hAnsi="Palatino Linotype" w:cs="Palatino Linotype"/>
                <w:color w:val="000000"/>
              </w:rPr>
              <w:t>Valor estimado de la obra.</w:t>
            </w:r>
          </w:p>
        </w:tc>
        <w:tc>
          <w:tcPr>
            <w:tcW w:w="6240" w:type="dxa"/>
          </w:tcPr>
          <w:p w:rsidR="00F3396F" w:rsidRDefault="00F71AB8">
            <w:pPr>
              <w:widowControl w:val="0"/>
              <w:pBdr>
                <w:top w:val="nil"/>
                <w:left w:val="nil"/>
                <w:bottom w:val="nil"/>
                <w:right w:val="nil"/>
                <w:between w:val="nil"/>
              </w:pBdr>
              <w:ind w:left="105" w:right="143"/>
              <w:rPr>
                <w:rFonts w:ascii="Palatino Linotype" w:eastAsia="Palatino Linotype" w:hAnsi="Palatino Linotype" w:cs="Palatino Linotype"/>
                <w:color w:val="000000"/>
              </w:rPr>
            </w:pPr>
            <w:r>
              <w:rPr>
                <w:rFonts w:ascii="Palatino Linotype" w:eastAsia="Palatino Linotype" w:hAnsi="Palatino Linotype" w:cs="Palatino Linotype"/>
                <w:color w:val="000000"/>
              </w:rPr>
              <w:t>Se trata de información confidencial que sólo le atañe a sus titulares, máxime que se trata de información que no es referente a servidores públicos sino de particulares. Se considera que puede ser testada al momento de la elaboración de una versión pública. En términos de lo dispuesto en los artículos 3, fracción XXIII y 143, fracción I de la Ley de Transparencia y Acceso a la Información Pública del Estado de México y Municipios; así como, en el</w:t>
            </w:r>
          </w:p>
          <w:p w:rsidR="00F3396F" w:rsidRDefault="00F71AB8">
            <w:pPr>
              <w:widowControl w:val="0"/>
              <w:pBdr>
                <w:top w:val="nil"/>
                <w:left w:val="nil"/>
                <w:bottom w:val="nil"/>
                <w:right w:val="nil"/>
                <w:between w:val="nil"/>
              </w:pBdr>
              <w:spacing w:line="263" w:lineRule="auto"/>
              <w:ind w:left="105" w:right="143"/>
              <w:rPr>
                <w:rFonts w:ascii="Palatino Linotype" w:eastAsia="Palatino Linotype" w:hAnsi="Palatino Linotype" w:cs="Palatino Linotype"/>
                <w:color w:val="000000"/>
              </w:rPr>
            </w:pPr>
            <w:r>
              <w:rPr>
                <w:rFonts w:ascii="Palatino Linotype" w:eastAsia="Palatino Linotype" w:hAnsi="Palatino Linotype" w:cs="Palatino Linotype"/>
                <w:color w:val="000000"/>
              </w:rPr>
              <w:t>artículo 4, fracción XI de la Ley de Protección de Datos Personales en Posesión de Sujetos Obligados del Estado de México y</w:t>
            </w:r>
          </w:p>
          <w:p w:rsidR="00F3396F" w:rsidRDefault="00F71AB8">
            <w:pPr>
              <w:widowControl w:val="0"/>
              <w:pBdr>
                <w:top w:val="nil"/>
                <w:left w:val="nil"/>
                <w:bottom w:val="nil"/>
                <w:right w:val="nil"/>
                <w:between w:val="nil"/>
              </w:pBdr>
              <w:ind w:left="105" w:right="14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Municipios.</w:t>
            </w:r>
          </w:p>
        </w:tc>
      </w:tr>
      <w:tr w:rsidR="00F3396F">
        <w:trPr>
          <w:trHeight w:val="2159"/>
        </w:trPr>
        <w:tc>
          <w:tcPr>
            <w:tcW w:w="3116" w:type="dxa"/>
          </w:tcPr>
          <w:p w:rsidR="00F3396F" w:rsidRDefault="00F3396F">
            <w:pPr>
              <w:widowControl w:val="0"/>
              <w:pBdr>
                <w:top w:val="nil"/>
                <w:left w:val="nil"/>
                <w:bottom w:val="nil"/>
                <w:right w:val="nil"/>
                <w:between w:val="nil"/>
              </w:pBdr>
              <w:ind w:right="143"/>
              <w:rPr>
                <w:rFonts w:ascii="Palatino Linotype" w:eastAsia="Palatino Linotype" w:hAnsi="Palatino Linotype" w:cs="Palatino Linotype"/>
                <w:color w:val="000000"/>
              </w:rPr>
            </w:pPr>
          </w:p>
          <w:p w:rsidR="00F3396F" w:rsidRDefault="00F3396F">
            <w:pPr>
              <w:widowControl w:val="0"/>
              <w:pBdr>
                <w:top w:val="nil"/>
                <w:left w:val="nil"/>
                <w:bottom w:val="nil"/>
                <w:right w:val="nil"/>
                <w:between w:val="nil"/>
              </w:pBdr>
              <w:ind w:right="143"/>
              <w:rPr>
                <w:rFonts w:ascii="Palatino Linotype" w:eastAsia="Palatino Linotype" w:hAnsi="Palatino Linotype" w:cs="Palatino Linotype"/>
                <w:color w:val="000000"/>
              </w:rPr>
            </w:pPr>
          </w:p>
          <w:p w:rsidR="00F3396F" w:rsidRDefault="00F3396F">
            <w:pPr>
              <w:widowControl w:val="0"/>
              <w:pBdr>
                <w:top w:val="nil"/>
                <w:left w:val="nil"/>
                <w:bottom w:val="nil"/>
                <w:right w:val="nil"/>
                <w:between w:val="nil"/>
              </w:pBdr>
              <w:ind w:right="143"/>
              <w:rPr>
                <w:rFonts w:ascii="Palatino Linotype" w:eastAsia="Palatino Linotype" w:hAnsi="Palatino Linotype" w:cs="Palatino Linotype"/>
                <w:color w:val="000000"/>
              </w:rPr>
            </w:pPr>
          </w:p>
          <w:p w:rsidR="00F3396F" w:rsidRDefault="00F3396F">
            <w:pPr>
              <w:widowControl w:val="0"/>
              <w:pBdr>
                <w:top w:val="nil"/>
                <w:left w:val="nil"/>
                <w:bottom w:val="nil"/>
                <w:right w:val="nil"/>
                <w:between w:val="nil"/>
              </w:pBdr>
              <w:ind w:right="143"/>
              <w:rPr>
                <w:rFonts w:ascii="Palatino Linotype" w:eastAsia="Palatino Linotype" w:hAnsi="Palatino Linotype" w:cs="Palatino Linotype"/>
                <w:color w:val="000000"/>
              </w:rPr>
            </w:pPr>
          </w:p>
          <w:p w:rsidR="00F3396F" w:rsidRDefault="00F3396F">
            <w:pPr>
              <w:widowControl w:val="0"/>
              <w:pBdr>
                <w:top w:val="nil"/>
                <w:left w:val="nil"/>
                <w:bottom w:val="nil"/>
                <w:right w:val="nil"/>
                <w:between w:val="nil"/>
              </w:pBdr>
              <w:spacing w:before="12"/>
              <w:ind w:right="143"/>
              <w:rPr>
                <w:rFonts w:ascii="Palatino Linotype" w:eastAsia="Palatino Linotype" w:hAnsi="Palatino Linotype" w:cs="Palatino Linotype"/>
                <w:color w:val="000000"/>
              </w:rPr>
            </w:pPr>
          </w:p>
          <w:p w:rsidR="00F3396F" w:rsidRDefault="00F71AB8">
            <w:pPr>
              <w:widowControl w:val="0"/>
              <w:pBdr>
                <w:top w:val="nil"/>
                <w:left w:val="nil"/>
                <w:bottom w:val="nil"/>
                <w:right w:val="nil"/>
                <w:between w:val="nil"/>
              </w:pBdr>
              <w:ind w:right="143"/>
              <w:rPr>
                <w:rFonts w:ascii="Palatino Linotype" w:eastAsia="Palatino Linotype" w:hAnsi="Palatino Linotype" w:cs="Palatino Linotype"/>
                <w:color w:val="000000"/>
              </w:rPr>
            </w:pPr>
            <w:r>
              <w:rPr>
                <w:rFonts w:ascii="Palatino Linotype" w:eastAsia="Palatino Linotype" w:hAnsi="Palatino Linotype" w:cs="Palatino Linotype"/>
                <w:color w:val="000000"/>
              </w:rPr>
              <w:t>Clave catastral</w:t>
            </w:r>
          </w:p>
        </w:tc>
        <w:tc>
          <w:tcPr>
            <w:tcW w:w="6240" w:type="dxa"/>
          </w:tcPr>
          <w:p w:rsidR="00F3396F" w:rsidRDefault="00F71AB8">
            <w:pPr>
              <w:widowControl w:val="0"/>
              <w:pBdr>
                <w:top w:val="nil"/>
                <w:left w:val="nil"/>
                <w:bottom w:val="nil"/>
                <w:right w:val="nil"/>
                <w:between w:val="nil"/>
              </w:pBdr>
              <w:ind w:left="105" w:right="14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Se trata de información confidencial que sólo le atañe a sus titulares, máxime que se trata de información que no es referente a servidores públicos sino de particulares. Se considera que puede ser testada al momento de la elaboración de una versión pública.</w:t>
            </w:r>
          </w:p>
          <w:p w:rsidR="00F3396F" w:rsidRDefault="00F3396F">
            <w:pPr>
              <w:widowControl w:val="0"/>
              <w:pBdr>
                <w:top w:val="nil"/>
                <w:left w:val="nil"/>
                <w:bottom w:val="nil"/>
                <w:right w:val="nil"/>
                <w:between w:val="nil"/>
              </w:pBdr>
              <w:spacing w:before="12"/>
              <w:ind w:right="143"/>
              <w:rPr>
                <w:rFonts w:ascii="Palatino Linotype" w:eastAsia="Palatino Linotype" w:hAnsi="Palatino Linotype" w:cs="Palatino Linotype"/>
                <w:color w:val="000000"/>
              </w:rPr>
            </w:pPr>
          </w:p>
          <w:p w:rsidR="00F3396F" w:rsidRDefault="00F71AB8">
            <w:pPr>
              <w:widowControl w:val="0"/>
              <w:pBdr>
                <w:top w:val="nil"/>
                <w:left w:val="nil"/>
                <w:bottom w:val="nil"/>
                <w:right w:val="nil"/>
                <w:between w:val="nil"/>
              </w:pBdr>
              <w:ind w:left="105" w:right="14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En términos de lo dispuesto en los artículos 3, fracción XXIII y 143, fracción I de la Ley de Transparencia y Acceso a la Información Pública del Estado de México y Municipios; así como, en el artículo 4, fracción XI de la Ley de Protección de Datos Personales en Posesión de Sujetos Obligados del Estado de México y</w:t>
            </w:r>
          </w:p>
          <w:p w:rsidR="00F3396F" w:rsidRDefault="00F71AB8">
            <w:pPr>
              <w:widowControl w:val="0"/>
              <w:pBdr>
                <w:top w:val="nil"/>
                <w:left w:val="nil"/>
                <w:bottom w:val="nil"/>
                <w:right w:val="nil"/>
                <w:between w:val="nil"/>
              </w:pBdr>
              <w:ind w:left="105" w:right="143"/>
              <w:rPr>
                <w:rFonts w:ascii="Palatino Linotype" w:eastAsia="Palatino Linotype" w:hAnsi="Palatino Linotype" w:cs="Palatino Linotype"/>
                <w:color w:val="000000"/>
              </w:rPr>
            </w:pPr>
            <w:r>
              <w:rPr>
                <w:rFonts w:ascii="Palatino Linotype" w:eastAsia="Palatino Linotype" w:hAnsi="Palatino Linotype" w:cs="Palatino Linotype"/>
                <w:color w:val="000000"/>
              </w:rPr>
              <w:t>Municipios.</w:t>
            </w:r>
          </w:p>
        </w:tc>
      </w:tr>
      <w:tr w:rsidR="00F3396F">
        <w:trPr>
          <w:trHeight w:val="2159"/>
        </w:trPr>
        <w:tc>
          <w:tcPr>
            <w:tcW w:w="3116" w:type="dxa"/>
          </w:tcPr>
          <w:p w:rsidR="00F3396F" w:rsidRDefault="00F3396F">
            <w:pPr>
              <w:widowControl w:val="0"/>
              <w:pBdr>
                <w:top w:val="nil"/>
                <w:left w:val="nil"/>
                <w:bottom w:val="nil"/>
                <w:right w:val="nil"/>
                <w:between w:val="nil"/>
              </w:pBdr>
              <w:ind w:right="143"/>
              <w:rPr>
                <w:rFonts w:ascii="Palatino Linotype" w:eastAsia="Palatino Linotype" w:hAnsi="Palatino Linotype" w:cs="Palatino Linotype"/>
                <w:color w:val="000000"/>
              </w:rPr>
            </w:pPr>
          </w:p>
          <w:p w:rsidR="00F3396F" w:rsidRDefault="00F3396F">
            <w:pPr>
              <w:widowControl w:val="0"/>
              <w:pBdr>
                <w:top w:val="nil"/>
                <w:left w:val="nil"/>
                <w:bottom w:val="nil"/>
                <w:right w:val="nil"/>
                <w:between w:val="nil"/>
              </w:pBdr>
              <w:spacing w:before="12"/>
              <w:ind w:right="143"/>
              <w:rPr>
                <w:rFonts w:ascii="Palatino Linotype" w:eastAsia="Palatino Linotype" w:hAnsi="Palatino Linotype" w:cs="Palatino Linotype"/>
                <w:color w:val="000000"/>
              </w:rPr>
            </w:pPr>
          </w:p>
          <w:p w:rsidR="00F3396F" w:rsidRDefault="00F71AB8">
            <w:pPr>
              <w:widowControl w:val="0"/>
              <w:pBdr>
                <w:top w:val="nil"/>
                <w:left w:val="nil"/>
                <w:bottom w:val="nil"/>
                <w:right w:val="nil"/>
                <w:between w:val="nil"/>
              </w:pBdr>
              <w:ind w:right="143"/>
              <w:rPr>
                <w:rFonts w:ascii="Palatino Linotype" w:eastAsia="Palatino Linotype" w:hAnsi="Palatino Linotype" w:cs="Palatino Linotype"/>
                <w:color w:val="000000"/>
              </w:rPr>
            </w:pPr>
            <w:r>
              <w:rPr>
                <w:rFonts w:ascii="Palatino Linotype" w:eastAsia="Palatino Linotype" w:hAnsi="Palatino Linotype" w:cs="Palatino Linotype"/>
                <w:color w:val="000000"/>
              </w:rPr>
              <w:t>Datos del Perito Responsable de Obra: nombre y registro.</w:t>
            </w:r>
          </w:p>
        </w:tc>
        <w:tc>
          <w:tcPr>
            <w:tcW w:w="6240" w:type="dxa"/>
          </w:tcPr>
          <w:p w:rsidR="00F3396F" w:rsidRDefault="00F71AB8">
            <w:pPr>
              <w:widowControl w:val="0"/>
              <w:pBdr>
                <w:top w:val="nil"/>
                <w:left w:val="nil"/>
                <w:bottom w:val="nil"/>
                <w:right w:val="nil"/>
                <w:between w:val="nil"/>
              </w:pBdr>
              <w:ind w:left="105" w:right="14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Se considera información de interés público, puesto que atiende a la naturaleza del trámite a realizar y abona en la rendición de cuentas.</w:t>
            </w:r>
          </w:p>
          <w:p w:rsidR="00F3396F" w:rsidRDefault="00F3396F">
            <w:pPr>
              <w:widowControl w:val="0"/>
              <w:pBdr>
                <w:top w:val="nil"/>
                <w:left w:val="nil"/>
                <w:bottom w:val="nil"/>
                <w:right w:val="nil"/>
                <w:between w:val="nil"/>
              </w:pBdr>
              <w:spacing w:before="12"/>
              <w:ind w:right="143"/>
              <w:rPr>
                <w:rFonts w:ascii="Palatino Linotype" w:eastAsia="Palatino Linotype" w:hAnsi="Palatino Linotype" w:cs="Palatino Linotype"/>
                <w:color w:val="000000"/>
              </w:rPr>
            </w:pPr>
          </w:p>
          <w:p w:rsidR="00F3396F" w:rsidRDefault="00F71AB8">
            <w:pPr>
              <w:widowControl w:val="0"/>
              <w:pBdr>
                <w:top w:val="nil"/>
                <w:left w:val="nil"/>
                <w:bottom w:val="nil"/>
                <w:right w:val="nil"/>
                <w:between w:val="nil"/>
              </w:pBdr>
              <w:ind w:left="105" w:right="14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En términos de lo dispuesto por los artículos 3, fracción XXII, 12, 18 y 19 de la Ley de Transparencia y Acceso a la Información Pública del Estado de México y Municipios.</w:t>
            </w:r>
          </w:p>
        </w:tc>
      </w:tr>
      <w:tr w:rsidR="00F3396F">
        <w:trPr>
          <w:trHeight w:val="2159"/>
        </w:trPr>
        <w:tc>
          <w:tcPr>
            <w:tcW w:w="3116" w:type="dxa"/>
          </w:tcPr>
          <w:p w:rsidR="00F3396F" w:rsidRDefault="00F3396F">
            <w:pPr>
              <w:widowControl w:val="0"/>
              <w:pBdr>
                <w:top w:val="nil"/>
                <w:left w:val="nil"/>
                <w:bottom w:val="nil"/>
                <w:right w:val="nil"/>
                <w:between w:val="nil"/>
              </w:pBdr>
              <w:ind w:right="143"/>
              <w:rPr>
                <w:rFonts w:ascii="Palatino Linotype" w:eastAsia="Palatino Linotype" w:hAnsi="Palatino Linotype" w:cs="Palatino Linotype"/>
                <w:color w:val="000000"/>
              </w:rPr>
            </w:pPr>
          </w:p>
          <w:p w:rsidR="00F3396F" w:rsidRDefault="00F3396F">
            <w:pPr>
              <w:widowControl w:val="0"/>
              <w:pBdr>
                <w:top w:val="nil"/>
                <w:left w:val="nil"/>
                <w:bottom w:val="nil"/>
                <w:right w:val="nil"/>
                <w:between w:val="nil"/>
              </w:pBdr>
              <w:ind w:right="143"/>
              <w:rPr>
                <w:rFonts w:ascii="Palatino Linotype" w:eastAsia="Palatino Linotype" w:hAnsi="Palatino Linotype" w:cs="Palatino Linotype"/>
                <w:color w:val="000000"/>
              </w:rPr>
            </w:pPr>
          </w:p>
          <w:p w:rsidR="00F3396F" w:rsidRDefault="00F3396F">
            <w:pPr>
              <w:widowControl w:val="0"/>
              <w:pBdr>
                <w:top w:val="nil"/>
                <w:left w:val="nil"/>
                <w:bottom w:val="nil"/>
                <w:right w:val="nil"/>
                <w:between w:val="nil"/>
              </w:pBdr>
              <w:ind w:right="143"/>
              <w:rPr>
                <w:rFonts w:ascii="Palatino Linotype" w:eastAsia="Palatino Linotype" w:hAnsi="Palatino Linotype" w:cs="Palatino Linotype"/>
                <w:color w:val="000000"/>
              </w:rPr>
            </w:pPr>
          </w:p>
          <w:p w:rsidR="00F3396F" w:rsidRDefault="00F3396F">
            <w:pPr>
              <w:widowControl w:val="0"/>
              <w:pBdr>
                <w:top w:val="nil"/>
                <w:left w:val="nil"/>
                <w:bottom w:val="nil"/>
                <w:right w:val="nil"/>
                <w:between w:val="nil"/>
              </w:pBdr>
              <w:ind w:right="143"/>
              <w:rPr>
                <w:rFonts w:ascii="Palatino Linotype" w:eastAsia="Palatino Linotype" w:hAnsi="Palatino Linotype" w:cs="Palatino Linotype"/>
                <w:color w:val="000000"/>
              </w:rPr>
            </w:pPr>
          </w:p>
          <w:p w:rsidR="00F3396F" w:rsidRDefault="00F3396F">
            <w:pPr>
              <w:widowControl w:val="0"/>
              <w:pBdr>
                <w:top w:val="nil"/>
                <w:left w:val="nil"/>
                <w:bottom w:val="nil"/>
                <w:right w:val="nil"/>
                <w:between w:val="nil"/>
              </w:pBdr>
              <w:spacing w:before="12"/>
              <w:ind w:right="143"/>
              <w:rPr>
                <w:rFonts w:ascii="Palatino Linotype" w:eastAsia="Palatino Linotype" w:hAnsi="Palatino Linotype" w:cs="Palatino Linotype"/>
                <w:color w:val="000000"/>
              </w:rPr>
            </w:pPr>
          </w:p>
          <w:p w:rsidR="00F3396F" w:rsidRDefault="00F71AB8">
            <w:pPr>
              <w:widowControl w:val="0"/>
              <w:pBdr>
                <w:top w:val="nil"/>
                <w:left w:val="nil"/>
                <w:bottom w:val="nil"/>
                <w:right w:val="nil"/>
                <w:between w:val="nil"/>
              </w:pBdr>
              <w:ind w:right="143"/>
              <w:rPr>
                <w:rFonts w:ascii="Palatino Linotype" w:eastAsia="Palatino Linotype" w:hAnsi="Palatino Linotype" w:cs="Palatino Linotype"/>
                <w:color w:val="000000"/>
              </w:rPr>
            </w:pPr>
            <w:r>
              <w:rPr>
                <w:rFonts w:ascii="Palatino Linotype" w:eastAsia="Palatino Linotype" w:hAnsi="Palatino Linotype" w:cs="Palatino Linotype"/>
                <w:color w:val="000000"/>
              </w:rPr>
              <w:t>Firma de quien recibe la licencia.</w:t>
            </w:r>
          </w:p>
        </w:tc>
        <w:tc>
          <w:tcPr>
            <w:tcW w:w="6240" w:type="dxa"/>
          </w:tcPr>
          <w:p w:rsidR="00F3396F" w:rsidRDefault="00F71AB8">
            <w:pPr>
              <w:widowControl w:val="0"/>
              <w:pBdr>
                <w:top w:val="nil"/>
                <w:left w:val="nil"/>
                <w:bottom w:val="nil"/>
                <w:right w:val="nil"/>
                <w:between w:val="nil"/>
              </w:pBdr>
              <w:ind w:left="105" w:right="14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Se trata de información confidencial que sólo le atañe a sus titulares, máxime que se trata de información que no es referente a servidores públicos sino de particulares. Se considera que puede ser testada al momento de la elaboración de una versión pública.</w:t>
            </w:r>
          </w:p>
          <w:p w:rsidR="00F3396F" w:rsidRDefault="00F3396F">
            <w:pPr>
              <w:widowControl w:val="0"/>
              <w:pBdr>
                <w:top w:val="nil"/>
                <w:left w:val="nil"/>
                <w:bottom w:val="nil"/>
                <w:right w:val="nil"/>
                <w:between w:val="nil"/>
              </w:pBdr>
              <w:spacing w:before="12"/>
              <w:ind w:right="143"/>
              <w:rPr>
                <w:rFonts w:ascii="Palatino Linotype" w:eastAsia="Palatino Linotype" w:hAnsi="Palatino Linotype" w:cs="Palatino Linotype"/>
                <w:color w:val="000000"/>
              </w:rPr>
            </w:pPr>
          </w:p>
          <w:p w:rsidR="00F3396F" w:rsidRDefault="00F71AB8">
            <w:pPr>
              <w:widowControl w:val="0"/>
              <w:pBdr>
                <w:top w:val="nil"/>
                <w:left w:val="nil"/>
                <w:bottom w:val="nil"/>
                <w:right w:val="nil"/>
                <w:between w:val="nil"/>
              </w:pBdr>
              <w:ind w:left="105" w:right="14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En términos de lo dispuesto en los artículos 3, fracción XXIII y 143, fracción I de la Ley de Transparencia y Acceso a la Información Pública del Estado de México y Municipios; así como, en el artículo 4, fracción XI de la Ley de Protección de Datos Personales en Posesión de Sujetos Obligados del Estado de México y</w:t>
            </w:r>
          </w:p>
          <w:p w:rsidR="00F3396F" w:rsidRDefault="00F71AB8">
            <w:pPr>
              <w:widowControl w:val="0"/>
              <w:pBdr>
                <w:top w:val="nil"/>
                <w:left w:val="nil"/>
                <w:bottom w:val="nil"/>
                <w:right w:val="nil"/>
                <w:between w:val="nil"/>
              </w:pBdr>
              <w:ind w:left="105" w:right="14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Municipios.</w:t>
            </w:r>
          </w:p>
        </w:tc>
      </w:tr>
    </w:tbl>
    <w:p w:rsidR="00F3396F" w:rsidRDefault="00F3396F">
      <w:pPr>
        <w:pBdr>
          <w:top w:val="nil"/>
          <w:left w:val="nil"/>
          <w:bottom w:val="nil"/>
          <w:right w:val="nil"/>
          <w:between w:val="nil"/>
        </w:pBdr>
        <w:tabs>
          <w:tab w:val="left" w:pos="0"/>
        </w:tabs>
        <w:spacing w:line="360" w:lineRule="auto"/>
        <w:ind w:right="-1417"/>
        <w:jc w:val="both"/>
        <w:rPr>
          <w:rFonts w:ascii="Palatino Linotype" w:eastAsia="Palatino Linotype" w:hAnsi="Palatino Linotype" w:cs="Palatino Linotype"/>
        </w:rPr>
      </w:pPr>
    </w:p>
    <w:p w:rsidR="00F3396F" w:rsidRDefault="00F3396F">
      <w:pPr>
        <w:pBdr>
          <w:top w:val="nil"/>
          <w:left w:val="nil"/>
          <w:bottom w:val="nil"/>
          <w:right w:val="nil"/>
          <w:between w:val="nil"/>
        </w:pBdr>
        <w:ind w:left="720" w:right="-1417"/>
        <w:rPr>
          <w:rFonts w:ascii="Palatino Linotype" w:eastAsia="Palatino Linotype" w:hAnsi="Palatino Linotype" w:cs="Palatino Linotype"/>
          <w:color w:val="000000"/>
        </w:rPr>
      </w:pPr>
    </w:p>
    <w:p w:rsidR="00F3396F" w:rsidRDefault="00F71AB8">
      <w:pPr>
        <w:numPr>
          <w:ilvl w:val="0"/>
          <w:numId w:val="6"/>
        </w:numPr>
        <w:pBdr>
          <w:top w:val="nil"/>
          <w:left w:val="nil"/>
          <w:bottom w:val="nil"/>
          <w:right w:val="nil"/>
          <w:between w:val="nil"/>
        </w:pBdr>
        <w:tabs>
          <w:tab w:val="left" w:pos="0"/>
        </w:tabs>
        <w:spacing w:line="360" w:lineRule="auto"/>
        <w:ind w:left="0" w:right="-1417" w:firstLine="0"/>
        <w:jc w:val="both"/>
        <w:rPr>
          <w:rFonts w:ascii="Palatino Linotype" w:eastAsia="Palatino Linotype" w:hAnsi="Palatino Linotype" w:cs="Palatino Linotype"/>
        </w:rPr>
      </w:pPr>
      <w:r>
        <w:rPr>
          <w:rFonts w:ascii="Palatino Linotype" w:eastAsia="Palatino Linotype" w:hAnsi="Palatino Linotype" w:cs="Palatino Linotype"/>
        </w:rPr>
        <w:t>En tales consideraciones, si se localizan dichos datos personales en la información entregada, esta es susceptible de ser clasificada como confidencial, con fundamento en el artículo 143, fracción I de la Ley de Transparencia y Acceso a la Información Pública.</w:t>
      </w:r>
    </w:p>
    <w:p w:rsidR="00F3396F" w:rsidRDefault="00F3396F">
      <w:pPr>
        <w:pBdr>
          <w:top w:val="nil"/>
          <w:left w:val="nil"/>
          <w:bottom w:val="nil"/>
          <w:right w:val="nil"/>
          <w:between w:val="nil"/>
        </w:pBdr>
        <w:ind w:left="720" w:right="-1417"/>
        <w:rPr>
          <w:rFonts w:ascii="Palatino Linotype" w:eastAsia="Palatino Linotype" w:hAnsi="Palatino Linotype" w:cs="Palatino Linotype"/>
          <w:color w:val="000000"/>
        </w:rPr>
      </w:pPr>
    </w:p>
    <w:p w:rsidR="00F3396F" w:rsidRDefault="00F71AB8">
      <w:pPr>
        <w:numPr>
          <w:ilvl w:val="0"/>
          <w:numId w:val="6"/>
        </w:numPr>
        <w:pBdr>
          <w:top w:val="nil"/>
          <w:left w:val="nil"/>
          <w:bottom w:val="nil"/>
          <w:right w:val="nil"/>
          <w:between w:val="nil"/>
        </w:pBdr>
        <w:tabs>
          <w:tab w:val="left" w:pos="0"/>
        </w:tabs>
        <w:spacing w:line="360" w:lineRule="auto"/>
        <w:ind w:left="0" w:right="-141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esa línea, se tiene que la documentación proporcionada por los solicitantes de las licencias de construcción, deben de ser clasificados como confidenciales. </w:t>
      </w:r>
    </w:p>
    <w:p w:rsidR="00F3396F" w:rsidRDefault="00F3396F">
      <w:pPr>
        <w:pBdr>
          <w:top w:val="nil"/>
          <w:left w:val="nil"/>
          <w:bottom w:val="nil"/>
          <w:right w:val="nil"/>
          <w:between w:val="nil"/>
        </w:pBdr>
        <w:tabs>
          <w:tab w:val="left" w:pos="0"/>
        </w:tabs>
        <w:spacing w:line="360" w:lineRule="auto"/>
        <w:ind w:right="-1417"/>
        <w:jc w:val="both"/>
        <w:rPr>
          <w:rFonts w:ascii="Palatino Linotype" w:eastAsia="Palatino Linotype" w:hAnsi="Palatino Linotype" w:cs="Palatino Linotype"/>
        </w:rPr>
      </w:pPr>
    </w:p>
    <w:p w:rsidR="00F3396F" w:rsidRDefault="00F71AB8">
      <w:pPr>
        <w:numPr>
          <w:ilvl w:val="0"/>
          <w:numId w:val="6"/>
        </w:numPr>
        <w:pBdr>
          <w:top w:val="nil"/>
          <w:left w:val="nil"/>
          <w:bottom w:val="nil"/>
          <w:right w:val="nil"/>
          <w:between w:val="nil"/>
        </w:pBdr>
        <w:tabs>
          <w:tab w:val="left" w:pos="0"/>
        </w:tabs>
        <w:spacing w:line="360" w:lineRule="auto"/>
        <w:ind w:left="0" w:right="-141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Ahora bien, en cuanto a saber si existen ampliaciones realizadas al interior del conjunto urbano, se tiene que ser el caso que se hubieran autorizado licencias por </w:t>
      </w:r>
      <w:r>
        <w:rPr>
          <w:rFonts w:ascii="Palatino Linotype" w:eastAsia="Palatino Linotype" w:hAnsi="Palatino Linotype" w:cs="Palatino Linotype"/>
        </w:rPr>
        <w:lastRenderedPageBreak/>
        <w:t xml:space="preserve">ampliación en el conjunto al momento en que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 xml:space="preserve">entregue la información colmara los puntos </w:t>
      </w:r>
      <w:r>
        <w:rPr>
          <w:rFonts w:ascii="Palatino Linotype" w:eastAsia="Palatino Linotype" w:hAnsi="Palatino Linotype" w:cs="Palatino Linotype"/>
          <w:b/>
          <w:bCs/>
        </w:rPr>
        <w:t>uno y cuatro de la solicitud de información</w:t>
      </w:r>
      <w:r>
        <w:rPr>
          <w:rFonts w:ascii="Palatino Linotype" w:eastAsia="Palatino Linotype" w:hAnsi="Palatino Linotype" w:cs="Palatino Linotype"/>
        </w:rPr>
        <w:t xml:space="preserve">. </w:t>
      </w:r>
    </w:p>
    <w:p w:rsidR="00F3396F" w:rsidRDefault="00F3396F">
      <w:pPr>
        <w:pBdr>
          <w:top w:val="nil"/>
          <w:left w:val="nil"/>
          <w:bottom w:val="nil"/>
          <w:right w:val="nil"/>
          <w:between w:val="nil"/>
        </w:pBdr>
        <w:tabs>
          <w:tab w:val="left" w:pos="0"/>
        </w:tabs>
        <w:spacing w:line="360" w:lineRule="auto"/>
        <w:ind w:right="-1417"/>
        <w:jc w:val="both"/>
        <w:rPr>
          <w:rFonts w:ascii="Palatino Linotype" w:eastAsia="Palatino Linotype" w:hAnsi="Palatino Linotype" w:cs="Palatino Linotype"/>
        </w:rPr>
      </w:pPr>
    </w:p>
    <w:p w:rsidR="00F3396F" w:rsidRDefault="00F71AB8">
      <w:pPr>
        <w:numPr>
          <w:ilvl w:val="0"/>
          <w:numId w:val="6"/>
        </w:numPr>
        <w:pBdr>
          <w:top w:val="nil"/>
          <w:left w:val="nil"/>
          <w:bottom w:val="nil"/>
          <w:right w:val="nil"/>
          <w:between w:val="nil"/>
        </w:pBdr>
        <w:tabs>
          <w:tab w:val="left" w:pos="0"/>
        </w:tabs>
        <w:spacing w:line="360" w:lineRule="auto"/>
        <w:ind w:left="0" w:right="-1417" w:firstLine="0"/>
        <w:jc w:val="both"/>
        <w:rPr>
          <w:rFonts w:ascii="Palatino Linotype" w:eastAsia="Palatino Linotype" w:hAnsi="Palatino Linotype" w:cs="Palatino Linotype"/>
          <w:b/>
          <w:bCs/>
        </w:rPr>
      </w:pPr>
      <w:r>
        <w:rPr>
          <w:rFonts w:ascii="Palatino Linotype" w:eastAsia="Palatino Linotype" w:hAnsi="Palatino Linotype" w:cs="Palatino Linotype"/>
        </w:rPr>
        <w:t>En cuanto al punto número tres de la solicitud de información consistente en “</w:t>
      </w:r>
      <w:r>
        <w:rPr>
          <w:rFonts w:ascii="Palatino Linotype" w:eastAsia="Palatino Linotype" w:hAnsi="Palatino Linotype" w:cs="Palatino Linotype"/>
          <w:b/>
          <w:bCs/>
          <w:i/>
          <w:iCs/>
        </w:rPr>
        <w:t xml:space="preserve">Si la administración del conjunto urbano hizo del conocimiento de la autoridad municipal las irregularidades detectadas en obras dentro de esta privada.”, </w:t>
      </w:r>
      <w:r>
        <w:rPr>
          <w:rFonts w:ascii="Palatino Linotype" w:eastAsia="Palatino Linotype" w:hAnsi="Palatino Linotype" w:cs="Palatino Linotype"/>
        </w:rPr>
        <w:t xml:space="preserve">se debe de analizar que no se tiene la certeza de que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 xml:space="preserve">cuenta con dicha información, en esa línea, se tiene que al solo solicitar el pronunciamiento con la contestación quedará colmado el derecho de acceso a la información del </w:t>
      </w:r>
      <w:r>
        <w:rPr>
          <w:rFonts w:ascii="Palatino Linotype" w:eastAsia="Palatino Linotype" w:hAnsi="Palatino Linotype" w:cs="Palatino Linotype"/>
          <w:b/>
          <w:bCs/>
        </w:rPr>
        <w:t xml:space="preserve">RECURRENTE. </w:t>
      </w:r>
    </w:p>
    <w:p w:rsidR="00F3396F" w:rsidRDefault="00F3396F">
      <w:pPr>
        <w:pBdr>
          <w:top w:val="nil"/>
          <w:left w:val="nil"/>
          <w:bottom w:val="nil"/>
          <w:right w:val="nil"/>
          <w:between w:val="nil"/>
        </w:pBdr>
        <w:tabs>
          <w:tab w:val="left" w:pos="0"/>
        </w:tabs>
        <w:spacing w:line="360" w:lineRule="auto"/>
        <w:ind w:left="360" w:right="-1417"/>
        <w:jc w:val="both"/>
        <w:rPr>
          <w:rFonts w:ascii="Palatino Linotype" w:eastAsia="Palatino Linotype" w:hAnsi="Palatino Linotype" w:cs="Palatino Linotype"/>
          <w:b/>
          <w:bCs/>
        </w:rPr>
      </w:pPr>
    </w:p>
    <w:p w:rsidR="00F3396F" w:rsidRDefault="00F71AB8">
      <w:pPr>
        <w:numPr>
          <w:ilvl w:val="0"/>
          <w:numId w:val="6"/>
        </w:numPr>
        <w:pBdr>
          <w:top w:val="nil"/>
          <w:left w:val="nil"/>
          <w:bottom w:val="nil"/>
          <w:right w:val="nil"/>
          <w:between w:val="nil"/>
        </w:pBdr>
        <w:tabs>
          <w:tab w:val="left" w:pos="0"/>
        </w:tabs>
        <w:spacing w:line="360" w:lineRule="auto"/>
        <w:ind w:left="0" w:right="-141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Sin embargo de ser el caso que no se hubieran hecho de sus conocimientos irregularidades a la Dirección de Desarrollo Urbano, bastará con que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 xml:space="preserve">lo haga del conocimiento del </w:t>
      </w:r>
      <w:r>
        <w:rPr>
          <w:rFonts w:ascii="Palatino Linotype" w:eastAsia="Palatino Linotype" w:hAnsi="Palatino Linotype" w:cs="Palatino Linotype"/>
          <w:b/>
          <w:bCs/>
        </w:rPr>
        <w:t xml:space="preserve">RECURRENTE </w:t>
      </w:r>
      <w:r>
        <w:rPr>
          <w:rFonts w:ascii="Palatino Linotype" w:eastAsia="Palatino Linotype" w:hAnsi="Palatino Linotype" w:cs="Palatino Linotype"/>
        </w:rPr>
        <w:t xml:space="preserve">de conformidad con el artículo 19 párrafo segundo de la Ley de Transparencia y Acceso a la Información Pública del Estado de México y Municipios. </w:t>
      </w:r>
    </w:p>
    <w:p w:rsidR="00F3396F" w:rsidRDefault="00F3396F">
      <w:pPr>
        <w:ind w:right="-1417"/>
        <w:rPr>
          <w:rFonts w:ascii="Palatino Linotype" w:eastAsia="Palatino Linotype" w:hAnsi="Palatino Linotype" w:cs="Palatino Linotype"/>
        </w:rPr>
      </w:pPr>
    </w:p>
    <w:p w:rsidR="00F3396F" w:rsidRDefault="00F71AB8">
      <w:pPr>
        <w:numPr>
          <w:ilvl w:val="0"/>
          <w:numId w:val="6"/>
        </w:numPr>
        <w:pBdr>
          <w:top w:val="nil"/>
          <w:left w:val="nil"/>
          <w:bottom w:val="nil"/>
          <w:right w:val="nil"/>
          <w:between w:val="nil"/>
        </w:pBdr>
        <w:tabs>
          <w:tab w:val="left" w:pos="0"/>
        </w:tabs>
        <w:spacing w:line="360" w:lineRule="auto"/>
        <w:ind w:left="0" w:right="-141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Ahora bien, de ser el caso que después de una nueva búsqueda exhaustiva y razonable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refiere no contar con la información solicitada, por no haberse generado una a relación con la empresa referida en la solicitud se deberá de hacer del conocimiento del </w:t>
      </w:r>
      <w:r>
        <w:rPr>
          <w:rFonts w:ascii="Palatino Linotype" w:eastAsia="Palatino Linotype" w:hAnsi="Palatino Linotype" w:cs="Palatino Linotype"/>
          <w:b/>
          <w:bCs/>
        </w:rPr>
        <w:t xml:space="preserve">RECURRENTE </w:t>
      </w:r>
      <w:r>
        <w:rPr>
          <w:rFonts w:ascii="Palatino Linotype" w:eastAsia="Palatino Linotype" w:hAnsi="Palatino Linotype" w:cs="Palatino Linotype"/>
        </w:rPr>
        <w:t xml:space="preserve">de conformidad con el artículo 19 párrafo segundo de la Ley de Acceso a la Información Pública del Estado de México y Municipios. </w:t>
      </w:r>
    </w:p>
    <w:p w:rsidR="00F3396F" w:rsidRDefault="00F3396F">
      <w:pPr>
        <w:pBdr>
          <w:top w:val="nil"/>
          <w:left w:val="nil"/>
          <w:bottom w:val="nil"/>
          <w:right w:val="nil"/>
          <w:between w:val="nil"/>
        </w:pBdr>
        <w:ind w:left="720" w:right="-1417"/>
        <w:rPr>
          <w:rFonts w:ascii="Palatino Linotype" w:eastAsia="Palatino Linotype" w:hAnsi="Palatino Linotype" w:cs="Palatino Linotype"/>
          <w:color w:val="000000"/>
        </w:rPr>
      </w:pPr>
    </w:p>
    <w:p w:rsidR="00F3396F" w:rsidRDefault="00F71AB8">
      <w:pPr>
        <w:numPr>
          <w:ilvl w:val="0"/>
          <w:numId w:val="6"/>
        </w:numPr>
        <w:pBdr>
          <w:top w:val="nil"/>
          <w:left w:val="nil"/>
          <w:bottom w:val="nil"/>
          <w:right w:val="nil"/>
          <w:between w:val="nil"/>
        </w:pBdr>
        <w:tabs>
          <w:tab w:val="left" w:pos="0"/>
        </w:tabs>
        <w:spacing w:line="360" w:lineRule="auto"/>
        <w:ind w:left="0" w:right="-141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De ser el caso que no se hubiera generado poseído o administrado la información solicitada, bastará con que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 xml:space="preserve">lo haga del conocimiento del </w:t>
      </w:r>
      <w:r>
        <w:rPr>
          <w:rFonts w:ascii="Palatino Linotype" w:eastAsia="Palatino Linotype" w:hAnsi="Palatino Linotype" w:cs="Palatino Linotype"/>
          <w:b/>
          <w:bCs/>
        </w:rPr>
        <w:lastRenderedPageBreak/>
        <w:t xml:space="preserve">RECURRENTE </w:t>
      </w:r>
      <w:r>
        <w:rPr>
          <w:rFonts w:ascii="Palatino Linotype" w:eastAsia="Palatino Linotype" w:hAnsi="Palatino Linotype" w:cs="Palatino Linotype"/>
        </w:rPr>
        <w:t xml:space="preserve">de conformidad con el artículo 19 párrafo segundo de la Ley de Transparencia y Acceso a la Información Pública del Estado de México y Municipios. </w:t>
      </w:r>
    </w:p>
    <w:p w:rsidR="00521093" w:rsidRDefault="00521093">
      <w:pPr>
        <w:keepNext/>
        <w:keepLines/>
        <w:spacing w:after="160" w:line="360" w:lineRule="auto"/>
        <w:ind w:right="-1417"/>
        <w:rPr>
          <w:rFonts w:ascii="Palatino Linotype" w:eastAsia="Palatino Linotype" w:hAnsi="Palatino Linotype" w:cs="Palatino Linotype"/>
          <w:b/>
          <w:bCs/>
          <w:color w:val="000000"/>
        </w:rPr>
      </w:pPr>
    </w:p>
    <w:p w:rsidR="00F3396F" w:rsidRDefault="00F71AB8">
      <w:pPr>
        <w:keepNext/>
        <w:keepLines/>
        <w:spacing w:after="160" w:line="360" w:lineRule="auto"/>
        <w:ind w:right="-1417"/>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QUINTO. De la versión pública.</w:t>
      </w:r>
    </w:p>
    <w:p w:rsidR="00F3396F" w:rsidRDefault="00F71AB8">
      <w:pPr>
        <w:keepNext/>
        <w:keepLines/>
        <w:numPr>
          <w:ilvl w:val="0"/>
          <w:numId w:val="5"/>
        </w:numPr>
        <w:tabs>
          <w:tab w:val="left" w:pos="284"/>
        </w:tabs>
        <w:spacing w:after="160" w:line="360" w:lineRule="auto"/>
        <w:ind w:left="0" w:right="-1417" w:firstLine="0"/>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Nociones generales. </w:t>
      </w:r>
    </w:p>
    <w:p w:rsidR="00F3396F" w:rsidRDefault="00F71AB8">
      <w:pPr>
        <w:numPr>
          <w:ilvl w:val="0"/>
          <w:numId w:val="6"/>
        </w:numPr>
        <w:pBdr>
          <w:top w:val="nil"/>
          <w:left w:val="nil"/>
          <w:bottom w:val="nil"/>
          <w:right w:val="nil"/>
          <w:between w:val="nil"/>
        </w:pBdr>
        <w:tabs>
          <w:tab w:val="left" w:pos="0"/>
        </w:tabs>
        <w:spacing w:line="360" w:lineRule="auto"/>
        <w:ind w:left="0" w:right="-141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Debe destacarse, que debido a la información solicitada por el </w:t>
      </w:r>
      <w:r>
        <w:rPr>
          <w:rFonts w:ascii="Palatino Linotype" w:eastAsia="Palatino Linotype" w:hAnsi="Palatino Linotype" w:cs="Palatino Linotype"/>
          <w:b/>
          <w:bCs/>
          <w:color w:val="000000"/>
        </w:rPr>
        <w:t xml:space="preserve">RECURRENTE, pueden </w:t>
      </w:r>
      <w:r>
        <w:rPr>
          <w:rFonts w:ascii="Palatino Linotype" w:eastAsia="Palatino Linotype" w:hAnsi="Palatino Linotype" w:cs="Palatino Linotype"/>
        </w:rPr>
        <w:t>obrar</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datos personales susceptibles de protegerse, así como información susceptible de clasificarse como confidenciales,  por lo que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rsidR="00F3396F" w:rsidRDefault="00F3396F">
      <w:pPr>
        <w:tabs>
          <w:tab w:val="left" w:pos="0"/>
          <w:tab w:val="left" w:pos="284"/>
        </w:tabs>
        <w:spacing w:line="360" w:lineRule="auto"/>
        <w:ind w:right="-1417"/>
        <w:jc w:val="both"/>
        <w:rPr>
          <w:rFonts w:ascii="Palatino Linotype" w:eastAsia="Palatino Linotype" w:hAnsi="Palatino Linotype" w:cs="Palatino Linotype"/>
          <w:highlight w:val="yellow"/>
        </w:rPr>
      </w:pPr>
    </w:p>
    <w:p w:rsidR="00F3396F" w:rsidRDefault="00F71AB8">
      <w:pPr>
        <w:numPr>
          <w:ilvl w:val="0"/>
          <w:numId w:val="6"/>
        </w:numPr>
        <w:pBdr>
          <w:top w:val="nil"/>
          <w:left w:val="nil"/>
          <w:bottom w:val="nil"/>
          <w:right w:val="nil"/>
          <w:between w:val="nil"/>
        </w:pBdr>
        <w:tabs>
          <w:tab w:val="left" w:pos="0"/>
        </w:tabs>
        <w:spacing w:line="360" w:lineRule="auto"/>
        <w:ind w:left="0" w:right="-141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No pasa desapercibido para este Órgano Garante que los sujetos obligados</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F3396F" w:rsidRDefault="00F3396F">
      <w:pPr>
        <w:tabs>
          <w:tab w:val="left" w:pos="284"/>
        </w:tabs>
        <w:spacing w:after="160" w:line="360" w:lineRule="auto"/>
        <w:ind w:right="-1417"/>
        <w:jc w:val="both"/>
        <w:rPr>
          <w:rFonts w:ascii="Palatino Linotype" w:eastAsia="Palatino Linotype" w:hAnsi="Palatino Linotype" w:cs="Palatino Linotype"/>
          <w:color w:val="000000"/>
        </w:rPr>
      </w:pPr>
    </w:p>
    <w:tbl>
      <w:tblPr>
        <w:tblStyle w:val="a1"/>
        <w:tblW w:w="9615"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805"/>
        <w:gridCol w:w="6810"/>
      </w:tblGrid>
      <w:tr w:rsidR="00F3396F">
        <w:tc>
          <w:tcPr>
            <w:tcW w:w="2805" w:type="dxa"/>
          </w:tcPr>
          <w:p w:rsidR="00F3396F" w:rsidRDefault="00F71AB8">
            <w:pPr>
              <w:tabs>
                <w:tab w:val="left" w:pos="284"/>
              </w:tabs>
              <w:spacing w:line="360" w:lineRule="auto"/>
              <w:ind w:right="13"/>
              <w:rPr>
                <w:rFonts w:ascii="Palatino Linotype" w:eastAsia="Palatino Linotype" w:hAnsi="Palatino Linotype" w:cs="Palatino Linotype"/>
              </w:rPr>
            </w:pPr>
            <w:r>
              <w:rPr>
                <w:rFonts w:ascii="Palatino Linotype" w:eastAsia="Palatino Linotype" w:hAnsi="Palatino Linotype" w:cs="Palatino Linotype"/>
              </w:rPr>
              <w:t>a) Requisitos previos.</w:t>
            </w:r>
          </w:p>
        </w:tc>
        <w:tc>
          <w:tcPr>
            <w:tcW w:w="6810" w:type="dxa"/>
          </w:tcPr>
          <w:p w:rsidR="00F3396F" w:rsidRDefault="00F71AB8">
            <w:pPr>
              <w:tabs>
                <w:tab w:val="left" w:pos="284"/>
              </w:tabs>
              <w:spacing w:line="360" w:lineRule="auto"/>
              <w:ind w:right="1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w:t>
            </w:r>
            <w:r>
              <w:rPr>
                <w:rFonts w:ascii="Palatino Linotype" w:eastAsia="Palatino Linotype" w:hAnsi="Palatino Linotype" w:cs="Palatino Linotype"/>
                <w:color w:val="000000"/>
              </w:rPr>
              <w:lastRenderedPageBreak/>
              <w:t xml:space="preserve">supuestos de clasificación, es deber de los titulares de las áreas proponer su clasificación y no del Comité de Transparencia. </w:t>
            </w:r>
          </w:p>
          <w:p w:rsidR="00F3396F" w:rsidRDefault="00F71AB8">
            <w:pPr>
              <w:tabs>
                <w:tab w:val="left" w:pos="284"/>
              </w:tabs>
              <w:spacing w:line="360" w:lineRule="auto"/>
              <w:ind w:right="1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Al hacerlo tienen que precisar de qué información se trata, señalando el supuesto de clasificación (confidencialidad o reserva).</w:t>
            </w:r>
          </w:p>
          <w:p w:rsidR="00F3396F" w:rsidRDefault="00F71AB8">
            <w:pPr>
              <w:tabs>
                <w:tab w:val="left" w:pos="284"/>
              </w:tabs>
              <w:spacing w:line="360" w:lineRule="auto"/>
              <w:ind w:right="1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Además, se debe señalar el procedimiento, de los tres que establecen los artículos 132 y 106 de la Ley Estatal y General, respectivamente.</w:t>
            </w:r>
          </w:p>
          <w:p w:rsidR="00F3396F" w:rsidRDefault="00F71AB8">
            <w:pPr>
              <w:tabs>
                <w:tab w:val="left" w:pos="284"/>
              </w:tabs>
              <w:spacing w:line="360" w:lineRule="auto"/>
              <w:ind w:right="13"/>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Pr>
                <w:rFonts w:ascii="Palatino Linotype" w:eastAsia="Palatino Linotype" w:hAnsi="Palatino Linotype" w:cs="Palatino Linotype"/>
                <w:color w:val="000000"/>
                <w:u w:val="single"/>
              </w:rPr>
              <w:t>no se puede hacer un acuerdo para clasificar de manera general todos los documentos de un expediente o área, sin</w:t>
            </w:r>
            <w:r>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tc>
      </w:tr>
      <w:tr w:rsidR="00F3396F">
        <w:tc>
          <w:tcPr>
            <w:tcW w:w="2805" w:type="dxa"/>
          </w:tcPr>
          <w:p w:rsidR="00F3396F" w:rsidRDefault="00F71AB8">
            <w:pPr>
              <w:tabs>
                <w:tab w:val="left" w:pos="284"/>
              </w:tabs>
              <w:spacing w:line="360" w:lineRule="auto"/>
              <w:ind w:right="13"/>
              <w:rPr>
                <w:rFonts w:ascii="Palatino Linotype" w:eastAsia="Palatino Linotype" w:hAnsi="Palatino Linotype" w:cs="Palatino Linotype"/>
              </w:rPr>
            </w:pPr>
            <w:r>
              <w:rPr>
                <w:rFonts w:ascii="Palatino Linotype" w:eastAsia="Palatino Linotype" w:hAnsi="Palatino Linotype" w:cs="Palatino Linotype"/>
              </w:rPr>
              <w:lastRenderedPageBreak/>
              <w:t>b) Supuestos de clasificación.</w:t>
            </w:r>
          </w:p>
        </w:tc>
        <w:tc>
          <w:tcPr>
            <w:tcW w:w="6810" w:type="dxa"/>
          </w:tcPr>
          <w:p w:rsidR="00F3396F" w:rsidRDefault="00F71AB8">
            <w:pPr>
              <w:tabs>
                <w:tab w:val="left" w:pos="284"/>
              </w:tabs>
              <w:spacing w:line="360" w:lineRule="auto"/>
              <w:ind w:right="1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F3396F" w:rsidRDefault="00F71AB8">
            <w:pPr>
              <w:tabs>
                <w:tab w:val="left" w:pos="284"/>
              </w:tabs>
              <w:spacing w:line="360" w:lineRule="auto"/>
              <w:ind w:right="1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Los artículos 116 y 143 de la Ley Estatal y de la Ley General, respectivamente, señalan los supuestos para que la información pueda ser clasificada como confidencial. Mientras que los artículos 105 y 130 de la Ley Estatal y de la Ley General, </w:t>
            </w:r>
            <w:r>
              <w:rPr>
                <w:rFonts w:ascii="Palatino Linotype" w:eastAsia="Palatino Linotype" w:hAnsi="Palatino Linotype" w:cs="Palatino Linotype"/>
                <w:color w:val="000000"/>
              </w:rPr>
              <w:lastRenderedPageBreak/>
              <w:t>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F3396F" w:rsidRDefault="00F71AB8">
            <w:pPr>
              <w:tabs>
                <w:tab w:val="left" w:pos="284"/>
              </w:tabs>
              <w:spacing w:line="360" w:lineRule="auto"/>
              <w:ind w:right="13"/>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F3396F">
        <w:tc>
          <w:tcPr>
            <w:tcW w:w="2805" w:type="dxa"/>
          </w:tcPr>
          <w:p w:rsidR="00F3396F" w:rsidRDefault="00F71AB8">
            <w:pPr>
              <w:tabs>
                <w:tab w:val="left" w:pos="284"/>
              </w:tabs>
              <w:spacing w:line="360" w:lineRule="auto"/>
              <w:ind w:right="13"/>
              <w:rPr>
                <w:rFonts w:ascii="Palatino Linotype" w:eastAsia="Palatino Linotype" w:hAnsi="Palatino Linotype" w:cs="Palatino Linotype"/>
              </w:rPr>
            </w:pPr>
            <w:r>
              <w:rPr>
                <w:rFonts w:ascii="Palatino Linotype" w:eastAsia="Palatino Linotype" w:hAnsi="Palatino Linotype" w:cs="Palatino Linotype"/>
              </w:rPr>
              <w:lastRenderedPageBreak/>
              <w:t>c) Formalidades para emitir el acuerdo de clasificación.</w:t>
            </w:r>
          </w:p>
        </w:tc>
        <w:tc>
          <w:tcPr>
            <w:tcW w:w="6810" w:type="dxa"/>
          </w:tcPr>
          <w:p w:rsidR="00F3396F" w:rsidRDefault="00F71AB8">
            <w:pPr>
              <w:tabs>
                <w:tab w:val="left" w:pos="284"/>
              </w:tabs>
              <w:spacing w:line="360" w:lineRule="auto"/>
              <w:ind w:right="1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F3396F" w:rsidRDefault="00F71AB8">
            <w:pPr>
              <w:tabs>
                <w:tab w:val="left" w:pos="284"/>
              </w:tabs>
              <w:spacing w:line="360" w:lineRule="auto"/>
              <w:ind w:right="1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Es necesario que </w:t>
            </w:r>
            <w:r>
              <w:rPr>
                <w:rFonts w:ascii="Palatino Linotype" w:eastAsia="Palatino Linotype" w:hAnsi="Palatino Linotype" w:cs="Palatino Linotype"/>
                <w:b/>
                <w:bCs/>
                <w:color w:val="000000"/>
                <w:u w:val="single"/>
              </w:rPr>
              <w:t>el acto reúna con los requisitos elementales</w:t>
            </w:r>
            <w:r>
              <w:rPr>
                <w:rFonts w:ascii="Palatino Linotype" w:eastAsia="Palatino Linotype" w:hAnsi="Palatino Linotype" w:cs="Palatino Linotype"/>
                <w:color w:val="000000"/>
              </w:rPr>
              <w:t>, entre ellos, que la autoridad que va a emitir el acto de autoridad sea la legalmente facultada para ello.</w:t>
            </w:r>
          </w:p>
          <w:p w:rsidR="00F3396F" w:rsidRDefault="00F71AB8">
            <w:pPr>
              <w:tabs>
                <w:tab w:val="left" w:pos="284"/>
              </w:tabs>
              <w:spacing w:line="360" w:lineRule="auto"/>
              <w:ind w:right="13"/>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La decisión de aprobar, modificar o revocar la clasificación deberá de asentarse en un documento que registre la determinación a la que se llegue después de un análisis minucioso a partir de lo propuesto por el Titular del I. </w:t>
            </w:r>
            <w:r>
              <w:rPr>
                <w:rFonts w:ascii="Palatino Linotype" w:eastAsia="Palatino Linotype" w:hAnsi="Palatino Linotype" w:cs="Palatino Linotype"/>
              </w:rPr>
              <w:t>El área</w:t>
            </w:r>
            <w:r>
              <w:rPr>
                <w:rFonts w:ascii="Palatino Linotype" w:eastAsia="Palatino Linotype" w:hAnsi="Palatino Linotype" w:cs="Palatino Linotype"/>
                <w:color w:val="000000"/>
              </w:rPr>
              <w:t xml:space="preserve"> que administra la información, cuyo análisis debe integrarse en la agenda de los asuntos a tratar en las sesiones, se insiste, </w:t>
            </w:r>
            <w:r>
              <w:rPr>
                <w:rFonts w:ascii="Palatino Linotype" w:eastAsia="Palatino Linotype" w:hAnsi="Palatino Linotype" w:cs="Palatino Linotype"/>
                <w:color w:val="000000"/>
              </w:rPr>
              <w:lastRenderedPageBreak/>
              <w:t>a partir de las decisiones adoptadas previamente por los titulares de áreas y que son sujetas a control, en primera instancia, por el Comité de Transparencia.</w:t>
            </w:r>
          </w:p>
        </w:tc>
      </w:tr>
      <w:tr w:rsidR="00F3396F">
        <w:tc>
          <w:tcPr>
            <w:tcW w:w="2805" w:type="dxa"/>
          </w:tcPr>
          <w:p w:rsidR="00F3396F" w:rsidRDefault="00F3396F">
            <w:pPr>
              <w:tabs>
                <w:tab w:val="left" w:pos="284"/>
              </w:tabs>
              <w:spacing w:line="360" w:lineRule="auto"/>
              <w:ind w:right="13"/>
              <w:rPr>
                <w:rFonts w:ascii="Palatino Linotype" w:eastAsia="Palatino Linotype" w:hAnsi="Palatino Linotype" w:cs="Palatino Linotype"/>
              </w:rPr>
            </w:pPr>
          </w:p>
          <w:p w:rsidR="00F3396F" w:rsidRDefault="00F71AB8">
            <w:pPr>
              <w:tabs>
                <w:tab w:val="left" w:pos="284"/>
              </w:tabs>
              <w:spacing w:line="360" w:lineRule="auto"/>
              <w:ind w:right="13"/>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d) Requisitos de fondo del acuerdo de clasificación. </w:t>
            </w:r>
          </w:p>
        </w:tc>
        <w:tc>
          <w:tcPr>
            <w:tcW w:w="6810" w:type="dxa"/>
          </w:tcPr>
          <w:p w:rsidR="00F3396F" w:rsidRDefault="00F71AB8">
            <w:pPr>
              <w:tabs>
                <w:tab w:val="left" w:pos="284"/>
              </w:tabs>
              <w:spacing w:line="360" w:lineRule="auto"/>
              <w:ind w:right="1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Pr>
                <w:rFonts w:ascii="Palatino Linotype" w:eastAsia="Palatino Linotype" w:hAnsi="Palatino Linotype" w:cs="Palatino Linotype"/>
                <w:b/>
                <w:bCs/>
                <w:color w:val="000000"/>
              </w:rPr>
              <w:t>Sujetos Obligados</w:t>
            </w:r>
            <w:r>
              <w:rPr>
                <w:rFonts w:ascii="Palatino Linotype" w:eastAsia="Palatino Linotype" w:hAnsi="Palatino Linotype" w:cs="Palatino Linotype"/>
                <w:color w:val="000000"/>
              </w:rPr>
              <w:t xml:space="preserve">, por lo que deberán fundar y motivar debidamente la clasificación. </w:t>
            </w:r>
          </w:p>
          <w:p w:rsidR="00F3396F" w:rsidRDefault="00F71AB8">
            <w:pPr>
              <w:tabs>
                <w:tab w:val="left" w:pos="284"/>
              </w:tabs>
              <w:spacing w:line="360" w:lineRule="auto"/>
              <w:ind w:right="1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lo anterior, se desprende que para una correcta </w:t>
            </w:r>
            <w:r>
              <w:rPr>
                <w:rFonts w:ascii="Palatino Linotype" w:eastAsia="Palatino Linotype" w:hAnsi="Palatino Linotype" w:cs="Palatino Linotype"/>
                <w:b/>
                <w:bCs/>
                <w:color w:val="000000"/>
              </w:rPr>
              <w:t>clasificación total o parcial</w:t>
            </w:r>
            <w:r>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F3396F" w:rsidRDefault="00F71AB8">
            <w:pPr>
              <w:tabs>
                <w:tab w:val="left" w:pos="284"/>
              </w:tabs>
              <w:spacing w:line="360" w:lineRule="auto"/>
              <w:ind w:right="1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Así, en un acto de autoridad se cumple con la debida fundamentación cuando se cita el precepto legal aplicable al caso concreto y la debida motivación cuando se expresan las razones, motivos o circunstancias que tomó en cuenta la </w:t>
            </w:r>
            <w:r>
              <w:rPr>
                <w:rFonts w:ascii="Palatino Linotype" w:eastAsia="Palatino Linotype" w:hAnsi="Palatino Linotype" w:cs="Palatino Linotype"/>
                <w:color w:val="000000"/>
              </w:rPr>
              <w:lastRenderedPageBreak/>
              <w:t>autoridad para adecuar el hecho a los fundamentos de derecho. De este modo, la persona que se sienta afectada pueda impugnar la decisión, permitiéndole una real y auténtica defensa.</w:t>
            </w:r>
          </w:p>
          <w:p w:rsidR="00F3396F" w:rsidRDefault="00F71AB8">
            <w:pPr>
              <w:tabs>
                <w:tab w:val="left" w:pos="284"/>
              </w:tabs>
              <w:spacing w:line="360" w:lineRule="auto"/>
              <w:ind w:right="1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rsidR="00F3396F" w:rsidRDefault="00F71AB8">
            <w:pPr>
              <w:tabs>
                <w:tab w:val="left" w:pos="284"/>
              </w:tabs>
              <w:spacing w:line="360" w:lineRule="auto"/>
              <w:ind w:right="1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Ahora bien, </w:t>
            </w:r>
            <w:r>
              <w:rPr>
                <w:rFonts w:ascii="Palatino Linotype" w:eastAsia="Palatino Linotype" w:hAnsi="Palatino Linotype" w:cs="Palatino Linotype"/>
                <w:b/>
                <w:bCs/>
                <w:color w:val="000000"/>
                <w:u w:val="single"/>
              </w:rPr>
              <w:t>para cada caso además de fundar y motivar</w:t>
            </w:r>
            <w:r>
              <w:rPr>
                <w:rFonts w:ascii="Palatino Linotype" w:eastAsia="Palatino Linotype" w:hAnsi="Palatino Linotype" w:cs="Palatino Linotype"/>
                <w:color w:val="000000"/>
              </w:rPr>
              <w:t xml:space="preserve">, se debe identificar con claridad </w:t>
            </w:r>
            <w:r>
              <w:rPr>
                <w:rFonts w:ascii="Palatino Linotype" w:eastAsia="Palatino Linotype" w:hAnsi="Palatino Linotype" w:cs="Palatino Linotype"/>
              </w:rPr>
              <w:t>qué</w:t>
            </w:r>
            <w:r>
              <w:rPr>
                <w:rFonts w:ascii="Palatino Linotype" w:eastAsia="Palatino Linotype" w:hAnsi="Palatino Linotype" w:cs="Palatino Linotype"/>
                <w:color w:val="000000"/>
              </w:rPr>
              <w:t xml:space="preserv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F3396F">
        <w:tc>
          <w:tcPr>
            <w:tcW w:w="2805" w:type="dxa"/>
          </w:tcPr>
          <w:p w:rsidR="00F3396F" w:rsidRDefault="00F71AB8">
            <w:pPr>
              <w:tabs>
                <w:tab w:val="left" w:pos="284"/>
              </w:tabs>
              <w:spacing w:line="360" w:lineRule="auto"/>
              <w:ind w:right="13"/>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e) Condiciones especiales de la clasificación de la información como confidencial. </w:t>
            </w:r>
          </w:p>
        </w:tc>
        <w:tc>
          <w:tcPr>
            <w:tcW w:w="6810" w:type="dxa"/>
          </w:tcPr>
          <w:p w:rsidR="00F3396F" w:rsidRDefault="00F71AB8">
            <w:pPr>
              <w:tabs>
                <w:tab w:val="left" w:pos="284"/>
              </w:tabs>
              <w:spacing w:line="360" w:lineRule="auto"/>
              <w:ind w:right="1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Los artículos 148 y 120 de la Ley Estatal y de la Ley General, respectivamente, establecen que aun tratándose de datos personales, se podrán proporcionar, incluso sin solicitar el consentimiento de su titular. </w:t>
            </w:r>
          </w:p>
          <w:p w:rsidR="00F3396F" w:rsidRDefault="00F71AB8">
            <w:pPr>
              <w:tabs>
                <w:tab w:val="left" w:pos="284"/>
              </w:tabs>
              <w:spacing w:line="360" w:lineRule="auto"/>
              <w:ind w:right="1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w:t>
            </w:r>
            <w:r>
              <w:rPr>
                <w:rFonts w:ascii="Palatino Linotype" w:eastAsia="Palatino Linotype" w:hAnsi="Palatino Linotype" w:cs="Palatino Linotype"/>
                <w:color w:val="000000"/>
              </w:rPr>
              <w:lastRenderedPageBreak/>
              <w:t xml:space="preserve">Corte de Justicia de la Nación, los servidores públicos nos encontramos sujetos a un régimen menor de protección. </w:t>
            </w:r>
          </w:p>
          <w:p w:rsidR="00F3396F" w:rsidRDefault="00F71AB8">
            <w:pPr>
              <w:tabs>
                <w:tab w:val="left" w:pos="284"/>
              </w:tabs>
              <w:spacing w:line="360" w:lineRule="auto"/>
              <w:ind w:right="13"/>
              <w:rPr>
                <w:rFonts w:ascii="Palatino Linotype" w:eastAsia="Palatino Linotype" w:hAnsi="Palatino Linotype" w:cs="Palatino Linotype"/>
              </w:rPr>
            </w:pPr>
            <w:r>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F3396F" w:rsidRDefault="00F3396F">
      <w:pPr>
        <w:tabs>
          <w:tab w:val="left" w:pos="284"/>
        </w:tabs>
        <w:spacing w:line="360" w:lineRule="auto"/>
        <w:ind w:right="-1417"/>
        <w:jc w:val="both"/>
        <w:rPr>
          <w:rFonts w:ascii="Palatino Linotype" w:eastAsia="Palatino Linotype" w:hAnsi="Palatino Linotype" w:cs="Palatino Linotype"/>
          <w:color w:val="000000"/>
        </w:rPr>
      </w:pPr>
    </w:p>
    <w:p w:rsidR="00F3396F" w:rsidRDefault="00F71AB8">
      <w:pPr>
        <w:numPr>
          <w:ilvl w:val="0"/>
          <w:numId w:val="6"/>
        </w:numPr>
        <w:pBdr>
          <w:top w:val="nil"/>
          <w:left w:val="nil"/>
          <w:bottom w:val="nil"/>
          <w:right w:val="nil"/>
          <w:between w:val="nil"/>
        </w:pBdr>
        <w:tabs>
          <w:tab w:val="left" w:pos="0"/>
        </w:tabs>
        <w:spacing w:line="360" w:lineRule="auto"/>
        <w:ind w:left="0" w:right="-1417" w:firstLine="0"/>
        <w:jc w:val="both"/>
        <w:rPr>
          <w:rFonts w:ascii="Palatino Linotype" w:eastAsia="Palatino Linotype" w:hAnsi="Palatino Linotype" w:cs="Palatino Linotype"/>
        </w:rPr>
      </w:pPr>
      <w:r>
        <w:rPr>
          <w:rFonts w:ascii="Palatino Linotype" w:eastAsia="Palatino Linotype" w:hAnsi="Palatino Linotype" w:cs="Palatino Linotype"/>
        </w:rPr>
        <w:t>Si el servidor público incumple con estas formalidades y entrega la información sin proteger los datos personales incumple con lo que estipula las disposiciones legales establecidas.</w:t>
      </w:r>
    </w:p>
    <w:p w:rsidR="00F3396F" w:rsidRDefault="00F3396F">
      <w:pPr>
        <w:spacing w:line="360" w:lineRule="auto"/>
        <w:ind w:right="-1417"/>
        <w:jc w:val="both"/>
        <w:rPr>
          <w:rFonts w:ascii="Palatino Linotype" w:eastAsia="Palatino Linotype" w:hAnsi="Palatino Linotype" w:cs="Palatino Linotype"/>
          <w:color w:val="000000"/>
        </w:rPr>
      </w:pPr>
    </w:p>
    <w:p w:rsidR="00F3396F" w:rsidRPr="00521093" w:rsidRDefault="00F71AB8">
      <w:pPr>
        <w:numPr>
          <w:ilvl w:val="0"/>
          <w:numId w:val="6"/>
        </w:numPr>
        <w:pBdr>
          <w:top w:val="nil"/>
          <w:left w:val="nil"/>
          <w:bottom w:val="nil"/>
          <w:right w:val="nil"/>
          <w:between w:val="nil"/>
        </w:pBdr>
        <w:tabs>
          <w:tab w:val="left" w:pos="0"/>
        </w:tabs>
        <w:spacing w:line="360" w:lineRule="auto"/>
        <w:ind w:left="0" w:right="-1417"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Por lo anteriormente expuesto, este Órgano Garante considera fundadas las razones o motivos de inconformidad que plantea el</w:t>
      </w:r>
      <w:r>
        <w:rPr>
          <w:rFonts w:ascii="Palatino Linotype" w:eastAsia="Palatino Linotype" w:hAnsi="Palatino Linotype" w:cs="Palatino Linotype"/>
          <w:b/>
          <w:bCs/>
        </w:rPr>
        <w:t xml:space="preserve"> RECURRENTE</w:t>
      </w:r>
      <w:r>
        <w:rPr>
          <w:rFonts w:ascii="Palatino Linotype" w:eastAsia="Palatino Linotype" w:hAnsi="Palatino Linotype" w:cs="Palatino Linotype"/>
        </w:rPr>
        <w:t xml:space="preserve">, determinando </w:t>
      </w:r>
      <w:r>
        <w:rPr>
          <w:rFonts w:ascii="Palatino Linotype" w:eastAsia="Palatino Linotype" w:hAnsi="Palatino Linotype" w:cs="Palatino Linotype"/>
          <w:b/>
          <w:bCs/>
          <w:smallCaps/>
        </w:rPr>
        <w:t xml:space="preserve">REVOCAR </w:t>
      </w:r>
      <w:r>
        <w:rPr>
          <w:rFonts w:ascii="Palatino Linotype" w:eastAsia="Palatino Linotype" w:hAnsi="Palatino Linotype" w:cs="Palatino Linotype"/>
        </w:rPr>
        <w:t xml:space="preserve">la respuesta del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por lo que con fundamento en lo prescrito en los artículos 5 párrafos vigésimo noveno, trigésimo y trigésimo primero fracciones IV y V de la Constitución Política del Estado Libre y Soberano de México; 2, fracción II; 29, 36 fracciones I y II; 176, 178, 181, 185 de la Ley de Transparencia y Acceso a la Información Pública del Estado de México y Municipios, </w:t>
      </w:r>
      <w:r>
        <w:rPr>
          <w:rFonts w:ascii="Palatino Linotype" w:eastAsia="Palatino Linotype" w:hAnsi="Palatino Linotype" w:cs="Palatino Linotype"/>
          <w:color w:val="000000"/>
        </w:rPr>
        <w:t xml:space="preserve">este </w:t>
      </w:r>
      <w:r>
        <w:rPr>
          <w:rFonts w:ascii="Palatino Linotype" w:eastAsia="Palatino Linotype" w:hAnsi="Palatino Linotype" w:cs="Palatino Linotype"/>
          <w:b/>
          <w:bCs/>
          <w:color w:val="000000"/>
        </w:rPr>
        <w:t>ÓRGANO GARANTE</w:t>
      </w:r>
      <w:r>
        <w:rPr>
          <w:rFonts w:ascii="Palatino Linotype" w:eastAsia="Palatino Linotype" w:hAnsi="Palatino Linotype" w:cs="Palatino Linotype"/>
          <w:color w:val="000000"/>
        </w:rPr>
        <w:t xml:space="preserve"> emite los siguientes. </w:t>
      </w:r>
      <w:r>
        <w:rPr>
          <w:rFonts w:ascii="Palatino Linotype" w:eastAsia="Palatino Linotype" w:hAnsi="Palatino Linotype" w:cs="Palatino Linotype"/>
        </w:rPr>
        <w:t>—---------</w:t>
      </w:r>
    </w:p>
    <w:p w:rsidR="00521093" w:rsidRDefault="00521093" w:rsidP="00521093">
      <w:pPr>
        <w:pStyle w:val="Prrafodelista"/>
        <w:rPr>
          <w:rFonts w:ascii="Palatino Linotype" w:eastAsia="Palatino Linotype" w:hAnsi="Palatino Linotype" w:cs="Palatino Linotype"/>
          <w:color w:val="000000"/>
        </w:rPr>
      </w:pPr>
    </w:p>
    <w:p w:rsidR="00521093" w:rsidRDefault="00521093" w:rsidP="00521093">
      <w:pPr>
        <w:pBdr>
          <w:top w:val="nil"/>
          <w:left w:val="nil"/>
          <w:bottom w:val="nil"/>
          <w:right w:val="nil"/>
          <w:between w:val="nil"/>
        </w:pBdr>
        <w:tabs>
          <w:tab w:val="left" w:pos="0"/>
        </w:tabs>
        <w:spacing w:line="360" w:lineRule="auto"/>
        <w:ind w:right="-1417"/>
        <w:jc w:val="both"/>
        <w:rPr>
          <w:rFonts w:ascii="Palatino Linotype" w:eastAsia="Palatino Linotype" w:hAnsi="Palatino Linotype" w:cs="Palatino Linotype"/>
          <w:color w:val="000000"/>
        </w:rPr>
      </w:pPr>
    </w:p>
    <w:p w:rsidR="00F3396F" w:rsidRDefault="00F3396F">
      <w:pPr>
        <w:pBdr>
          <w:top w:val="nil"/>
          <w:left w:val="nil"/>
          <w:bottom w:val="nil"/>
          <w:right w:val="nil"/>
          <w:between w:val="nil"/>
        </w:pBdr>
        <w:ind w:left="720" w:right="-1417"/>
        <w:rPr>
          <w:rFonts w:ascii="Palatino Linotype" w:eastAsia="Palatino Linotype" w:hAnsi="Palatino Linotype" w:cs="Palatino Linotype"/>
          <w:color w:val="000000"/>
        </w:rPr>
      </w:pPr>
    </w:p>
    <w:p w:rsidR="00F3396F" w:rsidRDefault="00F3396F">
      <w:pPr>
        <w:pBdr>
          <w:top w:val="nil"/>
          <w:left w:val="nil"/>
          <w:bottom w:val="nil"/>
          <w:right w:val="nil"/>
          <w:between w:val="nil"/>
        </w:pBdr>
        <w:tabs>
          <w:tab w:val="left" w:pos="426"/>
        </w:tabs>
        <w:spacing w:line="360" w:lineRule="auto"/>
        <w:ind w:right="-1417"/>
        <w:jc w:val="both"/>
        <w:rPr>
          <w:rFonts w:ascii="Palatino Linotype" w:eastAsia="Palatino Linotype" w:hAnsi="Palatino Linotype" w:cs="Palatino Linotype"/>
          <w:color w:val="000000"/>
        </w:rPr>
      </w:pPr>
    </w:p>
    <w:p w:rsidR="00F3396F" w:rsidRDefault="00F71AB8">
      <w:pPr>
        <w:pStyle w:val="Ttulo1"/>
        <w:spacing w:before="0" w:line="360" w:lineRule="auto"/>
        <w:ind w:right="-1417"/>
        <w:jc w:val="center"/>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lastRenderedPageBreak/>
        <w:t>R E S O L U T I V O S</w:t>
      </w:r>
    </w:p>
    <w:p w:rsidR="00F3396F" w:rsidRDefault="00F3396F">
      <w:pPr>
        <w:spacing w:line="360" w:lineRule="auto"/>
        <w:ind w:right="-1417"/>
        <w:rPr>
          <w:rFonts w:ascii="Palatino Linotype" w:eastAsia="Palatino Linotype" w:hAnsi="Palatino Linotype" w:cs="Palatino Linotype"/>
        </w:rPr>
      </w:pPr>
    </w:p>
    <w:p w:rsidR="00F3396F" w:rsidRDefault="00F71AB8">
      <w:pPr>
        <w:spacing w:line="360" w:lineRule="auto"/>
        <w:ind w:right="-1417"/>
        <w:jc w:val="both"/>
        <w:rPr>
          <w:rFonts w:ascii="Palatino Linotype" w:eastAsia="Palatino Linotype" w:hAnsi="Palatino Linotype" w:cs="Palatino Linotype"/>
        </w:rPr>
      </w:pPr>
      <w:r>
        <w:rPr>
          <w:rFonts w:ascii="Palatino Linotype" w:eastAsia="Palatino Linotype" w:hAnsi="Palatino Linotype" w:cs="Palatino Linotype"/>
          <w:b/>
          <w:bCs/>
        </w:rPr>
        <w:t>PRIMERO</w:t>
      </w:r>
      <w:r>
        <w:rPr>
          <w:rFonts w:ascii="Palatino Linotype" w:eastAsia="Palatino Linotype" w:hAnsi="Palatino Linotype" w:cs="Palatino Linotype"/>
        </w:rPr>
        <w:t xml:space="preserve">. Resultan fundadas las razones o motivos de inconformidad hechos valer en los Recursos de Revisión </w:t>
      </w:r>
      <w:r>
        <w:rPr>
          <w:rFonts w:ascii="Palatino Linotype" w:eastAsia="Palatino Linotype" w:hAnsi="Palatino Linotype" w:cs="Palatino Linotype"/>
          <w:b/>
          <w:bCs/>
        </w:rPr>
        <w:t xml:space="preserve">01133/INFOEM/IP/RR/2026, </w:t>
      </w:r>
      <w:r>
        <w:rPr>
          <w:rFonts w:ascii="Palatino Linotype" w:eastAsia="Palatino Linotype" w:hAnsi="Palatino Linotype" w:cs="Palatino Linotype"/>
        </w:rPr>
        <w:t xml:space="preserve">en términos del Considerando </w:t>
      </w:r>
      <w:r>
        <w:rPr>
          <w:rFonts w:ascii="Palatino Linotype" w:eastAsia="Palatino Linotype" w:hAnsi="Palatino Linotype" w:cs="Palatino Linotype"/>
          <w:b/>
          <w:bCs/>
        </w:rPr>
        <w:t xml:space="preserve">Cuarto y Quinto </w:t>
      </w:r>
      <w:r>
        <w:rPr>
          <w:rFonts w:ascii="Palatino Linotype" w:eastAsia="Palatino Linotype" w:hAnsi="Palatino Linotype" w:cs="Palatino Linotype"/>
        </w:rPr>
        <w:t xml:space="preserve">de la presente resolución. </w:t>
      </w:r>
    </w:p>
    <w:p w:rsidR="00F3396F" w:rsidRDefault="00F3396F">
      <w:pPr>
        <w:spacing w:line="360" w:lineRule="auto"/>
        <w:ind w:right="-1417"/>
        <w:jc w:val="both"/>
        <w:rPr>
          <w:rFonts w:ascii="Palatino Linotype" w:eastAsia="Palatino Linotype" w:hAnsi="Palatino Linotype" w:cs="Palatino Linotype"/>
        </w:rPr>
      </w:pPr>
    </w:p>
    <w:p w:rsidR="00F3396F" w:rsidRDefault="00F71AB8">
      <w:pPr>
        <w:spacing w:line="360" w:lineRule="auto"/>
        <w:ind w:right="-1417"/>
        <w:jc w:val="both"/>
        <w:rPr>
          <w:rFonts w:ascii="Palatino Linotype" w:eastAsia="Palatino Linotype" w:hAnsi="Palatino Linotype" w:cs="Palatino Linotype"/>
        </w:rPr>
      </w:pPr>
      <w:bookmarkStart w:id="8" w:name="_heading=h.1ksv4uv" w:colFirst="0" w:colLast="0"/>
      <w:bookmarkEnd w:id="8"/>
      <w:r>
        <w:rPr>
          <w:rFonts w:ascii="Palatino Linotype" w:eastAsia="Palatino Linotype" w:hAnsi="Palatino Linotype" w:cs="Palatino Linotype"/>
          <w:b/>
          <w:bCs/>
        </w:rPr>
        <w:t xml:space="preserve">SEGUNDO. </w:t>
      </w:r>
      <w:r>
        <w:rPr>
          <w:rFonts w:ascii="Palatino Linotype" w:eastAsia="Palatino Linotype" w:hAnsi="Palatino Linotype" w:cs="Palatino Linotype"/>
          <w:color w:val="000000"/>
        </w:rPr>
        <w:t xml:space="preserve">Se </w:t>
      </w:r>
      <w:r>
        <w:rPr>
          <w:rFonts w:ascii="Palatino Linotype" w:eastAsia="Palatino Linotype" w:hAnsi="Palatino Linotype" w:cs="Palatino Linotype"/>
          <w:b/>
          <w:bCs/>
          <w:color w:val="000000"/>
        </w:rPr>
        <w:t xml:space="preserve">REVOCA </w:t>
      </w:r>
      <w:r>
        <w:rPr>
          <w:rFonts w:ascii="Palatino Linotype" w:eastAsia="Palatino Linotype" w:hAnsi="Palatino Linotype" w:cs="Palatino Linotype"/>
          <w:color w:val="000000"/>
        </w:rPr>
        <w:t xml:space="preserve">la respuesta emitida por el </w:t>
      </w:r>
      <w:r>
        <w:rPr>
          <w:rFonts w:ascii="Palatino Linotype" w:eastAsia="Palatino Linotype" w:hAnsi="Palatino Linotype" w:cs="Palatino Linotype"/>
          <w:b/>
          <w:bCs/>
          <w:color w:val="000000"/>
        </w:rPr>
        <w:t xml:space="preserve">Ayuntamiento de Calimaya </w:t>
      </w:r>
      <w:r>
        <w:rPr>
          <w:rFonts w:ascii="Palatino Linotype" w:eastAsia="Palatino Linotype" w:hAnsi="Palatino Linotype" w:cs="Palatino Linotype"/>
          <w:color w:val="000000"/>
        </w:rPr>
        <w:t xml:space="preserve">y se </w:t>
      </w:r>
      <w:r>
        <w:rPr>
          <w:rFonts w:ascii="Palatino Linotype" w:eastAsia="Palatino Linotype" w:hAnsi="Palatino Linotype" w:cs="Palatino Linotype"/>
          <w:b/>
          <w:bCs/>
          <w:color w:val="000000"/>
        </w:rPr>
        <w:t>ORDENA</w:t>
      </w:r>
      <w:r>
        <w:rPr>
          <w:rFonts w:ascii="Palatino Linotype" w:eastAsia="Palatino Linotype" w:hAnsi="Palatino Linotype" w:cs="Palatino Linotype"/>
          <w:color w:val="000000"/>
        </w:rPr>
        <w:t xml:space="preserve"> entregar vía Sistema de Acceso a la Información,</w:t>
      </w:r>
      <w:r>
        <w:rPr>
          <w:rFonts w:ascii="Palatino Linotype" w:eastAsia="Palatino Linotype" w:hAnsi="Palatino Linotype" w:cs="Palatino Linotype"/>
        </w:rPr>
        <w:t xml:space="preserve"> en versión pública:</w:t>
      </w:r>
    </w:p>
    <w:p w:rsidR="00F3396F" w:rsidRDefault="00F71AB8">
      <w:pPr>
        <w:pBdr>
          <w:top w:val="nil"/>
          <w:left w:val="nil"/>
          <w:bottom w:val="nil"/>
          <w:right w:val="nil"/>
          <w:between w:val="nil"/>
        </w:pBdr>
        <w:ind w:left="1134" w:right="-1417"/>
        <w:rPr>
          <w:rFonts w:ascii="Palatino Linotype" w:eastAsia="Palatino Linotype" w:hAnsi="Palatino Linotype" w:cs="Palatino Linotype"/>
          <w:b/>
          <w:bCs/>
          <w:i/>
          <w:iCs/>
          <w:color w:val="000000"/>
        </w:rPr>
      </w:pPr>
      <w:bookmarkStart w:id="9" w:name="_heading=h.lnxbz9" w:colFirst="0" w:colLast="0"/>
      <w:bookmarkEnd w:id="9"/>
      <w:r>
        <w:rPr>
          <w:rFonts w:ascii="Palatino Linotype" w:eastAsia="Palatino Linotype" w:hAnsi="Palatino Linotype" w:cs="Palatino Linotype"/>
          <w:b/>
          <w:bCs/>
          <w:i/>
          <w:iCs/>
          <w:color w:val="000000"/>
        </w:rPr>
        <w:t>De la privada localizada en la Manzana 7 Lote 10 en Bosque de las Fuentes, San Andrés Ocotlán, Calimaya.</w:t>
      </w:r>
    </w:p>
    <w:p w:rsidR="00F3396F" w:rsidRDefault="00F3396F">
      <w:pPr>
        <w:pBdr>
          <w:top w:val="nil"/>
          <w:left w:val="nil"/>
          <w:bottom w:val="nil"/>
          <w:right w:val="nil"/>
          <w:between w:val="nil"/>
        </w:pBdr>
        <w:ind w:left="1134" w:right="-1417"/>
        <w:rPr>
          <w:rFonts w:ascii="Palatino Linotype" w:eastAsia="Palatino Linotype" w:hAnsi="Palatino Linotype" w:cs="Palatino Linotype"/>
          <w:b/>
          <w:bCs/>
          <w:i/>
          <w:iCs/>
          <w:color w:val="000000"/>
        </w:rPr>
      </w:pPr>
    </w:p>
    <w:p w:rsidR="00F3396F" w:rsidRDefault="00EA0B89">
      <w:pPr>
        <w:pBdr>
          <w:top w:val="nil"/>
          <w:left w:val="nil"/>
          <w:bottom w:val="nil"/>
          <w:right w:val="nil"/>
          <w:between w:val="nil"/>
        </w:pBdr>
        <w:ind w:left="1134" w:right="-1417"/>
        <w:jc w:val="both"/>
        <w:rPr>
          <w:rFonts w:ascii="Palatino Linotype" w:eastAsia="Palatino Linotype" w:hAnsi="Palatino Linotype" w:cs="Palatino Linotype"/>
          <w:b/>
          <w:bCs/>
          <w:i/>
          <w:iCs/>
          <w:color w:val="000000"/>
        </w:rPr>
      </w:pPr>
      <w:r w:rsidRPr="0071716F">
        <w:rPr>
          <w:rFonts w:ascii="Palatino Linotype" w:eastAsia="Palatino Linotype" w:hAnsi="Palatino Linotype" w:cs="Palatino Linotype"/>
          <w:b/>
          <w:bCs/>
          <w:i/>
          <w:iCs/>
          <w:color w:val="000000"/>
        </w:rPr>
        <w:t>1.-D</w:t>
      </w:r>
      <w:r w:rsidR="00F71AB8" w:rsidRPr="0071716F">
        <w:rPr>
          <w:rFonts w:ascii="Palatino Linotype" w:eastAsia="Palatino Linotype" w:hAnsi="Palatino Linotype" w:cs="Palatino Linotype"/>
          <w:b/>
          <w:bCs/>
          <w:i/>
          <w:iCs/>
          <w:color w:val="000000"/>
        </w:rPr>
        <w:t>ocumento donde conste</w:t>
      </w:r>
      <w:r w:rsidRPr="0071716F">
        <w:rPr>
          <w:rFonts w:ascii="Palatino Linotype" w:eastAsia="Palatino Linotype" w:hAnsi="Palatino Linotype" w:cs="Palatino Linotype"/>
          <w:b/>
          <w:bCs/>
          <w:i/>
          <w:iCs/>
          <w:color w:val="000000"/>
        </w:rPr>
        <w:t>n</w:t>
      </w:r>
      <w:r w:rsidR="00F71AB8" w:rsidRPr="0071716F">
        <w:rPr>
          <w:rFonts w:ascii="Palatino Linotype" w:eastAsia="Palatino Linotype" w:hAnsi="Palatino Linotype" w:cs="Palatino Linotype"/>
          <w:b/>
          <w:bCs/>
          <w:i/>
          <w:iCs/>
          <w:color w:val="000000"/>
        </w:rPr>
        <w:t xml:space="preserve"> o se advierta</w:t>
      </w:r>
      <w:r w:rsidRPr="0071716F">
        <w:rPr>
          <w:rFonts w:ascii="Palatino Linotype" w:eastAsia="Palatino Linotype" w:hAnsi="Palatino Linotype" w:cs="Palatino Linotype"/>
          <w:b/>
          <w:bCs/>
          <w:i/>
          <w:iCs/>
          <w:color w:val="000000"/>
        </w:rPr>
        <w:t>n</w:t>
      </w:r>
      <w:r w:rsidR="00F71AB8" w:rsidRPr="0071716F">
        <w:rPr>
          <w:rFonts w:ascii="Palatino Linotype" w:eastAsia="Palatino Linotype" w:hAnsi="Palatino Linotype" w:cs="Palatino Linotype"/>
          <w:b/>
          <w:bCs/>
          <w:i/>
          <w:iCs/>
          <w:color w:val="000000"/>
        </w:rPr>
        <w:t xml:space="preserve"> las irregularidades detectadas</w:t>
      </w:r>
      <w:r w:rsidRPr="0071716F">
        <w:rPr>
          <w:rFonts w:ascii="Palatino Linotype" w:eastAsia="Palatino Linotype" w:hAnsi="Palatino Linotype" w:cs="Palatino Linotype"/>
          <w:b/>
          <w:bCs/>
          <w:i/>
          <w:iCs/>
          <w:color w:val="000000"/>
        </w:rPr>
        <w:t xml:space="preserve"> por la administración pública municipal</w:t>
      </w:r>
      <w:r w:rsidR="00F71AB8" w:rsidRPr="0071716F">
        <w:rPr>
          <w:rFonts w:ascii="Palatino Linotype" w:eastAsia="Palatino Linotype" w:hAnsi="Palatino Linotype" w:cs="Palatino Linotype"/>
          <w:b/>
          <w:bCs/>
          <w:i/>
          <w:iCs/>
          <w:color w:val="000000"/>
        </w:rPr>
        <w:t xml:space="preserve"> en obras</w:t>
      </w:r>
      <w:r w:rsidR="008D13A6" w:rsidRPr="0071716F">
        <w:rPr>
          <w:rFonts w:ascii="Palatino Linotype" w:eastAsia="Palatino Linotype" w:hAnsi="Palatino Linotype" w:cs="Palatino Linotype"/>
          <w:b/>
          <w:bCs/>
          <w:i/>
          <w:iCs/>
          <w:color w:val="000000"/>
        </w:rPr>
        <w:t xml:space="preserve"> dentro</w:t>
      </w:r>
      <w:r w:rsidR="008D13A6">
        <w:rPr>
          <w:rFonts w:ascii="Palatino Linotype" w:eastAsia="Palatino Linotype" w:hAnsi="Palatino Linotype" w:cs="Palatino Linotype"/>
          <w:b/>
          <w:bCs/>
          <w:i/>
          <w:iCs/>
          <w:color w:val="000000"/>
        </w:rPr>
        <w:t xml:space="preserve"> de esta privada; al diez de diciembre</w:t>
      </w:r>
      <w:r w:rsidR="00F71AB8">
        <w:rPr>
          <w:rFonts w:ascii="Palatino Linotype" w:eastAsia="Palatino Linotype" w:hAnsi="Palatino Linotype" w:cs="Palatino Linotype"/>
          <w:b/>
          <w:bCs/>
          <w:i/>
          <w:iCs/>
          <w:color w:val="000000"/>
        </w:rPr>
        <w:t xml:space="preserve"> de dos mil veinticinco; </w:t>
      </w:r>
    </w:p>
    <w:p w:rsidR="00F3396F" w:rsidRDefault="00EA0B89">
      <w:pPr>
        <w:pBdr>
          <w:top w:val="nil"/>
          <w:left w:val="nil"/>
          <w:bottom w:val="nil"/>
          <w:right w:val="nil"/>
          <w:between w:val="nil"/>
        </w:pBdr>
        <w:ind w:left="1134" w:right="-1417"/>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2.- Licencias</w:t>
      </w:r>
      <w:r w:rsidR="00F71AB8">
        <w:rPr>
          <w:rFonts w:ascii="Palatino Linotype" w:eastAsia="Palatino Linotype" w:hAnsi="Palatino Linotype" w:cs="Palatino Linotype"/>
          <w:b/>
          <w:bCs/>
          <w:i/>
          <w:iCs/>
          <w:color w:val="000000"/>
        </w:rPr>
        <w:t xml:space="preserve"> de constr</w:t>
      </w:r>
      <w:r w:rsidR="008D13A6">
        <w:rPr>
          <w:rFonts w:ascii="Palatino Linotype" w:eastAsia="Palatino Linotype" w:hAnsi="Palatino Linotype" w:cs="Palatino Linotype"/>
          <w:b/>
          <w:bCs/>
          <w:i/>
          <w:iCs/>
          <w:color w:val="000000"/>
        </w:rPr>
        <w:t>ucción por ampliaciones, al diez de diciembre</w:t>
      </w:r>
      <w:r w:rsidR="00F71AB8">
        <w:rPr>
          <w:rFonts w:ascii="Palatino Linotype" w:eastAsia="Palatino Linotype" w:hAnsi="Palatino Linotype" w:cs="Palatino Linotype"/>
          <w:b/>
          <w:bCs/>
          <w:i/>
          <w:iCs/>
          <w:color w:val="000000"/>
        </w:rPr>
        <w:t xml:space="preserve"> de dos mil veinticinco; </w:t>
      </w:r>
    </w:p>
    <w:p w:rsidR="00F3396F" w:rsidRDefault="00F3396F">
      <w:pPr>
        <w:pBdr>
          <w:top w:val="nil"/>
          <w:left w:val="nil"/>
          <w:bottom w:val="nil"/>
          <w:right w:val="nil"/>
          <w:between w:val="nil"/>
        </w:pBdr>
        <w:ind w:left="1134" w:right="-1417"/>
        <w:jc w:val="both"/>
        <w:rPr>
          <w:rFonts w:ascii="Palatino Linotype" w:eastAsia="Palatino Linotype" w:hAnsi="Palatino Linotype" w:cs="Palatino Linotype"/>
          <w:b/>
          <w:bCs/>
          <w:i/>
          <w:iCs/>
          <w:color w:val="000000"/>
        </w:rPr>
      </w:pPr>
    </w:p>
    <w:p w:rsidR="00F3396F" w:rsidRDefault="00F71AB8">
      <w:pPr>
        <w:pBdr>
          <w:top w:val="nil"/>
          <w:left w:val="nil"/>
          <w:bottom w:val="nil"/>
          <w:right w:val="nil"/>
          <w:between w:val="nil"/>
        </w:pBdr>
        <w:ind w:left="1134" w:right="-1417"/>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3.- Acta del Comité de Transparencia mediante el cual de manera fundada y motivada se clasifiquen como confidencial los planos y dictamines técnicos de las personas particulares que solicitaron licencia de construcción de ampliación de acuerdo con el artículo 143 fracción I de la Ley de Transparencia y Acceso a la Información Pública del Estado de México y Municipios. </w:t>
      </w:r>
    </w:p>
    <w:p w:rsidR="00F3396F" w:rsidRDefault="00F3396F">
      <w:pPr>
        <w:pBdr>
          <w:top w:val="nil"/>
          <w:left w:val="nil"/>
          <w:bottom w:val="nil"/>
          <w:right w:val="nil"/>
          <w:between w:val="nil"/>
        </w:pBdr>
        <w:ind w:left="1134" w:right="-1417"/>
        <w:rPr>
          <w:rFonts w:ascii="Palatino Linotype" w:eastAsia="Palatino Linotype" w:hAnsi="Palatino Linotype" w:cs="Palatino Linotype"/>
          <w:b/>
          <w:bCs/>
          <w:i/>
          <w:iCs/>
          <w:color w:val="000000"/>
        </w:rPr>
      </w:pPr>
    </w:p>
    <w:p w:rsidR="00F3396F" w:rsidRDefault="00F3396F">
      <w:pPr>
        <w:pBdr>
          <w:top w:val="nil"/>
          <w:left w:val="nil"/>
          <w:bottom w:val="nil"/>
          <w:right w:val="nil"/>
          <w:between w:val="nil"/>
        </w:pBdr>
        <w:ind w:left="1134" w:right="-1417"/>
        <w:jc w:val="both"/>
        <w:rPr>
          <w:rFonts w:ascii="Palatino Linotype" w:eastAsia="Palatino Linotype" w:hAnsi="Palatino Linotype" w:cs="Palatino Linotype"/>
          <w:b/>
          <w:bCs/>
          <w:i/>
          <w:iCs/>
          <w:color w:val="000000"/>
        </w:rPr>
      </w:pPr>
    </w:p>
    <w:p w:rsidR="00F3396F" w:rsidRDefault="00F3396F">
      <w:pPr>
        <w:ind w:right="-1417"/>
        <w:jc w:val="both"/>
        <w:rPr>
          <w:rFonts w:ascii="Palatino Linotype" w:eastAsia="Palatino Linotype" w:hAnsi="Palatino Linotype" w:cs="Palatino Linotype"/>
          <w:b/>
          <w:bCs/>
        </w:rPr>
      </w:pPr>
    </w:p>
    <w:p w:rsidR="00F3396F" w:rsidRDefault="00F71AB8">
      <w:pPr>
        <w:tabs>
          <w:tab w:val="left" w:pos="8080"/>
        </w:tabs>
        <w:spacing w:line="360" w:lineRule="auto"/>
        <w:ind w:right="-1417"/>
        <w:jc w:val="both"/>
        <w:rPr>
          <w:rFonts w:ascii="Palatino Linotype" w:eastAsia="Palatino Linotype" w:hAnsi="Palatino Linotype" w:cs="Palatino Linotype"/>
          <w:b/>
          <w:bCs/>
        </w:rPr>
      </w:pPr>
      <w:r>
        <w:rPr>
          <w:rFonts w:ascii="Palatino Linotype" w:eastAsia="Palatino Linotype" w:hAnsi="Palatino Linotype" w:cs="Palatino Linotype"/>
        </w:rPr>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w:t>
      </w:r>
      <w:r>
        <w:rPr>
          <w:rFonts w:ascii="Palatino Linotype" w:eastAsia="Palatino Linotype" w:hAnsi="Palatino Linotype" w:cs="Palatino Linotype"/>
        </w:rPr>
        <w:lastRenderedPageBreak/>
        <w:t>d</w:t>
      </w:r>
      <w:bookmarkStart w:id="10" w:name="_GoBack"/>
      <w:bookmarkEnd w:id="10"/>
      <w:r>
        <w:rPr>
          <w:rFonts w:ascii="Palatino Linotype" w:eastAsia="Palatino Linotype" w:hAnsi="Palatino Linotype" w:cs="Palatino Linotype"/>
        </w:rPr>
        <w:t xml:space="preserve">ocumental respectivo objeto de las versiones públicas que se formulen y se pongan a disposición del </w:t>
      </w:r>
      <w:r>
        <w:rPr>
          <w:rFonts w:ascii="Palatino Linotype" w:eastAsia="Palatino Linotype" w:hAnsi="Palatino Linotype" w:cs="Palatino Linotype"/>
          <w:b/>
          <w:bCs/>
        </w:rPr>
        <w:t>RECURRENTE.</w:t>
      </w:r>
    </w:p>
    <w:p w:rsidR="00F3396F" w:rsidRDefault="00F3396F">
      <w:pPr>
        <w:tabs>
          <w:tab w:val="left" w:pos="8080"/>
        </w:tabs>
        <w:spacing w:line="360" w:lineRule="auto"/>
        <w:ind w:right="-1417"/>
        <w:jc w:val="both"/>
        <w:rPr>
          <w:rFonts w:ascii="Palatino Linotype" w:eastAsia="Palatino Linotype" w:hAnsi="Palatino Linotype" w:cs="Palatino Linotype"/>
          <w:b/>
          <w:bCs/>
        </w:rPr>
      </w:pPr>
    </w:p>
    <w:p w:rsidR="00F3396F" w:rsidRDefault="00F71AB8">
      <w:pPr>
        <w:tabs>
          <w:tab w:val="left" w:pos="8080"/>
        </w:tabs>
        <w:spacing w:line="360" w:lineRule="auto"/>
        <w:ind w:right="-1417"/>
        <w:jc w:val="both"/>
        <w:rPr>
          <w:rFonts w:ascii="Palatino Linotype" w:eastAsia="Palatino Linotype" w:hAnsi="Palatino Linotype" w:cs="Palatino Linotype"/>
        </w:rPr>
      </w:pPr>
      <w:bookmarkStart w:id="11" w:name="_heading=h.8y6zf0nlmy2f" w:colFirst="0" w:colLast="0"/>
      <w:bookmarkEnd w:id="11"/>
      <w:r>
        <w:rPr>
          <w:rFonts w:ascii="Palatino Linotype" w:eastAsia="Palatino Linotype" w:hAnsi="Palatino Linotype" w:cs="Palatino Linotype"/>
        </w:rPr>
        <w:t xml:space="preserve">De ser el caso que no se hubiera generado poseído o administrado la información solicitada, bastará con que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 xml:space="preserve">lo haga del conocimiento del </w:t>
      </w:r>
      <w:r>
        <w:rPr>
          <w:rFonts w:ascii="Palatino Linotype" w:eastAsia="Palatino Linotype" w:hAnsi="Palatino Linotype" w:cs="Palatino Linotype"/>
          <w:b/>
          <w:bCs/>
        </w:rPr>
        <w:t xml:space="preserve">RECURRENTE </w:t>
      </w:r>
      <w:r>
        <w:rPr>
          <w:rFonts w:ascii="Palatino Linotype" w:eastAsia="Palatino Linotype" w:hAnsi="Palatino Linotype" w:cs="Palatino Linotype"/>
        </w:rPr>
        <w:t xml:space="preserve">de conformidad con el artículo 19 párrafo segundo de la Ley de Transparencia y Acceso a la Información Pública del Estado de México y Municipios. </w:t>
      </w:r>
    </w:p>
    <w:p w:rsidR="00F3396F" w:rsidRDefault="00F3396F">
      <w:pPr>
        <w:tabs>
          <w:tab w:val="left" w:pos="8080"/>
        </w:tabs>
        <w:spacing w:line="360" w:lineRule="auto"/>
        <w:ind w:right="-1417"/>
        <w:jc w:val="both"/>
        <w:rPr>
          <w:rFonts w:ascii="Palatino Linotype" w:eastAsia="Palatino Linotype" w:hAnsi="Palatino Linotype" w:cs="Palatino Linotype"/>
        </w:rPr>
      </w:pPr>
    </w:p>
    <w:p w:rsidR="00F3396F" w:rsidRDefault="00F71AB8">
      <w:pPr>
        <w:tabs>
          <w:tab w:val="left" w:pos="8080"/>
        </w:tabs>
        <w:spacing w:line="360" w:lineRule="auto"/>
        <w:ind w:right="-1417"/>
        <w:jc w:val="both"/>
        <w:rPr>
          <w:rFonts w:ascii="Palatino Linotype" w:eastAsia="Palatino Linotype" w:hAnsi="Palatino Linotype" w:cs="Palatino Linotype"/>
          <w:color w:val="222222"/>
        </w:rPr>
      </w:pPr>
      <w:r>
        <w:rPr>
          <w:rFonts w:ascii="Palatino Linotype" w:eastAsia="Palatino Linotype" w:hAnsi="Palatino Linotype" w:cs="Palatino Linotype"/>
          <w:b/>
          <w:bCs/>
        </w:rPr>
        <w:t xml:space="preserve">TERCERO. </w:t>
      </w:r>
      <w:r>
        <w:rPr>
          <w:rFonts w:ascii="Palatino Linotype" w:eastAsia="Palatino Linotype" w:hAnsi="Palatino Linotype" w:cs="Palatino Linotype"/>
          <w:color w:val="222222"/>
        </w:rPr>
        <w:t xml:space="preserve">NOTIFÍQUESE 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Pr>
          <w:rFonts w:ascii="Palatino Linotype" w:eastAsia="Palatino Linotype" w:hAnsi="Palatino Linotype" w:cs="Palatino Linotype"/>
          <w:b/>
          <w:bCs/>
          <w:color w:val="222222"/>
        </w:rPr>
        <w:t xml:space="preserve">dé cumplimiento a lo ordenado dentro del plazo de diez días hábiles, </w:t>
      </w:r>
      <w:r>
        <w:rPr>
          <w:rFonts w:ascii="Palatino Linotype" w:eastAsia="Palatino Linotype" w:hAnsi="Palatino Linotype" w:cs="Palatino Linotype"/>
          <w:color w:val="222222"/>
        </w:rPr>
        <w:t xml:space="preserve">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 </w:t>
      </w:r>
    </w:p>
    <w:p w:rsidR="00F3396F" w:rsidRDefault="00F3396F">
      <w:pPr>
        <w:tabs>
          <w:tab w:val="left" w:pos="8080"/>
        </w:tabs>
        <w:spacing w:line="360" w:lineRule="auto"/>
        <w:ind w:right="-1417"/>
        <w:jc w:val="both"/>
        <w:rPr>
          <w:rFonts w:ascii="Palatino Linotype" w:eastAsia="Palatino Linotype" w:hAnsi="Palatino Linotype" w:cs="Palatino Linotype"/>
          <w:color w:val="222222"/>
        </w:rPr>
      </w:pPr>
    </w:p>
    <w:p w:rsidR="00F3396F" w:rsidRDefault="00F71AB8">
      <w:pPr>
        <w:spacing w:line="360" w:lineRule="auto"/>
        <w:ind w:right="-1417"/>
        <w:jc w:val="both"/>
        <w:rPr>
          <w:rFonts w:ascii="Palatino Linotype" w:eastAsia="Palatino Linotype" w:hAnsi="Palatino Linotype" w:cs="Palatino Linotype"/>
        </w:rPr>
      </w:pPr>
      <w:r>
        <w:rPr>
          <w:rFonts w:ascii="Palatino Linotype" w:eastAsia="Palatino Linotype" w:hAnsi="Palatino Linotype" w:cs="Palatino Linotype"/>
          <w:b/>
          <w:bCs/>
        </w:rPr>
        <w:t xml:space="preserve">CUARTO. </w:t>
      </w:r>
      <w:r>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de manera fundada y motivada, podrá solicitar una ampliación de plazo para el cumplimiento de la presente resolución.</w:t>
      </w:r>
    </w:p>
    <w:p w:rsidR="00F3396F" w:rsidRDefault="00F3396F">
      <w:pPr>
        <w:spacing w:line="360" w:lineRule="auto"/>
        <w:ind w:right="-1417"/>
        <w:jc w:val="both"/>
        <w:rPr>
          <w:rFonts w:ascii="Palatino Linotype" w:eastAsia="Palatino Linotype" w:hAnsi="Palatino Linotype" w:cs="Palatino Linotype"/>
        </w:rPr>
      </w:pPr>
    </w:p>
    <w:p w:rsidR="00F3396F" w:rsidRDefault="00F71AB8">
      <w:pPr>
        <w:shd w:val="clear" w:color="auto" w:fill="FFFFFF"/>
        <w:spacing w:line="360" w:lineRule="auto"/>
        <w:ind w:right="-1417"/>
        <w:jc w:val="both"/>
        <w:rPr>
          <w:rFonts w:ascii="Palatino Linotype" w:eastAsia="Palatino Linotype" w:hAnsi="Palatino Linotype" w:cs="Palatino Linotype"/>
        </w:rPr>
      </w:pPr>
      <w:bookmarkStart w:id="12" w:name="_heading=h.2jxsxqh" w:colFirst="0" w:colLast="0"/>
      <w:bookmarkEnd w:id="12"/>
      <w:r>
        <w:rPr>
          <w:rFonts w:ascii="Palatino Linotype" w:eastAsia="Palatino Linotype" w:hAnsi="Palatino Linotype" w:cs="Palatino Linotype"/>
          <w:b/>
          <w:bCs/>
        </w:rPr>
        <w:lastRenderedPageBreak/>
        <w:t xml:space="preserve">QUINTO. </w:t>
      </w:r>
      <w:r>
        <w:rPr>
          <w:rFonts w:ascii="Palatino Linotype" w:eastAsia="Palatino Linotype" w:hAnsi="Palatino Linotype" w:cs="Palatino Linotype"/>
        </w:rPr>
        <w:t xml:space="preserve">Notifíquese a </w:t>
      </w:r>
      <w:r>
        <w:rPr>
          <w:rFonts w:ascii="Palatino Linotype" w:eastAsia="Palatino Linotype" w:hAnsi="Palatino Linotype" w:cs="Palatino Linotype"/>
          <w:b/>
          <w:bCs/>
        </w:rPr>
        <w:t>EL RECURRENTE</w:t>
      </w:r>
      <w:r>
        <w:rPr>
          <w:rFonts w:ascii="Palatino Linotype" w:eastAsia="Palatino Linotype" w:hAnsi="Palatino Linotype" w:cs="Palatino Linotype"/>
        </w:rPr>
        <w:t xml:space="preserve"> la presente resolución, vía SAIMEX.</w:t>
      </w:r>
    </w:p>
    <w:p w:rsidR="00F3396F" w:rsidRDefault="00F3396F">
      <w:pPr>
        <w:shd w:val="clear" w:color="auto" w:fill="FFFFFF"/>
        <w:spacing w:line="360" w:lineRule="auto"/>
        <w:ind w:right="-1417"/>
        <w:jc w:val="both"/>
        <w:rPr>
          <w:rFonts w:ascii="Palatino Linotype" w:eastAsia="Palatino Linotype" w:hAnsi="Palatino Linotype" w:cs="Palatino Linotype"/>
        </w:rPr>
      </w:pPr>
    </w:p>
    <w:p w:rsidR="00F3396F" w:rsidRDefault="00F71AB8">
      <w:pPr>
        <w:shd w:val="clear" w:color="auto" w:fill="FFFFFF"/>
        <w:spacing w:line="360" w:lineRule="auto"/>
        <w:ind w:right="-1417"/>
        <w:jc w:val="both"/>
        <w:rPr>
          <w:rFonts w:ascii="Palatino Linotype" w:eastAsia="Palatino Linotype" w:hAnsi="Palatino Linotype" w:cs="Palatino Linotype"/>
        </w:rPr>
      </w:pPr>
      <w:r>
        <w:rPr>
          <w:rFonts w:ascii="Palatino Linotype" w:eastAsia="Palatino Linotype" w:hAnsi="Palatino Linotype" w:cs="Palatino Linotype"/>
          <w:b/>
          <w:bCs/>
        </w:rPr>
        <w:t>SEXTO.</w:t>
      </w:r>
      <w:r>
        <w:rPr>
          <w:rFonts w:ascii="Palatino Linotype" w:eastAsia="Palatino Linotype" w:hAnsi="Palatino Linotype" w:cs="Palatino Linotype"/>
        </w:rPr>
        <w:t xml:space="preserve"> Se hace del conocimiento de </w:t>
      </w:r>
      <w:r>
        <w:rPr>
          <w:rFonts w:ascii="Palatino Linotype" w:eastAsia="Palatino Linotype" w:hAnsi="Palatino Linotype" w:cs="Palatino Linotype"/>
          <w:b/>
          <w:bCs/>
        </w:rPr>
        <w:t>EL RECURRENTE</w:t>
      </w:r>
      <w:r>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353D3F" w:rsidRDefault="00353D3F">
      <w:pPr>
        <w:shd w:val="clear" w:color="auto" w:fill="FFFFFF"/>
        <w:spacing w:line="360" w:lineRule="auto"/>
        <w:ind w:right="-1417"/>
        <w:jc w:val="both"/>
        <w:rPr>
          <w:rFonts w:ascii="Palatino Linotype" w:eastAsia="Palatino Linotype" w:hAnsi="Palatino Linotype" w:cs="Palatino Linotype"/>
        </w:rPr>
      </w:pPr>
    </w:p>
    <w:p w:rsidR="00353D3F" w:rsidRPr="003E2295" w:rsidRDefault="00353D3F" w:rsidP="00353D3F">
      <w:pPr>
        <w:spacing w:before="240" w:after="240" w:line="360" w:lineRule="auto"/>
        <w:ind w:right="-1424" w:firstLine="1"/>
        <w:jc w:val="both"/>
        <w:rPr>
          <w:rFonts w:ascii="Palatino Linotype" w:hAnsi="Palatino Linotype"/>
        </w:rPr>
      </w:pPr>
      <w:bookmarkStart w:id="13" w:name="_Hlk99014733"/>
      <w:r w:rsidRPr="003E2295">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w:t>
      </w:r>
      <w:r w:rsidR="00186289">
        <w:rPr>
          <w:rFonts w:ascii="Palatino Linotype" w:hAnsi="Palatino Linotype" w:cs="Palatino Linotype"/>
        </w:rPr>
        <w:t xml:space="preserve">EMITIENDO VOTO PARTICULAR </w:t>
      </w:r>
      <w:r w:rsidRPr="003E2295">
        <w:rPr>
          <w:rFonts w:ascii="Palatino Linotype" w:hAnsi="Palatino Linotype" w:cs="Palatino Linotype"/>
        </w:rPr>
        <w:t xml:space="preserve">Y GUADALUPE RAMÍREZ PEÑA; EN LA </w:t>
      </w:r>
      <w:r>
        <w:rPr>
          <w:rFonts w:ascii="Palatino Linotype" w:hAnsi="Palatino Linotype" w:cs="Palatino Linotype"/>
        </w:rPr>
        <w:t xml:space="preserve">VIGÉSIMA PRIMERA </w:t>
      </w:r>
      <w:r w:rsidRPr="003E2295">
        <w:rPr>
          <w:rFonts w:ascii="Palatino Linotype" w:hAnsi="Palatino Linotype" w:cs="Palatino Linotype"/>
        </w:rPr>
        <w:t>SESIÓN O</w:t>
      </w:r>
      <w:r>
        <w:rPr>
          <w:rFonts w:ascii="Palatino Linotype" w:hAnsi="Palatino Linotype" w:cs="Palatino Linotype"/>
        </w:rPr>
        <w:t>RDINARIA, CELEBRADA EL DIEZ (10</w:t>
      </w:r>
      <w:r w:rsidRPr="003E2295">
        <w:rPr>
          <w:rFonts w:ascii="Palatino Linotype" w:hAnsi="Palatino Linotype" w:cs="Palatino Linotype"/>
        </w:rPr>
        <w:t xml:space="preserve">) DE </w:t>
      </w:r>
      <w:r>
        <w:rPr>
          <w:rFonts w:ascii="Palatino Linotype" w:hAnsi="Palatino Linotype" w:cs="Palatino Linotype"/>
        </w:rPr>
        <w:t>JUNIO</w:t>
      </w:r>
      <w:r w:rsidRPr="003E2295">
        <w:rPr>
          <w:rFonts w:ascii="Palatino Linotype" w:hAnsi="Palatino Linotype" w:cs="Palatino Linotype"/>
        </w:rPr>
        <w:t xml:space="preserve"> DE DOS MIL VEINTISÉIS, ANTE EL SECRETARIO TÉCNICO DEL PLENO </w:t>
      </w:r>
      <w:r w:rsidRPr="003E2295">
        <w:rPr>
          <w:rFonts w:ascii="Palatino Linotype" w:hAnsi="Palatino Linotype" w:cs="Palatino Linotype"/>
          <w:color w:val="000000" w:themeColor="text1"/>
        </w:rPr>
        <w:t>ALEXIS TAPIA RAMÍREZ.</w:t>
      </w:r>
    </w:p>
    <w:bookmarkEnd w:id="13"/>
    <w:p w:rsidR="00F3396F" w:rsidRDefault="00F3396F" w:rsidP="00353D3F">
      <w:pPr>
        <w:spacing w:before="240" w:after="240" w:line="360" w:lineRule="auto"/>
        <w:ind w:right="-1424"/>
        <w:jc w:val="both"/>
        <w:rPr>
          <w:rFonts w:ascii="Palatino Linotype" w:eastAsia="Palatino Linotype" w:hAnsi="Palatino Linotype" w:cs="Palatino Linotype"/>
        </w:rPr>
      </w:pPr>
    </w:p>
    <w:p w:rsidR="00F3396F" w:rsidRDefault="00F3396F" w:rsidP="00353D3F">
      <w:pPr>
        <w:spacing w:before="240" w:after="240" w:line="360" w:lineRule="auto"/>
        <w:ind w:right="-1424"/>
        <w:jc w:val="both"/>
        <w:rPr>
          <w:rFonts w:ascii="Palatino Linotype" w:eastAsia="Palatino Linotype" w:hAnsi="Palatino Linotype" w:cs="Palatino Linotype"/>
        </w:rPr>
      </w:pPr>
    </w:p>
    <w:p w:rsidR="00F3396F" w:rsidRDefault="00F3396F" w:rsidP="00353D3F">
      <w:pPr>
        <w:spacing w:line="360" w:lineRule="auto"/>
        <w:ind w:right="-1424"/>
        <w:jc w:val="both"/>
        <w:rPr>
          <w:rFonts w:ascii="Palatino Linotype" w:eastAsia="Palatino Linotype" w:hAnsi="Palatino Linotype" w:cs="Palatino Linotype"/>
        </w:rPr>
      </w:pPr>
    </w:p>
    <w:p w:rsidR="00F3396F" w:rsidRDefault="00F3396F">
      <w:pPr>
        <w:keepNext/>
        <w:keepLines/>
        <w:spacing w:after="240" w:line="360" w:lineRule="auto"/>
        <w:ind w:right="-1417"/>
        <w:rPr>
          <w:rFonts w:ascii="Palatino Linotype" w:eastAsia="Palatino Linotype" w:hAnsi="Palatino Linotype" w:cs="Palatino Linotype"/>
        </w:rPr>
      </w:pPr>
    </w:p>
    <w:p w:rsidR="00F3396F" w:rsidRDefault="00F3396F">
      <w:pPr>
        <w:ind w:right="-1417"/>
        <w:rPr>
          <w:rFonts w:ascii="Palatino Linotype" w:eastAsia="Palatino Linotype" w:hAnsi="Palatino Linotype" w:cs="Palatino Linotype"/>
        </w:rPr>
      </w:pPr>
    </w:p>
    <w:p w:rsidR="00F3396F" w:rsidRDefault="00F3396F">
      <w:pPr>
        <w:ind w:right="-1417"/>
        <w:rPr>
          <w:rFonts w:ascii="Palatino Linotype" w:eastAsia="Palatino Linotype" w:hAnsi="Palatino Linotype" w:cs="Palatino Linotype"/>
        </w:rPr>
      </w:pPr>
    </w:p>
    <w:p w:rsidR="00F3396F" w:rsidRDefault="00F3396F">
      <w:pPr>
        <w:ind w:right="-1417"/>
        <w:rPr>
          <w:rFonts w:ascii="Palatino Linotype" w:eastAsia="Palatino Linotype" w:hAnsi="Palatino Linotype" w:cs="Palatino Linotype"/>
        </w:rPr>
      </w:pPr>
    </w:p>
    <w:p w:rsidR="00F3396F" w:rsidRDefault="00F3396F">
      <w:pPr>
        <w:ind w:right="-1417"/>
        <w:rPr>
          <w:rFonts w:ascii="Palatino Linotype" w:eastAsia="Palatino Linotype" w:hAnsi="Palatino Linotype" w:cs="Palatino Linotype"/>
        </w:rPr>
      </w:pPr>
    </w:p>
    <w:p w:rsidR="00F3396F" w:rsidRDefault="00F3396F">
      <w:pPr>
        <w:ind w:right="-1417"/>
      </w:pPr>
    </w:p>
    <w:p w:rsidR="00F3396F" w:rsidRDefault="00F3396F">
      <w:pPr>
        <w:ind w:right="-1417"/>
      </w:pPr>
    </w:p>
    <w:p w:rsidR="00F3396F" w:rsidRDefault="00F3396F">
      <w:pPr>
        <w:ind w:right="-1417"/>
      </w:pPr>
    </w:p>
    <w:p w:rsidR="0071716F" w:rsidRDefault="0071716F">
      <w:pPr>
        <w:ind w:right="-1417"/>
      </w:pPr>
    </w:p>
    <w:p w:rsidR="0071716F" w:rsidRDefault="0071716F">
      <w:pPr>
        <w:ind w:right="-1417"/>
      </w:pPr>
    </w:p>
    <w:p w:rsidR="0071716F" w:rsidRDefault="0071716F">
      <w:pPr>
        <w:ind w:right="-1417"/>
      </w:pPr>
    </w:p>
    <w:p w:rsidR="0071716F" w:rsidRDefault="0071716F">
      <w:pPr>
        <w:ind w:right="-1417"/>
      </w:pPr>
    </w:p>
    <w:p w:rsidR="0071716F" w:rsidRDefault="0071716F">
      <w:pPr>
        <w:ind w:right="-1417"/>
      </w:pPr>
    </w:p>
    <w:p w:rsidR="0071716F" w:rsidRDefault="0071716F">
      <w:pPr>
        <w:ind w:right="-1417"/>
      </w:pPr>
    </w:p>
    <w:p w:rsidR="0071716F" w:rsidRDefault="0071716F">
      <w:pPr>
        <w:ind w:right="-1417"/>
      </w:pPr>
    </w:p>
    <w:p w:rsidR="0071716F" w:rsidRDefault="0071716F">
      <w:pPr>
        <w:ind w:right="-1417"/>
      </w:pPr>
    </w:p>
    <w:p w:rsidR="0071716F" w:rsidRDefault="0071716F">
      <w:pPr>
        <w:ind w:right="-1417"/>
      </w:pPr>
    </w:p>
    <w:p w:rsidR="0071716F" w:rsidRDefault="0071716F">
      <w:pPr>
        <w:ind w:right="-1417"/>
      </w:pPr>
    </w:p>
    <w:p w:rsidR="0071716F" w:rsidRDefault="0071716F">
      <w:pPr>
        <w:ind w:right="-1417"/>
      </w:pPr>
    </w:p>
    <w:p w:rsidR="0071716F" w:rsidRDefault="0071716F">
      <w:pPr>
        <w:ind w:right="-1417"/>
      </w:pPr>
    </w:p>
    <w:p w:rsidR="0071716F" w:rsidRDefault="0071716F">
      <w:pPr>
        <w:ind w:right="-1417"/>
      </w:pPr>
    </w:p>
    <w:p w:rsidR="0071716F" w:rsidRDefault="0071716F">
      <w:pPr>
        <w:ind w:right="-1417"/>
      </w:pPr>
    </w:p>
    <w:p w:rsidR="0071716F" w:rsidRDefault="0071716F">
      <w:pPr>
        <w:ind w:right="-1417"/>
      </w:pPr>
    </w:p>
    <w:p w:rsidR="0071716F" w:rsidRDefault="0071716F">
      <w:pPr>
        <w:ind w:right="-1417"/>
      </w:pPr>
    </w:p>
    <w:p w:rsidR="0071716F" w:rsidRDefault="0071716F">
      <w:pPr>
        <w:ind w:right="-1417"/>
      </w:pPr>
    </w:p>
    <w:p w:rsidR="0071716F" w:rsidRDefault="0071716F">
      <w:pPr>
        <w:ind w:right="-1417"/>
      </w:pPr>
    </w:p>
    <w:p w:rsidR="0071716F" w:rsidRDefault="0071716F">
      <w:pPr>
        <w:ind w:right="-1417"/>
      </w:pPr>
    </w:p>
    <w:p w:rsidR="0071716F" w:rsidRDefault="0071716F">
      <w:pPr>
        <w:ind w:right="-1417"/>
      </w:pPr>
    </w:p>
    <w:sectPr w:rsidR="0071716F">
      <w:headerReference w:type="default" r:id="rId11"/>
      <w:footerReference w:type="default" r:id="rId12"/>
      <w:headerReference w:type="first" r:id="rId13"/>
      <w:footerReference w:type="first" r:id="rId14"/>
      <w:pgSz w:w="12240" w:h="15840"/>
      <w:pgMar w:top="2410" w:right="2324" w:bottom="1985"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7ECA" w:rsidRDefault="001D7ECA">
      <w:r>
        <w:separator/>
      </w:r>
    </w:p>
  </w:endnote>
  <w:endnote w:type="continuationSeparator" w:id="0">
    <w:p w:rsidR="001D7ECA" w:rsidRDefault="001D7E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1" w:fontKey="{EB6874D6-7350-4AAE-9E04-C18C749F2A51}"/>
    <w:embedBold r:id="rId2" w:fontKey="{5B00EFCF-EB5B-4F45-A79F-35E61869E7F5}"/>
    <w:embedItalic r:id="rId3" w:fontKey="{C05F03C8-D20F-441D-B719-D5E795A25136}"/>
    <w:embedBoldItalic r:id="rId4" w:fontKey="{556DBAE5-986B-4440-9E48-6D8E81B9B493}"/>
  </w:font>
  <w:font w:name="Noto Sans Symbols">
    <w:charset w:val="00"/>
    <w:family w:val="auto"/>
    <w:pitch w:val="default"/>
    <w:embedRegular r:id="rId5" w:fontKey="{31887214-10CF-4FE7-A42C-D9B9D87F4544}"/>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1E2FBB97-E7D3-4251-B06F-A0D4F14F3B72}"/>
  </w:font>
  <w:font w:name="Georgia">
    <w:panose1 w:val="02040502050405020303"/>
    <w:charset w:val="00"/>
    <w:family w:val="roman"/>
    <w:pitch w:val="variable"/>
    <w:sig w:usb0="00000287" w:usb1="00000000" w:usb2="00000000" w:usb3="00000000" w:csb0="0000009F" w:csb1="00000000"/>
    <w:embedItalic r:id="rId7" w:fontKey="{1F5BB7AF-3E5C-4C5A-9A9C-E97E30AF72BB}"/>
  </w:font>
  <w:font w:name="Cambria">
    <w:panose1 w:val="02040503050406030204"/>
    <w:charset w:val="00"/>
    <w:family w:val="roman"/>
    <w:pitch w:val="variable"/>
    <w:sig w:usb0="E00006FF" w:usb1="420024FF" w:usb2="02000000" w:usb3="00000000" w:csb0="0000019F" w:csb1="00000000"/>
    <w:embedRegular r:id="rId8" w:fontKey="{417F501E-2076-4A64-B8CF-2785844CB8D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96F" w:rsidRDefault="00F71AB8">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2B4CDF">
      <w:rPr>
        <w:rFonts w:ascii="Palatino Linotype" w:eastAsia="Palatino Linotype" w:hAnsi="Palatino Linotype" w:cs="Palatino Linotype"/>
        <w:noProof/>
        <w:color w:val="000000"/>
        <w:sz w:val="22"/>
        <w:szCs w:val="22"/>
      </w:rPr>
      <w:t>41</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2B4CDF">
      <w:rPr>
        <w:rFonts w:ascii="Palatino Linotype" w:eastAsia="Palatino Linotype" w:hAnsi="Palatino Linotype" w:cs="Palatino Linotype"/>
        <w:noProof/>
        <w:color w:val="000000"/>
        <w:sz w:val="22"/>
        <w:szCs w:val="22"/>
      </w:rPr>
      <w:t>42</w:t>
    </w:r>
    <w:r>
      <w:rPr>
        <w:rFonts w:ascii="Palatino Linotype" w:eastAsia="Palatino Linotype" w:hAnsi="Palatino Linotype" w:cs="Palatino Linotype"/>
        <w:color w:val="000000"/>
        <w:sz w:val="22"/>
        <w:szCs w:val="22"/>
      </w:rPr>
      <w:fldChar w:fldCharType="end"/>
    </w:r>
  </w:p>
  <w:p w:rsidR="00F3396F" w:rsidRDefault="00F3396F">
    <w:pPr>
      <w:pBdr>
        <w:top w:val="nil"/>
        <w:left w:val="nil"/>
        <w:bottom w:val="nil"/>
        <w:right w:val="nil"/>
        <w:between w:val="nil"/>
      </w:pBdr>
      <w:tabs>
        <w:tab w:val="center" w:pos="4252"/>
        <w:tab w:val="right" w:pos="8504"/>
      </w:tabs>
      <w:rPr>
        <w:color w:val="000000"/>
      </w:rPr>
    </w:pPr>
  </w:p>
  <w:p w:rsidR="00F3396F" w:rsidRDefault="00F3396F">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96F" w:rsidRDefault="00F71AB8">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b/>
        <w:bCs/>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2B4CDF">
      <w:rPr>
        <w:rFonts w:ascii="Palatino Linotype" w:eastAsia="Palatino Linotype" w:hAnsi="Palatino Linotype" w:cs="Palatino Linotype"/>
        <w:b/>
        <w:bCs/>
        <w:noProof/>
        <w:color w:val="000000"/>
        <w:sz w:val="22"/>
        <w:szCs w:val="22"/>
      </w:rPr>
      <w:t>1</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2B4CDF">
      <w:rPr>
        <w:rFonts w:ascii="Palatino Linotype" w:eastAsia="Palatino Linotype" w:hAnsi="Palatino Linotype" w:cs="Palatino Linotype"/>
        <w:b/>
        <w:bCs/>
        <w:noProof/>
        <w:color w:val="000000"/>
        <w:sz w:val="22"/>
        <w:szCs w:val="22"/>
      </w:rPr>
      <w:t>42</w:t>
    </w:r>
    <w:r>
      <w:rPr>
        <w:rFonts w:ascii="Palatino Linotype" w:eastAsia="Palatino Linotype" w:hAnsi="Palatino Linotype" w:cs="Palatino Linotype"/>
        <w:b/>
        <w:bCs/>
        <w:color w:val="000000"/>
        <w:sz w:val="22"/>
        <w:szCs w:val="22"/>
      </w:rPr>
      <w:fldChar w:fldCharType="end"/>
    </w:r>
  </w:p>
  <w:p w:rsidR="00F3396F" w:rsidRDefault="00F3396F">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7ECA" w:rsidRDefault="001D7ECA">
      <w:r>
        <w:separator/>
      </w:r>
    </w:p>
  </w:footnote>
  <w:footnote w:type="continuationSeparator" w:id="0">
    <w:p w:rsidR="001D7ECA" w:rsidRDefault="001D7ECA">
      <w:r>
        <w:continuationSeparator/>
      </w:r>
    </w:p>
  </w:footnote>
  <w:footnote w:id="1">
    <w:p w:rsidR="00F3396F" w:rsidRDefault="00F71AB8">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Convención Americana sobre Derechos Humanos. Artículo 13.</w:t>
      </w:r>
    </w:p>
  </w:footnote>
  <w:footnote w:id="2">
    <w:p w:rsidR="00F3396F" w:rsidRDefault="00F71AB8">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Constitución Política de los Estados Unidos Mexicanos. Artículo sexto, sección A, fracción I.</w:t>
      </w:r>
    </w:p>
  </w:footnote>
  <w:footnote w:id="3">
    <w:p w:rsidR="00F3396F" w:rsidRDefault="00F71AB8">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Corte Interamericana de Derechos Humanos. Caso Claude Reyes y otros vs. Chile. Sentencia de 19 de septiembre de 2006. Serie C. No. 151. Párr. 86.</w:t>
      </w:r>
    </w:p>
  </w:footnote>
  <w:footnote w:id="4">
    <w:p w:rsidR="00F3396F" w:rsidRDefault="00F71AB8">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Ibídem. Parr. 87.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96F" w:rsidRDefault="00F3396F">
    <w:pPr>
      <w:widowControl w:val="0"/>
      <w:pBdr>
        <w:top w:val="nil"/>
        <w:left w:val="nil"/>
        <w:bottom w:val="nil"/>
        <w:right w:val="nil"/>
        <w:between w:val="nil"/>
      </w:pBdr>
      <w:spacing w:line="276" w:lineRule="auto"/>
      <w:rPr>
        <w:color w:val="000000"/>
        <w:sz w:val="20"/>
        <w:szCs w:val="20"/>
      </w:rPr>
    </w:pPr>
  </w:p>
  <w:tbl>
    <w:tblPr>
      <w:tblStyle w:val="a2"/>
      <w:tblW w:w="6519" w:type="dxa"/>
      <w:tblInd w:w="3032" w:type="dxa"/>
      <w:tblLayout w:type="fixed"/>
      <w:tblLook w:val="0400" w:firstRow="0" w:lastRow="0" w:firstColumn="0" w:lastColumn="0" w:noHBand="0" w:noVBand="1"/>
    </w:tblPr>
    <w:tblGrid>
      <w:gridCol w:w="2976"/>
      <w:gridCol w:w="3543"/>
    </w:tblGrid>
    <w:tr w:rsidR="00F3396F">
      <w:trPr>
        <w:trHeight w:val="227"/>
      </w:trPr>
      <w:tc>
        <w:tcPr>
          <w:tcW w:w="2976" w:type="dxa"/>
          <w:vAlign w:val="center"/>
        </w:tcPr>
        <w:p w:rsidR="00F3396F" w:rsidRDefault="00F71AB8">
          <w:pPr>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3543" w:type="dxa"/>
          <w:vAlign w:val="center"/>
        </w:tcPr>
        <w:p w:rsidR="00F3396F" w:rsidRDefault="00F71AB8">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01133/INFOEM/IP/RR/2026</w:t>
          </w:r>
        </w:p>
      </w:tc>
    </w:tr>
    <w:tr w:rsidR="00F3396F">
      <w:trPr>
        <w:trHeight w:val="242"/>
      </w:trPr>
      <w:tc>
        <w:tcPr>
          <w:tcW w:w="2976" w:type="dxa"/>
          <w:vAlign w:val="center"/>
        </w:tcPr>
        <w:p w:rsidR="00F3396F" w:rsidRDefault="00F71AB8">
          <w:pPr>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3543" w:type="dxa"/>
          <w:vAlign w:val="center"/>
        </w:tcPr>
        <w:p w:rsidR="00F3396F" w:rsidRDefault="00F71AB8">
          <w:pPr>
            <w:pBdr>
              <w:top w:val="nil"/>
              <w:left w:val="nil"/>
              <w:bottom w:val="nil"/>
              <w:right w:val="nil"/>
              <w:between w:val="nil"/>
            </w:pBdr>
            <w:tabs>
              <w:tab w:val="center" w:pos="4419"/>
              <w:tab w:val="right" w:pos="8838"/>
            </w:tabs>
            <w:jc w:val="both"/>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Ayuntamiento de Calimaya</w:t>
          </w:r>
        </w:p>
      </w:tc>
    </w:tr>
    <w:tr w:rsidR="00F3396F">
      <w:trPr>
        <w:trHeight w:val="342"/>
      </w:trPr>
      <w:tc>
        <w:tcPr>
          <w:tcW w:w="2976" w:type="dxa"/>
          <w:vAlign w:val="center"/>
        </w:tcPr>
        <w:p w:rsidR="00F3396F" w:rsidRDefault="00F71AB8">
          <w:pPr>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3543" w:type="dxa"/>
          <w:vAlign w:val="center"/>
        </w:tcPr>
        <w:p w:rsidR="00F3396F" w:rsidRDefault="00F71AB8">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rsidR="00F3396F" w:rsidRDefault="00F71AB8">
    <w:pPr>
      <w:pBdr>
        <w:top w:val="nil"/>
        <w:left w:val="nil"/>
        <w:bottom w:val="nil"/>
        <w:right w:val="nil"/>
        <w:between w:val="nil"/>
      </w:pBdr>
      <w:tabs>
        <w:tab w:val="center" w:pos="4252"/>
        <w:tab w:val="right" w:pos="8504"/>
        <w:tab w:val="left" w:pos="3233"/>
      </w:tabs>
      <w:rPr>
        <w:rFonts w:ascii="Calibri" w:eastAsia="Calibri" w:hAnsi="Calibri" w:cs="Calibri"/>
        <w:color w:val="000000"/>
      </w:rPr>
    </w:pPr>
    <w:r>
      <w:rPr>
        <w:rFonts w:ascii="Calibri" w:eastAsia="Calibri" w:hAnsi="Calibri" w:cs="Calibri"/>
        <w:color w:val="000000"/>
      </w:rPr>
      <w:tab/>
    </w:r>
    <w:r>
      <w:rPr>
        <w:noProof/>
      </w:rPr>
      <w:drawing>
        <wp:anchor distT="0" distB="0" distL="0" distR="0" simplePos="0" relativeHeight="251658240" behindDoc="1" locked="0" layoutInCell="1" hidden="0" allowOverlap="1">
          <wp:simplePos x="0" y="0"/>
          <wp:positionH relativeFrom="column">
            <wp:posOffset>-1213483</wp:posOffset>
          </wp:positionH>
          <wp:positionV relativeFrom="paragraph">
            <wp:posOffset>-1219833</wp:posOffset>
          </wp:positionV>
          <wp:extent cx="7813085" cy="10170000"/>
          <wp:effectExtent l="0" t="0" r="0" b="0"/>
          <wp:wrapNone/>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813085" cy="101700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3"/>
      <w:tblW w:w="6660" w:type="dxa"/>
      <w:tblInd w:w="3119" w:type="dxa"/>
      <w:tblLayout w:type="fixed"/>
      <w:tblLook w:val="0400" w:firstRow="0" w:lastRow="0" w:firstColumn="0" w:lastColumn="0" w:noHBand="0" w:noVBand="1"/>
    </w:tblPr>
    <w:tblGrid>
      <w:gridCol w:w="2934"/>
      <w:gridCol w:w="3726"/>
    </w:tblGrid>
    <w:tr w:rsidR="00F3396F" w:rsidTr="00521093">
      <w:tc>
        <w:tcPr>
          <w:tcW w:w="2934" w:type="dxa"/>
          <w:vAlign w:val="center"/>
        </w:tcPr>
        <w:p w:rsidR="00F3396F" w:rsidRDefault="00F71AB8">
          <w:pPr>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3726" w:type="dxa"/>
          <w:vAlign w:val="center"/>
        </w:tcPr>
        <w:p w:rsidR="00F3396F" w:rsidRDefault="00F71AB8">
          <w:pPr>
            <w:ind w:right="-1235"/>
            <w:rPr>
              <w:rFonts w:ascii="Palatino Linotype" w:eastAsia="Palatino Linotype" w:hAnsi="Palatino Linotype" w:cs="Palatino Linotype"/>
            </w:rPr>
          </w:pPr>
          <w:r>
            <w:rPr>
              <w:rFonts w:ascii="Palatino Linotype" w:eastAsia="Palatino Linotype" w:hAnsi="Palatino Linotype" w:cs="Palatino Linotype"/>
            </w:rPr>
            <w:t>01133/INFOEM/IP/RR/2026</w:t>
          </w:r>
        </w:p>
      </w:tc>
    </w:tr>
    <w:tr w:rsidR="00F3396F" w:rsidTr="00521093">
      <w:tc>
        <w:tcPr>
          <w:tcW w:w="2934" w:type="dxa"/>
          <w:vAlign w:val="center"/>
        </w:tcPr>
        <w:p w:rsidR="00F3396F" w:rsidRDefault="00F71AB8">
          <w:pPr>
            <w:ind w:left="35" w:hanging="35"/>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3726" w:type="dxa"/>
          <w:vAlign w:val="center"/>
        </w:tcPr>
        <w:p w:rsidR="00F3396F" w:rsidRDefault="002B4CDF" w:rsidP="00353D3F">
          <w:pPr>
            <w:ind w:right="-1235"/>
            <w:rPr>
              <w:rFonts w:ascii="Palatino Linotype" w:eastAsia="Palatino Linotype" w:hAnsi="Palatino Linotype" w:cs="Palatino Linotype"/>
            </w:rPr>
          </w:pPr>
          <w:r>
            <w:rPr>
              <w:rFonts w:ascii="Palatino Linotype" w:eastAsia="Palatino Linotype" w:hAnsi="Palatino Linotype" w:cs="Palatino Linotype"/>
            </w:rPr>
            <w:t>XXXX</w:t>
          </w:r>
          <w:r w:rsidR="00F71AB8">
            <w:rPr>
              <w:rFonts w:ascii="Palatino Linotype" w:eastAsia="Palatino Linotype" w:hAnsi="Palatino Linotype" w:cs="Palatino Linotype"/>
            </w:rPr>
            <w:t xml:space="preserve"> </w:t>
          </w:r>
        </w:p>
      </w:tc>
    </w:tr>
    <w:tr w:rsidR="00F3396F" w:rsidTr="00521093">
      <w:trPr>
        <w:trHeight w:val="228"/>
      </w:trPr>
      <w:tc>
        <w:tcPr>
          <w:tcW w:w="2934" w:type="dxa"/>
          <w:vAlign w:val="center"/>
        </w:tcPr>
        <w:p w:rsidR="00F3396F" w:rsidRDefault="00F71AB8">
          <w:pPr>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3726" w:type="dxa"/>
          <w:vAlign w:val="center"/>
        </w:tcPr>
        <w:p w:rsidR="00F3396F" w:rsidRDefault="00F71AB8">
          <w:pPr>
            <w:ind w:left="35" w:right="-1235" w:hanging="35"/>
            <w:rPr>
              <w:rFonts w:ascii="Palatino Linotype" w:eastAsia="Palatino Linotype" w:hAnsi="Palatino Linotype" w:cs="Palatino Linotype"/>
            </w:rPr>
          </w:pPr>
          <w:r>
            <w:rPr>
              <w:rFonts w:ascii="Palatino Linotype" w:eastAsia="Palatino Linotype" w:hAnsi="Palatino Linotype" w:cs="Palatino Linotype"/>
            </w:rPr>
            <w:t>Ayuntamiento de Calimaya</w:t>
          </w:r>
        </w:p>
      </w:tc>
    </w:tr>
    <w:tr w:rsidR="00F3396F" w:rsidTr="00521093">
      <w:tc>
        <w:tcPr>
          <w:tcW w:w="2934" w:type="dxa"/>
          <w:vAlign w:val="center"/>
        </w:tcPr>
        <w:p w:rsidR="00F3396F" w:rsidRDefault="00F71AB8">
          <w:pPr>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3726" w:type="dxa"/>
          <w:vAlign w:val="center"/>
        </w:tcPr>
        <w:p w:rsidR="00F3396F" w:rsidRDefault="00F71AB8">
          <w:pPr>
            <w:ind w:right="-1235"/>
            <w:rPr>
              <w:rFonts w:ascii="Palatino Linotype" w:eastAsia="Palatino Linotype" w:hAnsi="Palatino Linotype" w:cs="Palatino Linotype"/>
            </w:rPr>
          </w:pPr>
          <w:r>
            <w:rPr>
              <w:rFonts w:ascii="Palatino Linotype" w:eastAsia="Palatino Linotype" w:hAnsi="Palatino Linotype" w:cs="Palatino Linotype"/>
            </w:rPr>
            <w:t>María del Rosario Mejía Ayala</w:t>
          </w:r>
        </w:p>
      </w:tc>
    </w:tr>
  </w:tbl>
  <w:p w:rsidR="00F3396F" w:rsidRDefault="00521093">
    <w:pPr>
      <w:pBdr>
        <w:top w:val="nil"/>
        <w:left w:val="nil"/>
        <w:bottom w:val="nil"/>
        <w:right w:val="nil"/>
        <w:between w:val="nil"/>
      </w:pBdr>
      <w:tabs>
        <w:tab w:val="center" w:pos="4252"/>
        <w:tab w:val="right" w:pos="8504"/>
      </w:tabs>
      <w:rPr>
        <w:rFonts w:ascii="Calibri" w:eastAsia="Calibri" w:hAnsi="Calibri" w:cs="Calibri"/>
        <w:color w:val="000000"/>
      </w:rPr>
    </w:pPr>
    <w:r>
      <w:rPr>
        <w:noProof/>
      </w:rPr>
      <w:drawing>
        <wp:anchor distT="0" distB="0" distL="0" distR="0" simplePos="0" relativeHeight="251659264" behindDoc="1" locked="0" layoutInCell="1" hidden="0" allowOverlap="1">
          <wp:simplePos x="0" y="0"/>
          <wp:positionH relativeFrom="column">
            <wp:posOffset>-982417</wp:posOffset>
          </wp:positionH>
          <wp:positionV relativeFrom="paragraph">
            <wp:posOffset>-1206931</wp:posOffset>
          </wp:positionV>
          <wp:extent cx="7813085" cy="10170000"/>
          <wp:effectExtent l="0" t="0" r="0" b="0"/>
          <wp:wrapNone/>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813085" cy="10170000"/>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053955"/>
    <w:multiLevelType w:val="multilevel"/>
    <w:tmpl w:val="7672512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26AA7D54"/>
    <w:multiLevelType w:val="multilevel"/>
    <w:tmpl w:val="B0D0BED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A4F4C6A"/>
    <w:multiLevelType w:val="multilevel"/>
    <w:tmpl w:val="94FACF0C"/>
    <w:lvl w:ilvl="0">
      <w:start w:val="1"/>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353" w:hanging="359"/>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1AF06E2"/>
    <w:multiLevelType w:val="multilevel"/>
    <w:tmpl w:val="8064EB8C"/>
    <w:lvl w:ilvl="0">
      <w:start w:val="1"/>
      <w:numFmt w:val="upperRoman"/>
      <w:lvlText w:val="%1."/>
      <w:lvlJc w:val="left"/>
      <w:pPr>
        <w:ind w:left="1854" w:hanging="72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4" w15:restartNumberingAfterBreak="0">
    <w:nsid w:val="431F5100"/>
    <w:multiLevelType w:val="multilevel"/>
    <w:tmpl w:val="77BA9FE8"/>
    <w:lvl w:ilvl="0">
      <w:start w:val="1"/>
      <w:numFmt w:val="bullet"/>
      <w:lvlText w:val="●"/>
      <w:lvlJc w:val="left"/>
      <w:pPr>
        <w:ind w:left="1724" w:hanging="360"/>
      </w:pPr>
      <w:rPr>
        <w:rFonts w:ascii="Noto Sans Symbols" w:eastAsia="Noto Sans Symbols" w:hAnsi="Noto Sans Symbols" w:cs="Noto Sans Symbols"/>
      </w:rPr>
    </w:lvl>
    <w:lvl w:ilvl="1">
      <w:start w:val="1"/>
      <w:numFmt w:val="bullet"/>
      <w:lvlText w:val="o"/>
      <w:lvlJc w:val="left"/>
      <w:pPr>
        <w:ind w:left="2444" w:hanging="360"/>
      </w:pPr>
      <w:rPr>
        <w:rFonts w:ascii="Courier New" w:eastAsia="Courier New" w:hAnsi="Courier New" w:cs="Courier New"/>
      </w:rPr>
    </w:lvl>
    <w:lvl w:ilvl="2">
      <w:start w:val="1"/>
      <w:numFmt w:val="bullet"/>
      <w:lvlText w:val="▪"/>
      <w:lvlJc w:val="left"/>
      <w:pPr>
        <w:ind w:left="3164" w:hanging="360"/>
      </w:pPr>
      <w:rPr>
        <w:rFonts w:ascii="Noto Sans Symbols" w:eastAsia="Noto Sans Symbols" w:hAnsi="Noto Sans Symbols" w:cs="Noto Sans Symbols"/>
      </w:rPr>
    </w:lvl>
    <w:lvl w:ilvl="3">
      <w:start w:val="1"/>
      <w:numFmt w:val="bullet"/>
      <w:lvlText w:val="●"/>
      <w:lvlJc w:val="left"/>
      <w:pPr>
        <w:ind w:left="3884" w:hanging="360"/>
      </w:pPr>
      <w:rPr>
        <w:rFonts w:ascii="Noto Sans Symbols" w:eastAsia="Noto Sans Symbols" w:hAnsi="Noto Sans Symbols" w:cs="Noto Sans Symbols"/>
      </w:rPr>
    </w:lvl>
    <w:lvl w:ilvl="4">
      <w:start w:val="1"/>
      <w:numFmt w:val="bullet"/>
      <w:lvlText w:val="o"/>
      <w:lvlJc w:val="left"/>
      <w:pPr>
        <w:ind w:left="4604" w:hanging="360"/>
      </w:pPr>
      <w:rPr>
        <w:rFonts w:ascii="Courier New" w:eastAsia="Courier New" w:hAnsi="Courier New" w:cs="Courier New"/>
      </w:rPr>
    </w:lvl>
    <w:lvl w:ilvl="5">
      <w:start w:val="1"/>
      <w:numFmt w:val="bullet"/>
      <w:lvlText w:val="▪"/>
      <w:lvlJc w:val="left"/>
      <w:pPr>
        <w:ind w:left="5324" w:hanging="360"/>
      </w:pPr>
      <w:rPr>
        <w:rFonts w:ascii="Noto Sans Symbols" w:eastAsia="Noto Sans Symbols" w:hAnsi="Noto Sans Symbols" w:cs="Noto Sans Symbols"/>
      </w:rPr>
    </w:lvl>
    <w:lvl w:ilvl="6">
      <w:start w:val="1"/>
      <w:numFmt w:val="bullet"/>
      <w:lvlText w:val="●"/>
      <w:lvlJc w:val="left"/>
      <w:pPr>
        <w:ind w:left="6044" w:hanging="360"/>
      </w:pPr>
      <w:rPr>
        <w:rFonts w:ascii="Noto Sans Symbols" w:eastAsia="Noto Sans Symbols" w:hAnsi="Noto Sans Symbols" w:cs="Noto Sans Symbols"/>
      </w:rPr>
    </w:lvl>
    <w:lvl w:ilvl="7">
      <w:start w:val="1"/>
      <w:numFmt w:val="bullet"/>
      <w:lvlText w:val="o"/>
      <w:lvlJc w:val="left"/>
      <w:pPr>
        <w:ind w:left="6764" w:hanging="360"/>
      </w:pPr>
      <w:rPr>
        <w:rFonts w:ascii="Courier New" w:eastAsia="Courier New" w:hAnsi="Courier New" w:cs="Courier New"/>
      </w:rPr>
    </w:lvl>
    <w:lvl w:ilvl="8">
      <w:start w:val="1"/>
      <w:numFmt w:val="bullet"/>
      <w:lvlText w:val="▪"/>
      <w:lvlJc w:val="left"/>
      <w:pPr>
        <w:ind w:left="7484" w:hanging="360"/>
      </w:pPr>
      <w:rPr>
        <w:rFonts w:ascii="Noto Sans Symbols" w:eastAsia="Noto Sans Symbols" w:hAnsi="Noto Sans Symbols" w:cs="Noto Sans Symbols"/>
      </w:rPr>
    </w:lvl>
  </w:abstractNum>
  <w:abstractNum w:abstractNumId="5" w15:restartNumberingAfterBreak="0">
    <w:nsid w:val="6875175B"/>
    <w:multiLevelType w:val="multilevel"/>
    <w:tmpl w:val="84B21D7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76D93C4E"/>
    <w:multiLevelType w:val="multilevel"/>
    <w:tmpl w:val="937CA0CC"/>
    <w:lvl w:ilvl="0">
      <w:start w:val="1"/>
      <w:numFmt w:val="upperRoman"/>
      <w:lvlText w:val="%1."/>
      <w:lvlJc w:val="left"/>
      <w:pPr>
        <w:ind w:left="1430" w:hanging="72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7" w15:restartNumberingAfterBreak="0">
    <w:nsid w:val="79411446"/>
    <w:multiLevelType w:val="multilevel"/>
    <w:tmpl w:val="E9BED4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7"/>
  </w:num>
  <w:num w:numId="3">
    <w:abstractNumId w:val="3"/>
  </w:num>
  <w:num w:numId="4">
    <w:abstractNumId w:val="6"/>
  </w:num>
  <w:num w:numId="5">
    <w:abstractNumId w:val="1"/>
  </w:num>
  <w:num w:numId="6">
    <w:abstractNumId w:val="2"/>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96F"/>
    <w:rsid w:val="00186289"/>
    <w:rsid w:val="001D6B81"/>
    <w:rsid w:val="001D7ECA"/>
    <w:rsid w:val="002B4CDF"/>
    <w:rsid w:val="00353D3F"/>
    <w:rsid w:val="004B7551"/>
    <w:rsid w:val="00521093"/>
    <w:rsid w:val="0071716F"/>
    <w:rsid w:val="00824AF2"/>
    <w:rsid w:val="008D13A6"/>
    <w:rsid w:val="00BF7A2D"/>
    <w:rsid w:val="00CA6787"/>
    <w:rsid w:val="00EA0B89"/>
    <w:rsid w:val="00F3396F"/>
    <w:rsid w:val="00F71AB8"/>
    <w:rsid w:val="00F840E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FA53380-3968-4156-9DA0-F6B4366D8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line="256"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0" w:type="dxa"/>
        <w:bottom w:w="0" w:type="dxa"/>
        <w:right w:w="0"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paragraph" w:styleId="Encabezado">
    <w:name w:val="header"/>
    <w:basedOn w:val="Normal"/>
    <w:link w:val="EncabezadoCar"/>
    <w:uiPriority w:val="99"/>
    <w:unhideWhenUsed/>
    <w:rsid w:val="00353D3F"/>
    <w:pPr>
      <w:tabs>
        <w:tab w:val="center" w:pos="4419"/>
        <w:tab w:val="right" w:pos="8838"/>
      </w:tabs>
    </w:pPr>
  </w:style>
  <w:style w:type="character" w:customStyle="1" w:styleId="EncabezadoCar">
    <w:name w:val="Encabezado Car"/>
    <w:basedOn w:val="Fuentedeprrafopredeter"/>
    <w:link w:val="Encabezado"/>
    <w:uiPriority w:val="99"/>
    <w:rsid w:val="00353D3F"/>
  </w:style>
  <w:style w:type="paragraph" w:styleId="Piedepgina">
    <w:name w:val="footer"/>
    <w:basedOn w:val="Normal"/>
    <w:link w:val="PiedepginaCar"/>
    <w:uiPriority w:val="99"/>
    <w:unhideWhenUsed/>
    <w:rsid w:val="00353D3F"/>
    <w:pPr>
      <w:tabs>
        <w:tab w:val="center" w:pos="4419"/>
        <w:tab w:val="right" w:pos="8838"/>
      </w:tabs>
    </w:pPr>
  </w:style>
  <w:style w:type="character" w:customStyle="1" w:styleId="PiedepginaCar">
    <w:name w:val="Pie de página Car"/>
    <w:basedOn w:val="Fuentedeprrafopredeter"/>
    <w:link w:val="Piedepgina"/>
    <w:uiPriority w:val="99"/>
    <w:rsid w:val="00353D3F"/>
  </w:style>
  <w:style w:type="paragraph" w:styleId="Prrafodelista">
    <w:name w:val="List Paragraph"/>
    <w:basedOn w:val="Normal"/>
    <w:uiPriority w:val="34"/>
    <w:qFormat/>
    <w:rsid w:val="005210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consultas.curp.gob.mx/CurpSP/html/informacionecurpPS.htm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3ZbOUT1cZgkyZNzR/E+nW8ZeYA==">CgMxLjAyDmguOW1tNGlzcnhxZmZwMgloLjN6bnlzaDcyCWguMmV0OTJwMDIOaC4xMnF2ZGJxaTlwcDEyCWguMnM4ZXlvMTIJaC4xN2RwOHZ1MgloLjNyZGNyam4yCWguMjZpbjFyZzIJaC4xa3N2NHV2MghoLmxueGJ6OTIOaC44eTZ6ZjBubG15MmYyCWguMmp4c3hxaDgAciExdEk4SVVPLWQtaVpWQUZvTmVPVWJGUTUtZVBNZGxMSHI=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42</Pages>
  <Words>10187</Words>
  <Characters>56034</Characters>
  <Application>Microsoft Office Word</Application>
  <DocSecurity>0</DocSecurity>
  <Lines>466</Lines>
  <Paragraphs>132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66089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Cuenta Microsoft</cp:lastModifiedBy>
  <cp:revision>14</cp:revision>
  <cp:lastPrinted>2026-06-12T16:55:00Z</cp:lastPrinted>
  <dcterms:created xsi:type="dcterms:W3CDTF">2026-06-08T17:43:00Z</dcterms:created>
  <dcterms:modified xsi:type="dcterms:W3CDTF">2026-06-16T18:57:00Z</dcterms:modified>
</cp:coreProperties>
</file>