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67F2A" w14:textId="251A0A47" w:rsidR="00EA0729" w:rsidRPr="00F83802" w:rsidRDefault="00610A2C" w:rsidP="00BB6C45">
      <w:pPr>
        <w:spacing w:after="0" w:line="360" w:lineRule="auto"/>
        <w:ind w:right="49"/>
        <w:jc w:val="both"/>
        <w:rPr>
          <w:rFonts w:ascii="Palatino Linotype" w:eastAsia="Palatino Linotype" w:hAnsi="Palatino Linotype" w:cs="Palatino Linotype"/>
        </w:rPr>
      </w:pPr>
      <w:bookmarkStart w:id="0" w:name="_GoBack"/>
      <w:bookmarkEnd w:id="0"/>
      <w:r w:rsidRPr="00F8380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D1BB7" w:rsidRPr="00F83802">
        <w:rPr>
          <w:rFonts w:ascii="Palatino Linotype" w:eastAsia="Palatino Linotype" w:hAnsi="Palatino Linotype" w:cs="Palatino Linotype"/>
        </w:rPr>
        <w:t>veintiuno de enero</w:t>
      </w:r>
      <w:r w:rsidR="00FD1878" w:rsidRPr="00F83802">
        <w:rPr>
          <w:rFonts w:ascii="Palatino Linotype" w:eastAsia="Palatino Linotype" w:hAnsi="Palatino Linotype" w:cs="Palatino Linotype"/>
        </w:rPr>
        <w:t xml:space="preserve"> de dos mil veintiséis</w:t>
      </w:r>
      <w:r w:rsidR="003427ED" w:rsidRPr="00F83802">
        <w:rPr>
          <w:rFonts w:ascii="Palatino Linotype" w:eastAsia="Palatino Linotype" w:hAnsi="Palatino Linotype" w:cs="Palatino Linotype"/>
        </w:rPr>
        <w:t>.</w:t>
      </w:r>
    </w:p>
    <w:p w14:paraId="399959DB" w14:textId="77777777" w:rsidR="00EA0729" w:rsidRPr="00F83802" w:rsidRDefault="00EA0729" w:rsidP="00BB6C45">
      <w:pPr>
        <w:spacing w:after="0" w:line="360" w:lineRule="auto"/>
        <w:ind w:right="49"/>
        <w:jc w:val="both"/>
        <w:rPr>
          <w:rFonts w:ascii="Palatino Linotype" w:eastAsia="Palatino Linotype" w:hAnsi="Palatino Linotype" w:cs="Palatino Linotype"/>
        </w:rPr>
      </w:pPr>
    </w:p>
    <w:p w14:paraId="4B18FA1A" w14:textId="56E2E5E6" w:rsidR="00EA0729" w:rsidRPr="00F83802" w:rsidRDefault="00610A2C" w:rsidP="00BB6C45">
      <w:pP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Visto el expediente relativo al recurso de revisión </w:t>
      </w:r>
      <w:r w:rsidR="00ED1BB7" w:rsidRPr="00F83802">
        <w:rPr>
          <w:rFonts w:ascii="Palatino Linotype" w:eastAsia="Palatino Linotype" w:hAnsi="Palatino Linotype" w:cs="Palatino Linotype"/>
          <w:b/>
        </w:rPr>
        <w:t>10349</w:t>
      </w:r>
      <w:r w:rsidRPr="00F83802">
        <w:rPr>
          <w:rFonts w:ascii="Palatino Linotype" w:eastAsia="Palatino Linotype" w:hAnsi="Palatino Linotype" w:cs="Palatino Linotype"/>
          <w:b/>
        </w:rPr>
        <w:t>/INFOEM/IP/RR/202</w:t>
      </w:r>
      <w:r w:rsidR="003427ED" w:rsidRPr="00F83802">
        <w:rPr>
          <w:rFonts w:ascii="Palatino Linotype" w:eastAsia="Palatino Linotype" w:hAnsi="Palatino Linotype" w:cs="Palatino Linotype"/>
          <w:b/>
        </w:rPr>
        <w:t>5</w:t>
      </w:r>
      <w:r w:rsidRPr="00F83802">
        <w:rPr>
          <w:rFonts w:ascii="Palatino Linotype" w:eastAsia="Palatino Linotype" w:hAnsi="Palatino Linotype" w:cs="Palatino Linotype"/>
        </w:rPr>
        <w:t xml:space="preserve">, interpuesto por </w:t>
      </w:r>
      <w:r w:rsidR="00C05390" w:rsidRPr="00F83802">
        <w:rPr>
          <w:rFonts w:ascii="Palatino Linotype" w:eastAsia="Palatino Linotype" w:hAnsi="Palatino Linotype" w:cs="Palatino Linotype"/>
          <w:b/>
        </w:rPr>
        <w:t>un particular que no proporcionó nombre o seudónimo para ser identificado</w:t>
      </w:r>
      <w:r w:rsidRPr="00F83802">
        <w:rPr>
          <w:rFonts w:ascii="Palatino Linotype" w:eastAsia="Palatino Linotype" w:hAnsi="Palatino Linotype" w:cs="Palatino Linotype"/>
        </w:rPr>
        <w:t xml:space="preserve">, al cual en lo sucesivo se le denominará </w:t>
      </w:r>
      <w:r w:rsidR="00A73C7A" w:rsidRPr="00F83802">
        <w:rPr>
          <w:rFonts w:ascii="Palatino Linotype" w:eastAsia="Palatino Linotype" w:hAnsi="Palatino Linotype" w:cs="Palatino Linotype"/>
        </w:rPr>
        <w:t xml:space="preserve">la parte </w:t>
      </w:r>
      <w:r w:rsidR="00A73C7A" w:rsidRPr="00F83802">
        <w:rPr>
          <w:rFonts w:ascii="Palatino Linotype" w:eastAsia="Palatino Linotype" w:hAnsi="Palatino Linotype" w:cs="Palatino Linotype"/>
          <w:b/>
        </w:rPr>
        <w:t>Recurrente</w:t>
      </w:r>
      <w:r w:rsidRPr="00F83802">
        <w:rPr>
          <w:rFonts w:ascii="Palatino Linotype" w:eastAsia="Palatino Linotype" w:hAnsi="Palatino Linotype" w:cs="Palatino Linotype"/>
        </w:rPr>
        <w:t xml:space="preserve">, en contra la respuesta a su solicitud de información identificada con número de folio </w:t>
      </w:r>
      <w:r w:rsidR="00ED1BB7" w:rsidRPr="00F83802">
        <w:rPr>
          <w:rFonts w:ascii="Palatino Linotype" w:eastAsia="Palatino Linotype" w:hAnsi="Palatino Linotype" w:cs="Palatino Linotype"/>
          <w:b/>
        </w:rPr>
        <w:t>00161/TEMOAYA/IP/2025</w:t>
      </w:r>
      <w:r w:rsidR="00E22E46" w:rsidRPr="00F83802">
        <w:rPr>
          <w:rFonts w:ascii="Palatino Linotype" w:eastAsia="Palatino Linotype" w:hAnsi="Palatino Linotype" w:cs="Palatino Linotype"/>
        </w:rPr>
        <w:t xml:space="preserve"> proporcionada por parte del </w:t>
      </w:r>
      <w:r w:rsidR="00ED1BB7" w:rsidRPr="00F83802">
        <w:rPr>
          <w:rFonts w:ascii="Palatino Linotype" w:eastAsia="Palatino Linotype" w:hAnsi="Palatino Linotype" w:cs="Palatino Linotype"/>
          <w:b/>
        </w:rPr>
        <w:t>Ayuntamiento de Temoaya</w:t>
      </w:r>
      <w:r w:rsidRPr="00F83802">
        <w:rPr>
          <w:rFonts w:ascii="Palatino Linotype" w:eastAsia="Palatino Linotype" w:hAnsi="Palatino Linotype" w:cs="Palatino Linotype"/>
        </w:rPr>
        <w:t xml:space="preserve">, en lo sucesivo el </w:t>
      </w:r>
      <w:r w:rsidR="00A73C7A" w:rsidRPr="00F83802">
        <w:rPr>
          <w:rFonts w:ascii="Palatino Linotype" w:eastAsia="Palatino Linotype" w:hAnsi="Palatino Linotype" w:cs="Palatino Linotype"/>
          <w:b/>
        </w:rPr>
        <w:t>Sujeto Obligado</w:t>
      </w:r>
      <w:r w:rsidRPr="00F83802">
        <w:rPr>
          <w:rFonts w:ascii="Palatino Linotype" w:eastAsia="Palatino Linotype" w:hAnsi="Palatino Linotype" w:cs="Palatino Linotype"/>
        </w:rPr>
        <w:t>; se procede a dictar la presente resolución, con base en los siguientes:</w:t>
      </w:r>
    </w:p>
    <w:p w14:paraId="183FA598" w14:textId="77777777" w:rsidR="00EA0729" w:rsidRPr="00F83802" w:rsidRDefault="00EA0729" w:rsidP="00BB6C45">
      <w:pPr>
        <w:spacing w:after="0" w:line="360" w:lineRule="auto"/>
        <w:ind w:right="49"/>
        <w:jc w:val="both"/>
        <w:rPr>
          <w:rFonts w:ascii="Palatino Linotype" w:eastAsia="Palatino Linotype" w:hAnsi="Palatino Linotype" w:cs="Palatino Linotype"/>
        </w:rPr>
      </w:pPr>
    </w:p>
    <w:p w14:paraId="5CC06C25" w14:textId="77777777" w:rsidR="00EA0729" w:rsidRPr="00F83802" w:rsidRDefault="00610A2C" w:rsidP="00BB6C45">
      <w:pPr>
        <w:spacing w:after="0" w:line="360" w:lineRule="auto"/>
        <w:ind w:right="49"/>
        <w:jc w:val="center"/>
        <w:rPr>
          <w:rFonts w:ascii="Palatino Linotype" w:eastAsia="Palatino Linotype" w:hAnsi="Palatino Linotype" w:cs="Palatino Linotype"/>
          <w:b/>
        </w:rPr>
      </w:pPr>
      <w:r w:rsidRPr="00F83802">
        <w:rPr>
          <w:rFonts w:ascii="Palatino Linotype" w:eastAsia="Palatino Linotype" w:hAnsi="Palatino Linotype" w:cs="Palatino Linotype"/>
          <w:b/>
        </w:rPr>
        <w:t>I.</w:t>
      </w:r>
      <w:r w:rsidRPr="00F83802">
        <w:rPr>
          <w:rFonts w:ascii="Palatino Linotype" w:eastAsia="Palatino Linotype" w:hAnsi="Palatino Linotype" w:cs="Palatino Linotype"/>
          <w:b/>
        </w:rPr>
        <w:tab/>
        <w:t>A N T E C E D E N T E S</w:t>
      </w:r>
    </w:p>
    <w:p w14:paraId="5D019C8F" w14:textId="77777777" w:rsidR="00EA0729" w:rsidRPr="00F83802" w:rsidRDefault="00EA0729" w:rsidP="00BB6C45">
      <w:pPr>
        <w:spacing w:after="0" w:line="360" w:lineRule="auto"/>
        <w:ind w:right="49"/>
        <w:jc w:val="both"/>
        <w:rPr>
          <w:rFonts w:ascii="Palatino Linotype" w:eastAsia="Palatino Linotype" w:hAnsi="Palatino Linotype" w:cs="Palatino Linotype"/>
        </w:rPr>
      </w:pPr>
    </w:p>
    <w:p w14:paraId="2992474C" w14:textId="0CF3BC03" w:rsidR="00EA0729" w:rsidRPr="00F83802" w:rsidRDefault="00610A2C" w:rsidP="00BB6C4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3802">
        <w:rPr>
          <w:rFonts w:ascii="Palatino Linotype" w:eastAsia="Palatino Linotype" w:hAnsi="Palatino Linotype" w:cs="Palatino Linotype"/>
          <w:b/>
        </w:rPr>
        <w:t>Solicitud de acceso a la información.</w:t>
      </w:r>
      <w:r w:rsidRPr="00F83802">
        <w:rPr>
          <w:rFonts w:ascii="Palatino Linotype" w:eastAsia="Palatino Linotype" w:hAnsi="Palatino Linotype" w:cs="Palatino Linotype"/>
        </w:rPr>
        <w:t xml:space="preserve"> Con fecha </w:t>
      </w:r>
      <w:r w:rsidR="00ED1BB7" w:rsidRPr="00F83802">
        <w:rPr>
          <w:rFonts w:ascii="Palatino Linotype" w:eastAsia="Palatino Linotype" w:hAnsi="Palatino Linotype" w:cs="Palatino Linotype"/>
          <w:b/>
        </w:rPr>
        <w:t>veinticuatro de julio</w:t>
      </w:r>
      <w:r w:rsidR="003427ED" w:rsidRPr="00F83802">
        <w:rPr>
          <w:rFonts w:ascii="Palatino Linotype" w:eastAsia="Palatino Linotype" w:hAnsi="Palatino Linotype" w:cs="Palatino Linotype"/>
          <w:b/>
        </w:rPr>
        <w:t xml:space="preserve"> de dos mil veinticinco</w:t>
      </w:r>
      <w:r w:rsidRPr="00F83802">
        <w:rPr>
          <w:rFonts w:ascii="Palatino Linotype" w:eastAsia="Palatino Linotype" w:hAnsi="Palatino Linotype" w:cs="Palatino Linotype"/>
        </w:rPr>
        <w:t xml:space="preserve">, la parte </w:t>
      </w:r>
      <w:r w:rsidR="00A73C7A" w:rsidRPr="00F83802">
        <w:rPr>
          <w:rFonts w:ascii="Palatino Linotype" w:eastAsia="Palatino Linotype" w:hAnsi="Palatino Linotype" w:cs="Palatino Linotype"/>
          <w:b/>
        </w:rPr>
        <w:t>Recurrente</w:t>
      </w:r>
      <w:r w:rsidR="00A73C7A" w:rsidRPr="00F83802">
        <w:rPr>
          <w:rFonts w:ascii="Palatino Linotype" w:eastAsia="Palatino Linotype" w:hAnsi="Palatino Linotype" w:cs="Palatino Linotype"/>
        </w:rPr>
        <w:t xml:space="preserve"> </w:t>
      </w:r>
      <w:r w:rsidRPr="00F83802">
        <w:rPr>
          <w:rFonts w:ascii="Palatino Linotype" w:eastAsia="Palatino Linotype" w:hAnsi="Palatino Linotype" w:cs="Palatino Linotype"/>
        </w:rPr>
        <w:t>formuló solicitud de acceso a información pública al</w:t>
      </w:r>
      <w:r w:rsidRPr="00F83802">
        <w:rPr>
          <w:rFonts w:ascii="Palatino Linotype" w:eastAsia="Palatino Linotype" w:hAnsi="Palatino Linotype" w:cs="Palatino Linotype"/>
          <w:b/>
        </w:rPr>
        <w:t xml:space="preserve"> </w:t>
      </w:r>
      <w:r w:rsidR="00A73C7A" w:rsidRPr="00F83802">
        <w:rPr>
          <w:rFonts w:ascii="Palatino Linotype" w:eastAsia="Palatino Linotype" w:hAnsi="Palatino Linotype" w:cs="Palatino Linotype"/>
          <w:b/>
        </w:rPr>
        <w:t>Sujeto Obligado</w:t>
      </w:r>
      <w:r w:rsidR="007E54BA" w:rsidRPr="00F83802">
        <w:rPr>
          <w:rFonts w:ascii="Palatino Linotype" w:eastAsia="Palatino Linotype" w:hAnsi="Palatino Linotype" w:cs="Palatino Linotype"/>
        </w:rPr>
        <w:t xml:space="preserve"> a través del </w:t>
      </w:r>
      <w:r w:rsidRPr="00F83802">
        <w:rPr>
          <w:rFonts w:ascii="Palatino Linotype" w:eastAsia="Palatino Linotype" w:hAnsi="Palatino Linotype" w:cs="Palatino Linotype"/>
        </w:rPr>
        <w:t xml:space="preserve">Sistema de Acceso a la Información Mexiquense, en adelante SAIMEX, </w:t>
      </w:r>
      <w:r w:rsidR="00ED1BB7" w:rsidRPr="00F83802">
        <w:rPr>
          <w:rFonts w:ascii="Palatino Linotype" w:eastAsia="Palatino Linotype" w:hAnsi="Palatino Linotype" w:cs="Palatino Linotype"/>
        </w:rPr>
        <w:t xml:space="preserve">sin embargo, al corresponder a un día inhábil se tuvo por presentada el día </w:t>
      </w:r>
      <w:r w:rsidR="00ED1BB7" w:rsidRPr="00F83802">
        <w:rPr>
          <w:rFonts w:ascii="Palatino Linotype" w:eastAsia="Palatino Linotype" w:hAnsi="Palatino Linotype" w:cs="Palatino Linotype"/>
          <w:b/>
        </w:rPr>
        <w:t>cuatro de agosto de dos mil veinticinco</w:t>
      </w:r>
      <w:r w:rsidR="00ED1BB7" w:rsidRPr="00F83802">
        <w:rPr>
          <w:rFonts w:ascii="Palatino Linotype" w:eastAsia="Palatino Linotype" w:hAnsi="Palatino Linotype" w:cs="Palatino Linotype"/>
        </w:rPr>
        <w:t xml:space="preserve">, mediante la cual requirió lo siguiente: </w:t>
      </w:r>
    </w:p>
    <w:p w14:paraId="3B5F3DA7" w14:textId="77777777" w:rsidR="00ED1BB7" w:rsidRPr="00F83802" w:rsidRDefault="00ED1BB7" w:rsidP="00BB6C45">
      <w:pPr>
        <w:spacing w:after="0"/>
        <w:ind w:left="567" w:right="560"/>
        <w:jc w:val="both"/>
        <w:rPr>
          <w:rFonts w:ascii="Palatino Linotype" w:eastAsia="Palatino Linotype" w:hAnsi="Palatino Linotype" w:cs="Palatino Linotype"/>
          <w:i/>
        </w:rPr>
      </w:pPr>
      <w:bookmarkStart w:id="1" w:name="_heading=h.30j0zll" w:colFirst="0" w:colLast="0"/>
      <w:bookmarkEnd w:id="1"/>
    </w:p>
    <w:p w14:paraId="6BC5E53B" w14:textId="6424E200" w:rsidR="00EA0729" w:rsidRPr="00F83802" w:rsidRDefault="00610A2C" w:rsidP="00BB6C45">
      <w:pPr>
        <w:spacing w:after="0" w:line="276" w:lineRule="auto"/>
        <w:ind w:left="851" w:right="843"/>
        <w:jc w:val="both"/>
        <w:rPr>
          <w:rFonts w:ascii="Palatino Linotype" w:eastAsia="Palatino Linotype" w:hAnsi="Palatino Linotype" w:cs="Palatino Linotype"/>
          <w:i/>
        </w:rPr>
      </w:pPr>
      <w:r w:rsidRPr="00F83802">
        <w:rPr>
          <w:rFonts w:ascii="Palatino Linotype" w:eastAsia="Palatino Linotype" w:hAnsi="Palatino Linotype" w:cs="Palatino Linotype"/>
          <w:i/>
        </w:rPr>
        <w:t>“</w:t>
      </w:r>
      <w:r w:rsidR="00ED1BB7" w:rsidRPr="00F83802">
        <w:rPr>
          <w:rFonts w:ascii="Palatino Linotype" w:eastAsia="Palatino Linotype" w:hAnsi="Palatino Linotype" w:cs="Palatino Linotype"/>
          <w:i/>
        </w:rPr>
        <w:t xml:space="preserve">Solicito en versión pública el nombramiento de María Fernanda Velazquez Salvador, quien hoy funge como coordinadora de comercio de la dirección de desarrollo económico, su recibo de nómina en versión pública de la 1ra quincena del mes de enero de 2025 y de la 2da quincena del mes de marzo de 2025, asicomo el permiso de funcionamiento o licencia del restaurante los molcajetes que se encuentra en la comunidad de dolores y el recibo de pago por los permisos que se requieren para el funcionamiento de dicho establecimiento, ya que es propiedad de su hermana o hay </w:t>
      </w:r>
      <w:r w:rsidR="00ED1BB7" w:rsidRPr="00F83802">
        <w:rPr>
          <w:rFonts w:ascii="Palatino Linotype" w:eastAsia="Palatino Linotype" w:hAnsi="Palatino Linotype" w:cs="Palatino Linotype"/>
          <w:i/>
        </w:rPr>
        <w:lastRenderedPageBreak/>
        <w:t>conflicto de intereses, asi como sus registros de entrada y salida ya que sushorarios son muy flexibles.</w:t>
      </w:r>
      <w:r w:rsidRPr="00F83802">
        <w:rPr>
          <w:rFonts w:ascii="Palatino Linotype" w:eastAsia="Palatino Linotype" w:hAnsi="Palatino Linotype" w:cs="Palatino Linotype"/>
          <w:i/>
        </w:rPr>
        <w:t>”.</w:t>
      </w:r>
    </w:p>
    <w:p w14:paraId="21F7F23C" w14:textId="77777777" w:rsidR="00EA0729" w:rsidRPr="00F83802" w:rsidRDefault="00EA0729" w:rsidP="00BB6C45">
      <w:pPr>
        <w:spacing w:after="0" w:line="360" w:lineRule="auto"/>
        <w:ind w:left="567" w:right="560"/>
        <w:jc w:val="both"/>
        <w:rPr>
          <w:rFonts w:ascii="Palatino Linotype" w:eastAsia="Palatino Linotype" w:hAnsi="Palatino Linotype" w:cs="Palatino Linotype"/>
          <w:i/>
        </w:rPr>
      </w:pPr>
    </w:p>
    <w:p w14:paraId="4014AD8E" w14:textId="77777777" w:rsidR="00EA0729" w:rsidRPr="00F83802" w:rsidRDefault="00610A2C" w:rsidP="00BB6C45">
      <w:pP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b/>
        </w:rPr>
        <w:t>Modalidad elegida para la entrega de la información:</w:t>
      </w:r>
      <w:r w:rsidRPr="00F83802">
        <w:rPr>
          <w:rFonts w:ascii="Palatino Linotype" w:eastAsia="Palatino Linotype" w:hAnsi="Palatino Linotype" w:cs="Palatino Linotype"/>
        </w:rPr>
        <w:t xml:space="preserve"> a través del Sistema de Acceso a la Información Mexiquense (SAIMEX). </w:t>
      </w:r>
    </w:p>
    <w:p w14:paraId="621D2CC1" w14:textId="77777777" w:rsidR="00EA0729" w:rsidRPr="00F83802" w:rsidRDefault="00EA0729"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37839E2" w14:textId="27832059" w:rsidR="00EA0729" w:rsidRPr="00F83802" w:rsidRDefault="00610A2C" w:rsidP="00BB6C4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3802">
        <w:rPr>
          <w:rFonts w:ascii="Palatino Linotype" w:eastAsia="Palatino Linotype" w:hAnsi="Palatino Linotype" w:cs="Palatino Linotype"/>
          <w:b/>
        </w:rPr>
        <w:t>Respuesta.</w:t>
      </w:r>
      <w:r w:rsidRPr="00F83802">
        <w:rPr>
          <w:rFonts w:ascii="Palatino Linotype" w:eastAsia="Palatino Linotype" w:hAnsi="Palatino Linotype" w:cs="Palatino Linotype"/>
        </w:rPr>
        <w:t xml:space="preserve"> En fecha </w:t>
      </w:r>
      <w:r w:rsidR="00ED1BB7" w:rsidRPr="00F83802">
        <w:rPr>
          <w:rFonts w:ascii="Palatino Linotype" w:eastAsia="Palatino Linotype" w:hAnsi="Palatino Linotype" w:cs="Palatino Linotype"/>
          <w:b/>
        </w:rPr>
        <w:t>veinticinco de agosto</w:t>
      </w:r>
      <w:r w:rsidR="003427ED" w:rsidRPr="00F83802">
        <w:rPr>
          <w:rFonts w:ascii="Palatino Linotype" w:eastAsia="Palatino Linotype" w:hAnsi="Palatino Linotype" w:cs="Palatino Linotype"/>
          <w:b/>
        </w:rPr>
        <w:t xml:space="preserve"> de dos mil veinticinco</w:t>
      </w:r>
      <w:r w:rsidRPr="00F83802">
        <w:rPr>
          <w:rFonts w:ascii="Palatino Linotype" w:eastAsia="Palatino Linotype" w:hAnsi="Palatino Linotype" w:cs="Palatino Linotype"/>
        </w:rPr>
        <w:t xml:space="preserve">, el </w:t>
      </w:r>
      <w:r w:rsidRPr="00F83802">
        <w:rPr>
          <w:rFonts w:ascii="Palatino Linotype" w:eastAsia="Palatino Linotype" w:hAnsi="Palatino Linotype" w:cs="Palatino Linotype"/>
          <w:b/>
        </w:rPr>
        <w:t>Sujeto Obligado</w:t>
      </w:r>
      <w:r w:rsidRPr="00F83802">
        <w:rPr>
          <w:rFonts w:ascii="Palatino Linotype" w:eastAsia="Palatino Linotype" w:hAnsi="Palatino Linotype" w:cs="Palatino Linotype"/>
        </w:rPr>
        <w:t xml:space="preserve"> remitió respuesta a la solicitud de información, al tenor de lo siguiente: </w:t>
      </w:r>
    </w:p>
    <w:p w14:paraId="6730A96D" w14:textId="77777777" w:rsidR="00ED1BB7" w:rsidRPr="00F83802" w:rsidRDefault="00ED1BB7" w:rsidP="00BB6C45">
      <w:pPr>
        <w:spacing w:after="0" w:line="276" w:lineRule="auto"/>
        <w:ind w:left="851" w:right="843"/>
        <w:jc w:val="both"/>
        <w:rPr>
          <w:rFonts w:ascii="Palatino Linotype" w:eastAsia="Palatino Linotype" w:hAnsi="Palatino Linotype" w:cs="Palatino Linotype"/>
          <w:i/>
        </w:rPr>
      </w:pPr>
    </w:p>
    <w:p w14:paraId="29DA642B" w14:textId="4C37EB28" w:rsidR="00ED1BB7" w:rsidRPr="00F83802" w:rsidRDefault="00ED1BB7" w:rsidP="00BB6C45">
      <w:pPr>
        <w:spacing w:after="0" w:line="276" w:lineRule="auto"/>
        <w:ind w:left="851" w:right="843"/>
        <w:jc w:val="both"/>
        <w:rPr>
          <w:rFonts w:ascii="Palatino Linotype" w:eastAsia="Palatino Linotype" w:hAnsi="Palatino Linotype" w:cs="Palatino Linotype"/>
          <w:i/>
        </w:rPr>
      </w:pPr>
      <w:r w:rsidRPr="00F83802">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4169FD" w14:textId="77777777" w:rsidR="00045B08" w:rsidRPr="00F83802" w:rsidRDefault="00045B08" w:rsidP="00BB6C45">
      <w:pPr>
        <w:spacing w:after="0" w:line="276" w:lineRule="auto"/>
        <w:ind w:left="851" w:right="843"/>
        <w:jc w:val="both"/>
        <w:rPr>
          <w:rFonts w:ascii="Palatino Linotype" w:eastAsia="Palatino Linotype" w:hAnsi="Palatino Linotype" w:cs="Palatino Linotype"/>
          <w:i/>
        </w:rPr>
      </w:pPr>
    </w:p>
    <w:p w14:paraId="3A41999E" w14:textId="77777777" w:rsidR="00ED1BB7" w:rsidRPr="00F83802" w:rsidRDefault="00ED1BB7" w:rsidP="00BB6C45">
      <w:pPr>
        <w:spacing w:after="0" w:line="276" w:lineRule="auto"/>
        <w:ind w:left="851" w:right="843"/>
        <w:jc w:val="both"/>
        <w:rPr>
          <w:rFonts w:ascii="Palatino Linotype" w:eastAsia="Palatino Linotype" w:hAnsi="Palatino Linotype" w:cs="Palatino Linotype"/>
          <w:i/>
        </w:rPr>
      </w:pPr>
      <w:r w:rsidRPr="00F83802">
        <w:rPr>
          <w:rFonts w:ascii="Palatino Linotype" w:eastAsia="Palatino Linotype" w:hAnsi="Palatino Linotype" w:cs="Palatino Linotype"/>
          <w:i/>
        </w:rPr>
        <w:t>Se adjunta en formato .pdf, la respuesta emitida por el Departamento de Recursos Humanos, Dirección de Desarrollo Económico, y Tesorería Municipal del Ayuntamiento de Temoaya, así como los acuerdos TEMOAYA/CT/11SE/03/2025 y TEMOAYA/CT/11SE/04/2025, fechado el diecinueve de agosto de 2025, aprobado durante la Décima Primera Sesión Extraordinaria del Comité de Transparencia. Mediante dicho acuerdo, se determinó la clasificación de la información solicitada como confidencial y el cambio de modalidad a consulta directa.</w:t>
      </w:r>
    </w:p>
    <w:p w14:paraId="01AF0DA1" w14:textId="77777777" w:rsidR="00ED1BB7" w:rsidRPr="00F83802" w:rsidRDefault="00ED1BB7" w:rsidP="00BB6C45">
      <w:pPr>
        <w:spacing w:after="0" w:line="276" w:lineRule="auto"/>
        <w:ind w:left="851" w:right="843"/>
        <w:jc w:val="both"/>
        <w:rPr>
          <w:rFonts w:ascii="Palatino Linotype" w:eastAsia="Palatino Linotype" w:hAnsi="Palatino Linotype" w:cs="Palatino Linotype"/>
          <w:i/>
        </w:rPr>
      </w:pPr>
      <w:r w:rsidRPr="00F83802">
        <w:rPr>
          <w:rFonts w:ascii="Palatino Linotype" w:eastAsia="Palatino Linotype" w:hAnsi="Palatino Linotype" w:cs="Palatino Linotype"/>
          <w:i/>
        </w:rPr>
        <w:t>ATENTAMENTE</w:t>
      </w:r>
    </w:p>
    <w:p w14:paraId="1C6773D6" w14:textId="330B1918" w:rsidR="001D6046" w:rsidRPr="00F83802" w:rsidRDefault="00ED1BB7" w:rsidP="00BB6C45">
      <w:pPr>
        <w:spacing w:after="0" w:line="276" w:lineRule="auto"/>
        <w:ind w:left="851" w:right="843"/>
        <w:jc w:val="both"/>
        <w:rPr>
          <w:rFonts w:ascii="Palatino Linotype" w:eastAsia="Palatino Linotype" w:hAnsi="Palatino Linotype" w:cs="Palatino Linotype"/>
        </w:rPr>
      </w:pPr>
      <w:r w:rsidRPr="00F83802">
        <w:rPr>
          <w:rFonts w:ascii="Palatino Linotype" w:eastAsia="Palatino Linotype" w:hAnsi="Palatino Linotype" w:cs="Palatino Linotype"/>
          <w:i/>
        </w:rPr>
        <w:t xml:space="preserve">C. ROSA ISELA PEÑA MORALES </w:t>
      </w:r>
      <w:r w:rsidR="003427ED" w:rsidRPr="00F83802">
        <w:rPr>
          <w:rFonts w:ascii="Palatino Linotype" w:eastAsia="Palatino Linotype" w:hAnsi="Palatino Linotype" w:cs="Palatino Linotype"/>
          <w:i/>
        </w:rPr>
        <w:t>"</w:t>
      </w:r>
    </w:p>
    <w:p w14:paraId="46706A3E" w14:textId="77777777" w:rsidR="003427ED" w:rsidRPr="00F83802" w:rsidRDefault="003427ED"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1A8AF0D" w14:textId="4C26D091" w:rsidR="003427ED" w:rsidRPr="00F83802" w:rsidRDefault="00045B08"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Asimismo, adjuntó los </w:t>
      </w:r>
      <w:r w:rsidR="003427ED" w:rsidRPr="00F83802">
        <w:rPr>
          <w:rFonts w:ascii="Palatino Linotype" w:eastAsia="Palatino Linotype" w:hAnsi="Palatino Linotype" w:cs="Palatino Linotype"/>
        </w:rPr>
        <w:t>documento</w:t>
      </w:r>
      <w:r w:rsidRPr="00F83802">
        <w:rPr>
          <w:rFonts w:ascii="Palatino Linotype" w:eastAsia="Palatino Linotype" w:hAnsi="Palatino Linotype" w:cs="Palatino Linotype"/>
        </w:rPr>
        <w:t>s</w:t>
      </w:r>
      <w:r w:rsidR="003427ED" w:rsidRPr="00F83802">
        <w:rPr>
          <w:rFonts w:ascii="Palatino Linotype" w:eastAsia="Palatino Linotype" w:hAnsi="Palatino Linotype" w:cs="Palatino Linotype"/>
        </w:rPr>
        <w:t xml:space="preserve"> que se describe</w:t>
      </w:r>
      <w:r w:rsidRPr="00F83802">
        <w:rPr>
          <w:rFonts w:ascii="Palatino Linotype" w:eastAsia="Palatino Linotype" w:hAnsi="Palatino Linotype" w:cs="Palatino Linotype"/>
        </w:rPr>
        <w:t>n</w:t>
      </w:r>
      <w:r w:rsidR="003427ED" w:rsidRPr="00F83802">
        <w:rPr>
          <w:rFonts w:ascii="Palatino Linotype" w:eastAsia="Palatino Linotype" w:hAnsi="Palatino Linotype" w:cs="Palatino Linotype"/>
        </w:rPr>
        <w:t xml:space="preserve"> a continuación:</w:t>
      </w:r>
    </w:p>
    <w:p w14:paraId="521A790C" w14:textId="77777777" w:rsidR="003427ED" w:rsidRPr="00F83802" w:rsidRDefault="003427ED"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CCDB16" w14:textId="1F860C1A" w:rsidR="00396F5D" w:rsidRPr="00F83802" w:rsidRDefault="00045B08" w:rsidP="00A73C7A">
      <w:pPr>
        <w:pStyle w:val="Prrafodelista"/>
        <w:numPr>
          <w:ilvl w:val="0"/>
          <w:numId w:val="21"/>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F83802">
        <w:rPr>
          <w:rFonts w:ascii="Palatino Linotype" w:eastAsia="Palatino Linotype" w:hAnsi="Palatino Linotype" w:cs="Palatino Linotype"/>
          <w:b/>
          <w:i/>
        </w:rPr>
        <w:t>María Fernanda Velázquez.pdf</w:t>
      </w:r>
      <w:r w:rsidRPr="00F83802">
        <w:rPr>
          <w:rFonts w:ascii="Palatino Linotype" w:eastAsia="Palatino Linotype" w:hAnsi="Palatino Linotype" w:cs="Palatino Linotype"/>
        </w:rPr>
        <w:t xml:space="preserve">: </w:t>
      </w:r>
      <w:r w:rsidR="00396F5D" w:rsidRPr="00F83802">
        <w:rPr>
          <w:rFonts w:ascii="Palatino Linotype" w:eastAsia="Palatino Linotype" w:hAnsi="Palatino Linotype" w:cs="Palatino Linotype"/>
        </w:rPr>
        <w:t xml:space="preserve">Contiene los siguientes documentos: </w:t>
      </w:r>
    </w:p>
    <w:p w14:paraId="2138A23B" w14:textId="76FD9F19" w:rsidR="00045B08" w:rsidRPr="00F83802" w:rsidRDefault="00045B08" w:rsidP="00A73C7A">
      <w:pPr>
        <w:pStyle w:val="Prrafodelista"/>
        <w:numPr>
          <w:ilvl w:val="0"/>
          <w:numId w:val="22"/>
        </w:numPr>
        <w:pBdr>
          <w:top w:val="nil"/>
          <w:left w:val="nil"/>
          <w:bottom w:val="nil"/>
          <w:right w:val="nil"/>
          <w:between w:val="nil"/>
        </w:pBdr>
        <w:spacing w:after="0" w:line="360" w:lineRule="auto"/>
        <w:ind w:left="993" w:right="843"/>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Oficio número DRH/397/2025 de fecha siete de agosto de dos mil veinticinco, suscrito por la Encargada del Departamento de Recursos Humanos, en el que informó la entrega del nombramiento expedido a favor </w:t>
      </w:r>
      <w:r w:rsidRPr="00F83802">
        <w:rPr>
          <w:rFonts w:ascii="Palatino Linotype" w:eastAsia="Palatino Linotype" w:hAnsi="Palatino Linotype" w:cs="Palatino Linotype"/>
        </w:rPr>
        <w:lastRenderedPageBreak/>
        <w:t>de la ciudadana mencionada en la solicitud, quien actualmente se desempeña como Coordinadora de Comercio de la Dirección de Desarrollo Económico. Asimismo, hace del conocimiento que la servidora pública desempeña sus funciones en un horario de lunes a viernes de 9:00 a 18:00 horas, con una hora</w:t>
      </w:r>
      <w:r w:rsidR="00396F5D" w:rsidRPr="00F83802">
        <w:rPr>
          <w:rFonts w:ascii="Palatino Linotype" w:eastAsia="Palatino Linotype" w:hAnsi="Palatino Linotype" w:cs="Palatino Linotype"/>
        </w:rPr>
        <w:t xml:space="preserve"> </w:t>
      </w:r>
      <w:r w:rsidRPr="00F83802">
        <w:rPr>
          <w:rFonts w:ascii="Palatino Linotype" w:eastAsia="Palatino Linotype" w:hAnsi="Palatino Linotype" w:cs="Palatino Linotype"/>
        </w:rPr>
        <w:t>destinada para la toma de alimentos.</w:t>
      </w:r>
    </w:p>
    <w:p w14:paraId="748B16F0" w14:textId="3C591272" w:rsidR="00396F5D" w:rsidRPr="00F83802" w:rsidRDefault="00396F5D" w:rsidP="00A73C7A">
      <w:pPr>
        <w:pStyle w:val="Prrafodelista"/>
        <w:numPr>
          <w:ilvl w:val="0"/>
          <w:numId w:val="22"/>
        </w:numPr>
        <w:pBdr>
          <w:top w:val="nil"/>
          <w:left w:val="nil"/>
          <w:bottom w:val="nil"/>
          <w:right w:val="nil"/>
          <w:between w:val="nil"/>
        </w:pBdr>
        <w:spacing w:after="0" w:line="360" w:lineRule="auto"/>
        <w:ind w:left="993" w:right="843"/>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Nombramiento de la Coordinadora de Comercio, en versión íntegra. </w:t>
      </w:r>
    </w:p>
    <w:p w14:paraId="353BA014" w14:textId="74D9D934" w:rsidR="00396F5D" w:rsidRPr="00F83802" w:rsidRDefault="00045B08" w:rsidP="00A73C7A">
      <w:pPr>
        <w:pStyle w:val="Prrafodelista"/>
        <w:numPr>
          <w:ilvl w:val="0"/>
          <w:numId w:val="21"/>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F83802">
        <w:rPr>
          <w:rFonts w:ascii="Palatino Linotype" w:eastAsia="Palatino Linotype" w:hAnsi="Palatino Linotype" w:cs="Palatino Linotype"/>
          <w:b/>
          <w:i/>
        </w:rPr>
        <w:t>SOL161TESORERIA_011815.pdf</w:t>
      </w:r>
      <w:r w:rsidRPr="00F83802">
        <w:rPr>
          <w:rFonts w:ascii="Palatino Linotype" w:eastAsia="Palatino Linotype" w:hAnsi="Palatino Linotype" w:cs="Palatino Linotype"/>
        </w:rPr>
        <w:t xml:space="preserve">: </w:t>
      </w:r>
      <w:r w:rsidR="00396F5D" w:rsidRPr="00F83802">
        <w:rPr>
          <w:rFonts w:ascii="Palatino Linotype" w:eastAsia="Palatino Linotype" w:hAnsi="Palatino Linotype" w:cs="Palatino Linotype"/>
        </w:rPr>
        <w:t xml:space="preserve">Oficio número TM/0263/2025 de fecha ocho de agosto de dos mil veinticinco, suscrito por el Tesorero Municipal, en el que informó que la información requerida al área de Tesorería, se encuentra dispersa en múltiples archivos y expedientes correspondientes al archivo del primer trimestre, el cual tiene un tamaño de 1,930.56 Megabytes, por lo que solicita el cambio de modalidad a in situ, toda vez que la documentación precisada forma parte de varios expedientes cuya recopilación, procesamiento y sistematización implicaría una carga excesiva y rebasa las capacidades técnicas administrativas y humanas del personal a cargo, lo anterior en términos del artículo 158 de la Ley de la materia. </w:t>
      </w:r>
    </w:p>
    <w:p w14:paraId="10F177E5" w14:textId="5EDF0B6D" w:rsidR="00E203CF" w:rsidRPr="00F83802" w:rsidRDefault="00045B08" w:rsidP="00A73C7A">
      <w:pPr>
        <w:pStyle w:val="Prrafodelista"/>
        <w:numPr>
          <w:ilvl w:val="0"/>
          <w:numId w:val="21"/>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F83802">
        <w:rPr>
          <w:rFonts w:ascii="Palatino Linotype" w:eastAsia="Palatino Linotype" w:hAnsi="Palatino Linotype" w:cs="Palatino Linotype"/>
          <w:b/>
          <w:i/>
        </w:rPr>
        <w:t>DECIMAPRIMERASESIONEXTRAORDINARIA.pdf</w:t>
      </w:r>
      <w:r w:rsidRPr="00F83802">
        <w:rPr>
          <w:rFonts w:ascii="Palatino Linotype" w:eastAsia="Palatino Linotype" w:hAnsi="Palatino Linotype" w:cs="Palatino Linotype"/>
        </w:rPr>
        <w:t xml:space="preserve">: </w:t>
      </w:r>
      <w:r w:rsidR="00396F5D" w:rsidRPr="00F83802">
        <w:rPr>
          <w:rFonts w:ascii="Palatino Linotype" w:eastAsia="Palatino Linotype" w:hAnsi="Palatino Linotype" w:cs="Palatino Linotype"/>
        </w:rPr>
        <w:t>Acta de la Décima Primera S</w:t>
      </w:r>
      <w:r w:rsidR="00E203CF" w:rsidRPr="00F83802">
        <w:rPr>
          <w:rFonts w:ascii="Palatino Linotype" w:eastAsia="Palatino Linotype" w:hAnsi="Palatino Linotype" w:cs="Palatino Linotype"/>
        </w:rPr>
        <w:t xml:space="preserve">esión Ordinaria del Comité </w:t>
      </w:r>
      <w:r w:rsidR="00396F5D" w:rsidRPr="00F83802">
        <w:rPr>
          <w:rFonts w:ascii="Palatino Linotype" w:eastAsia="Palatino Linotype" w:hAnsi="Palatino Linotype" w:cs="Palatino Linotype"/>
        </w:rPr>
        <w:t xml:space="preserve">de Transparencia </w:t>
      </w:r>
      <w:r w:rsidR="00E203CF" w:rsidRPr="00F83802">
        <w:rPr>
          <w:rFonts w:ascii="Palatino Linotype" w:eastAsia="Palatino Linotype" w:hAnsi="Palatino Linotype" w:cs="Palatino Linotype"/>
        </w:rPr>
        <w:t>del Ayuntamiento de Temoaya, celebrada el diecinueve de agosto de dos mil veinticinco, en el que se aprobó mediante acuerdo número TEMOAYA/CT/11SE/03/2025, la versión pública del Permiso Provisional de Funcionamiento del Restáurate denominado "LOS Molcajetes" y así colmar su derecho humano de acceso a la información pública, en términos de lo establecido por los artículos 3, fracción IX y 143, fracción I de la Ley de Transparencia y Acceso a la Información Pública del Estado de México y Municipios; 4, fracción XI de la Ley de Protección de Datos Personales en Posesión de Sujetos Obligados del Estado de México y Municipios y mediante acuerdo número TEMOAYA/CT/11SE/04/2025 se aprobó la versión pública de los recibos de nómina de la 1ra quincena del mes de enero y 2da quincena del mes de marzo del año 2025; en términos de lo establecido por los artículos 3, fracción IX y 143, fracción I y 158 de la Ley de Transparencia y Acceso a la Información Pública del Estado de México y Municipios; 4, fracción XI de la Ley de Protección través de los cuales serán puesto a disposición del particular, bajo la modalidad de consulta directa (in situ), conforme al calendario señalado y así colmar su derecho humano de acceso a la información pública.</w:t>
      </w:r>
    </w:p>
    <w:p w14:paraId="31E6C448" w14:textId="6F02F18A" w:rsidR="00E87281" w:rsidRPr="00F83802" w:rsidRDefault="00045B08" w:rsidP="00A73C7A">
      <w:pPr>
        <w:pStyle w:val="Prrafodelista"/>
        <w:numPr>
          <w:ilvl w:val="0"/>
          <w:numId w:val="21"/>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F83802">
        <w:rPr>
          <w:rFonts w:ascii="Palatino Linotype" w:eastAsia="Palatino Linotype" w:hAnsi="Palatino Linotype" w:cs="Palatino Linotype"/>
          <w:b/>
          <w:i/>
        </w:rPr>
        <w:t>SOL161economicotes.pdf</w:t>
      </w:r>
      <w:r w:rsidRPr="00F83802">
        <w:rPr>
          <w:rFonts w:ascii="Palatino Linotype" w:eastAsia="Palatino Linotype" w:hAnsi="Palatino Linotype" w:cs="Palatino Linotype"/>
        </w:rPr>
        <w:t xml:space="preserve">: </w:t>
      </w:r>
      <w:r w:rsidR="00E87281" w:rsidRPr="00F83802">
        <w:rPr>
          <w:rFonts w:ascii="Palatino Linotype" w:eastAsia="Palatino Linotype" w:hAnsi="Palatino Linotype" w:cs="Palatino Linotype"/>
        </w:rPr>
        <w:t xml:space="preserve">Contiene los siguientes documentos: </w:t>
      </w:r>
    </w:p>
    <w:p w14:paraId="5EDB3167" w14:textId="79584937" w:rsidR="00E87281" w:rsidRPr="00F83802" w:rsidRDefault="00E87281" w:rsidP="00A73C7A">
      <w:pPr>
        <w:pStyle w:val="Prrafodelista"/>
        <w:numPr>
          <w:ilvl w:val="0"/>
          <w:numId w:val="23"/>
        </w:numPr>
        <w:pBdr>
          <w:top w:val="nil"/>
          <w:left w:val="nil"/>
          <w:bottom w:val="nil"/>
          <w:right w:val="nil"/>
          <w:between w:val="nil"/>
        </w:pBdr>
        <w:spacing w:after="0" w:line="360" w:lineRule="auto"/>
        <w:ind w:left="993" w:right="843"/>
        <w:jc w:val="both"/>
        <w:rPr>
          <w:rFonts w:ascii="Palatino Linotype" w:eastAsia="Palatino Linotype" w:hAnsi="Palatino Linotype" w:cs="Palatino Linotype"/>
        </w:rPr>
      </w:pPr>
      <w:r w:rsidRPr="00F83802">
        <w:rPr>
          <w:rFonts w:ascii="Palatino Linotype" w:eastAsia="Palatino Linotype" w:hAnsi="Palatino Linotype" w:cs="Palatino Linotype"/>
        </w:rPr>
        <w:t>Oficio número DDE/684/2025 de fecha ocho de agosto de dos mil veinticinco, suscrito por el Titular de la Dirección de Desarrollo Económico de Temoaya en el que informó que se tiene registrado al Restaurante denominado "Los Molcajetes" mismo que se le expedido permiso provisional con número de folio: DDE/PPF/010/2025 con clave scian: 722511-Resutarante con servicio de preparación de alimentos a la carta o de comida corrida, con fecha de emisión de fecha 24 de junio de 2025, y vigencia hasta el 24 de septiembre de 2025; emitida al solicitante Ulises Jiménez González; mismos datos que se puede corroborar en al anexo adjunto en versión pública.</w:t>
      </w:r>
    </w:p>
    <w:p w14:paraId="5EF92574" w14:textId="4AFDBACA" w:rsidR="00E87281" w:rsidRPr="00F83802" w:rsidRDefault="00E87281" w:rsidP="00A73C7A">
      <w:pPr>
        <w:pStyle w:val="Prrafodelista"/>
        <w:pBdr>
          <w:top w:val="nil"/>
          <w:left w:val="nil"/>
          <w:bottom w:val="nil"/>
          <w:right w:val="nil"/>
          <w:between w:val="nil"/>
        </w:pBdr>
        <w:spacing w:after="0" w:line="360" w:lineRule="auto"/>
        <w:ind w:left="993" w:right="843"/>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En cuanto a </w:t>
      </w:r>
      <w:r w:rsidRPr="00F83802">
        <w:rPr>
          <w:rFonts w:ascii="Palatino Linotype" w:eastAsia="Palatino Linotype" w:hAnsi="Palatino Linotype" w:cs="Palatino Linotype"/>
          <w:i/>
        </w:rPr>
        <w:t>"...el recibo de pago por los permisos que se requieren para el funcionamiento de dicho establecimiento..." (Sic)</w:t>
      </w:r>
      <w:r w:rsidRPr="00F83802">
        <w:rPr>
          <w:rFonts w:ascii="Palatino Linotype" w:eastAsia="Palatino Linotype" w:hAnsi="Palatino Linotype" w:cs="Palatino Linotype"/>
        </w:rPr>
        <w:t xml:space="preserve">; informó que los permisos provisionales se expiden de manera gratuita, sin que ello genere costo o contraprestación alguna para el solicitante; de conformidad con el artículo 31 fracción I Ter de la Ley Orgánica Municipal del Estado de México. </w:t>
      </w:r>
    </w:p>
    <w:p w14:paraId="171EC9C1" w14:textId="70258BB6" w:rsidR="00E87281" w:rsidRPr="00F83802" w:rsidRDefault="00E87281" w:rsidP="00A73C7A">
      <w:pPr>
        <w:pStyle w:val="Prrafodelista"/>
        <w:numPr>
          <w:ilvl w:val="0"/>
          <w:numId w:val="23"/>
        </w:numPr>
        <w:pBdr>
          <w:top w:val="nil"/>
          <w:left w:val="nil"/>
          <w:bottom w:val="nil"/>
          <w:right w:val="nil"/>
          <w:between w:val="nil"/>
        </w:pBdr>
        <w:spacing w:after="0" w:line="360" w:lineRule="auto"/>
        <w:ind w:left="993" w:right="843"/>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Permiso Provisional de Funcionamiento número DDE/PPF/010/2025 en versión pública. </w:t>
      </w:r>
    </w:p>
    <w:p w14:paraId="35CE3FC4" w14:textId="77777777" w:rsidR="00045B08" w:rsidRPr="00F83802" w:rsidRDefault="00045B08"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59FAE0B" w14:textId="64E10FAE" w:rsidR="00EA0729" w:rsidRPr="00F83802" w:rsidRDefault="00610A2C" w:rsidP="00BB6C4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3802">
        <w:rPr>
          <w:rFonts w:ascii="Palatino Linotype" w:eastAsia="Palatino Linotype" w:hAnsi="Palatino Linotype" w:cs="Palatino Linotype"/>
          <w:b/>
        </w:rPr>
        <w:t>Recurso de revisión.</w:t>
      </w:r>
      <w:r w:rsidRPr="00F83802">
        <w:rPr>
          <w:rFonts w:ascii="Palatino Linotype" w:eastAsia="Palatino Linotype" w:hAnsi="Palatino Linotype" w:cs="Palatino Linotype"/>
        </w:rPr>
        <w:t xml:space="preserve"> El Particular, derivado de la respuesta del </w:t>
      </w:r>
      <w:r w:rsidR="00A73C7A" w:rsidRPr="00F83802">
        <w:rPr>
          <w:rFonts w:ascii="Palatino Linotype" w:eastAsia="Palatino Linotype" w:hAnsi="Palatino Linotype" w:cs="Palatino Linotype"/>
          <w:b/>
        </w:rPr>
        <w:t>Sujeto Obligado</w:t>
      </w:r>
      <w:r w:rsidR="00A73C7A" w:rsidRPr="00F83802">
        <w:rPr>
          <w:rFonts w:ascii="Palatino Linotype" w:eastAsia="Palatino Linotype" w:hAnsi="Palatino Linotype" w:cs="Palatino Linotype"/>
        </w:rPr>
        <w:t xml:space="preserve"> </w:t>
      </w:r>
      <w:r w:rsidRPr="00F83802">
        <w:rPr>
          <w:rFonts w:ascii="Palatino Linotype" w:eastAsia="Palatino Linotype" w:hAnsi="Palatino Linotype" w:cs="Palatino Linotype"/>
        </w:rPr>
        <w:t xml:space="preserve">interpuso Recurso de Revisión a través del </w:t>
      </w:r>
      <w:r w:rsidRPr="00F83802">
        <w:rPr>
          <w:rFonts w:ascii="Palatino Linotype" w:eastAsia="Palatino Linotype" w:hAnsi="Palatino Linotype" w:cs="Palatino Linotype"/>
          <w:b/>
        </w:rPr>
        <w:t>SAIMEX</w:t>
      </w:r>
      <w:r w:rsidR="00E87281" w:rsidRPr="00F83802">
        <w:rPr>
          <w:rFonts w:ascii="Palatino Linotype" w:eastAsia="Palatino Linotype" w:hAnsi="Palatino Linotype" w:cs="Palatino Linotype"/>
        </w:rPr>
        <w:t xml:space="preserve"> en fecha </w:t>
      </w:r>
      <w:r w:rsidR="00E87281" w:rsidRPr="00F83802">
        <w:rPr>
          <w:rFonts w:ascii="Palatino Linotype" w:eastAsia="Palatino Linotype" w:hAnsi="Palatino Linotype" w:cs="Palatino Linotype"/>
          <w:b/>
        </w:rPr>
        <w:t>dos de septiembre</w:t>
      </w:r>
      <w:r w:rsidR="003427ED" w:rsidRPr="00F83802">
        <w:rPr>
          <w:rFonts w:ascii="Palatino Linotype" w:eastAsia="Palatino Linotype" w:hAnsi="Palatino Linotype" w:cs="Palatino Linotype"/>
          <w:b/>
        </w:rPr>
        <w:t xml:space="preserve"> de dos mil veinticinco</w:t>
      </w:r>
      <w:r w:rsidRPr="00F83802">
        <w:rPr>
          <w:rFonts w:ascii="Palatino Linotype" w:eastAsia="Palatino Linotype" w:hAnsi="Palatino Linotype" w:cs="Palatino Linotype"/>
        </w:rPr>
        <w:t>, a través del cual expresó lo siguiente:</w:t>
      </w:r>
    </w:p>
    <w:p w14:paraId="49E49F82" w14:textId="77777777" w:rsidR="00EA0729" w:rsidRPr="00F83802" w:rsidRDefault="00EA0729"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8201250" w14:textId="77777777" w:rsidR="00E87281" w:rsidRPr="00F83802" w:rsidRDefault="00610A2C" w:rsidP="00A73C7A">
      <w:pPr>
        <w:pBdr>
          <w:top w:val="nil"/>
          <w:left w:val="nil"/>
          <w:bottom w:val="nil"/>
          <w:right w:val="nil"/>
          <w:between w:val="nil"/>
        </w:pBdr>
        <w:tabs>
          <w:tab w:val="left" w:pos="851"/>
        </w:tabs>
        <w:spacing w:after="0" w:line="276" w:lineRule="auto"/>
        <w:ind w:left="851" w:right="843"/>
        <w:jc w:val="both"/>
        <w:rPr>
          <w:rFonts w:ascii="Palatino Linotype" w:eastAsia="Palatino Linotype" w:hAnsi="Palatino Linotype" w:cs="Palatino Linotype"/>
          <w:b/>
        </w:rPr>
      </w:pPr>
      <w:r w:rsidRPr="00F83802">
        <w:rPr>
          <w:rFonts w:ascii="Palatino Linotype" w:eastAsia="Palatino Linotype" w:hAnsi="Palatino Linotype" w:cs="Palatino Linotype"/>
          <w:b/>
        </w:rPr>
        <w:t xml:space="preserve">Acto impugnado. </w:t>
      </w:r>
    </w:p>
    <w:p w14:paraId="62C80AF4" w14:textId="416B694B" w:rsidR="00EA0729" w:rsidRPr="00F83802" w:rsidRDefault="007E54BA" w:rsidP="00A73C7A">
      <w:pPr>
        <w:pBdr>
          <w:top w:val="nil"/>
          <w:left w:val="nil"/>
          <w:bottom w:val="nil"/>
          <w:right w:val="nil"/>
          <w:between w:val="nil"/>
        </w:pBdr>
        <w:tabs>
          <w:tab w:val="left" w:pos="851"/>
        </w:tabs>
        <w:spacing w:after="0" w:line="276" w:lineRule="auto"/>
        <w:ind w:left="851" w:right="843"/>
        <w:jc w:val="both"/>
        <w:rPr>
          <w:rFonts w:ascii="Palatino Linotype" w:eastAsia="Palatino Linotype" w:hAnsi="Palatino Linotype" w:cs="Palatino Linotype"/>
          <w:i/>
        </w:rPr>
      </w:pPr>
      <w:r w:rsidRPr="00F83802">
        <w:rPr>
          <w:rFonts w:ascii="Palatino Linotype" w:eastAsia="Palatino Linotype" w:hAnsi="Palatino Linotype" w:cs="Palatino Linotype"/>
          <w:i/>
        </w:rPr>
        <w:t>“</w:t>
      </w:r>
      <w:r w:rsidR="00E87281" w:rsidRPr="00F83802">
        <w:rPr>
          <w:rFonts w:ascii="Palatino Linotype" w:eastAsia="Palatino Linotype" w:hAnsi="Palatino Linotype" w:cs="Palatino Linotype"/>
          <w:i/>
        </w:rPr>
        <w:t>Comentan que de acuerdo con lo que menciona el artículo 31 de la Ley Organica Municipal del Estado de México no podrá exceder más de 3 meses, los cuales ahí venden bebidas alchololicas en el cual adjunto evidencia, y el negocio esta abierto desde enero del año actual; en el cual estan demostrando su corrupcion por ser el negocio de la hermana de la disque coordinadora del comercio y además es super despota.</w:t>
      </w:r>
      <w:r w:rsidR="00610A2C" w:rsidRPr="00F83802">
        <w:rPr>
          <w:rFonts w:ascii="Palatino Linotype" w:eastAsia="Palatino Linotype" w:hAnsi="Palatino Linotype" w:cs="Palatino Linotype"/>
          <w:i/>
        </w:rPr>
        <w:t>”.</w:t>
      </w:r>
    </w:p>
    <w:p w14:paraId="2F590C7B" w14:textId="77777777" w:rsidR="00EA0729" w:rsidRPr="00F83802" w:rsidRDefault="00EA0729" w:rsidP="00A73C7A">
      <w:pPr>
        <w:pBdr>
          <w:top w:val="nil"/>
          <w:left w:val="nil"/>
          <w:bottom w:val="nil"/>
          <w:right w:val="nil"/>
          <w:between w:val="nil"/>
        </w:pBdr>
        <w:tabs>
          <w:tab w:val="left" w:pos="851"/>
          <w:tab w:val="left" w:pos="993"/>
        </w:tabs>
        <w:spacing w:after="0" w:line="276" w:lineRule="auto"/>
        <w:ind w:left="851" w:right="843"/>
        <w:jc w:val="both"/>
        <w:rPr>
          <w:rFonts w:ascii="Palatino Linotype" w:eastAsia="Palatino Linotype" w:hAnsi="Palatino Linotype" w:cs="Palatino Linotype"/>
          <w:b/>
        </w:rPr>
      </w:pPr>
    </w:p>
    <w:p w14:paraId="50B3411B" w14:textId="77777777" w:rsidR="00E87281" w:rsidRPr="00F83802" w:rsidRDefault="00610A2C" w:rsidP="00A73C7A">
      <w:pPr>
        <w:pBdr>
          <w:top w:val="nil"/>
          <w:left w:val="nil"/>
          <w:bottom w:val="nil"/>
          <w:right w:val="nil"/>
          <w:between w:val="nil"/>
        </w:pBdr>
        <w:tabs>
          <w:tab w:val="left" w:pos="709"/>
          <w:tab w:val="left" w:pos="851"/>
        </w:tabs>
        <w:spacing w:after="0" w:line="276" w:lineRule="auto"/>
        <w:ind w:left="851" w:right="843"/>
        <w:jc w:val="both"/>
        <w:rPr>
          <w:rFonts w:ascii="Palatino Linotype" w:eastAsia="Palatino Linotype" w:hAnsi="Palatino Linotype" w:cs="Palatino Linotype"/>
          <w:b/>
        </w:rPr>
      </w:pPr>
      <w:r w:rsidRPr="00F83802">
        <w:rPr>
          <w:rFonts w:ascii="Palatino Linotype" w:eastAsia="Palatino Linotype" w:hAnsi="Palatino Linotype" w:cs="Palatino Linotype"/>
          <w:b/>
        </w:rPr>
        <w:t xml:space="preserve">Razones o motivos de la inconformidad: </w:t>
      </w:r>
    </w:p>
    <w:p w14:paraId="06409C5C" w14:textId="07D58101" w:rsidR="00EA0729" w:rsidRPr="00F83802" w:rsidRDefault="00610A2C" w:rsidP="00A73C7A">
      <w:pPr>
        <w:pBdr>
          <w:top w:val="nil"/>
          <w:left w:val="nil"/>
          <w:bottom w:val="nil"/>
          <w:right w:val="nil"/>
          <w:between w:val="nil"/>
        </w:pBdr>
        <w:tabs>
          <w:tab w:val="left" w:pos="709"/>
          <w:tab w:val="left" w:pos="851"/>
        </w:tabs>
        <w:spacing w:after="0" w:line="276" w:lineRule="auto"/>
        <w:ind w:left="851" w:right="843"/>
        <w:jc w:val="both"/>
        <w:rPr>
          <w:rFonts w:ascii="Palatino Linotype" w:eastAsia="Palatino Linotype" w:hAnsi="Palatino Linotype" w:cs="Palatino Linotype"/>
          <w:i/>
        </w:rPr>
      </w:pPr>
      <w:r w:rsidRPr="00F83802">
        <w:rPr>
          <w:rFonts w:ascii="Palatino Linotype" w:eastAsia="Palatino Linotype" w:hAnsi="Palatino Linotype" w:cs="Palatino Linotype"/>
          <w:i/>
        </w:rPr>
        <w:t>“</w:t>
      </w:r>
      <w:r w:rsidR="00E87281" w:rsidRPr="00F83802">
        <w:rPr>
          <w:rFonts w:ascii="Palatino Linotype" w:eastAsia="Palatino Linotype" w:hAnsi="Palatino Linotype" w:cs="Palatino Linotype"/>
          <w:i/>
        </w:rPr>
        <w:t>No son congruentes con el trámite y con el fundamento que establecen en el tiempo.</w:t>
      </w:r>
      <w:r w:rsidR="007E54BA" w:rsidRPr="00F83802">
        <w:rPr>
          <w:rFonts w:ascii="Palatino Linotype" w:eastAsia="Palatino Linotype" w:hAnsi="Palatino Linotype" w:cs="Palatino Linotype"/>
          <w:i/>
        </w:rPr>
        <w:t xml:space="preserve">”. </w:t>
      </w:r>
    </w:p>
    <w:p w14:paraId="77BB2872" w14:textId="77777777" w:rsidR="00EA0729" w:rsidRPr="00F83802" w:rsidRDefault="00EA0729" w:rsidP="00BB6C45">
      <w:pPr>
        <w:spacing w:after="0" w:line="360" w:lineRule="auto"/>
        <w:ind w:right="49"/>
        <w:jc w:val="both"/>
        <w:rPr>
          <w:rFonts w:ascii="Palatino Linotype" w:eastAsia="Palatino Linotype" w:hAnsi="Palatino Linotype" w:cs="Palatino Linotype"/>
        </w:rPr>
      </w:pPr>
    </w:p>
    <w:p w14:paraId="620B9200" w14:textId="5EED0C0B" w:rsidR="00EA0729" w:rsidRPr="00F83802" w:rsidRDefault="00610A2C" w:rsidP="00BB6C4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3802">
        <w:rPr>
          <w:rFonts w:ascii="Palatino Linotype" w:eastAsia="Palatino Linotype" w:hAnsi="Palatino Linotype" w:cs="Palatino Linotype"/>
          <w:b/>
        </w:rPr>
        <w:t>Turno.</w:t>
      </w:r>
      <w:r w:rsidRPr="00F83802">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E87281" w:rsidRPr="00F83802">
        <w:rPr>
          <w:rFonts w:ascii="Palatino Linotype" w:eastAsia="Palatino Linotype" w:hAnsi="Palatino Linotype" w:cs="Palatino Linotype"/>
          <w:b/>
        </w:rPr>
        <w:t>10349</w:t>
      </w:r>
      <w:r w:rsidR="003427ED" w:rsidRPr="00F83802">
        <w:rPr>
          <w:rFonts w:ascii="Palatino Linotype" w:eastAsia="Palatino Linotype" w:hAnsi="Palatino Linotype" w:cs="Palatino Linotype"/>
          <w:b/>
        </w:rPr>
        <w:t>/INFOEM/IP/RR/2025</w:t>
      </w:r>
      <w:r w:rsidRPr="00F83802">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0ECFC1D" w14:textId="77777777" w:rsidR="00EA0729" w:rsidRPr="00F83802" w:rsidRDefault="00EA0729"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90D6E0" w14:textId="3D3C72FE" w:rsidR="00EA0729" w:rsidRPr="00F83802" w:rsidRDefault="00610A2C" w:rsidP="00BB6C4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3802">
        <w:rPr>
          <w:rFonts w:ascii="Palatino Linotype" w:eastAsia="Palatino Linotype" w:hAnsi="Palatino Linotype" w:cs="Palatino Linotype"/>
          <w:b/>
        </w:rPr>
        <w:t>Admisión del recurso de revisión</w:t>
      </w:r>
      <w:r w:rsidR="001C5F12" w:rsidRPr="00F83802">
        <w:rPr>
          <w:rFonts w:ascii="Palatino Linotype" w:eastAsia="Palatino Linotype" w:hAnsi="Palatino Linotype" w:cs="Palatino Linotype"/>
        </w:rPr>
        <w:t xml:space="preserve">: En fecha </w:t>
      </w:r>
      <w:r w:rsidR="00E87281" w:rsidRPr="00F83802">
        <w:rPr>
          <w:rFonts w:ascii="Palatino Linotype" w:eastAsia="Palatino Linotype" w:hAnsi="Palatino Linotype" w:cs="Palatino Linotype"/>
          <w:b/>
        </w:rPr>
        <w:t>cinco de septiembre</w:t>
      </w:r>
      <w:r w:rsidR="003427ED" w:rsidRPr="00F83802">
        <w:rPr>
          <w:rFonts w:ascii="Palatino Linotype" w:eastAsia="Palatino Linotype" w:hAnsi="Palatino Linotype" w:cs="Palatino Linotype"/>
          <w:b/>
        </w:rPr>
        <w:t xml:space="preserve"> de dos mil veinticinco</w:t>
      </w:r>
      <w:r w:rsidRPr="00F83802">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5903069" w14:textId="77777777" w:rsidR="00EA0729" w:rsidRPr="00F83802" w:rsidRDefault="00EA0729" w:rsidP="00BB6C45">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8FFB29D" w14:textId="77777777" w:rsidR="005A4124" w:rsidRPr="00F83802" w:rsidRDefault="003427ED" w:rsidP="00BB6C4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3802">
        <w:rPr>
          <w:rFonts w:ascii="Palatino Linotype" w:eastAsia="Palatino Linotype" w:hAnsi="Palatino Linotype" w:cs="Palatino Linotype"/>
          <w:b/>
        </w:rPr>
        <w:t>Manifestaciones</w:t>
      </w:r>
      <w:r w:rsidR="00610A2C" w:rsidRPr="00F83802">
        <w:rPr>
          <w:rFonts w:ascii="Palatino Linotype" w:eastAsia="Palatino Linotype" w:hAnsi="Palatino Linotype" w:cs="Palatino Linotype"/>
          <w:b/>
        </w:rPr>
        <w:t xml:space="preserve">. </w:t>
      </w:r>
      <w:r w:rsidRPr="00F83802">
        <w:rPr>
          <w:rFonts w:ascii="Palatino Linotype" w:eastAsia="Palatino Linotype" w:hAnsi="Palatino Linotype" w:cs="Palatino Linotype"/>
        </w:rPr>
        <w:t>Las partes fueron omisas en rendir manifestaciones.</w:t>
      </w:r>
    </w:p>
    <w:p w14:paraId="4DD1CF5F" w14:textId="36416E8F" w:rsidR="00E87281" w:rsidRPr="00F83802" w:rsidRDefault="00E87281" w:rsidP="00BB6C45">
      <w:pPr>
        <w:pStyle w:val="Prrafodelista"/>
        <w:spacing w:after="0"/>
        <w:rPr>
          <w:rFonts w:ascii="Palatino Linotype" w:eastAsia="Palatino Linotype" w:hAnsi="Palatino Linotype" w:cs="Palatino Linotype"/>
        </w:rPr>
      </w:pPr>
      <w:r w:rsidRPr="00F83802">
        <w:rPr>
          <w:rFonts w:ascii="Palatino Linotype" w:eastAsia="Palatino Linotype" w:hAnsi="Palatino Linotype" w:cs="Palatino Linotype"/>
          <w:noProof/>
        </w:rPr>
        <w:drawing>
          <wp:inline distT="0" distB="0" distL="0" distR="0" wp14:anchorId="073B3C25" wp14:editId="5F4A1AF2">
            <wp:extent cx="4732937" cy="1057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51263" cy="1061369"/>
                    </a:xfrm>
                    <a:prstGeom prst="rect">
                      <a:avLst/>
                    </a:prstGeom>
                  </pic:spPr>
                </pic:pic>
              </a:graphicData>
            </a:graphic>
          </wp:inline>
        </w:drawing>
      </w:r>
    </w:p>
    <w:p w14:paraId="29236EE3" w14:textId="77777777" w:rsidR="00A73C7A" w:rsidRPr="00F83802" w:rsidRDefault="00A73C7A" w:rsidP="00BB6C45">
      <w:pPr>
        <w:pStyle w:val="Prrafodelista"/>
        <w:spacing w:after="0"/>
        <w:rPr>
          <w:rFonts w:ascii="Palatino Linotype" w:eastAsia="Palatino Linotype" w:hAnsi="Palatino Linotype" w:cs="Palatino Linotype"/>
        </w:rPr>
      </w:pPr>
    </w:p>
    <w:p w14:paraId="475A5B3A" w14:textId="55D68D49" w:rsidR="005A4124" w:rsidRPr="00F83802" w:rsidRDefault="005A4124" w:rsidP="00BB6C4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3802">
        <w:rPr>
          <w:rFonts w:ascii="Palatino Linotype" w:eastAsia="Palatino Linotype" w:hAnsi="Palatino Linotype" w:cs="Palatino Linotype"/>
          <w:b/>
        </w:rPr>
        <w:t xml:space="preserve">Ampliación de plazo. </w:t>
      </w:r>
      <w:r w:rsidRPr="00F83802">
        <w:rPr>
          <w:rFonts w:ascii="Palatino Linotype" w:eastAsia="Palatino Linotype" w:hAnsi="Palatino Linotype" w:cs="Palatino Linotype"/>
        </w:rPr>
        <w:t xml:space="preserve">El </w:t>
      </w:r>
      <w:r w:rsidR="00BC7B7D" w:rsidRPr="00F83802">
        <w:rPr>
          <w:rFonts w:ascii="Palatino Linotype" w:eastAsia="Palatino Linotype" w:hAnsi="Palatino Linotype" w:cs="Palatino Linotype"/>
          <w:b/>
        </w:rPr>
        <w:t>catorce de enero de dos mil veintiséis</w:t>
      </w:r>
      <w:r w:rsidRPr="00F83802">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06A95DC"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p>
    <w:p w14:paraId="4404184D" w14:textId="77777777" w:rsidR="005A4124" w:rsidRPr="00F83802" w:rsidRDefault="005A4124" w:rsidP="00BB6C45">
      <w:pP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2513B8"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 </w:t>
      </w:r>
    </w:p>
    <w:p w14:paraId="65725A33" w14:textId="77777777" w:rsidR="005A4124" w:rsidRPr="00F83802" w:rsidRDefault="005A4124" w:rsidP="00BB6C45">
      <w:pP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FB4724"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p>
    <w:p w14:paraId="38E53082" w14:textId="77777777" w:rsidR="005A4124" w:rsidRPr="00F83802" w:rsidRDefault="005A4124" w:rsidP="00BB6C45">
      <w:pP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82AB97"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p>
    <w:p w14:paraId="6EFD9AD1" w14:textId="77777777" w:rsidR="005A4124" w:rsidRPr="00F83802" w:rsidRDefault="005A4124" w:rsidP="00BB6C45">
      <w:pP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293166"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p>
    <w:p w14:paraId="5158D811" w14:textId="77777777" w:rsidR="005A4124" w:rsidRPr="00F83802" w:rsidRDefault="005A4124" w:rsidP="00BB6C45">
      <w:pP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865DEFD"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p>
    <w:p w14:paraId="57286F71" w14:textId="77777777" w:rsidR="005A4124" w:rsidRPr="00F83802" w:rsidRDefault="005A4124" w:rsidP="00BB6C45">
      <w:pPr>
        <w:tabs>
          <w:tab w:val="left" w:pos="709"/>
        </w:tabs>
        <w:spacing w:after="0" w:line="360" w:lineRule="auto"/>
        <w:ind w:left="360" w:right="560"/>
        <w:jc w:val="both"/>
        <w:rPr>
          <w:rFonts w:ascii="Palatino Linotype" w:eastAsia="Palatino Linotype" w:hAnsi="Palatino Linotype" w:cs="Palatino Linotype"/>
        </w:rPr>
      </w:pPr>
      <w:r w:rsidRPr="00F83802">
        <w:rPr>
          <w:rFonts w:ascii="Palatino Linotype" w:eastAsia="Palatino Linotype" w:hAnsi="Palatino Linotype" w:cs="Palatino Linotype"/>
          <w:b/>
        </w:rPr>
        <w:t>a)    Complejidad del asunto:</w:t>
      </w:r>
      <w:r w:rsidRPr="00F83802">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5483298" w14:textId="77777777" w:rsidR="005A4124" w:rsidRPr="00F83802" w:rsidRDefault="005A4124" w:rsidP="00BB6C45">
      <w:pPr>
        <w:tabs>
          <w:tab w:val="left" w:pos="709"/>
        </w:tabs>
        <w:spacing w:after="0" w:line="360" w:lineRule="auto"/>
        <w:ind w:left="360" w:right="560"/>
        <w:jc w:val="both"/>
        <w:rPr>
          <w:rFonts w:ascii="Palatino Linotype" w:eastAsia="Palatino Linotype" w:hAnsi="Palatino Linotype" w:cs="Palatino Linotype"/>
        </w:rPr>
      </w:pPr>
      <w:r w:rsidRPr="00F83802">
        <w:rPr>
          <w:rFonts w:ascii="Palatino Linotype" w:eastAsia="Palatino Linotype" w:hAnsi="Palatino Linotype" w:cs="Palatino Linotype"/>
          <w:b/>
        </w:rPr>
        <w:t>b)   Actividad Procesal del interesado</w:t>
      </w:r>
      <w:r w:rsidRPr="00F83802">
        <w:rPr>
          <w:rFonts w:ascii="Palatino Linotype" w:eastAsia="Palatino Linotype" w:hAnsi="Palatino Linotype" w:cs="Palatino Linotype"/>
        </w:rPr>
        <w:t>: Acciones u omisiones del interesado.</w:t>
      </w:r>
    </w:p>
    <w:p w14:paraId="7DC9C450" w14:textId="77777777" w:rsidR="005A4124" w:rsidRPr="00F83802" w:rsidRDefault="005A4124" w:rsidP="00BB6C45">
      <w:pPr>
        <w:tabs>
          <w:tab w:val="left" w:pos="851"/>
        </w:tabs>
        <w:spacing w:after="0" w:line="360" w:lineRule="auto"/>
        <w:ind w:left="360" w:right="560"/>
        <w:jc w:val="both"/>
        <w:rPr>
          <w:rFonts w:ascii="Palatino Linotype" w:eastAsia="Palatino Linotype" w:hAnsi="Palatino Linotype" w:cs="Palatino Linotype"/>
        </w:rPr>
      </w:pPr>
      <w:r w:rsidRPr="00F83802">
        <w:rPr>
          <w:rFonts w:ascii="Palatino Linotype" w:eastAsia="Palatino Linotype" w:hAnsi="Palatino Linotype" w:cs="Palatino Linotype"/>
          <w:b/>
        </w:rPr>
        <w:t>c)  Conducta de la Autoridad:</w:t>
      </w:r>
      <w:r w:rsidRPr="00F83802">
        <w:rPr>
          <w:rFonts w:ascii="Palatino Linotype" w:eastAsia="Palatino Linotype" w:hAnsi="Palatino Linotype" w:cs="Palatino Linotype"/>
        </w:rPr>
        <w:t xml:space="preserve"> Las Acciones u omisiones realizadas en el procedimiento. Así como si la autoridad actuó con la debida diligencia.</w:t>
      </w:r>
    </w:p>
    <w:p w14:paraId="407D1BC3" w14:textId="77777777" w:rsidR="005A4124" w:rsidRPr="00F83802" w:rsidRDefault="005A4124" w:rsidP="00BB6C45">
      <w:pPr>
        <w:tabs>
          <w:tab w:val="left" w:pos="851"/>
        </w:tabs>
        <w:spacing w:after="0" w:line="360" w:lineRule="auto"/>
        <w:ind w:left="360" w:right="560"/>
        <w:jc w:val="both"/>
        <w:rPr>
          <w:rFonts w:ascii="Palatino Linotype" w:eastAsia="Palatino Linotype" w:hAnsi="Palatino Linotype" w:cs="Palatino Linotype"/>
        </w:rPr>
      </w:pPr>
      <w:r w:rsidRPr="00F83802">
        <w:rPr>
          <w:rFonts w:ascii="Palatino Linotype" w:eastAsia="Palatino Linotype" w:hAnsi="Palatino Linotype" w:cs="Palatino Linotype"/>
          <w:b/>
        </w:rPr>
        <w:t>d) La afectación generada en la situación jurídica de la persona involucrada en el proceso:</w:t>
      </w:r>
      <w:r w:rsidRPr="00F83802">
        <w:rPr>
          <w:rFonts w:ascii="Palatino Linotype" w:eastAsia="Palatino Linotype" w:hAnsi="Palatino Linotype" w:cs="Palatino Linotype"/>
        </w:rPr>
        <w:t xml:space="preserve"> Violación a sus derechos humanos.</w:t>
      </w:r>
    </w:p>
    <w:p w14:paraId="1A9ED47E"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p>
    <w:p w14:paraId="5A4AB8A5"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r w:rsidRPr="00F8380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9A67BB"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 </w:t>
      </w:r>
    </w:p>
    <w:p w14:paraId="618A704F"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r w:rsidRPr="00F83802">
        <w:rPr>
          <w:rFonts w:ascii="Palatino Linotype" w:eastAsia="Palatino Linotype" w:hAnsi="Palatino Linotype" w:cs="Palatino Linotype"/>
        </w:rPr>
        <w:t>Argumento que encuentra sustento en la jurisprudencia P./J. 32/92 emitida por el Pleno de la Suprema Corte de Justicia de la Nación de rubro “</w:t>
      </w:r>
      <w:r w:rsidRPr="00F83802">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F83802">
        <w:rPr>
          <w:rFonts w:ascii="Palatino Linotype" w:eastAsia="Palatino Linotype" w:hAnsi="Palatino Linotype" w:cs="Palatino Linotype"/>
        </w:rPr>
        <w:t>, visible en la Gaceta del Seminario Judicial de la Federación con el registro digital 205635.</w:t>
      </w:r>
    </w:p>
    <w:p w14:paraId="17037ED0"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 </w:t>
      </w:r>
    </w:p>
    <w:p w14:paraId="7C24AB8E"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r w:rsidRPr="00F8380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D6570E"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p>
    <w:p w14:paraId="2AD6804A" w14:textId="77777777" w:rsidR="005A4124" w:rsidRPr="00F83802" w:rsidRDefault="005A4124" w:rsidP="00BB6C45">
      <w:pP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2046650" w14:textId="77777777" w:rsidR="005A4124" w:rsidRPr="00F83802" w:rsidRDefault="005A4124" w:rsidP="00BB6C45">
      <w:pPr>
        <w:spacing w:after="0" w:line="360" w:lineRule="auto"/>
        <w:ind w:left="360" w:right="49"/>
        <w:jc w:val="both"/>
        <w:rPr>
          <w:rFonts w:ascii="Palatino Linotype" w:eastAsia="Palatino Linotype" w:hAnsi="Palatino Linotype" w:cs="Palatino Linotype"/>
        </w:rPr>
      </w:pPr>
    </w:p>
    <w:p w14:paraId="7DD5ACDA" w14:textId="77777777" w:rsidR="005A4124" w:rsidRPr="00F83802" w:rsidRDefault="005A4124" w:rsidP="00BB6C45">
      <w:pPr>
        <w:pStyle w:val="Prrafodelista"/>
        <w:spacing w:after="0" w:line="360" w:lineRule="auto"/>
        <w:ind w:right="560"/>
        <w:jc w:val="both"/>
        <w:rPr>
          <w:rFonts w:ascii="Palatino Linotype" w:eastAsia="Palatino Linotype" w:hAnsi="Palatino Linotype" w:cs="Palatino Linotype"/>
        </w:rPr>
      </w:pPr>
      <w:r w:rsidRPr="00F83802">
        <w:rPr>
          <w:rFonts w:ascii="Palatino Linotype" w:eastAsia="Palatino Linotype" w:hAnsi="Palatino Linotype" w:cs="Palatino Linotype"/>
          <w:b/>
        </w:rPr>
        <w:t xml:space="preserve"> “PLAZO RAZONABLE PARA RESOLVER. DIMENSIÓN Y EFECTOS DE ESTE CONCEPTO CUANDO SE ADUCE EXCESIVA CARGA DE TRABAJO.”</w:t>
      </w:r>
      <w:r w:rsidRPr="00F83802">
        <w:rPr>
          <w:rFonts w:ascii="Palatino Linotype" w:eastAsia="Palatino Linotype" w:hAnsi="Palatino Linotype" w:cs="Palatino Linotype"/>
        </w:rPr>
        <w:t xml:space="preserve"> consultable en el Seminario Judicial de la Federación y su gaceta, con el registro digital 2002351.</w:t>
      </w:r>
    </w:p>
    <w:p w14:paraId="09552455" w14:textId="77777777" w:rsidR="005A4124" w:rsidRPr="00F83802" w:rsidRDefault="005A4124" w:rsidP="00BB6C45">
      <w:pPr>
        <w:pStyle w:val="Prrafodelista"/>
        <w:spacing w:after="0" w:line="360" w:lineRule="auto"/>
        <w:ind w:right="560"/>
        <w:jc w:val="both"/>
        <w:rPr>
          <w:rFonts w:ascii="Palatino Linotype" w:eastAsia="Palatino Linotype" w:hAnsi="Palatino Linotype" w:cs="Palatino Linotype"/>
        </w:rPr>
      </w:pPr>
    </w:p>
    <w:p w14:paraId="225F821C" w14:textId="77777777" w:rsidR="005A4124" w:rsidRPr="00F83802" w:rsidRDefault="005A4124" w:rsidP="00BB6C45">
      <w:pPr>
        <w:pStyle w:val="Prrafodelista"/>
        <w:spacing w:after="0" w:line="360" w:lineRule="auto"/>
        <w:ind w:right="560"/>
        <w:jc w:val="both"/>
        <w:rPr>
          <w:rFonts w:ascii="Palatino Linotype" w:eastAsia="Palatino Linotype" w:hAnsi="Palatino Linotype" w:cs="Palatino Linotype"/>
        </w:rPr>
      </w:pPr>
      <w:r w:rsidRPr="00F83802">
        <w:rPr>
          <w:rFonts w:ascii="Palatino Linotype" w:eastAsia="Palatino Linotype" w:hAnsi="Palatino Linotype" w:cs="Palatino Linotype"/>
          <w:b/>
        </w:rPr>
        <w:t>“PLAZO RAZONABLE PARA RESOLVER. CONCEPTO Y ELEMENTOS QUE LO INTEGRAN A LA LUZ DEL DERECHO INTERNACIONAL DE LOS DERECHOS HUMANOS.”,</w:t>
      </w:r>
      <w:r w:rsidRPr="00F83802">
        <w:rPr>
          <w:rFonts w:ascii="Palatino Linotype" w:eastAsia="Palatino Linotype" w:hAnsi="Palatino Linotype" w:cs="Palatino Linotype"/>
        </w:rPr>
        <w:t xml:space="preserve"> visible en el Seminario Judicial de la Federación y su gaceta, con el registro digital 2002350.</w:t>
      </w:r>
    </w:p>
    <w:p w14:paraId="1D073AFB" w14:textId="77777777" w:rsidR="005A4124" w:rsidRPr="00F83802" w:rsidRDefault="005A4124" w:rsidP="00BB6C45">
      <w:pPr>
        <w:pStyle w:val="Prrafodelista"/>
        <w:spacing w:after="0" w:line="360" w:lineRule="auto"/>
        <w:ind w:right="560"/>
        <w:jc w:val="both"/>
        <w:rPr>
          <w:rFonts w:ascii="Palatino Linotype" w:eastAsia="Palatino Linotype" w:hAnsi="Palatino Linotype" w:cs="Palatino Linotype"/>
        </w:rPr>
      </w:pPr>
    </w:p>
    <w:p w14:paraId="2DE50E17" w14:textId="722F3E9A" w:rsidR="005A4124" w:rsidRPr="00F83802" w:rsidRDefault="005A4124"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396E6F19" w14:textId="77777777" w:rsidR="005A4124" w:rsidRPr="00F83802" w:rsidRDefault="005A4124"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FD2AEDC" w14:textId="7718700A" w:rsidR="00EA0729" w:rsidRPr="00F83802" w:rsidRDefault="00610A2C" w:rsidP="00BB6C4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3802">
        <w:rPr>
          <w:rFonts w:ascii="Palatino Linotype" w:eastAsia="Palatino Linotype" w:hAnsi="Palatino Linotype" w:cs="Palatino Linotype"/>
          <w:b/>
        </w:rPr>
        <w:t>Cierre de instrucción</w:t>
      </w:r>
      <w:r w:rsidR="005A4124" w:rsidRPr="00F83802">
        <w:rPr>
          <w:rFonts w:ascii="Palatino Linotype" w:eastAsia="Palatino Linotype" w:hAnsi="Palatino Linotype" w:cs="Palatino Linotype"/>
        </w:rPr>
        <w:t xml:space="preserve">. En fecha </w:t>
      </w:r>
      <w:r w:rsidR="00BC7B7D" w:rsidRPr="00F83802">
        <w:rPr>
          <w:rFonts w:ascii="Palatino Linotype" w:eastAsia="Palatino Linotype" w:hAnsi="Palatino Linotype" w:cs="Palatino Linotype"/>
          <w:b/>
        </w:rPr>
        <w:t>catorce de enero</w:t>
      </w:r>
      <w:r w:rsidR="003427ED" w:rsidRPr="00F83802">
        <w:rPr>
          <w:rFonts w:ascii="Palatino Linotype" w:eastAsia="Palatino Linotype" w:hAnsi="Palatino Linotype" w:cs="Palatino Linotype"/>
          <w:b/>
        </w:rPr>
        <w:t xml:space="preserve"> de dos mil </w:t>
      </w:r>
      <w:r w:rsidR="00BC7B7D" w:rsidRPr="00F83802">
        <w:rPr>
          <w:rFonts w:ascii="Palatino Linotype" w:eastAsia="Palatino Linotype" w:hAnsi="Palatino Linotype" w:cs="Palatino Linotype"/>
          <w:b/>
        </w:rPr>
        <w:t>veintiséis</w:t>
      </w:r>
      <w:r w:rsidRPr="00F8380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DCA50C9" w14:textId="77777777" w:rsidR="00694449" w:rsidRPr="00F83802" w:rsidRDefault="00694449"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6FB346F" w14:textId="12CB84AB" w:rsidR="00610A2C" w:rsidRPr="00F83802" w:rsidRDefault="00610A2C" w:rsidP="00BB6C45">
      <w:pP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1DD1BE8" w14:textId="77777777" w:rsidR="00694449" w:rsidRPr="00F83802" w:rsidRDefault="00694449"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CC37721" w14:textId="77777777" w:rsidR="00EA0729" w:rsidRPr="00F83802" w:rsidRDefault="00610A2C" w:rsidP="00BB6C45">
      <w:pPr>
        <w:spacing w:after="0" w:line="360" w:lineRule="auto"/>
        <w:ind w:right="49"/>
        <w:jc w:val="center"/>
        <w:rPr>
          <w:rFonts w:ascii="Palatino Linotype" w:eastAsia="Palatino Linotype" w:hAnsi="Palatino Linotype" w:cs="Palatino Linotype"/>
          <w:b/>
        </w:rPr>
      </w:pPr>
      <w:r w:rsidRPr="00F83802">
        <w:rPr>
          <w:rFonts w:ascii="Palatino Linotype" w:eastAsia="Palatino Linotype" w:hAnsi="Palatino Linotype" w:cs="Palatino Linotype"/>
          <w:b/>
        </w:rPr>
        <w:t>II.</w:t>
      </w:r>
      <w:r w:rsidRPr="00F83802">
        <w:rPr>
          <w:rFonts w:ascii="Palatino Linotype" w:eastAsia="Palatino Linotype" w:hAnsi="Palatino Linotype" w:cs="Palatino Linotype"/>
          <w:b/>
        </w:rPr>
        <w:tab/>
        <w:t>C O N S I D E R A N D O:</w:t>
      </w:r>
    </w:p>
    <w:p w14:paraId="61BDED0D" w14:textId="77777777" w:rsidR="00EA0729" w:rsidRPr="00F83802" w:rsidRDefault="00EA0729" w:rsidP="00BB6C45">
      <w:pPr>
        <w:spacing w:after="0" w:line="360" w:lineRule="auto"/>
        <w:ind w:right="49"/>
        <w:jc w:val="both"/>
        <w:rPr>
          <w:rFonts w:ascii="Palatino Linotype" w:eastAsia="Palatino Linotype" w:hAnsi="Palatino Linotype" w:cs="Palatino Linotype"/>
        </w:rPr>
      </w:pPr>
    </w:p>
    <w:p w14:paraId="361D57E9" w14:textId="5869B153" w:rsidR="000F1BF8" w:rsidRPr="00F83802" w:rsidRDefault="000F1BF8" w:rsidP="00BB6C45">
      <w:pPr>
        <w:spacing w:after="0" w:line="360" w:lineRule="auto"/>
        <w:jc w:val="both"/>
        <w:rPr>
          <w:rFonts w:ascii="Palatino Linotype" w:eastAsia="Palatino Linotype" w:hAnsi="Palatino Linotype" w:cs="Palatino Linotype"/>
        </w:rPr>
      </w:pPr>
      <w:r w:rsidRPr="00F83802">
        <w:rPr>
          <w:rFonts w:ascii="Palatino Linotype" w:eastAsia="Palatino Linotype" w:hAnsi="Palatino Linotype" w:cs="Palatino Linotype"/>
          <w:b/>
        </w:rPr>
        <w:t>Primero. Competencia.</w:t>
      </w:r>
      <w:r w:rsidRPr="00F8380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8231E2" w:rsidRPr="00F83802">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F83802">
        <w:rPr>
          <w:rFonts w:ascii="Palatino Linotype" w:eastAsia="Palatino Linotype" w:hAnsi="Palatino Linotype" w:cs="Palatino Linotype"/>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0E6586" w14:textId="223F0891" w:rsidR="000F1BF8" w:rsidRPr="00F83802" w:rsidRDefault="000F1BF8" w:rsidP="00BB6C45">
      <w:pPr>
        <w:spacing w:after="0" w:line="360" w:lineRule="auto"/>
        <w:jc w:val="both"/>
        <w:rPr>
          <w:rFonts w:ascii="Palatino Linotype" w:eastAsia="Palatino Linotype" w:hAnsi="Palatino Linotype" w:cs="Palatino Linotype"/>
        </w:rPr>
      </w:pPr>
    </w:p>
    <w:p w14:paraId="566937FD" w14:textId="77777777" w:rsidR="00EA0729" w:rsidRPr="00F83802" w:rsidRDefault="00610A2C" w:rsidP="00BB6C45">
      <w:pPr>
        <w:spacing w:after="0" w:line="360" w:lineRule="auto"/>
        <w:jc w:val="both"/>
        <w:rPr>
          <w:rFonts w:ascii="Palatino Linotype" w:eastAsia="Palatino Linotype" w:hAnsi="Palatino Linotype" w:cs="Palatino Linotype"/>
        </w:rPr>
      </w:pPr>
      <w:r w:rsidRPr="00F83802">
        <w:rPr>
          <w:rFonts w:ascii="Palatino Linotype" w:eastAsia="Palatino Linotype" w:hAnsi="Palatino Linotype" w:cs="Palatino Linotype"/>
          <w:b/>
        </w:rPr>
        <w:t>Segundo. Oportunidad y Procedibilidad del Recurso de Revisión</w:t>
      </w:r>
      <w:r w:rsidRPr="00F8380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D95C6D8" w14:textId="77777777" w:rsidR="00EA0729" w:rsidRPr="00F83802" w:rsidRDefault="00EA0729" w:rsidP="00BB6C45">
      <w:pPr>
        <w:spacing w:after="0" w:line="360" w:lineRule="auto"/>
        <w:jc w:val="both"/>
        <w:rPr>
          <w:rFonts w:ascii="Palatino Linotype" w:eastAsia="Palatino Linotype" w:hAnsi="Palatino Linotype" w:cs="Palatino Linotype"/>
        </w:rPr>
      </w:pPr>
    </w:p>
    <w:p w14:paraId="15FA0F75" w14:textId="02F5A651" w:rsidR="00EA0729" w:rsidRPr="00F83802" w:rsidRDefault="00610A2C" w:rsidP="00BB6C45">
      <w:pPr>
        <w:spacing w:after="0" w:line="360" w:lineRule="auto"/>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w:t>
      </w:r>
      <w:r w:rsidR="00694449" w:rsidRPr="00F83802">
        <w:rPr>
          <w:rFonts w:ascii="Palatino Linotype" w:eastAsia="Palatino Linotype" w:hAnsi="Palatino Linotype" w:cs="Palatino Linotype"/>
        </w:rPr>
        <w:t xml:space="preserve">México y Municipios, toda vez que el </w:t>
      </w:r>
      <w:r w:rsidR="008231E2" w:rsidRPr="00F83802">
        <w:rPr>
          <w:rFonts w:ascii="Palatino Linotype" w:eastAsia="Palatino Linotype" w:hAnsi="Palatino Linotype" w:cs="Palatino Linotype"/>
          <w:b/>
        </w:rPr>
        <w:t>veinticinco de agosto</w:t>
      </w:r>
      <w:r w:rsidR="003427ED" w:rsidRPr="00F83802">
        <w:rPr>
          <w:rFonts w:ascii="Palatino Linotype" w:eastAsia="Palatino Linotype" w:hAnsi="Palatino Linotype" w:cs="Palatino Linotype"/>
          <w:b/>
        </w:rPr>
        <w:t xml:space="preserve"> de dos mil veinticinco</w:t>
      </w:r>
      <w:r w:rsidRPr="00F83802">
        <w:rPr>
          <w:rFonts w:ascii="Palatino Linotype" w:eastAsia="Palatino Linotype" w:hAnsi="Palatino Linotype" w:cs="Palatino Linotype"/>
        </w:rPr>
        <w:t>,</w:t>
      </w:r>
      <w:r w:rsidRPr="00F83802">
        <w:rPr>
          <w:rFonts w:ascii="Palatino Linotype" w:eastAsia="Palatino Linotype" w:hAnsi="Palatino Linotype" w:cs="Palatino Linotype"/>
          <w:b/>
        </w:rPr>
        <w:t xml:space="preserve"> </w:t>
      </w:r>
      <w:r w:rsidRPr="00F83802">
        <w:rPr>
          <w:rFonts w:ascii="Palatino Linotype" w:eastAsia="Palatino Linotype" w:hAnsi="Palatino Linotype" w:cs="Palatino Linotype"/>
        </w:rPr>
        <w:t xml:space="preserve">mientras que el recurso de revisión interpuesto por la parte </w:t>
      </w:r>
      <w:r w:rsidR="00A73C7A" w:rsidRPr="00F83802">
        <w:rPr>
          <w:rFonts w:ascii="Palatino Linotype" w:eastAsia="Palatino Linotype" w:hAnsi="Palatino Linotype" w:cs="Palatino Linotype"/>
          <w:b/>
        </w:rPr>
        <w:t>Recurrente</w:t>
      </w:r>
      <w:r w:rsidR="00A73C7A" w:rsidRPr="00F83802">
        <w:rPr>
          <w:rFonts w:ascii="Palatino Linotype" w:eastAsia="Palatino Linotype" w:hAnsi="Palatino Linotype" w:cs="Palatino Linotype"/>
        </w:rPr>
        <w:t xml:space="preserve"> </w:t>
      </w:r>
      <w:r w:rsidRPr="00F83802">
        <w:rPr>
          <w:rFonts w:ascii="Palatino Linotype" w:eastAsia="Palatino Linotype" w:hAnsi="Palatino Linotype" w:cs="Palatino Linotype"/>
        </w:rPr>
        <w:t xml:space="preserve">se tuvo por presentado el </w:t>
      </w:r>
      <w:r w:rsidR="008231E2" w:rsidRPr="00F83802">
        <w:rPr>
          <w:rFonts w:ascii="Palatino Linotype" w:eastAsia="Palatino Linotype" w:hAnsi="Palatino Linotype" w:cs="Palatino Linotype"/>
          <w:b/>
        </w:rPr>
        <w:t xml:space="preserve">dos de septiembre </w:t>
      </w:r>
      <w:r w:rsidR="003427ED" w:rsidRPr="00F83802">
        <w:rPr>
          <w:rFonts w:ascii="Palatino Linotype" w:eastAsia="Palatino Linotype" w:hAnsi="Palatino Linotype" w:cs="Palatino Linotype"/>
          <w:b/>
        </w:rPr>
        <w:t>de dos mil veinticinco</w:t>
      </w:r>
      <w:r w:rsidRPr="00F83802">
        <w:rPr>
          <w:rFonts w:ascii="Palatino Linotype" w:eastAsia="Palatino Linotype" w:hAnsi="Palatino Linotype" w:cs="Palatino Linotype"/>
        </w:rPr>
        <w:t xml:space="preserve">, esto es al </w:t>
      </w:r>
      <w:r w:rsidR="003427ED" w:rsidRPr="00F83802">
        <w:rPr>
          <w:rFonts w:ascii="Palatino Linotype" w:eastAsia="Palatino Linotype" w:hAnsi="Palatino Linotype" w:cs="Palatino Linotype"/>
        </w:rPr>
        <w:t>s</w:t>
      </w:r>
      <w:r w:rsidR="008231E2" w:rsidRPr="00F83802">
        <w:rPr>
          <w:rFonts w:ascii="Palatino Linotype" w:eastAsia="Palatino Linotype" w:hAnsi="Palatino Linotype" w:cs="Palatino Linotype"/>
        </w:rPr>
        <w:t xml:space="preserve">exto </w:t>
      </w:r>
      <w:r w:rsidR="00F13285" w:rsidRPr="00F83802">
        <w:rPr>
          <w:rFonts w:ascii="Palatino Linotype" w:eastAsia="Palatino Linotype" w:hAnsi="Palatino Linotype" w:cs="Palatino Linotype"/>
        </w:rPr>
        <w:t>día</w:t>
      </w:r>
      <w:r w:rsidRPr="00F83802">
        <w:rPr>
          <w:rFonts w:ascii="Palatino Linotype" w:eastAsia="Palatino Linotype" w:hAnsi="Palatino Linotype" w:cs="Palatino Linotype"/>
        </w:rPr>
        <w:t xml:space="preserve"> en que se tuvo conocimiento de la respuesta. </w:t>
      </w:r>
    </w:p>
    <w:p w14:paraId="40EFB9AD" w14:textId="77777777" w:rsidR="00EA0729" w:rsidRPr="00F83802" w:rsidRDefault="00EA0729" w:rsidP="00BB6C45">
      <w:pPr>
        <w:spacing w:after="0" w:line="360" w:lineRule="auto"/>
        <w:jc w:val="both"/>
        <w:rPr>
          <w:rFonts w:ascii="Palatino Linotype" w:eastAsia="Palatino Linotype" w:hAnsi="Palatino Linotype" w:cs="Palatino Linotype"/>
        </w:rPr>
      </w:pPr>
    </w:p>
    <w:p w14:paraId="27F3452F" w14:textId="6FAA13FF" w:rsidR="005A4124" w:rsidRPr="00F83802" w:rsidRDefault="005A4124" w:rsidP="00BB6C45">
      <w:pPr>
        <w:spacing w:after="0" w:line="360" w:lineRule="auto"/>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Es de suma importancia mencionar que, si bien, la parte </w:t>
      </w:r>
      <w:r w:rsidR="0074038E" w:rsidRPr="00F83802">
        <w:rPr>
          <w:rFonts w:ascii="Palatino Linotype" w:eastAsia="Palatino Linotype" w:hAnsi="Palatino Linotype" w:cs="Palatino Linotype"/>
        </w:rPr>
        <w:t xml:space="preserve">no </w:t>
      </w:r>
      <w:r w:rsidRPr="00F83802">
        <w:rPr>
          <w:rFonts w:ascii="Palatino Linotype" w:eastAsia="Palatino Linotype" w:hAnsi="Palatino Linotype" w:cs="Palatino Linotype"/>
        </w:rPr>
        <w:t>proporcionó un</w:t>
      </w:r>
      <w:r w:rsidR="0074038E" w:rsidRPr="00F83802">
        <w:rPr>
          <w:rFonts w:ascii="Palatino Linotype" w:eastAsia="Palatino Linotype" w:hAnsi="Palatino Linotype" w:cs="Palatino Linotype"/>
        </w:rPr>
        <w:t xml:space="preserve"> nombre o</w:t>
      </w:r>
      <w:r w:rsidRPr="00F83802">
        <w:rPr>
          <w:rFonts w:ascii="Palatino Linotype" w:eastAsia="Palatino Linotype" w:hAnsi="Palatino Linotype" w:cs="Palatino Linotype"/>
        </w:rPr>
        <w:t xml:space="preserve">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3F4694" w14:textId="77777777" w:rsidR="005A4124" w:rsidRPr="00F83802" w:rsidRDefault="005A4124" w:rsidP="00BB6C45">
      <w:pPr>
        <w:spacing w:after="0" w:line="276" w:lineRule="auto"/>
        <w:ind w:left="851" w:right="843"/>
        <w:jc w:val="both"/>
        <w:rPr>
          <w:rFonts w:ascii="Palatino Linotype" w:eastAsia="Palatino Linotype" w:hAnsi="Palatino Linotype" w:cs="Palatino Linotype"/>
        </w:rPr>
      </w:pPr>
    </w:p>
    <w:p w14:paraId="05BB578B" w14:textId="7EC0C119" w:rsidR="005A4124" w:rsidRPr="00F83802" w:rsidRDefault="005A4124" w:rsidP="00BB6C45">
      <w:pPr>
        <w:spacing w:after="0" w:line="276" w:lineRule="auto"/>
        <w:ind w:left="851" w:right="843"/>
        <w:jc w:val="both"/>
        <w:rPr>
          <w:rFonts w:ascii="Palatino Linotype" w:eastAsia="Palatino Linotype" w:hAnsi="Palatino Linotype" w:cs="Palatino Linotype"/>
          <w:i/>
        </w:rPr>
      </w:pPr>
      <w:r w:rsidRPr="00F83802">
        <w:rPr>
          <w:rFonts w:ascii="Palatino Linotype" w:eastAsia="Palatino Linotype" w:hAnsi="Palatino Linotype" w:cs="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43BCCE33" w14:textId="77777777" w:rsidR="005A4124" w:rsidRPr="00F83802" w:rsidRDefault="005A4124" w:rsidP="00BB6C45">
      <w:pPr>
        <w:spacing w:after="0" w:line="360" w:lineRule="auto"/>
        <w:jc w:val="both"/>
        <w:rPr>
          <w:rFonts w:ascii="Palatino Linotype" w:eastAsia="Palatino Linotype" w:hAnsi="Palatino Linotype" w:cs="Palatino Linotype"/>
        </w:rPr>
      </w:pPr>
    </w:p>
    <w:p w14:paraId="47B306DA" w14:textId="77777777" w:rsidR="00EA0729" w:rsidRPr="00F83802" w:rsidRDefault="00610A2C" w:rsidP="00BB6C45">
      <w:pPr>
        <w:spacing w:after="0" w:line="360" w:lineRule="auto"/>
        <w:jc w:val="both"/>
        <w:rPr>
          <w:rFonts w:ascii="Palatino Linotype" w:eastAsia="Palatino Linotype" w:hAnsi="Palatino Linotype" w:cs="Palatino Linotype"/>
          <w:b/>
        </w:rPr>
      </w:pPr>
      <w:r w:rsidRPr="00F83802">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F83802">
        <w:rPr>
          <w:rFonts w:ascii="Palatino Linotype" w:eastAsia="Palatino Linotype" w:hAnsi="Palatino Linotype" w:cs="Palatino Linotype"/>
          <w:b/>
        </w:rPr>
        <w:t>SAIMEX.</w:t>
      </w:r>
    </w:p>
    <w:p w14:paraId="3B1A5B30" w14:textId="77777777" w:rsidR="003427ED" w:rsidRPr="00F83802" w:rsidRDefault="003427ED" w:rsidP="00BB6C45">
      <w:pPr>
        <w:spacing w:after="0" w:line="360" w:lineRule="auto"/>
        <w:jc w:val="both"/>
        <w:rPr>
          <w:rFonts w:ascii="Palatino Linotype" w:eastAsia="Palatino Linotype" w:hAnsi="Palatino Linotype" w:cs="Palatino Linotype"/>
        </w:rPr>
      </w:pPr>
    </w:p>
    <w:p w14:paraId="60265432" w14:textId="77777777" w:rsidR="003427ED" w:rsidRPr="00F83802" w:rsidRDefault="003427ED" w:rsidP="00BB6C45">
      <w:pPr>
        <w:spacing w:after="0" w:line="360" w:lineRule="auto"/>
        <w:ind w:right="49"/>
        <w:jc w:val="both"/>
        <w:rPr>
          <w:rFonts w:ascii="Palatino Linotype" w:eastAsia="Palatino Linotype" w:hAnsi="Palatino Linotype" w:cs="Palatino Linotype"/>
          <w:i/>
        </w:rPr>
      </w:pPr>
      <w:r w:rsidRPr="00F83802">
        <w:rPr>
          <w:rFonts w:ascii="Palatino Linotype" w:eastAsia="Palatino Linotype" w:hAnsi="Palatino Linotype" w:cs="Palatino Linotype"/>
        </w:rPr>
        <w:t xml:space="preserve">Finalmente, es de destacar que, no fue posible encuadrar los motivos de inconformidad en algunos de los supuestos que contempla el artículo 179 de la Ley de Transparencia y Acceso a la Información Pública del Estado de México y Municipios. </w:t>
      </w:r>
    </w:p>
    <w:p w14:paraId="3978F495" w14:textId="77777777" w:rsidR="003427ED" w:rsidRPr="00F83802" w:rsidRDefault="003427ED" w:rsidP="00BB6C45">
      <w:pPr>
        <w:spacing w:after="0" w:line="360" w:lineRule="auto"/>
        <w:ind w:right="49"/>
        <w:jc w:val="both"/>
        <w:rPr>
          <w:rFonts w:ascii="Palatino Linotype" w:eastAsia="Palatino Linotype" w:hAnsi="Palatino Linotype" w:cs="Palatino Linotype"/>
        </w:rPr>
      </w:pPr>
    </w:p>
    <w:p w14:paraId="704BB99D" w14:textId="77777777" w:rsidR="003427ED" w:rsidRPr="00F83802" w:rsidRDefault="003427ED" w:rsidP="00BB6C45">
      <w:pPr>
        <w:spacing w:after="0" w:line="360" w:lineRule="auto"/>
        <w:jc w:val="both"/>
        <w:rPr>
          <w:rFonts w:ascii="Palatino Linotype" w:eastAsia="Palatino Linotype" w:hAnsi="Palatino Linotype" w:cs="Palatino Linotype"/>
        </w:rPr>
      </w:pPr>
      <w:r w:rsidRPr="00F83802">
        <w:rPr>
          <w:rFonts w:ascii="Palatino Linotype" w:eastAsia="Palatino Linotype" w:hAnsi="Palatino Linotype" w:cs="Palatino Linotype"/>
          <w:b/>
        </w:rPr>
        <w:t>Tercero. Análisis de las causales de improcedencia y sobreseimiento del recurso de revisión.</w:t>
      </w:r>
      <w:r w:rsidRPr="00F83802">
        <w:rPr>
          <w:rFonts w:ascii="Palatino Linotype" w:hAnsi="Palatino Linotype"/>
        </w:rPr>
        <w:t xml:space="preserve"> </w:t>
      </w:r>
      <w:r w:rsidRPr="00F83802">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1CB2CC" w14:textId="77777777" w:rsidR="003427ED" w:rsidRPr="00F83802" w:rsidRDefault="003427ED" w:rsidP="00BB6C45">
      <w:pPr>
        <w:spacing w:after="0" w:line="360" w:lineRule="auto"/>
        <w:jc w:val="both"/>
        <w:rPr>
          <w:rFonts w:ascii="Palatino Linotype" w:hAnsi="Palatino Linotype"/>
        </w:rPr>
      </w:pPr>
    </w:p>
    <w:p w14:paraId="7C041233" w14:textId="77777777" w:rsidR="003427ED" w:rsidRPr="00F83802" w:rsidRDefault="003427ED" w:rsidP="00BB6C45">
      <w:pPr>
        <w:spacing w:after="0" w:line="360" w:lineRule="auto"/>
        <w:jc w:val="both"/>
        <w:rPr>
          <w:rFonts w:ascii="Palatino Linotype" w:eastAsia="Palatino Linotype" w:hAnsi="Palatino Linotype" w:cs="Palatino Linotype"/>
        </w:rPr>
      </w:pPr>
      <w:r w:rsidRPr="00F83802">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33B236A" w14:textId="77777777" w:rsidR="003427ED" w:rsidRPr="00F83802" w:rsidRDefault="003427ED" w:rsidP="00BB6C45">
      <w:pPr>
        <w:spacing w:after="0" w:line="360" w:lineRule="auto"/>
        <w:jc w:val="both"/>
        <w:rPr>
          <w:rFonts w:ascii="Palatino Linotype" w:hAnsi="Palatino Linotype"/>
        </w:rPr>
      </w:pPr>
    </w:p>
    <w:p w14:paraId="4ECA8122" w14:textId="77777777" w:rsidR="003427ED" w:rsidRPr="00F83802" w:rsidRDefault="003427ED" w:rsidP="00BB6C45">
      <w:pPr>
        <w:spacing w:after="0" w:line="360" w:lineRule="auto"/>
        <w:ind w:right="51"/>
        <w:jc w:val="both"/>
        <w:rPr>
          <w:rFonts w:ascii="Palatino Linotype" w:eastAsia="Palatino Linotype" w:hAnsi="Palatino Linotype" w:cs="Palatino Linotype"/>
        </w:rPr>
      </w:pPr>
      <w:r w:rsidRPr="00F83802">
        <w:rPr>
          <w:rFonts w:ascii="Palatino Linotype" w:eastAsia="Palatino Linotype" w:hAnsi="Palatino Linotype" w:cs="Palatino Linotype"/>
        </w:rPr>
        <w:t>De manera preliminar en el caso concreto conviene analizar si se actualiza alguna de las causales de sobreseimiento del recurso de revisión.</w:t>
      </w:r>
    </w:p>
    <w:p w14:paraId="49C8D735" w14:textId="77777777" w:rsidR="003427ED" w:rsidRPr="00F83802" w:rsidRDefault="003427ED" w:rsidP="00BB6C45">
      <w:pPr>
        <w:spacing w:after="0" w:line="360" w:lineRule="auto"/>
        <w:ind w:right="51"/>
        <w:jc w:val="both"/>
        <w:rPr>
          <w:rFonts w:ascii="Palatino Linotype" w:eastAsia="Palatino Linotype" w:hAnsi="Palatino Linotype" w:cs="Palatino Linotype"/>
        </w:rPr>
      </w:pPr>
    </w:p>
    <w:p w14:paraId="38F4EEA3" w14:textId="77777777" w:rsidR="003427ED" w:rsidRPr="00F83802" w:rsidRDefault="003427ED" w:rsidP="00BB6C45">
      <w:pPr>
        <w:spacing w:after="0" w:line="360" w:lineRule="auto"/>
        <w:ind w:right="51"/>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F83802">
        <w:rPr>
          <w:rFonts w:ascii="Palatino Linotype" w:eastAsia="Palatino Linotype" w:hAnsi="Palatino Linotype" w:cs="Palatino Linotype"/>
          <w:b/>
        </w:rPr>
        <w:t>Sujeto Obligado</w:t>
      </w:r>
      <w:r w:rsidRPr="00F83802">
        <w:rPr>
          <w:rFonts w:ascii="Palatino Linotype" w:eastAsia="Palatino Linotype" w:hAnsi="Palatino Linotype" w:cs="Palatino Linotype"/>
        </w:rPr>
        <w:t xml:space="preserve"> le proporcione información consistente en lo siguiente:</w:t>
      </w:r>
    </w:p>
    <w:p w14:paraId="2773A9A6" w14:textId="77777777" w:rsidR="003427ED" w:rsidRPr="00F83802" w:rsidRDefault="003427ED" w:rsidP="00BB6C45">
      <w:pPr>
        <w:spacing w:after="0" w:line="360" w:lineRule="auto"/>
        <w:ind w:right="51"/>
        <w:jc w:val="both"/>
        <w:rPr>
          <w:rFonts w:ascii="Palatino Linotype" w:eastAsia="Palatino Linotype" w:hAnsi="Palatino Linotype" w:cs="Palatino Linotype"/>
        </w:rPr>
      </w:pPr>
    </w:p>
    <w:p w14:paraId="7625341F" w14:textId="5630956D" w:rsidR="008231E2" w:rsidRPr="00F83802" w:rsidRDefault="008231E2" w:rsidP="00BB6C45">
      <w:pPr>
        <w:pStyle w:val="Prrafodelista"/>
        <w:numPr>
          <w:ilvl w:val="0"/>
          <w:numId w:val="19"/>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F83802">
        <w:rPr>
          <w:rFonts w:ascii="Palatino Linotype" w:eastAsia="Palatino Linotype" w:hAnsi="Palatino Linotype" w:cs="Palatino Linotype"/>
          <w:b/>
        </w:rPr>
        <w:t>De la Coordinadora de Comercio de la Dirección de Desarrollo Económico</w:t>
      </w:r>
      <w:r w:rsidR="00C3657A" w:rsidRPr="00F83802">
        <w:rPr>
          <w:rFonts w:ascii="Palatino Linotype" w:eastAsia="Palatino Linotype" w:hAnsi="Palatino Linotype" w:cs="Palatino Linotype"/>
          <w:b/>
        </w:rPr>
        <w:t>, lo siguiente</w:t>
      </w:r>
      <w:r w:rsidRPr="00F83802">
        <w:rPr>
          <w:rFonts w:ascii="Palatino Linotype" w:eastAsia="Palatino Linotype" w:hAnsi="Palatino Linotype" w:cs="Palatino Linotype"/>
          <w:b/>
        </w:rPr>
        <w:t xml:space="preserve">: </w:t>
      </w:r>
    </w:p>
    <w:p w14:paraId="6537EB60" w14:textId="0394A600" w:rsidR="008231E2" w:rsidRPr="00F83802" w:rsidRDefault="008231E2" w:rsidP="00BB6C45">
      <w:pPr>
        <w:pStyle w:val="Prrafodelista"/>
        <w:numPr>
          <w:ilvl w:val="0"/>
          <w:numId w:val="24"/>
        </w:numPr>
        <w:pBdr>
          <w:top w:val="nil"/>
          <w:left w:val="nil"/>
          <w:bottom w:val="nil"/>
          <w:right w:val="nil"/>
          <w:between w:val="nil"/>
        </w:pBdr>
        <w:spacing w:after="0" w:line="360" w:lineRule="auto"/>
        <w:ind w:left="1134" w:right="843"/>
        <w:jc w:val="both"/>
        <w:rPr>
          <w:rFonts w:ascii="Palatino Linotype" w:eastAsia="Palatino Linotype" w:hAnsi="Palatino Linotype" w:cs="Palatino Linotype"/>
        </w:rPr>
      </w:pPr>
      <w:r w:rsidRPr="00F83802">
        <w:rPr>
          <w:rFonts w:ascii="Palatino Linotype" w:eastAsia="Palatino Linotype" w:hAnsi="Palatino Linotype" w:cs="Palatino Linotype"/>
        </w:rPr>
        <w:t>N</w:t>
      </w:r>
      <w:r w:rsidR="00C3657A" w:rsidRPr="00F83802">
        <w:rPr>
          <w:rFonts w:ascii="Palatino Linotype" w:eastAsia="Palatino Linotype" w:hAnsi="Palatino Linotype" w:cs="Palatino Linotype"/>
        </w:rPr>
        <w:t>ombramiento.</w:t>
      </w:r>
    </w:p>
    <w:p w14:paraId="53C33E57" w14:textId="77777777" w:rsidR="008231E2" w:rsidRPr="00F83802" w:rsidRDefault="008231E2" w:rsidP="00BB6C45">
      <w:pPr>
        <w:pStyle w:val="Prrafodelista"/>
        <w:numPr>
          <w:ilvl w:val="0"/>
          <w:numId w:val="24"/>
        </w:numPr>
        <w:pBdr>
          <w:top w:val="nil"/>
          <w:left w:val="nil"/>
          <w:bottom w:val="nil"/>
          <w:right w:val="nil"/>
          <w:between w:val="nil"/>
        </w:pBdr>
        <w:spacing w:after="0" w:line="360" w:lineRule="auto"/>
        <w:ind w:left="1134" w:right="843"/>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Recibo de nómina de la 1ra quincena del mes de enero de 2025 y de la 2da quincena del mes de marzo de 2025, en versión pública. </w:t>
      </w:r>
    </w:p>
    <w:p w14:paraId="116A4371" w14:textId="78B0FCD4" w:rsidR="008231E2" w:rsidRPr="00F83802" w:rsidRDefault="008231E2" w:rsidP="00BB6C45">
      <w:pPr>
        <w:pStyle w:val="Prrafodelista"/>
        <w:numPr>
          <w:ilvl w:val="0"/>
          <w:numId w:val="24"/>
        </w:numPr>
        <w:pBdr>
          <w:top w:val="nil"/>
          <w:left w:val="nil"/>
          <w:bottom w:val="nil"/>
          <w:right w:val="nil"/>
          <w:between w:val="nil"/>
        </w:pBdr>
        <w:spacing w:after="0" w:line="360" w:lineRule="auto"/>
        <w:ind w:left="1134" w:right="843"/>
        <w:jc w:val="both"/>
        <w:rPr>
          <w:rFonts w:ascii="Palatino Linotype" w:eastAsia="Palatino Linotype" w:hAnsi="Palatino Linotype" w:cs="Palatino Linotype"/>
        </w:rPr>
      </w:pPr>
      <w:r w:rsidRPr="00F83802">
        <w:rPr>
          <w:rFonts w:ascii="Palatino Linotype" w:eastAsia="Palatino Linotype" w:hAnsi="Palatino Linotype" w:cs="Palatino Linotype"/>
        </w:rPr>
        <w:t>Permiso de funcionamiento o licencia del restaurante los molcajetes que se encuentra en la comunidad de dolores</w:t>
      </w:r>
      <w:r w:rsidR="00C3657A" w:rsidRPr="00F83802">
        <w:rPr>
          <w:rFonts w:ascii="Palatino Linotype" w:eastAsia="Palatino Linotype" w:hAnsi="Palatino Linotype" w:cs="Palatino Linotype"/>
        </w:rPr>
        <w:t>.</w:t>
      </w:r>
    </w:p>
    <w:p w14:paraId="77659834" w14:textId="0877B6C1" w:rsidR="008231E2" w:rsidRPr="00F83802" w:rsidRDefault="008231E2" w:rsidP="00BB6C45">
      <w:pPr>
        <w:pStyle w:val="Prrafodelista"/>
        <w:numPr>
          <w:ilvl w:val="0"/>
          <w:numId w:val="24"/>
        </w:numPr>
        <w:pBdr>
          <w:top w:val="nil"/>
          <w:left w:val="nil"/>
          <w:bottom w:val="nil"/>
          <w:right w:val="nil"/>
          <w:between w:val="nil"/>
        </w:pBdr>
        <w:spacing w:after="0" w:line="360" w:lineRule="auto"/>
        <w:ind w:left="1134" w:right="843"/>
        <w:jc w:val="both"/>
        <w:rPr>
          <w:rFonts w:ascii="Palatino Linotype" w:eastAsia="Palatino Linotype" w:hAnsi="Palatino Linotype" w:cs="Palatino Linotype"/>
        </w:rPr>
      </w:pPr>
      <w:r w:rsidRPr="00F83802">
        <w:rPr>
          <w:rFonts w:ascii="Palatino Linotype" w:eastAsia="Palatino Linotype" w:hAnsi="Palatino Linotype" w:cs="Palatino Linotype"/>
        </w:rPr>
        <w:t>Recibo de pago por los permisos que se requieren para el funcionam</w:t>
      </w:r>
      <w:r w:rsidR="00C3657A" w:rsidRPr="00F83802">
        <w:rPr>
          <w:rFonts w:ascii="Palatino Linotype" w:eastAsia="Palatino Linotype" w:hAnsi="Palatino Linotype" w:cs="Palatino Linotype"/>
        </w:rPr>
        <w:t>iento de dicho establecimiento.</w:t>
      </w:r>
    </w:p>
    <w:p w14:paraId="1B401541" w14:textId="3225FCCE" w:rsidR="003427ED" w:rsidRPr="00F83802" w:rsidRDefault="008231E2" w:rsidP="00BB6C45">
      <w:pPr>
        <w:pStyle w:val="Prrafodelista"/>
        <w:numPr>
          <w:ilvl w:val="0"/>
          <w:numId w:val="24"/>
        </w:numPr>
        <w:pBdr>
          <w:top w:val="nil"/>
          <w:left w:val="nil"/>
          <w:bottom w:val="nil"/>
          <w:right w:val="nil"/>
          <w:between w:val="nil"/>
        </w:pBdr>
        <w:spacing w:after="0" w:line="360" w:lineRule="auto"/>
        <w:ind w:left="1134" w:right="843"/>
        <w:jc w:val="both"/>
        <w:rPr>
          <w:rFonts w:ascii="Palatino Linotype" w:eastAsia="Palatino Linotype" w:hAnsi="Palatino Linotype" w:cs="Palatino Linotype"/>
        </w:rPr>
      </w:pPr>
      <w:r w:rsidRPr="00F83802">
        <w:rPr>
          <w:rFonts w:ascii="Palatino Linotype" w:eastAsia="Palatino Linotype" w:hAnsi="Palatino Linotype" w:cs="Palatino Linotype"/>
        </w:rPr>
        <w:t>Registros de entrada y salida ya que sus horarios son muy flexibles.</w:t>
      </w:r>
      <w:r w:rsidR="003427ED" w:rsidRPr="00F83802">
        <w:rPr>
          <w:rFonts w:ascii="Palatino Linotype" w:eastAsia="Palatino Linotype" w:hAnsi="Palatino Linotype" w:cs="Palatino Linotype"/>
        </w:rPr>
        <w:t xml:space="preserve"> </w:t>
      </w:r>
    </w:p>
    <w:p w14:paraId="047C3130" w14:textId="77777777" w:rsidR="003427ED" w:rsidRPr="00F83802" w:rsidRDefault="003427ED" w:rsidP="00BB6C45">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B77B85C" w14:textId="70505225" w:rsidR="003427ED" w:rsidRPr="00F83802" w:rsidRDefault="003427ED" w:rsidP="00BB6C4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En respuesta, el </w:t>
      </w:r>
      <w:r w:rsidRPr="00F83802">
        <w:rPr>
          <w:rFonts w:ascii="Palatino Linotype" w:eastAsia="Palatino Linotype" w:hAnsi="Palatino Linotype" w:cs="Palatino Linotype"/>
          <w:b/>
        </w:rPr>
        <w:t>Sujeto Obligado</w:t>
      </w:r>
      <w:r w:rsidRPr="00F83802">
        <w:rPr>
          <w:rFonts w:ascii="Palatino Linotype" w:eastAsia="Palatino Linotype" w:hAnsi="Palatino Linotype" w:cs="Palatino Linotype"/>
        </w:rPr>
        <w:t xml:space="preserve"> remitió la siguiente información: </w:t>
      </w:r>
    </w:p>
    <w:p w14:paraId="784D9E3D" w14:textId="77777777" w:rsidR="003427ED" w:rsidRPr="00F83802" w:rsidRDefault="003427ED" w:rsidP="00BB6C45">
      <w:pPr>
        <w:spacing w:after="0" w:line="360" w:lineRule="auto"/>
        <w:ind w:right="49"/>
        <w:jc w:val="both"/>
        <w:rPr>
          <w:rFonts w:ascii="Palatino Linotype" w:eastAsia="Palatino Linotype" w:hAnsi="Palatino Linotype" w:cs="Palatino Linotype"/>
        </w:rPr>
      </w:pPr>
    </w:p>
    <w:p w14:paraId="6B5E5679" w14:textId="327CD539" w:rsidR="00420962" w:rsidRPr="00F83802" w:rsidRDefault="00420962" w:rsidP="00C3657A">
      <w:pPr>
        <w:pStyle w:val="Prrafodelista"/>
        <w:numPr>
          <w:ilvl w:val="0"/>
          <w:numId w:val="25"/>
        </w:numPr>
        <w:pBdr>
          <w:top w:val="nil"/>
          <w:left w:val="nil"/>
          <w:bottom w:val="nil"/>
          <w:right w:val="nil"/>
          <w:between w:val="nil"/>
        </w:pBdr>
        <w:spacing w:after="0" w:line="360" w:lineRule="auto"/>
        <w:ind w:left="851" w:right="843"/>
        <w:jc w:val="both"/>
        <w:rPr>
          <w:rFonts w:ascii="Palatino Linotype" w:hAnsi="Palatino Linotype"/>
        </w:rPr>
      </w:pPr>
      <w:r w:rsidRPr="00F83802">
        <w:rPr>
          <w:rFonts w:ascii="Palatino Linotype" w:hAnsi="Palatino Linotype"/>
        </w:rPr>
        <w:t>La encargada del Departamento de Recursos Humanos</w:t>
      </w:r>
      <w:r w:rsidR="00FB6CC8" w:rsidRPr="00F83802">
        <w:rPr>
          <w:rFonts w:ascii="Palatino Linotype" w:hAnsi="Palatino Linotype"/>
        </w:rPr>
        <w:t xml:space="preserve"> </w:t>
      </w:r>
      <w:r w:rsidRPr="00F83802">
        <w:rPr>
          <w:rFonts w:ascii="Palatino Linotype" w:hAnsi="Palatino Linotype"/>
        </w:rPr>
        <w:t>informó la entrega del nombramiento expedido a favor de la ciudadana mencionada en la solicitud, quien actualmente se desempeña como Coordinadora de Comercio de la Dirección de Desarrollo Económico. Asimismo, hace del conocimiento que la servidora pública desempeña sus funciones en un horario de lunes a viernes de 9:00 a 18:00 horas, con una hora destinada para la toma de alimentos.</w:t>
      </w:r>
    </w:p>
    <w:p w14:paraId="669EF242" w14:textId="6DF353FE" w:rsidR="00420962" w:rsidRPr="00F83802" w:rsidRDefault="00420962" w:rsidP="00C3657A">
      <w:pPr>
        <w:pStyle w:val="Prrafodelista"/>
        <w:numPr>
          <w:ilvl w:val="0"/>
          <w:numId w:val="25"/>
        </w:numPr>
        <w:pBdr>
          <w:top w:val="nil"/>
          <w:left w:val="nil"/>
          <w:bottom w:val="nil"/>
          <w:right w:val="nil"/>
          <w:between w:val="nil"/>
        </w:pBdr>
        <w:spacing w:after="0" w:line="360" w:lineRule="auto"/>
        <w:ind w:left="851" w:right="843"/>
        <w:jc w:val="both"/>
        <w:rPr>
          <w:rFonts w:ascii="Palatino Linotype" w:hAnsi="Palatino Linotype"/>
        </w:rPr>
      </w:pPr>
      <w:r w:rsidRPr="00F83802">
        <w:rPr>
          <w:rFonts w:ascii="Palatino Linotype" w:hAnsi="Palatino Linotype"/>
        </w:rPr>
        <w:t>La Dirección de Desarrollo Económico informó que se tiene registrado al Restaurante denominado "Los Molcajetes" mismo que se le expedido permiso provisional con número de folio: DDE/PPF/010/2025 con clave scian: 722511-Resutarante con servicio de preparación de alimentos a la carta o de comida corrida, con fecha de emisión de fecha 24 de junio de 2025, y vigencia hasta el 24 de septiembre de 2025; emitida al solicitante Ulises Jiménez González; mismos datos que se puede corroborar en al anexo adjunto en versión pública.</w:t>
      </w:r>
    </w:p>
    <w:p w14:paraId="7AC0BA3F" w14:textId="77777777" w:rsidR="00420962" w:rsidRPr="00F83802" w:rsidRDefault="00420962" w:rsidP="00C3657A">
      <w:pPr>
        <w:pStyle w:val="Prrafodelista"/>
        <w:numPr>
          <w:ilvl w:val="0"/>
          <w:numId w:val="25"/>
        </w:numPr>
        <w:pBdr>
          <w:top w:val="nil"/>
          <w:left w:val="nil"/>
          <w:bottom w:val="nil"/>
          <w:right w:val="nil"/>
          <w:between w:val="nil"/>
        </w:pBdr>
        <w:spacing w:after="0" w:line="360" w:lineRule="auto"/>
        <w:ind w:left="851" w:right="843"/>
        <w:jc w:val="both"/>
        <w:rPr>
          <w:rFonts w:ascii="Palatino Linotype" w:hAnsi="Palatino Linotype"/>
        </w:rPr>
      </w:pPr>
      <w:r w:rsidRPr="00F83802">
        <w:rPr>
          <w:rFonts w:ascii="Palatino Linotype" w:hAnsi="Palatino Linotype"/>
        </w:rPr>
        <w:t xml:space="preserve">En cuanto a "...el recibo de pago por los permisos que se requieren para el funcionamiento de dicho establecimiento..." (Sic); informó que los permisos provisionales se expiden de manera gratuita, sin que ello genere costo o contraprestación alguna para el solicitante; de conformidad con el artículo 31 fracción I Ter de la Ley Orgánica Municipal del Estado de México. </w:t>
      </w:r>
    </w:p>
    <w:p w14:paraId="76DD7B7A" w14:textId="2BB59786" w:rsidR="00FB6CC8" w:rsidRPr="00F83802" w:rsidRDefault="00FB6CC8" w:rsidP="00C3657A">
      <w:pPr>
        <w:pStyle w:val="Prrafodelista"/>
        <w:numPr>
          <w:ilvl w:val="0"/>
          <w:numId w:val="25"/>
        </w:numPr>
        <w:pBdr>
          <w:top w:val="nil"/>
          <w:left w:val="nil"/>
          <w:bottom w:val="nil"/>
          <w:right w:val="nil"/>
          <w:between w:val="nil"/>
        </w:pBdr>
        <w:spacing w:after="0" w:line="360" w:lineRule="auto"/>
        <w:ind w:left="851" w:right="843"/>
        <w:jc w:val="both"/>
        <w:rPr>
          <w:rFonts w:ascii="Palatino Linotype" w:hAnsi="Palatino Linotype"/>
        </w:rPr>
      </w:pPr>
      <w:r w:rsidRPr="00F83802">
        <w:rPr>
          <w:rFonts w:ascii="Palatino Linotype" w:hAnsi="Palatino Linotype"/>
        </w:rPr>
        <w:t>El Tesorero Municipal informó que la información</w:t>
      </w:r>
      <w:r w:rsidR="00A365ED" w:rsidRPr="00F83802">
        <w:rPr>
          <w:rFonts w:ascii="Palatino Linotype" w:hAnsi="Palatino Linotype"/>
        </w:rPr>
        <w:t xml:space="preserve"> correspondiente al </w:t>
      </w:r>
      <w:r w:rsidRPr="00F83802">
        <w:rPr>
          <w:rFonts w:ascii="Palatino Linotype" w:hAnsi="Palatino Linotype"/>
        </w:rPr>
        <w:t>área de Tesorería, se encuentra dispersa en múltiples archivos y expedientes correspondientes al archivo del primer trimestre, el cual tiene un tamaño de 1,930.56 Megabytes, por lo que solicita el cambio de modalidad a in situ, toda vez que la documentación precisada forma parte de varios expedientes cuya recopilación, procesamiento y sistematización implicaría una carga excesiva y rebasa las capacidades técnicas administrativas y humanas del personal a cargo, lo anterior en términos del artículo 158 de la Ley de la materia.</w:t>
      </w:r>
    </w:p>
    <w:p w14:paraId="02D7F272" w14:textId="77777777" w:rsidR="003427ED" w:rsidRPr="00F83802" w:rsidRDefault="003427ED" w:rsidP="00BB6C45">
      <w:pPr>
        <w:pBdr>
          <w:top w:val="nil"/>
          <w:left w:val="nil"/>
          <w:bottom w:val="nil"/>
          <w:right w:val="nil"/>
          <w:between w:val="nil"/>
        </w:pBdr>
        <w:spacing w:after="0" w:line="360" w:lineRule="auto"/>
        <w:ind w:right="49"/>
        <w:jc w:val="both"/>
        <w:rPr>
          <w:rFonts w:ascii="Palatino Linotype" w:hAnsi="Palatino Linotype"/>
        </w:rPr>
      </w:pPr>
    </w:p>
    <w:p w14:paraId="1F6C27B6" w14:textId="5316138D" w:rsidR="00CD22FB" w:rsidRPr="00F83802" w:rsidRDefault="003427ED" w:rsidP="00BB6C45">
      <w:pPr>
        <w:spacing w:after="0" w:line="360" w:lineRule="auto"/>
        <w:ind w:right="49"/>
        <w:jc w:val="both"/>
        <w:rPr>
          <w:rFonts w:ascii="Palatino Linotype" w:eastAsia="Palatino Linotype" w:hAnsi="Palatino Linotype" w:cs="Palatino Linotype"/>
        </w:rPr>
      </w:pPr>
      <w:r w:rsidRPr="00F83802">
        <w:rPr>
          <w:rFonts w:ascii="Palatino Linotype" w:hAnsi="Palatino Linotype"/>
        </w:rPr>
        <w:t>D</w:t>
      </w:r>
      <w:r w:rsidRPr="00F83802">
        <w:rPr>
          <w:rFonts w:ascii="Palatino Linotype" w:eastAsia="Palatino Linotype" w:hAnsi="Palatino Linotype" w:cs="Palatino Linotype"/>
        </w:rPr>
        <w:t xml:space="preserve">erivado de ello, la parte </w:t>
      </w:r>
      <w:r w:rsidRPr="00F83802">
        <w:rPr>
          <w:rFonts w:ascii="Palatino Linotype" w:eastAsia="Palatino Linotype" w:hAnsi="Palatino Linotype" w:cs="Palatino Linotype"/>
          <w:b/>
        </w:rPr>
        <w:t>Recurrente</w:t>
      </w:r>
      <w:r w:rsidRPr="00F83802">
        <w:rPr>
          <w:rFonts w:ascii="Palatino Linotype" w:eastAsia="Palatino Linotype" w:hAnsi="Palatino Linotype" w:cs="Palatino Linotype"/>
        </w:rPr>
        <w:t xml:space="preserve"> se inconformó </w:t>
      </w:r>
      <w:r w:rsidR="000648DF" w:rsidRPr="00F83802">
        <w:rPr>
          <w:rFonts w:ascii="Palatino Linotype" w:eastAsia="Palatino Linotype" w:hAnsi="Palatino Linotype" w:cs="Palatino Linotype"/>
        </w:rPr>
        <w:t>arguyendo textualmente lo siguiente</w:t>
      </w:r>
      <w:r w:rsidRPr="00F83802">
        <w:rPr>
          <w:rFonts w:ascii="Palatino Linotype" w:eastAsia="Palatino Linotype" w:hAnsi="Palatino Linotype" w:cs="Palatino Linotype"/>
        </w:rPr>
        <w:t xml:space="preserve">: </w:t>
      </w:r>
    </w:p>
    <w:p w14:paraId="545C2992" w14:textId="77777777" w:rsidR="00CD22FB" w:rsidRPr="00F83802" w:rsidRDefault="00CD22FB" w:rsidP="00BB6C45">
      <w:pPr>
        <w:spacing w:after="0" w:line="276" w:lineRule="auto"/>
        <w:ind w:left="851" w:right="843"/>
        <w:jc w:val="both"/>
        <w:rPr>
          <w:rFonts w:ascii="Palatino Linotype" w:eastAsia="Palatino Linotype" w:hAnsi="Palatino Linotype" w:cs="Palatino Linotype"/>
          <w:b/>
        </w:rPr>
      </w:pPr>
    </w:p>
    <w:p w14:paraId="05071063" w14:textId="740B1622" w:rsidR="00CD22FB" w:rsidRPr="00F83802" w:rsidRDefault="00CD22FB" w:rsidP="00BB6C45">
      <w:pPr>
        <w:spacing w:after="0" w:line="276" w:lineRule="auto"/>
        <w:ind w:left="851" w:right="843"/>
        <w:jc w:val="both"/>
        <w:rPr>
          <w:rFonts w:ascii="Palatino Linotype" w:eastAsia="Palatino Linotype" w:hAnsi="Palatino Linotype" w:cs="Palatino Linotype"/>
          <w:i/>
        </w:rPr>
      </w:pPr>
      <w:r w:rsidRPr="00F83802">
        <w:rPr>
          <w:rFonts w:ascii="Palatino Linotype" w:eastAsia="Palatino Linotype" w:hAnsi="Palatino Linotype" w:cs="Palatino Linotype"/>
          <w:b/>
        </w:rPr>
        <w:t>Acto Impugnado</w:t>
      </w:r>
      <w:r w:rsidRPr="00F83802">
        <w:rPr>
          <w:rFonts w:ascii="Palatino Linotype" w:eastAsia="Palatino Linotype" w:hAnsi="Palatino Linotype" w:cs="Palatino Linotype"/>
          <w:i/>
        </w:rPr>
        <w:t>: “Comentan que de acuerdo con lo que menciona el artículo 31 de la Ley Organica Municipal del Estado de México no podrá exceder más de 3 meses, los cuales ahí venden bebidas alchololicas en el cual adjunto evidencia, y el negocio esta abierto desde enero del año actual; en el cual estan demostrando su corrupcion por ser el negocio de la hermana de la disque coordinadora del comercio y además es super despota.”</w:t>
      </w:r>
    </w:p>
    <w:p w14:paraId="2928686F" w14:textId="77777777" w:rsidR="00CD22FB" w:rsidRPr="00F83802" w:rsidRDefault="00CD22FB" w:rsidP="00BB6C45">
      <w:pPr>
        <w:spacing w:after="0" w:line="276" w:lineRule="auto"/>
        <w:ind w:left="851" w:right="843"/>
        <w:jc w:val="both"/>
        <w:rPr>
          <w:rFonts w:ascii="Palatino Linotype" w:eastAsia="Palatino Linotype" w:hAnsi="Palatino Linotype" w:cs="Palatino Linotype"/>
        </w:rPr>
      </w:pPr>
    </w:p>
    <w:p w14:paraId="21EA0E79" w14:textId="71A7F344" w:rsidR="003427ED" w:rsidRPr="00F83802" w:rsidRDefault="00CD22FB" w:rsidP="00BB6C45">
      <w:pPr>
        <w:spacing w:after="0" w:line="276" w:lineRule="auto"/>
        <w:ind w:left="851" w:right="843"/>
        <w:jc w:val="both"/>
        <w:rPr>
          <w:rFonts w:ascii="Palatino Linotype" w:eastAsia="Palatino Linotype" w:hAnsi="Palatino Linotype" w:cs="Palatino Linotype"/>
          <w:b/>
        </w:rPr>
      </w:pPr>
      <w:r w:rsidRPr="00F83802">
        <w:rPr>
          <w:rFonts w:ascii="Palatino Linotype" w:eastAsia="Palatino Linotype" w:hAnsi="Palatino Linotype" w:cs="Palatino Linotype"/>
          <w:b/>
        </w:rPr>
        <w:t>Razones o Motivos de la Inconformidad</w:t>
      </w:r>
      <w:r w:rsidRPr="00F83802">
        <w:rPr>
          <w:rFonts w:ascii="Palatino Linotype" w:eastAsia="Palatino Linotype" w:hAnsi="Palatino Linotype" w:cs="Palatino Linotype"/>
        </w:rPr>
        <w:t xml:space="preserve">: </w:t>
      </w:r>
      <w:r w:rsidR="003427ED" w:rsidRPr="00F83802">
        <w:rPr>
          <w:rFonts w:ascii="Palatino Linotype" w:eastAsia="Palatino Linotype" w:hAnsi="Palatino Linotype" w:cs="Palatino Linotype"/>
        </w:rPr>
        <w:t>“</w:t>
      </w:r>
      <w:r w:rsidR="00AF5D20" w:rsidRPr="00F83802">
        <w:rPr>
          <w:rFonts w:ascii="Palatino Linotype" w:eastAsia="Palatino Linotype" w:hAnsi="Palatino Linotype" w:cs="Palatino Linotype"/>
          <w:i/>
        </w:rPr>
        <w:t>No son congruentes con el trámite y con el fundamento que establecen en el tiempo.</w:t>
      </w:r>
      <w:r w:rsidR="003427ED" w:rsidRPr="00F83802">
        <w:rPr>
          <w:rFonts w:ascii="Palatino Linotype" w:eastAsia="Palatino Linotype" w:hAnsi="Palatino Linotype" w:cs="Palatino Linotype"/>
          <w:i/>
        </w:rPr>
        <w:t>”</w:t>
      </w:r>
    </w:p>
    <w:p w14:paraId="2B39FC98" w14:textId="77777777" w:rsidR="003427ED" w:rsidRPr="00F83802" w:rsidRDefault="003427ED" w:rsidP="00BB6C45">
      <w:pPr>
        <w:pStyle w:val="Prrafodelista"/>
        <w:spacing w:after="0" w:line="360" w:lineRule="auto"/>
        <w:ind w:left="0" w:right="49"/>
        <w:jc w:val="both"/>
        <w:rPr>
          <w:rFonts w:ascii="Palatino Linotype" w:eastAsia="Palatino Linotype" w:hAnsi="Palatino Linotype" w:cs="Palatino Linotype"/>
        </w:rPr>
      </w:pPr>
    </w:p>
    <w:p w14:paraId="6A9C1561" w14:textId="77777777" w:rsidR="003427ED" w:rsidRPr="00F83802" w:rsidRDefault="003427ED" w:rsidP="00BB6C45">
      <w:pPr>
        <w:spacing w:after="0" w:line="360" w:lineRule="auto"/>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Las partes fueron omisas en realizan manifestaciones. </w:t>
      </w:r>
    </w:p>
    <w:p w14:paraId="00ED12FE" w14:textId="77777777" w:rsidR="003427ED" w:rsidRPr="00F83802" w:rsidRDefault="003427ED" w:rsidP="00BB6C45">
      <w:pPr>
        <w:spacing w:after="0" w:line="360" w:lineRule="auto"/>
        <w:jc w:val="both"/>
        <w:rPr>
          <w:rFonts w:ascii="Palatino Linotype" w:eastAsia="Palatino Linotype" w:hAnsi="Palatino Linotype" w:cs="Palatino Linotype"/>
        </w:rPr>
      </w:pPr>
    </w:p>
    <w:p w14:paraId="4D9ADEB5" w14:textId="7BF8062C" w:rsidR="00035257" w:rsidRPr="00F83802" w:rsidRDefault="003427ED" w:rsidP="00035257">
      <w:pPr>
        <w:spacing w:after="0" w:line="360" w:lineRule="auto"/>
        <w:ind w:right="96"/>
        <w:jc w:val="both"/>
        <w:rPr>
          <w:rFonts w:ascii="Palatino Linotype" w:eastAsia="Palatino Linotype" w:hAnsi="Palatino Linotype" w:cs="Palatino Linotype"/>
        </w:rPr>
      </w:pPr>
      <w:r w:rsidRPr="00F83802">
        <w:rPr>
          <w:rFonts w:ascii="Palatino Linotype" w:eastAsia="Palatino Linotype" w:hAnsi="Palatino Linotype" w:cs="Palatino Linotype"/>
        </w:rPr>
        <w:t>Del análisis a los motivos hechos valer en el Recurso de Revisión, se advierte que, estos se tratan de a</w:t>
      </w:r>
      <w:r w:rsidR="00713683" w:rsidRPr="00F83802">
        <w:rPr>
          <w:rFonts w:ascii="Palatino Linotype" w:eastAsia="Palatino Linotype" w:hAnsi="Palatino Linotype" w:cs="Palatino Linotype"/>
        </w:rPr>
        <w:t xml:space="preserve">preciaciones y manifestaciones </w:t>
      </w:r>
      <w:r w:rsidRPr="00F83802">
        <w:rPr>
          <w:rFonts w:ascii="Palatino Linotype" w:eastAsia="Palatino Linotype" w:hAnsi="Palatino Linotype" w:cs="Palatino Linotype"/>
        </w:rPr>
        <w:t xml:space="preserve">de la parte </w:t>
      </w:r>
      <w:r w:rsidRPr="00F83802">
        <w:rPr>
          <w:rFonts w:ascii="Palatino Linotype" w:eastAsia="Palatino Linotype" w:hAnsi="Palatino Linotype" w:cs="Palatino Linotype"/>
          <w:b/>
        </w:rPr>
        <w:t>Recurrente</w:t>
      </w:r>
      <w:r w:rsidR="000648DF" w:rsidRPr="00F83802">
        <w:rPr>
          <w:rFonts w:ascii="Palatino Linotype" w:eastAsia="Palatino Linotype" w:hAnsi="Palatino Linotype" w:cs="Palatino Linotype"/>
        </w:rPr>
        <w:t xml:space="preserve">, al cuestionar la temporalidad </w:t>
      </w:r>
      <w:r w:rsidR="00C3657A" w:rsidRPr="00F83802">
        <w:rPr>
          <w:rFonts w:ascii="Palatino Linotype" w:eastAsia="Palatino Linotype" w:hAnsi="Palatino Linotype" w:cs="Palatino Linotype"/>
        </w:rPr>
        <w:t>d</w:t>
      </w:r>
      <w:r w:rsidR="000648DF" w:rsidRPr="00F83802">
        <w:rPr>
          <w:rFonts w:ascii="Palatino Linotype" w:eastAsia="Palatino Linotype" w:hAnsi="Palatino Linotype" w:cs="Palatino Linotype"/>
        </w:rPr>
        <w:t xml:space="preserve">el permiso provisional de funcionamiento del establecimiento referido en la solicitud, toda vez que a su consideración el negocio se encontraba en funcionamiento a partir de enero </w:t>
      </w:r>
      <w:r w:rsidR="005816AA" w:rsidRPr="00F83802">
        <w:rPr>
          <w:rFonts w:ascii="Palatino Linotype" w:eastAsia="Palatino Linotype" w:hAnsi="Palatino Linotype" w:cs="Palatino Linotype"/>
        </w:rPr>
        <w:t>del dos mil veinticinco</w:t>
      </w:r>
      <w:r w:rsidR="00713683" w:rsidRPr="00F83802">
        <w:rPr>
          <w:rFonts w:ascii="Palatino Linotype" w:eastAsia="Palatino Linotype" w:hAnsi="Palatino Linotype" w:cs="Palatino Linotype"/>
        </w:rPr>
        <w:t>,</w:t>
      </w:r>
      <w:r w:rsidRPr="00F83802">
        <w:rPr>
          <w:rFonts w:ascii="Palatino Linotype" w:eastAsia="Palatino Linotype" w:hAnsi="Palatino Linotype" w:cs="Palatino Linotype"/>
        </w:rPr>
        <w:t xml:space="preserve"> situación que no puede ser analiz</w:t>
      </w:r>
      <w:r w:rsidR="000F1BF8" w:rsidRPr="00F83802">
        <w:rPr>
          <w:rFonts w:ascii="Palatino Linotype" w:eastAsia="Palatino Linotype" w:hAnsi="Palatino Linotype" w:cs="Palatino Linotype"/>
        </w:rPr>
        <w:t xml:space="preserve">ada a través del Derecho de Acceso a la Información Pública. </w:t>
      </w:r>
    </w:p>
    <w:p w14:paraId="495EAE21" w14:textId="77777777" w:rsidR="00035257" w:rsidRPr="00F83802" w:rsidRDefault="00035257" w:rsidP="00BB6C45">
      <w:pPr>
        <w:spacing w:after="0" w:line="360" w:lineRule="auto"/>
        <w:ind w:right="96"/>
        <w:jc w:val="both"/>
        <w:rPr>
          <w:rFonts w:ascii="Palatino Linotype" w:eastAsia="Palatino Linotype" w:hAnsi="Palatino Linotype" w:cs="Palatino Linotype"/>
        </w:rPr>
      </w:pPr>
    </w:p>
    <w:p w14:paraId="62CC53D7" w14:textId="77777777" w:rsidR="003427ED" w:rsidRPr="00F83802" w:rsidRDefault="003427ED" w:rsidP="00BB6C45">
      <w:pPr>
        <w:spacing w:after="0" w:line="360" w:lineRule="auto"/>
        <w:ind w:right="96"/>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Asimismo, es de mencionar que, el artículo 179 de la Ley de Transparencia y Acceso a la Información Pública del Estado de México y Municipios precisa que: </w:t>
      </w:r>
    </w:p>
    <w:p w14:paraId="53B9559B" w14:textId="77777777" w:rsidR="003427ED" w:rsidRPr="00F83802" w:rsidRDefault="003427ED" w:rsidP="00BB6C45">
      <w:pPr>
        <w:spacing w:after="0" w:line="360" w:lineRule="auto"/>
        <w:ind w:right="96"/>
        <w:jc w:val="both"/>
        <w:rPr>
          <w:rFonts w:ascii="Palatino Linotype" w:eastAsia="Palatino Linotype" w:hAnsi="Palatino Linotype" w:cs="Palatino Linotype"/>
        </w:rPr>
      </w:pPr>
    </w:p>
    <w:p w14:paraId="0815EC16" w14:textId="24B93DF8" w:rsidR="003427ED" w:rsidRPr="00F83802" w:rsidRDefault="00C3657A" w:rsidP="00C3657A">
      <w:pPr>
        <w:spacing w:after="0" w:line="276" w:lineRule="auto"/>
        <w:ind w:left="851" w:right="843"/>
        <w:jc w:val="both"/>
        <w:rPr>
          <w:rFonts w:ascii="Palatino Linotype" w:hAnsi="Palatino Linotype"/>
          <w:i/>
        </w:rPr>
      </w:pPr>
      <w:r w:rsidRPr="00F83802">
        <w:rPr>
          <w:rFonts w:ascii="Palatino Linotype" w:hAnsi="Palatino Linotype"/>
          <w:i/>
        </w:rPr>
        <w:t>“</w:t>
      </w:r>
      <w:r w:rsidR="003427ED" w:rsidRPr="00F83802">
        <w:rPr>
          <w:rFonts w:ascii="Palatino Linotype" w:hAnsi="Palatino Linotype"/>
          <w:b/>
          <w:i/>
        </w:rPr>
        <w:t>Artículo 179.</w:t>
      </w:r>
      <w:r w:rsidR="003427ED" w:rsidRPr="00F83802">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39A3CF79" w14:textId="77777777" w:rsidR="00C3657A" w:rsidRPr="00F83802" w:rsidRDefault="00C3657A" w:rsidP="00C3657A">
      <w:pPr>
        <w:spacing w:after="0" w:line="276" w:lineRule="auto"/>
        <w:ind w:left="851" w:right="843"/>
        <w:jc w:val="both"/>
        <w:rPr>
          <w:rFonts w:ascii="Palatino Linotype" w:hAnsi="Palatino Linotype"/>
          <w:i/>
        </w:rPr>
      </w:pPr>
    </w:p>
    <w:p w14:paraId="4C0EB420"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I. La negativa a la información solicitada; </w:t>
      </w:r>
    </w:p>
    <w:p w14:paraId="6B2108F0"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II. La clasificación de la información; </w:t>
      </w:r>
    </w:p>
    <w:p w14:paraId="6D60CCCE"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III. La declaración de inexistencia de la información; </w:t>
      </w:r>
    </w:p>
    <w:p w14:paraId="359DF126"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IV. La declaración de incompetencia por el sujeto obligado; </w:t>
      </w:r>
    </w:p>
    <w:p w14:paraId="07391174"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V. La entrega de información incompleta; </w:t>
      </w:r>
    </w:p>
    <w:p w14:paraId="335F5008"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VI. La entrega de información que no corresponda con lo solicitado; </w:t>
      </w:r>
    </w:p>
    <w:p w14:paraId="6A8E01EB"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VII. La falta de respuesta a una solicitud de acceso a la información; </w:t>
      </w:r>
    </w:p>
    <w:p w14:paraId="64EC8B5B"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VIII. La notificación, entrega o puesta a disposición de información en una modalidad o formato distinto al solicitado; </w:t>
      </w:r>
    </w:p>
    <w:p w14:paraId="61AB0CFB"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IX. La entrega o puesta a disposición de información en un formato incomprensible y/o no accesible para el solicitante; </w:t>
      </w:r>
    </w:p>
    <w:p w14:paraId="7A1DDABD"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X. Los costos o tiempos de entrega de la información; </w:t>
      </w:r>
    </w:p>
    <w:p w14:paraId="665D7187"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XI. La falta de trámite a una solicitud; </w:t>
      </w:r>
    </w:p>
    <w:p w14:paraId="29D94566"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XII. La negativa a permitir la consulta directa de la información; </w:t>
      </w:r>
    </w:p>
    <w:p w14:paraId="0F482F7A" w14:textId="77777777" w:rsidR="003427ED" w:rsidRPr="00F83802" w:rsidRDefault="003427ED" w:rsidP="00C3657A">
      <w:pPr>
        <w:spacing w:after="0" w:line="276" w:lineRule="auto"/>
        <w:ind w:left="851" w:right="843"/>
        <w:jc w:val="both"/>
        <w:rPr>
          <w:rFonts w:ascii="Palatino Linotype" w:hAnsi="Palatino Linotype"/>
          <w:i/>
        </w:rPr>
      </w:pPr>
      <w:r w:rsidRPr="00F83802">
        <w:rPr>
          <w:rFonts w:ascii="Palatino Linotype" w:hAnsi="Palatino Linotype"/>
          <w:i/>
        </w:rPr>
        <w:t xml:space="preserve">XIII. La falta, deficiencia o insuficiencia de la fundamentación y/o motivación en la respuesta; y </w:t>
      </w:r>
    </w:p>
    <w:p w14:paraId="5F52117E" w14:textId="03A059DB" w:rsidR="003427ED" w:rsidRPr="00F83802" w:rsidRDefault="003427ED" w:rsidP="00C3657A">
      <w:pPr>
        <w:spacing w:after="0" w:line="276" w:lineRule="auto"/>
        <w:ind w:left="851" w:right="843"/>
        <w:jc w:val="both"/>
        <w:rPr>
          <w:rFonts w:ascii="Palatino Linotype" w:eastAsia="Palatino Linotype" w:hAnsi="Palatino Linotype" w:cs="Palatino Linotype"/>
          <w:i/>
        </w:rPr>
      </w:pPr>
      <w:r w:rsidRPr="00F83802">
        <w:rPr>
          <w:rFonts w:ascii="Palatino Linotype" w:hAnsi="Palatino Linotype"/>
          <w:i/>
        </w:rPr>
        <w:t>XIV. La orientación a un trámite específico.</w:t>
      </w:r>
      <w:r w:rsidR="00C3657A" w:rsidRPr="00F83802">
        <w:rPr>
          <w:rFonts w:ascii="Palatino Linotype" w:hAnsi="Palatino Linotype"/>
          <w:i/>
        </w:rPr>
        <w:t>”</w:t>
      </w:r>
    </w:p>
    <w:p w14:paraId="4A49AB1C" w14:textId="77777777" w:rsidR="003427ED" w:rsidRPr="00F83802" w:rsidRDefault="003427ED" w:rsidP="00BB6C45">
      <w:pPr>
        <w:spacing w:after="0" w:line="360" w:lineRule="auto"/>
        <w:ind w:right="96"/>
        <w:jc w:val="both"/>
        <w:rPr>
          <w:rFonts w:ascii="Palatino Linotype" w:eastAsia="Palatino Linotype" w:hAnsi="Palatino Linotype" w:cs="Palatino Linotype"/>
        </w:rPr>
      </w:pPr>
    </w:p>
    <w:p w14:paraId="07362CE3" w14:textId="479F58D9" w:rsidR="003427ED" w:rsidRPr="00F83802" w:rsidRDefault="003427ED" w:rsidP="00BB6C45">
      <w:pPr>
        <w:spacing w:after="0" w:line="360" w:lineRule="auto"/>
        <w:ind w:right="49"/>
        <w:jc w:val="both"/>
        <w:rPr>
          <w:rFonts w:ascii="Palatino Linotype" w:eastAsia="Palatino Linotype" w:hAnsi="Palatino Linotype" w:cs="Palatino Linotype"/>
          <w:b/>
        </w:rPr>
      </w:pPr>
      <w:r w:rsidRPr="00F83802">
        <w:rPr>
          <w:rFonts w:ascii="Palatino Linotype" w:eastAsia="Palatino Linotype" w:hAnsi="Palatino Linotype" w:cs="Palatino Linotype"/>
        </w:rPr>
        <w:t xml:space="preserve">Por lo que, de conformidad con los motivos de inconformidad aducidos por la parte </w:t>
      </w:r>
      <w:r w:rsidRPr="00F83802">
        <w:rPr>
          <w:rFonts w:ascii="Palatino Linotype" w:eastAsia="Palatino Linotype" w:hAnsi="Palatino Linotype" w:cs="Palatino Linotype"/>
          <w:b/>
        </w:rPr>
        <w:t>Recurrente</w:t>
      </w:r>
      <w:r w:rsidRPr="00F83802">
        <w:rPr>
          <w:rFonts w:ascii="Palatino Linotype" w:eastAsia="Palatino Linotype" w:hAnsi="Palatino Linotype" w:cs="Palatino Linotype"/>
        </w:rPr>
        <w:t>, relacionados con “</w:t>
      </w:r>
      <w:r w:rsidR="00CD22FB" w:rsidRPr="00F83802">
        <w:rPr>
          <w:rFonts w:ascii="Palatino Linotype" w:eastAsia="Palatino Linotype" w:hAnsi="Palatino Linotype" w:cs="Palatino Linotype"/>
          <w:i/>
        </w:rPr>
        <w:t xml:space="preserve">Comentan que de acuerdo con lo que menciona el artículo 31 de la Ley Organica Municipal del Estado de México no podrá exceder más de 3 meses, los cuales ahí venden bebidas alchololicas en el cual adjunto evidencia, y </w:t>
      </w:r>
      <w:r w:rsidR="00CD22FB" w:rsidRPr="00F83802">
        <w:rPr>
          <w:rFonts w:ascii="Palatino Linotype" w:eastAsia="Palatino Linotype" w:hAnsi="Palatino Linotype" w:cs="Palatino Linotype"/>
          <w:b/>
          <w:i/>
          <w:u w:val="single"/>
        </w:rPr>
        <w:t>el negocio esta abierto desde enero del año actual;</w:t>
      </w:r>
      <w:r w:rsidR="00CD22FB" w:rsidRPr="00F83802">
        <w:rPr>
          <w:rFonts w:ascii="Palatino Linotype" w:eastAsia="Palatino Linotype" w:hAnsi="Palatino Linotype" w:cs="Palatino Linotype"/>
          <w:i/>
        </w:rPr>
        <w:t xml:space="preserve"> en el cual estan demostrando su corrupcion por ser el negocio de la hermana de la disque coordinadora del comercio y además es super despota.</w:t>
      </w:r>
      <w:r w:rsidRPr="00F83802">
        <w:rPr>
          <w:rFonts w:ascii="Palatino Linotype" w:eastAsia="Palatino Linotype" w:hAnsi="Palatino Linotype" w:cs="Palatino Linotype"/>
          <w:i/>
        </w:rPr>
        <w:t xml:space="preserve">” </w:t>
      </w:r>
      <w:r w:rsidRPr="00F83802">
        <w:rPr>
          <w:rFonts w:ascii="Palatino Linotype" w:eastAsia="Palatino Linotype" w:hAnsi="Palatino Linotype" w:cs="Palatino Linotype"/>
        </w:rPr>
        <w:t xml:space="preserve">se advirtió que, estos no encuadran en algunos de los supuestos establecidos en el artículo que antecede, puesto que, la parte </w:t>
      </w:r>
      <w:r w:rsidRPr="00F83802">
        <w:rPr>
          <w:rFonts w:ascii="Palatino Linotype" w:eastAsia="Palatino Linotype" w:hAnsi="Palatino Linotype" w:cs="Palatino Linotype"/>
          <w:b/>
        </w:rPr>
        <w:t>Recurrente</w:t>
      </w:r>
      <w:r w:rsidRPr="00F83802">
        <w:rPr>
          <w:rFonts w:ascii="Palatino Linotype" w:eastAsia="Palatino Linotype" w:hAnsi="Palatino Linotype" w:cs="Palatino Linotype"/>
        </w:rPr>
        <w:t xml:space="preserve">, no se inconformó por la clasificación o inexistencia de la información, la entrega de información incompleta, el cambio de modalidad o algún otro supuesto establecido en el artículo 179 de la Ley en la materia. </w:t>
      </w:r>
    </w:p>
    <w:p w14:paraId="4464C087" w14:textId="77777777" w:rsidR="003427ED" w:rsidRPr="00F83802" w:rsidRDefault="003427ED" w:rsidP="00BB6C45">
      <w:pPr>
        <w:spacing w:after="0" w:line="360" w:lineRule="auto"/>
        <w:ind w:right="96"/>
        <w:jc w:val="both"/>
        <w:rPr>
          <w:rFonts w:ascii="Palatino Linotype" w:eastAsia="Palatino Linotype" w:hAnsi="Palatino Linotype" w:cs="Palatino Linotype"/>
        </w:rPr>
      </w:pPr>
    </w:p>
    <w:p w14:paraId="683AE07E" w14:textId="77777777" w:rsidR="003427ED" w:rsidRPr="00F83802" w:rsidRDefault="003427ED" w:rsidP="00BB6C45">
      <w:pPr>
        <w:spacing w:after="0" w:line="360" w:lineRule="auto"/>
        <w:ind w:right="96"/>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De tal manera que, al no actualizarse alguna de las causales establecidas en el multicitado artículo, por el contrario, al tratarse de manifestaciones y apreciaciones personales de la parte </w:t>
      </w:r>
      <w:r w:rsidRPr="00F83802">
        <w:rPr>
          <w:rFonts w:ascii="Palatino Linotype" w:eastAsia="Palatino Linotype" w:hAnsi="Palatino Linotype" w:cs="Palatino Linotype"/>
          <w:b/>
        </w:rPr>
        <w:t>Recurrente</w:t>
      </w:r>
      <w:r w:rsidRPr="00F83802">
        <w:rPr>
          <w:rFonts w:ascii="Palatino Linotype" w:eastAsia="Palatino Linotype" w:hAnsi="Palatino Linotype" w:cs="Palatino Linotype"/>
        </w:rPr>
        <w:t xml:space="preserve">, se determina </w:t>
      </w:r>
      <w:r w:rsidRPr="00F83802">
        <w:rPr>
          <w:rFonts w:ascii="Palatino Linotype" w:eastAsia="Palatino Linotype" w:hAnsi="Palatino Linotype" w:cs="Palatino Linotype"/>
          <w:b/>
        </w:rPr>
        <w:t>SOBRESEER</w:t>
      </w:r>
      <w:r w:rsidRPr="00F83802">
        <w:rPr>
          <w:rFonts w:ascii="Palatino Linotype" w:eastAsia="Palatino Linotype" w:hAnsi="Palatino Linotype" w:cs="Palatino Linotype"/>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3F0ACF0E" w14:textId="77777777" w:rsidR="000F1BF8" w:rsidRPr="00F83802" w:rsidRDefault="000F1BF8" w:rsidP="00BB6C45">
      <w:pPr>
        <w:spacing w:after="0" w:line="360" w:lineRule="auto"/>
        <w:ind w:right="96"/>
        <w:jc w:val="both"/>
        <w:rPr>
          <w:rFonts w:ascii="Palatino Linotype" w:eastAsia="Palatino Linotype" w:hAnsi="Palatino Linotype" w:cs="Palatino Linotype"/>
        </w:rPr>
      </w:pPr>
    </w:p>
    <w:p w14:paraId="35C33FBB" w14:textId="77777777" w:rsidR="003427ED" w:rsidRPr="00F83802" w:rsidRDefault="003427ED" w:rsidP="00E22C6B">
      <w:pPr>
        <w:tabs>
          <w:tab w:val="left" w:pos="851"/>
          <w:tab w:val="left" w:pos="7938"/>
        </w:tabs>
        <w:spacing w:after="0" w:line="276" w:lineRule="auto"/>
        <w:ind w:left="851" w:right="902"/>
        <w:jc w:val="both"/>
        <w:rPr>
          <w:rFonts w:ascii="Palatino Linotype" w:eastAsia="Palatino Linotype" w:hAnsi="Palatino Linotype" w:cs="Palatino Linotype"/>
          <w:i/>
        </w:rPr>
      </w:pPr>
      <w:r w:rsidRPr="00F83802">
        <w:rPr>
          <w:rFonts w:ascii="Palatino Linotype" w:eastAsia="Palatino Linotype" w:hAnsi="Palatino Linotype" w:cs="Palatino Linotype"/>
          <w:i/>
        </w:rPr>
        <w:t>“</w:t>
      </w:r>
      <w:r w:rsidRPr="00F83802">
        <w:rPr>
          <w:rFonts w:ascii="Palatino Linotype" w:eastAsia="Palatino Linotype" w:hAnsi="Palatino Linotype" w:cs="Palatino Linotype"/>
          <w:b/>
          <w:i/>
        </w:rPr>
        <w:t>Artículo 191</w:t>
      </w:r>
      <w:r w:rsidRPr="00F83802">
        <w:rPr>
          <w:rFonts w:ascii="Palatino Linotype" w:eastAsia="Palatino Linotype" w:hAnsi="Palatino Linotype" w:cs="Palatino Linotype"/>
          <w:i/>
        </w:rPr>
        <w:t xml:space="preserve">. </w:t>
      </w:r>
      <w:r w:rsidRPr="00F83802">
        <w:rPr>
          <w:rFonts w:ascii="Palatino Linotype" w:eastAsia="Palatino Linotype" w:hAnsi="Palatino Linotype" w:cs="Palatino Linotype"/>
          <w:b/>
          <w:i/>
        </w:rPr>
        <w:t>El recurso</w:t>
      </w:r>
      <w:r w:rsidRPr="00F83802">
        <w:rPr>
          <w:rFonts w:ascii="Palatino Linotype" w:eastAsia="Palatino Linotype" w:hAnsi="Palatino Linotype" w:cs="Palatino Linotype"/>
          <w:i/>
        </w:rPr>
        <w:t xml:space="preserve"> </w:t>
      </w:r>
      <w:r w:rsidRPr="00F83802">
        <w:rPr>
          <w:rFonts w:ascii="Palatino Linotype" w:eastAsia="Palatino Linotype" w:hAnsi="Palatino Linotype" w:cs="Palatino Linotype"/>
          <w:b/>
          <w:i/>
        </w:rPr>
        <w:t xml:space="preserve">será </w:t>
      </w:r>
      <w:r w:rsidRPr="00F83802">
        <w:rPr>
          <w:rFonts w:ascii="Palatino Linotype" w:eastAsia="Palatino Linotype" w:hAnsi="Palatino Linotype" w:cs="Palatino Linotype"/>
          <w:i/>
        </w:rPr>
        <w:t xml:space="preserve">desechado por </w:t>
      </w:r>
      <w:r w:rsidRPr="00F83802">
        <w:rPr>
          <w:rFonts w:ascii="Palatino Linotype" w:eastAsia="Palatino Linotype" w:hAnsi="Palatino Linotype" w:cs="Palatino Linotype"/>
          <w:b/>
          <w:i/>
        </w:rPr>
        <w:t>improcedente cuando</w:t>
      </w:r>
      <w:r w:rsidRPr="00F83802">
        <w:rPr>
          <w:rFonts w:ascii="Palatino Linotype" w:eastAsia="Palatino Linotype" w:hAnsi="Palatino Linotype" w:cs="Palatino Linotype"/>
          <w:i/>
        </w:rPr>
        <w:t>:</w:t>
      </w:r>
    </w:p>
    <w:p w14:paraId="1E70A960" w14:textId="77777777" w:rsidR="003427ED" w:rsidRPr="00F83802" w:rsidRDefault="003427ED" w:rsidP="00E22C6B">
      <w:pPr>
        <w:tabs>
          <w:tab w:val="left" w:pos="851"/>
          <w:tab w:val="left" w:pos="7938"/>
        </w:tabs>
        <w:spacing w:after="0" w:line="276" w:lineRule="auto"/>
        <w:ind w:left="851" w:right="902"/>
        <w:jc w:val="both"/>
        <w:rPr>
          <w:rFonts w:ascii="Palatino Linotype" w:eastAsia="Palatino Linotype" w:hAnsi="Palatino Linotype" w:cs="Palatino Linotype"/>
          <w:i/>
        </w:rPr>
      </w:pPr>
      <w:r w:rsidRPr="00F83802">
        <w:rPr>
          <w:rFonts w:ascii="Palatino Linotype" w:eastAsia="Palatino Linotype" w:hAnsi="Palatino Linotype" w:cs="Palatino Linotype"/>
          <w:i/>
        </w:rPr>
        <w:t>…</w:t>
      </w:r>
    </w:p>
    <w:p w14:paraId="631E8371" w14:textId="77777777" w:rsidR="003427ED" w:rsidRPr="00F83802" w:rsidRDefault="003427ED" w:rsidP="00E22C6B">
      <w:pPr>
        <w:tabs>
          <w:tab w:val="left" w:pos="851"/>
          <w:tab w:val="left" w:pos="7938"/>
        </w:tabs>
        <w:spacing w:after="0" w:line="276" w:lineRule="auto"/>
        <w:ind w:left="851" w:right="902"/>
        <w:jc w:val="both"/>
        <w:rPr>
          <w:rFonts w:ascii="Palatino Linotype" w:eastAsia="Palatino Linotype" w:hAnsi="Palatino Linotype" w:cs="Palatino Linotype"/>
          <w:i/>
        </w:rPr>
      </w:pPr>
      <w:r w:rsidRPr="00F83802">
        <w:rPr>
          <w:rFonts w:ascii="Palatino Linotype" w:eastAsia="Palatino Linotype" w:hAnsi="Palatino Linotype" w:cs="Palatino Linotype"/>
          <w:b/>
          <w:i/>
        </w:rPr>
        <w:t>III. No actualice alguno de los supuestos previstos en la presente Ley;</w:t>
      </w:r>
      <w:r w:rsidRPr="00F83802">
        <w:rPr>
          <w:rFonts w:ascii="Palatino Linotype" w:eastAsia="Palatino Linotype" w:hAnsi="Palatino Linotype" w:cs="Palatino Linotype"/>
          <w:b/>
          <w:i/>
        </w:rPr>
        <w:cr/>
      </w:r>
      <w:r w:rsidRPr="00F83802">
        <w:rPr>
          <w:rFonts w:ascii="Palatino Linotype" w:eastAsia="Palatino Linotype" w:hAnsi="Palatino Linotype" w:cs="Palatino Linotype"/>
          <w:i/>
        </w:rPr>
        <w:t>…</w:t>
      </w:r>
    </w:p>
    <w:p w14:paraId="24A56F67" w14:textId="77777777" w:rsidR="003427ED" w:rsidRPr="00F83802" w:rsidRDefault="003427ED" w:rsidP="00E22C6B">
      <w:pPr>
        <w:tabs>
          <w:tab w:val="left" w:pos="851"/>
          <w:tab w:val="left" w:pos="7938"/>
        </w:tabs>
        <w:spacing w:after="0" w:line="276" w:lineRule="auto"/>
        <w:ind w:left="851" w:right="902"/>
        <w:jc w:val="both"/>
        <w:rPr>
          <w:rFonts w:ascii="Palatino Linotype" w:eastAsia="Palatino Linotype" w:hAnsi="Palatino Linotype" w:cs="Palatino Linotype"/>
          <w:i/>
        </w:rPr>
      </w:pPr>
      <w:r w:rsidRPr="00F83802">
        <w:rPr>
          <w:rFonts w:ascii="Palatino Linotype" w:eastAsia="Palatino Linotype" w:hAnsi="Palatino Linotype" w:cs="Palatino Linotype"/>
          <w:b/>
          <w:i/>
        </w:rPr>
        <w:t>Artículo 192.</w:t>
      </w:r>
      <w:r w:rsidRPr="00F83802">
        <w:rPr>
          <w:rFonts w:ascii="Palatino Linotype" w:eastAsia="Palatino Linotype" w:hAnsi="Palatino Linotype" w:cs="Palatino Linotype"/>
          <w:i/>
        </w:rPr>
        <w:t xml:space="preserve"> El recurso será sobreseído, en todo o en parte, cuando una vez admitido, se actualicen alguno de los siguientes supuestos:</w:t>
      </w:r>
    </w:p>
    <w:p w14:paraId="79AF84BA" w14:textId="77777777" w:rsidR="003427ED" w:rsidRPr="00F83802" w:rsidRDefault="003427ED" w:rsidP="00E22C6B">
      <w:pPr>
        <w:tabs>
          <w:tab w:val="left" w:pos="851"/>
          <w:tab w:val="left" w:pos="7938"/>
        </w:tabs>
        <w:spacing w:after="0" w:line="276" w:lineRule="auto"/>
        <w:ind w:left="851" w:right="902"/>
        <w:jc w:val="both"/>
        <w:rPr>
          <w:rFonts w:ascii="Palatino Linotype" w:eastAsia="Palatino Linotype" w:hAnsi="Palatino Linotype" w:cs="Palatino Linotype"/>
          <w:i/>
        </w:rPr>
      </w:pPr>
      <w:r w:rsidRPr="00F83802">
        <w:rPr>
          <w:rFonts w:ascii="Palatino Linotype" w:eastAsia="Palatino Linotype" w:hAnsi="Palatino Linotype" w:cs="Palatino Linotype"/>
          <w:i/>
        </w:rPr>
        <w:t>…</w:t>
      </w:r>
    </w:p>
    <w:p w14:paraId="5D83CA41" w14:textId="77777777" w:rsidR="003427ED" w:rsidRPr="00F83802" w:rsidRDefault="003427ED" w:rsidP="00E22C6B">
      <w:pPr>
        <w:tabs>
          <w:tab w:val="left" w:pos="851"/>
          <w:tab w:val="left" w:pos="7938"/>
        </w:tabs>
        <w:spacing w:after="0" w:line="276" w:lineRule="auto"/>
        <w:ind w:left="851" w:right="902"/>
        <w:jc w:val="both"/>
        <w:rPr>
          <w:rFonts w:ascii="Palatino Linotype" w:eastAsia="Palatino Linotype" w:hAnsi="Palatino Linotype" w:cs="Palatino Linotype"/>
          <w:i/>
        </w:rPr>
      </w:pPr>
      <w:r w:rsidRPr="00F83802">
        <w:rPr>
          <w:rFonts w:ascii="Palatino Linotype" w:eastAsia="Palatino Linotype" w:hAnsi="Palatino Linotype" w:cs="Palatino Linotype"/>
          <w:b/>
          <w:i/>
        </w:rPr>
        <w:t>IV</w:t>
      </w:r>
      <w:r w:rsidRPr="00F83802">
        <w:rPr>
          <w:rFonts w:ascii="Palatino Linotype" w:eastAsia="Palatino Linotype" w:hAnsi="Palatino Linotype" w:cs="Palatino Linotype"/>
          <w:i/>
        </w:rPr>
        <w:t xml:space="preserve">. Admitido el recurso de revisión, </w:t>
      </w:r>
      <w:r w:rsidRPr="00F83802">
        <w:rPr>
          <w:rFonts w:ascii="Palatino Linotype" w:eastAsia="Palatino Linotype" w:hAnsi="Palatino Linotype" w:cs="Palatino Linotype"/>
          <w:b/>
          <w:i/>
        </w:rPr>
        <w:t>aparezca alguna causal de improcedencia</w:t>
      </w:r>
      <w:r w:rsidRPr="00F83802">
        <w:rPr>
          <w:rFonts w:ascii="Palatino Linotype" w:eastAsia="Palatino Linotype" w:hAnsi="Palatino Linotype" w:cs="Palatino Linotype"/>
          <w:i/>
        </w:rPr>
        <w:t xml:space="preserve"> en los términos de la presente Ley. “</w:t>
      </w:r>
    </w:p>
    <w:p w14:paraId="23F31507" w14:textId="77777777" w:rsidR="003427ED" w:rsidRPr="00F83802" w:rsidRDefault="003427ED" w:rsidP="00BB6C45">
      <w:pPr>
        <w:tabs>
          <w:tab w:val="left" w:pos="7938"/>
        </w:tabs>
        <w:spacing w:after="0" w:line="360" w:lineRule="auto"/>
        <w:ind w:left="567" w:right="902"/>
        <w:jc w:val="both"/>
        <w:rPr>
          <w:rFonts w:ascii="Palatino Linotype" w:eastAsia="Palatino Linotype" w:hAnsi="Palatino Linotype" w:cs="Palatino Linotype"/>
          <w:i/>
        </w:rPr>
      </w:pPr>
    </w:p>
    <w:p w14:paraId="3F7A7939" w14:textId="77777777" w:rsidR="003427ED" w:rsidRPr="00F83802" w:rsidRDefault="003427ED" w:rsidP="00BB6C45">
      <w:pPr>
        <w:spacing w:after="0" w:line="360" w:lineRule="auto"/>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Siendo el </w:t>
      </w:r>
      <w:r w:rsidRPr="00F83802">
        <w:rPr>
          <w:rFonts w:ascii="Palatino Linotype" w:eastAsia="Palatino Linotype" w:hAnsi="Palatino Linotype" w:cs="Palatino Linotype"/>
          <w:b/>
          <w:i/>
        </w:rPr>
        <w:t>sobreseimiento</w:t>
      </w:r>
      <w:r w:rsidRPr="00F83802">
        <w:rPr>
          <w:rFonts w:ascii="Palatino Linotype" w:eastAsia="Palatino Linotype" w:hAnsi="Palatino Linotype" w:cs="Palatino Linotype"/>
          <w:b/>
        </w:rPr>
        <w:t xml:space="preserve"> </w:t>
      </w:r>
      <w:r w:rsidRPr="00F83802">
        <w:rPr>
          <w:rFonts w:ascii="Palatino Linotype" w:eastAsia="Palatino Linotype" w:hAnsi="Palatino Linotype" w:cs="Palatino Linotype"/>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88944B7" w14:textId="77777777" w:rsidR="003427ED" w:rsidRPr="00F83802" w:rsidRDefault="003427ED" w:rsidP="00BB6C45">
      <w:pPr>
        <w:spacing w:after="0" w:line="360" w:lineRule="auto"/>
        <w:jc w:val="both"/>
        <w:rPr>
          <w:rFonts w:ascii="Palatino Linotype" w:eastAsia="Palatino Linotype" w:hAnsi="Palatino Linotype" w:cs="Palatino Linotype"/>
        </w:rPr>
      </w:pPr>
    </w:p>
    <w:p w14:paraId="251E057C" w14:textId="77777777" w:rsidR="003427ED" w:rsidRPr="00F83802" w:rsidRDefault="003427ED" w:rsidP="00E22C6B">
      <w:pPr>
        <w:spacing w:after="0" w:line="276" w:lineRule="auto"/>
        <w:ind w:left="851" w:right="902"/>
        <w:jc w:val="both"/>
        <w:rPr>
          <w:rFonts w:ascii="Palatino Linotype" w:eastAsia="Palatino Linotype" w:hAnsi="Palatino Linotype" w:cs="Palatino Linotype"/>
          <w:b/>
          <w:i/>
        </w:rPr>
      </w:pPr>
      <w:r w:rsidRPr="00F83802">
        <w:rPr>
          <w:rFonts w:ascii="Palatino Linotype" w:eastAsia="Palatino Linotype" w:hAnsi="Palatino Linotype" w:cs="Palatino Linotype"/>
          <w:i/>
        </w:rPr>
        <w:t>“</w:t>
      </w:r>
      <w:r w:rsidRPr="00F83802">
        <w:rPr>
          <w:rFonts w:ascii="Palatino Linotype" w:eastAsia="Palatino Linotype" w:hAnsi="Palatino Linotype" w:cs="Palatino Linotype"/>
          <w:b/>
          <w:i/>
        </w:rPr>
        <w:t xml:space="preserve">SOBRESEIMIENTO, NO PERMITE ENTRAR AL ESTUDIO DE LAS CUESTIONES DE FONDO. </w:t>
      </w:r>
      <w:r w:rsidRPr="00F83802">
        <w:rPr>
          <w:rFonts w:ascii="Palatino Linotype" w:eastAsia="Palatino Linotype" w:hAnsi="Palatino Linotype" w:cs="Palatino Linotype"/>
          <w:i/>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0BC53A32" w14:textId="77777777" w:rsidR="003427ED" w:rsidRPr="00F83802" w:rsidRDefault="003427ED" w:rsidP="00BB6C45">
      <w:pPr>
        <w:spacing w:after="0" w:line="360" w:lineRule="auto"/>
        <w:ind w:left="567" w:right="902"/>
        <w:jc w:val="both"/>
        <w:rPr>
          <w:rFonts w:ascii="Palatino Linotype" w:eastAsia="Palatino Linotype" w:hAnsi="Palatino Linotype" w:cs="Palatino Linotype"/>
          <w:i/>
        </w:rPr>
      </w:pPr>
    </w:p>
    <w:p w14:paraId="285642F8" w14:textId="77777777" w:rsidR="003427ED" w:rsidRPr="00F83802" w:rsidRDefault="003427ED" w:rsidP="00BB6C45">
      <w:pPr>
        <w:spacing w:after="0" w:line="360" w:lineRule="auto"/>
        <w:jc w:val="both"/>
        <w:rPr>
          <w:rFonts w:ascii="Palatino Linotype" w:eastAsia="Palatino Linotype" w:hAnsi="Palatino Linotype" w:cs="Palatino Linotype"/>
        </w:rPr>
      </w:pPr>
      <w:r w:rsidRPr="00F83802">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053DD6B" w14:textId="77777777" w:rsidR="003427ED" w:rsidRPr="00F83802" w:rsidRDefault="003427ED" w:rsidP="00BB6C45">
      <w:pPr>
        <w:spacing w:after="0" w:line="360" w:lineRule="auto"/>
        <w:jc w:val="both"/>
        <w:rPr>
          <w:rFonts w:ascii="Palatino Linotype" w:eastAsia="Palatino Linotype" w:hAnsi="Palatino Linotype" w:cs="Palatino Linotype"/>
        </w:rPr>
      </w:pPr>
    </w:p>
    <w:p w14:paraId="7C62039F" w14:textId="77777777" w:rsidR="003427ED" w:rsidRPr="00F83802" w:rsidRDefault="003427ED" w:rsidP="00E22C6B">
      <w:pPr>
        <w:spacing w:after="0" w:line="276" w:lineRule="auto"/>
        <w:ind w:left="851" w:right="843"/>
        <w:jc w:val="both"/>
        <w:rPr>
          <w:rFonts w:ascii="Palatino Linotype" w:eastAsia="Palatino Linotype" w:hAnsi="Palatino Linotype" w:cs="Palatino Linotype"/>
          <w:b/>
          <w:i/>
        </w:rPr>
      </w:pPr>
      <w:r w:rsidRPr="00F83802">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F83802">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CB626C0" w14:textId="77777777" w:rsidR="000F1BF8" w:rsidRPr="00F83802" w:rsidRDefault="000F1BF8" w:rsidP="00BB6C45">
      <w:pPr>
        <w:spacing w:after="0" w:line="360" w:lineRule="auto"/>
        <w:ind w:right="49"/>
        <w:jc w:val="both"/>
        <w:rPr>
          <w:rFonts w:ascii="Palatino Linotype" w:eastAsia="Palatino Linotype" w:hAnsi="Palatino Linotype" w:cs="Palatino Linotype"/>
          <w:b/>
        </w:rPr>
      </w:pPr>
    </w:p>
    <w:p w14:paraId="1F0DB953" w14:textId="5C5B1AAC" w:rsidR="008E4940" w:rsidRPr="00F83802" w:rsidRDefault="008E4940" w:rsidP="00BB6C45">
      <w:pP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Finalmente, se dejan a salvo los derechos del particular a fin de que de considerarlo pertinente, interponga su queja o denuncia ante la autoridad competente.</w:t>
      </w:r>
    </w:p>
    <w:p w14:paraId="6C8B6F8E" w14:textId="77777777" w:rsidR="008E4940" w:rsidRPr="00F83802" w:rsidRDefault="008E4940" w:rsidP="00BB6C45">
      <w:pPr>
        <w:spacing w:after="0" w:line="360" w:lineRule="auto"/>
        <w:ind w:right="49"/>
        <w:jc w:val="both"/>
        <w:rPr>
          <w:rFonts w:ascii="Palatino Linotype" w:eastAsia="Palatino Linotype" w:hAnsi="Palatino Linotype" w:cs="Palatino Linotype"/>
          <w:b/>
        </w:rPr>
      </w:pPr>
    </w:p>
    <w:p w14:paraId="228BF855" w14:textId="7E26C025" w:rsidR="000D026B" w:rsidRPr="00F83802" w:rsidRDefault="000F1BF8" w:rsidP="00BB6C45">
      <w:pPr>
        <w:spacing w:after="0" w:line="360" w:lineRule="auto"/>
        <w:ind w:right="49"/>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Así las cosas, con fundamento en lo prescrito en los artículos 5 párrafos </w:t>
      </w:r>
      <w:r w:rsidR="006D741D" w:rsidRPr="00F83802">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F83802">
        <w:rPr>
          <w:rFonts w:ascii="Palatino Linotype" w:eastAsia="Palatino Linotype" w:hAnsi="Palatino Linotype" w:cs="Palatino Linotype"/>
        </w:rPr>
        <w:t>; 2, fracción II; 29, 36 fracciones I y II; 176, 178, 179, 181, 185, 191 fracción VI y 192, fracción IV, de la Ley de Transparencia y Acceso a la Información Pública del Estado de México y Municipios, este Pleno:</w:t>
      </w:r>
    </w:p>
    <w:p w14:paraId="2574C66B" w14:textId="77777777" w:rsidR="00DB49EC" w:rsidRPr="00F83802" w:rsidRDefault="00DB49EC" w:rsidP="00BB6C45">
      <w:pPr>
        <w:spacing w:after="0" w:line="360" w:lineRule="auto"/>
        <w:ind w:right="49"/>
        <w:jc w:val="both"/>
        <w:rPr>
          <w:rFonts w:ascii="Palatino Linotype" w:eastAsia="Palatino Linotype" w:hAnsi="Palatino Linotype" w:cs="Palatino Linotype"/>
        </w:rPr>
      </w:pPr>
    </w:p>
    <w:p w14:paraId="6EC293F8" w14:textId="77777777" w:rsidR="000D026B" w:rsidRPr="00F83802" w:rsidRDefault="000D026B" w:rsidP="00BB6C45">
      <w:pPr>
        <w:spacing w:after="0" w:line="360" w:lineRule="auto"/>
        <w:ind w:left="360"/>
        <w:jc w:val="center"/>
        <w:rPr>
          <w:rFonts w:ascii="Palatino Linotype" w:eastAsia="Palatino Linotype" w:hAnsi="Palatino Linotype" w:cs="Palatino Linotype"/>
          <w:b/>
        </w:rPr>
      </w:pPr>
      <w:r w:rsidRPr="00F83802">
        <w:rPr>
          <w:rFonts w:ascii="Palatino Linotype" w:eastAsia="Palatino Linotype" w:hAnsi="Palatino Linotype" w:cs="Palatino Linotype"/>
          <w:b/>
        </w:rPr>
        <w:t>III. R E S U E L V E:</w:t>
      </w:r>
    </w:p>
    <w:p w14:paraId="39B37653" w14:textId="77777777" w:rsidR="000D026B" w:rsidRPr="00F83802" w:rsidRDefault="000D026B" w:rsidP="00BB6C45">
      <w:pPr>
        <w:spacing w:after="0" w:line="360" w:lineRule="auto"/>
        <w:ind w:left="360"/>
        <w:jc w:val="center"/>
        <w:rPr>
          <w:rFonts w:ascii="Palatino Linotype" w:eastAsia="Palatino Linotype" w:hAnsi="Palatino Linotype" w:cs="Palatino Linotype"/>
          <w:b/>
        </w:rPr>
      </w:pPr>
    </w:p>
    <w:p w14:paraId="7E29EBB9" w14:textId="3CACC043" w:rsidR="000F1BF8" w:rsidRPr="00F83802" w:rsidRDefault="000F1BF8" w:rsidP="00BB6C45">
      <w:pPr>
        <w:spacing w:after="0" w:line="360" w:lineRule="auto"/>
        <w:jc w:val="both"/>
        <w:rPr>
          <w:rFonts w:ascii="Palatino Linotype" w:eastAsia="Palatino Linotype" w:hAnsi="Palatino Linotype" w:cs="Palatino Linotype"/>
        </w:rPr>
      </w:pPr>
      <w:r w:rsidRPr="00F83802">
        <w:rPr>
          <w:rFonts w:ascii="Palatino Linotype" w:eastAsia="Palatino Linotype" w:hAnsi="Palatino Linotype" w:cs="Palatino Linotype"/>
          <w:b/>
        </w:rPr>
        <w:t>Primero.</w:t>
      </w:r>
      <w:r w:rsidRPr="00F83802">
        <w:rPr>
          <w:rFonts w:ascii="Palatino Linotype" w:eastAsia="Palatino Linotype" w:hAnsi="Palatino Linotype" w:cs="Palatino Linotype"/>
        </w:rPr>
        <w:t xml:space="preserve"> Se </w:t>
      </w:r>
      <w:r w:rsidR="00C3657A" w:rsidRPr="00F83802">
        <w:rPr>
          <w:rFonts w:ascii="Palatino Linotype" w:eastAsia="Palatino Linotype" w:hAnsi="Palatino Linotype" w:cs="Palatino Linotype"/>
          <w:b/>
        </w:rPr>
        <w:t>Sobresee</w:t>
      </w:r>
      <w:r w:rsidR="00C3657A" w:rsidRPr="00F83802">
        <w:rPr>
          <w:rFonts w:ascii="Palatino Linotype" w:eastAsia="Palatino Linotype" w:hAnsi="Palatino Linotype" w:cs="Palatino Linotype"/>
        </w:rPr>
        <w:t xml:space="preserve"> </w:t>
      </w:r>
      <w:r w:rsidRPr="00F83802">
        <w:rPr>
          <w:rFonts w:ascii="Palatino Linotype" w:eastAsia="Palatino Linotype" w:hAnsi="Palatino Linotype" w:cs="Palatino Linotype"/>
        </w:rPr>
        <w:t xml:space="preserve">el Recurso de Revisión número </w:t>
      </w:r>
      <w:r w:rsidR="005816AA" w:rsidRPr="00F83802">
        <w:rPr>
          <w:rFonts w:ascii="Palatino Linotype" w:eastAsia="Palatino Linotype" w:hAnsi="Palatino Linotype" w:cs="Palatino Linotype"/>
          <w:b/>
        </w:rPr>
        <w:t>10349</w:t>
      </w:r>
      <w:r w:rsidRPr="00F83802">
        <w:rPr>
          <w:rFonts w:ascii="Palatino Linotype" w:eastAsia="Palatino Linotype" w:hAnsi="Palatino Linotype" w:cs="Palatino Linotype"/>
          <w:b/>
        </w:rPr>
        <w:t>/INFOEM/IP/RR/2025</w:t>
      </w:r>
      <w:r w:rsidRPr="00F83802">
        <w:rPr>
          <w:rFonts w:ascii="Palatino Linotype" w:eastAsia="Palatino Linotype" w:hAnsi="Palatino Linotype" w:cs="Palatino Linotype"/>
        </w:rPr>
        <w:t xml:space="preserve">, por actualizarse la causal de improcedencia prevista en la fracción IV del artículo 192, en relación con la fracción III del artículo 191, ambos de la Ley de Transparencia y Acceso a la Información Pública del Estado de México y Municipio, en términos del Considerando </w:t>
      </w:r>
      <w:r w:rsidR="00E22C6B" w:rsidRPr="00F83802">
        <w:rPr>
          <w:rFonts w:ascii="Palatino Linotype" w:eastAsia="Palatino Linotype" w:hAnsi="Palatino Linotype" w:cs="Palatino Linotype"/>
          <w:b/>
        </w:rPr>
        <w:t>Tercero</w:t>
      </w:r>
      <w:r w:rsidR="00E22C6B" w:rsidRPr="00F83802">
        <w:rPr>
          <w:rFonts w:ascii="Palatino Linotype" w:eastAsia="Palatino Linotype" w:hAnsi="Palatino Linotype" w:cs="Palatino Linotype"/>
        </w:rPr>
        <w:t xml:space="preserve"> </w:t>
      </w:r>
      <w:r w:rsidRPr="00F83802">
        <w:rPr>
          <w:rFonts w:ascii="Palatino Linotype" w:eastAsia="Palatino Linotype" w:hAnsi="Palatino Linotype" w:cs="Palatino Linotype"/>
        </w:rPr>
        <w:t>de la presente resolución.</w:t>
      </w:r>
    </w:p>
    <w:p w14:paraId="294504DB" w14:textId="77777777" w:rsidR="000F1BF8" w:rsidRPr="00F83802" w:rsidRDefault="000F1BF8" w:rsidP="00BB6C45">
      <w:pPr>
        <w:spacing w:after="0" w:line="360" w:lineRule="auto"/>
        <w:jc w:val="both"/>
        <w:rPr>
          <w:rFonts w:ascii="Palatino Linotype" w:eastAsia="Palatino Linotype" w:hAnsi="Palatino Linotype" w:cs="Palatino Linotype"/>
        </w:rPr>
      </w:pPr>
    </w:p>
    <w:p w14:paraId="57D807B8" w14:textId="618E795E" w:rsidR="000F1BF8" w:rsidRPr="00F83802" w:rsidRDefault="000F1BF8" w:rsidP="00BB6C45">
      <w:pPr>
        <w:spacing w:after="0" w:line="360" w:lineRule="auto"/>
        <w:jc w:val="both"/>
        <w:rPr>
          <w:rFonts w:ascii="Palatino Linotype" w:eastAsia="Palatino Linotype" w:hAnsi="Palatino Linotype" w:cs="Palatino Linotype"/>
          <w:b/>
        </w:rPr>
      </w:pPr>
      <w:r w:rsidRPr="00F83802">
        <w:rPr>
          <w:rFonts w:ascii="Palatino Linotype" w:eastAsia="Palatino Linotype" w:hAnsi="Palatino Linotype" w:cs="Palatino Linotype"/>
          <w:b/>
        </w:rPr>
        <w:t>Segundo. Notifíquese vía SAIMEX</w:t>
      </w:r>
      <w:r w:rsidRPr="00F83802">
        <w:rPr>
          <w:rFonts w:ascii="Palatino Linotype" w:eastAsia="Palatino Linotype" w:hAnsi="Palatino Linotype" w:cs="Palatino Linotype"/>
        </w:rPr>
        <w:t>,</w:t>
      </w:r>
      <w:r w:rsidRPr="00F83802">
        <w:rPr>
          <w:rFonts w:ascii="Palatino Linotype" w:eastAsia="Palatino Linotype" w:hAnsi="Palatino Linotype" w:cs="Palatino Linotype"/>
          <w:b/>
        </w:rPr>
        <w:t xml:space="preserve"> </w:t>
      </w:r>
      <w:r w:rsidRPr="00F83802">
        <w:rPr>
          <w:rFonts w:ascii="Palatino Linotype" w:eastAsia="Palatino Linotype" w:hAnsi="Palatino Linotype" w:cs="Palatino Linotype"/>
        </w:rPr>
        <w:t>al Responsable de la Unidad de Transparencia del</w:t>
      </w:r>
      <w:r w:rsidRPr="00F83802">
        <w:rPr>
          <w:rFonts w:ascii="Palatino Linotype" w:eastAsia="Palatino Linotype" w:hAnsi="Palatino Linotype" w:cs="Palatino Linotype"/>
          <w:b/>
        </w:rPr>
        <w:t xml:space="preserve"> </w:t>
      </w:r>
      <w:r w:rsidR="00C3657A" w:rsidRPr="00F83802">
        <w:rPr>
          <w:rFonts w:ascii="Palatino Linotype" w:eastAsia="Palatino Linotype" w:hAnsi="Palatino Linotype" w:cs="Palatino Linotype"/>
          <w:b/>
        </w:rPr>
        <w:t xml:space="preserve">Sujeto Obligado </w:t>
      </w:r>
      <w:r w:rsidRPr="00F83802">
        <w:rPr>
          <w:rFonts w:ascii="Palatino Linotype" w:eastAsia="Palatino Linotype" w:hAnsi="Palatino Linotype" w:cs="Palatino Linotype"/>
        </w:rPr>
        <w:t>la presente resolución, para su conocimiento, lo anterior en términos del artículo 189 de la Ley de Transparencia y Acceso a la Información Pública del Estado de México y Municipios.</w:t>
      </w:r>
    </w:p>
    <w:p w14:paraId="15AD0699" w14:textId="77777777" w:rsidR="000F1BF8" w:rsidRPr="00F83802" w:rsidRDefault="000F1BF8" w:rsidP="00BB6C45">
      <w:pPr>
        <w:spacing w:after="0" w:line="360" w:lineRule="auto"/>
        <w:jc w:val="both"/>
        <w:rPr>
          <w:rFonts w:ascii="Palatino Linotype" w:eastAsia="Palatino Linotype" w:hAnsi="Palatino Linotype" w:cs="Palatino Linotype"/>
        </w:rPr>
      </w:pPr>
    </w:p>
    <w:p w14:paraId="29E2CC83" w14:textId="246982B8" w:rsidR="000F1BF8" w:rsidRPr="00F83802" w:rsidRDefault="000F1BF8" w:rsidP="00BB6C45">
      <w:pPr>
        <w:spacing w:after="0" w:line="360" w:lineRule="auto"/>
        <w:jc w:val="both"/>
        <w:rPr>
          <w:rFonts w:ascii="Palatino Linotype" w:eastAsia="Palatino Linotype" w:hAnsi="Palatino Linotype" w:cs="Palatino Linotype"/>
        </w:rPr>
      </w:pPr>
      <w:r w:rsidRPr="00F83802">
        <w:rPr>
          <w:rFonts w:ascii="Palatino Linotype" w:eastAsia="Palatino Linotype" w:hAnsi="Palatino Linotype" w:cs="Palatino Linotype"/>
          <w:b/>
        </w:rPr>
        <w:t xml:space="preserve">Tercero.  Notifíquese </w:t>
      </w:r>
      <w:r w:rsidRPr="00F83802">
        <w:rPr>
          <w:rFonts w:ascii="Palatino Linotype" w:eastAsia="Palatino Linotype" w:hAnsi="Palatino Linotype" w:cs="Palatino Linotype"/>
        </w:rPr>
        <w:t>vía</w:t>
      </w:r>
      <w:r w:rsidRPr="00F83802">
        <w:rPr>
          <w:rFonts w:ascii="Palatino Linotype" w:eastAsia="Palatino Linotype" w:hAnsi="Palatino Linotype" w:cs="Palatino Linotype"/>
          <w:b/>
        </w:rPr>
        <w:t xml:space="preserve"> SAIMEX, </w:t>
      </w:r>
      <w:r w:rsidRPr="00F83802">
        <w:rPr>
          <w:rFonts w:ascii="Palatino Linotype" w:eastAsia="Palatino Linotype" w:hAnsi="Palatino Linotype" w:cs="Palatino Linotype"/>
        </w:rPr>
        <w:t xml:space="preserve">la presente resolución al </w:t>
      </w:r>
      <w:r w:rsidR="00C3657A" w:rsidRPr="00F83802">
        <w:rPr>
          <w:rFonts w:ascii="Palatino Linotype" w:eastAsia="Palatino Linotype" w:hAnsi="Palatino Linotype" w:cs="Palatino Linotype"/>
          <w:b/>
        </w:rPr>
        <w:t>Recurrente</w:t>
      </w:r>
      <w:r w:rsidRPr="00F83802">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6E20ABB4" w14:textId="77777777" w:rsidR="00D76B34" w:rsidRPr="00F83802" w:rsidRDefault="00D76B34" w:rsidP="00BB6C45">
      <w:pPr>
        <w:spacing w:after="0" w:line="360" w:lineRule="auto"/>
        <w:ind w:right="-93"/>
        <w:jc w:val="both"/>
        <w:rPr>
          <w:rFonts w:ascii="Palatino Linotype" w:eastAsia="Palatino Linotype" w:hAnsi="Palatino Linotype" w:cs="Palatino Linotype"/>
        </w:rPr>
      </w:pPr>
    </w:p>
    <w:p w14:paraId="5BF7643E" w14:textId="4D74FA5A" w:rsidR="00C82540" w:rsidRPr="00CA61E0" w:rsidRDefault="009062AA" w:rsidP="00BB6C45">
      <w:pPr>
        <w:spacing w:after="0" w:line="360" w:lineRule="auto"/>
        <w:ind w:right="-93"/>
        <w:jc w:val="both"/>
        <w:rPr>
          <w:rFonts w:ascii="Palatino Linotype" w:eastAsia="Palatino Linotype" w:hAnsi="Palatino Linotype" w:cs="Palatino Linotype"/>
        </w:rPr>
      </w:pPr>
      <w:r w:rsidRPr="00F8380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816AA" w:rsidRPr="00F83802">
        <w:rPr>
          <w:rFonts w:ascii="Palatino Linotype" w:eastAsia="Palatino Linotype" w:hAnsi="Palatino Linotype" w:cs="Palatino Linotype"/>
        </w:rPr>
        <w:t>SEGUNDA</w:t>
      </w:r>
      <w:r w:rsidRPr="00F83802">
        <w:rPr>
          <w:rFonts w:ascii="Palatino Linotype" w:eastAsia="Palatino Linotype" w:hAnsi="Palatino Linotype" w:cs="Palatino Linotype"/>
        </w:rPr>
        <w:t xml:space="preserve"> SESIÓN ORDINARIA CELEBRADA EL </w:t>
      </w:r>
      <w:r w:rsidR="005816AA" w:rsidRPr="00F83802">
        <w:rPr>
          <w:rFonts w:ascii="Palatino Linotype" w:eastAsia="Palatino Linotype" w:hAnsi="Palatino Linotype" w:cs="Palatino Linotype"/>
        </w:rPr>
        <w:t>VEINTIUNO DE ENERO DE DOS MIL VEINTISÉIS</w:t>
      </w:r>
      <w:r w:rsidRPr="00F83802">
        <w:rPr>
          <w:rFonts w:ascii="Palatino Linotype" w:eastAsia="Palatino Linotype" w:hAnsi="Palatino Linotype" w:cs="Palatino Linotype"/>
        </w:rPr>
        <w:t>, ANTE EL SECRETARIO TÉCNICO DEL</w:t>
      </w:r>
      <w:r w:rsidR="00635403" w:rsidRPr="00F83802">
        <w:rPr>
          <w:rFonts w:ascii="Palatino Linotype" w:eastAsia="Palatino Linotype" w:hAnsi="Palatino Linotype" w:cs="Palatino Linotype"/>
        </w:rPr>
        <w:t xml:space="preserve"> PLENO ALEXIS TAPIA RAMÍREZ</w:t>
      </w:r>
    </w:p>
    <w:p w14:paraId="3CCD90B7" w14:textId="77777777" w:rsidR="00C82540" w:rsidRPr="00CA61E0" w:rsidRDefault="00C82540" w:rsidP="00BB6C45">
      <w:pPr>
        <w:spacing w:after="0" w:line="360" w:lineRule="auto"/>
        <w:ind w:right="-93"/>
        <w:jc w:val="both"/>
        <w:rPr>
          <w:rFonts w:ascii="Palatino Linotype" w:eastAsia="Palatino Linotype" w:hAnsi="Palatino Linotype" w:cs="Palatino Linotype"/>
        </w:rPr>
      </w:pPr>
    </w:p>
    <w:p w14:paraId="35358F6D" w14:textId="77777777" w:rsidR="00C82540" w:rsidRPr="00CA61E0" w:rsidRDefault="00C82540" w:rsidP="00BB6C45">
      <w:pPr>
        <w:spacing w:after="0" w:line="360" w:lineRule="auto"/>
        <w:ind w:right="-93"/>
        <w:jc w:val="both"/>
        <w:rPr>
          <w:rFonts w:ascii="Palatino Linotype" w:eastAsia="Palatino Linotype" w:hAnsi="Palatino Linotype" w:cs="Palatino Linotype"/>
        </w:rPr>
      </w:pPr>
    </w:p>
    <w:p w14:paraId="62CC255B" w14:textId="77777777" w:rsidR="00C82540" w:rsidRPr="00CA61E0" w:rsidRDefault="00C82540" w:rsidP="00BB6C45">
      <w:pPr>
        <w:spacing w:after="0" w:line="360" w:lineRule="auto"/>
        <w:ind w:right="-93"/>
        <w:jc w:val="both"/>
        <w:rPr>
          <w:rFonts w:ascii="Palatino Linotype" w:eastAsia="Palatino Linotype" w:hAnsi="Palatino Linotype" w:cs="Palatino Linotype"/>
        </w:rPr>
      </w:pPr>
    </w:p>
    <w:p w14:paraId="4CC20F51" w14:textId="77777777" w:rsidR="00C82540" w:rsidRPr="00CA61E0" w:rsidRDefault="00C82540" w:rsidP="00BB6C45">
      <w:pPr>
        <w:spacing w:after="0" w:line="360" w:lineRule="auto"/>
        <w:ind w:right="-93"/>
        <w:jc w:val="both"/>
        <w:rPr>
          <w:rFonts w:ascii="Palatino Linotype" w:eastAsia="Palatino Linotype" w:hAnsi="Palatino Linotype" w:cs="Palatino Linotype"/>
        </w:rPr>
      </w:pPr>
    </w:p>
    <w:p w14:paraId="7CC5D784" w14:textId="77777777" w:rsidR="00C82540" w:rsidRPr="00CA61E0" w:rsidRDefault="00C82540" w:rsidP="00BB6C45">
      <w:pPr>
        <w:spacing w:after="0" w:line="360" w:lineRule="auto"/>
        <w:ind w:right="-93"/>
        <w:jc w:val="both"/>
        <w:rPr>
          <w:rFonts w:ascii="Palatino Linotype" w:eastAsia="Palatino Linotype" w:hAnsi="Palatino Linotype" w:cs="Palatino Linotype"/>
        </w:rPr>
      </w:pPr>
    </w:p>
    <w:p w14:paraId="0BECC2A1"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14F3401B"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52EF0654"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36D29909"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4845C3EA"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3779B316"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52D82CFB"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4A4278CB"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7320D4E4"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4D94242A"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473C4A7B"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6F0227BF"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40BBCD23"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7FB99034"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0CDE0897"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3CFC3956"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33305FBA"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61D520FC"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485F4926"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0A861C56"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55F9C770"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6A64F65E"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3E4C5674"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119D85F9"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63294F29"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42CED074"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131FD5F3"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475F7CA8"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353E0768"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27AEFA79"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7ECBB7B0"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6852E2EE"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p w14:paraId="4ED8B860" w14:textId="77777777" w:rsidR="00DB49EC" w:rsidRPr="00CA61E0" w:rsidRDefault="00DB49EC" w:rsidP="00BB6C45">
      <w:pPr>
        <w:spacing w:after="0" w:line="360" w:lineRule="auto"/>
        <w:ind w:right="-93"/>
        <w:jc w:val="both"/>
        <w:rPr>
          <w:rFonts w:ascii="Palatino Linotype" w:eastAsia="Palatino Linotype" w:hAnsi="Palatino Linotype" w:cs="Palatino Linotype"/>
        </w:rPr>
      </w:pPr>
    </w:p>
    <w:sectPr w:rsidR="00DB49EC" w:rsidRPr="00CA61E0">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8B325" w14:textId="77777777" w:rsidR="00D41B5D" w:rsidRDefault="00D41B5D">
      <w:pPr>
        <w:spacing w:after="0" w:line="240" w:lineRule="auto"/>
      </w:pPr>
      <w:r>
        <w:separator/>
      </w:r>
    </w:p>
  </w:endnote>
  <w:endnote w:type="continuationSeparator" w:id="0">
    <w:p w14:paraId="248A9037" w14:textId="77777777" w:rsidR="00D41B5D" w:rsidRDefault="00D4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D0F5" w14:textId="40B04B7C" w:rsidR="00396F5D" w:rsidRDefault="00396F5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E6ECA">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E6ECA">
      <w:rPr>
        <w:b/>
        <w:noProof/>
        <w:color w:val="000000"/>
        <w:sz w:val="24"/>
        <w:szCs w:val="24"/>
      </w:rPr>
      <w:t>20</w:t>
    </w:r>
    <w:r>
      <w:rPr>
        <w:b/>
        <w:color w:val="000000"/>
        <w:sz w:val="24"/>
        <w:szCs w:val="24"/>
      </w:rPr>
      <w:fldChar w:fldCharType="end"/>
    </w:r>
  </w:p>
  <w:p w14:paraId="3AA94256" w14:textId="77777777" w:rsidR="00396F5D" w:rsidRDefault="00396F5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8621" w14:textId="07607725" w:rsidR="00396F5D" w:rsidRDefault="00396F5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E6EC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E6ECA">
      <w:rPr>
        <w:b/>
        <w:noProof/>
        <w:color w:val="000000"/>
        <w:sz w:val="24"/>
        <w:szCs w:val="24"/>
      </w:rPr>
      <w:t>20</w:t>
    </w:r>
    <w:r>
      <w:rPr>
        <w:b/>
        <w:color w:val="000000"/>
        <w:sz w:val="24"/>
        <w:szCs w:val="24"/>
      </w:rPr>
      <w:fldChar w:fldCharType="end"/>
    </w:r>
  </w:p>
  <w:p w14:paraId="3C318AFD" w14:textId="77777777" w:rsidR="00396F5D" w:rsidRDefault="00396F5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62B85" w14:textId="77777777" w:rsidR="00D41B5D" w:rsidRDefault="00D41B5D">
      <w:pPr>
        <w:spacing w:after="0" w:line="240" w:lineRule="auto"/>
      </w:pPr>
      <w:r>
        <w:separator/>
      </w:r>
    </w:p>
  </w:footnote>
  <w:footnote w:type="continuationSeparator" w:id="0">
    <w:p w14:paraId="05596BD5" w14:textId="77777777" w:rsidR="00D41B5D" w:rsidRDefault="00D4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FEB1" w14:textId="4CA14196" w:rsidR="00396F5D" w:rsidRDefault="00396F5D">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751FB2C" wp14:editId="05F0A231">
          <wp:simplePos x="0" y="0"/>
          <wp:positionH relativeFrom="column">
            <wp:posOffset>-727075</wp:posOffset>
          </wp:positionH>
          <wp:positionV relativeFrom="paragraph">
            <wp:posOffset>-221615</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396F5D" w14:paraId="1A7599B2" w14:textId="77777777">
      <w:tc>
        <w:tcPr>
          <w:tcW w:w="2551" w:type="dxa"/>
          <w:vAlign w:val="center"/>
        </w:tcPr>
        <w:p w14:paraId="72319A30" w14:textId="77777777" w:rsidR="00396F5D" w:rsidRDefault="00396F5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3F50960" w14:textId="4185F654" w:rsidR="00396F5D" w:rsidRDefault="00396F5D"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10349/INFOEM/IP/RR/2025</w:t>
          </w:r>
        </w:p>
      </w:tc>
    </w:tr>
    <w:tr w:rsidR="00396F5D" w14:paraId="334F66F4" w14:textId="77777777">
      <w:trPr>
        <w:trHeight w:val="228"/>
      </w:trPr>
      <w:tc>
        <w:tcPr>
          <w:tcW w:w="2551" w:type="dxa"/>
          <w:vAlign w:val="center"/>
        </w:tcPr>
        <w:p w14:paraId="2C95F1D8" w14:textId="6B8CACB2" w:rsidR="00396F5D" w:rsidRDefault="00396F5D" w:rsidP="00ED1B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F6BBD72" w14:textId="33C36F2C" w:rsidR="00396F5D" w:rsidRDefault="00396F5D" w:rsidP="003427E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ED1BB7">
            <w:rPr>
              <w:rFonts w:ascii="Palatino Linotype" w:eastAsia="Palatino Linotype" w:hAnsi="Palatino Linotype" w:cs="Palatino Linotype"/>
              <w:b/>
              <w:color w:val="000000"/>
            </w:rPr>
            <w:t>Ayuntamiento de Temoaya</w:t>
          </w:r>
        </w:p>
      </w:tc>
    </w:tr>
    <w:tr w:rsidR="00396F5D" w14:paraId="151AD774" w14:textId="77777777">
      <w:tc>
        <w:tcPr>
          <w:tcW w:w="2551" w:type="dxa"/>
          <w:vAlign w:val="center"/>
        </w:tcPr>
        <w:p w14:paraId="082D5C63" w14:textId="77777777" w:rsidR="00396F5D" w:rsidRDefault="00396F5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F3DE8DA" w14:textId="77777777" w:rsidR="00396F5D" w:rsidRDefault="00396F5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1C831F7" w14:textId="52100BCB" w:rsidR="00396F5D" w:rsidRDefault="00396F5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B399" w14:textId="77777777" w:rsidR="00396F5D" w:rsidRDefault="00396F5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23347D8" wp14:editId="41E6838B">
          <wp:simplePos x="0" y="0"/>
          <wp:positionH relativeFrom="column">
            <wp:posOffset>-713033</wp:posOffset>
          </wp:positionH>
          <wp:positionV relativeFrom="paragraph">
            <wp:posOffset>-287655</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396F5D" w14:paraId="756CD026" w14:textId="77777777">
      <w:tc>
        <w:tcPr>
          <w:tcW w:w="2551" w:type="dxa"/>
          <w:vAlign w:val="center"/>
        </w:tcPr>
        <w:p w14:paraId="116BAA75" w14:textId="77777777" w:rsidR="00396F5D" w:rsidRDefault="00396F5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A7714FB" w14:textId="0991DDA7" w:rsidR="00396F5D" w:rsidRDefault="00396F5D"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10349/INFOEM/IP/RR/2025</w:t>
          </w:r>
        </w:p>
      </w:tc>
    </w:tr>
    <w:tr w:rsidR="00396F5D" w14:paraId="236BEBE6" w14:textId="77777777">
      <w:tc>
        <w:tcPr>
          <w:tcW w:w="2551" w:type="dxa"/>
          <w:vAlign w:val="center"/>
        </w:tcPr>
        <w:p w14:paraId="6A7A4261" w14:textId="536D35DD" w:rsidR="00396F5D" w:rsidRDefault="00396F5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F5177C0" w14:textId="5C61A0EB" w:rsidR="00396F5D" w:rsidRDefault="00396F5D" w:rsidP="007E54B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396F5D" w14:paraId="5EECAB51" w14:textId="77777777">
      <w:trPr>
        <w:trHeight w:val="228"/>
      </w:trPr>
      <w:tc>
        <w:tcPr>
          <w:tcW w:w="2551" w:type="dxa"/>
          <w:vAlign w:val="center"/>
        </w:tcPr>
        <w:p w14:paraId="7E45A6CD" w14:textId="76363BAA" w:rsidR="00396F5D" w:rsidRDefault="00396F5D" w:rsidP="00ED1B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11CF4EB" w14:textId="6FED1B1E" w:rsidR="00396F5D" w:rsidRDefault="00396F5D" w:rsidP="003427E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ED1BB7">
            <w:rPr>
              <w:rFonts w:ascii="Palatino Linotype" w:eastAsia="Palatino Linotype" w:hAnsi="Palatino Linotype" w:cs="Palatino Linotype"/>
              <w:b/>
              <w:color w:val="000000"/>
            </w:rPr>
            <w:t>Ayuntamiento de Temoaya</w:t>
          </w:r>
        </w:p>
      </w:tc>
    </w:tr>
    <w:tr w:rsidR="00396F5D" w14:paraId="4E879AE4" w14:textId="77777777">
      <w:tc>
        <w:tcPr>
          <w:tcW w:w="2551" w:type="dxa"/>
          <w:vAlign w:val="center"/>
        </w:tcPr>
        <w:p w14:paraId="38753B5C" w14:textId="77777777" w:rsidR="00396F5D" w:rsidRDefault="00396F5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47318B5" w14:textId="77777777" w:rsidR="00396F5D" w:rsidRDefault="00396F5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34DED14" w14:textId="77777777" w:rsidR="00396F5D" w:rsidRDefault="00396F5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E9A"/>
    <w:multiLevelType w:val="multilevel"/>
    <w:tmpl w:val="45C88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9142D3"/>
    <w:multiLevelType w:val="hybridMultilevel"/>
    <w:tmpl w:val="923C7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779F6"/>
    <w:multiLevelType w:val="multilevel"/>
    <w:tmpl w:val="3C505A7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973DC"/>
    <w:multiLevelType w:val="multilevel"/>
    <w:tmpl w:val="3692056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117C0375"/>
    <w:multiLevelType w:val="multilevel"/>
    <w:tmpl w:val="92648D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360C9"/>
    <w:multiLevelType w:val="multilevel"/>
    <w:tmpl w:val="788AC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DD3254"/>
    <w:multiLevelType w:val="hybridMultilevel"/>
    <w:tmpl w:val="216467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7DF7AD8"/>
    <w:multiLevelType w:val="hybridMultilevel"/>
    <w:tmpl w:val="FA866D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BB4706A"/>
    <w:multiLevelType w:val="multilevel"/>
    <w:tmpl w:val="CF3A9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341E7F"/>
    <w:multiLevelType w:val="hybridMultilevel"/>
    <w:tmpl w:val="A8DC9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C71388"/>
    <w:multiLevelType w:val="multilevel"/>
    <w:tmpl w:val="124EB7F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422B0"/>
    <w:multiLevelType w:val="multilevel"/>
    <w:tmpl w:val="03229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13602F"/>
    <w:multiLevelType w:val="hybridMultilevel"/>
    <w:tmpl w:val="843A3AE2"/>
    <w:lvl w:ilvl="0" w:tplc="A370870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276A5A"/>
    <w:multiLevelType w:val="hybridMultilevel"/>
    <w:tmpl w:val="7F7654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4B1986"/>
    <w:multiLevelType w:val="hybridMultilevel"/>
    <w:tmpl w:val="C56C7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007605"/>
    <w:multiLevelType w:val="hybridMultilevel"/>
    <w:tmpl w:val="3ECEDBE0"/>
    <w:lvl w:ilvl="0" w:tplc="ED04351E">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52277F"/>
    <w:multiLevelType w:val="hybridMultilevel"/>
    <w:tmpl w:val="C0EE239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69A0D8E"/>
    <w:multiLevelType w:val="hybridMultilevel"/>
    <w:tmpl w:val="4C7C9DF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F0218C1"/>
    <w:multiLevelType w:val="hybridMultilevel"/>
    <w:tmpl w:val="53CE89FA"/>
    <w:lvl w:ilvl="0" w:tplc="12140D5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6E1E7F"/>
    <w:multiLevelType w:val="hybridMultilevel"/>
    <w:tmpl w:val="FE3280D4"/>
    <w:lvl w:ilvl="0" w:tplc="70DC1C1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95597F"/>
    <w:multiLevelType w:val="multilevel"/>
    <w:tmpl w:val="38F44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8163C1"/>
    <w:multiLevelType w:val="hybridMultilevel"/>
    <w:tmpl w:val="39D86F7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429207C"/>
    <w:multiLevelType w:val="hybridMultilevel"/>
    <w:tmpl w:val="4FE69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4"/>
  </w:num>
  <w:num w:numId="4">
    <w:abstractNumId w:val="12"/>
  </w:num>
  <w:num w:numId="5">
    <w:abstractNumId w:val="0"/>
  </w:num>
  <w:num w:numId="6">
    <w:abstractNumId w:val="9"/>
  </w:num>
  <w:num w:numId="7">
    <w:abstractNumId w:val="10"/>
  </w:num>
  <w:num w:numId="8">
    <w:abstractNumId w:val="17"/>
  </w:num>
  <w:num w:numId="9">
    <w:abstractNumId w:val="8"/>
  </w:num>
  <w:num w:numId="10">
    <w:abstractNumId w:val="13"/>
  </w:num>
  <w:num w:numId="11">
    <w:abstractNumId w:val="5"/>
  </w:num>
  <w:num w:numId="12">
    <w:abstractNumId w:val="6"/>
  </w:num>
  <w:num w:numId="13">
    <w:abstractNumId w:val="15"/>
  </w:num>
  <w:num w:numId="14">
    <w:abstractNumId w:val="2"/>
  </w:num>
  <w:num w:numId="15">
    <w:abstractNumId w:val="7"/>
  </w:num>
  <w:num w:numId="16">
    <w:abstractNumId w:val="21"/>
  </w:num>
  <w:num w:numId="17">
    <w:abstractNumId w:val="20"/>
  </w:num>
  <w:num w:numId="18">
    <w:abstractNumId w:val="1"/>
  </w:num>
  <w:num w:numId="19">
    <w:abstractNumId w:val="24"/>
  </w:num>
  <w:num w:numId="20">
    <w:abstractNumId w:val="3"/>
  </w:num>
  <w:num w:numId="21">
    <w:abstractNumId w:val="16"/>
  </w:num>
  <w:num w:numId="22">
    <w:abstractNumId w:val="18"/>
  </w:num>
  <w:num w:numId="23">
    <w:abstractNumId w:val="19"/>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29"/>
    <w:rsid w:val="00021077"/>
    <w:rsid w:val="00032C72"/>
    <w:rsid w:val="00035257"/>
    <w:rsid w:val="00037556"/>
    <w:rsid w:val="00045B08"/>
    <w:rsid w:val="00057C09"/>
    <w:rsid w:val="000648DF"/>
    <w:rsid w:val="0008531E"/>
    <w:rsid w:val="000D026B"/>
    <w:rsid w:val="000F1BF8"/>
    <w:rsid w:val="00176B5F"/>
    <w:rsid w:val="001874AF"/>
    <w:rsid w:val="001B1C04"/>
    <w:rsid w:val="001C5F12"/>
    <w:rsid w:val="001D6046"/>
    <w:rsid w:val="00216EDF"/>
    <w:rsid w:val="002259DB"/>
    <w:rsid w:val="002568F4"/>
    <w:rsid w:val="00261EDE"/>
    <w:rsid w:val="00274A53"/>
    <w:rsid w:val="002C4C84"/>
    <w:rsid w:val="002F7700"/>
    <w:rsid w:val="00310510"/>
    <w:rsid w:val="00316C83"/>
    <w:rsid w:val="003427ED"/>
    <w:rsid w:val="00372741"/>
    <w:rsid w:val="00396F5D"/>
    <w:rsid w:val="003B7662"/>
    <w:rsid w:val="003D643D"/>
    <w:rsid w:val="003F4C9C"/>
    <w:rsid w:val="00420962"/>
    <w:rsid w:val="00444AE4"/>
    <w:rsid w:val="005074BC"/>
    <w:rsid w:val="0051410A"/>
    <w:rsid w:val="0053380A"/>
    <w:rsid w:val="005358AB"/>
    <w:rsid w:val="005816AA"/>
    <w:rsid w:val="005A4124"/>
    <w:rsid w:val="005B75EB"/>
    <w:rsid w:val="005C256F"/>
    <w:rsid w:val="005D52CD"/>
    <w:rsid w:val="005E25DE"/>
    <w:rsid w:val="00610A2C"/>
    <w:rsid w:val="00635403"/>
    <w:rsid w:val="00676B0E"/>
    <w:rsid w:val="00694449"/>
    <w:rsid w:val="006D741D"/>
    <w:rsid w:val="006E6ECA"/>
    <w:rsid w:val="006E7C91"/>
    <w:rsid w:val="00713683"/>
    <w:rsid w:val="00721C6C"/>
    <w:rsid w:val="0074038E"/>
    <w:rsid w:val="00753CC7"/>
    <w:rsid w:val="007E54BA"/>
    <w:rsid w:val="008231E2"/>
    <w:rsid w:val="00866861"/>
    <w:rsid w:val="00896613"/>
    <w:rsid w:val="008B514E"/>
    <w:rsid w:val="008C18DE"/>
    <w:rsid w:val="008E4940"/>
    <w:rsid w:val="009062AA"/>
    <w:rsid w:val="00917914"/>
    <w:rsid w:val="00926150"/>
    <w:rsid w:val="0093000B"/>
    <w:rsid w:val="009317EE"/>
    <w:rsid w:val="009440D5"/>
    <w:rsid w:val="00944DFB"/>
    <w:rsid w:val="0099154A"/>
    <w:rsid w:val="009B725E"/>
    <w:rsid w:val="00A02281"/>
    <w:rsid w:val="00A365ED"/>
    <w:rsid w:val="00A73C7A"/>
    <w:rsid w:val="00AB7FD1"/>
    <w:rsid w:val="00AF5D20"/>
    <w:rsid w:val="00B1255E"/>
    <w:rsid w:val="00B7699C"/>
    <w:rsid w:val="00BB6C45"/>
    <w:rsid w:val="00BC7B7D"/>
    <w:rsid w:val="00BD25A2"/>
    <w:rsid w:val="00C05390"/>
    <w:rsid w:val="00C3657A"/>
    <w:rsid w:val="00C553FA"/>
    <w:rsid w:val="00C82540"/>
    <w:rsid w:val="00C83F95"/>
    <w:rsid w:val="00C87084"/>
    <w:rsid w:val="00CA61E0"/>
    <w:rsid w:val="00CD22FB"/>
    <w:rsid w:val="00D16E14"/>
    <w:rsid w:val="00D41B5D"/>
    <w:rsid w:val="00D705F3"/>
    <w:rsid w:val="00D76B34"/>
    <w:rsid w:val="00DB152E"/>
    <w:rsid w:val="00DB49EC"/>
    <w:rsid w:val="00E06115"/>
    <w:rsid w:val="00E10E3D"/>
    <w:rsid w:val="00E20247"/>
    <w:rsid w:val="00E203CF"/>
    <w:rsid w:val="00E22C6B"/>
    <w:rsid w:val="00E22E46"/>
    <w:rsid w:val="00E87281"/>
    <w:rsid w:val="00EA0729"/>
    <w:rsid w:val="00ED1BB7"/>
    <w:rsid w:val="00EF2FFF"/>
    <w:rsid w:val="00F13285"/>
    <w:rsid w:val="00F276B5"/>
    <w:rsid w:val="00F83802"/>
    <w:rsid w:val="00FB6CC8"/>
    <w:rsid w:val="00FD18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D274"/>
  <w15:docId w15:val="{21FE5890-BA63-49C4-A841-CC89169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3412">
      <w:bodyDiv w:val="1"/>
      <w:marLeft w:val="0"/>
      <w:marRight w:val="0"/>
      <w:marTop w:val="0"/>
      <w:marBottom w:val="0"/>
      <w:divBdr>
        <w:top w:val="none" w:sz="0" w:space="0" w:color="auto"/>
        <w:left w:val="none" w:sz="0" w:space="0" w:color="auto"/>
        <w:bottom w:val="none" w:sz="0" w:space="0" w:color="auto"/>
        <w:right w:val="none" w:sz="0" w:space="0" w:color="auto"/>
      </w:divBdr>
    </w:div>
    <w:div w:id="83306364">
      <w:bodyDiv w:val="1"/>
      <w:marLeft w:val="0"/>
      <w:marRight w:val="0"/>
      <w:marTop w:val="0"/>
      <w:marBottom w:val="0"/>
      <w:divBdr>
        <w:top w:val="none" w:sz="0" w:space="0" w:color="auto"/>
        <w:left w:val="none" w:sz="0" w:space="0" w:color="auto"/>
        <w:bottom w:val="none" w:sz="0" w:space="0" w:color="auto"/>
        <w:right w:val="none" w:sz="0" w:space="0" w:color="auto"/>
      </w:divBdr>
    </w:div>
    <w:div w:id="151527196">
      <w:bodyDiv w:val="1"/>
      <w:marLeft w:val="0"/>
      <w:marRight w:val="0"/>
      <w:marTop w:val="0"/>
      <w:marBottom w:val="0"/>
      <w:divBdr>
        <w:top w:val="none" w:sz="0" w:space="0" w:color="auto"/>
        <w:left w:val="none" w:sz="0" w:space="0" w:color="auto"/>
        <w:bottom w:val="none" w:sz="0" w:space="0" w:color="auto"/>
        <w:right w:val="none" w:sz="0" w:space="0" w:color="auto"/>
      </w:divBdr>
    </w:div>
    <w:div w:id="249236301">
      <w:bodyDiv w:val="1"/>
      <w:marLeft w:val="0"/>
      <w:marRight w:val="0"/>
      <w:marTop w:val="0"/>
      <w:marBottom w:val="0"/>
      <w:divBdr>
        <w:top w:val="none" w:sz="0" w:space="0" w:color="auto"/>
        <w:left w:val="none" w:sz="0" w:space="0" w:color="auto"/>
        <w:bottom w:val="none" w:sz="0" w:space="0" w:color="auto"/>
        <w:right w:val="none" w:sz="0" w:space="0" w:color="auto"/>
      </w:divBdr>
    </w:div>
    <w:div w:id="281153542">
      <w:bodyDiv w:val="1"/>
      <w:marLeft w:val="0"/>
      <w:marRight w:val="0"/>
      <w:marTop w:val="0"/>
      <w:marBottom w:val="0"/>
      <w:divBdr>
        <w:top w:val="none" w:sz="0" w:space="0" w:color="auto"/>
        <w:left w:val="none" w:sz="0" w:space="0" w:color="auto"/>
        <w:bottom w:val="none" w:sz="0" w:space="0" w:color="auto"/>
        <w:right w:val="none" w:sz="0" w:space="0" w:color="auto"/>
      </w:divBdr>
    </w:div>
    <w:div w:id="308827059">
      <w:bodyDiv w:val="1"/>
      <w:marLeft w:val="0"/>
      <w:marRight w:val="0"/>
      <w:marTop w:val="0"/>
      <w:marBottom w:val="0"/>
      <w:divBdr>
        <w:top w:val="none" w:sz="0" w:space="0" w:color="auto"/>
        <w:left w:val="none" w:sz="0" w:space="0" w:color="auto"/>
        <w:bottom w:val="none" w:sz="0" w:space="0" w:color="auto"/>
        <w:right w:val="none" w:sz="0" w:space="0" w:color="auto"/>
      </w:divBdr>
    </w:div>
    <w:div w:id="452209095">
      <w:bodyDiv w:val="1"/>
      <w:marLeft w:val="0"/>
      <w:marRight w:val="0"/>
      <w:marTop w:val="0"/>
      <w:marBottom w:val="0"/>
      <w:divBdr>
        <w:top w:val="none" w:sz="0" w:space="0" w:color="auto"/>
        <w:left w:val="none" w:sz="0" w:space="0" w:color="auto"/>
        <w:bottom w:val="none" w:sz="0" w:space="0" w:color="auto"/>
        <w:right w:val="none" w:sz="0" w:space="0" w:color="auto"/>
      </w:divBdr>
    </w:div>
    <w:div w:id="457576227">
      <w:bodyDiv w:val="1"/>
      <w:marLeft w:val="0"/>
      <w:marRight w:val="0"/>
      <w:marTop w:val="0"/>
      <w:marBottom w:val="0"/>
      <w:divBdr>
        <w:top w:val="none" w:sz="0" w:space="0" w:color="auto"/>
        <w:left w:val="none" w:sz="0" w:space="0" w:color="auto"/>
        <w:bottom w:val="none" w:sz="0" w:space="0" w:color="auto"/>
        <w:right w:val="none" w:sz="0" w:space="0" w:color="auto"/>
      </w:divBdr>
    </w:div>
    <w:div w:id="575356832">
      <w:bodyDiv w:val="1"/>
      <w:marLeft w:val="0"/>
      <w:marRight w:val="0"/>
      <w:marTop w:val="0"/>
      <w:marBottom w:val="0"/>
      <w:divBdr>
        <w:top w:val="none" w:sz="0" w:space="0" w:color="auto"/>
        <w:left w:val="none" w:sz="0" w:space="0" w:color="auto"/>
        <w:bottom w:val="none" w:sz="0" w:space="0" w:color="auto"/>
        <w:right w:val="none" w:sz="0" w:space="0" w:color="auto"/>
      </w:divBdr>
    </w:div>
    <w:div w:id="692070154">
      <w:bodyDiv w:val="1"/>
      <w:marLeft w:val="0"/>
      <w:marRight w:val="0"/>
      <w:marTop w:val="0"/>
      <w:marBottom w:val="0"/>
      <w:divBdr>
        <w:top w:val="none" w:sz="0" w:space="0" w:color="auto"/>
        <w:left w:val="none" w:sz="0" w:space="0" w:color="auto"/>
        <w:bottom w:val="none" w:sz="0" w:space="0" w:color="auto"/>
        <w:right w:val="none" w:sz="0" w:space="0" w:color="auto"/>
      </w:divBdr>
    </w:div>
    <w:div w:id="871528302">
      <w:bodyDiv w:val="1"/>
      <w:marLeft w:val="0"/>
      <w:marRight w:val="0"/>
      <w:marTop w:val="0"/>
      <w:marBottom w:val="0"/>
      <w:divBdr>
        <w:top w:val="none" w:sz="0" w:space="0" w:color="auto"/>
        <w:left w:val="none" w:sz="0" w:space="0" w:color="auto"/>
        <w:bottom w:val="none" w:sz="0" w:space="0" w:color="auto"/>
        <w:right w:val="none" w:sz="0" w:space="0" w:color="auto"/>
      </w:divBdr>
    </w:div>
    <w:div w:id="887381820">
      <w:bodyDiv w:val="1"/>
      <w:marLeft w:val="0"/>
      <w:marRight w:val="0"/>
      <w:marTop w:val="0"/>
      <w:marBottom w:val="0"/>
      <w:divBdr>
        <w:top w:val="none" w:sz="0" w:space="0" w:color="auto"/>
        <w:left w:val="none" w:sz="0" w:space="0" w:color="auto"/>
        <w:bottom w:val="none" w:sz="0" w:space="0" w:color="auto"/>
        <w:right w:val="none" w:sz="0" w:space="0" w:color="auto"/>
      </w:divBdr>
    </w:div>
    <w:div w:id="977033878">
      <w:bodyDiv w:val="1"/>
      <w:marLeft w:val="0"/>
      <w:marRight w:val="0"/>
      <w:marTop w:val="0"/>
      <w:marBottom w:val="0"/>
      <w:divBdr>
        <w:top w:val="none" w:sz="0" w:space="0" w:color="auto"/>
        <w:left w:val="none" w:sz="0" w:space="0" w:color="auto"/>
        <w:bottom w:val="none" w:sz="0" w:space="0" w:color="auto"/>
        <w:right w:val="none" w:sz="0" w:space="0" w:color="auto"/>
      </w:divBdr>
    </w:div>
    <w:div w:id="1135027463">
      <w:bodyDiv w:val="1"/>
      <w:marLeft w:val="0"/>
      <w:marRight w:val="0"/>
      <w:marTop w:val="0"/>
      <w:marBottom w:val="0"/>
      <w:divBdr>
        <w:top w:val="none" w:sz="0" w:space="0" w:color="auto"/>
        <w:left w:val="none" w:sz="0" w:space="0" w:color="auto"/>
        <w:bottom w:val="none" w:sz="0" w:space="0" w:color="auto"/>
        <w:right w:val="none" w:sz="0" w:space="0" w:color="auto"/>
      </w:divBdr>
    </w:div>
    <w:div w:id="1168207722">
      <w:bodyDiv w:val="1"/>
      <w:marLeft w:val="0"/>
      <w:marRight w:val="0"/>
      <w:marTop w:val="0"/>
      <w:marBottom w:val="0"/>
      <w:divBdr>
        <w:top w:val="none" w:sz="0" w:space="0" w:color="auto"/>
        <w:left w:val="none" w:sz="0" w:space="0" w:color="auto"/>
        <w:bottom w:val="none" w:sz="0" w:space="0" w:color="auto"/>
        <w:right w:val="none" w:sz="0" w:space="0" w:color="auto"/>
      </w:divBdr>
    </w:div>
    <w:div w:id="1271207384">
      <w:bodyDiv w:val="1"/>
      <w:marLeft w:val="0"/>
      <w:marRight w:val="0"/>
      <w:marTop w:val="0"/>
      <w:marBottom w:val="0"/>
      <w:divBdr>
        <w:top w:val="none" w:sz="0" w:space="0" w:color="auto"/>
        <w:left w:val="none" w:sz="0" w:space="0" w:color="auto"/>
        <w:bottom w:val="none" w:sz="0" w:space="0" w:color="auto"/>
        <w:right w:val="none" w:sz="0" w:space="0" w:color="auto"/>
      </w:divBdr>
    </w:div>
    <w:div w:id="1492523297">
      <w:bodyDiv w:val="1"/>
      <w:marLeft w:val="0"/>
      <w:marRight w:val="0"/>
      <w:marTop w:val="0"/>
      <w:marBottom w:val="0"/>
      <w:divBdr>
        <w:top w:val="none" w:sz="0" w:space="0" w:color="auto"/>
        <w:left w:val="none" w:sz="0" w:space="0" w:color="auto"/>
        <w:bottom w:val="none" w:sz="0" w:space="0" w:color="auto"/>
        <w:right w:val="none" w:sz="0" w:space="0" w:color="auto"/>
      </w:divBdr>
    </w:div>
    <w:div w:id="1654407811">
      <w:bodyDiv w:val="1"/>
      <w:marLeft w:val="0"/>
      <w:marRight w:val="0"/>
      <w:marTop w:val="0"/>
      <w:marBottom w:val="0"/>
      <w:divBdr>
        <w:top w:val="none" w:sz="0" w:space="0" w:color="auto"/>
        <w:left w:val="none" w:sz="0" w:space="0" w:color="auto"/>
        <w:bottom w:val="none" w:sz="0" w:space="0" w:color="auto"/>
        <w:right w:val="none" w:sz="0" w:space="0" w:color="auto"/>
      </w:divBdr>
    </w:div>
    <w:div w:id="180153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dE24XLYp6kqcmT1T8svgVyjWFg==">AMUW2mXBtXKHSQlaA7vtrZX2aBAazr3Xpi2GapNLYIcYY9E7Z0hqYPe3idsneBT55niABK//Vqqxb1MpQphLUpB4ObLj/udTu7+Vvw/kmo5yYxrqJWFmgIJcLDBGLsN+OI/T/On1qPqqT135oXawV93DQ5rGiIOypYASpVpxZxjdhWcpQN9jRXA=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4727</Words>
  <Characters>26004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2026-01-23T18:41:00Z</cp:lastPrinted>
  <dcterms:created xsi:type="dcterms:W3CDTF">2026-03-19T20:54:00Z</dcterms:created>
  <dcterms:modified xsi:type="dcterms:W3CDTF">2026-03-19T20:54:00Z</dcterms:modified>
</cp:coreProperties>
</file>